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8E9" w:rsidRPr="009038E9" w:rsidRDefault="009038E9" w:rsidP="009038E9">
      <w:pPr>
        <w:spacing w:after="0"/>
        <w:jc w:val="both"/>
        <w:rPr>
          <w:rFonts w:ascii="Times New Roman" w:hAnsi="Times New Roman" w:cs="Times New Roman"/>
          <w:lang w:val="sr-Cyrl-ME"/>
        </w:rPr>
      </w:pPr>
    </w:p>
    <w:tbl>
      <w:tblPr>
        <w:tblW w:w="9360" w:type="dxa"/>
        <w:jc w:val="center"/>
        <w:tblLayout w:type="fixed"/>
        <w:tblLook w:val="0000" w:firstRow="0" w:lastRow="0" w:firstColumn="0" w:lastColumn="0" w:noHBand="0" w:noVBand="0"/>
      </w:tblPr>
      <w:tblGrid>
        <w:gridCol w:w="9360"/>
      </w:tblGrid>
      <w:tr w:rsidR="009038E9" w:rsidRPr="009038E9" w:rsidTr="003555B8">
        <w:trPr>
          <w:trHeight w:val="530"/>
          <w:jc w:val="center"/>
        </w:trPr>
        <w:tc>
          <w:tcPr>
            <w:tcW w:w="9360" w:type="dxa"/>
            <w:vAlign w:val="center"/>
          </w:tcPr>
          <w:p w:rsidR="009038E9" w:rsidRPr="009038E9" w:rsidRDefault="009038E9" w:rsidP="009038E9">
            <w:pPr>
              <w:spacing w:after="0"/>
              <w:jc w:val="center"/>
              <w:rPr>
                <w:rFonts w:ascii="Times New Roman" w:hAnsi="Times New Roman" w:cs="Times New Roman"/>
                <w:b/>
                <w:bCs/>
                <w:iCs/>
                <w:u w:val="single"/>
                <w:lang w:val="sr-Latn-ME"/>
              </w:rPr>
            </w:pPr>
            <w:r w:rsidRPr="009038E9">
              <w:rPr>
                <w:rFonts w:ascii="Times New Roman" w:hAnsi="Times New Roman" w:cs="Times New Roman"/>
                <w:b/>
                <w:bCs/>
                <w:iCs/>
                <w:u w:val="single"/>
                <w:lang w:val="sr-Latn-ME"/>
              </w:rPr>
              <w:t>САЖЕТАК КАРАКТЕРИСТИКА ЛИЈЕКА</w:t>
            </w:r>
          </w:p>
        </w:tc>
      </w:tr>
    </w:tbl>
    <w:p w:rsidR="009038E9" w:rsidRPr="009038E9" w:rsidRDefault="009038E9" w:rsidP="009038E9">
      <w:pPr>
        <w:pStyle w:val="Header"/>
        <w:tabs>
          <w:tab w:val="left" w:pos="284"/>
        </w:tabs>
        <w:jc w:val="both"/>
        <w:rPr>
          <w:rFonts w:ascii="Times New Roman" w:hAnsi="Times New Roman" w:cs="Times New Roman"/>
          <w:lang w:val="sr-Latn-ME"/>
        </w:rPr>
      </w:pPr>
    </w:p>
    <w:p w:rsidR="009038E9" w:rsidRPr="009038E9" w:rsidRDefault="009038E9" w:rsidP="009038E9">
      <w:pPr>
        <w:pStyle w:val="Header"/>
        <w:tabs>
          <w:tab w:val="left" w:pos="284"/>
        </w:tabs>
        <w:jc w:val="both"/>
        <w:rPr>
          <w:rFonts w:ascii="Times New Roman" w:hAnsi="Times New Roman" w:cs="Times New Roman"/>
          <w:b/>
          <w:bCs/>
          <w:lang w:val="sr-Latn-ME"/>
        </w:rPr>
      </w:pPr>
    </w:p>
    <w:tbl>
      <w:tblPr>
        <w:tblW w:w="10031" w:type="dxa"/>
        <w:tblLayout w:type="fixed"/>
        <w:tblLook w:val="0000" w:firstRow="0" w:lastRow="0" w:firstColumn="0" w:lastColumn="0" w:noHBand="0" w:noVBand="0"/>
      </w:tblPr>
      <w:tblGrid>
        <w:gridCol w:w="828"/>
        <w:gridCol w:w="360"/>
        <w:gridCol w:w="1620"/>
        <w:gridCol w:w="7223"/>
      </w:tblGrid>
      <w:tr w:rsidR="009038E9" w:rsidRPr="009038E9" w:rsidTr="003555B8">
        <w:trPr>
          <w:trHeight w:val="284"/>
        </w:trPr>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 xml:space="preserve">1. </w:t>
            </w:r>
            <w:r w:rsidRPr="009038E9">
              <w:rPr>
                <w:rFonts w:ascii="Times New Roman" w:hAnsi="Times New Roman" w:cs="Times New Roman"/>
                <w:b/>
                <w:bCs/>
                <w:noProof/>
                <w:lang w:val="sr-Cyrl-ME"/>
              </w:rPr>
              <w:t>НАЗИВ</w:t>
            </w:r>
            <w:r w:rsidRPr="009038E9">
              <w:rPr>
                <w:rFonts w:ascii="Times New Roman" w:hAnsi="Times New Roman" w:cs="Times New Roman"/>
                <w:b/>
                <w:bCs/>
                <w:noProof/>
                <w:lang w:val="sr-Latn-ME"/>
              </w:rPr>
              <w:t xml:space="preserve"> ЛИЈЕКА</w:t>
            </w:r>
          </w:p>
        </w:tc>
      </w:tr>
      <w:tr w:rsidR="009038E9" w:rsidRPr="009038E9" w:rsidTr="003555B8">
        <w:trPr>
          <w:trHeight w:val="525"/>
        </w:trPr>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noProof/>
                <w:lang w:val="sr-Latn-ME"/>
              </w:rPr>
            </w:pPr>
          </w:p>
          <w:p w:rsidR="009038E9" w:rsidRPr="00B02946" w:rsidRDefault="009038E9" w:rsidP="009038E9">
            <w:pPr>
              <w:autoSpaceDE w:val="0"/>
              <w:autoSpaceDN w:val="0"/>
              <w:adjustRightInd w:val="0"/>
              <w:spacing w:after="0"/>
              <w:jc w:val="both"/>
              <w:rPr>
                <w:rFonts w:ascii="Times New Roman" w:hAnsi="Times New Roman" w:cs="Times New Roman"/>
                <w:lang w:val="sr-Cyrl-ME"/>
              </w:rPr>
            </w:pP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lang w:val="hr-BA"/>
              </w:rPr>
              <w:t>,</w:t>
            </w:r>
            <w:r w:rsidRPr="009038E9">
              <w:rPr>
                <w:rFonts w:ascii="Times New Roman" w:hAnsi="Times New Roman" w:cs="Times New Roman"/>
              </w:rPr>
              <w:t xml:space="preserve"> 50 mg</w:t>
            </w:r>
            <w:r w:rsidRPr="009038E9">
              <w:rPr>
                <w:rFonts w:ascii="Times New Roman" w:hAnsi="Times New Roman" w:cs="Times New Roman"/>
                <w:lang w:val="hr-BA"/>
              </w:rPr>
              <w:t>,</w:t>
            </w:r>
            <w:r w:rsidRPr="009038E9">
              <w:rPr>
                <w:rFonts w:ascii="Times New Roman" w:hAnsi="Times New Roman" w:cs="Times New Roman"/>
              </w:rPr>
              <w:t xml:space="preserve"> филм таблете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lang w:val="hr-BA"/>
              </w:rPr>
              <w:t>,</w:t>
            </w:r>
            <w:r w:rsidRPr="009038E9">
              <w:rPr>
                <w:rFonts w:ascii="Times New Roman" w:hAnsi="Times New Roman" w:cs="Times New Roman"/>
              </w:rPr>
              <w:t xml:space="preserve"> 100 mg</w:t>
            </w:r>
            <w:r w:rsidRPr="009038E9">
              <w:rPr>
                <w:rFonts w:ascii="Times New Roman" w:hAnsi="Times New Roman" w:cs="Times New Roman"/>
                <w:lang w:val="hr-BA"/>
              </w:rPr>
              <w:t>,</w:t>
            </w:r>
            <w:r w:rsidRPr="009038E9">
              <w:rPr>
                <w:rFonts w:ascii="Times New Roman" w:hAnsi="Times New Roman" w:cs="Times New Roman"/>
              </w:rPr>
              <w:t xml:space="preserve"> филм таблете</w:t>
            </w:r>
          </w:p>
          <w:p w:rsidR="009038E9" w:rsidRPr="009038E9" w:rsidRDefault="009038E9" w:rsidP="009038E9">
            <w:pPr>
              <w:pStyle w:val="Header"/>
              <w:tabs>
                <w:tab w:val="left" w:pos="284"/>
              </w:tabs>
              <w:jc w:val="both"/>
              <w:rPr>
                <w:rFonts w:ascii="Times New Roman" w:hAnsi="Times New Roman" w:cs="Times New Roman"/>
                <w:noProof/>
                <w:lang w:val="sr-Latn-ME"/>
              </w:rPr>
            </w:pPr>
          </w:p>
        </w:tc>
      </w:tr>
      <w:tr w:rsidR="009038E9" w:rsidRPr="009038E9" w:rsidTr="003555B8">
        <w:trPr>
          <w:trHeight w:val="338"/>
        </w:trPr>
        <w:tc>
          <w:tcPr>
            <w:tcW w:w="828" w:type="dxa"/>
          </w:tcPr>
          <w:p w:rsidR="009038E9" w:rsidRPr="009038E9" w:rsidRDefault="009038E9" w:rsidP="009038E9">
            <w:pPr>
              <w:pStyle w:val="Header"/>
              <w:tabs>
                <w:tab w:val="left" w:pos="284"/>
              </w:tabs>
              <w:jc w:val="both"/>
              <w:rPr>
                <w:rFonts w:ascii="Times New Roman" w:hAnsi="Times New Roman" w:cs="Times New Roman"/>
                <w:noProof/>
                <w:lang w:val="sr-Latn-ME"/>
              </w:rPr>
            </w:pPr>
            <w:r w:rsidRPr="009038E9">
              <w:rPr>
                <w:rFonts w:ascii="Times New Roman" w:hAnsi="Times New Roman" w:cs="Times New Roman"/>
                <w:noProof/>
                <w:lang w:val="sr-Latn-ME"/>
              </w:rPr>
              <w:t>ИНН:</w:t>
            </w:r>
          </w:p>
        </w:tc>
        <w:tc>
          <w:tcPr>
            <w:tcW w:w="9203" w:type="dxa"/>
            <w:gridSpan w:val="3"/>
            <w:vAlign w:val="center"/>
          </w:tcPr>
          <w:p w:rsidR="009038E9" w:rsidRPr="009038E9" w:rsidRDefault="009038E9" w:rsidP="009038E9">
            <w:pPr>
              <w:pStyle w:val="Header"/>
              <w:tabs>
                <w:tab w:val="left" w:pos="284"/>
              </w:tabs>
              <w:jc w:val="both"/>
              <w:rPr>
                <w:rFonts w:ascii="Times New Roman" w:hAnsi="Times New Roman" w:cs="Times New Roman"/>
                <w:noProof/>
                <w:lang w:val="sr-Latn-ME"/>
              </w:rPr>
            </w:pPr>
            <w:r w:rsidRPr="009038E9">
              <w:rPr>
                <w:rFonts w:ascii="Times New Roman" w:hAnsi="Times New Roman" w:cs="Times New Roman"/>
                <w:noProof/>
                <w:lang w:val="mk-MK"/>
              </w:rPr>
              <w:t>метопролол</w:t>
            </w:r>
            <w:r w:rsidRPr="009038E9">
              <w:rPr>
                <w:rFonts w:ascii="Times New Roman" w:hAnsi="Times New Roman" w:cs="Times New Roman"/>
                <w:noProof/>
                <w:lang w:val="sr-Latn-ME"/>
              </w:rPr>
              <w:t xml:space="preserve"> </w:t>
            </w:r>
          </w:p>
        </w:tc>
      </w:tr>
      <w:tr w:rsidR="009038E9" w:rsidRPr="009038E9" w:rsidTr="003555B8">
        <w:tc>
          <w:tcPr>
            <w:tcW w:w="10031" w:type="dxa"/>
            <w:gridSpan w:val="4"/>
            <w:shd w:val="clear" w:color="auto" w:fill="auto"/>
            <w:vAlign w:val="center"/>
          </w:tcPr>
          <w:p w:rsidR="009038E9" w:rsidRDefault="009038E9" w:rsidP="009038E9">
            <w:pPr>
              <w:pStyle w:val="Header"/>
              <w:tabs>
                <w:tab w:val="left" w:pos="284"/>
              </w:tabs>
              <w:jc w:val="both"/>
              <w:rPr>
                <w:rFonts w:ascii="Times New Roman" w:hAnsi="Times New Roman" w:cs="Times New Roman"/>
                <w:b/>
                <w:bCs/>
                <w:noProof/>
                <w:lang w:val="sr-Latn-ME"/>
              </w:rPr>
            </w:pPr>
          </w:p>
          <w:p w:rsidR="009038E9" w:rsidRPr="009038E9" w:rsidRDefault="009038E9" w:rsidP="009038E9">
            <w:pPr>
              <w:pStyle w:val="Header"/>
              <w:tabs>
                <w:tab w:val="left" w:pos="284"/>
              </w:tabs>
              <w:jc w:val="both"/>
              <w:rPr>
                <w:rFonts w:ascii="Times New Roman" w:hAnsi="Times New Roman" w:cs="Times New Roman"/>
                <w:b/>
                <w:bCs/>
                <w:noProof/>
                <w:lang w:val="sr-Latn-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2. КВАЛИТАТИВНИ И КВАНТИТАТИВНИ САСТАВ</w:t>
            </w:r>
          </w:p>
        </w:tc>
      </w:tr>
      <w:tr w:rsidR="009038E9" w:rsidRPr="009038E9" w:rsidTr="003555B8">
        <w:trPr>
          <w:trHeight w:val="1145"/>
        </w:trPr>
        <w:tc>
          <w:tcPr>
            <w:tcW w:w="10031" w:type="dxa"/>
            <w:gridSpan w:val="4"/>
            <w:vAlign w:val="center"/>
          </w:tcPr>
          <w:p w:rsidR="009038E9" w:rsidRPr="009038E9" w:rsidRDefault="009038E9" w:rsidP="009038E9">
            <w:pPr>
              <w:autoSpaceDE w:val="0"/>
              <w:autoSpaceDN w:val="0"/>
              <w:adjustRightInd w:val="0"/>
              <w:spacing w:after="0"/>
              <w:jc w:val="both"/>
              <w:rPr>
                <w:rFonts w:ascii="Times New Roman" w:hAnsi="Times New Roman" w:cs="Times New Roman"/>
                <w:lang w:val="sr-Latn-ME"/>
              </w:rPr>
            </w:pPr>
          </w:p>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Meksena</w:t>
            </w:r>
            <w:r w:rsidRPr="009038E9">
              <w:rPr>
                <w:rFonts w:ascii="Times New Roman" w:hAnsi="Times New Roman" w:cs="Times New Roman"/>
                <w:u w:val="single"/>
                <w:vertAlign w:val="superscript"/>
              </w:rPr>
              <w:t>®</w:t>
            </w:r>
            <w:r w:rsidRPr="009038E9">
              <w:rPr>
                <w:rFonts w:ascii="Times New Roman" w:hAnsi="Times New Roman" w:cs="Times New Roman"/>
                <w:u w:val="single"/>
              </w:rPr>
              <w:t>, 50 mg, филм таблете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Једна </w:t>
            </w:r>
            <w:r w:rsidRPr="009038E9">
              <w:rPr>
                <w:rFonts w:ascii="Times New Roman" w:hAnsi="Times New Roman" w:cs="Times New Roman"/>
                <w:lang w:val="sr-Cyrl-ME"/>
              </w:rPr>
              <w:t xml:space="preserve">филм </w:t>
            </w:r>
            <w:r w:rsidRPr="009038E9">
              <w:rPr>
                <w:rFonts w:ascii="Times New Roman" w:hAnsi="Times New Roman" w:cs="Times New Roman"/>
              </w:rPr>
              <w:t>таблета садржи 50 mg метопролол тартарата.</w:t>
            </w:r>
          </w:p>
          <w:p w:rsidR="009038E9" w:rsidRPr="009038E9" w:rsidRDefault="009038E9" w:rsidP="009038E9">
            <w:pPr>
              <w:autoSpaceDE w:val="0"/>
              <w:autoSpaceDN w:val="0"/>
              <w:adjustRightInd w:val="0"/>
              <w:spacing w:after="0"/>
              <w:jc w:val="both"/>
              <w:rPr>
                <w:rFonts w:ascii="Times New Roman" w:hAnsi="Times New Roman" w:cs="Times New Roman"/>
                <w:lang w:val="mk-MK"/>
              </w:rPr>
            </w:pPr>
            <w:r w:rsidRPr="009038E9">
              <w:rPr>
                <w:rFonts w:ascii="Times New Roman" w:hAnsi="Times New Roman" w:cs="Times New Roman"/>
                <w:lang w:val="sr-Cyrl-CS"/>
              </w:rPr>
              <w:t>Помоћна супстанца</w:t>
            </w:r>
            <w:r w:rsidRPr="009038E9" w:rsidDel="00634E04">
              <w:rPr>
                <w:rFonts w:ascii="Times New Roman" w:hAnsi="Times New Roman" w:cs="Times New Roman"/>
              </w:rPr>
              <w:t xml:space="preserve"> </w:t>
            </w:r>
            <w:r w:rsidRPr="009038E9">
              <w:rPr>
                <w:rFonts w:ascii="Times New Roman" w:hAnsi="Times New Roman" w:cs="Times New Roman"/>
                <w:lang w:val="mk-MK"/>
              </w:rPr>
              <w:t>са потвр</w:t>
            </w:r>
            <w:r w:rsidRPr="009038E9">
              <w:rPr>
                <w:rFonts w:ascii="Times New Roman" w:hAnsi="Times New Roman" w:cs="Times New Roman"/>
              </w:rPr>
              <w:t xml:space="preserve">ђеним дејством: </w:t>
            </w:r>
            <w:r w:rsidRPr="009038E9">
              <w:rPr>
                <w:rFonts w:ascii="Times New Roman" w:hAnsi="Times New Roman" w:cs="Times New Roman"/>
                <w:lang w:val="mk-MK"/>
              </w:rPr>
              <w:t>натријум.</w:t>
            </w:r>
          </w:p>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Meksena</w:t>
            </w:r>
            <w:r w:rsidRPr="009038E9">
              <w:rPr>
                <w:rFonts w:ascii="Times New Roman" w:hAnsi="Times New Roman" w:cs="Times New Roman"/>
                <w:u w:val="single"/>
                <w:vertAlign w:val="superscript"/>
              </w:rPr>
              <w:t>®</w:t>
            </w:r>
            <w:r w:rsidRPr="009038E9">
              <w:rPr>
                <w:rFonts w:ascii="Times New Roman" w:hAnsi="Times New Roman" w:cs="Times New Roman"/>
                <w:u w:val="single"/>
              </w:rPr>
              <w:t>, 100 mg, филм таблете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Једна </w:t>
            </w:r>
            <w:r w:rsidRPr="009038E9">
              <w:rPr>
                <w:rFonts w:ascii="Times New Roman" w:hAnsi="Times New Roman" w:cs="Times New Roman"/>
                <w:lang w:val="sr-Cyrl-ME"/>
              </w:rPr>
              <w:t xml:space="preserve">филм </w:t>
            </w:r>
            <w:r w:rsidRPr="009038E9">
              <w:rPr>
                <w:rFonts w:ascii="Times New Roman" w:hAnsi="Times New Roman" w:cs="Times New Roman"/>
              </w:rPr>
              <w:t>таблета садржи 100 mg метопролол тартарата.</w:t>
            </w:r>
          </w:p>
          <w:p w:rsidR="009038E9" w:rsidRPr="009038E9" w:rsidRDefault="009038E9" w:rsidP="009038E9">
            <w:pPr>
              <w:spacing w:after="0"/>
              <w:jc w:val="both"/>
              <w:rPr>
                <w:rFonts w:ascii="Times New Roman" w:hAnsi="Times New Roman" w:cs="Times New Roman"/>
                <w:lang w:val="mk-MK"/>
              </w:rPr>
            </w:pPr>
            <w:r w:rsidRPr="009038E9">
              <w:rPr>
                <w:rFonts w:ascii="Times New Roman" w:hAnsi="Times New Roman" w:cs="Times New Roman"/>
                <w:lang w:val="sr-Cyrl-CS"/>
              </w:rPr>
              <w:t>Помоћна супстанца</w:t>
            </w:r>
            <w:r w:rsidRPr="009038E9" w:rsidDel="00634E04">
              <w:rPr>
                <w:rFonts w:ascii="Times New Roman" w:hAnsi="Times New Roman" w:cs="Times New Roman"/>
              </w:rPr>
              <w:t xml:space="preserve"> </w:t>
            </w:r>
            <w:r w:rsidRPr="009038E9">
              <w:rPr>
                <w:rFonts w:ascii="Times New Roman" w:hAnsi="Times New Roman" w:cs="Times New Roman"/>
                <w:lang w:val="mk-MK"/>
              </w:rPr>
              <w:t>са потвр</w:t>
            </w:r>
            <w:r w:rsidRPr="009038E9">
              <w:rPr>
                <w:rFonts w:ascii="Times New Roman" w:hAnsi="Times New Roman" w:cs="Times New Roman"/>
              </w:rPr>
              <w:t xml:space="preserve">ђеним дејством: </w:t>
            </w:r>
            <w:r w:rsidRPr="009038E9">
              <w:rPr>
                <w:rFonts w:ascii="Times New Roman" w:hAnsi="Times New Roman" w:cs="Times New Roman"/>
                <w:lang w:val="mk-MK"/>
              </w:rPr>
              <w:t>натријум.</w:t>
            </w:r>
          </w:p>
          <w:p w:rsidR="009038E9" w:rsidRPr="009038E9" w:rsidRDefault="009038E9" w:rsidP="009038E9">
            <w:pPr>
              <w:spacing w:after="0"/>
              <w:jc w:val="both"/>
              <w:rPr>
                <w:rFonts w:ascii="Times New Roman" w:hAnsi="Times New Roman" w:cs="Times New Roman"/>
                <w:lang w:val="sr-Latn-ME"/>
              </w:rPr>
            </w:pPr>
          </w:p>
          <w:p w:rsidR="009038E9" w:rsidRPr="009038E9" w:rsidRDefault="009038E9" w:rsidP="009038E9">
            <w:pPr>
              <w:autoSpaceDE w:val="0"/>
              <w:autoSpaceDN w:val="0"/>
              <w:adjustRightInd w:val="0"/>
              <w:spacing w:after="0"/>
              <w:jc w:val="both"/>
              <w:rPr>
                <w:rFonts w:ascii="Times New Roman" w:hAnsi="Times New Roman" w:cs="Times New Roman"/>
                <w:lang w:val="sr-Latn-ME"/>
              </w:rPr>
            </w:pPr>
            <w:r w:rsidRPr="009038E9">
              <w:rPr>
                <w:rFonts w:ascii="Times New Roman" w:hAnsi="Times New Roman" w:cs="Times New Roman"/>
                <w:lang w:val="sr-Latn-ME"/>
              </w:rPr>
              <w:t xml:space="preserve">За </w:t>
            </w:r>
            <w:r w:rsidRPr="009038E9">
              <w:rPr>
                <w:rFonts w:ascii="Times New Roman" w:hAnsi="Times New Roman" w:cs="Times New Roman"/>
              </w:rPr>
              <w:t>списак свих ексципијенаса</w:t>
            </w:r>
            <w:r w:rsidRPr="009038E9">
              <w:rPr>
                <w:rFonts w:ascii="Times New Roman" w:hAnsi="Times New Roman" w:cs="Times New Roman"/>
                <w:lang w:val="sr-Latn-ME"/>
              </w:rPr>
              <w:t xml:space="preserve">, </w:t>
            </w:r>
            <w:r w:rsidRPr="009038E9">
              <w:rPr>
                <w:rFonts w:ascii="Times New Roman" w:hAnsi="Times New Roman" w:cs="Times New Roman"/>
              </w:rPr>
              <w:t>погледати дио</w:t>
            </w:r>
            <w:r w:rsidRPr="009038E9">
              <w:rPr>
                <w:rFonts w:ascii="Times New Roman" w:hAnsi="Times New Roman" w:cs="Times New Roman"/>
                <w:lang w:val="sr-Latn-ME"/>
              </w:rPr>
              <w:t xml:space="preserve"> 6.1.</w:t>
            </w:r>
          </w:p>
          <w:p w:rsidR="009038E9" w:rsidRDefault="009038E9" w:rsidP="009038E9">
            <w:pPr>
              <w:spacing w:after="0"/>
              <w:jc w:val="both"/>
              <w:rPr>
                <w:rFonts w:ascii="Times New Roman" w:hAnsi="Times New Roman" w:cs="Times New Roman"/>
                <w:lang w:val="sr-Cyrl-ME"/>
              </w:rPr>
            </w:pPr>
          </w:p>
          <w:p w:rsidR="009038E9" w:rsidRPr="009038E9" w:rsidRDefault="009038E9" w:rsidP="009038E9">
            <w:pPr>
              <w:spacing w:after="0"/>
              <w:jc w:val="both"/>
              <w:rPr>
                <w:rFonts w:ascii="Times New Roman" w:hAnsi="Times New Roman" w:cs="Times New Roman"/>
                <w:lang w:val="sr-Cyrl-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3. ФАРМАЦЕУТСКИ ОБЛИК</w:t>
            </w:r>
          </w:p>
        </w:tc>
      </w:tr>
      <w:tr w:rsidR="009038E9" w:rsidRPr="009038E9" w:rsidTr="003555B8">
        <w:trPr>
          <w:trHeight w:val="1145"/>
        </w:trPr>
        <w:tc>
          <w:tcPr>
            <w:tcW w:w="10031" w:type="dxa"/>
            <w:gridSpan w:val="4"/>
            <w:vAlign w:val="center"/>
          </w:tcPr>
          <w:p w:rsidR="009038E9" w:rsidRPr="009038E9" w:rsidRDefault="009038E9" w:rsidP="009038E9">
            <w:pPr>
              <w:pStyle w:val="Header"/>
              <w:tabs>
                <w:tab w:val="left" w:pos="567"/>
              </w:tabs>
              <w:jc w:val="both"/>
              <w:rPr>
                <w:rFonts w:ascii="Times New Roman" w:hAnsi="Times New Roman" w:cs="Times New Roman"/>
                <w:noProof/>
                <w:lang w:val="sr-Latn-ME"/>
              </w:rPr>
            </w:pPr>
          </w:p>
          <w:p w:rsidR="009038E9" w:rsidRPr="009038E9" w:rsidRDefault="009038E9" w:rsidP="009038E9">
            <w:pPr>
              <w:autoSpaceDE w:val="0"/>
              <w:autoSpaceDN w:val="0"/>
              <w:adjustRightInd w:val="0"/>
              <w:spacing w:after="0"/>
              <w:jc w:val="both"/>
              <w:rPr>
                <w:rFonts w:ascii="Times New Roman" w:hAnsi="Times New Roman" w:cs="Times New Roman"/>
                <w:iCs/>
              </w:rPr>
            </w:pPr>
            <w:r w:rsidRPr="009038E9">
              <w:rPr>
                <w:rFonts w:ascii="Times New Roman" w:hAnsi="Times New Roman" w:cs="Times New Roman"/>
                <w:iCs/>
              </w:rPr>
              <w:t>Филм таблета.</w:t>
            </w:r>
          </w:p>
          <w:p w:rsidR="009038E9" w:rsidRPr="009038E9" w:rsidRDefault="009038E9" w:rsidP="009038E9">
            <w:pPr>
              <w:autoSpaceDE w:val="0"/>
              <w:autoSpaceDN w:val="0"/>
              <w:adjustRightInd w:val="0"/>
              <w:spacing w:after="0"/>
              <w:jc w:val="both"/>
              <w:rPr>
                <w:rFonts w:ascii="Times New Roman" w:hAnsi="Times New Roman" w:cs="Times New Roman"/>
                <w:u w:val="single"/>
                <w:lang w:val="mk-MK"/>
              </w:rPr>
            </w:pPr>
          </w:p>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Meksena</w:t>
            </w:r>
            <w:r w:rsidRPr="009038E9">
              <w:rPr>
                <w:rFonts w:ascii="Times New Roman" w:hAnsi="Times New Roman" w:cs="Times New Roman"/>
                <w:u w:val="single"/>
                <w:vertAlign w:val="superscript"/>
              </w:rPr>
              <w:t>®</w:t>
            </w:r>
            <w:r w:rsidRPr="009038E9">
              <w:rPr>
                <w:rFonts w:ascii="Times New Roman" w:hAnsi="Times New Roman" w:cs="Times New Roman"/>
                <w:u w:val="single"/>
              </w:rPr>
              <w:t>, 50 mg, филм таблете</w:t>
            </w:r>
          </w:p>
          <w:p w:rsidR="009038E9" w:rsidRPr="009038E9" w:rsidRDefault="009038E9" w:rsidP="009038E9">
            <w:pPr>
              <w:autoSpaceDE w:val="0"/>
              <w:autoSpaceDN w:val="0"/>
              <w:adjustRightInd w:val="0"/>
              <w:spacing w:after="0"/>
              <w:jc w:val="both"/>
              <w:rPr>
                <w:rFonts w:ascii="Times New Roman" w:hAnsi="Times New Roman" w:cs="Times New Roman"/>
                <w:iCs/>
              </w:rPr>
            </w:pPr>
            <w:r w:rsidRPr="009038E9">
              <w:rPr>
                <w:rFonts w:ascii="Times New Roman" w:hAnsi="Times New Roman" w:cs="Times New Roman"/>
                <w:iCs/>
                <w:lang w:val="mk-MK"/>
              </w:rPr>
              <w:t>Н</w:t>
            </w:r>
            <w:r w:rsidRPr="009038E9">
              <w:rPr>
                <w:rFonts w:ascii="Times New Roman" w:hAnsi="Times New Roman" w:cs="Times New Roman"/>
                <w:iCs/>
              </w:rPr>
              <w:t>аранџастe</w:t>
            </w:r>
            <w:r w:rsidRPr="009038E9">
              <w:rPr>
                <w:rFonts w:ascii="Times New Roman" w:hAnsi="Times New Roman" w:cs="Times New Roman"/>
                <w:iCs/>
                <w:lang w:val="mk-MK"/>
              </w:rPr>
              <w:t>,</w:t>
            </w:r>
            <w:r w:rsidRPr="009038E9">
              <w:rPr>
                <w:rFonts w:ascii="Times New Roman" w:hAnsi="Times New Roman" w:cs="Times New Roman"/>
                <w:iCs/>
              </w:rPr>
              <w:t xml:space="preserve"> округле, филм таблете, са утиснутим </w:t>
            </w:r>
            <w:r w:rsidRPr="009038E9">
              <w:rPr>
                <w:rFonts w:ascii="Times New Roman" w:hAnsi="Times New Roman" w:cs="Times New Roman"/>
                <w:iCs/>
                <w:lang w:val="mk-MK"/>
              </w:rPr>
              <w:t>„</w:t>
            </w:r>
            <w:r w:rsidRPr="009038E9">
              <w:rPr>
                <w:rFonts w:ascii="Times New Roman" w:hAnsi="Times New Roman" w:cs="Times New Roman"/>
                <w:iCs/>
              </w:rPr>
              <w:t xml:space="preserve">C </w:t>
            </w:r>
            <w:r w:rsidRPr="009038E9">
              <w:rPr>
                <w:rFonts w:ascii="Times New Roman" w:hAnsi="Times New Roman" w:cs="Times New Roman"/>
                <w:iCs/>
                <w:lang w:val="mk-MK"/>
              </w:rPr>
              <w:t>изнад</w:t>
            </w:r>
            <w:r w:rsidRPr="009038E9">
              <w:rPr>
                <w:rFonts w:ascii="Times New Roman" w:hAnsi="Times New Roman" w:cs="Times New Roman"/>
                <w:iCs/>
              </w:rPr>
              <w:t xml:space="preserve"> 74</w:t>
            </w:r>
            <w:r w:rsidRPr="009038E9">
              <w:rPr>
                <w:rFonts w:ascii="Times New Roman" w:hAnsi="Times New Roman" w:cs="Times New Roman"/>
                <w:iCs/>
                <w:lang w:val="mk-MK"/>
              </w:rPr>
              <w:t>“</w:t>
            </w:r>
            <w:r w:rsidRPr="009038E9">
              <w:rPr>
                <w:rFonts w:ascii="Times New Roman" w:hAnsi="Times New Roman" w:cs="Times New Roman"/>
                <w:iCs/>
              </w:rPr>
              <w:t xml:space="preserve"> са једне стране и дубоком </w:t>
            </w:r>
            <w:r w:rsidRPr="009038E9">
              <w:rPr>
                <w:rFonts w:ascii="Times New Roman" w:hAnsi="Times New Roman" w:cs="Times New Roman"/>
              </w:rPr>
              <w:t xml:space="preserve">подионом цртом </w:t>
            </w:r>
            <w:r w:rsidRPr="009038E9">
              <w:rPr>
                <w:rFonts w:ascii="Times New Roman" w:hAnsi="Times New Roman" w:cs="Times New Roman"/>
                <w:iCs/>
              </w:rPr>
              <w:t>са друге стране.</w:t>
            </w:r>
          </w:p>
          <w:p w:rsidR="009038E9" w:rsidRPr="009038E9" w:rsidRDefault="009038E9" w:rsidP="009038E9">
            <w:pPr>
              <w:autoSpaceDE w:val="0"/>
              <w:autoSpaceDN w:val="0"/>
              <w:adjustRightInd w:val="0"/>
              <w:spacing w:after="0"/>
              <w:jc w:val="both"/>
              <w:rPr>
                <w:rFonts w:ascii="Times New Roman" w:hAnsi="Times New Roman" w:cs="Times New Roman"/>
                <w:iCs/>
              </w:rPr>
            </w:pPr>
          </w:p>
          <w:p w:rsidR="009038E9" w:rsidRPr="009038E9" w:rsidRDefault="009038E9" w:rsidP="009038E9">
            <w:pPr>
              <w:tabs>
                <w:tab w:val="left" w:pos="567"/>
              </w:tabs>
              <w:spacing w:after="0"/>
              <w:jc w:val="both"/>
              <w:rPr>
                <w:rFonts w:ascii="Times New Roman" w:hAnsi="Times New Roman" w:cs="Times New Roman"/>
              </w:rPr>
            </w:pPr>
            <w:r w:rsidRPr="009038E9">
              <w:rPr>
                <w:rFonts w:ascii="Times New Roman" w:hAnsi="Times New Roman" w:cs="Times New Roman"/>
              </w:rPr>
              <w:t>Таблета се може подијелити на једнаке дозе.</w:t>
            </w:r>
          </w:p>
          <w:p w:rsidR="009038E9" w:rsidRPr="009038E9" w:rsidRDefault="009038E9" w:rsidP="009038E9">
            <w:pPr>
              <w:autoSpaceDE w:val="0"/>
              <w:autoSpaceDN w:val="0"/>
              <w:adjustRightInd w:val="0"/>
              <w:spacing w:after="0"/>
              <w:jc w:val="both"/>
              <w:rPr>
                <w:rFonts w:ascii="Times New Roman" w:hAnsi="Times New Roman" w:cs="Times New Roman"/>
                <w:u w:val="single"/>
                <w:lang w:val="mk-MK"/>
              </w:rPr>
            </w:pPr>
          </w:p>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Meksena</w:t>
            </w:r>
            <w:r w:rsidRPr="009038E9">
              <w:rPr>
                <w:rFonts w:ascii="Times New Roman" w:hAnsi="Times New Roman" w:cs="Times New Roman"/>
                <w:u w:val="single"/>
                <w:vertAlign w:val="superscript"/>
              </w:rPr>
              <w:t>®</w:t>
            </w:r>
            <w:r w:rsidRPr="009038E9">
              <w:rPr>
                <w:rFonts w:ascii="Times New Roman" w:hAnsi="Times New Roman" w:cs="Times New Roman"/>
                <w:u w:val="single"/>
                <w:lang w:val="mk-MK"/>
              </w:rPr>
              <w:t>,</w:t>
            </w:r>
            <w:r w:rsidRPr="009038E9">
              <w:rPr>
                <w:rFonts w:ascii="Times New Roman" w:hAnsi="Times New Roman" w:cs="Times New Roman"/>
                <w:u w:val="single"/>
              </w:rPr>
              <w:t xml:space="preserve"> 100 mg</w:t>
            </w:r>
            <w:r w:rsidRPr="009038E9">
              <w:rPr>
                <w:rFonts w:ascii="Times New Roman" w:hAnsi="Times New Roman" w:cs="Times New Roman"/>
                <w:u w:val="single"/>
                <w:lang w:val="mk-MK"/>
              </w:rPr>
              <w:t>,</w:t>
            </w:r>
            <w:r w:rsidRPr="009038E9">
              <w:rPr>
                <w:rFonts w:ascii="Times New Roman" w:hAnsi="Times New Roman" w:cs="Times New Roman"/>
                <w:u w:val="single"/>
              </w:rPr>
              <w:t xml:space="preserve"> филм таблете</w:t>
            </w:r>
          </w:p>
          <w:p w:rsidR="009038E9" w:rsidRPr="009038E9" w:rsidRDefault="009038E9" w:rsidP="009038E9">
            <w:pPr>
              <w:autoSpaceDE w:val="0"/>
              <w:autoSpaceDN w:val="0"/>
              <w:adjustRightInd w:val="0"/>
              <w:spacing w:after="0"/>
              <w:jc w:val="both"/>
              <w:rPr>
                <w:rFonts w:ascii="Times New Roman" w:hAnsi="Times New Roman" w:cs="Times New Roman"/>
                <w:iCs/>
              </w:rPr>
            </w:pPr>
            <w:r w:rsidRPr="009038E9">
              <w:rPr>
                <w:rFonts w:ascii="Times New Roman" w:hAnsi="Times New Roman" w:cs="Times New Roman"/>
                <w:iCs/>
              </w:rPr>
              <w:t>Св</w:t>
            </w:r>
            <w:r w:rsidRPr="009038E9">
              <w:rPr>
                <w:rFonts w:ascii="Times New Roman" w:hAnsi="Times New Roman" w:cs="Times New Roman"/>
                <w:iCs/>
                <w:lang w:val="sr-Latn-RS"/>
              </w:rPr>
              <w:t>иј</w:t>
            </w:r>
            <w:r w:rsidRPr="009038E9">
              <w:rPr>
                <w:rFonts w:ascii="Times New Roman" w:hAnsi="Times New Roman" w:cs="Times New Roman"/>
                <w:iCs/>
              </w:rPr>
              <w:t xml:space="preserve">етло плаве,  округле, филм таблете, са утиснутим </w:t>
            </w:r>
            <w:r w:rsidRPr="009038E9">
              <w:rPr>
                <w:rFonts w:ascii="Times New Roman" w:hAnsi="Times New Roman" w:cs="Times New Roman"/>
                <w:iCs/>
                <w:lang w:val="mk-MK"/>
              </w:rPr>
              <w:t>„</w:t>
            </w:r>
            <w:r w:rsidRPr="009038E9">
              <w:rPr>
                <w:rFonts w:ascii="Times New Roman" w:hAnsi="Times New Roman" w:cs="Times New Roman"/>
                <w:iCs/>
              </w:rPr>
              <w:t xml:space="preserve">C </w:t>
            </w:r>
            <w:r w:rsidRPr="009038E9">
              <w:rPr>
                <w:rFonts w:ascii="Times New Roman" w:hAnsi="Times New Roman" w:cs="Times New Roman"/>
                <w:iCs/>
                <w:lang w:val="mk-MK"/>
              </w:rPr>
              <w:t>изнад</w:t>
            </w:r>
            <w:r w:rsidRPr="009038E9">
              <w:rPr>
                <w:rFonts w:ascii="Times New Roman" w:hAnsi="Times New Roman" w:cs="Times New Roman"/>
                <w:iCs/>
              </w:rPr>
              <w:t xml:space="preserve"> 75</w:t>
            </w:r>
            <w:r w:rsidRPr="009038E9">
              <w:rPr>
                <w:rFonts w:ascii="Times New Roman" w:hAnsi="Times New Roman" w:cs="Times New Roman"/>
                <w:iCs/>
                <w:lang w:val="mk-MK"/>
              </w:rPr>
              <w:t>“</w:t>
            </w:r>
            <w:r w:rsidRPr="009038E9">
              <w:rPr>
                <w:rFonts w:ascii="Times New Roman" w:hAnsi="Times New Roman" w:cs="Times New Roman"/>
                <w:iCs/>
              </w:rPr>
              <w:t xml:space="preserve"> са једне стране и дубоком </w:t>
            </w:r>
            <w:r w:rsidRPr="009038E9">
              <w:rPr>
                <w:rFonts w:ascii="Times New Roman" w:hAnsi="Times New Roman" w:cs="Times New Roman"/>
              </w:rPr>
              <w:t xml:space="preserve">подионом цртом </w:t>
            </w:r>
            <w:r w:rsidRPr="009038E9">
              <w:rPr>
                <w:rFonts w:ascii="Times New Roman" w:hAnsi="Times New Roman" w:cs="Times New Roman"/>
                <w:iCs/>
              </w:rPr>
              <w:t>са друге стране.</w:t>
            </w:r>
          </w:p>
          <w:p w:rsidR="009038E9" w:rsidRPr="009038E9" w:rsidRDefault="009038E9" w:rsidP="009038E9">
            <w:pPr>
              <w:autoSpaceDE w:val="0"/>
              <w:autoSpaceDN w:val="0"/>
              <w:adjustRightInd w:val="0"/>
              <w:spacing w:after="0"/>
              <w:jc w:val="both"/>
              <w:rPr>
                <w:rFonts w:ascii="Times New Roman" w:hAnsi="Times New Roman" w:cs="Times New Roman"/>
                <w:iCs/>
              </w:rPr>
            </w:pPr>
          </w:p>
          <w:p w:rsidR="009038E9" w:rsidRPr="009038E9" w:rsidRDefault="009038E9" w:rsidP="009038E9">
            <w:pPr>
              <w:tabs>
                <w:tab w:val="left" w:pos="567"/>
              </w:tabs>
              <w:spacing w:after="0"/>
              <w:jc w:val="both"/>
              <w:rPr>
                <w:rFonts w:ascii="Times New Roman" w:hAnsi="Times New Roman" w:cs="Times New Roman"/>
              </w:rPr>
            </w:pPr>
            <w:r w:rsidRPr="009038E9">
              <w:rPr>
                <w:rFonts w:ascii="Times New Roman" w:hAnsi="Times New Roman" w:cs="Times New Roman"/>
              </w:rPr>
              <w:t>Таблета се може подијелити на једнаке дозе.</w:t>
            </w:r>
          </w:p>
          <w:p w:rsidR="009038E9" w:rsidRDefault="009038E9" w:rsidP="009038E9">
            <w:pPr>
              <w:spacing w:after="0"/>
              <w:jc w:val="both"/>
              <w:rPr>
                <w:rFonts w:ascii="Times New Roman" w:hAnsi="Times New Roman" w:cs="Times New Roman"/>
                <w:lang w:val="sr-Latn-ME"/>
              </w:rPr>
            </w:pPr>
          </w:p>
          <w:p w:rsidR="009038E9" w:rsidRDefault="009038E9" w:rsidP="009038E9">
            <w:pPr>
              <w:spacing w:after="0"/>
              <w:jc w:val="both"/>
              <w:rPr>
                <w:rFonts w:ascii="Times New Roman" w:hAnsi="Times New Roman" w:cs="Times New Roman"/>
                <w:lang w:val="sr-Latn-ME"/>
              </w:rPr>
            </w:pPr>
          </w:p>
          <w:p w:rsidR="009038E9" w:rsidRDefault="009038E9" w:rsidP="009038E9">
            <w:pPr>
              <w:spacing w:after="0"/>
              <w:jc w:val="both"/>
              <w:rPr>
                <w:rFonts w:ascii="Times New Roman" w:hAnsi="Times New Roman" w:cs="Times New Roman"/>
                <w:lang w:val="sr-Latn-ME"/>
              </w:rPr>
            </w:pPr>
          </w:p>
          <w:p w:rsidR="009038E9" w:rsidRPr="009038E9" w:rsidRDefault="009038E9" w:rsidP="009038E9">
            <w:pPr>
              <w:spacing w:after="0"/>
              <w:jc w:val="both"/>
              <w:rPr>
                <w:rFonts w:ascii="Times New Roman" w:hAnsi="Times New Roman" w:cs="Times New Roman"/>
                <w:lang w:val="sr-Latn-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4. КЛИНИЧКИ ПОДАЦИ</w:t>
            </w:r>
          </w:p>
        </w:tc>
      </w:tr>
      <w:tr w:rsidR="009038E9" w:rsidRPr="009038E9" w:rsidTr="003555B8">
        <w:tc>
          <w:tcPr>
            <w:tcW w:w="10031" w:type="dxa"/>
            <w:gridSpan w:val="4"/>
            <w:vAlign w:val="center"/>
          </w:tcPr>
          <w:p w:rsidR="009038E9" w:rsidRDefault="009038E9" w:rsidP="009038E9">
            <w:pPr>
              <w:pStyle w:val="Header"/>
              <w:tabs>
                <w:tab w:val="left" w:pos="284"/>
              </w:tabs>
              <w:jc w:val="both"/>
              <w:rPr>
                <w:rFonts w:ascii="Times New Roman" w:hAnsi="Times New Roman" w:cs="Times New Roman"/>
                <w:b/>
                <w:bCs/>
                <w:noProof/>
                <w:lang w:val="sr-Latn-ME"/>
              </w:rPr>
            </w:pPr>
          </w:p>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4.1. Терапијске индикације</w:t>
            </w: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noProof/>
                <w:lang w:val="sr-Latn-ME"/>
              </w:rPr>
            </w:pPr>
          </w:p>
          <w:p w:rsidR="009038E9" w:rsidRPr="009038E9" w:rsidRDefault="009038E9" w:rsidP="009038E9">
            <w:pPr>
              <w:pStyle w:val="ListParagraph"/>
              <w:autoSpaceDE w:val="0"/>
              <w:autoSpaceDN w:val="0"/>
              <w:adjustRightInd w:val="0"/>
              <w:ind w:left="0"/>
              <w:rPr>
                <w:szCs w:val="22"/>
              </w:rPr>
            </w:pPr>
            <w:r w:rsidRPr="009038E9">
              <w:rPr>
                <w:szCs w:val="22"/>
                <w:lang w:val="sr-Cyrl-RS"/>
              </w:rPr>
              <w:t xml:space="preserve">- </w:t>
            </w:r>
            <w:r w:rsidRPr="009038E9">
              <w:rPr>
                <w:szCs w:val="22"/>
                <w:lang w:val="sr-Cyrl-ME"/>
              </w:rPr>
              <w:t>Х</w:t>
            </w:r>
            <w:r w:rsidRPr="009038E9">
              <w:rPr>
                <w:szCs w:val="22"/>
                <w:lang w:val="sr-Cyrl-RS"/>
              </w:rPr>
              <w:t>ипертензија</w:t>
            </w:r>
            <w:r w:rsidRPr="009038E9">
              <w:rPr>
                <w:szCs w:val="22"/>
              </w:rPr>
              <w:t>.</w:t>
            </w:r>
          </w:p>
          <w:p w:rsidR="009038E9" w:rsidRPr="009038E9" w:rsidRDefault="009038E9" w:rsidP="009038E9">
            <w:pPr>
              <w:pStyle w:val="ListParagraph"/>
              <w:autoSpaceDE w:val="0"/>
              <w:autoSpaceDN w:val="0"/>
              <w:adjustRightInd w:val="0"/>
              <w:ind w:left="0"/>
              <w:rPr>
                <w:szCs w:val="22"/>
              </w:rPr>
            </w:pPr>
            <w:r w:rsidRPr="009038E9">
              <w:rPr>
                <w:szCs w:val="22"/>
                <w:lang w:val="sr-Cyrl-RS"/>
              </w:rPr>
              <w:t>- Ангина пекторис</w:t>
            </w:r>
            <w:r w:rsidRPr="009038E9">
              <w:rPr>
                <w:szCs w:val="22"/>
              </w:rPr>
              <w:t>.</w:t>
            </w:r>
          </w:p>
          <w:p w:rsidR="009038E9" w:rsidRPr="009038E9" w:rsidRDefault="009038E9" w:rsidP="009038E9">
            <w:pPr>
              <w:pStyle w:val="ListParagraph"/>
              <w:autoSpaceDE w:val="0"/>
              <w:autoSpaceDN w:val="0"/>
              <w:adjustRightInd w:val="0"/>
              <w:ind w:left="0"/>
              <w:rPr>
                <w:szCs w:val="22"/>
              </w:rPr>
            </w:pPr>
            <w:r w:rsidRPr="009038E9">
              <w:rPr>
                <w:szCs w:val="22"/>
                <w:lang w:val="sr-Cyrl-RS"/>
              </w:rPr>
              <w:t>- Срчана тахиаритмија</w:t>
            </w:r>
            <w:r w:rsidRPr="009038E9">
              <w:rPr>
                <w:szCs w:val="22"/>
                <w:lang w:val="sr-Cyrl-ME"/>
              </w:rPr>
              <w:t>, посебно суправентрикуларна тахикардија</w:t>
            </w:r>
            <w:r w:rsidRPr="009038E9">
              <w:rPr>
                <w:szCs w:val="22"/>
              </w:rPr>
              <w:t>.</w:t>
            </w:r>
          </w:p>
          <w:p w:rsidR="009038E9" w:rsidRPr="009038E9" w:rsidRDefault="009038E9" w:rsidP="009038E9">
            <w:pPr>
              <w:pStyle w:val="ListParagraph"/>
              <w:autoSpaceDE w:val="0"/>
              <w:autoSpaceDN w:val="0"/>
              <w:adjustRightInd w:val="0"/>
              <w:ind w:left="0"/>
              <w:rPr>
                <w:szCs w:val="22"/>
              </w:rPr>
            </w:pPr>
            <w:r w:rsidRPr="009038E9">
              <w:rPr>
                <w:szCs w:val="22"/>
                <w:lang w:val="sr-Cyrl-RS"/>
              </w:rPr>
              <w:t xml:space="preserve">- </w:t>
            </w:r>
            <w:r w:rsidRPr="009038E9">
              <w:rPr>
                <w:szCs w:val="22"/>
                <w:lang w:val="sr-Cyrl-ME"/>
              </w:rPr>
              <w:t>Превенција срчане смрти и реинфаркта</w:t>
            </w:r>
            <w:r w:rsidRPr="009038E9">
              <w:rPr>
                <w:szCs w:val="22"/>
              </w:rPr>
              <w:t xml:space="preserve"> </w:t>
            </w:r>
            <w:r w:rsidRPr="009038E9">
              <w:rPr>
                <w:szCs w:val="22"/>
                <w:lang w:val="sr-Cyrl-RS"/>
              </w:rPr>
              <w:t>након акутне фазе инфаркта миокарда</w:t>
            </w:r>
            <w:r w:rsidRPr="009038E9">
              <w:rPr>
                <w:szCs w:val="22"/>
              </w:rPr>
              <w:t>.</w:t>
            </w:r>
          </w:p>
          <w:p w:rsidR="009038E9" w:rsidRPr="009038E9" w:rsidRDefault="009038E9" w:rsidP="009038E9">
            <w:pPr>
              <w:pStyle w:val="ListParagraph"/>
              <w:autoSpaceDE w:val="0"/>
              <w:autoSpaceDN w:val="0"/>
              <w:adjustRightInd w:val="0"/>
              <w:ind w:left="0"/>
              <w:rPr>
                <w:szCs w:val="22"/>
              </w:rPr>
            </w:pPr>
            <w:r w:rsidRPr="009038E9">
              <w:rPr>
                <w:szCs w:val="22"/>
                <w:lang w:val="sr-Cyrl-RS"/>
              </w:rPr>
              <w:t>- Превенција мигрене</w:t>
            </w:r>
            <w:r w:rsidRPr="009038E9">
              <w:rPr>
                <w:szCs w:val="22"/>
              </w:rPr>
              <w:t>.</w:t>
            </w:r>
          </w:p>
          <w:p w:rsidR="009038E9" w:rsidRPr="009038E9" w:rsidRDefault="009038E9" w:rsidP="009038E9">
            <w:pPr>
              <w:pStyle w:val="ListParagraph"/>
              <w:autoSpaceDE w:val="0"/>
              <w:autoSpaceDN w:val="0"/>
              <w:adjustRightInd w:val="0"/>
              <w:ind w:left="0"/>
              <w:rPr>
                <w:szCs w:val="22"/>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lang w:val="mk-MK"/>
              </w:rPr>
              <w:t xml:space="preserve">Лијек </w:t>
            </w: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rPr>
              <w:t xml:space="preserve"> је индикован за примјену код одраслих.</w:t>
            </w:r>
          </w:p>
          <w:p w:rsidR="009038E9" w:rsidRPr="009038E9" w:rsidRDefault="009038E9" w:rsidP="009038E9">
            <w:pPr>
              <w:pStyle w:val="Header"/>
              <w:tabs>
                <w:tab w:val="left" w:pos="284"/>
              </w:tabs>
              <w:jc w:val="both"/>
              <w:rPr>
                <w:rFonts w:ascii="Times New Roman" w:hAnsi="Times New Roman" w:cs="Times New Roman"/>
                <w:b/>
                <w:bCs/>
                <w:noProof/>
              </w:rPr>
            </w:pPr>
          </w:p>
        </w:tc>
      </w:tr>
      <w:tr w:rsidR="009038E9" w:rsidRPr="009038E9" w:rsidTr="003555B8">
        <w:trPr>
          <w:trHeight w:val="410"/>
        </w:trPr>
        <w:tc>
          <w:tcPr>
            <w:tcW w:w="10031" w:type="dxa"/>
            <w:gridSpan w:val="4"/>
            <w:vAlign w:val="center"/>
          </w:tcPr>
          <w:p w:rsidR="009038E9" w:rsidRPr="009038E9" w:rsidRDefault="009038E9" w:rsidP="009038E9">
            <w:pPr>
              <w:numPr>
                <w:ilvl w:val="12"/>
                <w:numId w:val="0"/>
              </w:numPr>
              <w:spacing w:after="0"/>
              <w:jc w:val="both"/>
              <w:rPr>
                <w:rFonts w:ascii="Times New Roman" w:hAnsi="Times New Roman" w:cs="Times New Roman"/>
                <w:lang w:val="sr-Latn-ME"/>
              </w:rPr>
            </w:pPr>
            <w:r w:rsidRPr="009038E9">
              <w:rPr>
                <w:rFonts w:ascii="Times New Roman" w:hAnsi="Times New Roman" w:cs="Times New Roman"/>
                <w:b/>
                <w:bCs/>
                <w:lang w:val="sr-Latn-ME"/>
              </w:rPr>
              <w:t>4.2. Дозирање и начин примјене</w:t>
            </w:r>
          </w:p>
        </w:tc>
      </w:tr>
      <w:tr w:rsidR="009038E9" w:rsidRPr="009038E9" w:rsidTr="003555B8">
        <w:trPr>
          <w:trHeight w:val="1145"/>
        </w:trPr>
        <w:tc>
          <w:tcPr>
            <w:tcW w:w="10031" w:type="dxa"/>
            <w:gridSpan w:val="4"/>
            <w:vAlign w:val="center"/>
          </w:tcPr>
          <w:p w:rsidR="009038E9" w:rsidRPr="009038E9" w:rsidRDefault="009038E9" w:rsidP="009038E9">
            <w:pPr>
              <w:numPr>
                <w:ilvl w:val="12"/>
                <w:numId w:val="0"/>
              </w:numPr>
              <w:spacing w:after="0"/>
              <w:jc w:val="both"/>
              <w:rPr>
                <w:rFonts w:ascii="Times New Roman" w:hAnsi="Times New Roman" w:cs="Times New Roman"/>
                <w:lang w:val="sr-Latn-ME"/>
              </w:rPr>
            </w:pPr>
          </w:p>
          <w:p w:rsidR="009038E9" w:rsidRPr="009038E9" w:rsidRDefault="009038E9" w:rsidP="009038E9">
            <w:pPr>
              <w:autoSpaceDE w:val="0"/>
              <w:autoSpaceDN w:val="0"/>
              <w:adjustRightInd w:val="0"/>
              <w:spacing w:after="0"/>
              <w:jc w:val="both"/>
              <w:rPr>
                <w:rFonts w:ascii="Times New Roman" w:hAnsi="Times New Roman" w:cs="Times New Roman"/>
                <w:u w:val="single"/>
                <w:lang w:val="sr-Cyrl-ME"/>
              </w:rPr>
            </w:pPr>
            <w:r w:rsidRPr="009038E9">
              <w:rPr>
                <w:rFonts w:ascii="Times New Roman" w:hAnsi="Times New Roman" w:cs="Times New Roman"/>
                <w:u w:val="single"/>
                <w:lang w:val="sr-Cyrl-ME"/>
              </w:rPr>
              <w:t>Дозирање</w:t>
            </w:r>
          </w:p>
          <w:p w:rsidR="009038E9" w:rsidRPr="009038E9" w:rsidRDefault="009038E9" w:rsidP="009038E9">
            <w:pPr>
              <w:autoSpaceDE w:val="0"/>
              <w:autoSpaceDN w:val="0"/>
              <w:adjustRightInd w:val="0"/>
              <w:spacing w:after="0"/>
              <w:jc w:val="both"/>
              <w:rPr>
                <w:rFonts w:ascii="Times New Roman" w:hAnsi="Times New Roman" w:cs="Times New Roman"/>
                <w:lang w:val="sr-Cyrl-ME"/>
              </w:rPr>
            </w:pPr>
            <w:r w:rsidRPr="009038E9">
              <w:rPr>
                <w:rFonts w:ascii="Times New Roman" w:hAnsi="Times New Roman" w:cs="Times New Roman"/>
                <w:lang w:val="sr-Cyrl-ME"/>
              </w:rPr>
              <w:t>Дозу увијек треба прилагодити индивидуалним потребама пацијента, али не би требало да прелази 400 mg/дан у складу са сљедећим водичем:</w:t>
            </w:r>
          </w:p>
          <w:p w:rsidR="009038E9" w:rsidRPr="009038E9" w:rsidRDefault="009038E9" w:rsidP="009038E9">
            <w:pPr>
              <w:autoSpaceDE w:val="0"/>
              <w:autoSpaceDN w:val="0"/>
              <w:adjustRightInd w:val="0"/>
              <w:spacing w:after="0"/>
              <w:jc w:val="both"/>
              <w:rPr>
                <w:rFonts w:ascii="Times New Roman" w:hAnsi="Times New Roman" w:cs="Times New Roman"/>
                <w:lang w:val="sr-Cyrl-ME"/>
              </w:rPr>
            </w:pPr>
            <w:r w:rsidRPr="009038E9">
              <w:rPr>
                <w:rFonts w:ascii="Times New Roman" w:hAnsi="Times New Roman" w:cs="Times New Roman"/>
                <w:lang w:val="sr-Cyrl-ME"/>
              </w:rPr>
              <w:t xml:space="preserve"> </w:t>
            </w:r>
          </w:p>
          <w:p w:rsidR="009038E9" w:rsidRPr="009038E9" w:rsidRDefault="009038E9" w:rsidP="009038E9">
            <w:pPr>
              <w:spacing w:after="0"/>
              <w:jc w:val="both"/>
              <w:rPr>
                <w:rFonts w:ascii="Times New Roman" w:hAnsi="Times New Roman" w:cs="Times New Roman"/>
                <w:b/>
                <w:i/>
              </w:rPr>
            </w:pPr>
            <w:r w:rsidRPr="009038E9">
              <w:rPr>
                <w:rFonts w:ascii="Times New Roman" w:hAnsi="Times New Roman" w:cs="Times New Roman"/>
                <w:i/>
                <w:lang w:val="sr-Cyrl-ME"/>
              </w:rPr>
              <w:t>Одрасли:</w:t>
            </w: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Хипертензија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Почетна доза је 100 mg дневно. Ако је потребно, овa доза се може повећати до 200 mg дневно у појединачној или подијељеним дозама. </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Такође, може се размотрити комбинована терапија са другим антихипертензивним лијеком за додатно смањење крвног притиска.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Ангина пекторис</w:t>
            </w: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rPr>
              <w:t>Препоручена доза је 50 до 100 mg, два пута дневно. Доза се може додатно повећати или комбиновати са нитратима.</w:t>
            </w:r>
          </w:p>
          <w:p w:rsidR="009038E9" w:rsidRPr="009038E9" w:rsidRDefault="009038E9" w:rsidP="009038E9">
            <w:pPr>
              <w:autoSpaceDE w:val="0"/>
              <w:autoSpaceDN w:val="0"/>
              <w:adjustRightInd w:val="0"/>
              <w:spacing w:after="0"/>
              <w:jc w:val="both"/>
              <w:rPr>
                <w:rFonts w:ascii="Times New Roman" w:hAnsi="Times New Roman" w:cs="Times New Roman"/>
                <w:b/>
                <w:i/>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Срчана тахиаритмија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Дневна доза од 100-200 mg је углавном довољна. Ако је потребно, доза се може повећати.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 xml:space="preserve">Након интравенске терапије </w:t>
            </w:r>
            <w:r w:rsidRPr="009038E9">
              <w:rPr>
                <w:rFonts w:ascii="Times New Roman" w:hAnsi="Times New Roman" w:cs="Times New Roman"/>
                <w:b/>
                <w:i/>
                <w:lang w:val="mk-MK"/>
              </w:rPr>
              <w:t>а</w:t>
            </w:r>
            <w:r w:rsidRPr="009038E9">
              <w:rPr>
                <w:rFonts w:ascii="Times New Roman" w:hAnsi="Times New Roman" w:cs="Times New Roman"/>
                <w:b/>
                <w:i/>
              </w:rPr>
              <w:t>кутн</w:t>
            </w:r>
            <w:r w:rsidRPr="009038E9">
              <w:rPr>
                <w:rFonts w:ascii="Times New Roman" w:hAnsi="Times New Roman" w:cs="Times New Roman"/>
                <w:b/>
                <w:i/>
                <w:lang w:val="mk-MK"/>
              </w:rPr>
              <w:t>ог</w:t>
            </w:r>
            <w:r w:rsidRPr="009038E9">
              <w:rPr>
                <w:rFonts w:ascii="Times New Roman" w:hAnsi="Times New Roman" w:cs="Times New Roman"/>
                <w:b/>
                <w:i/>
              </w:rPr>
              <w:t xml:space="preserve"> инфарктa миокарда </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Оралну терапију треба започети 15 минута након посљедње интравенске инјекције, дозом од 50 mg метопролол тартарата, сваких 6 сати у наредних 48 сати. Код пацијената који су примали 15 mg метопролол тартарата интравенски, оралну терапију треба започети опрезно дозом од 25 mg.</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Превенција након инфаркта миокарда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Доза одржавања је 100 mg метопролол тартарата, два пута дневно.</w:t>
            </w:r>
          </w:p>
          <w:p w:rsidR="009038E9" w:rsidRPr="009038E9" w:rsidRDefault="009038E9" w:rsidP="009038E9">
            <w:pPr>
              <w:autoSpaceDE w:val="0"/>
              <w:autoSpaceDN w:val="0"/>
              <w:adjustRightInd w:val="0"/>
              <w:spacing w:after="0"/>
              <w:jc w:val="both"/>
              <w:rPr>
                <w:rFonts w:ascii="Times New Roman" w:hAnsi="Times New Roman" w:cs="Times New Roman"/>
                <w:b/>
                <w:i/>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Превенција мигрене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50 до 100 mg метопролол тартарата, два пута дневно.</w:t>
            </w:r>
          </w:p>
          <w:p w:rsidR="009038E9" w:rsidRPr="009038E9" w:rsidRDefault="009038E9" w:rsidP="009038E9">
            <w:pPr>
              <w:autoSpaceDE w:val="0"/>
              <w:autoSpaceDN w:val="0"/>
              <w:adjustRightInd w:val="0"/>
              <w:spacing w:after="0"/>
              <w:jc w:val="both"/>
              <w:rPr>
                <w:rFonts w:ascii="Times New Roman" w:hAnsi="Times New Roman" w:cs="Times New Roman"/>
                <w:b/>
                <w:i/>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i/>
              </w:rPr>
              <w:lastRenderedPageBreak/>
              <w:t>Пацијенти са оштећењем функције бубрега</w:t>
            </w:r>
            <w:r w:rsidRPr="009038E9">
              <w:rPr>
                <w:rFonts w:ascii="Times New Roman" w:hAnsi="Times New Roman" w:cs="Times New Roman"/>
                <w:b/>
                <w:i/>
              </w:rPr>
              <w:t xml:space="preserve"> </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Брзина елиминације незнатно утиче на функцију бубрега и зато није потребно подешавање дозе.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i/>
              </w:rPr>
            </w:pPr>
            <w:r w:rsidRPr="009038E9">
              <w:rPr>
                <w:rFonts w:ascii="Times New Roman" w:hAnsi="Times New Roman" w:cs="Times New Roman"/>
                <w:i/>
              </w:rPr>
              <w:t>Пацијенти са оштећењем функције јетре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Углавном се метопролол може дати у истој дози пацијентима са цирозом јетре и пацијентима са нормалном функцијом јетре. Код пацијената са тешком инсуфицијенцијом јетре (нпр. код пацијената са портосистемским шантом), може бити потребно подешавање дозе (видјети одјељак 5.2).</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i/>
              </w:rPr>
              <w:t>Старији пацијенти</w:t>
            </w:r>
            <w:r w:rsidRPr="009038E9">
              <w:rPr>
                <w:rFonts w:ascii="Times New Roman" w:hAnsi="Times New Roman" w:cs="Times New Roman"/>
                <w:b/>
                <w:i/>
              </w:rPr>
              <w:t xml:space="preserve"> </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Не постоје адекватни подаци о употреби лијека код пацијената старијих од 80 година. Треба предузети посебне мјере опреза када се доза повећава. Међутим, опрез се савјетује код старијих пацијената јер пад крвног притиска или прекомјерна брадикардија могу имати израженије ефекте.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i/>
              </w:rPr>
              <w:t>Педијатријска популација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Постоје ограничени подаци о употреби метопролола код дјеце и адолесцената, зато се употреба метопролол тартарата не препоручује.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Начин примјене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Таблете треба узимати на празан желудац</w:t>
            </w:r>
            <w:r w:rsidRPr="009038E9" w:rsidDel="00DF09F8">
              <w:rPr>
                <w:rFonts w:ascii="Times New Roman" w:hAnsi="Times New Roman" w:cs="Times New Roman"/>
              </w:rPr>
              <w:t xml:space="preserve"> </w:t>
            </w:r>
            <w:r w:rsidRPr="009038E9">
              <w:rPr>
                <w:rFonts w:ascii="Times New Roman" w:hAnsi="Times New Roman" w:cs="Times New Roman"/>
              </w:rPr>
              <w:t>(видјети одјељак 5.2).</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У случају једне дозе дневно</w:t>
            </w:r>
            <w:r w:rsidRPr="009038E9">
              <w:rPr>
                <w:rFonts w:ascii="Times New Roman" w:hAnsi="Times New Roman" w:cs="Times New Roman"/>
                <w:lang w:val="sr-Cyrl-CS"/>
              </w:rPr>
              <w:t>,</w:t>
            </w:r>
            <w:r w:rsidRPr="009038E9">
              <w:rPr>
                <w:rFonts w:ascii="Times New Roman" w:hAnsi="Times New Roman" w:cs="Times New Roman"/>
              </w:rPr>
              <w:t xml:space="preserve"> таблете треба узимати ујутру, а када се примјењују два пута дневно, једну дозу треба узети ујутру, а другу увече.</w:t>
            </w:r>
          </w:p>
          <w:p w:rsidR="009038E9" w:rsidRPr="009038E9" w:rsidRDefault="009038E9" w:rsidP="009038E9">
            <w:pPr>
              <w:spacing w:after="0"/>
              <w:jc w:val="both"/>
              <w:rPr>
                <w:rFonts w:ascii="Times New Roman" w:hAnsi="Times New Roman" w:cs="Times New Roman"/>
              </w:rPr>
            </w:pPr>
            <w:r w:rsidRPr="009038E9">
              <w:rPr>
                <w:rFonts w:ascii="Times New Roman" w:hAnsi="Times New Roman" w:cs="Times New Roman"/>
              </w:rPr>
              <w:t xml:space="preserve"> </w:t>
            </w:r>
          </w:p>
          <w:p w:rsidR="009038E9" w:rsidRPr="009038E9" w:rsidRDefault="009038E9" w:rsidP="009038E9">
            <w:pPr>
              <w:spacing w:after="0"/>
              <w:jc w:val="both"/>
              <w:rPr>
                <w:rFonts w:ascii="Times New Roman" w:hAnsi="Times New Roman" w:cs="Times New Roman"/>
              </w:rPr>
            </w:pPr>
            <w:r w:rsidRPr="009038E9">
              <w:rPr>
                <w:rFonts w:ascii="Times New Roman" w:hAnsi="Times New Roman" w:cs="Times New Roman"/>
              </w:rPr>
              <w:t>Подјела таблете:</w:t>
            </w:r>
          </w:p>
          <w:p w:rsidR="009038E9" w:rsidRPr="009038E9" w:rsidRDefault="009038E9" w:rsidP="009038E9">
            <w:pPr>
              <w:spacing w:after="0"/>
              <w:jc w:val="both"/>
              <w:rPr>
                <w:rFonts w:ascii="Times New Roman" w:hAnsi="Times New Roman" w:cs="Times New Roman"/>
              </w:rPr>
            </w:pPr>
            <w:r w:rsidRPr="009038E9">
              <w:rPr>
                <w:rFonts w:ascii="Times New Roman" w:hAnsi="Times New Roman" w:cs="Times New Roman"/>
              </w:rPr>
              <w:t>Држ</w:t>
            </w:r>
            <w:r w:rsidRPr="009038E9">
              <w:rPr>
                <w:rFonts w:ascii="Times New Roman" w:hAnsi="Times New Roman" w:cs="Times New Roman"/>
                <w:lang w:val="sr-Cyrl-CS"/>
              </w:rPr>
              <w:t>ати</w:t>
            </w:r>
            <w:r w:rsidRPr="009038E9">
              <w:rPr>
                <w:rFonts w:ascii="Times New Roman" w:hAnsi="Times New Roman" w:cs="Times New Roman"/>
              </w:rPr>
              <w:t xml:space="preserve"> таблету палчевима и кажипрстима обје руке са подионом линијом која је окренута према горе и подијелит</w:t>
            </w:r>
            <w:r w:rsidRPr="009038E9">
              <w:rPr>
                <w:rFonts w:ascii="Times New Roman" w:hAnsi="Times New Roman" w:cs="Times New Roman"/>
                <w:lang w:val="sr-Cyrl-CS"/>
              </w:rPr>
              <w:t>и</w:t>
            </w:r>
            <w:r w:rsidRPr="009038E9">
              <w:rPr>
                <w:rFonts w:ascii="Times New Roman" w:hAnsi="Times New Roman" w:cs="Times New Roman"/>
              </w:rPr>
              <w:t xml:space="preserve"> таблету на двије половине по подионој линији притиском прстима.</w:t>
            </w:r>
          </w:p>
          <w:p w:rsidR="009038E9" w:rsidRPr="009038E9" w:rsidRDefault="009038E9" w:rsidP="009038E9">
            <w:pPr>
              <w:spacing w:after="0"/>
              <w:jc w:val="both"/>
              <w:rPr>
                <w:rFonts w:ascii="Times New Roman" w:hAnsi="Times New Roman" w:cs="Times New Roman"/>
                <w:lang w:val="sr-Latn-ME"/>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4.3. Контраиндикације</w:t>
            </w:r>
          </w:p>
        </w:tc>
      </w:tr>
      <w:tr w:rsidR="009038E9" w:rsidRPr="009038E9" w:rsidTr="003555B8">
        <w:trPr>
          <w:trHeight w:val="1145"/>
        </w:trPr>
        <w:tc>
          <w:tcPr>
            <w:tcW w:w="10031" w:type="dxa"/>
            <w:gridSpan w:val="4"/>
            <w:vAlign w:val="center"/>
          </w:tcPr>
          <w:p w:rsidR="009038E9" w:rsidRPr="009038E9" w:rsidRDefault="009038E9" w:rsidP="009038E9">
            <w:pPr>
              <w:spacing w:after="0"/>
              <w:jc w:val="both"/>
              <w:rPr>
                <w:rFonts w:ascii="Times New Roman" w:hAnsi="Times New Roman" w:cs="Times New Roman"/>
                <w:lang w:val="sr-Latn-ME"/>
              </w:rPr>
            </w:pPr>
          </w:p>
          <w:p w:rsidR="009038E9" w:rsidRPr="009038E9" w:rsidRDefault="009038E9" w:rsidP="009038E9">
            <w:pPr>
              <w:pStyle w:val="ListParagraph"/>
              <w:ind w:left="0"/>
              <w:rPr>
                <w:b/>
                <w:bCs/>
                <w:szCs w:val="22"/>
                <w:lang w:val="sr-Cyrl-RS"/>
              </w:rPr>
            </w:pPr>
            <w:r w:rsidRPr="009038E9">
              <w:rPr>
                <w:szCs w:val="22"/>
              </w:rPr>
              <w:t>- Преосjетљивост на активну супстанцу</w:t>
            </w:r>
            <w:r w:rsidRPr="009038E9">
              <w:rPr>
                <w:szCs w:val="22"/>
                <w:lang w:val="sr-Cyrl-RS"/>
              </w:rPr>
              <w:t xml:space="preserve"> метопролол тартарат,</w:t>
            </w:r>
            <w:r w:rsidRPr="009038E9">
              <w:rPr>
                <w:szCs w:val="22"/>
              </w:rPr>
              <w:t xml:space="preserve"> на друге бета</w:t>
            </w:r>
            <w:r w:rsidRPr="009038E9">
              <w:rPr>
                <w:szCs w:val="22"/>
                <w:lang w:val="sr-Cyrl-RS"/>
              </w:rPr>
              <w:t xml:space="preserve"> </w:t>
            </w:r>
            <w:r w:rsidRPr="009038E9">
              <w:rPr>
                <w:szCs w:val="22"/>
              </w:rPr>
              <w:t>блокаторе или на било коју од помоћних супстанци л</w:t>
            </w:r>
            <w:r w:rsidRPr="009038E9">
              <w:rPr>
                <w:szCs w:val="22"/>
                <w:lang w:val="mk-MK"/>
              </w:rPr>
              <w:t>иј</w:t>
            </w:r>
            <w:r w:rsidRPr="009038E9">
              <w:rPr>
                <w:szCs w:val="22"/>
              </w:rPr>
              <w:t xml:space="preserve">ека наведених у </w:t>
            </w:r>
            <w:r w:rsidRPr="009038E9">
              <w:rPr>
                <w:szCs w:val="22"/>
                <w:lang w:val="sr-Cyrl-RS"/>
              </w:rPr>
              <w:t xml:space="preserve">одјељку </w:t>
            </w:r>
            <w:r w:rsidRPr="009038E9">
              <w:rPr>
                <w:szCs w:val="22"/>
              </w:rPr>
              <w:t>6.1</w:t>
            </w:r>
            <w:r w:rsidRPr="009038E9">
              <w:rPr>
                <w:szCs w:val="22"/>
                <w:lang w:val="mk-MK"/>
              </w:rPr>
              <w:t>.</w:t>
            </w:r>
            <w:r w:rsidRPr="009038E9">
              <w:rPr>
                <w:szCs w:val="22"/>
              </w:rPr>
              <w:t xml:space="preserve"> </w:t>
            </w:r>
          </w:p>
          <w:p w:rsidR="009038E9" w:rsidRPr="009038E9" w:rsidRDefault="009038E9" w:rsidP="009038E9">
            <w:pPr>
              <w:pStyle w:val="ListParagraph"/>
              <w:ind w:left="0"/>
              <w:rPr>
                <w:b/>
                <w:bCs/>
                <w:szCs w:val="22"/>
                <w:lang w:val="sr-Cyrl-RS"/>
              </w:rPr>
            </w:pPr>
            <w:r w:rsidRPr="009038E9">
              <w:rPr>
                <w:szCs w:val="22"/>
              </w:rPr>
              <w:t>- АV блок II или III степена</w:t>
            </w:r>
            <w:r w:rsidRPr="009038E9">
              <w:rPr>
                <w:szCs w:val="22"/>
                <w:lang w:val="mk-MK"/>
              </w:rPr>
              <w:t>.</w:t>
            </w:r>
            <w:r w:rsidRPr="009038E9">
              <w:rPr>
                <w:szCs w:val="22"/>
              </w:rPr>
              <w:t xml:space="preserve"> </w:t>
            </w:r>
          </w:p>
          <w:p w:rsidR="009038E9" w:rsidRPr="009038E9" w:rsidRDefault="009038E9" w:rsidP="009038E9">
            <w:pPr>
              <w:pStyle w:val="ListParagraph"/>
              <w:ind w:left="0"/>
              <w:rPr>
                <w:b/>
                <w:bCs/>
                <w:szCs w:val="22"/>
                <w:lang w:val="sr-Cyrl-RS"/>
              </w:rPr>
            </w:pPr>
            <w:r w:rsidRPr="009038E9">
              <w:rPr>
                <w:szCs w:val="22"/>
                <w:lang w:val="sr-Cyrl-RS"/>
              </w:rPr>
              <w:t>- Пацијенти са нестабилном</w:t>
            </w:r>
            <w:r w:rsidRPr="009038E9">
              <w:rPr>
                <w:szCs w:val="22"/>
              </w:rPr>
              <w:t xml:space="preserve"> или акутно декомпензованом срчан</w:t>
            </w:r>
            <w:r w:rsidRPr="009038E9">
              <w:rPr>
                <w:szCs w:val="22"/>
                <w:lang w:val="sr-Cyrl-RS"/>
              </w:rPr>
              <w:t>ом</w:t>
            </w:r>
            <w:r w:rsidRPr="009038E9">
              <w:rPr>
                <w:szCs w:val="22"/>
              </w:rPr>
              <w:t xml:space="preserve"> инсуфицијенциј</w:t>
            </w:r>
            <w:r w:rsidRPr="009038E9">
              <w:rPr>
                <w:szCs w:val="22"/>
                <w:lang w:val="sr-Cyrl-RS"/>
              </w:rPr>
              <w:t>ом (плућни едем, смањен проток крви или хипотензија), код којих се примјењује континуирана или интермитентна интравенска терапија љековима са инотропним дејством на бета рецепторе.</w:t>
            </w:r>
          </w:p>
          <w:p w:rsidR="009038E9" w:rsidRPr="009038E9" w:rsidRDefault="009038E9" w:rsidP="009038E9">
            <w:pPr>
              <w:pStyle w:val="ListParagraph"/>
              <w:ind w:left="0"/>
              <w:rPr>
                <w:b/>
                <w:bCs/>
                <w:szCs w:val="22"/>
                <w:lang w:val="sr-Cyrl-RS"/>
              </w:rPr>
            </w:pPr>
            <w:r w:rsidRPr="009038E9">
              <w:rPr>
                <w:bCs/>
                <w:szCs w:val="22"/>
                <w:lang w:val="sr-Cyrl-RS"/>
              </w:rPr>
              <w:t xml:space="preserve">- Манифестна и клинички релевантна синусна брадикардија (срчани ритам </w:t>
            </w:r>
            <w:r w:rsidRPr="009038E9">
              <w:rPr>
                <w:szCs w:val="22"/>
              </w:rPr>
              <w:t>&lt;50</w:t>
            </w:r>
            <w:r w:rsidRPr="009038E9">
              <w:rPr>
                <w:szCs w:val="22"/>
                <w:lang w:val="sr-Cyrl-RS"/>
              </w:rPr>
              <w:t xml:space="preserve"> откуцаја/мин).</w:t>
            </w:r>
          </w:p>
          <w:p w:rsidR="009038E9" w:rsidRPr="009038E9" w:rsidRDefault="009038E9" w:rsidP="009038E9">
            <w:pPr>
              <w:pStyle w:val="ListParagraph"/>
              <w:ind w:left="0"/>
              <w:rPr>
                <w:rStyle w:val="Emphasis"/>
                <w:b/>
                <w:bCs/>
                <w:i w:val="0"/>
                <w:iCs w:val="0"/>
                <w:szCs w:val="22"/>
                <w:lang w:val="sr-Cyrl-RS"/>
              </w:rPr>
            </w:pPr>
            <w:r w:rsidRPr="009038E9">
              <w:rPr>
                <w:szCs w:val="22"/>
                <w:lang w:val="sr-Cyrl-RS"/>
              </w:rPr>
              <w:t>- Синдром болесног синусног чвора (</w:t>
            </w:r>
            <w:r w:rsidRPr="009038E9">
              <w:rPr>
                <w:i/>
                <w:szCs w:val="22"/>
                <w:lang w:val="sr-Cyrl-RS"/>
              </w:rPr>
              <w:t>„</w:t>
            </w:r>
            <w:r w:rsidRPr="009038E9">
              <w:rPr>
                <w:i/>
                <w:szCs w:val="22"/>
                <w:shd w:val="clear" w:color="auto" w:fill="FFFFFF"/>
              </w:rPr>
              <w:t>Sick</w:t>
            </w:r>
            <w:r w:rsidRPr="009038E9">
              <w:rPr>
                <w:rStyle w:val="apple-converted-space"/>
                <w:szCs w:val="22"/>
                <w:shd w:val="clear" w:color="auto" w:fill="FFFFFF"/>
              </w:rPr>
              <w:t> </w:t>
            </w:r>
            <w:r w:rsidRPr="009038E9">
              <w:rPr>
                <w:rStyle w:val="Emphasis"/>
                <w:bCs/>
                <w:szCs w:val="22"/>
                <w:shd w:val="clear" w:color="auto" w:fill="FFFFFF"/>
              </w:rPr>
              <w:t>sinus syndrome</w:t>
            </w:r>
            <w:r w:rsidRPr="009038E9">
              <w:rPr>
                <w:rStyle w:val="Emphasis"/>
                <w:bCs/>
                <w:szCs w:val="22"/>
                <w:shd w:val="clear" w:color="auto" w:fill="FFFFFF"/>
                <w:lang w:val="mk-MK"/>
              </w:rPr>
              <w:t>“</w:t>
            </w:r>
            <w:r w:rsidRPr="009038E9">
              <w:rPr>
                <w:rStyle w:val="Emphasis"/>
                <w:bCs/>
                <w:szCs w:val="22"/>
                <w:shd w:val="clear" w:color="auto" w:fill="FFFFFF"/>
                <w:lang w:val="sr-Cyrl-RS"/>
              </w:rPr>
              <w:t>)</w:t>
            </w:r>
            <w:r w:rsidRPr="009038E9">
              <w:rPr>
                <w:rStyle w:val="Emphasis"/>
                <w:bCs/>
                <w:i w:val="0"/>
                <w:szCs w:val="22"/>
                <w:shd w:val="clear" w:color="auto" w:fill="FFFFFF"/>
                <w:lang w:val="sr-Cyrl-RS"/>
              </w:rPr>
              <w:t>.</w:t>
            </w:r>
          </w:p>
          <w:p w:rsidR="009038E9" w:rsidRPr="009038E9" w:rsidRDefault="009038E9" w:rsidP="009038E9">
            <w:pPr>
              <w:pStyle w:val="ListParagraph"/>
              <w:ind w:left="0"/>
              <w:rPr>
                <w:rStyle w:val="Emphasis"/>
                <w:b/>
                <w:bCs/>
                <w:i w:val="0"/>
                <w:iCs w:val="0"/>
                <w:szCs w:val="22"/>
                <w:lang w:val="sr-Cyrl-RS"/>
              </w:rPr>
            </w:pPr>
            <w:r w:rsidRPr="009038E9">
              <w:rPr>
                <w:rStyle w:val="Emphasis"/>
                <w:bCs/>
                <w:szCs w:val="22"/>
                <w:shd w:val="clear" w:color="auto" w:fill="FFFFFF"/>
                <w:lang w:val="sr-Cyrl-RS"/>
              </w:rPr>
              <w:t xml:space="preserve">- </w:t>
            </w:r>
            <w:r w:rsidRPr="009038E9">
              <w:rPr>
                <w:rStyle w:val="Emphasis"/>
                <w:bCs/>
                <w:i w:val="0"/>
                <w:szCs w:val="22"/>
                <w:shd w:val="clear" w:color="auto" w:fill="FFFFFF"/>
                <w:lang w:val="sr-Cyrl-RS"/>
              </w:rPr>
              <w:t>Кардиогени шок.</w:t>
            </w:r>
          </w:p>
          <w:p w:rsidR="009038E9" w:rsidRPr="009038E9" w:rsidRDefault="009038E9" w:rsidP="009038E9">
            <w:pPr>
              <w:pStyle w:val="ListParagraph"/>
              <w:ind w:left="0"/>
              <w:rPr>
                <w:bCs/>
                <w:szCs w:val="22"/>
                <w:lang w:val="sr-Cyrl-RS"/>
              </w:rPr>
            </w:pPr>
            <w:r w:rsidRPr="009038E9">
              <w:rPr>
                <w:bCs/>
                <w:szCs w:val="22"/>
                <w:lang w:val="sr-Cyrl-RS"/>
              </w:rPr>
              <w:t>- Тешки поремећаји периферне артеријске циркулације.</w:t>
            </w:r>
          </w:p>
          <w:p w:rsidR="009038E9" w:rsidRPr="009038E9" w:rsidRDefault="009038E9" w:rsidP="009038E9">
            <w:pPr>
              <w:pStyle w:val="ListParagraph"/>
              <w:tabs>
                <w:tab w:val="clear" w:pos="284"/>
                <w:tab w:val="left" w:pos="142"/>
              </w:tabs>
              <w:ind w:left="0"/>
              <w:rPr>
                <w:b/>
                <w:bCs/>
                <w:szCs w:val="22"/>
                <w:lang w:val="sr-Cyrl-RS"/>
              </w:rPr>
            </w:pPr>
            <w:r w:rsidRPr="009038E9">
              <w:rPr>
                <w:szCs w:val="22"/>
                <w:lang w:val="sr-Cyrl-RS"/>
              </w:rPr>
              <w:t xml:space="preserve">- </w:t>
            </w:r>
            <w:r w:rsidRPr="009038E9">
              <w:rPr>
                <w:szCs w:val="22"/>
              </w:rPr>
              <w:t>Хипотензија (систолни притисак нижи од 90 mmHg)</w:t>
            </w:r>
            <w:r w:rsidRPr="009038E9">
              <w:rPr>
                <w:szCs w:val="22"/>
                <w:lang w:val="mk-MK"/>
              </w:rPr>
              <w:t>.</w:t>
            </w:r>
            <w:r w:rsidRPr="009038E9">
              <w:rPr>
                <w:szCs w:val="22"/>
              </w:rPr>
              <w:t xml:space="preserve"> </w:t>
            </w:r>
          </w:p>
          <w:p w:rsidR="009038E9" w:rsidRPr="009038E9" w:rsidRDefault="009038E9" w:rsidP="009038E9">
            <w:pPr>
              <w:pStyle w:val="ListParagraph"/>
              <w:ind w:left="0"/>
              <w:rPr>
                <w:szCs w:val="22"/>
              </w:rPr>
            </w:pPr>
            <w:r w:rsidRPr="009038E9">
              <w:rPr>
                <w:szCs w:val="22"/>
                <w:lang w:val="sr-Cyrl-RS"/>
              </w:rPr>
              <w:t>- Метаболичка  а</w:t>
            </w:r>
            <w:r w:rsidRPr="009038E9">
              <w:rPr>
                <w:szCs w:val="22"/>
              </w:rPr>
              <w:t>цидоза</w:t>
            </w:r>
            <w:r w:rsidRPr="009038E9">
              <w:rPr>
                <w:szCs w:val="22"/>
                <w:lang w:val="mk-MK"/>
              </w:rPr>
              <w:t>.</w:t>
            </w:r>
          </w:p>
          <w:p w:rsidR="009038E9" w:rsidRPr="009038E9" w:rsidRDefault="009038E9" w:rsidP="009038E9">
            <w:pPr>
              <w:pStyle w:val="ListParagraph"/>
              <w:ind w:left="0"/>
              <w:rPr>
                <w:b/>
                <w:bCs/>
                <w:szCs w:val="22"/>
                <w:lang w:val="sr-Cyrl-RS"/>
              </w:rPr>
            </w:pPr>
            <w:r w:rsidRPr="009038E9">
              <w:rPr>
                <w:bCs/>
                <w:szCs w:val="22"/>
                <w:lang w:val="sr-Cyrl-RS"/>
              </w:rPr>
              <w:t>- Тежак облик бронхијалне астме или хроничне опструктивне болести плућа.</w:t>
            </w:r>
          </w:p>
          <w:p w:rsidR="009038E9" w:rsidRPr="009038E9" w:rsidRDefault="009038E9" w:rsidP="009038E9">
            <w:pPr>
              <w:pStyle w:val="ListParagraph"/>
              <w:ind w:left="0"/>
              <w:rPr>
                <w:b/>
                <w:bCs/>
                <w:szCs w:val="22"/>
                <w:lang w:val="sr-Cyrl-RS"/>
              </w:rPr>
            </w:pPr>
            <w:r w:rsidRPr="009038E9">
              <w:rPr>
                <w:szCs w:val="22"/>
                <w:lang w:val="sr-Cyrl-RS"/>
              </w:rPr>
              <w:t xml:space="preserve">- </w:t>
            </w:r>
            <w:r w:rsidRPr="009038E9">
              <w:rPr>
                <w:bCs/>
                <w:szCs w:val="22"/>
              </w:rPr>
              <w:t>Синоат</w:t>
            </w:r>
            <w:r w:rsidRPr="009038E9">
              <w:rPr>
                <w:bCs/>
                <w:szCs w:val="22"/>
                <w:lang w:val="sr-Cyrl-RS"/>
              </w:rPr>
              <w:t>р</w:t>
            </w:r>
            <w:r w:rsidRPr="009038E9">
              <w:rPr>
                <w:bCs/>
                <w:szCs w:val="22"/>
              </w:rPr>
              <w:t>ијални блок вишег степена.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lastRenderedPageBreak/>
              <w:t>Метопролол не треба користити у случају сумње на акутни инфаркт миокарда и срчани ритам &lt;50/мин, PQ интервал &gt;0</w:t>
            </w:r>
            <w:r w:rsidRPr="009038E9">
              <w:rPr>
                <w:rFonts w:ascii="Times New Roman" w:hAnsi="Times New Roman" w:cs="Times New Roman"/>
                <w:lang w:val="sr-Cyrl-CS"/>
              </w:rPr>
              <w:t>,</w:t>
            </w:r>
            <w:r w:rsidRPr="009038E9">
              <w:rPr>
                <w:rFonts w:ascii="Times New Roman" w:hAnsi="Times New Roman" w:cs="Times New Roman"/>
              </w:rPr>
              <w:t>24 секунде, или систолни крвни притисак &lt;100 mmHg.</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pStyle w:val="ListParagraph"/>
              <w:ind w:left="0"/>
              <w:rPr>
                <w:b/>
                <w:bCs/>
                <w:szCs w:val="22"/>
              </w:rPr>
            </w:pPr>
            <w:r w:rsidRPr="009038E9">
              <w:rPr>
                <w:szCs w:val="22"/>
              </w:rPr>
              <w:t>Истовремена интравенска прим</w:t>
            </w:r>
            <w:r w:rsidRPr="009038E9">
              <w:rPr>
                <w:szCs w:val="22"/>
                <w:lang w:val="sr-Cyrl-RS"/>
              </w:rPr>
              <w:t>ј</w:t>
            </w:r>
            <w:r w:rsidRPr="009038E9">
              <w:rPr>
                <w:szCs w:val="22"/>
              </w:rPr>
              <w:t xml:space="preserve">ена антагониста калцијума као што су верапамил или дилтиазем; или других антиаритмика (као што је дизопирамид) је контраиндикована (осим када је у питању интензивна </w:t>
            </w:r>
            <w:r w:rsidRPr="009038E9">
              <w:rPr>
                <w:szCs w:val="22"/>
                <w:lang w:val="sr-Cyrl-RS"/>
              </w:rPr>
              <w:t>њ</w:t>
            </w:r>
            <w:r w:rsidRPr="009038E9">
              <w:rPr>
                <w:szCs w:val="22"/>
              </w:rPr>
              <w:t>ега) (вид</w:t>
            </w:r>
            <w:r w:rsidRPr="009038E9">
              <w:rPr>
                <w:szCs w:val="22"/>
                <w:lang w:val="sr-Cyrl-RS"/>
              </w:rPr>
              <w:t>ј</w:t>
            </w:r>
            <w:r w:rsidRPr="009038E9">
              <w:rPr>
                <w:szCs w:val="22"/>
              </w:rPr>
              <w:t>ети од</w:t>
            </w:r>
            <w:r w:rsidRPr="009038E9">
              <w:rPr>
                <w:szCs w:val="22"/>
                <w:lang w:val="sr-Cyrl-RS"/>
              </w:rPr>
              <w:t>ј</w:t>
            </w:r>
            <w:r w:rsidRPr="009038E9">
              <w:rPr>
                <w:szCs w:val="22"/>
              </w:rPr>
              <w:t>ељак 4.5).</w:t>
            </w:r>
          </w:p>
          <w:p w:rsidR="009038E9" w:rsidRPr="009038E9" w:rsidRDefault="009038E9" w:rsidP="009038E9">
            <w:pPr>
              <w:autoSpaceDE w:val="0"/>
              <w:autoSpaceDN w:val="0"/>
              <w:adjustRightInd w:val="0"/>
              <w:spacing w:after="0"/>
              <w:jc w:val="both"/>
              <w:rPr>
                <w:rFonts w:ascii="Times New Roman" w:hAnsi="Times New Roman" w:cs="Times New Roman"/>
                <w:lang w:val="sr-Latn-M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lang w:val="sr-Latn-ME"/>
              </w:rPr>
              <w:t>Нелијечен феохромоцитом.</w:t>
            </w:r>
          </w:p>
          <w:p w:rsidR="009038E9" w:rsidRPr="009038E9" w:rsidRDefault="009038E9" w:rsidP="009038E9">
            <w:pPr>
              <w:autoSpaceDE w:val="0"/>
              <w:autoSpaceDN w:val="0"/>
              <w:adjustRightInd w:val="0"/>
              <w:spacing w:after="0"/>
              <w:jc w:val="both"/>
              <w:rPr>
                <w:rFonts w:ascii="Times New Roman" w:hAnsi="Times New Roman" w:cs="Times New Roman"/>
                <w:lang w:val="sr-Latn-ME"/>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4.4. Посебна упозорења и мјере опреза при употреби лијека</w:t>
            </w: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noProof/>
                <w:lang w:val="sr-Latn-M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Потребан је опрез приликом употребе бета блокатора код пацијената са астмом. Уколико је пацијент на терапији бета агонистима (орално или инхалационо), можда ће бити потребно да се њихова доза повећа на почетку терапије метопрололом. </w:t>
            </w:r>
          </w:p>
          <w:p w:rsidR="009038E9" w:rsidRPr="009038E9" w:rsidRDefault="009038E9" w:rsidP="009038E9">
            <w:pPr>
              <w:autoSpaceDE w:val="0"/>
              <w:autoSpaceDN w:val="0"/>
              <w:adjustRightInd w:val="0"/>
              <w:spacing w:after="0"/>
              <w:jc w:val="both"/>
              <w:rPr>
                <w:rFonts w:ascii="Times New Roman" w:hAnsi="Times New Roman" w:cs="Times New Roman"/>
                <w:lang w:val="sr-Latn-RS"/>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Метопролол може смањити ефекат</w:t>
            </w:r>
            <w:r w:rsidRPr="009038E9" w:rsidDel="001A0C0C">
              <w:rPr>
                <w:rFonts w:ascii="Times New Roman" w:hAnsi="Times New Roman" w:cs="Times New Roman"/>
              </w:rPr>
              <w:t xml:space="preserve"> </w:t>
            </w:r>
            <w:r w:rsidRPr="009038E9">
              <w:rPr>
                <w:rFonts w:ascii="Times New Roman" w:hAnsi="Times New Roman" w:cs="Times New Roman"/>
              </w:rPr>
              <w:t>терапијe дијабетес мелитуса и маскирати симптоме хипогликемије.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Повремено, поремећаји AV спровођења могу да се погоршају током терапије метопрололом (могућност </w:t>
            </w:r>
            <w:r w:rsidRPr="009038E9">
              <w:rPr>
                <w:rFonts w:ascii="Times New Roman" w:hAnsi="Times New Roman" w:cs="Times New Roman"/>
                <w:lang w:val="sr-Latn-RS"/>
              </w:rPr>
              <w:t>AV</w:t>
            </w:r>
            <w:r w:rsidRPr="009038E9">
              <w:rPr>
                <w:rFonts w:ascii="Times New Roman" w:hAnsi="Times New Roman" w:cs="Times New Roman"/>
              </w:rPr>
              <w:t xml:space="preserve"> блока). Бета блокатори треба да се користe са опрезом код пацијената са AV блоком </w:t>
            </w:r>
            <w:r w:rsidRPr="009038E9">
              <w:rPr>
                <w:rFonts w:ascii="Times New Roman" w:hAnsi="Times New Roman" w:cs="Times New Roman"/>
                <w:lang w:val="sr-Latn-RS"/>
              </w:rPr>
              <w:t>I</w:t>
            </w:r>
            <w:r w:rsidRPr="009038E9">
              <w:rPr>
                <w:rFonts w:ascii="Times New Roman" w:hAnsi="Times New Roman" w:cs="Times New Roman"/>
              </w:rPr>
              <w:t xml:space="preserve"> степена (видјети одјељак 4.3).</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Метопролол може довести до повећања симптома периферне артеријске болести због његовог артихипертензивног ефекта.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Када се прописује метопролол пацијент</w:t>
            </w:r>
            <w:r w:rsidRPr="009038E9">
              <w:rPr>
                <w:rFonts w:ascii="Times New Roman" w:hAnsi="Times New Roman" w:cs="Times New Roman"/>
                <w:lang w:val="mk-MK"/>
              </w:rPr>
              <w:t>им</w:t>
            </w:r>
            <w:r w:rsidRPr="009038E9">
              <w:rPr>
                <w:rFonts w:ascii="Times New Roman" w:hAnsi="Times New Roman" w:cs="Times New Roman"/>
              </w:rPr>
              <w:t>а са феохромоцитомом, алфа блокатор треба да се користи прије или у току терапије метопрололом.</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Бета 1 селективне блокаторе треба користити са опрезом код пацијената са Принцметаловом ангином јер могу да повећају број или трајање ангинозних напада.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Симптоми тиреотоксикозе се могу маскирати током терапије метопрололом. Због тога, метопролол треба примјењивати са опрезом код пацијената који имају или код којих постоји сумња на развој тиреотоксикозе и треба пажљиво пратити и тиреоидну и срчану функцију.</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Код хируршких интервенција, анестезиолог мора бити обавијештен о примјени терапије бета блокаторима прије операције. Не препоручује се прекид терапије бета блокаторима током операције.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Терапија бета блокаторима не смије бити нагло прекинута без јасних разлога. Уколико терапија мора да се прекине, то треба урадити што је спорије могуће у периоду од најмање 2 недјеље, постепено смањујући дозу док се не постигне доза од 25 </w:t>
            </w:r>
            <w:r w:rsidRPr="009038E9">
              <w:rPr>
                <w:rFonts w:ascii="Times New Roman" w:hAnsi="Times New Roman" w:cs="Times New Roman"/>
                <w:lang w:val="sr-Latn-RS"/>
              </w:rPr>
              <w:t xml:space="preserve">mg </w:t>
            </w:r>
            <w:r w:rsidRPr="009038E9">
              <w:rPr>
                <w:rFonts w:ascii="Times New Roman" w:hAnsi="Times New Roman" w:cs="Times New Roman"/>
              </w:rPr>
              <w:t>најмање 6 дана прије него што се прекине терапија. Уколико се код пацијента јаве симптоми, доза треба да се смањује још постепеније. Изненадни прекид терапије може довести до погоршања постојеће срчане инсуфицијенције и повећања ризика од инфаркта миокарда и изненадне срчане смрти.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lastRenderedPageBreak/>
              <w:t xml:space="preserve">Као и други бета блокатори, метопролол може </w:t>
            </w:r>
            <w:r w:rsidRPr="009038E9">
              <w:rPr>
                <w:rFonts w:ascii="Times New Roman" w:hAnsi="Times New Roman" w:cs="Times New Roman"/>
                <w:lang w:val="sr-Cyrl-CS"/>
              </w:rPr>
              <w:t xml:space="preserve">да </w:t>
            </w:r>
            <w:r w:rsidRPr="009038E9">
              <w:rPr>
                <w:rFonts w:ascii="Times New Roman" w:hAnsi="Times New Roman" w:cs="Times New Roman"/>
              </w:rPr>
              <w:t xml:space="preserve">повећа осјетљивост на алергене и озбиљност анафилактичких реакција. Примјена адреналина не доводи увијек до жељеног терапијског ефекта при терапији бета блокаторима (видјети одјељак 4.5).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Бета блокатори могу изазвати или погоршати псоријазу.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До данас, нема довољно података о употреби метопролола код пацијената са срчаном инсуфицијенцијом и сљедећим пратећим факторима: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Нестабилна срчана инсуфицијенција (NYHA IV).</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Акутни инфаркт миокарда или нестабилна ангина пекторис у претходних 28 дана.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Оштећење функције бубрега.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Оштећење функције јетре.</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Пацијенти старији од 80 година.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Пацијенти млађи од 40 година.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Хемодинамички значајне болести залистака.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Хипертрофична опструктивна кардиомиопатија.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Током и након хируршке интервенције на срцу у посљедња 4 мјесеца прије терапије метопрололом.</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У случају повећања брадикардије, доза мора да се смањи или терапију метопрололом треба постепено прекинути.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Mетопролол тартарат се не смије примјењивати код пацијената са нелијеченом конгестивном срчаном инсуфицијенцијом. Најприје, конгестивна срчана инсуфицијенција мора да буде под контролом. Уколико се истовремено примјењује и терапија дигоксином</w:t>
            </w:r>
            <w:r w:rsidRPr="009038E9">
              <w:rPr>
                <w:rFonts w:ascii="Times New Roman" w:hAnsi="Times New Roman" w:cs="Times New Roman"/>
                <w:lang w:val="sr-Cyrl-CS"/>
              </w:rPr>
              <w:t>,</w:t>
            </w:r>
            <w:r w:rsidRPr="009038E9">
              <w:rPr>
                <w:rFonts w:ascii="Times New Roman" w:hAnsi="Times New Roman" w:cs="Times New Roman"/>
              </w:rPr>
              <w:t xml:space="preserve"> треба имати у виду да оба лијека успоравају АV спровођење и да зато постоји ризик од AV дисоцијације. Поред тога, могу се јавити умјерене кардиоваскуларне компликације</w:t>
            </w:r>
            <w:r w:rsidRPr="009038E9">
              <w:rPr>
                <w:rFonts w:ascii="Times New Roman" w:hAnsi="Times New Roman" w:cs="Times New Roman"/>
                <w:lang w:val="sr-Cyrl-CS"/>
              </w:rPr>
              <w:t>,</w:t>
            </w:r>
            <w:r w:rsidRPr="009038E9">
              <w:rPr>
                <w:rFonts w:ascii="Times New Roman" w:hAnsi="Times New Roman" w:cs="Times New Roman"/>
              </w:rPr>
              <w:t xml:space="preserve"> као што су: вртоглавица, брадикардија и могућност појаве стања колапса.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Може се јавити сувоћа очију, било сама или у комбинацији са осипом на кожи. У већини случајева</w:t>
            </w:r>
            <w:r w:rsidRPr="009038E9">
              <w:rPr>
                <w:rFonts w:ascii="Times New Roman" w:hAnsi="Times New Roman" w:cs="Times New Roman"/>
                <w:lang w:val="sr-Cyrl-CS"/>
              </w:rPr>
              <w:t>,</w:t>
            </w:r>
            <w:r w:rsidRPr="009038E9">
              <w:rPr>
                <w:rFonts w:ascii="Times New Roman" w:hAnsi="Times New Roman" w:cs="Times New Roman"/>
              </w:rPr>
              <w:t xml:space="preserve"> симптоми се повлаче када се прекине са терапијом метопрололом. Пацијенте треба пажљиво пратити због могућег дјеловања на очи. Уколико се симптоми јаве, треба размотрити прекид терапије метопрололом. </w:t>
            </w:r>
          </w:p>
          <w:p w:rsidR="009038E9" w:rsidRPr="009038E9" w:rsidRDefault="009038E9" w:rsidP="009038E9">
            <w:pPr>
              <w:spacing w:after="0"/>
              <w:jc w:val="both"/>
              <w:rPr>
                <w:rFonts w:ascii="Times New Roman" w:hAnsi="Times New Roman" w:cs="Times New Roman"/>
                <w:lang w:val="sr-Cyrl-CS"/>
              </w:rPr>
            </w:pPr>
            <w:r w:rsidRPr="009038E9">
              <w:rPr>
                <w:rFonts w:ascii="Times New Roman" w:hAnsi="Times New Roman" w:cs="Times New Roman"/>
              </w:rPr>
              <w:t>Овај л</w:t>
            </w:r>
            <w:r w:rsidRPr="009038E9">
              <w:rPr>
                <w:rFonts w:ascii="Times New Roman" w:hAnsi="Times New Roman" w:cs="Times New Roman"/>
                <w:lang w:val="sr-Cyrl-CS"/>
              </w:rPr>
              <w:t>иј</w:t>
            </w:r>
            <w:r w:rsidRPr="009038E9">
              <w:rPr>
                <w:rFonts w:ascii="Times New Roman" w:hAnsi="Times New Roman" w:cs="Times New Roman"/>
              </w:rPr>
              <w:t xml:space="preserve">ек садржи мање од 1 </w:t>
            </w:r>
            <w:r w:rsidRPr="009038E9">
              <w:rPr>
                <w:rFonts w:ascii="Times New Roman" w:hAnsi="Times New Roman" w:cs="Times New Roman"/>
                <w:lang w:val="sr-Latn-RS"/>
              </w:rPr>
              <w:t xml:space="preserve">mmol </w:t>
            </w:r>
            <w:r w:rsidRPr="009038E9">
              <w:rPr>
                <w:rFonts w:ascii="Times New Roman" w:hAnsi="Times New Roman" w:cs="Times New Roman"/>
              </w:rPr>
              <w:t xml:space="preserve">(23 mg) натријума по дози, односно </w:t>
            </w:r>
            <w:r w:rsidRPr="009038E9">
              <w:rPr>
                <w:rFonts w:ascii="Times New Roman" w:hAnsi="Times New Roman" w:cs="Times New Roman"/>
                <w:lang w:val="sr-Cyrl-CS"/>
              </w:rPr>
              <w:t>сматра се</w:t>
            </w:r>
            <w:r w:rsidRPr="009038E9">
              <w:rPr>
                <w:rFonts w:ascii="Times New Roman" w:hAnsi="Times New Roman" w:cs="Times New Roman"/>
              </w:rPr>
              <w:t xml:space="preserve"> „</w:t>
            </w:r>
            <w:r w:rsidRPr="009038E9">
              <w:rPr>
                <w:rFonts w:ascii="Times New Roman" w:hAnsi="Times New Roman" w:cs="Times New Roman"/>
                <w:lang w:val="sr-Cyrl-CS"/>
              </w:rPr>
              <w:t>суштински без</w:t>
            </w:r>
            <w:r w:rsidRPr="009038E9">
              <w:rPr>
                <w:rFonts w:ascii="Times New Roman" w:hAnsi="Times New Roman" w:cs="Times New Roman"/>
              </w:rPr>
              <w:t xml:space="preserve"> натријума“.</w:t>
            </w:r>
          </w:p>
          <w:p w:rsidR="009038E9" w:rsidRPr="009038E9" w:rsidRDefault="009038E9" w:rsidP="009038E9">
            <w:pPr>
              <w:autoSpaceDE w:val="0"/>
              <w:autoSpaceDN w:val="0"/>
              <w:adjustRightInd w:val="0"/>
              <w:spacing w:after="0"/>
              <w:jc w:val="both"/>
              <w:rPr>
                <w:rFonts w:ascii="Times New Roman" w:hAnsi="Times New Roman" w:cs="Times New Roman"/>
                <w:bCs/>
                <w:lang w:val="mk-MK"/>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noProof/>
                <w:lang w:val="sr-Latn-ME"/>
              </w:rPr>
            </w:pPr>
            <w:r w:rsidRPr="009038E9">
              <w:rPr>
                <w:rFonts w:ascii="Times New Roman" w:hAnsi="Times New Roman" w:cs="Times New Roman"/>
                <w:b/>
                <w:bCs/>
                <w:noProof/>
                <w:lang w:val="sr-Latn-ME"/>
              </w:rPr>
              <w:lastRenderedPageBreak/>
              <w:t>4.5. Интеракције са другим љековима и друге врсте интеракција</w:t>
            </w: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noProof/>
                <w:lang w:val="sr-Latn-M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b/>
                <w:i/>
              </w:rPr>
              <w:t>Сљедеће комбинације са метопрололом треба избјегавати</w:t>
            </w:r>
            <w:r w:rsidRPr="009038E9" w:rsidDel="006B3940">
              <w:rPr>
                <w:rFonts w:ascii="Times New Roman" w:hAnsi="Times New Roman" w:cs="Times New Roman"/>
                <w:b/>
                <w:i/>
              </w:rPr>
              <w:t xml:space="preserve"> </w:t>
            </w:r>
          </w:p>
          <w:p w:rsidR="009038E9" w:rsidRPr="009038E9" w:rsidRDefault="009038E9" w:rsidP="009038E9">
            <w:pPr>
              <w:autoSpaceDE w:val="0"/>
              <w:autoSpaceDN w:val="0"/>
              <w:adjustRightInd w:val="0"/>
              <w:spacing w:after="0"/>
              <w:jc w:val="both"/>
              <w:rPr>
                <w:rFonts w:ascii="Times New Roman" w:hAnsi="Times New Roman" w:cs="Times New Roman"/>
                <w:highlight w:val="yellow"/>
                <w:u w:val="singl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Деривати барбитуратне кисјелине:</w:t>
            </w:r>
            <w:r w:rsidRPr="009038E9">
              <w:rPr>
                <w:rFonts w:ascii="Times New Roman" w:hAnsi="Times New Roman" w:cs="Times New Roman"/>
              </w:rPr>
              <w:t xml:space="preserve"> Барбитурати (проучавани за фенобарбитал) индукују метаболизам метопролола кроз индукцију ензима.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lastRenderedPageBreak/>
              <w:t>Пропафенон:</w:t>
            </w:r>
            <w:r w:rsidRPr="009038E9">
              <w:rPr>
                <w:rFonts w:ascii="Times New Roman" w:hAnsi="Times New Roman" w:cs="Times New Roman"/>
              </w:rPr>
              <w:t xml:space="preserve"> Када је започета терапија пропафеноном код четири пацијента, који су затим били на терапији меторололом, концентрација метопролола у плазми је повећана 2-5 пута, а два пацијента су имала типичн</w:t>
            </w:r>
            <w:r w:rsidRPr="009038E9">
              <w:rPr>
                <w:rFonts w:ascii="Times New Roman" w:hAnsi="Times New Roman" w:cs="Times New Roman"/>
                <w:lang w:val="sr-Cyrl-CS"/>
              </w:rPr>
              <w:t>а</w:t>
            </w:r>
            <w:r w:rsidRPr="009038E9">
              <w:rPr>
                <w:rFonts w:ascii="Times New Roman" w:hAnsi="Times New Roman" w:cs="Times New Roman"/>
              </w:rPr>
              <w:t xml:space="preserve"> нежељен</w:t>
            </w:r>
            <w:r w:rsidRPr="009038E9">
              <w:rPr>
                <w:rFonts w:ascii="Times New Roman" w:hAnsi="Times New Roman" w:cs="Times New Roman"/>
                <w:lang w:val="sr-Cyrl-CS"/>
              </w:rPr>
              <w:t>а</w:t>
            </w:r>
            <w:r w:rsidRPr="009038E9">
              <w:rPr>
                <w:rFonts w:ascii="Times New Roman" w:hAnsi="Times New Roman" w:cs="Times New Roman"/>
              </w:rPr>
              <w:t xml:space="preserve"> </w:t>
            </w:r>
            <w:r w:rsidRPr="009038E9">
              <w:rPr>
                <w:rFonts w:ascii="Times New Roman" w:hAnsi="Times New Roman" w:cs="Times New Roman"/>
                <w:lang w:val="sr-Cyrl-CS"/>
              </w:rPr>
              <w:t>дејства</w:t>
            </w:r>
            <w:r w:rsidRPr="009038E9">
              <w:rPr>
                <w:rFonts w:ascii="Times New Roman" w:hAnsi="Times New Roman" w:cs="Times New Roman"/>
              </w:rPr>
              <w:t xml:space="preserve"> метопролола. Интеракција је потврђена у студији која </w:t>
            </w:r>
            <w:r w:rsidRPr="009038E9">
              <w:rPr>
                <w:rFonts w:ascii="Times New Roman" w:hAnsi="Times New Roman" w:cs="Times New Roman"/>
                <w:lang w:val="sr-Cyrl-CS"/>
              </w:rPr>
              <w:t xml:space="preserve">је </w:t>
            </w:r>
            <w:r w:rsidRPr="009038E9">
              <w:rPr>
                <w:rFonts w:ascii="Times New Roman" w:hAnsi="Times New Roman" w:cs="Times New Roman"/>
              </w:rPr>
              <w:t>укључ</w:t>
            </w:r>
            <w:r w:rsidRPr="009038E9">
              <w:rPr>
                <w:rFonts w:ascii="Times New Roman" w:hAnsi="Times New Roman" w:cs="Times New Roman"/>
                <w:lang w:val="sr-Cyrl-CS"/>
              </w:rPr>
              <w:t>ила</w:t>
            </w:r>
            <w:r w:rsidRPr="009038E9">
              <w:rPr>
                <w:rFonts w:ascii="Times New Roman" w:hAnsi="Times New Roman" w:cs="Times New Roman"/>
              </w:rPr>
              <w:t xml:space="preserve"> осам здравих испитаника. Интеракција је вјероватно посљедица чињенице да пропафенон, попут хинидина, инхибира метаболизам метопролола преко цитохрома P450 2D6. Комбинацију је вјероватно тешкo контролисати због чињенице да пропафенон такође има својства блокирања бета рецептора.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Калцијумски антагонисти:</w:t>
            </w:r>
            <w:r w:rsidRPr="009038E9">
              <w:rPr>
                <w:rFonts w:ascii="Times New Roman" w:hAnsi="Times New Roman" w:cs="Times New Roman"/>
              </w:rPr>
              <w:t xml:space="preserve"> У случају истовремене примјене са калцијумским антагонистима типа верапамила или дилтиазема, може се јавити повећање негативног инотропног и хронотропног ефекта. Интравенска примјена калцијумских блокатора типа верапамила не треба да се примјењује код пацијенaта који су на терапији бета блокаторима због ризика од хипотензије, поремећаја AV спровођења и инсуфицијенције лијеве коморе (видјети одјељак 4.3). Код пацијената са оштећеном функцијом срца, комбинација је контраиндикована (изузетак: инте</w:t>
            </w:r>
            <w:r w:rsidRPr="009038E9">
              <w:rPr>
                <w:rFonts w:ascii="Times New Roman" w:hAnsi="Times New Roman" w:cs="Times New Roman"/>
                <w:lang w:val="sr-Cyrl-CS"/>
              </w:rPr>
              <w:t>н</w:t>
            </w:r>
            <w:r w:rsidRPr="009038E9">
              <w:rPr>
                <w:rFonts w:ascii="Times New Roman" w:hAnsi="Times New Roman" w:cs="Times New Roman"/>
              </w:rPr>
              <w:t xml:space="preserve">зивна њега). Као и са другим бета блокаторима, истовремена терапија са дихидропиридинима (као што су нифедипин и амлодипин), може повећати ризик од хипотензије, а код пацијената са латентном срчаном инсуфицијенцијом може се развити срчана инсуфицијенција.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Сљедеће комбинације са метопрололом могу захтијевати прилагођавање дозе</w:t>
            </w:r>
          </w:p>
          <w:p w:rsidR="009038E9" w:rsidRPr="009038E9" w:rsidRDefault="009038E9" w:rsidP="009038E9">
            <w:pPr>
              <w:autoSpaceDE w:val="0"/>
              <w:autoSpaceDN w:val="0"/>
              <w:adjustRightInd w:val="0"/>
              <w:spacing w:after="0"/>
              <w:jc w:val="both"/>
              <w:rPr>
                <w:rFonts w:ascii="Times New Roman" w:hAnsi="Times New Roman" w:cs="Times New Roman"/>
                <w:b/>
                <w:i/>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Амјодарон:</w:t>
            </w:r>
            <w:r w:rsidRPr="009038E9">
              <w:rPr>
                <w:rFonts w:ascii="Times New Roman" w:hAnsi="Times New Roman" w:cs="Times New Roman"/>
              </w:rPr>
              <w:t xml:space="preserve"> Један ранији случај указује на то да пацијенти који су били на терапији амјодароном могу развити тешку синусну брадикардију током истовременог лијечења метопрололом. Амјодарон има изузетно дуго полувријеме елиминације (просјечно 50 дана), што значи да се интеракције могу јавити јако дуго након прекида терапије.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Антиаритмици класе I:</w:t>
            </w:r>
            <w:r w:rsidRPr="009038E9">
              <w:rPr>
                <w:rFonts w:ascii="Times New Roman" w:hAnsi="Times New Roman" w:cs="Times New Roman"/>
              </w:rPr>
              <w:t xml:space="preserve"> Антиаритмици класе </w:t>
            </w:r>
            <w:r w:rsidRPr="009038E9">
              <w:rPr>
                <w:rFonts w:ascii="Times New Roman" w:hAnsi="Times New Roman" w:cs="Times New Roman"/>
                <w:lang w:val="sr-Latn-RS"/>
              </w:rPr>
              <w:t>I</w:t>
            </w:r>
            <w:r w:rsidRPr="009038E9">
              <w:rPr>
                <w:rFonts w:ascii="Times New Roman" w:hAnsi="Times New Roman" w:cs="Times New Roman"/>
              </w:rPr>
              <w:t xml:space="preserve"> и бета блокатори имају адитивне негативно инотропне ефекте који могу изазвати озбиљне нежељене хемодинамске ефекте код пацијената са компромитованом функцијом лијеве коморе. Комбинацију треба избјегавати код пацијената са синдромом болесног синусног чвора („sick sinus syndrome”) и поремећајима </w:t>
            </w:r>
            <w:r w:rsidRPr="009038E9">
              <w:rPr>
                <w:rFonts w:ascii="Times New Roman" w:hAnsi="Times New Roman" w:cs="Times New Roman"/>
                <w:lang w:val="sr-Latn-RS"/>
              </w:rPr>
              <w:t>AV</w:t>
            </w:r>
            <w:r w:rsidRPr="009038E9">
              <w:rPr>
                <w:rFonts w:ascii="Times New Roman" w:hAnsi="Times New Roman" w:cs="Times New Roman"/>
              </w:rPr>
              <w:t xml:space="preserve"> спровођења. Ова интеракција је најшире </w:t>
            </w:r>
            <w:r w:rsidRPr="009038E9">
              <w:rPr>
                <w:rFonts w:ascii="Times New Roman" w:hAnsi="Times New Roman" w:cs="Times New Roman"/>
                <w:lang w:val="sr-Cyrl-CS"/>
              </w:rPr>
              <w:t xml:space="preserve">документована и </w:t>
            </w:r>
            <w:r w:rsidRPr="009038E9">
              <w:rPr>
                <w:rFonts w:ascii="Times New Roman" w:hAnsi="Times New Roman" w:cs="Times New Roman"/>
              </w:rPr>
              <w:t>описана за дизопрамид.</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Нестероидни антиинфламаторни љекови/антиреуматски агенси (НСАИЛ):</w:t>
            </w:r>
            <w:r w:rsidRPr="009038E9">
              <w:rPr>
                <w:rFonts w:ascii="Times New Roman" w:hAnsi="Times New Roman" w:cs="Times New Roman"/>
              </w:rPr>
              <w:t xml:space="preserve"> Антифлогистици типа НСАИЛ-а се супростављају антихипертензивном дјеловању бета блокатора. Истраживања су, прије свега, извођена на индометацину. Претпоставља се да се ова интеракција неће јавити са сулиндаком. Није било могуће доказати такву интеракцију у студији на диклофенаку.</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Cs/>
              </w:rPr>
            </w:pPr>
            <w:r w:rsidRPr="009038E9">
              <w:rPr>
                <w:rFonts w:ascii="Times New Roman" w:hAnsi="Times New Roman" w:cs="Times New Roman"/>
                <w:u w:val="single"/>
              </w:rPr>
              <w:t>CYP2D6 инхибитори:</w:t>
            </w:r>
            <w:r w:rsidRPr="009038E9">
              <w:rPr>
                <w:rFonts w:ascii="Times New Roman" w:hAnsi="Times New Roman" w:cs="Times New Roman"/>
              </w:rPr>
              <w:t xml:space="preserve"> </w:t>
            </w:r>
            <w:r w:rsidRPr="009038E9">
              <w:rPr>
                <w:rFonts w:ascii="Times New Roman" w:hAnsi="Times New Roman" w:cs="Times New Roman"/>
                <w:bCs/>
              </w:rPr>
              <w:t>Метопролол је метаболички супстрат изоензима CYP2D6 цитохрома P450. Љекови које инхибирају ензиме могу утицати на концентрацију метопролола у плазми. Примјери клинички значајних инхибитора CYP2D6 су антидепресиви као што су: пароксетин, флуоксетин или бупропион, антипсихотици као што је тиоридазин, антиаритмици као што је пропафенон, антиретровирални љекови као што је ритонавир, антихистаминици као што је дифенхидрамин, антималарици као што су хидроксихлороквин или хинидин, антифунгални љекови као што је тербинафин, и љекови за лијечење чира на желуцу као што је циметидин. На почетку терапије овим љековима код пацијената који су на терапији метопрололом, доза метопролола ће можда морати да се смањи.</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lastRenderedPageBreak/>
              <w:t>Дифенхидрамин:</w:t>
            </w:r>
            <w:r w:rsidRPr="009038E9">
              <w:rPr>
                <w:rFonts w:ascii="Times New Roman" w:hAnsi="Times New Roman" w:cs="Times New Roman"/>
              </w:rPr>
              <w:t xml:space="preserve"> Дифенхидрамин смањује (2,5 пута) клиренс метопролола до алфа-хидрокси метопролола у брзој хидроксилацији преко CYP2D6, у исто вријеме када се ефекти метопролола повећавају.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Кардиотонични гликозиди:</w:t>
            </w:r>
            <w:r w:rsidRPr="009038E9">
              <w:rPr>
                <w:rFonts w:ascii="Times New Roman" w:hAnsi="Times New Roman" w:cs="Times New Roman"/>
              </w:rPr>
              <w:t xml:space="preserve"> Гликозиди дигиталиса у комбинацији са бета блокаторима могу повећати вријеме атриовентрикуларног спровођења и индуковати брадикардију.</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Епинефрин:</w:t>
            </w:r>
            <w:r w:rsidRPr="009038E9">
              <w:rPr>
                <w:rFonts w:ascii="Times New Roman" w:hAnsi="Times New Roman" w:cs="Times New Roman"/>
              </w:rPr>
              <w:t xml:space="preserve"> Постоје докази у извјештајима у вези са тешком хипертензијом и брадикардијом код пацијената који су били на терапији неселективним бета блокаторима (укључујући пиндолол и пропранолол), који су примали епинерфин (адреналин). Ова клиничка запажања су потврђена у студијама на здравим испитаницима. Такође је напоменуто да епинерфин, примијењен као локална анестезија, може довести до ових реакција приликом интравазалне примјене. Ризик би требало да буде знатно мањи са кардиоселективним бета блокаторима.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Фенилпропаноламин:</w:t>
            </w:r>
            <w:r w:rsidRPr="009038E9">
              <w:rPr>
                <w:rFonts w:ascii="Times New Roman" w:hAnsi="Times New Roman" w:cs="Times New Roman"/>
              </w:rPr>
              <w:t xml:space="preserve"> Фенилпропраноламин (норефедрин) у појединачним дозама од 50 mg може да повећа дијастолни крвни притисак до патолошких вриједности код здравих испитаника. Уопштено, пропранолол се супроставља повећању крвног притиска примјеном фенилопропанолoла. Међутим, бета блокатори могу довести до парадоксалних хипертензивних реакција код пацијената који узимају високе дозе фенилпропраноламина. У пар случаја су се током терапије само фенилпропраноламином јавиле хипертензивне кризе.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Хинидин:</w:t>
            </w:r>
            <w:r w:rsidRPr="009038E9">
              <w:rPr>
                <w:rFonts w:ascii="Times New Roman" w:hAnsi="Times New Roman" w:cs="Times New Roman"/>
              </w:rPr>
              <w:t xml:space="preserve"> Хинидин инхибира метаболизам метопролола у тзв. „брзим хидроксилацијама” (нешто више од 90% у Шведској), са значајним повећањем вриједности у плазми, резултира повећањем бета блокаде. Може се очекивати да се слична реакција јави приликом примјене бета блокатора који се метаболишу истим ензимом (цитохром P450 2D6).</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Симпатички ганглијски блокатори или други бета блокатори:</w:t>
            </w:r>
            <w:r w:rsidRPr="009038E9">
              <w:rPr>
                <w:rFonts w:ascii="Times New Roman" w:hAnsi="Times New Roman" w:cs="Times New Roman"/>
              </w:rPr>
              <w:t xml:space="preserve"> Пацијенте који су на истовременој терапији симпатичким ганглијским блокаторима или другим бета блокаторима (нпр. који се налазе у капима за очи)</w:t>
            </w:r>
            <w:r w:rsidRPr="009038E9">
              <w:rPr>
                <w:rFonts w:ascii="Times New Roman" w:hAnsi="Times New Roman" w:cs="Times New Roman"/>
                <w:lang w:val="sr-Cyrl-CS"/>
              </w:rPr>
              <w:t>,</w:t>
            </w:r>
            <w:r w:rsidRPr="009038E9">
              <w:rPr>
                <w:rFonts w:ascii="Times New Roman" w:hAnsi="Times New Roman" w:cs="Times New Roman"/>
              </w:rPr>
              <w:t xml:space="preserve"> љекар мора континуирано и пажљиво да прати.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МАО инхибитори:</w:t>
            </w:r>
            <w:r w:rsidRPr="009038E9">
              <w:rPr>
                <w:rFonts w:ascii="Times New Roman" w:hAnsi="Times New Roman" w:cs="Times New Roman"/>
              </w:rPr>
              <w:t xml:space="preserve"> МАО инхибиторе треба користити са опрезом јер истовремена примјена бета-блокатора може довести до брадикардије и повећаног хипотензивног ефекта. Праћење крвног притиска и срчане фреквенције се препоручује на почетку терапије при иницијалним дозама.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Централно дјелујући антихипертензиви (клонидин, гванфацин, моксонидин, метилдопа, рилменидин):</w:t>
            </w:r>
            <w:r w:rsidRPr="009038E9">
              <w:rPr>
                <w:rFonts w:ascii="Times New Roman" w:hAnsi="Times New Roman" w:cs="Times New Roman"/>
              </w:rPr>
              <w:t xml:space="preserve"> Нагли прекид терапије, посебно ако је прије прекида терапије бета блокаторима, може повећати ризик од „повратне хипертензије”.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Истовремена употреба клонидина са неселективним бета блокатором, а можда и са селективним бета блокатором, повећава ризик од повратне хипертензије. Ако се клонидин примјењује истовремено, примјену клонидинског лијека треба наставити неко вријеме након што се терапија бета блокаторима прекине.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lastRenderedPageBreak/>
              <w:t>Пароксетин:</w:t>
            </w:r>
            <w:r w:rsidRPr="009038E9">
              <w:rPr>
                <w:rFonts w:ascii="Times New Roman" w:hAnsi="Times New Roman" w:cs="Times New Roman"/>
              </w:rPr>
              <w:t xml:space="preserve"> Може повећати вриједности метопролола у плазми што резултује повећањем ефеката бета блокатора.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Ерготамин:</w:t>
            </w:r>
            <w:r w:rsidRPr="009038E9">
              <w:rPr>
                <w:rFonts w:ascii="Times New Roman" w:hAnsi="Times New Roman" w:cs="Times New Roman"/>
              </w:rPr>
              <w:t xml:space="preserve"> Како бета блокатори могу утицати на периферну циркулацију, потребно је водити рачуна приликом истовремене примјене љекова са сличним дејством, </w:t>
            </w:r>
            <w:r w:rsidRPr="009038E9">
              <w:rPr>
                <w:rFonts w:ascii="Times New Roman" w:hAnsi="Times New Roman" w:cs="Times New Roman"/>
                <w:lang w:val="sr-Cyrl-CS"/>
              </w:rPr>
              <w:t xml:space="preserve">као што је </w:t>
            </w:r>
            <w:r w:rsidRPr="009038E9">
              <w:rPr>
                <w:rFonts w:ascii="Times New Roman" w:hAnsi="Times New Roman" w:cs="Times New Roman"/>
              </w:rPr>
              <w:t>нпр.</w:t>
            </w:r>
            <w:r w:rsidRPr="009038E9">
              <w:rPr>
                <w:rFonts w:ascii="Times New Roman" w:hAnsi="Times New Roman" w:cs="Times New Roman"/>
                <w:lang w:val="sr-Cyrl-CS"/>
              </w:rPr>
              <w:t xml:space="preserve"> </w:t>
            </w:r>
            <w:r w:rsidRPr="009038E9">
              <w:rPr>
                <w:rFonts w:ascii="Times New Roman" w:hAnsi="Times New Roman" w:cs="Times New Roman"/>
              </w:rPr>
              <w:t>ерготамин.</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Нитрати:</w:t>
            </w:r>
            <w:r w:rsidRPr="009038E9">
              <w:rPr>
                <w:rFonts w:ascii="Times New Roman" w:hAnsi="Times New Roman" w:cs="Times New Roman"/>
              </w:rPr>
              <w:t xml:space="preserve"> Нитрати могу повећати хипотензивни ефекат метопролола.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Парасимпатомиметици:</w:t>
            </w:r>
            <w:r w:rsidRPr="009038E9">
              <w:rPr>
                <w:rFonts w:ascii="Times New Roman" w:hAnsi="Times New Roman" w:cs="Times New Roman"/>
              </w:rPr>
              <w:t xml:space="preserve"> Истовремена употреба парасимпатомиметика може резултирати продуженом брадикардијом.</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Симпатомиметици:</w:t>
            </w:r>
            <w:r w:rsidRPr="009038E9">
              <w:rPr>
                <w:rFonts w:ascii="Times New Roman" w:hAnsi="Times New Roman" w:cs="Times New Roman"/>
              </w:rPr>
              <w:t xml:space="preserve"> Метопролол може да антагонизује β1 ефекат симпатомиметика али може имати мали утицај на бронходилататорни ефекат β2 агониста при нормалној терапијској дози.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Општи анестетици:</w:t>
            </w:r>
            <w:r w:rsidRPr="009038E9">
              <w:rPr>
                <w:rFonts w:ascii="Times New Roman" w:hAnsi="Times New Roman" w:cs="Times New Roman"/>
              </w:rPr>
              <w:t xml:space="preserve"> Могуће је повећање кардио-депресивног ефекта након истовремене примјене са инхалационим анестетицима; међутим, како бета блокада може спријечити прекомјерне флуктуације крвног притиска док је пацијент интубиран и брзо је антагонизован бета симпатомиметиком, истовремена употреба није контраиндикована (видјети одјељак 4.4).</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Инсулин и орални антидијабетици:</w:t>
            </w:r>
            <w:r w:rsidRPr="009038E9">
              <w:rPr>
                <w:rFonts w:ascii="Times New Roman" w:hAnsi="Times New Roman" w:cs="Times New Roman"/>
              </w:rPr>
              <w:t xml:space="preserve"> Ефекат инсулина на смањење вриједности глукозе у крви и оралних антидијабетика може се интензивирати бета блокаторима, посебно неселективним бета блокаторима. У овом случају, дозирање оралног антидијабетика мора бити прилагођено.</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Алфа блокатори као што су: празосин, тамсулосин, теразосин, доксазозин:</w:t>
            </w:r>
            <w:r w:rsidRPr="009038E9">
              <w:rPr>
                <w:rFonts w:ascii="Times New Roman" w:hAnsi="Times New Roman" w:cs="Times New Roman"/>
              </w:rPr>
              <w:t xml:space="preserve"> Повећани ризик од хипотензије, посебно тешке ортостатске хипотензије.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Флоктафенин:</w:t>
            </w:r>
            <w:r w:rsidRPr="009038E9">
              <w:rPr>
                <w:rFonts w:ascii="Times New Roman" w:hAnsi="Times New Roman" w:cs="Times New Roman"/>
              </w:rPr>
              <w:t xml:space="preserve"> Бета блокатори могу ометати компензаторне кардиоваскуларне реакције повезане са хипотензијом или шоком, који може изазвати флоктафенин.</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Миорелаксанси:</w:t>
            </w:r>
            <w:r w:rsidRPr="009038E9">
              <w:rPr>
                <w:rFonts w:ascii="Times New Roman" w:hAnsi="Times New Roman" w:cs="Times New Roman"/>
              </w:rPr>
              <w:t xml:space="preserve"> Кураре мишићни релаксанс примијењен са метопрололом побољшава неуромускуларну блокаду. Треба пратити крвни притисак и прилагодити дозирање антихипертензива ако је потребно.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Лидокаин:</w:t>
            </w:r>
            <w:r w:rsidRPr="009038E9">
              <w:rPr>
                <w:rFonts w:ascii="Times New Roman" w:hAnsi="Times New Roman" w:cs="Times New Roman"/>
              </w:rPr>
              <w:t xml:space="preserve"> Клиренс лидокаина може бити смањен приликом употребе метопролола.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Индуктори ензима јетре:</w:t>
            </w:r>
            <w:r w:rsidRPr="009038E9">
              <w:rPr>
                <w:rFonts w:ascii="Times New Roman" w:hAnsi="Times New Roman" w:cs="Times New Roman"/>
              </w:rPr>
              <w:t xml:space="preserve"> Љекови који индукују ензиме (нпр. рифампицин) могу смањити концентрације метопролола у плазми.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Мефлокин:</w:t>
            </w:r>
            <w:r w:rsidRPr="009038E9">
              <w:rPr>
                <w:rFonts w:ascii="Times New Roman" w:hAnsi="Times New Roman" w:cs="Times New Roman"/>
              </w:rPr>
              <w:t xml:space="preserve"> Повећан ризик од брадикардије.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t>Антациди:</w:t>
            </w:r>
            <w:r w:rsidRPr="009038E9">
              <w:rPr>
                <w:rFonts w:ascii="Times New Roman" w:hAnsi="Times New Roman" w:cs="Times New Roman"/>
              </w:rPr>
              <w:t xml:space="preserve"> Повећање концентрација метопролола у плазми је примијећено када се лијек истовремено примјењује са антацидом.</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u w:val="single"/>
              </w:rPr>
              <w:lastRenderedPageBreak/>
              <w:t>Алкохол:</w:t>
            </w:r>
            <w:r w:rsidRPr="009038E9">
              <w:rPr>
                <w:rFonts w:ascii="Times New Roman" w:hAnsi="Times New Roman" w:cs="Times New Roman"/>
              </w:rPr>
              <w:t xml:space="preserve"> Током истовременог конзумирања алкохола и метопролола</w:t>
            </w:r>
            <w:r w:rsidRPr="009038E9">
              <w:rPr>
                <w:rFonts w:ascii="Times New Roman" w:hAnsi="Times New Roman" w:cs="Times New Roman"/>
                <w:lang w:val="sr-Cyrl-CS"/>
              </w:rPr>
              <w:t>,</w:t>
            </w:r>
            <w:r w:rsidRPr="009038E9">
              <w:rPr>
                <w:rFonts w:ascii="Times New Roman" w:hAnsi="Times New Roman" w:cs="Times New Roman"/>
              </w:rPr>
              <w:t xml:space="preserve"> концентрација алкохола у крви може да достигне веће вриједности и може спорије опадати.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Ефекти метопролола и других антихипертензивних љекова на крвни притисак су обично адитивни. Треба водити рачуна о комбинацији са другим антихипертензивним љековима или љековима који могу смањити крвни притисак, као што су: трициклични антидепресиви, барбитурати и фенотиазини. Међутим, комбинације антихипертензивних љекова се често могу користити за бољу контролу хипертензије.</w:t>
            </w:r>
          </w:p>
          <w:p w:rsidR="009038E9" w:rsidRPr="009038E9" w:rsidRDefault="009038E9" w:rsidP="009038E9">
            <w:pPr>
              <w:autoSpaceDE w:val="0"/>
              <w:autoSpaceDN w:val="0"/>
              <w:adjustRightInd w:val="0"/>
              <w:spacing w:after="0"/>
              <w:jc w:val="both"/>
              <w:rPr>
                <w:rFonts w:ascii="Times New Roman" w:hAnsi="Times New Roman" w:cs="Times New Roman"/>
                <w:b/>
                <w:bCs/>
                <w:lang w:val="mk-MK"/>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noProof/>
                <w:lang w:val="sr-Latn-ME"/>
              </w:rPr>
            </w:pPr>
            <w:r w:rsidRPr="009038E9">
              <w:rPr>
                <w:rFonts w:ascii="Times New Roman" w:hAnsi="Times New Roman" w:cs="Times New Roman"/>
                <w:b/>
                <w:bCs/>
                <w:noProof/>
                <w:lang w:val="sr-Latn-ME"/>
              </w:rPr>
              <w:lastRenderedPageBreak/>
              <w:t xml:space="preserve">4.6. </w:t>
            </w:r>
            <w:r w:rsidRPr="009038E9">
              <w:rPr>
                <w:rFonts w:ascii="Times New Roman" w:hAnsi="Times New Roman" w:cs="Times New Roman"/>
                <w:b/>
                <w:bCs/>
                <w:noProof/>
                <w:lang w:val="sr-Cyrl-RS"/>
              </w:rPr>
              <w:t xml:space="preserve">Плодност, </w:t>
            </w:r>
            <w:r w:rsidRPr="009038E9">
              <w:rPr>
                <w:rFonts w:ascii="Times New Roman" w:hAnsi="Times New Roman" w:cs="Times New Roman"/>
                <w:b/>
                <w:bCs/>
                <w:noProof/>
                <w:lang w:val="sr-Latn-ME"/>
              </w:rPr>
              <w:t>трудноћ</w:t>
            </w:r>
            <w:r w:rsidRPr="009038E9">
              <w:rPr>
                <w:rFonts w:ascii="Times New Roman" w:hAnsi="Times New Roman" w:cs="Times New Roman"/>
                <w:b/>
                <w:bCs/>
                <w:noProof/>
                <w:lang w:val="sr-Cyrl-RS"/>
              </w:rPr>
              <w:t>а</w:t>
            </w:r>
            <w:r w:rsidRPr="009038E9">
              <w:rPr>
                <w:rFonts w:ascii="Times New Roman" w:hAnsi="Times New Roman" w:cs="Times New Roman"/>
                <w:b/>
                <w:bCs/>
                <w:noProof/>
                <w:lang w:val="sr-Latn-ME"/>
              </w:rPr>
              <w:t xml:space="preserve"> и дојењ</w:t>
            </w:r>
            <w:r w:rsidRPr="009038E9">
              <w:rPr>
                <w:rFonts w:ascii="Times New Roman" w:hAnsi="Times New Roman" w:cs="Times New Roman"/>
                <w:b/>
                <w:bCs/>
                <w:noProof/>
                <w:lang w:val="sr-Cyrl-RS"/>
              </w:rPr>
              <w:t>е</w:t>
            </w:r>
          </w:p>
        </w:tc>
      </w:tr>
      <w:tr w:rsidR="009038E9" w:rsidRPr="009038E9" w:rsidTr="003555B8">
        <w:tc>
          <w:tcPr>
            <w:tcW w:w="10031" w:type="dxa"/>
            <w:gridSpan w:val="4"/>
            <w:vAlign w:val="center"/>
          </w:tcPr>
          <w:p w:rsidR="009038E9" w:rsidRPr="009038E9" w:rsidRDefault="009038E9" w:rsidP="009038E9">
            <w:pPr>
              <w:pStyle w:val="NoSpacing"/>
              <w:jc w:val="both"/>
              <w:rPr>
                <w:rFonts w:ascii="Times New Roman" w:hAnsi="Times New Roman"/>
                <w:bCs/>
                <w:lang w:val="mk-MK"/>
              </w:rPr>
            </w:pPr>
          </w:p>
          <w:p w:rsidR="009038E9" w:rsidRPr="009038E9" w:rsidRDefault="009038E9" w:rsidP="009038E9">
            <w:pPr>
              <w:autoSpaceDE w:val="0"/>
              <w:autoSpaceDN w:val="0"/>
              <w:adjustRightInd w:val="0"/>
              <w:spacing w:after="0"/>
              <w:jc w:val="both"/>
              <w:rPr>
                <w:rFonts w:ascii="Times New Roman" w:hAnsi="Times New Roman" w:cs="Times New Roman"/>
                <w:bCs/>
                <w:u w:val="single"/>
              </w:rPr>
            </w:pPr>
            <w:r w:rsidRPr="009038E9">
              <w:rPr>
                <w:rFonts w:ascii="Times New Roman" w:hAnsi="Times New Roman" w:cs="Times New Roman"/>
                <w:bCs/>
                <w:u w:val="single"/>
              </w:rPr>
              <w:t>Трудноћа</w:t>
            </w:r>
          </w:p>
          <w:p w:rsidR="009038E9" w:rsidRPr="009038E9" w:rsidRDefault="009038E9" w:rsidP="009038E9">
            <w:pPr>
              <w:autoSpaceDE w:val="0"/>
              <w:autoSpaceDN w:val="0"/>
              <w:adjustRightInd w:val="0"/>
              <w:spacing w:after="0"/>
              <w:jc w:val="both"/>
              <w:rPr>
                <w:rFonts w:ascii="Times New Roman" w:hAnsi="Times New Roman" w:cs="Times New Roman"/>
                <w:bCs/>
              </w:rPr>
            </w:pPr>
            <w:r w:rsidRPr="009038E9">
              <w:rPr>
                <w:rFonts w:ascii="Times New Roman" w:hAnsi="Times New Roman" w:cs="Times New Roman"/>
                <w:bCs/>
              </w:rPr>
              <w:t xml:space="preserve">Како не постоје контролисане студије примјене метопролола у трудноћи, метопролол треба користити само уколико је корист примјене лијека код мајке већа од ризика </w:t>
            </w:r>
            <w:r w:rsidRPr="009038E9">
              <w:rPr>
                <w:rFonts w:ascii="Times New Roman" w:hAnsi="Times New Roman" w:cs="Times New Roman"/>
                <w:bCs/>
                <w:lang w:val="sr-Cyrl-CS"/>
              </w:rPr>
              <w:t>з</w:t>
            </w:r>
            <w:r w:rsidRPr="009038E9">
              <w:rPr>
                <w:rFonts w:ascii="Times New Roman" w:hAnsi="Times New Roman" w:cs="Times New Roman"/>
                <w:bCs/>
              </w:rPr>
              <w:t>а плод/фетус.</w:t>
            </w:r>
          </w:p>
          <w:p w:rsidR="009038E9" w:rsidRPr="009038E9" w:rsidRDefault="009038E9" w:rsidP="009038E9">
            <w:pPr>
              <w:autoSpaceDE w:val="0"/>
              <w:autoSpaceDN w:val="0"/>
              <w:adjustRightInd w:val="0"/>
              <w:spacing w:after="0"/>
              <w:jc w:val="both"/>
              <w:rPr>
                <w:rFonts w:ascii="Times New Roman" w:hAnsi="Times New Roman" w:cs="Times New Roman"/>
                <w:bCs/>
              </w:rPr>
            </w:pPr>
          </w:p>
          <w:p w:rsidR="009038E9" w:rsidRPr="009038E9" w:rsidRDefault="009038E9" w:rsidP="009038E9">
            <w:pPr>
              <w:autoSpaceDE w:val="0"/>
              <w:autoSpaceDN w:val="0"/>
              <w:adjustRightInd w:val="0"/>
              <w:spacing w:after="0"/>
              <w:jc w:val="both"/>
              <w:rPr>
                <w:rFonts w:ascii="Times New Roman" w:hAnsi="Times New Roman" w:cs="Times New Roman"/>
                <w:bCs/>
              </w:rPr>
            </w:pPr>
            <w:r w:rsidRPr="009038E9">
              <w:rPr>
                <w:rFonts w:ascii="Times New Roman" w:hAnsi="Times New Roman" w:cs="Times New Roman"/>
                <w:bCs/>
              </w:rPr>
              <w:t xml:space="preserve">Бета блокатори изазивају смањење протока крви кроз плаценту и могу довести до смрти плода или пријевременог порођаја. Поремећаји интраутериног раста су пријављени након дуготрајне примјене код трудница са благом до умјереном хипертензијом. Пријављено је да бета блокатори могу пролонгирати порођај и изазвати брадикардију код плода и новорођенчади. Такође, постоје извјештаји </w:t>
            </w:r>
            <w:r w:rsidRPr="009038E9">
              <w:rPr>
                <w:rFonts w:ascii="Times New Roman" w:hAnsi="Times New Roman" w:cs="Times New Roman"/>
                <w:bCs/>
                <w:lang w:val="sr-Cyrl-CS"/>
              </w:rPr>
              <w:t xml:space="preserve">о случајевима </w:t>
            </w:r>
            <w:r w:rsidRPr="009038E9">
              <w:rPr>
                <w:rFonts w:ascii="Times New Roman" w:hAnsi="Times New Roman" w:cs="Times New Roman"/>
                <w:bCs/>
              </w:rPr>
              <w:t>хипогликемије, хипотоније, повећаних нивоа билирубина у крви</w:t>
            </w:r>
            <w:r w:rsidRPr="009038E9">
              <w:rPr>
                <w:rFonts w:ascii="Times New Roman" w:hAnsi="Times New Roman" w:cs="Times New Roman"/>
                <w:bCs/>
                <w:lang w:val="sr-Cyrl-CS"/>
              </w:rPr>
              <w:t>,</w:t>
            </w:r>
            <w:r w:rsidRPr="009038E9">
              <w:rPr>
                <w:rFonts w:ascii="Times New Roman" w:hAnsi="Times New Roman" w:cs="Times New Roman"/>
              </w:rPr>
              <w:t xml:space="preserve"> </w:t>
            </w:r>
            <w:r w:rsidRPr="009038E9">
              <w:rPr>
                <w:rFonts w:ascii="Times New Roman" w:hAnsi="Times New Roman" w:cs="Times New Roman"/>
                <w:bCs/>
              </w:rPr>
              <w:t xml:space="preserve">и </w:t>
            </w:r>
            <w:r w:rsidRPr="009038E9">
              <w:rPr>
                <w:rFonts w:ascii="Times New Roman" w:hAnsi="Times New Roman" w:cs="Times New Roman"/>
                <w:bCs/>
                <w:lang w:val="sr-Cyrl-CS"/>
              </w:rPr>
              <w:t xml:space="preserve">да </w:t>
            </w:r>
            <w:r w:rsidRPr="009038E9">
              <w:rPr>
                <w:rFonts w:ascii="Times New Roman" w:hAnsi="Times New Roman" w:cs="Times New Roman"/>
                <w:bCs/>
              </w:rPr>
              <w:t xml:space="preserve">дају инхибирани одговор на аноксију код новорођенчади. Због тога треба користити најмању могућу дозу, и </w:t>
            </w:r>
            <w:r w:rsidRPr="009038E9">
              <w:rPr>
                <w:rFonts w:ascii="Times New Roman" w:hAnsi="Times New Roman" w:cs="Times New Roman"/>
                <w:bCs/>
                <w:lang w:val="mk-MK"/>
              </w:rPr>
              <w:t>т</w:t>
            </w:r>
            <w:r w:rsidRPr="009038E9">
              <w:rPr>
                <w:rFonts w:ascii="Times New Roman" w:hAnsi="Times New Roman" w:cs="Times New Roman"/>
                <w:bCs/>
              </w:rPr>
              <w:t>ерапија метопрололом треба да се заврши 48-72 сата прије предвиђеног термина порођаја. Уколико ово није могуће, новорођенче треба пратити због симптома бета блокаде (могуће појаве срчане и респираторне компликације) након 48-72 сата од рођења.</w:t>
            </w:r>
          </w:p>
          <w:p w:rsidR="009038E9" w:rsidRPr="009038E9" w:rsidRDefault="009038E9" w:rsidP="009038E9">
            <w:pPr>
              <w:autoSpaceDE w:val="0"/>
              <w:autoSpaceDN w:val="0"/>
              <w:adjustRightInd w:val="0"/>
              <w:spacing w:after="0"/>
              <w:jc w:val="both"/>
              <w:rPr>
                <w:rFonts w:ascii="Times New Roman" w:hAnsi="Times New Roman" w:cs="Times New Roman"/>
                <w:bCs/>
              </w:rPr>
            </w:pPr>
          </w:p>
          <w:p w:rsidR="009038E9" w:rsidRPr="009038E9" w:rsidRDefault="009038E9" w:rsidP="009038E9">
            <w:pPr>
              <w:autoSpaceDE w:val="0"/>
              <w:autoSpaceDN w:val="0"/>
              <w:adjustRightInd w:val="0"/>
              <w:spacing w:after="0"/>
              <w:jc w:val="both"/>
              <w:rPr>
                <w:rFonts w:ascii="Times New Roman" w:hAnsi="Times New Roman" w:cs="Times New Roman"/>
                <w:lang w:val="sr-Latn-RS"/>
              </w:rPr>
            </w:pPr>
            <w:r w:rsidRPr="009038E9">
              <w:rPr>
                <w:rFonts w:ascii="Times New Roman" w:hAnsi="Times New Roman" w:cs="Times New Roman"/>
              </w:rPr>
              <w:t>У испитивањима на животињама, бета блокатори нијесу показали тератогени потенцијал, али је забиљежен смањен проток крви кроз пупчану врпцу, застој у расту, смањено окоштавање и повећан број феталне и постнаталне смрти</w:t>
            </w:r>
            <w:r w:rsidRPr="009038E9">
              <w:rPr>
                <w:rFonts w:ascii="Times New Roman" w:hAnsi="Times New Roman" w:cs="Times New Roman"/>
                <w:lang w:val="sr-Latn-RS"/>
              </w:rPr>
              <w:t>.</w:t>
            </w:r>
          </w:p>
          <w:p w:rsidR="009038E9" w:rsidRPr="009038E9" w:rsidRDefault="009038E9" w:rsidP="009038E9">
            <w:pPr>
              <w:autoSpaceDE w:val="0"/>
              <w:autoSpaceDN w:val="0"/>
              <w:adjustRightInd w:val="0"/>
              <w:spacing w:after="0"/>
              <w:jc w:val="both"/>
              <w:rPr>
                <w:rFonts w:ascii="Times New Roman" w:hAnsi="Times New Roman" w:cs="Times New Roman"/>
                <w:bCs/>
              </w:rPr>
            </w:pPr>
          </w:p>
          <w:p w:rsidR="009038E9" w:rsidRPr="009038E9" w:rsidRDefault="009038E9" w:rsidP="009038E9">
            <w:pPr>
              <w:autoSpaceDE w:val="0"/>
              <w:autoSpaceDN w:val="0"/>
              <w:adjustRightInd w:val="0"/>
              <w:spacing w:after="0"/>
              <w:jc w:val="both"/>
              <w:rPr>
                <w:rFonts w:ascii="Times New Roman" w:hAnsi="Times New Roman" w:cs="Times New Roman"/>
                <w:bCs/>
                <w:u w:val="single"/>
              </w:rPr>
            </w:pPr>
            <w:r w:rsidRPr="009038E9">
              <w:rPr>
                <w:rFonts w:ascii="Times New Roman" w:hAnsi="Times New Roman" w:cs="Times New Roman"/>
                <w:bCs/>
                <w:u w:val="single"/>
              </w:rPr>
              <w:t>Дојење</w:t>
            </w:r>
          </w:p>
          <w:p w:rsidR="009038E9" w:rsidRPr="009038E9" w:rsidRDefault="009038E9" w:rsidP="009038E9">
            <w:pPr>
              <w:autoSpaceDE w:val="0"/>
              <w:autoSpaceDN w:val="0"/>
              <w:adjustRightInd w:val="0"/>
              <w:spacing w:after="0"/>
              <w:jc w:val="both"/>
              <w:rPr>
                <w:rFonts w:ascii="Times New Roman" w:hAnsi="Times New Roman" w:cs="Times New Roman"/>
                <w:b/>
                <w:bCs/>
                <w:lang w:val="sr-Latn-ME"/>
              </w:rPr>
            </w:pPr>
            <w:r w:rsidRPr="009038E9">
              <w:rPr>
                <w:rFonts w:ascii="Times New Roman" w:hAnsi="Times New Roman" w:cs="Times New Roman"/>
                <w:bCs/>
              </w:rPr>
              <w:t>Метопролол постиже просјечно 3 пута више концентрације у мајчином млијеку у односу на мајчину плазму. Иако је ризик од нежељених реакција приликом употребе терапијских доза метопролола код одојчета мали</w:t>
            </w:r>
            <w:r w:rsidRPr="009038E9">
              <w:rPr>
                <w:rFonts w:ascii="Times New Roman" w:hAnsi="Times New Roman" w:cs="Times New Roman"/>
                <w:bCs/>
                <w:lang w:val="mk-MK"/>
              </w:rPr>
              <w:t xml:space="preserve"> </w:t>
            </w:r>
            <w:r w:rsidRPr="009038E9">
              <w:rPr>
                <w:rFonts w:ascii="Times New Roman" w:hAnsi="Times New Roman" w:cs="Times New Roman"/>
                <w:bCs/>
              </w:rPr>
              <w:t>(осим код пацијената са слабим метаболичким капацитетом), потребно је пратити знакове бета блокаде код одојчади.</w:t>
            </w:r>
          </w:p>
        </w:tc>
      </w:tr>
      <w:tr w:rsidR="009038E9" w:rsidRPr="009038E9" w:rsidTr="003555B8">
        <w:trPr>
          <w:trHeight w:val="637"/>
        </w:trPr>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4.7. Утицај на способност управљања возил</w:t>
            </w:r>
            <w:r w:rsidRPr="009038E9">
              <w:rPr>
                <w:rFonts w:ascii="Times New Roman" w:hAnsi="Times New Roman" w:cs="Times New Roman"/>
                <w:b/>
                <w:bCs/>
                <w:noProof/>
                <w:lang w:val="sr-Cyrl-RS"/>
              </w:rPr>
              <w:t>и</w:t>
            </w:r>
            <w:r w:rsidRPr="009038E9">
              <w:rPr>
                <w:rFonts w:ascii="Times New Roman" w:hAnsi="Times New Roman" w:cs="Times New Roman"/>
                <w:b/>
                <w:bCs/>
                <w:noProof/>
                <w:lang w:val="sr-Latn-ME"/>
              </w:rPr>
              <w:t>м</w:t>
            </w:r>
            <w:r w:rsidRPr="009038E9">
              <w:rPr>
                <w:rFonts w:ascii="Times New Roman" w:hAnsi="Times New Roman" w:cs="Times New Roman"/>
                <w:b/>
                <w:bCs/>
                <w:noProof/>
                <w:lang w:val="sr-Cyrl-RS"/>
              </w:rPr>
              <w:t>а</w:t>
            </w:r>
            <w:r w:rsidRPr="009038E9">
              <w:rPr>
                <w:rFonts w:ascii="Times New Roman" w:hAnsi="Times New Roman" w:cs="Times New Roman"/>
                <w:b/>
                <w:bCs/>
                <w:noProof/>
                <w:lang w:val="sr-Latn-ME"/>
              </w:rPr>
              <w:t xml:space="preserve"> и руковањ</w:t>
            </w:r>
            <w:r w:rsidRPr="009038E9">
              <w:rPr>
                <w:rFonts w:ascii="Times New Roman" w:hAnsi="Times New Roman" w:cs="Times New Roman"/>
                <w:b/>
                <w:bCs/>
                <w:noProof/>
                <w:lang w:val="sr-Cyrl-RS"/>
              </w:rPr>
              <w:t>е</w:t>
            </w:r>
            <w:r w:rsidRPr="009038E9">
              <w:rPr>
                <w:rFonts w:ascii="Times New Roman" w:hAnsi="Times New Roman" w:cs="Times New Roman"/>
                <w:b/>
                <w:bCs/>
                <w:noProof/>
                <w:lang w:val="sr-Latn-ME"/>
              </w:rPr>
              <w:t xml:space="preserve"> машинама</w:t>
            </w:r>
          </w:p>
        </w:tc>
      </w:tr>
      <w:tr w:rsidR="009038E9" w:rsidRPr="009038E9" w:rsidTr="003555B8">
        <w:trPr>
          <w:trHeight w:val="1145"/>
        </w:trPr>
        <w:tc>
          <w:tcPr>
            <w:tcW w:w="10031" w:type="dxa"/>
            <w:gridSpan w:val="4"/>
            <w:vAlign w:val="center"/>
          </w:tcPr>
          <w:p w:rsidR="009038E9" w:rsidRPr="009038E9" w:rsidRDefault="009038E9" w:rsidP="009038E9">
            <w:pPr>
              <w:autoSpaceDE w:val="0"/>
              <w:autoSpaceDN w:val="0"/>
              <w:adjustRightInd w:val="0"/>
              <w:spacing w:after="0"/>
              <w:jc w:val="both"/>
              <w:rPr>
                <w:rFonts w:ascii="Times New Roman" w:hAnsi="Times New Roman" w:cs="Times New Roman"/>
                <w:bCs/>
              </w:rPr>
            </w:pPr>
            <w:r w:rsidRPr="009038E9">
              <w:rPr>
                <w:rFonts w:ascii="Times New Roman" w:hAnsi="Times New Roman" w:cs="Times New Roman"/>
                <w:bCs/>
              </w:rPr>
              <w:t>Као и сви бета блокатори, и метопролол може утицати на способност пацијента да вози и управља машинама. Треба узети у обзир да се могу јавити вртоглавица и умор.</w:t>
            </w:r>
            <w:r w:rsidRPr="009038E9">
              <w:rPr>
                <w:rFonts w:ascii="Times New Roman" w:hAnsi="Times New Roman" w:cs="Times New Roman"/>
                <w:bCs/>
                <w:lang w:val="mk-MK"/>
              </w:rPr>
              <w:t xml:space="preserve"> Пацијенте на то треба упозорити. Ови ефекти се могу појачати у случају истовременог конзумирања алкохола или након промјене терапије другим лијеком.</w:t>
            </w:r>
          </w:p>
          <w:p w:rsidR="009038E9" w:rsidRPr="009038E9" w:rsidRDefault="009038E9" w:rsidP="009038E9">
            <w:pPr>
              <w:autoSpaceDE w:val="0"/>
              <w:autoSpaceDN w:val="0"/>
              <w:adjustRightInd w:val="0"/>
              <w:spacing w:after="0"/>
              <w:jc w:val="both"/>
              <w:rPr>
                <w:rFonts w:ascii="Times New Roman" w:hAnsi="Times New Roman" w:cs="Times New Roman"/>
                <w:lang w:val="mk-MK"/>
              </w:rPr>
            </w:pPr>
          </w:p>
        </w:tc>
      </w:tr>
      <w:tr w:rsidR="009038E9" w:rsidRPr="009038E9" w:rsidTr="003555B8">
        <w:tc>
          <w:tcPr>
            <w:tcW w:w="10031" w:type="dxa"/>
            <w:gridSpan w:val="4"/>
            <w:vAlign w:val="center"/>
          </w:tcPr>
          <w:p w:rsidR="009038E9" w:rsidRDefault="009038E9" w:rsidP="009038E9">
            <w:pPr>
              <w:pStyle w:val="Header"/>
              <w:tabs>
                <w:tab w:val="left" w:pos="284"/>
              </w:tabs>
              <w:jc w:val="both"/>
              <w:rPr>
                <w:rFonts w:ascii="Times New Roman" w:hAnsi="Times New Roman" w:cs="Times New Roman"/>
                <w:b/>
                <w:bCs/>
                <w:noProof/>
                <w:lang w:val="sr-Latn-ME"/>
              </w:rPr>
            </w:pPr>
          </w:p>
          <w:p w:rsidR="009038E9" w:rsidRDefault="009038E9" w:rsidP="009038E9">
            <w:pPr>
              <w:pStyle w:val="Header"/>
              <w:tabs>
                <w:tab w:val="left" w:pos="284"/>
              </w:tabs>
              <w:jc w:val="both"/>
              <w:rPr>
                <w:rFonts w:ascii="Times New Roman" w:hAnsi="Times New Roman" w:cs="Times New Roman"/>
                <w:b/>
                <w:bCs/>
                <w:noProof/>
                <w:lang w:val="sr-Latn-ME"/>
              </w:rPr>
            </w:pPr>
          </w:p>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4.8. Нежељена дејства</w:t>
            </w:r>
          </w:p>
        </w:tc>
      </w:tr>
      <w:tr w:rsidR="009038E9" w:rsidRPr="009038E9" w:rsidTr="00EE4185">
        <w:trPr>
          <w:trHeight w:val="456"/>
        </w:trPr>
        <w:tc>
          <w:tcPr>
            <w:tcW w:w="10031" w:type="dxa"/>
            <w:gridSpan w:val="4"/>
            <w:vAlign w:val="center"/>
          </w:tcPr>
          <w:p w:rsidR="009038E9" w:rsidRPr="009038E9" w:rsidRDefault="009038E9" w:rsidP="009038E9">
            <w:pPr>
              <w:spacing w:after="0"/>
              <w:jc w:val="both"/>
              <w:rPr>
                <w:rFonts w:ascii="Times New Roman" w:hAnsi="Times New Roman" w:cs="Times New Roman"/>
                <w:bCs/>
                <w:i/>
                <w:iCs/>
                <w:u w:val="single"/>
                <w:lang w:val="sr-Latn-ME"/>
              </w:rPr>
            </w:pPr>
          </w:p>
          <w:p w:rsidR="009038E9" w:rsidRPr="009038E9" w:rsidRDefault="009038E9" w:rsidP="009038E9">
            <w:pPr>
              <w:shd w:val="clear" w:color="auto" w:fill="FFFFFF"/>
              <w:spacing w:after="0"/>
              <w:jc w:val="both"/>
              <w:rPr>
                <w:rFonts w:ascii="Times New Roman" w:hAnsi="Times New Roman" w:cs="Times New Roman"/>
              </w:rPr>
            </w:pPr>
            <w:r w:rsidRPr="009038E9">
              <w:rPr>
                <w:rFonts w:ascii="Times New Roman" w:hAnsi="Times New Roman" w:cs="Times New Roman"/>
              </w:rPr>
              <w:t>Метопролол се добро подноси и нежељена дејства су углавном блага и реверзибилна. Најчешће пријављенo нежељено дејство током терапије је умор. Гангрена (код пацијената са тешким поремећајем периферне циркулације), тромбоцитопенијa и агранулоцитозa се могу јавити веома ријетко (</w:t>
            </w:r>
            <w:r w:rsidRPr="009038E9">
              <w:rPr>
                <w:rFonts w:ascii="Times New Roman" w:hAnsi="Times New Roman" w:cs="Times New Roman"/>
                <w:lang w:val="sr-Cyrl-ME"/>
              </w:rPr>
              <w:t xml:space="preserve">код </w:t>
            </w:r>
            <w:r w:rsidRPr="009038E9">
              <w:rPr>
                <w:rFonts w:ascii="Times New Roman" w:hAnsi="Times New Roman" w:cs="Times New Roman"/>
              </w:rPr>
              <w:t xml:space="preserve">мање од 1 </w:t>
            </w:r>
            <w:r w:rsidRPr="009038E9">
              <w:rPr>
                <w:rFonts w:ascii="Times New Roman" w:hAnsi="Times New Roman" w:cs="Times New Roman"/>
                <w:lang w:val="sr-Cyrl-ME"/>
              </w:rPr>
              <w:t>од</w:t>
            </w:r>
            <w:r w:rsidRPr="009038E9">
              <w:rPr>
                <w:rFonts w:ascii="Times New Roman" w:hAnsi="Times New Roman" w:cs="Times New Roman"/>
              </w:rPr>
              <w:t xml:space="preserve"> 10000 пацијената). Сљедећа нежељена дејства су пријављена током клиничких студија након редовне примјене. У многим случајевима веза са употребом метопролола (тартарата) није чврсто утврђена.</w:t>
            </w:r>
          </w:p>
          <w:p w:rsidR="009038E9" w:rsidRPr="009038E9" w:rsidRDefault="009038E9" w:rsidP="009038E9">
            <w:pPr>
              <w:spacing w:after="0"/>
              <w:jc w:val="both"/>
              <w:rPr>
                <w:rFonts w:ascii="Times New Roman" w:hAnsi="Times New Roman" w:cs="Times New Roman"/>
                <w:i/>
                <w:lang w:val="mk-M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528"/>
              <w:gridCol w:w="1701"/>
              <w:gridCol w:w="1559"/>
              <w:gridCol w:w="1701"/>
              <w:gridCol w:w="1559"/>
            </w:tblGrid>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Систем органа</w:t>
                  </w:r>
                </w:p>
              </w:tc>
              <w:tc>
                <w:tcPr>
                  <w:tcW w:w="1528"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lang w:val="mk-MK"/>
                    </w:rPr>
                    <w:t>в</w:t>
                  </w:r>
                  <w:r w:rsidRPr="00EE4185">
                    <w:rPr>
                      <w:rFonts w:ascii="Times New Roman" w:hAnsi="Times New Roman" w:cs="Times New Roman"/>
                    </w:rPr>
                    <w:t xml:space="preserve">еома честа </w:t>
                  </w:r>
                </w:p>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(≥1/10)</w:t>
                  </w:r>
                </w:p>
              </w:tc>
              <w:tc>
                <w:tcPr>
                  <w:tcW w:w="1701"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rPr>
                    <w:t xml:space="preserve">честа </w:t>
                  </w:r>
                </w:p>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(≥1/100 до &lt;1/10)</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повремена (≥1/1000 до &lt;1/100)</w:t>
                  </w:r>
                </w:p>
              </w:tc>
              <w:tc>
                <w:tcPr>
                  <w:tcW w:w="1701"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rPr>
                    <w:t xml:space="preserve">ријетка </w:t>
                  </w:r>
                </w:p>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(≥1/10000 до &lt;1/1000)</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веома ријетка (&lt;1/10000)</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bCs/>
                      <w:lang w:val="sr-Cyrl-CS"/>
                    </w:rPr>
                    <w:t>Поремећаји крви и лимфног система</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bCs/>
                      <w:lang w:val="mk-MK"/>
                    </w:rPr>
                    <w:t>Т</w:t>
                  </w:r>
                  <w:r w:rsidRPr="00EE4185">
                    <w:rPr>
                      <w:rFonts w:ascii="Times New Roman" w:hAnsi="Times New Roman" w:cs="Times New Roman"/>
                      <w:bCs/>
                      <w:lang w:val="sr-Cyrl-CS"/>
                    </w:rPr>
                    <w:t>ромбоцитопенија</w:t>
                  </w:r>
                  <w:r w:rsidRPr="00EE4185">
                    <w:rPr>
                      <w:rFonts w:ascii="Times New Roman" w:hAnsi="Times New Roman" w:cs="Times New Roman"/>
                      <w:bCs/>
                    </w:rPr>
                    <w:t xml:space="preserve">, леукопенија </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 xml:space="preserve">Ендокрини поремећаји </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Погоршања већ постојећег дијабетес мелитуса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метаболизма и исхране</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П</w:t>
                  </w:r>
                  <w:r w:rsidRPr="00EE4185">
                    <w:rPr>
                      <w:rFonts w:ascii="Times New Roman" w:hAnsi="Times New Roman" w:cs="Times New Roman"/>
                    </w:rPr>
                    <w:t>овећање тјелесне масе</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Психијатријски поремећаји</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Д</w:t>
                  </w:r>
                  <w:r w:rsidRPr="00EE4185">
                    <w:rPr>
                      <w:rFonts w:ascii="Times New Roman" w:hAnsi="Times New Roman" w:cs="Times New Roman"/>
                    </w:rPr>
                    <w:t>епресија, смањена концентрација, поспаност или несаница, ноћне море</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Нервоза, анксиозност</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 xml:space="preserve">Амнезија </w:t>
                  </w:r>
                  <w:r w:rsidRPr="00EE4185">
                    <w:rPr>
                      <w:rFonts w:ascii="Times New Roman" w:hAnsi="Times New Roman" w:cs="Times New Roman"/>
                      <w:lang w:val="mk-MK"/>
                    </w:rPr>
                    <w:t>или</w:t>
                  </w:r>
                  <w:r w:rsidRPr="00EE4185">
                    <w:rPr>
                      <w:rFonts w:ascii="Times New Roman" w:hAnsi="Times New Roman" w:cs="Times New Roman"/>
                    </w:rPr>
                    <w:t xml:space="preserve"> поремећај памћења, стање конфузије, халуцинације, промјене личности (тј. промјене расположења)</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нервног система</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Вртоглавица, главобоља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Парестезија</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ока</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вида, суве или иритиране очи, конјунктивитис</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уха и лабиринта</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 xml:space="preserve">Тинитус, поремећаји слуха </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lastRenderedPageBreak/>
                    <w:t>Кардиолошки поремећаји</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Брадикардија, поремећаји равнотеже (веома ријетко са синкопом), палпитације</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Повремено погоршање симптома срчане инсуфицијенције, AV блок првог степена, бол у грудима</w:t>
                  </w:r>
                </w:p>
              </w:tc>
              <w:tc>
                <w:tcPr>
                  <w:tcW w:w="1701"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rPr>
                    <w:t>Функционални симптоми срца,</w:t>
                  </w:r>
                </w:p>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 xml:space="preserve">аритмије, </w:t>
                  </w:r>
                  <w:r w:rsidRPr="00EE4185">
                    <w:rPr>
                      <w:rFonts w:ascii="Times New Roman" w:hAnsi="Times New Roman" w:cs="Times New Roman"/>
                      <w:lang w:val="mk-MK"/>
                    </w:rPr>
                    <w:t>п</w:t>
                  </w:r>
                  <w:r w:rsidRPr="00EE4185">
                    <w:rPr>
                      <w:rFonts w:ascii="Times New Roman" w:hAnsi="Times New Roman" w:cs="Times New Roman"/>
                    </w:rPr>
                    <w:t>оремећаји срчане проводљивости</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Васкуларни поремећаји</w:t>
                  </w:r>
                </w:p>
              </w:tc>
              <w:tc>
                <w:tcPr>
                  <w:tcW w:w="1528"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rPr>
                    <w:t xml:space="preserve">Изражен пад крвног притиска и ортостатска хипотензија, веома ријетко са синкопом </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Хладноћа екстремитета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 xml:space="preserve">Некроза код пацијената са тешким </w:t>
                  </w:r>
                  <w:r w:rsidRPr="00EE4185">
                    <w:rPr>
                      <w:rFonts w:ascii="Times New Roman" w:hAnsi="Times New Roman" w:cs="Times New Roman"/>
                    </w:rPr>
                    <w:t>поремећајима периферне циркул</w:t>
                  </w:r>
                  <w:r w:rsidRPr="00EE4185">
                    <w:rPr>
                      <w:rFonts w:ascii="Times New Roman" w:hAnsi="Times New Roman" w:cs="Times New Roman"/>
                      <w:lang w:val="sr-Cyrl-ME"/>
                    </w:rPr>
                    <w:t>а</w:t>
                  </w:r>
                  <w:r w:rsidRPr="00EE4185">
                    <w:rPr>
                      <w:rFonts w:ascii="Times New Roman" w:hAnsi="Times New Roman" w:cs="Times New Roman"/>
                    </w:rPr>
                    <w:t>ције</w:t>
                  </w:r>
                  <w:r w:rsidRPr="00EE4185">
                    <w:rPr>
                      <w:rFonts w:ascii="Times New Roman" w:hAnsi="Times New Roman" w:cs="Times New Roman"/>
                      <w:lang w:val="mk-MK"/>
                    </w:rPr>
                    <w:t xml:space="preserve"> прије терапије, погоршање интермитентне клаудикације или </w:t>
                  </w:r>
                  <w:r w:rsidRPr="00EE4185">
                    <w:rPr>
                      <w:rFonts w:ascii="Times New Roman" w:hAnsi="Times New Roman" w:cs="Times New Roman"/>
                      <w:i/>
                    </w:rPr>
                    <w:t>Raynaud</w:t>
                  </w:r>
                  <w:r w:rsidRPr="00EE4185">
                    <w:rPr>
                      <w:rFonts w:ascii="Times New Roman" w:hAnsi="Times New Roman" w:cs="Times New Roman"/>
                      <w:lang w:val="mk-MK"/>
                    </w:rPr>
                    <w:t>-ов</w:t>
                  </w:r>
                  <w:r w:rsidRPr="00EE4185">
                    <w:rPr>
                      <w:rFonts w:ascii="Times New Roman" w:hAnsi="Times New Roman" w:cs="Times New Roman"/>
                    </w:rPr>
                    <w:t xml:space="preserve"> синдром</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Респираторни, торакални и медијастинални поремећаји</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 xml:space="preserve">Функционална </w:t>
                  </w:r>
                  <w:r w:rsidRPr="00EE4185">
                    <w:rPr>
                      <w:rFonts w:ascii="Times New Roman" w:hAnsi="Times New Roman" w:cs="Times New Roman"/>
                      <w:lang w:val="mk-MK"/>
                    </w:rPr>
                    <w:t>д</w:t>
                  </w:r>
                  <w:r w:rsidRPr="00EE4185">
                    <w:rPr>
                      <w:rFonts w:ascii="Times New Roman" w:hAnsi="Times New Roman" w:cs="Times New Roman"/>
                    </w:rPr>
                    <w:t>испнеја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Бронхоспазам</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Ринитис</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Гастроинтестинални поремећаји</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Мучнина, абдоминални бол, дијареја, констипација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Повраћање</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Сува уста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чула укуса</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Хепатобилијарни поремећаји</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Поремећене вриједности лабораторијских тестова функције јетре</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Хепатитис</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коже и поткожног ткива</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 xml:space="preserve">Осип (у облику псоријазе, уртикарије или  дистрофијских кожних </w:t>
                  </w:r>
                  <w:r w:rsidRPr="00EE4185">
                    <w:rPr>
                      <w:rFonts w:ascii="Times New Roman" w:hAnsi="Times New Roman" w:cs="Times New Roman"/>
                    </w:rPr>
                    <w:lastRenderedPageBreak/>
                    <w:t>лезија), појачано знојење</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lastRenderedPageBreak/>
                    <w:t>Алопеција</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Благе фотосензитивне реакције, погоршање псоријазе, нове манифистациј</w:t>
                  </w:r>
                  <w:r w:rsidRPr="00EE4185">
                    <w:rPr>
                      <w:rFonts w:ascii="Times New Roman" w:hAnsi="Times New Roman" w:cs="Times New Roman"/>
                    </w:rPr>
                    <w:lastRenderedPageBreak/>
                    <w:t>е псоријазе, псоријазиформ</w:t>
                  </w:r>
                  <w:r w:rsidRPr="00EE4185">
                    <w:rPr>
                      <w:rFonts w:ascii="Times New Roman" w:hAnsi="Times New Roman" w:cs="Times New Roman"/>
                      <w:lang w:val="mk-MK"/>
                    </w:rPr>
                    <w:t xml:space="preserve">не дерматолошке промјене </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lastRenderedPageBreak/>
                    <w:t>Поремећаји мишићно-коштаног система и везивног ткива</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Г</w:t>
                  </w:r>
                  <w:r w:rsidRPr="00EE4185">
                    <w:rPr>
                      <w:rFonts w:ascii="Times New Roman" w:hAnsi="Times New Roman" w:cs="Times New Roman"/>
                    </w:rPr>
                    <w:t>рчеви у мишићима</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Артралгија, мишићна слабост</w:t>
                  </w: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Поремећаји репродуктивног система и дојки</w:t>
                  </w:r>
                </w:p>
              </w:tc>
              <w:tc>
                <w:tcPr>
                  <w:tcW w:w="1528"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c>
                <w:tcPr>
                  <w:tcW w:w="1701"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rPr>
                    <w:t>Импотенција или друге сексуалне дисфункције, „</w:t>
                  </w:r>
                  <w:r w:rsidRPr="00EE4185">
                    <w:rPr>
                      <w:rFonts w:ascii="Times New Roman" w:hAnsi="Times New Roman" w:cs="Times New Roman"/>
                      <w:i/>
                    </w:rPr>
                    <w:t>induratio penis plastica</w:t>
                  </w:r>
                  <w:r w:rsidRPr="00EE4185">
                    <w:rPr>
                      <w:rFonts w:ascii="Times New Roman" w:hAnsi="Times New Roman" w:cs="Times New Roman"/>
                    </w:rPr>
                    <w:t>” (склероза фиброзе пениса)(</w:t>
                  </w:r>
                  <w:r w:rsidRPr="00EE4185">
                    <w:rPr>
                      <w:rFonts w:ascii="Times New Roman" w:hAnsi="Times New Roman" w:cs="Times New Roman"/>
                      <w:i/>
                    </w:rPr>
                    <w:t>Peyronie</w:t>
                  </w:r>
                  <w:r w:rsidRPr="00EE4185">
                    <w:rPr>
                      <w:rFonts w:ascii="Times New Roman" w:hAnsi="Times New Roman" w:cs="Times New Roman"/>
                    </w:rPr>
                    <w:t xml:space="preserve">-ов синдром) </w:t>
                  </w: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r w:rsidR="00EE4185" w:rsidRPr="00EE4185" w:rsidTr="003555B8">
              <w:tc>
                <w:tcPr>
                  <w:tcW w:w="1728" w:type="dxa"/>
                  <w:shd w:val="clear" w:color="auto" w:fill="auto"/>
                </w:tcPr>
                <w:p w:rsidR="00EE4185" w:rsidRPr="00EE4185" w:rsidRDefault="00EE4185" w:rsidP="00EE4185">
                  <w:pPr>
                    <w:spacing w:after="0"/>
                    <w:rPr>
                      <w:rFonts w:ascii="Times New Roman" w:hAnsi="Times New Roman" w:cs="Times New Roman"/>
                      <w:lang w:val="mk-MK"/>
                    </w:rPr>
                  </w:pPr>
                  <w:r w:rsidRPr="00EE4185">
                    <w:rPr>
                      <w:rFonts w:ascii="Times New Roman" w:hAnsi="Times New Roman" w:cs="Times New Roman"/>
                      <w:lang w:val="mk-MK"/>
                    </w:rPr>
                    <w:t>Општи поремећаји и реакције на мјесту примјене</w:t>
                  </w:r>
                </w:p>
                <w:p w:rsidR="00EE4185" w:rsidRPr="00EE4185" w:rsidRDefault="00EE4185" w:rsidP="00EE4185">
                  <w:pPr>
                    <w:spacing w:after="0"/>
                    <w:rPr>
                      <w:rFonts w:ascii="Times New Roman" w:hAnsi="Times New Roman" w:cs="Times New Roman"/>
                      <w:lang w:val="mk-MK"/>
                    </w:rPr>
                  </w:pPr>
                </w:p>
              </w:tc>
              <w:tc>
                <w:tcPr>
                  <w:tcW w:w="1528"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rPr>
                    <w:t>Умор</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rPr>
                  </w:pPr>
                  <w:r w:rsidRPr="00EE4185">
                    <w:rPr>
                      <w:rFonts w:ascii="Times New Roman" w:hAnsi="Times New Roman" w:cs="Times New Roman"/>
                    </w:rPr>
                    <w:t xml:space="preserve">Едем </w:t>
                  </w:r>
                </w:p>
              </w:tc>
              <w:tc>
                <w:tcPr>
                  <w:tcW w:w="1701" w:type="dxa"/>
                  <w:shd w:val="clear" w:color="auto" w:fill="auto"/>
                </w:tcPr>
                <w:p w:rsidR="00EE4185" w:rsidRPr="00EE4185" w:rsidRDefault="00EE4185" w:rsidP="00EE4185">
                  <w:pPr>
                    <w:spacing w:after="0"/>
                    <w:rPr>
                      <w:rFonts w:ascii="Times New Roman" w:hAnsi="Times New Roman" w:cs="Times New Roman"/>
                      <w:lang w:val="mk-MK"/>
                    </w:rPr>
                  </w:pPr>
                </w:p>
              </w:tc>
              <w:tc>
                <w:tcPr>
                  <w:tcW w:w="1559" w:type="dxa"/>
                  <w:shd w:val="clear" w:color="auto" w:fill="auto"/>
                </w:tcPr>
                <w:p w:rsidR="00EE4185" w:rsidRPr="00EE4185" w:rsidRDefault="00EE4185" w:rsidP="00EE4185">
                  <w:pPr>
                    <w:spacing w:after="0"/>
                    <w:rPr>
                      <w:rFonts w:ascii="Times New Roman" w:hAnsi="Times New Roman" w:cs="Times New Roman"/>
                      <w:lang w:val="mk-MK"/>
                    </w:rPr>
                  </w:pPr>
                </w:p>
              </w:tc>
            </w:tr>
          </w:tbl>
          <w:p w:rsidR="009038E9" w:rsidRPr="009038E9" w:rsidRDefault="009038E9" w:rsidP="009038E9">
            <w:pPr>
              <w:autoSpaceDE w:val="0"/>
              <w:autoSpaceDN w:val="0"/>
              <w:adjustRightInd w:val="0"/>
              <w:spacing w:after="0"/>
              <w:jc w:val="both"/>
              <w:rPr>
                <w:rFonts w:ascii="Times New Roman" w:hAnsi="Times New Roman" w:cs="Times New Roman"/>
                <w:b/>
                <w:iCs/>
                <w:lang w:val="de-DE"/>
              </w:rPr>
            </w:pPr>
          </w:p>
          <w:p w:rsidR="009038E9" w:rsidRPr="009038E9" w:rsidRDefault="009038E9" w:rsidP="009038E9">
            <w:pPr>
              <w:spacing w:after="0"/>
              <w:jc w:val="both"/>
              <w:rPr>
                <w:rFonts w:ascii="Times New Roman" w:hAnsi="Times New Roman" w:cs="Times New Roman"/>
                <w:u w:val="single"/>
                <w:lang w:val="sr-Latn-ME"/>
              </w:rPr>
            </w:pPr>
            <w:r w:rsidRPr="009038E9">
              <w:rPr>
                <w:rFonts w:ascii="Times New Roman" w:hAnsi="Times New Roman" w:cs="Times New Roman"/>
                <w:u w:val="single"/>
                <w:lang w:val="sr-Latn-ME"/>
              </w:rPr>
              <w:t>Пријављивање сумњи на нежељена дејства</w:t>
            </w:r>
          </w:p>
          <w:p w:rsidR="009038E9" w:rsidRPr="009038E9" w:rsidRDefault="009038E9" w:rsidP="009038E9">
            <w:pPr>
              <w:spacing w:after="0"/>
              <w:jc w:val="both"/>
              <w:rPr>
                <w:rFonts w:ascii="Times New Roman" w:hAnsi="Times New Roman" w:cs="Times New Roman"/>
                <w:u w:val="single"/>
                <w:lang w:val="sr-Cyrl-ME"/>
              </w:rPr>
            </w:pPr>
          </w:p>
          <w:p w:rsidR="009038E9" w:rsidRPr="009038E9" w:rsidRDefault="009038E9" w:rsidP="009038E9">
            <w:pPr>
              <w:spacing w:after="0"/>
              <w:jc w:val="both"/>
              <w:rPr>
                <w:rFonts w:ascii="Times New Roman" w:hAnsi="Times New Roman" w:cs="Times New Roman"/>
                <w:lang w:val="sr-Cyrl-ME"/>
              </w:rPr>
            </w:pPr>
            <w:r w:rsidRPr="009038E9">
              <w:rPr>
                <w:rFonts w:ascii="Times New Roman" w:hAnsi="Times New Roman" w:cs="Times New Roman"/>
                <w:lang w:val="sr-Latn-ME"/>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Агенцији за љекове и медицинска средства Црне Горе (CALIMS):</w:t>
            </w:r>
          </w:p>
          <w:p w:rsidR="009038E9" w:rsidRPr="009038E9" w:rsidRDefault="009038E9" w:rsidP="009038E9">
            <w:pPr>
              <w:spacing w:after="0"/>
              <w:jc w:val="both"/>
              <w:rPr>
                <w:rFonts w:ascii="Times New Roman" w:hAnsi="Times New Roman" w:cs="Times New Roman"/>
                <w:lang w:val="sr-Cyrl-ME"/>
              </w:rPr>
            </w:pP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lang w:val="sr-Latn-ME"/>
              </w:rPr>
              <w:t>Агенција за љекове и медицинска средства Црне Горе</w:t>
            </w: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lang w:val="sr-Latn-ME"/>
              </w:rPr>
              <w:t>Одјељење за фармаковигиланцу</w:t>
            </w:r>
          </w:p>
          <w:p w:rsidR="009038E9" w:rsidRPr="009038E9" w:rsidRDefault="009038E9" w:rsidP="009038E9">
            <w:pPr>
              <w:spacing w:after="0"/>
              <w:jc w:val="both"/>
              <w:rPr>
                <w:rFonts w:ascii="Times New Roman" w:hAnsi="Times New Roman" w:cs="Times New Roman"/>
                <w:lang w:val="sr-Cyrl-ME"/>
              </w:rPr>
            </w:pPr>
            <w:r w:rsidRPr="009038E9">
              <w:rPr>
                <w:rFonts w:ascii="Times New Roman" w:hAnsi="Times New Roman" w:cs="Times New Roman"/>
                <w:lang w:val="sr-Latn-ME"/>
              </w:rPr>
              <w:t>Булевар Ивана Црнојевића 64а, 81000 Подгорица</w:t>
            </w:r>
          </w:p>
          <w:p w:rsidR="009038E9" w:rsidRPr="009038E9" w:rsidRDefault="009038E9" w:rsidP="009038E9">
            <w:pPr>
              <w:spacing w:after="0"/>
              <w:jc w:val="both"/>
              <w:rPr>
                <w:rFonts w:ascii="Times New Roman" w:hAnsi="Times New Roman" w:cs="Times New Roman"/>
                <w:lang w:val="sr-Cyrl-ME"/>
              </w:rPr>
            </w:pP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lang w:val="sr-Latn-ME"/>
              </w:rPr>
              <w:t>тел: +382 (0) 20 310 280</w:t>
            </w:r>
          </w:p>
          <w:p w:rsidR="009038E9" w:rsidRPr="009038E9" w:rsidRDefault="009038E9" w:rsidP="009038E9">
            <w:pPr>
              <w:spacing w:after="0"/>
              <w:jc w:val="both"/>
              <w:rPr>
                <w:rFonts w:ascii="Times New Roman" w:hAnsi="Times New Roman" w:cs="Times New Roman"/>
                <w:lang w:val="sr-Cyrl-ME"/>
              </w:rPr>
            </w:pPr>
            <w:r w:rsidRPr="009038E9">
              <w:rPr>
                <w:rFonts w:ascii="Times New Roman" w:hAnsi="Times New Roman" w:cs="Times New Roman"/>
                <w:lang w:val="sr-Latn-ME"/>
              </w:rPr>
              <w:t>фаx:+382 (0) 20 310 581</w:t>
            </w:r>
          </w:p>
          <w:p w:rsidR="009038E9" w:rsidRPr="009038E9" w:rsidRDefault="009038E9" w:rsidP="009038E9">
            <w:pPr>
              <w:spacing w:after="0"/>
              <w:jc w:val="both"/>
              <w:rPr>
                <w:rFonts w:ascii="Times New Roman" w:hAnsi="Times New Roman" w:cs="Times New Roman"/>
                <w:lang w:val="sr-Cyrl-ME"/>
              </w:rPr>
            </w:pPr>
          </w:p>
          <w:p w:rsidR="009038E9" w:rsidRPr="009038E9" w:rsidRDefault="00F36D57" w:rsidP="009038E9">
            <w:pPr>
              <w:spacing w:after="0"/>
              <w:jc w:val="both"/>
              <w:rPr>
                <w:rFonts w:ascii="Times New Roman" w:hAnsi="Times New Roman" w:cs="Times New Roman"/>
                <w:lang w:val="sr-Latn-ME"/>
              </w:rPr>
            </w:pPr>
            <w:hyperlink r:id="rId8" w:history="1">
              <w:r w:rsidR="009038E9" w:rsidRPr="009038E9">
                <w:rPr>
                  <w:rStyle w:val="Hyperlink"/>
                  <w:rFonts w:ascii="Times New Roman" w:hAnsi="Times New Roman"/>
                  <w:lang w:val="sr-Latn-ME"/>
                </w:rPr>
                <w:t>www.calims.mе</w:t>
              </w:r>
            </w:hyperlink>
          </w:p>
          <w:p w:rsidR="009038E9" w:rsidRPr="009038E9" w:rsidRDefault="00F36D57" w:rsidP="009038E9">
            <w:pPr>
              <w:spacing w:after="0"/>
              <w:jc w:val="both"/>
              <w:rPr>
                <w:rFonts w:ascii="Times New Roman" w:hAnsi="Times New Roman" w:cs="Times New Roman"/>
                <w:lang w:val="sr-Cyrl-ME"/>
              </w:rPr>
            </w:pPr>
            <w:hyperlink r:id="rId9" w:history="1">
              <w:r w:rsidR="009038E9" w:rsidRPr="009038E9">
                <w:rPr>
                  <w:rStyle w:val="Hyperlink"/>
                  <w:rFonts w:ascii="Times New Roman" w:hAnsi="Times New Roman"/>
                  <w:lang w:val="sr-Latn-ME"/>
                </w:rPr>
                <w:t>nezeljenadejstva@calims.mе</w:t>
              </w:r>
            </w:hyperlink>
          </w:p>
          <w:p w:rsidR="009038E9" w:rsidRPr="00EE4185" w:rsidRDefault="009038E9" w:rsidP="00EE4185">
            <w:pPr>
              <w:spacing w:after="0"/>
              <w:jc w:val="both"/>
              <w:rPr>
                <w:rFonts w:ascii="Times New Roman" w:hAnsi="Times New Roman" w:cs="Times New Roman"/>
                <w:lang w:val="sr-Latn-ME"/>
              </w:rPr>
            </w:pPr>
            <w:r w:rsidRPr="009038E9">
              <w:rPr>
                <w:rFonts w:ascii="Times New Roman" w:hAnsi="Times New Roman" w:cs="Times New Roman"/>
                <w:lang w:val="sr-Latn-ME"/>
              </w:rPr>
              <w:lastRenderedPageBreak/>
              <w:t>путем ИС здравствене заштите</w:t>
            </w: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Cyrl-RS"/>
              </w:rPr>
            </w:pPr>
            <w:r w:rsidRPr="009038E9">
              <w:rPr>
                <w:rFonts w:ascii="Times New Roman" w:hAnsi="Times New Roman" w:cs="Times New Roman"/>
                <w:b/>
                <w:bCs/>
                <w:noProof/>
                <w:lang w:val="sr-Latn-ME"/>
              </w:rPr>
              <w:lastRenderedPageBreak/>
              <w:t>4.9. Предозирање</w:t>
            </w:r>
          </w:p>
        </w:tc>
      </w:tr>
      <w:tr w:rsidR="009038E9" w:rsidRPr="009038E9" w:rsidTr="003555B8">
        <w:trPr>
          <w:trHeight w:val="849"/>
        </w:trPr>
        <w:tc>
          <w:tcPr>
            <w:tcW w:w="10031" w:type="dxa"/>
            <w:gridSpan w:val="4"/>
            <w:vAlign w:val="center"/>
          </w:tcPr>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tabs>
                <w:tab w:val="left" w:pos="284"/>
              </w:tabs>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Токсичност</w:t>
            </w:r>
          </w:p>
          <w:p w:rsidR="009038E9" w:rsidRPr="009038E9" w:rsidRDefault="009038E9" w:rsidP="009038E9">
            <w:pPr>
              <w:tabs>
                <w:tab w:val="left" w:pos="284"/>
              </w:tabs>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7</w:t>
            </w:r>
            <w:r w:rsidRPr="009038E9">
              <w:rPr>
                <w:rFonts w:ascii="Times New Roman" w:hAnsi="Times New Roman" w:cs="Times New Roman"/>
                <w:lang w:val="mk-MK"/>
              </w:rPr>
              <w:t>,</w:t>
            </w:r>
            <w:r w:rsidRPr="009038E9">
              <w:rPr>
                <w:rFonts w:ascii="Times New Roman" w:hAnsi="Times New Roman" w:cs="Times New Roman"/>
              </w:rPr>
              <w:t>5 g</w:t>
            </w:r>
            <w:r w:rsidRPr="009038E9">
              <w:rPr>
                <w:rFonts w:ascii="Times New Roman" w:hAnsi="Times New Roman" w:cs="Times New Roman"/>
                <w:b/>
              </w:rPr>
              <w:t xml:space="preserve"> </w:t>
            </w:r>
            <w:r w:rsidRPr="009038E9">
              <w:rPr>
                <w:rFonts w:ascii="Times New Roman" w:hAnsi="Times New Roman" w:cs="Times New Roman"/>
              </w:rPr>
              <w:t>примијењених код одраслих резултира</w:t>
            </w:r>
            <w:r w:rsidRPr="009038E9">
              <w:rPr>
                <w:rFonts w:ascii="Times New Roman" w:hAnsi="Times New Roman" w:cs="Times New Roman"/>
                <w:lang w:val="sr-Cyrl-CS"/>
              </w:rPr>
              <w:t>ло је</w:t>
            </w:r>
            <w:r w:rsidRPr="009038E9">
              <w:rPr>
                <w:rFonts w:ascii="Times New Roman" w:hAnsi="Times New Roman" w:cs="Times New Roman"/>
              </w:rPr>
              <w:t xml:space="preserve"> леталном интоксикацијом. 100 mg примијењених петогодишњем дјетету није довел</w:t>
            </w:r>
            <w:r w:rsidRPr="009038E9">
              <w:rPr>
                <w:rFonts w:ascii="Times New Roman" w:hAnsi="Times New Roman" w:cs="Times New Roman"/>
                <w:lang w:val="sr-Cyrl-CS"/>
              </w:rPr>
              <w:t>о</w:t>
            </w:r>
            <w:r w:rsidRPr="009038E9">
              <w:rPr>
                <w:rFonts w:ascii="Times New Roman" w:hAnsi="Times New Roman" w:cs="Times New Roman"/>
              </w:rPr>
              <w:t xml:space="preserve"> до било каквих симптома након гастричне лаваже. 450 mg примијењених код дванаестогодишњака и 1</w:t>
            </w:r>
            <w:r w:rsidRPr="009038E9">
              <w:rPr>
                <w:rFonts w:ascii="Times New Roman" w:hAnsi="Times New Roman" w:cs="Times New Roman"/>
                <w:lang w:val="mk-MK"/>
              </w:rPr>
              <w:t>,</w:t>
            </w:r>
            <w:r w:rsidRPr="009038E9">
              <w:rPr>
                <w:rFonts w:ascii="Times New Roman" w:hAnsi="Times New Roman" w:cs="Times New Roman"/>
              </w:rPr>
              <w:t>4 g код одраслих резултира</w:t>
            </w:r>
            <w:r w:rsidRPr="009038E9">
              <w:rPr>
                <w:rFonts w:ascii="Times New Roman" w:hAnsi="Times New Roman" w:cs="Times New Roman"/>
                <w:lang w:val="sr-Cyrl-CS"/>
              </w:rPr>
              <w:t>ло је</w:t>
            </w:r>
            <w:r w:rsidRPr="009038E9">
              <w:rPr>
                <w:rFonts w:ascii="Times New Roman" w:hAnsi="Times New Roman" w:cs="Times New Roman"/>
              </w:rPr>
              <w:t xml:space="preserve"> умјереном интоксикацијом.</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2</w:t>
            </w:r>
            <w:r w:rsidRPr="009038E9">
              <w:rPr>
                <w:rFonts w:ascii="Times New Roman" w:hAnsi="Times New Roman" w:cs="Times New Roman"/>
                <w:lang w:val="mk-MK"/>
              </w:rPr>
              <w:t>,</w:t>
            </w:r>
            <w:r w:rsidRPr="009038E9">
              <w:rPr>
                <w:rFonts w:ascii="Times New Roman" w:hAnsi="Times New Roman" w:cs="Times New Roman"/>
              </w:rPr>
              <w:t>5 g</w:t>
            </w:r>
            <w:r w:rsidRPr="009038E9">
              <w:rPr>
                <w:rFonts w:ascii="Times New Roman" w:hAnsi="Times New Roman" w:cs="Times New Roman"/>
                <w:b/>
              </w:rPr>
              <w:t xml:space="preserve"> </w:t>
            </w:r>
            <w:r w:rsidRPr="009038E9">
              <w:rPr>
                <w:rFonts w:ascii="Times New Roman" w:hAnsi="Times New Roman" w:cs="Times New Roman"/>
              </w:rPr>
              <w:t>примијењених код одраслих резултира</w:t>
            </w:r>
            <w:r w:rsidRPr="009038E9">
              <w:rPr>
                <w:rFonts w:ascii="Times New Roman" w:hAnsi="Times New Roman" w:cs="Times New Roman"/>
                <w:lang w:val="sr-Cyrl-CS"/>
              </w:rPr>
              <w:t>ло је</w:t>
            </w:r>
            <w:r w:rsidRPr="009038E9">
              <w:rPr>
                <w:rFonts w:ascii="Times New Roman" w:hAnsi="Times New Roman" w:cs="Times New Roman"/>
              </w:rPr>
              <w:t xml:space="preserve"> озбиљном интоксикацијом</w:t>
            </w:r>
            <w:r w:rsidRPr="009038E9">
              <w:rPr>
                <w:rFonts w:ascii="Times New Roman" w:hAnsi="Times New Roman" w:cs="Times New Roman"/>
                <w:lang w:val="sr-Cyrl-CS"/>
              </w:rPr>
              <w:t>,</w:t>
            </w:r>
            <w:r w:rsidRPr="009038E9">
              <w:rPr>
                <w:rFonts w:ascii="Times New Roman" w:hAnsi="Times New Roman" w:cs="Times New Roman"/>
              </w:rPr>
              <w:t xml:space="preserve"> и 7</w:t>
            </w:r>
            <w:r w:rsidRPr="009038E9">
              <w:rPr>
                <w:rFonts w:ascii="Times New Roman" w:hAnsi="Times New Roman" w:cs="Times New Roman"/>
                <w:lang w:val="mk-MK"/>
              </w:rPr>
              <w:t>,</w:t>
            </w:r>
            <w:r w:rsidRPr="009038E9">
              <w:rPr>
                <w:rFonts w:ascii="Times New Roman" w:hAnsi="Times New Roman" w:cs="Times New Roman"/>
              </w:rPr>
              <w:t>5 g</w:t>
            </w:r>
            <w:r w:rsidRPr="009038E9">
              <w:rPr>
                <w:rFonts w:ascii="Times New Roman" w:hAnsi="Times New Roman" w:cs="Times New Roman"/>
                <w:b/>
              </w:rPr>
              <w:t xml:space="preserve"> </w:t>
            </w:r>
            <w:r w:rsidRPr="009038E9">
              <w:rPr>
                <w:rFonts w:ascii="Times New Roman" w:hAnsi="Times New Roman" w:cs="Times New Roman"/>
              </w:rPr>
              <w:t>примијењених код одраслих резултира</w:t>
            </w:r>
            <w:r w:rsidRPr="009038E9">
              <w:rPr>
                <w:rFonts w:ascii="Times New Roman" w:hAnsi="Times New Roman" w:cs="Times New Roman"/>
                <w:lang w:val="sr-Cyrl-CS"/>
              </w:rPr>
              <w:t>ло је</w:t>
            </w:r>
            <w:r w:rsidRPr="009038E9">
              <w:rPr>
                <w:rFonts w:ascii="Times New Roman" w:hAnsi="Times New Roman" w:cs="Times New Roman"/>
              </w:rPr>
              <w:t xml:space="preserve"> веома озбиљном интоксикацијом.</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Симптоми предозирања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Предозирање може довести до: тешке хипотензије, синусне брадикардије, брадиаритмије, атриовентрикуларног блока, срчане инсуфицијенције, кардиогеног шока, срчаног застоја, асистоле, продужетка QT интервала (изоловани случајеви), лоше периферне перфузије. Поред тога, може доћи до диспнее са бронхоспазмом, анксиозних поремећаја, губитка свијести (чак и коме), мучнине, повраћања или цијанозе. Респираторна депресија, апнеа, умор, благи тремор, епилептични напади, знојење, парестезије, могући спазам езофагуса, хипогликемија (посебно код дјеце) или хипергликемија, хиперкал</w:t>
            </w:r>
            <w:r w:rsidRPr="009038E9">
              <w:rPr>
                <w:rFonts w:ascii="Times New Roman" w:hAnsi="Times New Roman" w:cs="Times New Roman"/>
                <w:lang w:val="sr-Cyrl-CS"/>
              </w:rPr>
              <w:t>иј</w:t>
            </w:r>
            <w:r w:rsidRPr="009038E9">
              <w:rPr>
                <w:rFonts w:ascii="Times New Roman" w:hAnsi="Times New Roman" w:cs="Times New Roman"/>
              </w:rPr>
              <w:t>емија, ренални ефекти, пролазни симптоми миастеније.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У неким случајевима, посебно код дјеце и адолесцената, ЦНС-симптоми и респираторна депресија могу бити доминантни.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Симптоми се могу појачати када се узима истовремено са алкохолом, антихипертензивима, хинидином или барбитуратима.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Први знаци предозирања се </w:t>
            </w:r>
            <w:r w:rsidRPr="009038E9">
              <w:rPr>
                <w:rFonts w:ascii="Times New Roman" w:hAnsi="Times New Roman" w:cs="Times New Roman"/>
                <w:lang w:val="sr-Cyrl-CS"/>
              </w:rPr>
              <w:t>запажају</w:t>
            </w:r>
            <w:r w:rsidRPr="009038E9">
              <w:rPr>
                <w:rFonts w:ascii="Times New Roman" w:hAnsi="Times New Roman" w:cs="Times New Roman"/>
              </w:rPr>
              <w:t xml:space="preserve"> у периоду од 20 минута до 2 сата након узимања лијека. Ефекти масивног предозирања могу трајати неколико дана, и поред смањених концентрација лијека у плазми.</w:t>
            </w:r>
          </w:p>
          <w:p w:rsidR="009038E9" w:rsidRPr="009038E9" w:rsidRDefault="009038E9" w:rsidP="009038E9">
            <w:pPr>
              <w:autoSpaceDE w:val="0"/>
              <w:autoSpaceDN w:val="0"/>
              <w:adjustRightInd w:val="0"/>
              <w:spacing w:after="0"/>
              <w:jc w:val="both"/>
              <w:rPr>
                <w:rFonts w:ascii="Times New Roman" w:hAnsi="Times New Roman" w:cs="Times New Roman"/>
                <w:b/>
                <w:i/>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b/>
                <w:i/>
              </w:rPr>
              <w:t>Терапија предозирања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Пацијенти треба да буду примљени у болницу и генерално, треба да се прате на интензивној њези, уз континуирано праћење срчане функције, гасова у крви и биохемије крви. Хитне супортивне мјере попут в</w:t>
            </w:r>
            <w:r w:rsidRPr="009038E9">
              <w:rPr>
                <w:rFonts w:ascii="Times New Roman" w:hAnsi="Times New Roman" w:cs="Times New Roman"/>
                <w:lang w:val="sr-Cyrl-CS"/>
              </w:rPr>
              <w:t>ј</w:t>
            </w:r>
            <w:r w:rsidRPr="009038E9">
              <w:rPr>
                <w:rFonts w:ascii="Times New Roman" w:hAnsi="Times New Roman" w:cs="Times New Roman"/>
              </w:rPr>
              <w:t>ештачке вентилације или пејсмејкера срца треба предузети уколико је потребно. Чак и код пацијената који се наизглед добро осјећају након предозирања малом дозом, треба пажљиво пратити знаке тровања најмање 4 сата.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Потребно је примијенити активни угаљ и, уколико је потребно, испирање желуца. </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Напомена! Атропин (0,25-0,5 mg i.v. код одраслих, 10-20 микрограма/kg код дјеце) треба примијенити прије гастричне лаваже (због ризика од стимулације вагуса). Интубација и вјештачка вентилација треба да се заснива</w:t>
            </w:r>
            <w:r w:rsidRPr="009038E9">
              <w:rPr>
                <w:rFonts w:ascii="Times New Roman" w:hAnsi="Times New Roman" w:cs="Times New Roman"/>
                <w:lang w:val="sr-Cyrl-CS"/>
              </w:rPr>
              <w:t>ју</w:t>
            </w:r>
            <w:r w:rsidRPr="009038E9">
              <w:rPr>
                <w:rFonts w:ascii="Times New Roman" w:hAnsi="Times New Roman" w:cs="Times New Roman"/>
              </w:rPr>
              <w:t xml:space="preserve"> на веома широкој индикацији. Адекватна супституција волумена течности. Инфузија глукозом. Праћење ЕCG-a. Атропин сулфат може да се примијени (0,5-2 mg интравенски) за блокаду вагусног нерва. Ово се може понављати.</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lastRenderedPageBreak/>
              <w:t>У случају озбиљне хипотензије, брадикардије или ризика од инсуфицијенције срца, пацијенту се може дати бета 1 агонист (нпр. преналтерол или изопреналон) интравенски у интервалу од 2-5 минута или као континуирана инфузија након постизања жељеног ефекта. Уколико је селективни бета 1 агонист недоступан, може се примијенити допамин.</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Уколико се нијесу постигли жељени ефекти, могу се примијенити други симпатомиметици, нпр. добутамин или норадреналин.</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Пацијенту се може такође дати 1-10 mg глукагона. Можда ће бити неопходно да се користи пејсме</w:t>
            </w:r>
            <w:r w:rsidRPr="009038E9">
              <w:rPr>
                <w:rFonts w:ascii="Times New Roman" w:hAnsi="Times New Roman" w:cs="Times New Roman"/>
                <w:lang w:val="sr-Cyrl-CS"/>
              </w:rPr>
              <w:t>ј</w:t>
            </w:r>
            <w:r w:rsidRPr="009038E9">
              <w:rPr>
                <w:rFonts w:ascii="Times New Roman" w:hAnsi="Times New Roman" w:cs="Times New Roman"/>
              </w:rPr>
              <w:t>кер. Бета 2 агонист се може примијенити интравенски као превенција бронхоспазма код пацијената, и треба их пажљиво пратити због могуће појаве срчаних аритмија током примјене бронходилататора.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Напомена! Дозе потребне за контролисање предозирања су много веће од терапијских доза које се обично примјењују као бета блокатор бета рецептора.</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Напомена! У случају срчаног застоја након предозирања бета блокатором, може се захтијевати кардиопулмонална реанимација током неколико сати.</w:t>
            </w:r>
          </w:p>
          <w:p w:rsidR="009038E9" w:rsidRDefault="009038E9" w:rsidP="009038E9">
            <w:pPr>
              <w:autoSpaceDE w:val="0"/>
              <w:autoSpaceDN w:val="0"/>
              <w:adjustRightInd w:val="0"/>
              <w:spacing w:after="0"/>
              <w:jc w:val="both"/>
              <w:rPr>
                <w:rFonts w:ascii="Times New Roman" w:hAnsi="Times New Roman" w:cs="Times New Roman"/>
                <w:lang w:val="sr-Latn-ME"/>
              </w:rPr>
            </w:pPr>
          </w:p>
          <w:p w:rsidR="00EE4185" w:rsidRPr="009038E9" w:rsidRDefault="00EE4185" w:rsidP="009038E9">
            <w:pPr>
              <w:autoSpaceDE w:val="0"/>
              <w:autoSpaceDN w:val="0"/>
              <w:adjustRightInd w:val="0"/>
              <w:spacing w:after="0"/>
              <w:jc w:val="both"/>
              <w:rPr>
                <w:rFonts w:ascii="Times New Roman" w:hAnsi="Times New Roman" w:cs="Times New Roman"/>
                <w:lang w:val="sr-Latn-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5. ФАРМАКОЛОШКИ ПОДАЦИ</w:t>
            </w:r>
          </w:p>
        </w:tc>
      </w:tr>
      <w:tr w:rsidR="009038E9" w:rsidRPr="009038E9" w:rsidTr="003555B8">
        <w:tc>
          <w:tcPr>
            <w:tcW w:w="10031" w:type="dxa"/>
            <w:gridSpan w:val="4"/>
            <w:vAlign w:val="center"/>
          </w:tcPr>
          <w:p w:rsidR="00EE4185" w:rsidRDefault="00EE4185" w:rsidP="009038E9">
            <w:pPr>
              <w:pStyle w:val="Header"/>
              <w:tabs>
                <w:tab w:val="left" w:pos="284"/>
              </w:tabs>
              <w:jc w:val="both"/>
              <w:rPr>
                <w:rFonts w:ascii="Times New Roman" w:hAnsi="Times New Roman" w:cs="Times New Roman"/>
                <w:b/>
                <w:bCs/>
                <w:noProof/>
                <w:lang w:val="sr-Latn-ME"/>
              </w:rPr>
            </w:pPr>
          </w:p>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5.1. Фармакодинамски подаци</w:t>
            </w:r>
          </w:p>
        </w:tc>
      </w:tr>
      <w:tr w:rsidR="009038E9" w:rsidRPr="009038E9" w:rsidTr="003555B8">
        <w:trPr>
          <w:trHeight w:val="576"/>
        </w:trPr>
        <w:tc>
          <w:tcPr>
            <w:tcW w:w="2808" w:type="dxa"/>
            <w:gridSpan w:val="3"/>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Фармакотерапијска</w:t>
            </w:r>
            <w:r w:rsidRPr="009038E9">
              <w:rPr>
                <w:rFonts w:ascii="Times New Roman" w:hAnsi="Times New Roman" w:cs="Times New Roman"/>
                <w:b/>
                <w:bCs/>
                <w:noProof/>
                <w:lang w:val="sr-Cyrl-RS"/>
              </w:rPr>
              <w:t xml:space="preserve"> </w:t>
            </w:r>
            <w:r w:rsidRPr="009038E9">
              <w:rPr>
                <w:rFonts w:ascii="Times New Roman" w:hAnsi="Times New Roman" w:cs="Times New Roman"/>
                <w:b/>
                <w:bCs/>
                <w:noProof/>
                <w:lang w:val="sr-Latn-ME"/>
              </w:rPr>
              <w:t>група:</w:t>
            </w:r>
          </w:p>
        </w:tc>
        <w:tc>
          <w:tcPr>
            <w:tcW w:w="7223" w:type="dxa"/>
            <w:vAlign w:val="center"/>
          </w:tcPr>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bCs/>
              </w:rPr>
              <w:t>Блокатори бета адренергичких рецептора, селективни</w:t>
            </w:r>
          </w:p>
        </w:tc>
      </w:tr>
      <w:tr w:rsidR="009038E9" w:rsidRPr="009038E9" w:rsidTr="003555B8">
        <w:trPr>
          <w:trHeight w:val="542"/>
        </w:trPr>
        <w:tc>
          <w:tcPr>
            <w:tcW w:w="1188" w:type="dxa"/>
            <w:gridSpan w:val="2"/>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АТЦ код:</w:t>
            </w:r>
          </w:p>
        </w:tc>
        <w:tc>
          <w:tcPr>
            <w:tcW w:w="8843" w:type="dxa"/>
            <w:gridSpan w:val="2"/>
            <w:vAlign w:val="center"/>
          </w:tcPr>
          <w:p w:rsidR="009038E9" w:rsidRPr="009038E9" w:rsidRDefault="009038E9" w:rsidP="009038E9">
            <w:pPr>
              <w:pStyle w:val="Header"/>
              <w:tabs>
                <w:tab w:val="left" w:pos="284"/>
              </w:tabs>
              <w:jc w:val="both"/>
              <w:rPr>
                <w:rFonts w:ascii="Times New Roman" w:hAnsi="Times New Roman" w:cs="Times New Roman"/>
                <w:noProof/>
                <w:lang w:val="sr-Latn-ME"/>
              </w:rPr>
            </w:pPr>
            <w:r w:rsidRPr="009038E9">
              <w:rPr>
                <w:rFonts w:ascii="Times New Roman" w:hAnsi="Times New Roman" w:cs="Times New Roman"/>
                <w:noProof/>
                <w:lang w:val="de-DE"/>
              </w:rPr>
              <w:t>C07AB02</w:t>
            </w: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i/>
                <w:noProof/>
                <w:lang w:val="mk-MK"/>
              </w:rPr>
            </w:pPr>
          </w:p>
          <w:p w:rsidR="009038E9" w:rsidRPr="009038E9" w:rsidRDefault="009038E9" w:rsidP="009038E9">
            <w:pPr>
              <w:autoSpaceDE w:val="0"/>
              <w:autoSpaceDN w:val="0"/>
              <w:adjustRightInd w:val="0"/>
              <w:spacing w:after="0"/>
              <w:jc w:val="both"/>
              <w:rPr>
                <w:rFonts w:ascii="Times New Roman" w:hAnsi="Times New Roman" w:cs="Times New Roman"/>
                <w:b/>
                <w:i/>
              </w:rPr>
            </w:pPr>
            <w:r w:rsidRPr="009038E9">
              <w:rPr>
                <w:rFonts w:ascii="Times New Roman" w:hAnsi="Times New Roman" w:cs="Times New Roman"/>
                <w:b/>
                <w:i/>
              </w:rPr>
              <w:t>Механизам дејства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Метопролол је селективни бета 1 блокатор.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Има релативно већи блокирајући ефекат на бета рецепторе (тј. на оне који посредују адренергичној стимулацији срчане фреквенције и контрактилности и ослобађању масних кисјелина из депоа масти) него на бета рецепторе који су углавном укључени у бронходилатацију и вазодилатацију.</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Метопролол има само незнатан ефекат стабилизације мембране и нема агонистички ефекат.</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Метопролол смањује или инхибира ефекат катехоламина на срце (који се посебно ослобађа у физичким и менталним стресним ситуацијама). Метопролол редукује тахикардију, смањује срчану проводљивост  и контрактилност и снижава крвни притисак.</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Уколико је потребно, метопролол се може примијенити код пацијената са опструктивном боле</w:t>
            </w:r>
            <w:r w:rsidRPr="009038E9">
              <w:rPr>
                <w:rFonts w:ascii="Times New Roman" w:hAnsi="Times New Roman" w:cs="Times New Roman"/>
                <w:lang w:val="sr-Cyrl-CS"/>
              </w:rPr>
              <w:t>шћу</w:t>
            </w:r>
            <w:r w:rsidRPr="009038E9">
              <w:rPr>
                <w:rFonts w:ascii="Times New Roman" w:hAnsi="Times New Roman" w:cs="Times New Roman"/>
              </w:rPr>
              <w:t xml:space="preserve"> плућа у комбинацији са бета 2 агонистима.</w:t>
            </w:r>
          </w:p>
          <w:p w:rsidR="009038E9" w:rsidRPr="009038E9" w:rsidRDefault="009038E9" w:rsidP="009038E9">
            <w:pPr>
              <w:spacing w:after="0"/>
              <w:jc w:val="both"/>
              <w:rPr>
                <w:rFonts w:ascii="Times New Roman" w:hAnsi="Times New Roman" w:cs="Times New Roman"/>
                <w:b/>
                <w:bCs/>
                <w:lang w:val="mk-MK"/>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i/>
                <w:noProof/>
                <w:lang w:val="sr-Latn-ME"/>
              </w:rPr>
            </w:pPr>
            <w:r w:rsidRPr="009038E9">
              <w:rPr>
                <w:rFonts w:ascii="Times New Roman" w:hAnsi="Times New Roman" w:cs="Times New Roman"/>
                <w:b/>
                <w:bCs/>
                <w:noProof/>
                <w:lang w:val="sr-Latn-ME"/>
              </w:rPr>
              <w:lastRenderedPageBreak/>
              <w:t>5.2. Фармакокинетички подаци</w:t>
            </w: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Cs/>
                <w:i/>
                <w:noProof/>
                <w:lang w:val="sr-Latn-ME"/>
              </w:rPr>
            </w:pPr>
          </w:p>
          <w:p w:rsidR="009038E9" w:rsidRPr="009038E9" w:rsidRDefault="009038E9" w:rsidP="009038E9">
            <w:pPr>
              <w:autoSpaceDE w:val="0"/>
              <w:autoSpaceDN w:val="0"/>
              <w:adjustRightInd w:val="0"/>
              <w:spacing w:after="0"/>
              <w:jc w:val="both"/>
              <w:rPr>
                <w:rFonts w:ascii="Times New Roman" w:hAnsi="Times New Roman" w:cs="Times New Roman"/>
                <w:i/>
              </w:rPr>
            </w:pPr>
            <w:r w:rsidRPr="009038E9">
              <w:rPr>
                <w:rFonts w:ascii="Times New Roman" w:hAnsi="Times New Roman" w:cs="Times New Roman"/>
                <w:i/>
              </w:rPr>
              <w:t>Ресорпција и дистрибуција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Метопролол се комплетно ресорбује након оралне примјене. Максимална концентрација у плазми се постиже након 1</w:t>
            </w:r>
            <w:r w:rsidRPr="009038E9">
              <w:rPr>
                <w:rFonts w:ascii="Times New Roman" w:hAnsi="Times New Roman" w:cs="Times New Roman"/>
                <w:lang w:val="sr-Cyrl-CS"/>
              </w:rPr>
              <w:t>,</w:t>
            </w:r>
            <w:r w:rsidRPr="009038E9">
              <w:rPr>
                <w:rFonts w:ascii="Times New Roman" w:hAnsi="Times New Roman" w:cs="Times New Roman"/>
              </w:rPr>
              <w:t>5 до 2 сата. Због јако израженог ефекта метаболизма првог пролаза, биорасположивост појединачне оралне дозе метопролола износи просјечно 50%. Биорасположивост оралне дозе се може повећати истовременим узимањем са храном за 70%. Само мале фракције метопролола везују се за протеине плазме (око 5-10%). Метопролол пролази плаценту и налази се у мајчином млијеку.</w:t>
            </w:r>
          </w:p>
          <w:p w:rsidR="009038E9" w:rsidRPr="009038E9" w:rsidRDefault="009038E9" w:rsidP="009038E9">
            <w:pPr>
              <w:autoSpaceDE w:val="0"/>
              <w:autoSpaceDN w:val="0"/>
              <w:adjustRightInd w:val="0"/>
              <w:spacing w:after="0"/>
              <w:jc w:val="both"/>
              <w:rPr>
                <w:rFonts w:ascii="Times New Roman" w:hAnsi="Times New Roman" w:cs="Times New Roman"/>
                <w:lang w:val="de-DE"/>
              </w:rPr>
            </w:pPr>
          </w:p>
          <w:p w:rsidR="009038E9" w:rsidRPr="009038E9" w:rsidRDefault="009038E9" w:rsidP="009038E9">
            <w:pPr>
              <w:autoSpaceDE w:val="0"/>
              <w:autoSpaceDN w:val="0"/>
              <w:adjustRightInd w:val="0"/>
              <w:spacing w:after="0"/>
              <w:jc w:val="both"/>
              <w:rPr>
                <w:rFonts w:ascii="Times New Roman" w:hAnsi="Times New Roman" w:cs="Times New Roman"/>
                <w:i/>
              </w:rPr>
            </w:pPr>
            <w:r w:rsidRPr="009038E9">
              <w:rPr>
                <w:rFonts w:ascii="Times New Roman" w:hAnsi="Times New Roman" w:cs="Times New Roman"/>
                <w:i/>
              </w:rPr>
              <w:t>Биотрансформација и елиминација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Метаболизам метопролола почиње оксидацијом у јетри. Три позната главна метаболита нијесу показала клинички релевантни ефекат бета блокаде.</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Метопролол се претежно, али не и искључиво, метаболише путем ензима јетре цитохрома</w:t>
            </w:r>
            <w:r w:rsidRPr="009038E9">
              <w:rPr>
                <w:rFonts w:ascii="Times New Roman" w:hAnsi="Times New Roman" w:cs="Times New Roman"/>
                <w:lang w:val="de-DE"/>
              </w:rPr>
              <w:t xml:space="preserve"> CYP2D6. </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Стопа конверзије може варирати индивидуално због полиморфизма гена за</w:t>
            </w:r>
            <w:r w:rsidRPr="009038E9">
              <w:rPr>
                <w:rFonts w:ascii="Times New Roman" w:hAnsi="Times New Roman" w:cs="Times New Roman"/>
                <w:lang w:val="de-DE"/>
              </w:rPr>
              <w:t xml:space="preserve"> CYP2D6</w:t>
            </w:r>
            <w:r w:rsidRPr="009038E9">
              <w:rPr>
                <w:rFonts w:ascii="Times New Roman" w:hAnsi="Times New Roman" w:cs="Times New Roman"/>
              </w:rPr>
              <w:t>. Спорији метаболизери (просјечно 7-8 %) показују веће концентрације у плазми и спорију елиминацију у односу на брже метаболизере. Међутим, код појединаца концентрације у плазми су стабилне и поновљиве.</w:t>
            </w:r>
          </w:p>
          <w:p w:rsidR="009038E9" w:rsidRPr="009038E9" w:rsidRDefault="009038E9" w:rsidP="009038E9">
            <w:pPr>
              <w:autoSpaceDE w:val="0"/>
              <w:autoSpaceDN w:val="0"/>
              <w:adjustRightInd w:val="0"/>
              <w:spacing w:after="0"/>
              <w:jc w:val="both"/>
              <w:rPr>
                <w:rFonts w:ascii="Times New Roman" w:hAnsi="Times New Roman" w:cs="Times New Roman"/>
                <w:lang w:val="de-D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Више од 95% оралне унијете дозе се излучује путем урина. Просјечно, 5% дозе, у појединачним случајевима до 30%, излучује се непромијењено. Полувријеме елиминације метопролола износи просјечно 3</w:t>
            </w:r>
            <w:r w:rsidRPr="009038E9">
              <w:rPr>
                <w:rFonts w:ascii="Times New Roman" w:hAnsi="Times New Roman" w:cs="Times New Roman"/>
                <w:lang w:val="sr-Cyrl-CS"/>
              </w:rPr>
              <w:t>,</w:t>
            </w:r>
            <w:r w:rsidRPr="009038E9">
              <w:rPr>
                <w:rFonts w:ascii="Times New Roman" w:hAnsi="Times New Roman" w:cs="Times New Roman"/>
              </w:rPr>
              <w:t>5 сати (у интервалу од 1-9 сати). Укупни клиренс износи просјечно 1</w:t>
            </w:r>
            <w:r w:rsidRPr="009038E9">
              <w:rPr>
                <w:rFonts w:ascii="Times New Roman" w:hAnsi="Times New Roman" w:cs="Times New Roman"/>
                <w:lang w:val="sr-Cyrl-CS"/>
              </w:rPr>
              <w:t xml:space="preserve"> </w:t>
            </w:r>
            <w:r w:rsidRPr="009038E9">
              <w:rPr>
                <w:rFonts w:ascii="Times New Roman" w:hAnsi="Times New Roman" w:cs="Times New Roman"/>
                <w:lang w:val="hr-BA"/>
              </w:rPr>
              <w:t>l</w:t>
            </w:r>
            <w:r w:rsidRPr="009038E9">
              <w:rPr>
                <w:rFonts w:ascii="Times New Roman" w:hAnsi="Times New Roman" w:cs="Times New Roman"/>
              </w:rPr>
              <w:t>/мин.</w:t>
            </w:r>
          </w:p>
          <w:p w:rsidR="009038E9" w:rsidRPr="009038E9" w:rsidRDefault="009038E9" w:rsidP="009038E9">
            <w:pPr>
              <w:autoSpaceDE w:val="0"/>
              <w:autoSpaceDN w:val="0"/>
              <w:adjustRightInd w:val="0"/>
              <w:spacing w:after="0"/>
              <w:jc w:val="both"/>
              <w:rPr>
                <w:rFonts w:ascii="Times New Roman" w:hAnsi="Times New Roman" w:cs="Times New Roman"/>
                <w:lang w:val="de-D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Фармакокинетика метопролола се значајно не разликује између млађих и старијих пацијената.</w:t>
            </w: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 xml:space="preserve">Системска биорасположивост и елиминација метопролола је такође непромијењена код пацијената са реналном инсуфицијенцијом, али елиминација његових метаболита је спорија. Код пацијената са степеном гломеруларне филтрације </w:t>
            </w:r>
            <w:r w:rsidRPr="009038E9">
              <w:rPr>
                <w:rFonts w:ascii="Times New Roman" w:hAnsi="Times New Roman" w:cs="Times New Roman"/>
                <w:lang w:val="de-DE"/>
              </w:rPr>
              <w:t xml:space="preserve">(GFR) </w:t>
            </w:r>
            <w:r w:rsidRPr="009038E9">
              <w:rPr>
                <w:rFonts w:ascii="Times New Roman" w:hAnsi="Times New Roman" w:cs="Times New Roman"/>
              </w:rPr>
              <w:t>испод</w:t>
            </w:r>
            <w:r w:rsidRPr="009038E9">
              <w:rPr>
                <w:rFonts w:ascii="Times New Roman" w:hAnsi="Times New Roman" w:cs="Times New Roman"/>
                <w:lang w:val="de-DE"/>
              </w:rPr>
              <w:t xml:space="preserve"> 5 m</w:t>
            </w:r>
            <w:r w:rsidRPr="009038E9">
              <w:rPr>
                <w:rFonts w:ascii="Times New Roman" w:hAnsi="Times New Roman" w:cs="Times New Roman"/>
                <w:lang w:val="hr-BA"/>
              </w:rPr>
              <w:t>l</w:t>
            </w:r>
            <w:r w:rsidRPr="009038E9">
              <w:rPr>
                <w:rFonts w:ascii="Times New Roman" w:hAnsi="Times New Roman" w:cs="Times New Roman"/>
              </w:rPr>
              <w:t xml:space="preserve">/мин, примијећена је значајна акумулација метаболита. Међутим, ово не доводи до повећања ефекта бета рецепторске блокаде метопролола. </w:t>
            </w:r>
          </w:p>
          <w:p w:rsidR="009038E9" w:rsidRPr="009038E9" w:rsidRDefault="009038E9" w:rsidP="009038E9">
            <w:pPr>
              <w:autoSpaceDE w:val="0"/>
              <w:autoSpaceDN w:val="0"/>
              <w:adjustRightInd w:val="0"/>
              <w:spacing w:after="0"/>
              <w:jc w:val="both"/>
              <w:rPr>
                <w:rFonts w:ascii="Times New Roman" w:hAnsi="Times New Roman" w:cs="Times New Roman"/>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Код пацијената са цирозом јетре, биорасположивост метопролола се може повећати, а укупни клиренс смањити. Међутим, повећање биорасположивости се сматра клинички релевантно само код пацијената са озбиљним оштећењем функције јетре или портосистемским шантом. Код пацијената са портосистемским шантом, укупни клиренс износи просјечно 0</w:t>
            </w:r>
            <w:r w:rsidRPr="009038E9">
              <w:rPr>
                <w:rFonts w:ascii="Times New Roman" w:hAnsi="Times New Roman" w:cs="Times New Roman"/>
                <w:lang w:val="sr-Cyrl-CS"/>
              </w:rPr>
              <w:t>,</w:t>
            </w:r>
            <w:r w:rsidRPr="009038E9">
              <w:rPr>
                <w:rFonts w:ascii="Times New Roman" w:hAnsi="Times New Roman" w:cs="Times New Roman"/>
              </w:rPr>
              <w:t>3 L/мин, а вриједности ПИК-а су око 6 пута веће него код здравих особа.</w:t>
            </w:r>
          </w:p>
          <w:p w:rsidR="009038E9" w:rsidRPr="009038E9" w:rsidRDefault="009038E9" w:rsidP="009038E9">
            <w:pPr>
              <w:spacing w:after="0"/>
              <w:jc w:val="both"/>
              <w:rPr>
                <w:rFonts w:ascii="Times New Roman" w:hAnsi="Times New Roman" w:cs="Times New Roman"/>
                <w:b/>
                <w:bCs/>
                <w:lang w:val="mk-MK"/>
              </w:rPr>
            </w:pPr>
          </w:p>
        </w:tc>
      </w:tr>
      <w:tr w:rsidR="009038E9" w:rsidRPr="009038E9" w:rsidTr="003555B8">
        <w:trPr>
          <w:trHeight w:val="314"/>
        </w:trPr>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noProof/>
                <w:lang w:val="sr-Latn-ME" w:eastAsia="en-GB"/>
              </w:rPr>
            </w:pPr>
            <w:r w:rsidRPr="009038E9">
              <w:rPr>
                <w:rFonts w:ascii="Times New Roman" w:hAnsi="Times New Roman" w:cs="Times New Roman"/>
                <w:b/>
                <w:bCs/>
                <w:noProof/>
                <w:lang w:val="sr-Latn-ME"/>
              </w:rPr>
              <w:t xml:space="preserve">5.3. Претклинички подаци о безбједности </w:t>
            </w:r>
          </w:p>
        </w:tc>
      </w:tr>
      <w:tr w:rsidR="009038E9" w:rsidRPr="009038E9" w:rsidTr="003555B8">
        <w:trPr>
          <w:trHeight w:val="1063"/>
        </w:trPr>
        <w:tc>
          <w:tcPr>
            <w:tcW w:w="10031" w:type="dxa"/>
            <w:gridSpan w:val="4"/>
            <w:vAlign w:val="center"/>
          </w:tcPr>
          <w:p w:rsidR="00EE4185" w:rsidRDefault="00EE4185" w:rsidP="009038E9">
            <w:pPr>
              <w:autoSpaceDE w:val="0"/>
              <w:autoSpaceDN w:val="0"/>
              <w:adjustRightInd w:val="0"/>
              <w:spacing w:after="0"/>
              <w:jc w:val="both"/>
              <w:rPr>
                <w:rFonts w:ascii="Times New Roman" w:hAnsi="Times New Roman" w:cs="Times New Roman"/>
              </w:rPr>
            </w:pPr>
          </w:p>
          <w:p w:rsid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Не постоје други релевантни претклинички подаци осим оних који су већ наведени у другим од</w:t>
            </w:r>
            <w:r w:rsidRPr="009038E9">
              <w:rPr>
                <w:rFonts w:ascii="Times New Roman" w:hAnsi="Times New Roman" w:cs="Times New Roman"/>
                <w:lang w:val="sr-Cyrl-CS"/>
              </w:rPr>
              <w:t>ј</w:t>
            </w:r>
            <w:r w:rsidRPr="009038E9">
              <w:rPr>
                <w:rFonts w:ascii="Times New Roman" w:hAnsi="Times New Roman" w:cs="Times New Roman"/>
              </w:rPr>
              <w:t>ељцима Сажетка карактеристика лијека.</w:t>
            </w:r>
          </w:p>
          <w:p w:rsidR="00EE4185" w:rsidRDefault="00EE4185" w:rsidP="009038E9">
            <w:pPr>
              <w:autoSpaceDE w:val="0"/>
              <w:autoSpaceDN w:val="0"/>
              <w:adjustRightInd w:val="0"/>
              <w:spacing w:after="0"/>
              <w:jc w:val="both"/>
              <w:rPr>
                <w:rFonts w:ascii="Times New Roman" w:hAnsi="Times New Roman" w:cs="Times New Roman"/>
              </w:rPr>
            </w:pPr>
          </w:p>
          <w:p w:rsidR="00EE4185" w:rsidRDefault="00EE4185" w:rsidP="009038E9">
            <w:pPr>
              <w:autoSpaceDE w:val="0"/>
              <w:autoSpaceDN w:val="0"/>
              <w:adjustRightInd w:val="0"/>
              <w:spacing w:after="0"/>
              <w:jc w:val="both"/>
              <w:rPr>
                <w:rFonts w:ascii="Times New Roman" w:hAnsi="Times New Roman" w:cs="Times New Roman"/>
                <w:lang w:val="mk-MK"/>
              </w:rPr>
            </w:pPr>
          </w:p>
          <w:p w:rsidR="00EE4185" w:rsidRDefault="00EE4185" w:rsidP="009038E9">
            <w:pPr>
              <w:autoSpaceDE w:val="0"/>
              <w:autoSpaceDN w:val="0"/>
              <w:adjustRightInd w:val="0"/>
              <w:spacing w:after="0"/>
              <w:jc w:val="both"/>
              <w:rPr>
                <w:rFonts w:ascii="Times New Roman" w:hAnsi="Times New Roman" w:cs="Times New Roman"/>
                <w:lang w:val="mk-MK"/>
              </w:rPr>
            </w:pPr>
          </w:p>
          <w:p w:rsidR="00EE4185" w:rsidRDefault="00EE4185" w:rsidP="009038E9">
            <w:pPr>
              <w:autoSpaceDE w:val="0"/>
              <w:autoSpaceDN w:val="0"/>
              <w:adjustRightInd w:val="0"/>
              <w:spacing w:after="0"/>
              <w:jc w:val="both"/>
              <w:rPr>
                <w:rFonts w:ascii="Times New Roman" w:hAnsi="Times New Roman" w:cs="Times New Roman"/>
                <w:lang w:val="mk-MK"/>
              </w:rPr>
            </w:pPr>
          </w:p>
          <w:p w:rsidR="00EE4185" w:rsidRPr="009038E9" w:rsidRDefault="00EE4185" w:rsidP="009038E9">
            <w:pPr>
              <w:autoSpaceDE w:val="0"/>
              <w:autoSpaceDN w:val="0"/>
              <w:adjustRightInd w:val="0"/>
              <w:spacing w:after="0"/>
              <w:jc w:val="both"/>
              <w:rPr>
                <w:rFonts w:ascii="Times New Roman" w:hAnsi="Times New Roman" w:cs="Times New Roman"/>
                <w:lang w:val="mk-MK"/>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6. ФАРМАЦЕУТСКИ ПОДАЦИ</w:t>
            </w:r>
          </w:p>
        </w:tc>
      </w:tr>
      <w:tr w:rsidR="009038E9" w:rsidRPr="009038E9" w:rsidTr="003555B8">
        <w:tc>
          <w:tcPr>
            <w:tcW w:w="10031" w:type="dxa"/>
            <w:gridSpan w:val="4"/>
            <w:vAlign w:val="center"/>
          </w:tcPr>
          <w:p w:rsidR="00EE4185" w:rsidRDefault="00EE4185" w:rsidP="009038E9">
            <w:pPr>
              <w:pStyle w:val="Header"/>
              <w:tabs>
                <w:tab w:val="left" w:pos="284"/>
              </w:tabs>
              <w:jc w:val="both"/>
              <w:rPr>
                <w:rFonts w:ascii="Times New Roman" w:hAnsi="Times New Roman" w:cs="Times New Roman"/>
                <w:b/>
                <w:bCs/>
                <w:noProof/>
                <w:lang w:val="sr-Latn-ME"/>
              </w:rPr>
            </w:pPr>
          </w:p>
          <w:p w:rsidR="009038E9" w:rsidRPr="009038E9" w:rsidRDefault="009038E9" w:rsidP="009038E9">
            <w:pPr>
              <w:pStyle w:val="Header"/>
              <w:tabs>
                <w:tab w:val="left" w:pos="284"/>
              </w:tabs>
              <w:jc w:val="both"/>
              <w:rPr>
                <w:rFonts w:ascii="Times New Roman" w:hAnsi="Times New Roman" w:cs="Times New Roman"/>
                <w:b/>
                <w:bCs/>
                <w:noProof/>
                <w:lang w:val="sr-Cyrl-RS"/>
              </w:rPr>
            </w:pPr>
            <w:r w:rsidRPr="009038E9">
              <w:rPr>
                <w:rFonts w:ascii="Times New Roman" w:hAnsi="Times New Roman" w:cs="Times New Roman"/>
                <w:b/>
                <w:bCs/>
                <w:noProof/>
                <w:lang w:val="sr-Latn-ME"/>
              </w:rPr>
              <w:t>6.1. Листа помоћних супстанци</w:t>
            </w:r>
            <w:r w:rsidRPr="009038E9">
              <w:rPr>
                <w:rFonts w:ascii="Times New Roman" w:hAnsi="Times New Roman" w:cs="Times New Roman"/>
                <w:b/>
                <w:bCs/>
                <w:noProof/>
                <w:lang w:val="sr-Cyrl-RS"/>
              </w:rPr>
              <w:t xml:space="preserve"> (ексципијенаса)</w:t>
            </w:r>
          </w:p>
        </w:tc>
      </w:tr>
      <w:tr w:rsidR="009038E9" w:rsidRPr="009038E9" w:rsidTr="003555B8">
        <w:trPr>
          <w:trHeight w:val="284"/>
        </w:trPr>
        <w:tc>
          <w:tcPr>
            <w:tcW w:w="10031" w:type="dxa"/>
            <w:gridSpan w:val="4"/>
            <w:vAlign w:val="center"/>
          </w:tcPr>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Таблетно језгро:</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Целулоза, микрокристална;</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Скроб, кукурузни;</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Натријум</w:t>
            </w:r>
            <w:r w:rsidRPr="009038E9">
              <w:rPr>
                <w:szCs w:val="22"/>
              </w:rPr>
              <w:t xml:space="preserve"> </w:t>
            </w:r>
            <w:r w:rsidRPr="009038E9">
              <w:rPr>
                <w:szCs w:val="22"/>
                <w:lang w:val="sr-Cyrl-RS"/>
              </w:rPr>
              <w:t>скроб гликолат (тип А)</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Силицијум</w:t>
            </w:r>
            <w:r w:rsidRPr="009038E9">
              <w:rPr>
                <w:szCs w:val="22"/>
              </w:rPr>
              <w:t xml:space="preserve"> </w:t>
            </w:r>
            <w:r w:rsidRPr="009038E9">
              <w:rPr>
                <w:szCs w:val="22"/>
                <w:lang w:val="sr-Cyrl-RS"/>
              </w:rPr>
              <w:t>диоксид, колоидни, безводни;</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Натријум</w:t>
            </w:r>
            <w:r w:rsidRPr="009038E9">
              <w:rPr>
                <w:szCs w:val="22"/>
              </w:rPr>
              <w:t xml:space="preserve"> </w:t>
            </w:r>
            <w:r w:rsidRPr="009038E9">
              <w:rPr>
                <w:szCs w:val="22"/>
                <w:lang w:val="sr-Cyrl-RS"/>
              </w:rPr>
              <w:t>лаурилсулфат;</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Талк;</w:t>
            </w:r>
          </w:p>
          <w:p w:rsidR="009038E9" w:rsidRPr="009038E9" w:rsidRDefault="009038E9" w:rsidP="009038E9">
            <w:pPr>
              <w:pStyle w:val="ListParagraph"/>
              <w:autoSpaceDE w:val="0"/>
              <w:autoSpaceDN w:val="0"/>
              <w:adjustRightInd w:val="0"/>
              <w:ind w:left="0"/>
              <w:rPr>
                <w:szCs w:val="22"/>
                <w:u w:val="single"/>
                <w:lang w:val="sr-Cyrl-RS"/>
              </w:rPr>
            </w:pPr>
            <w:r w:rsidRPr="009038E9">
              <w:rPr>
                <w:szCs w:val="22"/>
                <w:lang w:val="sr-Cyrl-RS"/>
              </w:rPr>
              <w:t>- Магнезијум</w:t>
            </w:r>
            <w:r w:rsidRPr="009038E9">
              <w:rPr>
                <w:szCs w:val="22"/>
              </w:rPr>
              <w:t xml:space="preserve"> </w:t>
            </w:r>
            <w:r w:rsidRPr="009038E9">
              <w:rPr>
                <w:szCs w:val="22"/>
                <w:lang w:val="sr-Cyrl-RS"/>
              </w:rPr>
              <w:t>стеарат;</w:t>
            </w:r>
          </w:p>
          <w:p w:rsidR="009038E9" w:rsidRPr="009038E9" w:rsidRDefault="009038E9" w:rsidP="009038E9">
            <w:pPr>
              <w:autoSpaceDE w:val="0"/>
              <w:autoSpaceDN w:val="0"/>
              <w:adjustRightInd w:val="0"/>
              <w:spacing w:after="0"/>
              <w:jc w:val="both"/>
              <w:rPr>
                <w:rFonts w:ascii="Times New Roman" w:hAnsi="Times New Roman" w:cs="Times New Roman"/>
                <w:u w:val="single"/>
              </w:rPr>
            </w:pPr>
          </w:p>
          <w:p w:rsidR="009038E9" w:rsidRPr="009038E9" w:rsidRDefault="009038E9" w:rsidP="009038E9">
            <w:pPr>
              <w:autoSpaceDE w:val="0"/>
              <w:autoSpaceDN w:val="0"/>
              <w:adjustRightInd w:val="0"/>
              <w:spacing w:after="0"/>
              <w:jc w:val="both"/>
              <w:rPr>
                <w:rFonts w:ascii="Times New Roman" w:hAnsi="Times New Roman" w:cs="Times New Roman"/>
                <w:u w:val="single"/>
              </w:rPr>
            </w:pPr>
            <w:r w:rsidRPr="009038E9">
              <w:rPr>
                <w:rFonts w:ascii="Times New Roman" w:hAnsi="Times New Roman" w:cs="Times New Roman"/>
                <w:u w:val="single"/>
              </w:rPr>
              <w:t>Филм облога:</w:t>
            </w:r>
          </w:p>
          <w:p w:rsidR="009038E9" w:rsidRPr="009038E9" w:rsidRDefault="009038E9" w:rsidP="009038E9">
            <w:pPr>
              <w:pStyle w:val="ListParagraph"/>
              <w:autoSpaceDE w:val="0"/>
              <w:autoSpaceDN w:val="0"/>
              <w:adjustRightInd w:val="0"/>
              <w:ind w:left="0"/>
              <w:rPr>
                <w:szCs w:val="22"/>
              </w:rPr>
            </w:pPr>
            <w:r w:rsidRPr="009038E9">
              <w:rPr>
                <w:szCs w:val="22"/>
              </w:rPr>
              <w:t>- Meksena</w:t>
            </w:r>
            <w:r w:rsidRPr="009038E9">
              <w:rPr>
                <w:szCs w:val="22"/>
                <w:vertAlign w:val="superscript"/>
              </w:rPr>
              <w:t>®</w:t>
            </w:r>
            <w:r w:rsidRPr="009038E9">
              <w:rPr>
                <w:szCs w:val="22"/>
                <w:lang w:val="de-DE"/>
              </w:rPr>
              <w:t xml:space="preserve"> 50 mg</w:t>
            </w:r>
            <w:r w:rsidRPr="009038E9">
              <w:rPr>
                <w:szCs w:val="22"/>
                <w:lang w:val="sr-Cyrl-RS"/>
              </w:rPr>
              <w:t xml:space="preserve"> филм таблете:</w:t>
            </w:r>
            <w:r w:rsidRPr="009038E9">
              <w:rPr>
                <w:szCs w:val="22"/>
                <w:lang w:val="de-DE"/>
              </w:rPr>
              <w:t xml:space="preserve"> Оpadry Pink [</w:t>
            </w:r>
            <w:r w:rsidRPr="009038E9">
              <w:rPr>
                <w:szCs w:val="22"/>
                <w:lang w:val="sr-Cyrl-RS"/>
              </w:rPr>
              <w:t xml:space="preserve">хипромелоза; титан диоксид </w:t>
            </w:r>
            <w:r w:rsidRPr="009038E9">
              <w:rPr>
                <w:szCs w:val="22"/>
                <w:lang w:val="de-DE"/>
              </w:rPr>
              <w:t xml:space="preserve">(Е 171); </w:t>
            </w:r>
            <w:r w:rsidRPr="009038E9">
              <w:rPr>
                <w:szCs w:val="22"/>
                <w:lang w:val="sr-Cyrl-RS"/>
              </w:rPr>
              <w:t>талк</w:t>
            </w:r>
            <w:r w:rsidRPr="009038E9">
              <w:rPr>
                <w:szCs w:val="22"/>
                <w:lang w:val="de-DE"/>
              </w:rPr>
              <w:t xml:space="preserve">; </w:t>
            </w:r>
            <w:r w:rsidRPr="009038E9">
              <w:rPr>
                <w:szCs w:val="22"/>
                <w:lang w:val="sr-Cyrl-RS"/>
              </w:rPr>
              <w:t>полисорбат</w:t>
            </w:r>
            <w:r w:rsidRPr="009038E9">
              <w:rPr>
                <w:szCs w:val="22"/>
                <w:lang w:val="de-DE"/>
              </w:rPr>
              <w:t xml:space="preserve"> 80; </w:t>
            </w:r>
            <w:r w:rsidRPr="009038E9">
              <w:rPr>
                <w:szCs w:val="22"/>
                <w:lang w:val="sr-Cyrl-RS"/>
              </w:rPr>
              <w:t>боја – гвожђе оксид, црвени</w:t>
            </w:r>
            <w:r w:rsidRPr="009038E9">
              <w:rPr>
                <w:szCs w:val="22"/>
                <w:lang w:val="de-DE"/>
              </w:rPr>
              <w:t xml:space="preserve"> (Е 172)].</w:t>
            </w:r>
          </w:p>
          <w:p w:rsidR="009038E9" w:rsidRPr="009038E9" w:rsidRDefault="009038E9" w:rsidP="009038E9">
            <w:pPr>
              <w:pStyle w:val="ListParagraph"/>
              <w:autoSpaceDE w:val="0"/>
              <w:autoSpaceDN w:val="0"/>
              <w:adjustRightInd w:val="0"/>
              <w:ind w:left="0"/>
              <w:rPr>
                <w:szCs w:val="22"/>
                <w:lang w:val="de-DE"/>
              </w:rPr>
            </w:pPr>
            <w:r w:rsidRPr="009038E9">
              <w:rPr>
                <w:szCs w:val="22"/>
              </w:rPr>
              <w:t>- Meksena</w:t>
            </w:r>
            <w:r w:rsidRPr="009038E9">
              <w:rPr>
                <w:szCs w:val="22"/>
                <w:vertAlign w:val="superscript"/>
              </w:rPr>
              <w:t>®</w:t>
            </w:r>
            <w:r w:rsidRPr="009038E9">
              <w:rPr>
                <w:szCs w:val="22"/>
                <w:lang w:val="de-DE"/>
              </w:rPr>
              <w:t xml:space="preserve"> 100 mg </w:t>
            </w:r>
            <w:r w:rsidRPr="009038E9">
              <w:rPr>
                <w:szCs w:val="22"/>
                <w:lang w:val="sr-Cyrl-RS"/>
              </w:rPr>
              <w:t>филм таблете:</w:t>
            </w:r>
            <w:r w:rsidRPr="009038E9">
              <w:rPr>
                <w:szCs w:val="22"/>
                <w:lang w:val="de-DE"/>
              </w:rPr>
              <w:t xml:space="preserve"> Opadry Blue [</w:t>
            </w:r>
            <w:r w:rsidRPr="009038E9">
              <w:rPr>
                <w:szCs w:val="22"/>
                <w:lang w:val="sr-Cyrl-RS"/>
              </w:rPr>
              <w:t>хипромелоза; титан</w:t>
            </w:r>
            <w:r w:rsidRPr="009038E9">
              <w:rPr>
                <w:szCs w:val="22"/>
              </w:rPr>
              <w:t xml:space="preserve"> </w:t>
            </w:r>
            <w:r w:rsidRPr="009038E9">
              <w:rPr>
                <w:szCs w:val="22"/>
                <w:lang w:val="sr-Cyrl-RS"/>
              </w:rPr>
              <w:t xml:space="preserve">диоксид </w:t>
            </w:r>
            <w:r w:rsidRPr="009038E9">
              <w:rPr>
                <w:szCs w:val="22"/>
                <w:lang w:val="de-DE"/>
              </w:rPr>
              <w:t xml:space="preserve">(Е 171);  </w:t>
            </w:r>
            <w:r w:rsidRPr="009038E9">
              <w:rPr>
                <w:szCs w:val="22"/>
                <w:lang w:val="sr-Cyrl-RS"/>
              </w:rPr>
              <w:t>макрогол</w:t>
            </w:r>
            <w:r w:rsidRPr="009038E9">
              <w:rPr>
                <w:szCs w:val="22"/>
                <w:lang w:val="de-DE"/>
              </w:rPr>
              <w:t xml:space="preserve">; </w:t>
            </w:r>
            <w:r w:rsidRPr="009038E9">
              <w:rPr>
                <w:szCs w:val="22"/>
                <w:lang w:val="sr-Cyrl-RS"/>
              </w:rPr>
              <w:t>талк</w:t>
            </w:r>
            <w:r w:rsidRPr="009038E9">
              <w:rPr>
                <w:szCs w:val="22"/>
                <w:lang w:val="de-DE"/>
              </w:rPr>
              <w:t xml:space="preserve">; </w:t>
            </w:r>
            <w:r w:rsidRPr="009038E9">
              <w:rPr>
                <w:szCs w:val="22"/>
                <w:lang w:val="sr-Cyrl-RS"/>
              </w:rPr>
              <w:t>полисорбат</w:t>
            </w:r>
            <w:r w:rsidRPr="009038E9">
              <w:rPr>
                <w:szCs w:val="22"/>
                <w:lang w:val="de-DE"/>
              </w:rPr>
              <w:t xml:space="preserve"> 80; </w:t>
            </w:r>
            <w:r w:rsidRPr="009038E9">
              <w:rPr>
                <w:szCs w:val="22"/>
                <w:lang w:val="sr-Cyrl-RS"/>
              </w:rPr>
              <w:t>боја – индиго кармин</w:t>
            </w:r>
            <w:r w:rsidRPr="009038E9">
              <w:rPr>
                <w:szCs w:val="22"/>
                <w:lang w:val="de-DE"/>
              </w:rPr>
              <w:t xml:space="preserve"> (Е 132)].</w:t>
            </w:r>
          </w:p>
          <w:p w:rsidR="009038E9" w:rsidRPr="009038E9" w:rsidRDefault="009038E9" w:rsidP="009038E9">
            <w:pPr>
              <w:tabs>
                <w:tab w:val="left" w:pos="540"/>
              </w:tabs>
              <w:spacing w:after="0"/>
              <w:jc w:val="both"/>
              <w:rPr>
                <w:rFonts w:ascii="Times New Roman" w:hAnsi="Times New Roman" w:cs="Times New Roman"/>
                <w:lang w:val="mk-MK"/>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Cyrl-ME"/>
              </w:rPr>
            </w:pPr>
            <w:r w:rsidRPr="009038E9">
              <w:rPr>
                <w:rFonts w:ascii="Times New Roman" w:hAnsi="Times New Roman" w:cs="Times New Roman"/>
                <w:b/>
                <w:bCs/>
                <w:noProof/>
                <w:lang w:val="sr-Latn-ME"/>
              </w:rPr>
              <w:t>6.2. Инкомпатибилност</w:t>
            </w:r>
            <w:r w:rsidRPr="009038E9">
              <w:rPr>
                <w:rFonts w:ascii="Times New Roman" w:hAnsi="Times New Roman" w:cs="Times New Roman"/>
                <w:b/>
                <w:bCs/>
                <w:noProof/>
                <w:lang w:val="sr-Cyrl-ME"/>
              </w:rPr>
              <w:t>и</w:t>
            </w:r>
          </w:p>
        </w:tc>
      </w:tr>
      <w:tr w:rsidR="009038E9" w:rsidRPr="009038E9" w:rsidTr="003555B8">
        <w:trPr>
          <w:trHeight w:val="596"/>
        </w:trPr>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noProof/>
                <w:lang w:val="sr-Latn-ME"/>
              </w:rPr>
            </w:pPr>
          </w:p>
          <w:p w:rsidR="009038E9" w:rsidRPr="009038E9" w:rsidRDefault="009038E9" w:rsidP="009038E9">
            <w:pPr>
              <w:pStyle w:val="Header"/>
              <w:tabs>
                <w:tab w:val="left" w:pos="284"/>
              </w:tabs>
              <w:jc w:val="both"/>
              <w:rPr>
                <w:rFonts w:ascii="Times New Roman" w:hAnsi="Times New Roman" w:cs="Times New Roman"/>
                <w:noProof/>
                <w:lang w:val="sr-Latn-ME"/>
              </w:rPr>
            </w:pPr>
            <w:r w:rsidRPr="009038E9">
              <w:rPr>
                <w:rFonts w:ascii="Times New Roman" w:hAnsi="Times New Roman" w:cs="Times New Roman"/>
                <w:noProof/>
                <w:lang w:val="sr-Latn-ME"/>
              </w:rPr>
              <w:t>Није примјењиво.</w:t>
            </w:r>
          </w:p>
          <w:p w:rsidR="009038E9" w:rsidRPr="009038E9" w:rsidRDefault="009038E9" w:rsidP="009038E9">
            <w:pPr>
              <w:pStyle w:val="Header"/>
              <w:tabs>
                <w:tab w:val="left" w:pos="284"/>
              </w:tabs>
              <w:jc w:val="both"/>
              <w:rPr>
                <w:rFonts w:ascii="Times New Roman" w:hAnsi="Times New Roman" w:cs="Times New Roman"/>
                <w:noProof/>
                <w:lang w:val="mk-MK"/>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6.3. Рок употребе</w:t>
            </w:r>
          </w:p>
        </w:tc>
      </w:tr>
      <w:tr w:rsidR="009038E9" w:rsidRPr="009038E9" w:rsidTr="003555B8">
        <w:trPr>
          <w:trHeight w:val="851"/>
        </w:trPr>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noProof/>
                <w:lang w:val="sr-Latn-ME"/>
              </w:rPr>
            </w:pPr>
          </w:p>
          <w:p w:rsidR="009038E9" w:rsidRPr="009038E9" w:rsidRDefault="009038E9" w:rsidP="009038E9">
            <w:pPr>
              <w:autoSpaceDE w:val="0"/>
              <w:autoSpaceDN w:val="0"/>
              <w:adjustRightInd w:val="0"/>
              <w:spacing w:after="0"/>
              <w:jc w:val="both"/>
              <w:rPr>
                <w:rFonts w:ascii="Times New Roman" w:hAnsi="Times New Roman" w:cs="Times New Roman"/>
                <w:lang w:val="sr-Latn-ME"/>
              </w:rPr>
            </w:pPr>
            <w:r w:rsidRPr="009038E9">
              <w:rPr>
                <w:rFonts w:ascii="Times New Roman" w:hAnsi="Times New Roman" w:cs="Times New Roman"/>
                <w:lang w:val="mk-MK"/>
              </w:rPr>
              <w:t>Три</w:t>
            </w:r>
            <w:r w:rsidRPr="009038E9">
              <w:rPr>
                <w:rFonts w:ascii="Times New Roman" w:hAnsi="Times New Roman" w:cs="Times New Roman"/>
                <w:lang w:val="sr-Latn-ME"/>
              </w:rPr>
              <w:t xml:space="preserve"> (</w:t>
            </w:r>
            <w:r w:rsidRPr="009038E9">
              <w:rPr>
                <w:rFonts w:ascii="Times New Roman" w:hAnsi="Times New Roman" w:cs="Times New Roman"/>
                <w:lang w:val="mk-MK"/>
              </w:rPr>
              <w:t>3</w:t>
            </w:r>
            <w:r w:rsidRPr="009038E9">
              <w:rPr>
                <w:rFonts w:ascii="Times New Roman" w:hAnsi="Times New Roman" w:cs="Times New Roman"/>
                <w:lang w:val="sr-Latn-ME"/>
              </w:rPr>
              <w:t>) године.</w:t>
            </w:r>
            <w:r w:rsidRPr="009038E9">
              <w:rPr>
                <w:rFonts w:ascii="Times New Roman" w:hAnsi="Times New Roman" w:cs="Times New Roman"/>
              </w:rPr>
              <w:t xml:space="preserve"> </w:t>
            </w:r>
          </w:p>
          <w:p w:rsidR="009038E9" w:rsidRPr="009038E9" w:rsidRDefault="009038E9" w:rsidP="009038E9">
            <w:pPr>
              <w:pStyle w:val="Header"/>
              <w:tabs>
                <w:tab w:val="left" w:pos="284"/>
              </w:tabs>
              <w:jc w:val="both"/>
              <w:rPr>
                <w:rFonts w:ascii="Times New Roman" w:hAnsi="Times New Roman" w:cs="Times New Roman"/>
                <w:noProof/>
                <w:lang w:val="sr-Latn-ME"/>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Cyrl-ME"/>
              </w:rPr>
            </w:pPr>
            <w:r w:rsidRPr="009038E9">
              <w:rPr>
                <w:rFonts w:ascii="Times New Roman" w:hAnsi="Times New Roman" w:cs="Times New Roman"/>
                <w:b/>
                <w:bCs/>
                <w:noProof/>
                <w:lang w:val="sr-Latn-ME"/>
              </w:rPr>
              <w:t>6.4. Посебне мјере упозорења при чувању</w:t>
            </w:r>
            <w:r w:rsidRPr="009038E9">
              <w:rPr>
                <w:rFonts w:ascii="Times New Roman" w:hAnsi="Times New Roman" w:cs="Times New Roman"/>
                <w:b/>
                <w:bCs/>
                <w:noProof/>
                <w:lang w:val="sr-Cyrl-ME"/>
              </w:rPr>
              <w:t xml:space="preserve"> лијека</w:t>
            </w:r>
          </w:p>
        </w:tc>
      </w:tr>
      <w:tr w:rsidR="009038E9" w:rsidRPr="009038E9" w:rsidTr="003555B8">
        <w:trPr>
          <w:trHeight w:val="671"/>
        </w:trPr>
        <w:tc>
          <w:tcPr>
            <w:tcW w:w="10031" w:type="dxa"/>
            <w:gridSpan w:val="4"/>
            <w:vAlign w:val="center"/>
          </w:tcPr>
          <w:p w:rsidR="009038E9" w:rsidRPr="009038E9" w:rsidRDefault="009038E9" w:rsidP="009038E9">
            <w:pPr>
              <w:tabs>
                <w:tab w:val="left" w:pos="540"/>
              </w:tabs>
              <w:spacing w:after="0"/>
              <w:jc w:val="both"/>
              <w:rPr>
                <w:rFonts w:ascii="Times New Roman" w:hAnsi="Times New Roman" w:cs="Times New Roman"/>
                <w:lang w:val="sr-Latn-ME"/>
              </w:rPr>
            </w:pPr>
          </w:p>
          <w:p w:rsidR="009038E9" w:rsidRPr="009038E9" w:rsidRDefault="009038E9" w:rsidP="009038E9">
            <w:pPr>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Чувати у оригиналном паковању ради заштите од свјетлости.</w:t>
            </w:r>
          </w:p>
          <w:p w:rsidR="009038E9" w:rsidRPr="009038E9" w:rsidRDefault="009038E9" w:rsidP="009038E9">
            <w:pPr>
              <w:tabs>
                <w:tab w:val="left" w:pos="567"/>
              </w:tabs>
              <w:spacing w:after="0"/>
              <w:jc w:val="both"/>
              <w:rPr>
                <w:rFonts w:ascii="Times New Roman" w:hAnsi="Times New Roman" w:cs="Times New Roman"/>
                <w:lang w:val="sr-Latn-ME"/>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Cyrl-ME"/>
              </w:rPr>
            </w:pPr>
            <w:r w:rsidRPr="009038E9">
              <w:rPr>
                <w:rFonts w:ascii="Times New Roman" w:hAnsi="Times New Roman" w:cs="Times New Roman"/>
                <w:b/>
                <w:bCs/>
                <w:noProof/>
                <w:lang w:val="sr-Latn-ME"/>
              </w:rPr>
              <w:t xml:space="preserve">6.5. </w:t>
            </w:r>
            <w:r w:rsidRPr="009038E9">
              <w:rPr>
                <w:rFonts w:ascii="Times New Roman" w:hAnsi="Times New Roman" w:cs="Times New Roman"/>
                <w:b/>
                <w:bCs/>
                <w:noProof/>
                <w:lang w:val="sr-Cyrl-ME"/>
              </w:rPr>
              <w:t xml:space="preserve">Врста </w:t>
            </w:r>
            <w:r w:rsidRPr="009038E9">
              <w:rPr>
                <w:rFonts w:ascii="Times New Roman" w:hAnsi="Times New Roman" w:cs="Times New Roman"/>
                <w:b/>
                <w:bCs/>
                <w:noProof/>
                <w:lang w:val="sr-Latn-ME"/>
              </w:rPr>
              <w:t xml:space="preserve">и садржај </w:t>
            </w:r>
            <w:r w:rsidRPr="009038E9">
              <w:rPr>
                <w:rFonts w:ascii="Times New Roman" w:hAnsi="Times New Roman" w:cs="Times New Roman"/>
                <w:b/>
                <w:bCs/>
                <w:noProof/>
                <w:lang w:val="sr-Cyrl-ME"/>
              </w:rPr>
              <w:t>пакова</w:t>
            </w:r>
            <w:r w:rsidRPr="009038E9">
              <w:rPr>
                <w:rFonts w:ascii="Times New Roman" w:hAnsi="Times New Roman" w:cs="Times New Roman"/>
                <w:b/>
                <w:noProof/>
                <w:lang w:val="sr-Latn-ME"/>
              </w:rPr>
              <w:t>њ</w:t>
            </w:r>
            <w:r w:rsidRPr="009038E9">
              <w:rPr>
                <w:rFonts w:ascii="Times New Roman" w:hAnsi="Times New Roman" w:cs="Times New Roman"/>
                <w:b/>
                <w:bCs/>
                <w:noProof/>
                <w:lang w:val="sr-Cyrl-ME"/>
              </w:rPr>
              <w:t>а</w:t>
            </w:r>
          </w:p>
        </w:tc>
      </w:tr>
      <w:tr w:rsidR="009038E9" w:rsidRPr="009038E9" w:rsidTr="003555B8">
        <w:trPr>
          <w:trHeight w:val="671"/>
        </w:trPr>
        <w:tc>
          <w:tcPr>
            <w:tcW w:w="10031" w:type="dxa"/>
            <w:gridSpan w:val="4"/>
            <w:vAlign w:val="center"/>
          </w:tcPr>
          <w:p w:rsidR="009038E9" w:rsidRPr="009038E9" w:rsidRDefault="009038E9" w:rsidP="009038E9">
            <w:pPr>
              <w:spacing w:after="0"/>
              <w:jc w:val="both"/>
              <w:rPr>
                <w:rStyle w:val="Emphasis"/>
                <w:rFonts w:ascii="Times New Roman" w:hAnsi="Times New Roman" w:cs="Times New Roman"/>
                <w:i w:val="0"/>
                <w:iCs w:val="0"/>
                <w:highlight w:val="yellow"/>
                <w:lang w:val="sr-Latn-ME"/>
              </w:rPr>
            </w:pPr>
          </w:p>
          <w:p w:rsidR="009038E9" w:rsidRPr="009038E9" w:rsidRDefault="009038E9" w:rsidP="009038E9">
            <w:pPr>
              <w:tabs>
                <w:tab w:val="left" w:pos="6521"/>
                <w:tab w:val="left" w:pos="8789"/>
              </w:tabs>
              <w:autoSpaceDE w:val="0"/>
              <w:autoSpaceDN w:val="0"/>
              <w:adjustRightInd w:val="0"/>
              <w:spacing w:after="0"/>
              <w:jc w:val="both"/>
              <w:rPr>
                <w:rFonts w:ascii="Times New Roman" w:hAnsi="Times New Roman" w:cs="Times New Roman"/>
                <w:lang w:val="mk-MK"/>
              </w:rPr>
            </w:pPr>
            <w:r w:rsidRPr="009038E9">
              <w:rPr>
                <w:rFonts w:ascii="Times New Roman" w:hAnsi="Times New Roman" w:cs="Times New Roman"/>
              </w:rPr>
              <w:t>Таблете су паковане у блистер паковање од PVC/PVdC/-а</w:t>
            </w:r>
            <w:r w:rsidRPr="009038E9">
              <w:rPr>
                <w:rFonts w:ascii="Times New Roman" w:hAnsi="Times New Roman" w:cs="Times New Roman"/>
                <w:lang w:val="mk-MK"/>
              </w:rPr>
              <w:t xml:space="preserve">луминијумске </w:t>
            </w:r>
            <w:r w:rsidRPr="009038E9">
              <w:rPr>
                <w:rFonts w:ascii="Times New Roman" w:hAnsi="Times New Roman" w:cs="Times New Roman"/>
              </w:rPr>
              <w:t xml:space="preserve">фолије. Сваки блистер садржи </w:t>
            </w:r>
            <w:r w:rsidRPr="009038E9">
              <w:rPr>
                <w:rFonts w:ascii="Times New Roman" w:hAnsi="Times New Roman" w:cs="Times New Roman"/>
                <w:lang w:val="mk-MK"/>
              </w:rPr>
              <w:t xml:space="preserve">10 </w:t>
            </w:r>
            <w:r w:rsidRPr="009038E9">
              <w:rPr>
                <w:rFonts w:ascii="Times New Roman" w:hAnsi="Times New Roman" w:cs="Times New Roman"/>
              </w:rPr>
              <w:t xml:space="preserve">таблета. </w:t>
            </w:r>
          </w:p>
          <w:p w:rsidR="009038E9" w:rsidRPr="009038E9" w:rsidRDefault="009038E9" w:rsidP="009038E9">
            <w:pPr>
              <w:tabs>
                <w:tab w:val="left" w:pos="6521"/>
                <w:tab w:val="left" w:pos="8789"/>
              </w:tabs>
              <w:autoSpaceDE w:val="0"/>
              <w:autoSpaceDN w:val="0"/>
              <w:adjustRightInd w:val="0"/>
              <w:spacing w:after="0"/>
              <w:jc w:val="both"/>
              <w:rPr>
                <w:rFonts w:ascii="Times New Roman" w:hAnsi="Times New Roman" w:cs="Times New Roman"/>
              </w:rPr>
            </w:pPr>
            <w:r w:rsidRPr="009038E9">
              <w:rPr>
                <w:rFonts w:ascii="Times New Roman" w:hAnsi="Times New Roman" w:cs="Times New Roman"/>
              </w:rPr>
              <w:t>Картонска</w:t>
            </w:r>
            <w:r w:rsidRPr="009038E9">
              <w:rPr>
                <w:rFonts w:ascii="Times New Roman" w:hAnsi="Times New Roman" w:cs="Times New Roman"/>
                <w:lang w:val="mk-MK"/>
              </w:rPr>
              <w:t xml:space="preserve"> </w:t>
            </w:r>
            <w:r w:rsidRPr="009038E9">
              <w:rPr>
                <w:rFonts w:ascii="Times New Roman" w:hAnsi="Times New Roman" w:cs="Times New Roman"/>
              </w:rPr>
              <w:t xml:space="preserve">кутија </w:t>
            </w:r>
            <w:r w:rsidRPr="009038E9">
              <w:rPr>
                <w:rFonts w:ascii="Times New Roman" w:hAnsi="Times New Roman" w:cs="Times New Roman"/>
                <w:lang w:val="mk-MK"/>
              </w:rPr>
              <w:t>садржи</w:t>
            </w:r>
            <w:r w:rsidRPr="009038E9">
              <w:rPr>
                <w:rFonts w:ascii="Times New Roman" w:hAnsi="Times New Roman" w:cs="Times New Roman"/>
              </w:rPr>
              <w:t xml:space="preserve"> </w:t>
            </w:r>
            <w:r w:rsidRPr="009038E9">
              <w:rPr>
                <w:rFonts w:ascii="Times New Roman" w:hAnsi="Times New Roman" w:cs="Times New Roman"/>
                <w:lang w:val="mk-MK"/>
              </w:rPr>
              <w:t>30</w:t>
            </w:r>
            <w:r w:rsidRPr="009038E9">
              <w:rPr>
                <w:rFonts w:ascii="Times New Roman" w:hAnsi="Times New Roman" w:cs="Times New Roman"/>
              </w:rPr>
              <w:t xml:space="preserve"> филм таблета (</w:t>
            </w:r>
            <w:r w:rsidRPr="009038E9">
              <w:rPr>
                <w:rFonts w:ascii="Times New Roman" w:hAnsi="Times New Roman" w:cs="Times New Roman"/>
                <w:lang w:val="mk-MK"/>
              </w:rPr>
              <w:t>3</w:t>
            </w:r>
            <w:r w:rsidRPr="009038E9">
              <w:rPr>
                <w:rFonts w:ascii="Times New Roman" w:hAnsi="Times New Roman" w:cs="Times New Roman"/>
              </w:rPr>
              <w:t xml:space="preserve"> блистер</w:t>
            </w:r>
            <w:r w:rsidRPr="009038E9">
              <w:rPr>
                <w:rFonts w:ascii="Times New Roman" w:hAnsi="Times New Roman" w:cs="Times New Roman"/>
                <w:lang w:val="mk-MK"/>
              </w:rPr>
              <w:t>а)</w:t>
            </w:r>
            <w:r w:rsidRPr="009038E9">
              <w:rPr>
                <w:rFonts w:ascii="Times New Roman" w:hAnsi="Times New Roman" w:cs="Times New Roman"/>
              </w:rPr>
              <w:t xml:space="preserve"> и </w:t>
            </w:r>
            <w:r w:rsidRPr="009038E9">
              <w:rPr>
                <w:rFonts w:ascii="Times New Roman" w:hAnsi="Times New Roman" w:cs="Times New Roman"/>
                <w:lang w:val="mk-MK"/>
              </w:rPr>
              <w:t>У</w:t>
            </w:r>
            <w:r w:rsidRPr="009038E9">
              <w:rPr>
                <w:rFonts w:ascii="Times New Roman" w:hAnsi="Times New Roman" w:cs="Times New Roman"/>
              </w:rPr>
              <w:t xml:space="preserve">путство за </w:t>
            </w:r>
            <w:r w:rsidRPr="009038E9">
              <w:rPr>
                <w:rFonts w:ascii="Times New Roman" w:hAnsi="Times New Roman" w:cs="Times New Roman"/>
                <w:lang w:val="mk-MK"/>
              </w:rPr>
              <w:t>лијек</w:t>
            </w:r>
            <w:r w:rsidRPr="009038E9">
              <w:rPr>
                <w:rFonts w:ascii="Times New Roman" w:hAnsi="Times New Roman" w:cs="Times New Roman"/>
              </w:rPr>
              <w:t>.</w:t>
            </w:r>
          </w:p>
          <w:p w:rsidR="009038E9" w:rsidRPr="009038E9" w:rsidRDefault="009038E9" w:rsidP="009038E9">
            <w:pPr>
              <w:pStyle w:val="Header"/>
              <w:tabs>
                <w:tab w:val="left" w:pos="284"/>
              </w:tabs>
              <w:jc w:val="both"/>
              <w:rPr>
                <w:rFonts w:ascii="Times New Roman" w:hAnsi="Times New Roman" w:cs="Times New Roman"/>
                <w:b/>
                <w:noProof/>
                <w:lang w:val="mk-MK"/>
              </w:rPr>
            </w:pPr>
          </w:p>
        </w:tc>
      </w:tr>
      <w:tr w:rsidR="009038E9" w:rsidRPr="009038E9" w:rsidTr="003555B8">
        <w:tc>
          <w:tcPr>
            <w:tcW w:w="10031" w:type="dxa"/>
            <w:gridSpan w:val="4"/>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6.6. Посебне мјере опреза при одлагању материјала који треба одбацити након примјене лијека</w:t>
            </w:r>
            <w:r w:rsidRPr="009038E9">
              <w:rPr>
                <w:rFonts w:ascii="Times New Roman" w:hAnsi="Times New Roman" w:cs="Times New Roman"/>
                <w:b/>
                <w:bCs/>
                <w:noProof/>
                <w:lang w:val="sr-Cyrl-RS"/>
              </w:rPr>
              <w:t xml:space="preserve"> (и друга упутства за руковање лијеком)</w:t>
            </w:r>
            <w:r w:rsidRPr="009038E9">
              <w:rPr>
                <w:rFonts w:ascii="Times New Roman" w:hAnsi="Times New Roman" w:cs="Times New Roman"/>
                <w:b/>
                <w:bCs/>
                <w:noProof/>
                <w:lang w:val="sr-Latn-ME"/>
              </w:rPr>
              <w:t xml:space="preserve"> </w:t>
            </w:r>
          </w:p>
        </w:tc>
      </w:tr>
      <w:tr w:rsidR="009038E9" w:rsidRPr="009038E9" w:rsidTr="003555B8">
        <w:trPr>
          <w:trHeight w:val="1031"/>
        </w:trPr>
        <w:tc>
          <w:tcPr>
            <w:tcW w:w="10031" w:type="dxa"/>
            <w:gridSpan w:val="4"/>
            <w:vAlign w:val="center"/>
          </w:tcPr>
          <w:p w:rsidR="009038E9" w:rsidRPr="009038E9" w:rsidRDefault="009038E9" w:rsidP="009038E9">
            <w:pPr>
              <w:spacing w:after="0"/>
              <w:jc w:val="both"/>
              <w:rPr>
                <w:rFonts w:ascii="Times New Roman" w:hAnsi="Times New Roman" w:cs="Times New Roman"/>
                <w:lang w:val="sr-Latn-ME"/>
              </w:rPr>
            </w:pP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lang w:val="sr-Latn-ME"/>
              </w:rPr>
              <w:t>Нема посебних захтјева.</w:t>
            </w:r>
          </w:p>
          <w:p w:rsidR="009038E9" w:rsidRPr="009038E9" w:rsidRDefault="009038E9" w:rsidP="009038E9">
            <w:pPr>
              <w:pStyle w:val="Header"/>
              <w:tabs>
                <w:tab w:val="left" w:pos="284"/>
              </w:tabs>
              <w:jc w:val="both"/>
              <w:rPr>
                <w:rFonts w:ascii="Times New Roman" w:hAnsi="Times New Roman" w:cs="Times New Roman"/>
                <w:noProof/>
                <w:lang w:val="sr-Latn-ME"/>
              </w:rPr>
            </w:pPr>
            <w:r w:rsidRPr="009038E9">
              <w:rPr>
                <w:rFonts w:ascii="Times New Roman" w:hAnsi="Times New Roman" w:cs="Times New Roman"/>
                <w:noProof/>
                <w:lang w:val="sr-Latn-ME"/>
              </w:rPr>
              <w:t>Сву неискоришћену количину лијека или отпадног материјала након његове употребе треба уклонити у складу са важећим прописима.</w:t>
            </w:r>
          </w:p>
          <w:p w:rsidR="009038E9" w:rsidRDefault="009038E9" w:rsidP="009038E9">
            <w:pPr>
              <w:spacing w:after="0"/>
              <w:jc w:val="both"/>
              <w:rPr>
                <w:rFonts w:ascii="Times New Roman" w:hAnsi="Times New Roman" w:cs="Times New Roman"/>
                <w:lang w:val="sr-Latn-ME"/>
              </w:rPr>
            </w:pPr>
          </w:p>
          <w:p w:rsidR="00EE4185" w:rsidRDefault="00EE4185" w:rsidP="009038E9">
            <w:pPr>
              <w:spacing w:after="0"/>
              <w:jc w:val="both"/>
              <w:rPr>
                <w:rFonts w:ascii="Times New Roman" w:hAnsi="Times New Roman" w:cs="Times New Roman"/>
                <w:lang w:val="sr-Latn-ME"/>
              </w:rPr>
            </w:pPr>
          </w:p>
          <w:p w:rsidR="00EE4185" w:rsidRPr="009038E9" w:rsidRDefault="00EE4185" w:rsidP="009038E9">
            <w:pPr>
              <w:spacing w:after="0"/>
              <w:jc w:val="both"/>
              <w:rPr>
                <w:rFonts w:ascii="Times New Roman" w:hAnsi="Times New Roman" w:cs="Times New Roman"/>
                <w:lang w:val="sr-Latn-ME"/>
              </w:rPr>
            </w:pPr>
          </w:p>
        </w:tc>
      </w:tr>
      <w:tr w:rsidR="009038E9" w:rsidRPr="009038E9" w:rsidTr="003555B8">
        <w:trPr>
          <w:trHeight w:val="356"/>
        </w:trPr>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lastRenderedPageBreak/>
              <w:t xml:space="preserve">7. НОСИЛАЦ ДОЗВОЛЕ </w:t>
            </w:r>
          </w:p>
        </w:tc>
      </w:tr>
      <w:tr w:rsidR="009038E9" w:rsidRPr="009038E9" w:rsidTr="003555B8">
        <w:trPr>
          <w:trHeight w:val="896"/>
        </w:trPr>
        <w:tc>
          <w:tcPr>
            <w:tcW w:w="10031" w:type="dxa"/>
            <w:gridSpan w:val="4"/>
            <w:vAlign w:val="center"/>
          </w:tcPr>
          <w:p w:rsidR="009038E9" w:rsidRPr="009038E9" w:rsidRDefault="009038E9" w:rsidP="009038E9">
            <w:pPr>
              <w:spacing w:after="0"/>
              <w:jc w:val="both"/>
              <w:rPr>
                <w:rFonts w:ascii="Times New Roman" w:hAnsi="Times New Roman" w:cs="Times New Roman"/>
                <w:lang w:val="sr-Latn-ME" w:eastAsia="en-GB"/>
              </w:rPr>
            </w:pPr>
          </w:p>
          <w:p w:rsidR="009038E9" w:rsidRPr="009038E9" w:rsidRDefault="009038E9" w:rsidP="009038E9">
            <w:pPr>
              <w:spacing w:after="0"/>
              <w:jc w:val="both"/>
              <w:rPr>
                <w:rFonts w:ascii="Times New Roman" w:hAnsi="Times New Roman" w:cs="Times New Roman"/>
                <w:lang w:val="sr-Latn-ME" w:eastAsia="en-GB"/>
              </w:rPr>
            </w:pPr>
            <w:r w:rsidRPr="009038E9">
              <w:rPr>
                <w:rFonts w:ascii="Times New Roman" w:hAnsi="Times New Roman" w:cs="Times New Roman"/>
                <w:lang w:val="sr-Latn-ME" w:eastAsia="en-GB"/>
              </w:rPr>
              <w:t>АЛКАЛОИД д.о.о. Подгорица</w:t>
            </w:r>
          </w:p>
          <w:p w:rsidR="009038E9" w:rsidRPr="009038E9" w:rsidRDefault="009038E9" w:rsidP="009038E9">
            <w:pPr>
              <w:spacing w:after="0"/>
              <w:jc w:val="both"/>
              <w:rPr>
                <w:rFonts w:ascii="Times New Roman" w:hAnsi="Times New Roman" w:cs="Times New Roman"/>
                <w:lang w:eastAsia="en-GB"/>
              </w:rPr>
            </w:pPr>
            <w:r w:rsidRPr="009038E9">
              <w:rPr>
                <w:rFonts w:ascii="Times New Roman" w:hAnsi="Times New Roman" w:cs="Times New Roman"/>
                <w:lang w:eastAsia="en-GB"/>
              </w:rPr>
              <w:t>У</w:t>
            </w:r>
            <w:r w:rsidRPr="009038E9">
              <w:rPr>
                <w:rFonts w:ascii="Times New Roman" w:hAnsi="Times New Roman" w:cs="Times New Roman"/>
                <w:lang w:val="sr-Latn-ME" w:eastAsia="en-GB"/>
              </w:rPr>
              <w:t>л. Светлане Кане Радевић бр. 3/V</w:t>
            </w:r>
            <w:r w:rsidRPr="009038E9">
              <w:rPr>
                <w:rFonts w:ascii="Times New Roman" w:hAnsi="Times New Roman" w:cs="Times New Roman"/>
                <w:lang w:eastAsia="en-GB"/>
              </w:rPr>
              <w:t>,</w:t>
            </w:r>
          </w:p>
          <w:p w:rsidR="009038E9" w:rsidRPr="009038E9" w:rsidRDefault="009038E9" w:rsidP="009038E9">
            <w:pPr>
              <w:spacing w:after="0"/>
              <w:jc w:val="both"/>
              <w:rPr>
                <w:rFonts w:ascii="Times New Roman" w:hAnsi="Times New Roman" w:cs="Times New Roman"/>
                <w:lang w:val="sr-Latn-ME" w:eastAsia="en-GB"/>
              </w:rPr>
            </w:pPr>
            <w:r w:rsidRPr="009038E9">
              <w:rPr>
                <w:rFonts w:ascii="Times New Roman" w:hAnsi="Times New Roman" w:cs="Times New Roman"/>
                <w:lang w:val="sr-Latn-ME" w:eastAsia="en-GB"/>
              </w:rPr>
              <w:t>81 000 Подгорица, Црна Гора</w:t>
            </w:r>
          </w:p>
          <w:p w:rsidR="009038E9" w:rsidRDefault="009038E9" w:rsidP="009038E9">
            <w:pPr>
              <w:pStyle w:val="Header"/>
              <w:tabs>
                <w:tab w:val="left" w:pos="284"/>
              </w:tabs>
              <w:jc w:val="both"/>
              <w:rPr>
                <w:rFonts w:ascii="Times New Roman" w:hAnsi="Times New Roman" w:cs="Times New Roman"/>
                <w:noProof/>
                <w:lang w:val="sr-Latn-ME"/>
              </w:rPr>
            </w:pPr>
          </w:p>
          <w:p w:rsidR="00EE4185" w:rsidRPr="009038E9" w:rsidRDefault="00EE4185" w:rsidP="009038E9">
            <w:pPr>
              <w:pStyle w:val="Header"/>
              <w:tabs>
                <w:tab w:val="left" w:pos="284"/>
              </w:tabs>
              <w:jc w:val="both"/>
              <w:rPr>
                <w:rFonts w:ascii="Times New Roman" w:hAnsi="Times New Roman" w:cs="Times New Roman"/>
                <w:noProof/>
                <w:lang w:val="sr-Latn-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Latn-ME"/>
              </w:rPr>
            </w:pPr>
            <w:r w:rsidRPr="009038E9">
              <w:rPr>
                <w:rFonts w:ascii="Times New Roman" w:hAnsi="Times New Roman" w:cs="Times New Roman"/>
                <w:b/>
                <w:bCs/>
                <w:noProof/>
                <w:lang w:val="sr-Latn-ME"/>
              </w:rPr>
              <w:t xml:space="preserve">8. БРОЈ ДОЗВОЛЕ </w:t>
            </w:r>
            <w:r w:rsidRPr="009038E9">
              <w:rPr>
                <w:rFonts w:ascii="Times New Roman" w:hAnsi="Times New Roman" w:cs="Times New Roman"/>
                <w:b/>
                <w:bCs/>
                <w:noProof/>
                <w:lang w:val="sr-Cyrl-RS"/>
              </w:rPr>
              <w:t>ЗА СТАВЉАЊЕ ЛИЈЕКА У ПРОМЕТ</w:t>
            </w:r>
          </w:p>
        </w:tc>
      </w:tr>
      <w:tr w:rsidR="009038E9" w:rsidRPr="009038E9" w:rsidTr="003555B8">
        <w:trPr>
          <w:trHeight w:val="869"/>
        </w:trPr>
        <w:tc>
          <w:tcPr>
            <w:tcW w:w="10031" w:type="dxa"/>
            <w:gridSpan w:val="4"/>
            <w:vAlign w:val="center"/>
          </w:tcPr>
          <w:p w:rsidR="009038E9" w:rsidRPr="009038E9" w:rsidRDefault="009038E9" w:rsidP="009038E9">
            <w:pPr>
              <w:spacing w:after="0"/>
              <w:jc w:val="both"/>
              <w:rPr>
                <w:rFonts w:ascii="Times New Roman" w:hAnsi="Times New Roman" w:cs="Times New Roman"/>
                <w:b/>
                <w:lang w:val="mk-MK"/>
              </w:rPr>
            </w:pP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lang w:val="sr-Cyrl-ME"/>
              </w:rPr>
              <w:t xml:space="preserve">, </w:t>
            </w:r>
            <w:r w:rsidRPr="009038E9">
              <w:rPr>
                <w:rFonts w:ascii="Times New Roman" w:hAnsi="Times New Roman" w:cs="Times New Roman"/>
                <w:lang w:val="mk-MK"/>
              </w:rPr>
              <w:t xml:space="preserve">филм таблета, 50 </w:t>
            </w:r>
            <w:r w:rsidRPr="009038E9">
              <w:rPr>
                <w:rFonts w:ascii="Times New Roman" w:hAnsi="Times New Roman" w:cs="Times New Roman"/>
              </w:rPr>
              <w:t>mg</w:t>
            </w:r>
            <w:r w:rsidRPr="009038E9">
              <w:rPr>
                <w:rFonts w:ascii="Times New Roman" w:hAnsi="Times New Roman" w:cs="Times New Roman"/>
                <w:lang w:val="sr-Cyrl-ME"/>
              </w:rPr>
              <w:t>, блистер, 30 (3</w:t>
            </w:r>
            <w:r w:rsidRPr="009038E9">
              <w:rPr>
                <w:rFonts w:ascii="Times New Roman" w:hAnsi="Times New Roman" w:cs="Times New Roman"/>
                <w:lang w:val="sr-Latn-ME"/>
              </w:rPr>
              <w:t>x</w:t>
            </w:r>
            <w:r w:rsidRPr="009038E9">
              <w:rPr>
                <w:rFonts w:ascii="Times New Roman" w:hAnsi="Times New Roman" w:cs="Times New Roman"/>
                <w:lang w:val="sr-Cyrl-ME"/>
              </w:rPr>
              <w:t>10)</w:t>
            </w:r>
            <w:r w:rsidRPr="009038E9">
              <w:rPr>
                <w:rFonts w:ascii="Times New Roman" w:hAnsi="Times New Roman" w:cs="Times New Roman"/>
                <w:lang w:val="mk-MK"/>
              </w:rPr>
              <w:t xml:space="preserve"> филм таблета:</w:t>
            </w:r>
            <w:r w:rsidRPr="009038E9">
              <w:rPr>
                <w:rFonts w:ascii="Times New Roman" w:hAnsi="Times New Roman" w:cs="Times New Roman"/>
                <w:lang w:val="sr-Latn-ME"/>
              </w:rPr>
              <w:t xml:space="preserve"> </w:t>
            </w:r>
            <w:r w:rsidR="004F7C5F">
              <w:rPr>
                <w:rFonts w:ascii="TimesNewRoman" w:hAnsi="TimesNewRoman" w:cs="TimesNewRoman"/>
              </w:rPr>
              <w:t>2030/19/978 - 5462</w:t>
            </w: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lang w:val="sr-Cyrl-ME"/>
              </w:rPr>
              <w:t xml:space="preserve">, </w:t>
            </w:r>
            <w:r w:rsidRPr="009038E9">
              <w:rPr>
                <w:rFonts w:ascii="Times New Roman" w:hAnsi="Times New Roman" w:cs="Times New Roman"/>
                <w:lang w:val="mk-MK"/>
              </w:rPr>
              <w:t xml:space="preserve">филм таблета, 100 </w:t>
            </w:r>
            <w:r w:rsidRPr="009038E9">
              <w:rPr>
                <w:rFonts w:ascii="Times New Roman" w:hAnsi="Times New Roman" w:cs="Times New Roman"/>
              </w:rPr>
              <w:t>mg</w:t>
            </w:r>
            <w:r w:rsidRPr="009038E9">
              <w:rPr>
                <w:rFonts w:ascii="Times New Roman" w:hAnsi="Times New Roman" w:cs="Times New Roman"/>
                <w:lang w:val="sr-Cyrl-ME"/>
              </w:rPr>
              <w:t>, блистер, 30 (3</w:t>
            </w:r>
            <w:r w:rsidRPr="009038E9">
              <w:rPr>
                <w:rFonts w:ascii="Times New Roman" w:hAnsi="Times New Roman" w:cs="Times New Roman"/>
                <w:lang w:val="sr-Latn-ME"/>
              </w:rPr>
              <w:t>x</w:t>
            </w:r>
            <w:r w:rsidRPr="009038E9">
              <w:rPr>
                <w:rFonts w:ascii="Times New Roman" w:hAnsi="Times New Roman" w:cs="Times New Roman"/>
                <w:lang w:val="sr-Cyrl-ME"/>
              </w:rPr>
              <w:t>10)</w:t>
            </w:r>
            <w:r w:rsidRPr="009038E9">
              <w:rPr>
                <w:rFonts w:ascii="Times New Roman" w:hAnsi="Times New Roman" w:cs="Times New Roman"/>
                <w:lang w:val="mk-MK"/>
              </w:rPr>
              <w:t xml:space="preserve"> филм таблета:</w:t>
            </w:r>
            <w:r w:rsidRPr="009038E9">
              <w:rPr>
                <w:rFonts w:ascii="Times New Roman" w:hAnsi="Times New Roman" w:cs="Times New Roman"/>
                <w:lang w:val="sr-Latn-ME"/>
              </w:rPr>
              <w:t xml:space="preserve"> </w:t>
            </w:r>
            <w:r w:rsidR="004F7C5F">
              <w:rPr>
                <w:rFonts w:ascii="TimesNewRoman" w:hAnsi="TimesNewRoman" w:cs="TimesNewRoman"/>
              </w:rPr>
              <w:t>2030/19/979 - 5463</w:t>
            </w:r>
          </w:p>
          <w:p w:rsidR="009038E9" w:rsidRPr="009038E9" w:rsidRDefault="009038E9" w:rsidP="009038E9">
            <w:pPr>
              <w:pStyle w:val="Header"/>
              <w:tabs>
                <w:tab w:val="left" w:pos="284"/>
              </w:tabs>
              <w:jc w:val="both"/>
              <w:rPr>
                <w:rFonts w:ascii="Times New Roman" w:hAnsi="Times New Roman" w:cs="Times New Roman"/>
                <w:noProof/>
                <w:lang w:val="sr-Latn-ME"/>
              </w:rPr>
            </w:pPr>
          </w:p>
          <w:p w:rsidR="009038E9" w:rsidRPr="009038E9" w:rsidRDefault="009038E9" w:rsidP="009038E9">
            <w:pPr>
              <w:pStyle w:val="Header"/>
              <w:tabs>
                <w:tab w:val="left" w:pos="284"/>
              </w:tabs>
              <w:jc w:val="both"/>
              <w:rPr>
                <w:rFonts w:ascii="Times New Roman" w:hAnsi="Times New Roman" w:cs="Times New Roman"/>
                <w:noProof/>
                <w:lang w:val="sr-Latn-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Cyrl-RS"/>
              </w:rPr>
            </w:pPr>
            <w:r w:rsidRPr="009038E9">
              <w:rPr>
                <w:rFonts w:ascii="Times New Roman" w:hAnsi="Times New Roman" w:cs="Times New Roman"/>
                <w:b/>
                <w:bCs/>
                <w:noProof/>
                <w:lang w:val="sr-Latn-ME"/>
              </w:rPr>
              <w:t>9. ДАТУМ ПРВЕ ДОЗВОЛЕ</w:t>
            </w:r>
            <w:r w:rsidRPr="009038E9">
              <w:rPr>
                <w:rFonts w:ascii="Times New Roman" w:hAnsi="Times New Roman" w:cs="Times New Roman"/>
                <w:b/>
                <w:bCs/>
                <w:noProof/>
                <w:lang w:val="sr-Cyrl-RS"/>
              </w:rPr>
              <w:t>/</w:t>
            </w:r>
            <w:r w:rsidRPr="009038E9">
              <w:rPr>
                <w:rFonts w:ascii="Times New Roman" w:hAnsi="Times New Roman" w:cs="Times New Roman"/>
                <w:b/>
                <w:bCs/>
                <w:noProof/>
                <w:lang w:val="sr-Latn-ME"/>
              </w:rPr>
              <w:t>ОБНОВЕ ДОЗВОЛЕ</w:t>
            </w:r>
            <w:r w:rsidRPr="009038E9">
              <w:rPr>
                <w:rFonts w:ascii="Times New Roman" w:hAnsi="Times New Roman" w:cs="Times New Roman"/>
                <w:b/>
                <w:bCs/>
                <w:noProof/>
                <w:lang w:val="sr-Cyrl-RS"/>
              </w:rPr>
              <w:t xml:space="preserve"> ЗА СТАВЉАЊЕ ЛИЈЕКА У ПРОМЕТ</w:t>
            </w:r>
          </w:p>
        </w:tc>
      </w:tr>
      <w:tr w:rsidR="009038E9" w:rsidRPr="009038E9" w:rsidTr="003555B8">
        <w:trPr>
          <w:trHeight w:val="869"/>
        </w:trPr>
        <w:tc>
          <w:tcPr>
            <w:tcW w:w="10031" w:type="dxa"/>
            <w:gridSpan w:val="4"/>
            <w:vAlign w:val="center"/>
          </w:tcPr>
          <w:p w:rsidR="009038E9" w:rsidRPr="009038E9" w:rsidRDefault="009038E9" w:rsidP="009038E9">
            <w:pPr>
              <w:spacing w:after="0"/>
              <w:jc w:val="both"/>
              <w:rPr>
                <w:rFonts w:ascii="Times New Roman" w:hAnsi="Times New Roman" w:cs="Times New Roman"/>
                <w:b/>
                <w:lang w:val="mk-MK"/>
              </w:rPr>
            </w:pP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lang w:val="sr-Cyrl-ME"/>
              </w:rPr>
              <w:t>,</w:t>
            </w:r>
            <w:r w:rsidRPr="009038E9">
              <w:rPr>
                <w:rFonts w:ascii="Times New Roman" w:hAnsi="Times New Roman" w:cs="Times New Roman"/>
                <w:lang w:val="mk-MK"/>
              </w:rPr>
              <w:t xml:space="preserve"> филм таблета, 50 </w:t>
            </w:r>
            <w:r w:rsidRPr="009038E9">
              <w:rPr>
                <w:rFonts w:ascii="Times New Roman" w:hAnsi="Times New Roman" w:cs="Times New Roman"/>
              </w:rPr>
              <w:t>mg</w:t>
            </w:r>
            <w:r w:rsidRPr="009038E9">
              <w:rPr>
                <w:rFonts w:ascii="Times New Roman" w:hAnsi="Times New Roman" w:cs="Times New Roman"/>
                <w:lang w:val="sr-Cyrl-ME"/>
              </w:rPr>
              <w:t>, блистер, 30 (3</w:t>
            </w:r>
            <w:r w:rsidRPr="009038E9">
              <w:rPr>
                <w:rFonts w:ascii="Times New Roman" w:hAnsi="Times New Roman" w:cs="Times New Roman"/>
                <w:lang w:val="sr-Latn-ME"/>
              </w:rPr>
              <w:t>x</w:t>
            </w:r>
            <w:r w:rsidRPr="009038E9">
              <w:rPr>
                <w:rFonts w:ascii="Times New Roman" w:hAnsi="Times New Roman" w:cs="Times New Roman"/>
                <w:lang w:val="sr-Cyrl-ME"/>
              </w:rPr>
              <w:t>10)</w:t>
            </w:r>
            <w:r w:rsidRPr="009038E9">
              <w:rPr>
                <w:rFonts w:ascii="Times New Roman" w:hAnsi="Times New Roman" w:cs="Times New Roman"/>
                <w:lang w:val="mk-MK"/>
              </w:rPr>
              <w:t xml:space="preserve"> филм таблета: </w:t>
            </w:r>
            <w:r w:rsidR="00B02946">
              <w:rPr>
                <w:rFonts w:ascii="TimesNewRoman" w:hAnsi="TimesNewRoman" w:cs="TimesNewRoman"/>
              </w:rPr>
              <w:t>06.12.2019. године</w:t>
            </w:r>
          </w:p>
          <w:p w:rsidR="009038E9" w:rsidRPr="009038E9" w:rsidRDefault="009038E9" w:rsidP="009038E9">
            <w:pPr>
              <w:spacing w:after="0"/>
              <w:jc w:val="both"/>
              <w:rPr>
                <w:rFonts w:ascii="Times New Roman" w:hAnsi="Times New Roman" w:cs="Times New Roman"/>
                <w:lang w:val="sr-Latn-ME"/>
              </w:rPr>
            </w:pPr>
            <w:r w:rsidRPr="009038E9">
              <w:rPr>
                <w:rFonts w:ascii="Times New Roman" w:hAnsi="Times New Roman" w:cs="Times New Roman"/>
              </w:rPr>
              <w:t>Meksena</w:t>
            </w:r>
            <w:r w:rsidRPr="009038E9">
              <w:rPr>
                <w:rFonts w:ascii="Times New Roman" w:hAnsi="Times New Roman" w:cs="Times New Roman"/>
                <w:vertAlign w:val="superscript"/>
              </w:rPr>
              <w:t>®</w:t>
            </w:r>
            <w:r w:rsidRPr="009038E9">
              <w:rPr>
                <w:rFonts w:ascii="Times New Roman" w:hAnsi="Times New Roman" w:cs="Times New Roman"/>
                <w:lang w:val="sr-Cyrl-ME"/>
              </w:rPr>
              <w:t xml:space="preserve">, </w:t>
            </w:r>
            <w:r w:rsidRPr="009038E9">
              <w:rPr>
                <w:rFonts w:ascii="Times New Roman" w:hAnsi="Times New Roman" w:cs="Times New Roman"/>
                <w:lang w:val="mk-MK"/>
              </w:rPr>
              <w:t xml:space="preserve">филм таблета, 100 </w:t>
            </w:r>
            <w:r w:rsidRPr="009038E9">
              <w:rPr>
                <w:rFonts w:ascii="Times New Roman" w:hAnsi="Times New Roman" w:cs="Times New Roman"/>
              </w:rPr>
              <w:t>mg</w:t>
            </w:r>
            <w:r w:rsidRPr="009038E9">
              <w:rPr>
                <w:rFonts w:ascii="Times New Roman" w:hAnsi="Times New Roman" w:cs="Times New Roman"/>
                <w:lang w:val="sr-Cyrl-ME"/>
              </w:rPr>
              <w:t>, блистер, 30 (3</w:t>
            </w:r>
            <w:r w:rsidRPr="009038E9">
              <w:rPr>
                <w:rFonts w:ascii="Times New Roman" w:hAnsi="Times New Roman" w:cs="Times New Roman"/>
                <w:lang w:val="sr-Latn-ME"/>
              </w:rPr>
              <w:t>x</w:t>
            </w:r>
            <w:r w:rsidRPr="009038E9">
              <w:rPr>
                <w:rFonts w:ascii="Times New Roman" w:hAnsi="Times New Roman" w:cs="Times New Roman"/>
                <w:lang w:val="sr-Cyrl-ME"/>
              </w:rPr>
              <w:t>10)</w:t>
            </w:r>
            <w:r w:rsidRPr="009038E9">
              <w:rPr>
                <w:rFonts w:ascii="Times New Roman" w:hAnsi="Times New Roman" w:cs="Times New Roman"/>
                <w:lang w:val="mk-MK"/>
              </w:rPr>
              <w:t xml:space="preserve"> филм таблета: </w:t>
            </w:r>
            <w:r w:rsidR="00B02946">
              <w:rPr>
                <w:rFonts w:ascii="TimesNewRoman" w:hAnsi="TimesNewRoman" w:cs="TimesNewRoman"/>
              </w:rPr>
              <w:t>06.12.2019. године</w:t>
            </w:r>
          </w:p>
          <w:p w:rsidR="009038E9" w:rsidRPr="009038E9" w:rsidRDefault="009038E9" w:rsidP="009038E9">
            <w:pPr>
              <w:pStyle w:val="Header"/>
              <w:tabs>
                <w:tab w:val="left" w:pos="284"/>
              </w:tabs>
              <w:jc w:val="both"/>
              <w:rPr>
                <w:rFonts w:ascii="Times New Roman" w:hAnsi="Times New Roman" w:cs="Times New Roman"/>
                <w:noProof/>
                <w:lang w:val="sr-Latn-ME"/>
              </w:rPr>
            </w:pPr>
          </w:p>
          <w:p w:rsidR="009038E9" w:rsidRPr="009038E9" w:rsidRDefault="009038E9" w:rsidP="009038E9">
            <w:pPr>
              <w:pStyle w:val="Header"/>
              <w:tabs>
                <w:tab w:val="left" w:pos="284"/>
              </w:tabs>
              <w:jc w:val="both"/>
              <w:rPr>
                <w:rFonts w:ascii="Times New Roman" w:hAnsi="Times New Roman" w:cs="Times New Roman"/>
                <w:noProof/>
                <w:lang w:val="sr-Latn-ME"/>
              </w:rPr>
            </w:pPr>
          </w:p>
        </w:tc>
      </w:tr>
      <w:tr w:rsidR="009038E9" w:rsidRPr="009038E9" w:rsidTr="003555B8">
        <w:tc>
          <w:tcPr>
            <w:tcW w:w="10031" w:type="dxa"/>
            <w:gridSpan w:val="4"/>
            <w:shd w:val="clear" w:color="auto" w:fill="E0E0E0"/>
            <w:vAlign w:val="center"/>
          </w:tcPr>
          <w:p w:rsidR="009038E9" w:rsidRPr="009038E9" w:rsidRDefault="009038E9" w:rsidP="009038E9">
            <w:pPr>
              <w:pStyle w:val="Header"/>
              <w:tabs>
                <w:tab w:val="left" w:pos="284"/>
              </w:tabs>
              <w:jc w:val="both"/>
              <w:rPr>
                <w:rFonts w:ascii="Times New Roman" w:hAnsi="Times New Roman" w:cs="Times New Roman"/>
                <w:b/>
                <w:bCs/>
                <w:noProof/>
                <w:lang w:val="sr-Cyrl-ME"/>
              </w:rPr>
            </w:pPr>
            <w:r w:rsidRPr="009038E9">
              <w:rPr>
                <w:rFonts w:ascii="Times New Roman" w:hAnsi="Times New Roman" w:cs="Times New Roman"/>
                <w:b/>
                <w:bCs/>
                <w:noProof/>
                <w:lang w:val="sr-Latn-ME"/>
              </w:rPr>
              <w:t>10. ДАТУМ РЕВИЗИЈЕ ТЕКСТА</w:t>
            </w:r>
          </w:p>
        </w:tc>
      </w:tr>
      <w:tr w:rsidR="009038E9" w:rsidRPr="009038E9" w:rsidTr="003555B8">
        <w:trPr>
          <w:trHeight w:val="824"/>
        </w:trPr>
        <w:tc>
          <w:tcPr>
            <w:tcW w:w="10031" w:type="dxa"/>
            <w:gridSpan w:val="4"/>
            <w:vAlign w:val="center"/>
          </w:tcPr>
          <w:p w:rsidR="009038E9" w:rsidRPr="009038E9" w:rsidRDefault="00B02946" w:rsidP="009038E9">
            <w:pPr>
              <w:pStyle w:val="Header"/>
              <w:tabs>
                <w:tab w:val="left" w:pos="284"/>
              </w:tabs>
              <w:jc w:val="both"/>
              <w:rPr>
                <w:rFonts w:ascii="Times New Roman" w:hAnsi="Times New Roman" w:cs="Times New Roman"/>
                <w:noProof/>
                <w:lang w:val="sr-Latn-ME"/>
              </w:rPr>
            </w:pPr>
            <w:r>
              <w:rPr>
                <w:rFonts w:ascii="Times New Roman" w:hAnsi="Times New Roman" w:cs="Times New Roman"/>
                <w:noProof/>
                <w:lang w:val="sr-Latn-ME"/>
              </w:rPr>
              <w:t>Децембар, 2019. године</w:t>
            </w:r>
            <w:bookmarkStart w:id="0" w:name="_GoBack"/>
            <w:bookmarkEnd w:id="0"/>
          </w:p>
        </w:tc>
      </w:tr>
    </w:tbl>
    <w:p w:rsidR="009038E9" w:rsidRPr="009038E9" w:rsidRDefault="009038E9" w:rsidP="009038E9">
      <w:pPr>
        <w:spacing w:after="0"/>
        <w:jc w:val="both"/>
        <w:rPr>
          <w:rFonts w:ascii="Times New Roman" w:hAnsi="Times New Roman" w:cs="Times New Roman"/>
          <w:b/>
          <w:snapToGrid w:val="0"/>
        </w:rPr>
      </w:pPr>
    </w:p>
    <w:p w:rsidR="009318B4" w:rsidRPr="009038E9" w:rsidRDefault="009318B4" w:rsidP="009038E9">
      <w:pPr>
        <w:spacing w:after="0"/>
        <w:jc w:val="both"/>
        <w:rPr>
          <w:rFonts w:ascii="Times New Roman" w:hAnsi="Times New Roman" w:cs="Times New Roman"/>
        </w:rPr>
      </w:pPr>
    </w:p>
    <w:p w:rsidR="009318B4" w:rsidRPr="009038E9" w:rsidRDefault="00747C4B" w:rsidP="009038E9">
      <w:pPr>
        <w:tabs>
          <w:tab w:val="left" w:pos="6150"/>
        </w:tabs>
        <w:spacing w:after="0"/>
        <w:jc w:val="both"/>
        <w:rPr>
          <w:rFonts w:ascii="Times New Roman" w:hAnsi="Times New Roman" w:cs="Times New Roman"/>
        </w:rPr>
      </w:pPr>
      <w:r w:rsidRPr="009038E9">
        <w:rPr>
          <w:rFonts w:ascii="Times New Roman" w:hAnsi="Times New Roman" w:cs="Times New Roman"/>
        </w:rPr>
        <w:tab/>
      </w:r>
    </w:p>
    <w:p w:rsidR="009318B4" w:rsidRPr="009038E9" w:rsidRDefault="009318B4"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spacing w:after="0"/>
        <w:jc w:val="both"/>
        <w:rPr>
          <w:rFonts w:ascii="Times New Roman" w:hAnsi="Times New Roman" w:cs="Times New Roman"/>
        </w:rPr>
      </w:pPr>
    </w:p>
    <w:p w:rsidR="00F1527C" w:rsidRPr="009038E9" w:rsidRDefault="00F1527C" w:rsidP="009038E9">
      <w:pPr>
        <w:tabs>
          <w:tab w:val="left" w:pos="2751"/>
        </w:tabs>
        <w:spacing w:after="0"/>
        <w:jc w:val="both"/>
        <w:rPr>
          <w:rFonts w:ascii="Times New Roman" w:hAnsi="Times New Roman" w:cs="Times New Roman"/>
        </w:rPr>
      </w:pPr>
    </w:p>
    <w:p w:rsidR="00F1527C" w:rsidRPr="009038E9" w:rsidRDefault="00F1527C" w:rsidP="009038E9">
      <w:pPr>
        <w:tabs>
          <w:tab w:val="left" w:pos="2751"/>
        </w:tabs>
        <w:spacing w:after="0"/>
        <w:jc w:val="both"/>
        <w:rPr>
          <w:rFonts w:ascii="Times New Roman" w:hAnsi="Times New Roman" w:cs="Times New Roman"/>
        </w:rPr>
      </w:pPr>
    </w:p>
    <w:p w:rsidR="00F1527C" w:rsidRPr="009038E9" w:rsidRDefault="00F1527C" w:rsidP="009038E9">
      <w:pPr>
        <w:tabs>
          <w:tab w:val="left" w:pos="2751"/>
        </w:tabs>
        <w:spacing w:after="0"/>
        <w:jc w:val="both"/>
        <w:rPr>
          <w:rFonts w:ascii="Times New Roman" w:hAnsi="Times New Roman" w:cs="Times New Roman"/>
        </w:rPr>
      </w:pPr>
    </w:p>
    <w:p w:rsidR="009318B4" w:rsidRPr="009038E9" w:rsidRDefault="00F1527C" w:rsidP="009038E9">
      <w:pPr>
        <w:tabs>
          <w:tab w:val="left" w:pos="2751"/>
        </w:tabs>
        <w:spacing w:after="0"/>
        <w:jc w:val="both"/>
        <w:rPr>
          <w:rFonts w:ascii="Times New Roman" w:hAnsi="Times New Roman" w:cs="Times New Roman"/>
        </w:rPr>
      </w:pPr>
      <w:r w:rsidRPr="009038E9">
        <w:rPr>
          <w:rFonts w:ascii="Times New Roman" w:hAnsi="Times New Roman" w:cs="Times New Roman"/>
        </w:rPr>
        <w:tab/>
      </w:r>
    </w:p>
    <w:sectPr w:rsidR="009318B4" w:rsidRPr="009038E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D57" w:rsidRDefault="00F36D57" w:rsidP="00FF2B5A">
      <w:pPr>
        <w:spacing w:after="0" w:line="240" w:lineRule="auto"/>
      </w:pPr>
      <w:r>
        <w:separator/>
      </w:r>
    </w:p>
  </w:endnote>
  <w:endnote w:type="continuationSeparator" w:id="0">
    <w:p w:rsidR="00F36D57" w:rsidRDefault="00F36D5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02946">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02946">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D57" w:rsidRDefault="00F36D57" w:rsidP="00FF2B5A">
      <w:pPr>
        <w:spacing w:after="0" w:line="240" w:lineRule="auto"/>
      </w:pPr>
      <w:r>
        <w:separator/>
      </w:r>
    </w:p>
  </w:footnote>
  <w:footnote w:type="continuationSeparator" w:id="0">
    <w:p w:rsidR="00F36D57" w:rsidRDefault="00F36D5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8471C"/>
    <w:multiLevelType w:val="hybridMultilevel"/>
    <w:tmpl w:val="32CACDDE"/>
    <w:lvl w:ilvl="0" w:tplc="C51C7E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A68DA"/>
    <w:multiLevelType w:val="hybridMultilevel"/>
    <w:tmpl w:val="60A06A58"/>
    <w:lvl w:ilvl="0" w:tplc="C51C7E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561D6"/>
    <w:rsid w:val="00461135"/>
    <w:rsid w:val="004F7C5F"/>
    <w:rsid w:val="00747C4B"/>
    <w:rsid w:val="00883AF2"/>
    <w:rsid w:val="009038E9"/>
    <w:rsid w:val="009318B4"/>
    <w:rsid w:val="00934541"/>
    <w:rsid w:val="00A06058"/>
    <w:rsid w:val="00B02946"/>
    <w:rsid w:val="00B234CE"/>
    <w:rsid w:val="00B34AF2"/>
    <w:rsid w:val="00C4240B"/>
    <w:rsid w:val="00D45AFE"/>
    <w:rsid w:val="00D85C86"/>
    <w:rsid w:val="00E0627A"/>
    <w:rsid w:val="00EB2A93"/>
    <w:rsid w:val="00EE4185"/>
    <w:rsid w:val="00F1527C"/>
    <w:rsid w:val="00F36D5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38E9"/>
    <w:pPr>
      <w:keepNext/>
      <w:spacing w:before="240" w:after="60" w:line="360" w:lineRule="auto"/>
      <w:jc w:val="center"/>
      <w:outlineLvl w:val="0"/>
    </w:pPr>
    <w:rPr>
      <w:rFonts w:ascii="Times New Roman" w:eastAsia="Times New Roman" w:hAnsi="Times New Roman" w:cs="Times New Roman"/>
      <w:b/>
      <w:kern w:val="28"/>
      <w:sz w:val="32"/>
      <w:szCs w:val="20"/>
      <w:lang w:val="en-GB" w:eastAsia="hr-HR"/>
    </w:rPr>
  </w:style>
  <w:style w:type="paragraph" w:styleId="Heading2">
    <w:name w:val="heading 2"/>
    <w:basedOn w:val="Normal"/>
    <w:next w:val="Normal"/>
    <w:link w:val="Heading2Char"/>
    <w:qFormat/>
    <w:rsid w:val="009038E9"/>
    <w:pPr>
      <w:keepNext/>
      <w:tabs>
        <w:tab w:val="left" w:pos="1134"/>
      </w:tabs>
      <w:spacing w:before="240" w:after="60" w:line="360" w:lineRule="auto"/>
      <w:ind w:left="1134" w:hanging="1134"/>
      <w:jc w:val="both"/>
      <w:outlineLvl w:val="1"/>
    </w:pPr>
    <w:rPr>
      <w:rFonts w:ascii="Times New Roman" w:eastAsia="Times New Roman" w:hAnsi="Times New Roman" w:cs="Times New Roman"/>
      <w:b/>
      <w:sz w:val="26"/>
      <w:szCs w:val="20"/>
      <w:lang w:val="en-GB" w:eastAsia="hr-HR"/>
    </w:rPr>
  </w:style>
  <w:style w:type="paragraph" w:styleId="Heading3">
    <w:name w:val="heading 3"/>
    <w:basedOn w:val="Normal"/>
    <w:next w:val="Normal"/>
    <w:link w:val="Heading3Char"/>
    <w:qFormat/>
    <w:rsid w:val="009038E9"/>
    <w:pPr>
      <w:keepNext/>
      <w:tabs>
        <w:tab w:val="left" w:pos="1134"/>
      </w:tabs>
      <w:spacing w:before="240" w:after="60" w:line="360" w:lineRule="auto"/>
      <w:ind w:left="1134" w:hanging="1134"/>
      <w:jc w:val="both"/>
      <w:outlineLvl w:val="2"/>
    </w:pPr>
    <w:rPr>
      <w:rFonts w:ascii="Times New Roman" w:eastAsia="Times New Roman" w:hAnsi="Times New Roman" w:cs="Times New Roman"/>
      <w:b/>
      <w:sz w:val="24"/>
      <w:szCs w:val="20"/>
      <w:lang w:val="en-GB" w:eastAsia="hr-HR"/>
    </w:rPr>
  </w:style>
  <w:style w:type="paragraph" w:styleId="Heading4">
    <w:name w:val="heading 4"/>
    <w:basedOn w:val="Normal"/>
    <w:next w:val="Normal"/>
    <w:link w:val="Heading4Char"/>
    <w:qFormat/>
    <w:rsid w:val="009038E9"/>
    <w:pPr>
      <w:keepNext/>
      <w:tabs>
        <w:tab w:val="left" w:pos="1134"/>
      </w:tabs>
      <w:spacing w:before="240" w:after="60" w:line="360" w:lineRule="auto"/>
      <w:ind w:left="1134" w:hanging="1134"/>
      <w:jc w:val="both"/>
      <w:outlineLvl w:val="3"/>
    </w:pPr>
    <w:rPr>
      <w:rFonts w:ascii="Times New Roman" w:eastAsia="Times New Roman" w:hAnsi="Times New Roman" w:cs="Times New Roman"/>
      <w:sz w:val="24"/>
      <w:szCs w:val="20"/>
      <w:lang w:val="en-GB" w:eastAsia="hr-HR"/>
    </w:rPr>
  </w:style>
  <w:style w:type="paragraph" w:styleId="Heading5">
    <w:name w:val="heading 5"/>
    <w:basedOn w:val="Normal"/>
    <w:next w:val="Normal"/>
    <w:link w:val="Heading5Char"/>
    <w:qFormat/>
    <w:rsid w:val="009038E9"/>
    <w:pPr>
      <w:spacing w:before="240" w:after="60" w:line="360" w:lineRule="auto"/>
      <w:jc w:val="both"/>
      <w:outlineLvl w:val="4"/>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9038E9"/>
    <w:rPr>
      <w:rFonts w:ascii="Times New Roman" w:eastAsia="Times New Roman" w:hAnsi="Times New Roman" w:cs="Times New Roman"/>
      <w:b/>
      <w:kern w:val="28"/>
      <w:sz w:val="32"/>
      <w:szCs w:val="20"/>
      <w:lang w:val="en-GB" w:eastAsia="hr-HR"/>
    </w:rPr>
  </w:style>
  <w:style w:type="character" w:customStyle="1" w:styleId="Heading2Char">
    <w:name w:val="Heading 2 Char"/>
    <w:basedOn w:val="DefaultParagraphFont"/>
    <w:link w:val="Heading2"/>
    <w:rsid w:val="009038E9"/>
    <w:rPr>
      <w:rFonts w:ascii="Times New Roman" w:eastAsia="Times New Roman" w:hAnsi="Times New Roman" w:cs="Times New Roman"/>
      <w:b/>
      <w:sz w:val="26"/>
      <w:szCs w:val="20"/>
      <w:lang w:val="en-GB" w:eastAsia="hr-HR"/>
    </w:rPr>
  </w:style>
  <w:style w:type="character" w:customStyle="1" w:styleId="Heading3Char">
    <w:name w:val="Heading 3 Char"/>
    <w:basedOn w:val="DefaultParagraphFont"/>
    <w:link w:val="Heading3"/>
    <w:rsid w:val="009038E9"/>
    <w:rPr>
      <w:rFonts w:ascii="Times New Roman" w:eastAsia="Times New Roman" w:hAnsi="Times New Roman" w:cs="Times New Roman"/>
      <w:b/>
      <w:sz w:val="24"/>
      <w:szCs w:val="20"/>
      <w:lang w:val="en-GB" w:eastAsia="hr-HR"/>
    </w:rPr>
  </w:style>
  <w:style w:type="character" w:customStyle="1" w:styleId="Heading4Char">
    <w:name w:val="Heading 4 Char"/>
    <w:basedOn w:val="DefaultParagraphFont"/>
    <w:link w:val="Heading4"/>
    <w:rsid w:val="009038E9"/>
    <w:rPr>
      <w:rFonts w:ascii="Times New Roman" w:eastAsia="Times New Roman" w:hAnsi="Times New Roman" w:cs="Times New Roman"/>
      <w:sz w:val="24"/>
      <w:szCs w:val="20"/>
      <w:lang w:val="en-GB" w:eastAsia="hr-HR"/>
    </w:rPr>
  </w:style>
  <w:style w:type="character" w:customStyle="1" w:styleId="Heading5Char">
    <w:name w:val="Heading 5 Char"/>
    <w:basedOn w:val="DefaultParagraphFont"/>
    <w:link w:val="Heading5"/>
    <w:rsid w:val="009038E9"/>
    <w:rPr>
      <w:rFonts w:ascii="Times New Roman" w:eastAsia="Times New Roman" w:hAnsi="Times New Roman" w:cs="Times New Roman"/>
      <w:sz w:val="24"/>
      <w:szCs w:val="20"/>
      <w:lang w:val="en-GB" w:eastAsia="hr-HR"/>
    </w:rPr>
  </w:style>
  <w:style w:type="paragraph" w:customStyle="1" w:styleId="Naslov">
    <w:name w:val="Naslov"/>
    <w:basedOn w:val="Normal"/>
    <w:rsid w:val="009038E9"/>
    <w:pPr>
      <w:tabs>
        <w:tab w:val="left" w:pos="840"/>
      </w:tabs>
      <w:spacing w:after="0" w:line="240" w:lineRule="auto"/>
    </w:pPr>
    <w:rPr>
      <w:rFonts w:ascii="Times New Roman" w:eastAsia="Times New Roman" w:hAnsi="Times New Roman" w:cs="Times New Roman"/>
      <w:b/>
      <w:caps/>
      <w:sz w:val="24"/>
      <w:szCs w:val="20"/>
      <w:lang w:val="en-GB" w:eastAsia="hr-HR"/>
    </w:rPr>
  </w:style>
  <w:style w:type="paragraph" w:customStyle="1" w:styleId="tekst">
    <w:name w:val="tekst"/>
    <w:basedOn w:val="Normal"/>
    <w:rsid w:val="009038E9"/>
    <w:pPr>
      <w:spacing w:before="60" w:after="0" w:line="240" w:lineRule="atLeast"/>
      <w:jc w:val="both"/>
    </w:pPr>
    <w:rPr>
      <w:rFonts w:ascii="Times New Roman" w:eastAsia="Times New Roman" w:hAnsi="Times New Roman" w:cs="Times New Roman"/>
      <w:noProof/>
      <w:sz w:val="24"/>
      <w:szCs w:val="20"/>
      <w:lang w:val="sr-Cyrl-RS" w:eastAsia="hr-HR"/>
    </w:rPr>
  </w:style>
  <w:style w:type="character" w:styleId="Emphasis">
    <w:name w:val="Emphasis"/>
    <w:uiPriority w:val="20"/>
    <w:qFormat/>
    <w:rsid w:val="009038E9"/>
    <w:rPr>
      <w:i/>
      <w:iCs/>
    </w:rPr>
  </w:style>
  <w:style w:type="character" w:styleId="Hyperlink">
    <w:name w:val="Hyperlink"/>
    <w:rsid w:val="009038E9"/>
    <w:rPr>
      <w:rFonts w:cs="Times New Roman"/>
      <w:color w:val="0000FF"/>
      <w:u w:val="single"/>
    </w:rPr>
  </w:style>
  <w:style w:type="character" w:customStyle="1" w:styleId="hps">
    <w:name w:val="hps"/>
    <w:rsid w:val="009038E9"/>
  </w:style>
  <w:style w:type="paragraph" w:styleId="NoSpacing">
    <w:name w:val="No Spacing"/>
    <w:uiPriority w:val="99"/>
    <w:qFormat/>
    <w:rsid w:val="009038E9"/>
    <w:pPr>
      <w:spacing w:after="0" w:line="240" w:lineRule="auto"/>
    </w:pPr>
    <w:rPr>
      <w:rFonts w:ascii="Arial" w:eastAsia="Times New Roman" w:hAnsi="Arial" w:cs="Times New Roman"/>
      <w:lang w:val="en-GB"/>
    </w:rPr>
  </w:style>
  <w:style w:type="paragraph" w:styleId="NormalWeb">
    <w:name w:val="Normal (Web)"/>
    <w:basedOn w:val="Normal"/>
    <w:uiPriority w:val="99"/>
    <w:rsid w:val="009038E9"/>
    <w:pPr>
      <w:spacing w:before="100" w:beforeAutospacing="1" w:after="75" w:line="240" w:lineRule="auto"/>
    </w:pPr>
    <w:rPr>
      <w:rFonts w:ascii="Times New Roman" w:eastAsia="Times New Roman" w:hAnsi="Times New Roman" w:cs="Times New Roman"/>
      <w:noProof/>
      <w:color w:val="000000"/>
      <w:sz w:val="24"/>
      <w:szCs w:val="24"/>
    </w:rPr>
  </w:style>
  <w:style w:type="paragraph" w:styleId="BalloonText">
    <w:name w:val="Balloon Text"/>
    <w:basedOn w:val="Normal"/>
    <w:link w:val="BalloonTextChar"/>
    <w:rsid w:val="009038E9"/>
    <w:pPr>
      <w:spacing w:after="0" w:line="240" w:lineRule="auto"/>
    </w:pPr>
    <w:rPr>
      <w:rFonts w:ascii="Tahoma" w:eastAsia="Times New Roman" w:hAnsi="Tahoma" w:cs="Times New Roman"/>
      <w:sz w:val="16"/>
      <w:szCs w:val="16"/>
      <w:lang w:val="en-GB" w:eastAsia="hr-HR"/>
    </w:rPr>
  </w:style>
  <w:style w:type="character" w:customStyle="1" w:styleId="BalloonTextChar">
    <w:name w:val="Balloon Text Char"/>
    <w:basedOn w:val="DefaultParagraphFont"/>
    <w:link w:val="BalloonText"/>
    <w:rsid w:val="009038E9"/>
    <w:rPr>
      <w:rFonts w:ascii="Tahoma" w:eastAsia="Times New Roman" w:hAnsi="Tahoma" w:cs="Times New Roman"/>
      <w:sz w:val="16"/>
      <w:szCs w:val="16"/>
      <w:lang w:val="en-GB" w:eastAsia="hr-HR"/>
    </w:rPr>
  </w:style>
  <w:style w:type="paragraph" w:styleId="ListParagraph">
    <w:name w:val="List Paragraph"/>
    <w:basedOn w:val="Normal"/>
    <w:uiPriority w:val="34"/>
    <w:qFormat/>
    <w:rsid w:val="009038E9"/>
    <w:pPr>
      <w:tabs>
        <w:tab w:val="left" w:pos="284"/>
      </w:tabs>
      <w:spacing w:after="0" w:line="240" w:lineRule="auto"/>
      <w:ind w:left="720"/>
      <w:contextualSpacing/>
      <w:jc w:val="both"/>
    </w:pPr>
    <w:rPr>
      <w:rFonts w:ascii="Times New Roman" w:eastAsia="Times New Roman" w:hAnsi="Times New Roman" w:cs="Times New Roman"/>
      <w:noProof/>
      <w:szCs w:val="24"/>
    </w:rPr>
  </w:style>
  <w:style w:type="character" w:styleId="PageNumber">
    <w:name w:val="page number"/>
    <w:rsid w:val="009038E9"/>
  </w:style>
  <w:style w:type="paragraph" w:customStyle="1" w:styleId="Default">
    <w:name w:val="Default"/>
    <w:uiPriority w:val="99"/>
    <w:rsid w:val="009038E9"/>
    <w:pPr>
      <w:autoSpaceDE w:val="0"/>
      <w:autoSpaceDN w:val="0"/>
      <w:adjustRightInd w:val="0"/>
      <w:spacing w:after="0" w:line="240" w:lineRule="auto"/>
    </w:pPr>
    <w:rPr>
      <w:rFonts w:ascii="Times New Roman" w:eastAsia="Times New Roman" w:hAnsi="Times New Roman" w:cs="Times New Roman"/>
      <w:color w:val="000000"/>
      <w:sz w:val="24"/>
      <w:szCs w:val="24"/>
      <w:lang w:val="mk-MK"/>
    </w:rPr>
  </w:style>
  <w:style w:type="character" w:customStyle="1" w:styleId="apple-converted-space">
    <w:name w:val="apple-converted-space"/>
    <w:rsid w:val="009038E9"/>
  </w:style>
  <w:style w:type="paragraph" w:styleId="Revision">
    <w:name w:val="Revision"/>
    <w:hidden/>
    <w:uiPriority w:val="99"/>
    <w:semiHidden/>
    <w:rsid w:val="009038E9"/>
    <w:pPr>
      <w:spacing w:after="0" w:line="240" w:lineRule="auto"/>
    </w:pPr>
    <w:rPr>
      <w:rFonts w:ascii="Times New Roman" w:eastAsia="Times New Roman" w:hAnsi="Times New Roman" w:cs="Times New Roman"/>
      <w:sz w:val="24"/>
      <w:szCs w:val="20"/>
      <w:lang w:val="en-GB" w:eastAsia="hr-HR"/>
    </w:rPr>
  </w:style>
  <w:style w:type="table" w:styleId="TableGrid">
    <w:name w:val="Table Grid"/>
    <w:basedOn w:val="TableNormal"/>
    <w:rsid w:val="009038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38E9"/>
    <w:rPr>
      <w:sz w:val="16"/>
      <w:szCs w:val="16"/>
    </w:rPr>
  </w:style>
  <w:style w:type="paragraph" w:styleId="CommentText">
    <w:name w:val="annotation text"/>
    <w:basedOn w:val="Normal"/>
    <w:link w:val="CommentTextChar"/>
    <w:rsid w:val="009038E9"/>
    <w:pPr>
      <w:spacing w:after="0" w:line="240" w:lineRule="auto"/>
    </w:pPr>
    <w:rPr>
      <w:rFonts w:ascii="Times New Roman" w:eastAsia="Times New Roman" w:hAnsi="Times New Roman" w:cs="Times New Roman"/>
      <w:noProof/>
      <w:sz w:val="20"/>
      <w:szCs w:val="20"/>
      <w:lang w:val="sr-Cyrl-RS" w:eastAsia="hr-HR"/>
    </w:rPr>
  </w:style>
  <w:style w:type="character" w:customStyle="1" w:styleId="CommentTextChar">
    <w:name w:val="Comment Text Char"/>
    <w:basedOn w:val="DefaultParagraphFont"/>
    <w:link w:val="CommentText"/>
    <w:rsid w:val="009038E9"/>
    <w:rPr>
      <w:rFonts w:ascii="Times New Roman" w:eastAsia="Times New Roman" w:hAnsi="Times New Roman" w:cs="Times New Roman"/>
      <w:noProof/>
      <w:sz w:val="20"/>
      <w:szCs w:val="20"/>
      <w:lang w:val="sr-Cyrl-RS" w:eastAsia="hr-HR"/>
    </w:rPr>
  </w:style>
  <w:style w:type="paragraph" w:styleId="CommentSubject">
    <w:name w:val="annotation subject"/>
    <w:basedOn w:val="CommentText"/>
    <w:next w:val="CommentText"/>
    <w:link w:val="CommentSubjectChar"/>
    <w:rsid w:val="009038E9"/>
    <w:rPr>
      <w:b/>
      <w:bCs/>
    </w:rPr>
  </w:style>
  <w:style w:type="character" w:customStyle="1" w:styleId="CommentSubjectChar">
    <w:name w:val="Comment Subject Char"/>
    <w:basedOn w:val="CommentTextChar"/>
    <w:link w:val="CommentSubject"/>
    <w:rsid w:val="009038E9"/>
    <w:rPr>
      <w:rFonts w:ascii="Times New Roman" w:eastAsia="Times New Roman" w:hAnsi="Times New Roman" w:cs="Times New Roman"/>
      <w:b/>
      <w:bCs/>
      <w:noProof/>
      <w:sz w:val="20"/>
      <w:szCs w:val="20"/>
      <w:lang w:val="sr-Cyrl-R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107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10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A6B0-A9C1-470F-9FB7-682470F6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10</cp:revision>
  <dcterms:created xsi:type="dcterms:W3CDTF">2017-06-23T08:04:00Z</dcterms:created>
  <dcterms:modified xsi:type="dcterms:W3CDTF">2019-12-06T10:35:00Z</dcterms:modified>
</cp:coreProperties>
</file>