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97" w:rsidRPr="009C5697" w:rsidRDefault="009C5697" w:rsidP="00045087">
      <w:pPr>
        <w:spacing w:after="0" w:line="240" w:lineRule="auto"/>
        <w:jc w:val="center"/>
        <w:rPr>
          <w:rFonts w:ascii="Times New Roman" w:eastAsia="Times New Roman" w:hAnsi="Times New Roman" w:cs="Times New Roman"/>
          <w:b/>
          <w:bCs/>
          <w:iCs/>
          <w:u w:val="single"/>
          <w:lang w:val="sr-Latn-ME"/>
        </w:rPr>
      </w:pPr>
      <w:r w:rsidRPr="009C5697">
        <w:rPr>
          <w:rFonts w:ascii="Times New Roman" w:eastAsia="Times New Roman" w:hAnsi="Times New Roman" w:cs="Times New Roman"/>
          <w:b/>
          <w:bCs/>
          <w:iCs/>
          <w:u w:val="single"/>
          <w:lang w:val="sr-Latn-ME"/>
        </w:rPr>
        <w:t>SAŽETAK KARAKTERISTIKA LIJEKA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noProof/>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1.</w:t>
      </w:r>
      <w:r w:rsidRPr="009C5697">
        <w:rPr>
          <w:rFonts w:ascii="Times New Roman" w:eastAsia="Times New Roman" w:hAnsi="Times New Roman" w:cs="Times New Roman"/>
          <w:b/>
          <w:bCs/>
          <w:lang w:val="sr-Latn-ME"/>
        </w:rPr>
        <w:tab/>
        <w:t>NAZIV LIJEKA</w:t>
      </w:r>
    </w:p>
    <w:p w:rsidR="009C5697" w:rsidRPr="009C5697" w:rsidRDefault="009C5697" w:rsidP="009C5697">
      <w:pPr>
        <w:spacing w:after="0" w:line="240" w:lineRule="auto"/>
        <w:jc w:val="both"/>
        <w:rPr>
          <w:rFonts w:ascii="Times New Roman" w:eastAsia="Times New Roman" w:hAnsi="Times New Roman" w:cs="Times New Roman"/>
          <w:lang w:val="sr-Latn-ME"/>
        </w:rPr>
      </w:pPr>
    </w:p>
    <w:p w:rsidR="009C5697" w:rsidRPr="009C5697" w:rsidRDefault="009C5697" w:rsidP="009C5697">
      <w:pPr>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Santuril, 500 mg, tableta</w:t>
      </w:r>
    </w:p>
    <w:p w:rsidR="009C5697" w:rsidRPr="009C5697" w:rsidRDefault="009C5697" w:rsidP="009C5697">
      <w:pPr>
        <w:spacing w:after="0" w:line="240" w:lineRule="auto"/>
        <w:jc w:val="both"/>
        <w:rPr>
          <w:rFonts w:ascii="Times New Roman" w:eastAsia="Times New Roman" w:hAnsi="Times New Roman" w:cs="Times New Roman"/>
          <w:bCs/>
          <w:lang w:val="sr-Latn-ME"/>
        </w:rPr>
      </w:pPr>
    </w:p>
    <w:p w:rsidR="009C5697" w:rsidRPr="009C5697" w:rsidRDefault="009C5697" w:rsidP="009C5697">
      <w:pPr>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INN: probenecid</w:t>
      </w:r>
    </w:p>
    <w:p w:rsidR="009C5697" w:rsidRPr="009C5697" w:rsidRDefault="009C5697" w:rsidP="009C5697">
      <w:pPr>
        <w:spacing w:after="0" w:line="240" w:lineRule="auto"/>
        <w:jc w:val="both"/>
        <w:rPr>
          <w:rFonts w:ascii="Times New Roman" w:eastAsia="Times New Roman" w:hAnsi="Times New Roman" w:cs="Times New Roman"/>
          <w:bCs/>
          <w:lang w:val="sr-Latn-ME"/>
        </w:rPr>
      </w:pPr>
    </w:p>
    <w:p w:rsidR="009C5697" w:rsidRPr="009C5697" w:rsidRDefault="009C5697" w:rsidP="009C5697">
      <w:pPr>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2. </w:t>
      </w:r>
      <w:r w:rsidRPr="009C5697">
        <w:rPr>
          <w:rFonts w:ascii="Times New Roman" w:eastAsia="Times New Roman" w:hAnsi="Times New Roman" w:cs="Times New Roman"/>
          <w:b/>
          <w:bCs/>
          <w:lang w:val="sr-Latn-ME"/>
        </w:rPr>
        <w:tab/>
        <w:t>KVALITATIVNI I KVANTITATIVNI SASTAV</w:t>
      </w:r>
    </w:p>
    <w:p w:rsidR="009C5697" w:rsidRPr="009C5697" w:rsidRDefault="009C5697" w:rsidP="009C5697">
      <w:pPr>
        <w:spacing w:after="0" w:line="240" w:lineRule="auto"/>
        <w:jc w:val="both"/>
        <w:rPr>
          <w:rFonts w:ascii="Times New Roman" w:eastAsia="Times New Roman" w:hAnsi="Times New Roman" w:cs="Times New Roman"/>
          <w:lang w:val="sr-Latn-ME"/>
        </w:rPr>
      </w:pPr>
    </w:p>
    <w:p w:rsidR="009C5697" w:rsidRPr="009C5697" w:rsidRDefault="009C5697" w:rsidP="009C5697">
      <w:pPr>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Jedna tableta sadrži 500 mg probenecida.</w:t>
      </w:r>
    </w:p>
    <w:p w:rsidR="009C5697" w:rsidRPr="009C5697" w:rsidRDefault="009C5697" w:rsidP="009C5697">
      <w:pPr>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Za spisak svih ekscipijenasa, pogledati dio 6.1.</w:t>
      </w:r>
    </w:p>
    <w:p w:rsidR="009C5697" w:rsidRPr="009C5697" w:rsidRDefault="009C5697" w:rsidP="009C5697">
      <w:pPr>
        <w:spacing w:after="0" w:line="240" w:lineRule="auto"/>
        <w:jc w:val="both"/>
        <w:rPr>
          <w:rFonts w:ascii="Times New Roman" w:eastAsia="Times New Roman" w:hAnsi="Times New Roman" w:cs="Times New Roman"/>
          <w:lang w:val="sr-Latn-ME"/>
        </w:rPr>
      </w:pPr>
    </w:p>
    <w:p w:rsidR="009C5697" w:rsidRPr="009C5697" w:rsidRDefault="009C5697" w:rsidP="009C5697">
      <w:pPr>
        <w:spacing w:after="0" w:line="240" w:lineRule="auto"/>
        <w:jc w:val="both"/>
        <w:rPr>
          <w:rFonts w:ascii="Times New Roman" w:eastAsia="Times New Roman" w:hAnsi="Times New Roman" w:cs="Times New Roman"/>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3. </w:t>
      </w:r>
      <w:r w:rsidRPr="009C5697">
        <w:rPr>
          <w:rFonts w:ascii="Times New Roman" w:eastAsia="Times New Roman" w:hAnsi="Times New Roman" w:cs="Times New Roman"/>
          <w:b/>
          <w:bCs/>
          <w:lang w:val="sr-Latn-ME"/>
        </w:rPr>
        <w:tab/>
        <w:t xml:space="preserve">FARMACEUTSKI OBLIK </w:t>
      </w:r>
    </w:p>
    <w:p w:rsidR="009C5697" w:rsidRPr="009C5697" w:rsidRDefault="009C5697" w:rsidP="009C5697">
      <w:pPr>
        <w:spacing w:after="0" w:line="240" w:lineRule="auto"/>
        <w:jc w:val="both"/>
        <w:rPr>
          <w:rFonts w:ascii="Times New Roman" w:eastAsia="Times New Roman" w:hAnsi="Times New Roman" w:cs="Times New Roman"/>
          <w:bCs/>
          <w:lang w:val="sr-Latn-ME"/>
        </w:rPr>
      </w:pPr>
    </w:p>
    <w:p w:rsidR="009C5697" w:rsidRDefault="009C5697" w:rsidP="009C5697">
      <w:pPr>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Tableta.</w:t>
      </w:r>
    </w:p>
    <w:p w:rsidR="00045087" w:rsidRPr="009C5697" w:rsidRDefault="00045087" w:rsidP="009C5697">
      <w:pPr>
        <w:spacing w:after="0" w:line="240" w:lineRule="auto"/>
        <w:jc w:val="both"/>
        <w:rPr>
          <w:rFonts w:ascii="Times New Roman" w:eastAsia="Times New Roman" w:hAnsi="Times New Roman" w:cs="Times New Roman"/>
          <w:bCs/>
          <w:lang w:val="sr-Latn-ME"/>
        </w:rPr>
      </w:pPr>
    </w:p>
    <w:p w:rsidR="009C5697" w:rsidRPr="009C5697" w:rsidRDefault="009C5697" w:rsidP="009C5697">
      <w:pPr>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Okrugla bijela tableta,</w:t>
      </w:r>
      <w:r w:rsidRPr="009C5697">
        <w:rPr>
          <w:rFonts w:ascii="Times New Roman" w:eastAsia="Times New Roman" w:hAnsi="Times New Roman" w:cs="Times New Roman"/>
          <w:lang w:val="sr-Latn-ME" w:eastAsia="sr-Latn-ME"/>
        </w:rPr>
        <w:t xml:space="preserve"> </w:t>
      </w:r>
      <w:r w:rsidRPr="009C5697">
        <w:rPr>
          <w:rFonts w:ascii="Times New Roman" w:eastAsia="Times New Roman" w:hAnsi="Times New Roman" w:cs="Times New Roman"/>
          <w:bCs/>
          <w:lang w:val="sr-Latn-ME"/>
        </w:rPr>
        <w:t>sa spljoštenom površinom na krajevima, ukošenim ivicama i podionom crtom na jednoj strani.</w:t>
      </w:r>
    </w:p>
    <w:p w:rsidR="009C5697" w:rsidRPr="009C5697" w:rsidRDefault="009C5697" w:rsidP="009C5697">
      <w:pPr>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Tableta može biti podijeljena na jednake doze.</w:t>
      </w:r>
    </w:p>
    <w:p w:rsidR="009C5697" w:rsidRDefault="009C5697" w:rsidP="009C5697">
      <w:pPr>
        <w:spacing w:after="0" w:line="240" w:lineRule="auto"/>
        <w:jc w:val="both"/>
        <w:rPr>
          <w:rFonts w:ascii="Times New Roman" w:eastAsia="Times New Roman" w:hAnsi="Times New Roman" w:cs="Times New Roman"/>
          <w:bCs/>
          <w:lang w:val="sr-Latn-ME"/>
        </w:rPr>
      </w:pPr>
    </w:p>
    <w:p w:rsidR="00045087" w:rsidRPr="009C5697" w:rsidRDefault="00045087" w:rsidP="009C5697">
      <w:pPr>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 </w:t>
      </w:r>
      <w:r w:rsidRPr="009C5697">
        <w:rPr>
          <w:rFonts w:ascii="Times New Roman" w:eastAsia="Times New Roman" w:hAnsi="Times New Roman" w:cs="Times New Roman"/>
          <w:b/>
          <w:bCs/>
          <w:lang w:val="sr-Latn-ME"/>
        </w:rPr>
        <w:tab/>
        <w:t>KLINIČKI PODACI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4.1. </w:t>
      </w:r>
      <w:r w:rsidRPr="009C5697">
        <w:rPr>
          <w:rFonts w:ascii="Times New Roman" w:eastAsia="Times New Roman" w:hAnsi="Times New Roman" w:cs="Times New Roman"/>
          <w:b/>
          <w:bCs/>
          <w:lang w:val="sr-Latn-ME"/>
        </w:rPr>
        <w:tab/>
        <w:t>Terapijske indikacije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Liječenje simptomatske hiperurikemije (gihta) kod pacijenata sa rezistencijom ili intolerancijom na inhibitore ksantin oksidaze.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Moguća je upotreba kao monoterapije, ili u kombinaciji sa inhibitorom ksantin oksidaze (osim u slučaju intolerancije).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4.2. </w:t>
      </w:r>
      <w:r w:rsidRPr="009C5697">
        <w:rPr>
          <w:rFonts w:ascii="Times New Roman" w:eastAsia="Times New Roman" w:hAnsi="Times New Roman" w:cs="Times New Roman"/>
          <w:b/>
          <w:bCs/>
          <w:lang w:val="sr-Latn-ME"/>
        </w:rPr>
        <w:tab/>
        <w:t>Doziranje i način primjene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r w:rsidRPr="009C5697">
        <w:rPr>
          <w:rFonts w:ascii="Times New Roman" w:eastAsia="Times New Roman" w:hAnsi="Times New Roman" w:cs="Times New Roman"/>
          <w:bCs/>
          <w:u w:val="single"/>
          <w:lang w:val="sr-Latn-ME"/>
        </w:rPr>
        <w:t>Doziranje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i/>
          <w:iCs/>
          <w:lang w:val="sr-Latn-ME"/>
        </w:rPr>
      </w:pPr>
      <w:r w:rsidRPr="009C5697">
        <w:rPr>
          <w:rFonts w:ascii="Times New Roman" w:eastAsia="Times New Roman" w:hAnsi="Times New Roman" w:cs="Times New Roman"/>
          <w:bCs/>
          <w:i/>
          <w:iCs/>
          <w:lang w:val="sr-Latn-ME"/>
        </w:rPr>
        <w:t>Odrasli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Preporučena dnevna doza je 2 x 1/2 tablete (odnosno 2 x 250 mg probenecida) tokom jedne nedjelje na početku liječenja, zatim 2 x 1 tableta (odnosno 2 x 500 mg probenecida). Liječenje treba nastaviti ovom dnevnom dozom dok se urikemija ne normalizuje i naslage urata u tkivima ne razgrade. Nakon toga, moguće je postepeno smanjivanje doze.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S obzirom na to da se značajno izlučivanje mokraćne kiseline dešava na početku liječenja, neophodno je postepeno povećavati dozu, kako bi se osigurao obilan unos tečnosti i postiglo odgovarajuće podešavanje pH urina (pH 6,5 - 6,8).</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i/>
          <w:iCs/>
          <w:lang w:val="sr-Latn-ME"/>
        </w:rPr>
      </w:pPr>
      <w:r w:rsidRPr="009C5697">
        <w:rPr>
          <w:rFonts w:ascii="Times New Roman" w:eastAsia="Times New Roman" w:hAnsi="Times New Roman" w:cs="Times New Roman"/>
          <w:bCs/>
          <w:i/>
          <w:iCs/>
          <w:lang w:val="sr-Latn-ME"/>
        </w:rPr>
        <w:lastRenderedPageBreak/>
        <w:t>Pedijatrijska populacija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Nema dostupnih podataka.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i/>
          <w:iCs/>
          <w:lang w:val="sr-Latn-ME"/>
        </w:rPr>
      </w:pPr>
      <w:r w:rsidRPr="009C5697">
        <w:rPr>
          <w:rFonts w:ascii="Times New Roman" w:eastAsia="Times New Roman" w:hAnsi="Times New Roman" w:cs="Times New Roman"/>
          <w:bCs/>
          <w:i/>
          <w:iCs/>
          <w:lang w:val="sr-Latn-ME"/>
        </w:rPr>
        <w:t>Starije osobe i osobe sa oštećenjem bubrega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Smanjivanje doze treba uzeti u obzir kod starijih pacijenata i onih sa blagim oštećenjem bubrega.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r w:rsidRPr="009C5697">
        <w:rPr>
          <w:rFonts w:ascii="Times New Roman" w:eastAsia="Times New Roman" w:hAnsi="Times New Roman" w:cs="Times New Roman"/>
          <w:bCs/>
          <w:u w:val="single"/>
          <w:lang w:val="sr-Latn-ME"/>
        </w:rPr>
        <w:t>Način primjene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Tablete treba progutati sa većom količinom tečnosti tokom obroka. Tablete mogu biti podijeljene po podionoj crti.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4.3. </w:t>
      </w:r>
      <w:r w:rsidRPr="009C5697">
        <w:rPr>
          <w:rFonts w:ascii="Times New Roman" w:eastAsia="Times New Roman" w:hAnsi="Times New Roman" w:cs="Times New Roman"/>
          <w:b/>
          <w:bCs/>
          <w:lang w:val="sr-Latn-ME"/>
        </w:rPr>
        <w:tab/>
        <w:t>Kontraindikacije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Preosjetljivost na aktivnu supstancu ili na bilo koju od pomoćnih supstanci navedenih u odjeljku 6.1.</w:t>
      </w: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Oštećenje bubrežne funkcije (klirens kreatinina &lt;50 mL/min).</w:t>
      </w: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Litijumska dijateza.</w:t>
      </w: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Terapija metotreksatom.</w:t>
      </w: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Djeca mlađa od 15 godina.</w:t>
      </w: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Akutni napad gihta.</w:t>
      </w: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Hiperurikemija kao posljedica hemoterapije, radioterapije ili mijeloproliferativne neoplazije, zbog  povećanog rizika od nefropatije uzrokovane povećanim stvaranjem mokraćne kiseline.</w:t>
      </w:r>
    </w:p>
    <w:p w:rsidR="009C5697" w:rsidRPr="00045087" w:rsidRDefault="009C5697" w:rsidP="00045087">
      <w:pPr>
        <w:pStyle w:val="ListParagraph"/>
        <w:numPr>
          <w:ilvl w:val="0"/>
          <w:numId w:val="14"/>
        </w:numPr>
        <w:tabs>
          <w:tab w:val="left" w:pos="540"/>
          <w:tab w:val="left" w:pos="569"/>
        </w:tabs>
        <w:spacing w:after="0" w:line="240" w:lineRule="auto"/>
        <w:jc w:val="both"/>
        <w:rPr>
          <w:rFonts w:ascii="Times New Roman" w:eastAsia="Times New Roman" w:hAnsi="Times New Roman" w:cs="Times New Roman"/>
          <w:lang w:val="sr-Latn-ME"/>
        </w:rPr>
      </w:pPr>
      <w:r w:rsidRPr="00045087">
        <w:rPr>
          <w:rFonts w:ascii="Times New Roman" w:eastAsia="Times New Roman" w:hAnsi="Times New Roman" w:cs="Times New Roman"/>
          <w:lang w:val="sr-Latn-ME"/>
        </w:rPr>
        <w:t>Primarna hiperurikemija usljed prekomjernog stvaranja mokraćne kiseline.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4.4. </w:t>
      </w:r>
      <w:r w:rsidRPr="009C5697">
        <w:rPr>
          <w:rFonts w:ascii="Times New Roman" w:eastAsia="Times New Roman" w:hAnsi="Times New Roman" w:cs="Times New Roman"/>
          <w:b/>
          <w:bCs/>
          <w:lang w:val="sr-Latn-ME"/>
        </w:rPr>
        <w:tab/>
        <w:t>Posebna upozorenja i mjere opreza pri upotrebi lijeka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Liječenje hiperurikemije ne treba započinjati u slučajevima asimptomatske hiperurikemije, jer se samo kod manjeg broja ljudi sa hiperurikemijom u odsustvu drugih značajnih faktora rizika na kraju razvije giht. Prednost imaju nefarmakološki pristupi, na primjer zasnovani na promjeni ishrane i stila života i na izbjegavanju supstanci koje povećavaju nivo urata u serumu.</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Potrebno je pažljivo medicinsko praćenje tokom liječenja kod pacijenata sa anamnezom  gastrointestinalne ulceracije, pacijenata sa gastrointestinalnim tegobama i onih sa već postojećim hematopoetskim poremećajima. Potrebno je redovno praćenje krvne slike kod pacijenata sa postojećim poremećajima hematopoeze.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Probenecid utiče na aktivnu tubularnu sekreciju i stoga može uticati na koncentraciju brojnih ljekova koji se eliminišu ovim mehanizmom. Stoga treba obratiti pažnju na istovremeno primijenjene druge ljekove, a u slučaju nedoumice treba koristiti alternativno urikozurično sredstvo (vidjeti odjeljak 4.5).</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Lijek Santuril nije pogodan za započinjanje liječenja tokom akutnog napada gihta ili za liječenje pacijenata sa povećanim izlučivanjem mokraćne kiseline, insuficijencijom bubrega ili kamenom u bubregu. Liječenje nije indikovano u slučajevima povećane urikemije bez specifičnih simptoma.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4.5.</w:t>
      </w:r>
      <w:r w:rsidRPr="009C5697">
        <w:rPr>
          <w:rFonts w:ascii="Times New Roman" w:eastAsia="Times New Roman" w:hAnsi="Times New Roman" w:cs="Times New Roman"/>
          <w:b/>
          <w:bCs/>
          <w:lang w:val="sr-Latn-ME"/>
        </w:rPr>
        <w:tab/>
        <w:t>Interakcije sa drugim ljekovima i druge vrste interakcija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lastRenderedPageBreak/>
        <w:t>Zbog interferencije sa tkivnom distribucijom različitih supstanci putem inhibicije organskih anjonskih transportera (OAT) i protein rezistencije na više ljekova (MRP), probenecid će vjerovatno dovesti do višestrukih interakcija između ljekova. Stoga treba obratiti pažnju na konkomitantnu terapiju.</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U slučaju istovremene primjene sa probenecidom, koncentracije sljedećih aktivnih supstanci u plazmi mogu se povećati i njihovi terapijski i neželjeni efekti mogu se pojačati usporavanjem njihovog metabolizma i/ili izlučivanja. U tom slučaju će možda biti potrebno prilagođavanje doze.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r w:rsidRPr="009C5697">
        <w:rPr>
          <w:rFonts w:ascii="Times New Roman" w:eastAsia="Times New Roman" w:hAnsi="Times New Roman" w:cs="Times New Roman"/>
          <w:bCs/>
          <w:u w:val="single"/>
          <w:lang w:val="sr-Latn-ME"/>
        </w:rPr>
        <w:t>Kontraindikovane kombinacije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i/>
          <w:iCs/>
          <w:lang w:val="sr-Latn-ME"/>
        </w:rPr>
      </w:pPr>
      <w:r w:rsidRPr="009C5697">
        <w:rPr>
          <w:rFonts w:ascii="Times New Roman" w:eastAsia="Times New Roman" w:hAnsi="Times New Roman" w:cs="Times New Roman"/>
          <w:bCs/>
          <w:i/>
          <w:iCs/>
          <w:lang w:val="sr-Latn-ME"/>
        </w:rPr>
        <w:t>Metotreksat</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Inhibicija bubrežne tubularne sekrecije metotreksata probenecidom dovodi do povećane toksičnosti metotreksata.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r w:rsidRPr="009C5697">
        <w:rPr>
          <w:rFonts w:ascii="Times New Roman" w:eastAsia="Times New Roman" w:hAnsi="Times New Roman" w:cs="Times New Roman"/>
          <w:bCs/>
          <w:u w:val="single"/>
          <w:lang w:val="sr-Latn-ME"/>
        </w:rPr>
        <w:t>Kombinacije koje se ne preporučuju</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i/>
          <w:iCs/>
          <w:lang w:val="sr-Latn-ME"/>
        </w:rPr>
      </w:pPr>
      <w:r w:rsidRPr="009C5697">
        <w:rPr>
          <w:rFonts w:ascii="Times New Roman" w:eastAsia="Times New Roman" w:hAnsi="Times New Roman" w:cs="Times New Roman"/>
          <w:bCs/>
          <w:i/>
          <w:iCs/>
          <w:lang w:val="sr-Latn-ME"/>
        </w:rPr>
        <w:t>Acetilsalicilna kiselina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Može doći do smanjenog urikozuričnog efekta kompeticijom sa eliminacijom mokraćne kiseline iz bubrežnih tubula.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r w:rsidRPr="009C5697">
        <w:rPr>
          <w:rFonts w:ascii="Times New Roman" w:eastAsia="Times New Roman" w:hAnsi="Times New Roman" w:cs="Times New Roman"/>
          <w:bCs/>
          <w:u w:val="single"/>
          <w:lang w:val="sr-Latn-ME"/>
        </w:rPr>
        <w:t>Kombinacije koje treba koristiti sa oprezom</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i/>
          <w:iCs/>
          <w:lang w:val="sr-Latn-ME"/>
        </w:rPr>
      </w:pPr>
      <w:r w:rsidRPr="009C5697">
        <w:rPr>
          <w:rFonts w:ascii="Times New Roman" w:eastAsia="Times New Roman" w:hAnsi="Times New Roman" w:cs="Times New Roman"/>
          <w:bCs/>
          <w:i/>
          <w:iCs/>
          <w:lang w:val="sr-Latn-ME"/>
        </w:rPr>
        <w:t>Diprofillin</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Rizik od predoziranja povećanjem koncentracije diprofilina u plazmi (inhibicija bubrežne tubularne sekrecije). Smanjiti dozu diprofilina tokom liječenja probenecidom.</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u w:val="single"/>
          <w:lang w:val="sr-Latn-ME"/>
        </w:rPr>
        <w:t>Kombinacije na koje treba obratiti pažnju</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Antibiotici, uključujući peniciline, hinolone (na primjer, ciprofloksacin i norfloksacin).</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Cefalosporini, uključujući cefadroksil: istovremena primjena probenecida smanjuje bubrežnu ekskreciju cefalosporina, kao što je cefadroksil; prema tome, koncentracija cefalosporina u plazmi, kao što je cefadroksil, može se povećati ako se primjenjuje u kombinaciji sa probenecidom.</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Analgetici/NSAIL, uključujući indometacin, naproksen, ketoprofen i paracetamol.</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Antivirusni ljekovi, uključujući aciklovir, valaciklovir, zidovudin, ganciklovir, cidofovir.</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Olanzapin</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Inhibitori angiotenzin konvertujućeg enzima (ACE inhibitori)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Lorazepam</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Tiopental</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Famotidin</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Klofibrat</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Dejstvo fenprokumona može da se smanji ubrzavanjem njegove eliminacije.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Probenecid može da smanji diuretski efekat diuretika Henleove petlje, kao što je furosemid.</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u w:val="single"/>
          <w:lang w:val="sr-Latn-ME"/>
        </w:rPr>
      </w:pPr>
      <w:r w:rsidRPr="009C5697">
        <w:rPr>
          <w:rFonts w:ascii="Times New Roman" w:eastAsia="Times New Roman" w:hAnsi="Times New Roman" w:cs="Times New Roman"/>
          <w:bCs/>
          <w:u w:val="single"/>
          <w:lang w:val="sr-Latn-ME"/>
        </w:rPr>
        <w:lastRenderedPageBreak/>
        <w:t>Ometanje bioloških testova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Probenecid može dovesti do lažno pozitivnih rezultata prilikom ispitivanja glikozurije redukcijom bakra. Probenecid smanjuje izlučivanje nekih jodiranih kontrastnih sredstava i može ometati biološki test smanjenjem izlučivanja aminohipurne kiseline, fenolsulfonftaleina i sulfobromoftaleina.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lang w:val="sr-Latn-ME"/>
        </w:rPr>
      </w:pPr>
      <w:r w:rsidRPr="009C5697">
        <w:rPr>
          <w:rFonts w:ascii="Times New Roman" w:eastAsia="Times New Roman" w:hAnsi="Times New Roman" w:cs="Times New Roman"/>
          <w:b/>
          <w:bCs/>
          <w:lang w:val="sr-Latn-ME"/>
        </w:rPr>
        <w:t xml:space="preserve">4.6. </w:t>
      </w:r>
      <w:r w:rsidRPr="009C5697">
        <w:rPr>
          <w:rFonts w:ascii="Times New Roman" w:eastAsia="Times New Roman" w:hAnsi="Times New Roman" w:cs="Times New Roman"/>
          <w:b/>
          <w:bCs/>
          <w:lang w:val="sr-Latn-ME"/>
        </w:rPr>
        <w:tab/>
      </w:r>
      <w:r w:rsidRPr="009C5697">
        <w:rPr>
          <w:rFonts w:ascii="Times New Roman" w:eastAsia="Times New Roman" w:hAnsi="Times New Roman" w:cs="Times New Roman"/>
          <w:b/>
          <w:lang w:val="sr-Latn-ME"/>
        </w:rPr>
        <w:t>Plodnost, trudnoća i dojenje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r w:rsidRPr="009C5697">
        <w:rPr>
          <w:rFonts w:ascii="Times New Roman" w:eastAsia="Times New Roman" w:hAnsi="Times New Roman" w:cs="Times New Roman"/>
          <w:u w:val="single"/>
          <w:lang w:val="sr-Latn-ME"/>
        </w:rPr>
        <w:t>Trudnoća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Opsežni podaci utvrđeni kod trudnica (između 300 i 1000 dokumentovanih trudnoća) ne dopuštaju isključivanje potencijalnog rizika fetalnih ili neonatalnih malformacija ili toksičnosti povezano sa probenecidom. Podaci dobijeni iz studija na životinjama o reproduktivnoj toksičnosti probenecida nijesu dovoljni (vidjeti odjeljak 5.3). Probenecid prelazi placentarnu barijeru. Kao mjera predostrožnosti, primjenu probenecida treba izbjegavati tokom trudnoće.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r w:rsidRPr="009C5697">
        <w:rPr>
          <w:rFonts w:ascii="Times New Roman" w:eastAsia="Times New Roman" w:hAnsi="Times New Roman" w:cs="Times New Roman"/>
          <w:u w:val="single"/>
          <w:lang w:val="sr-Latn-ME"/>
        </w:rPr>
        <w:t xml:space="preserve">Dojenje </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Probenecid se ne smije koristiti tokom dojenja, jer su ispitivanja na životinjama pokazala da se lijek izlučuje u majčino mlijeko. Uticaji na odojče nijesu poznati.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4.7. </w:t>
      </w:r>
      <w:r w:rsidRPr="009C5697">
        <w:rPr>
          <w:rFonts w:ascii="Times New Roman" w:eastAsia="Times New Roman" w:hAnsi="Times New Roman" w:cs="Times New Roman"/>
          <w:b/>
          <w:bCs/>
          <w:lang w:val="sr-Latn-ME"/>
        </w:rPr>
        <w:tab/>
        <w:t>Uticaj na sposobnost upravljanja vozilima i rukovanje mašinama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Nijesu sprovedene posebne studije koje bi procijenile efekte probenecida na sposobnost upravljanja vozilima i rukovanje mašinama. Čak i ako se koristi u skladu sa uputstvima, ovaj lijek može izmijeniti reakcije do tačke da smanji sposobnost upravljanja vozilima i rukovanja mašinama. Ovo je posebno slučaj kada se koristi u kombinaciji sa alkoholom.</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4.8. </w:t>
      </w:r>
      <w:r w:rsidRPr="009C5697">
        <w:rPr>
          <w:rFonts w:ascii="Times New Roman" w:eastAsia="Times New Roman" w:hAnsi="Times New Roman" w:cs="Times New Roman"/>
          <w:b/>
          <w:bCs/>
          <w:lang w:val="sr-Latn-ME"/>
        </w:rPr>
        <w:tab/>
        <w:t>Neželjena dejstva</w:t>
      </w:r>
    </w:p>
    <w:p w:rsidR="00045087" w:rsidRDefault="00045087" w:rsidP="00045087">
      <w:pPr>
        <w:spacing w:after="0" w:line="240" w:lineRule="auto"/>
        <w:jc w:val="both"/>
        <w:rPr>
          <w:rFonts w:ascii="Times New Roman" w:eastAsia="Calibri" w:hAnsi="Times New Roman" w:cs="Times New Roman"/>
          <w:u w:val="single"/>
          <w:lang w:val="sr-Latn-ME"/>
        </w:rPr>
      </w:pPr>
    </w:p>
    <w:p w:rsidR="009C5697" w:rsidRPr="009C5697" w:rsidRDefault="009C5697" w:rsidP="00045087">
      <w:pPr>
        <w:spacing w:after="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Sažetak bezbjednosnog profila lijeka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Dolje navedena neželjena dejstva  kod pacijenata liječenih probenecidom, klasifikuju se prema klasi organskih sistema i po redoslijedu, kako je definisano MedDRA klasifikacijom: česta (≥ 1/100, &lt;1/10), povremena (≥ 1/1000, &lt;1/100), rijetka (≥ 1/10000, &lt;1/1000) i veoma rijetka (&lt;1/10000), kao što je prikazano u daljem tekstu.</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18"/>
        <w:gridCol w:w="6793"/>
      </w:tblGrid>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Infekcije i infestacije</w:t>
            </w:r>
          </w:p>
        </w:tc>
        <w:tc>
          <w:tcPr>
            <w:tcW w:w="3534" w:type="pct"/>
            <w:tcBorders>
              <w:top w:val="outset" w:sz="6" w:space="0" w:color="auto"/>
              <w:left w:val="outset" w:sz="6" w:space="0" w:color="auto"/>
              <w:bottom w:val="outset" w:sz="6" w:space="0" w:color="auto"/>
              <w:right w:val="outset" w:sz="6" w:space="0" w:color="auto"/>
            </w:tcBorders>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Česta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Gingivitis</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hideMark/>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Poremećaji krvi i limfnog sistema</w:t>
            </w:r>
            <w:bookmarkStart w:id="0" w:name="_GoBack"/>
            <w:bookmarkEnd w:id="0"/>
          </w:p>
        </w:tc>
        <w:tc>
          <w:tcPr>
            <w:tcW w:w="3534" w:type="pct"/>
            <w:tcBorders>
              <w:top w:val="outset" w:sz="6" w:space="0" w:color="auto"/>
              <w:left w:val="outset" w:sz="6" w:space="0" w:color="auto"/>
              <w:bottom w:val="outset" w:sz="6" w:space="0" w:color="auto"/>
              <w:right w:val="outset" w:sz="6" w:space="0" w:color="auto"/>
            </w:tcBorders>
            <w:hideMark/>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Veoma rijetka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Promjene broja krvnih ćelija kao što su leukocitopenija, trombocitopenija, aplastična anemija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Hemolitička anemija sa deficitom glukozo-6-fosfatne dehidrogenaze</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hideMark/>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lastRenderedPageBreak/>
              <w:t xml:space="preserve">Imunološki poremećaji </w:t>
            </w:r>
          </w:p>
        </w:tc>
        <w:tc>
          <w:tcPr>
            <w:tcW w:w="3534" w:type="pct"/>
            <w:tcBorders>
              <w:top w:val="outset" w:sz="6" w:space="0" w:color="auto"/>
              <w:left w:val="outset" w:sz="6" w:space="0" w:color="auto"/>
              <w:bottom w:val="outset" w:sz="6" w:space="0" w:color="auto"/>
              <w:right w:val="outset" w:sz="6" w:space="0" w:color="auto"/>
            </w:tcBorders>
            <w:hideMark/>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Veoma rijetka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Anafilaktičke reakcije</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hideMark/>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Poremećaji metabolizma i ishrane</w:t>
            </w:r>
          </w:p>
        </w:tc>
        <w:tc>
          <w:tcPr>
            <w:tcW w:w="3534" w:type="pct"/>
            <w:tcBorders>
              <w:top w:val="outset" w:sz="6" w:space="0" w:color="auto"/>
              <w:left w:val="outset" w:sz="6" w:space="0" w:color="auto"/>
              <w:bottom w:val="outset" w:sz="6" w:space="0" w:color="auto"/>
              <w:right w:val="outset" w:sz="6" w:space="0" w:color="auto"/>
            </w:tcBorders>
            <w:hideMark/>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Česta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Anoreksija</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Poremećaji nervnog sistema</w:t>
            </w:r>
          </w:p>
        </w:tc>
        <w:tc>
          <w:tcPr>
            <w:tcW w:w="3534" w:type="pct"/>
            <w:tcBorders>
              <w:top w:val="outset" w:sz="6" w:space="0" w:color="auto"/>
              <w:left w:val="outset" w:sz="6" w:space="0" w:color="auto"/>
              <w:bottom w:val="outset" w:sz="6" w:space="0" w:color="auto"/>
              <w:right w:val="outset" w:sz="6" w:space="0" w:color="auto"/>
            </w:tcBorders>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Povremena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Glavobolja, vrtoglavica</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Gastrointestinalni poremećaji</w:t>
            </w:r>
          </w:p>
        </w:tc>
        <w:tc>
          <w:tcPr>
            <w:tcW w:w="3534" w:type="pct"/>
            <w:tcBorders>
              <w:top w:val="outset" w:sz="6" w:space="0" w:color="auto"/>
              <w:left w:val="outset" w:sz="6" w:space="0" w:color="auto"/>
              <w:bottom w:val="outset" w:sz="6" w:space="0" w:color="auto"/>
              <w:right w:val="outset" w:sz="6" w:space="0" w:color="auto"/>
            </w:tcBorders>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 xml:space="preserve">Česta </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Mučnina, povraćanje, flatulencija</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Hepatobilijarni poremećaji</w:t>
            </w:r>
          </w:p>
        </w:tc>
        <w:tc>
          <w:tcPr>
            <w:tcW w:w="3534" w:type="pct"/>
            <w:tcBorders>
              <w:top w:val="outset" w:sz="6" w:space="0" w:color="auto"/>
              <w:left w:val="outset" w:sz="6" w:space="0" w:color="auto"/>
              <w:bottom w:val="outset" w:sz="6" w:space="0" w:color="auto"/>
              <w:right w:val="outset" w:sz="6" w:space="0" w:color="auto"/>
            </w:tcBorders>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Veoma rijetka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Ikterus, hepatocelularne lezije</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Poremećaji kože i potkožnog tkiva</w:t>
            </w:r>
          </w:p>
        </w:tc>
        <w:tc>
          <w:tcPr>
            <w:tcW w:w="3534" w:type="pct"/>
            <w:tcBorders>
              <w:top w:val="outset" w:sz="6" w:space="0" w:color="auto"/>
              <w:left w:val="outset" w:sz="6" w:space="0" w:color="auto"/>
              <w:bottom w:val="outset" w:sz="6" w:space="0" w:color="auto"/>
              <w:right w:val="outset" w:sz="6" w:space="0" w:color="auto"/>
            </w:tcBorders>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Česta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eritem, egzantem, pruritus, alopecija</w:t>
            </w:r>
          </w:p>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Veoma rijetka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Eritema multiforme, Lyell's  sindrom (toksična epidermalna nekroliza)</w:t>
            </w:r>
          </w:p>
        </w:tc>
      </w:tr>
      <w:tr w:rsidR="009C5697" w:rsidRPr="009C5697" w:rsidTr="00C73C2A">
        <w:trPr>
          <w:tblCellSpacing w:w="0" w:type="dxa"/>
        </w:trPr>
        <w:tc>
          <w:tcPr>
            <w:tcW w:w="1466" w:type="pct"/>
            <w:tcBorders>
              <w:top w:val="outset" w:sz="6" w:space="0" w:color="auto"/>
              <w:left w:val="outset" w:sz="6" w:space="0" w:color="auto"/>
              <w:bottom w:val="outset" w:sz="6" w:space="0" w:color="auto"/>
              <w:right w:val="outset" w:sz="6" w:space="0" w:color="auto"/>
            </w:tcBorders>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Poremećaji na nivou bubrega i urinarnog sistema</w:t>
            </w:r>
          </w:p>
        </w:tc>
        <w:tc>
          <w:tcPr>
            <w:tcW w:w="3534" w:type="pct"/>
            <w:tcBorders>
              <w:top w:val="outset" w:sz="6" w:space="0" w:color="auto"/>
              <w:left w:val="outset" w:sz="6" w:space="0" w:color="auto"/>
              <w:bottom w:val="outset" w:sz="6" w:space="0" w:color="auto"/>
              <w:right w:val="outset" w:sz="6" w:space="0" w:color="auto"/>
            </w:tcBorders>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Veoma rijetka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Nefrotski sindrom</w:t>
            </w:r>
          </w:p>
        </w:tc>
      </w:tr>
      <w:tr w:rsidR="009C5697" w:rsidRPr="009C5697" w:rsidTr="00C73C2A">
        <w:trPr>
          <w:trHeight w:val="32"/>
          <w:tblCellSpacing w:w="0" w:type="dxa"/>
        </w:trPr>
        <w:tc>
          <w:tcPr>
            <w:tcW w:w="1466" w:type="pct"/>
            <w:tcBorders>
              <w:top w:val="outset" w:sz="6" w:space="0" w:color="auto"/>
              <w:left w:val="outset" w:sz="6" w:space="0" w:color="auto"/>
              <w:bottom w:val="outset" w:sz="6" w:space="0" w:color="auto"/>
              <w:right w:val="outset" w:sz="6" w:space="0" w:color="auto"/>
            </w:tcBorders>
          </w:tcPr>
          <w:p w:rsidR="009C5697" w:rsidRPr="009C5697" w:rsidRDefault="009C5697" w:rsidP="00B5275D">
            <w:pPr>
              <w:spacing w:after="200" w:line="240" w:lineRule="auto"/>
              <w:rPr>
                <w:rFonts w:ascii="Times New Roman" w:eastAsia="Calibri" w:hAnsi="Times New Roman" w:cs="Times New Roman"/>
                <w:lang w:val="sr-Latn-ME"/>
              </w:rPr>
            </w:pPr>
            <w:r w:rsidRPr="009C5697">
              <w:rPr>
                <w:rFonts w:ascii="Times New Roman" w:eastAsia="Calibri" w:hAnsi="Times New Roman" w:cs="Times New Roman"/>
                <w:lang w:val="sr-Latn-ME"/>
              </w:rPr>
              <w:t>Opšti poremećaji i reakcije na mjestu primjene</w:t>
            </w:r>
          </w:p>
        </w:tc>
        <w:tc>
          <w:tcPr>
            <w:tcW w:w="3534" w:type="pct"/>
            <w:tcBorders>
              <w:top w:val="outset" w:sz="6" w:space="0" w:color="auto"/>
              <w:left w:val="outset" w:sz="6" w:space="0" w:color="auto"/>
              <w:bottom w:val="outset" w:sz="6" w:space="0" w:color="auto"/>
              <w:right w:val="outset" w:sz="6" w:space="0" w:color="auto"/>
            </w:tcBorders>
          </w:tcPr>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Veoma rijetka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 xml:space="preserve">Groznica </w:t>
            </w:r>
          </w:p>
        </w:tc>
      </w:tr>
    </w:tbl>
    <w:p w:rsidR="009C5697" w:rsidRPr="009C5697" w:rsidRDefault="009C5697" w:rsidP="009C5697">
      <w:pPr>
        <w:spacing w:after="200" w:line="240" w:lineRule="auto"/>
        <w:jc w:val="both"/>
        <w:rPr>
          <w:rFonts w:ascii="Times New Roman" w:eastAsia="Calibri" w:hAnsi="Times New Roman" w:cs="Times New Roman"/>
          <w:u w:val="single"/>
          <w:lang w:val="sr-Latn-ME"/>
        </w:rPr>
      </w:pPr>
    </w:p>
    <w:p w:rsidR="009C5697" w:rsidRPr="009C5697" w:rsidRDefault="009C5697" w:rsidP="009C5697">
      <w:pPr>
        <w:spacing w:after="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t>Opis odabranih neželjenih reakcija</w:t>
      </w:r>
    </w:p>
    <w:p w:rsidR="009C5697" w:rsidRPr="009C5697" w:rsidRDefault="009C5697" w:rsidP="009C5697">
      <w:pPr>
        <w:spacing w:after="0" w:line="240" w:lineRule="auto"/>
        <w:jc w:val="both"/>
        <w:rPr>
          <w:rFonts w:ascii="Times New Roman" w:eastAsia="Calibri" w:hAnsi="Times New Roman" w:cs="Times New Roman"/>
          <w:u w:val="single"/>
          <w:lang w:val="sr-Latn-ME"/>
        </w:rPr>
      </w:pP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Na početku liječenja probenecidom postoji rizik od reaktivnog napada gihta usled mobilizacije uratnih naslaga.</w:t>
      </w: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Zabilježeni su slučajevi nefrolitijaze u kombinaciji sa terapijom probenecidom. Povećavanje izlučivanja mokraćne kiseline može dovesti do stvaranja kristala i / ili kamenja mokraćne kiseline. Rizik se može smanjiti znatnim unosom tečnosti i alkalizacijom urina.</w:t>
      </w:r>
    </w:p>
    <w:p w:rsidR="009C5697" w:rsidRPr="009C5697" w:rsidRDefault="009C5697" w:rsidP="009C5697">
      <w:pPr>
        <w:spacing w:after="0" w:line="240" w:lineRule="auto"/>
        <w:jc w:val="both"/>
        <w:rPr>
          <w:rFonts w:ascii="Times New Roman" w:eastAsia="Calibri" w:hAnsi="Times New Roman" w:cs="Times New Roman"/>
          <w:lang w:val="sr-Latn-ME"/>
        </w:rPr>
      </w:pP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U literaturi je opisan povećan rizik od reakcija preosjetljivosti, koja uključuju kožne reakcije kod pacijenata zaraženih HIV-om.</w:t>
      </w:r>
    </w:p>
    <w:p w:rsidR="009C5697" w:rsidRPr="009C5697" w:rsidRDefault="009C5697" w:rsidP="009C5697">
      <w:pPr>
        <w:spacing w:after="200" w:line="240" w:lineRule="auto"/>
        <w:jc w:val="both"/>
        <w:rPr>
          <w:rFonts w:ascii="Times New Roman" w:eastAsia="Calibri" w:hAnsi="Times New Roman" w:cs="Times New Roman"/>
          <w:u w:val="single"/>
          <w:lang w:val="sr-Latn-ME"/>
        </w:rPr>
      </w:pPr>
    </w:p>
    <w:p w:rsidR="009C5697" w:rsidRPr="009C5697" w:rsidRDefault="009C5697" w:rsidP="009C5697">
      <w:pPr>
        <w:spacing w:after="200" w:line="240" w:lineRule="auto"/>
        <w:jc w:val="both"/>
        <w:rPr>
          <w:rFonts w:ascii="Times New Roman" w:eastAsia="Calibri" w:hAnsi="Times New Roman" w:cs="Times New Roman"/>
          <w:u w:val="single"/>
          <w:lang w:val="sr-Latn-ME"/>
        </w:rPr>
      </w:pPr>
      <w:r w:rsidRPr="009C5697">
        <w:rPr>
          <w:rFonts w:ascii="Times New Roman" w:eastAsia="Calibri" w:hAnsi="Times New Roman" w:cs="Times New Roman"/>
          <w:u w:val="single"/>
          <w:lang w:val="sr-Latn-ME"/>
        </w:rPr>
        <w:lastRenderedPageBreak/>
        <w:t>Prijavljivanje sumnji na neželjena dejstva</w:t>
      </w:r>
    </w:p>
    <w:p w:rsidR="009C5697" w:rsidRPr="009C5697" w:rsidRDefault="009C5697" w:rsidP="009C5697">
      <w:pPr>
        <w:spacing w:after="20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Agencija za ljekove i medicinska sredstva Crne Gore</w:t>
      </w: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Odjeljenje za farmakovigilancu</w:t>
      </w: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Bulevar Ivana Crnojevića 64a, 81000 Podgorica</w:t>
      </w:r>
    </w:p>
    <w:p w:rsidR="009C5697" w:rsidRPr="009C5697" w:rsidRDefault="009C5697" w:rsidP="009C5697">
      <w:pPr>
        <w:spacing w:after="0" w:line="240" w:lineRule="auto"/>
        <w:jc w:val="both"/>
        <w:rPr>
          <w:rFonts w:ascii="Times New Roman" w:eastAsia="Calibri" w:hAnsi="Times New Roman" w:cs="Times New Roman"/>
          <w:lang w:val="sr-Latn-ME"/>
        </w:rPr>
      </w:pP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tel: +382 (0) 20 310 280</w:t>
      </w:r>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fax: +382 (0) 20 310 581</w:t>
      </w:r>
    </w:p>
    <w:p w:rsidR="009C5697" w:rsidRPr="009C5697" w:rsidRDefault="009C5697" w:rsidP="009C5697">
      <w:pPr>
        <w:spacing w:after="0" w:line="240" w:lineRule="auto"/>
        <w:jc w:val="both"/>
        <w:rPr>
          <w:rFonts w:ascii="Times New Roman" w:eastAsia="Calibri" w:hAnsi="Times New Roman" w:cs="Times New Roman"/>
          <w:lang w:val="sr-Latn-ME"/>
        </w:rPr>
      </w:pPr>
      <w:hyperlink r:id="rId8" w:history="1">
        <w:r w:rsidRPr="009C5697">
          <w:rPr>
            <w:rFonts w:ascii="Times New Roman" w:eastAsia="Calibri" w:hAnsi="Times New Roman" w:cs="Times New Roman"/>
            <w:color w:val="0000FF"/>
            <w:u w:val="single"/>
            <w:lang w:val="sr-Latn-ME"/>
          </w:rPr>
          <w:t>www.calims.me</w:t>
        </w:r>
      </w:hyperlink>
    </w:p>
    <w:p w:rsidR="009C5697" w:rsidRPr="009C5697" w:rsidRDefault="009C5697" w:rsidP="009C5697">
      <w:pPr>
        <w:spacing w:after="0" w:line="240" w:lineRule="auto"/>
        <w:jc w:val="both"/>
        <w:rPr>
          <w:rFonts w:ascii="Times New Roman" w:eastAsia="Calibri" w:hAnsi="Times New Roman" w:cs="Times New Roman"/>
          <w:color w:val="0000FF"/>
          <w:u w:val="single"/>
          <w:lang w:val="sr-Latn-ME"/>
        </w:rPr>
      </w:pPr>
      <w:hyperlink r:id="rId9" w:history="1">
        <w:r w:rsidRPr="009C5697">
          <w:rPr>
            <w:rFonts w:ascii="Times New Roman" w:eastAsia="Calibri" w:hAnsi="Times New Roman" w:cs="Times New Roman"/>
            <w:color w:val="0000FF"/>
            <w:u w:val="single"/>
            <w:lang w:val="sr-Latn-ME"/>
          </w:rPr>
          <w:t>nezeljenadejstva@calims.me</w:t>
        </w:r>
      </w:hyperlink>
    </w:p>
    <w:p w:rsidR="009C5697" w:rsidRPr="009C5697" w:rsidRDefault="009C5697" w:rsidP="009C5697">
      <w:pPr>
        <w:spacing w:after="0" w:line="240" w:lineRule="auto"/>
        <w:jc w:val="both"/>
        <w:rPr>
          <w:rFonts w:ascii="Times New Roman" w:eastAsia="Calibri" w:hAnsi="Times New Roman" w:cs="Times New Roman"/>
          <w:lang w:val="sr-Latn-ME"/>
        </w:rPr>
      </w:pPr>
      <w:r w:rsidRPr="009C5697">
        <w:rPr>
          <w:rFonts w:ascii="Times New Roman" w:eastAsia="Calibri" w:hAnsi="Times New Roman" w:cs="Times New Roman"/>
          <w:lang w:val="sr-Latn-ME"/>
        </w:rPr>
        <w:t>putem IS zdravstvene zaštite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4.9. </w:t>
      </w:r>
      <w:r w:rsidRPr="009C5697">
        <w:rPr>
          <w:rFonts w:ascii="Times New Roman" w:eastAsia="Times New Roman" w:hAnsi="Times New Roman" w:cs="Times New Roman"/>
          <w:b/>
          <w:bCs/>
          <w:lang w:val="sr-Latn-ME"/>
        </w:rPr>
        <w:tab/>
        <w:t xml:space="preserve">Predoziranje </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Ne postoji poznati specifični profil intoksikacije probenecidom, niti specifični antidot. Moguće posljedice predoziranja koje su opisane u literaturi su povraćanje, konvulzije, napadi gihta, prestanak disanja, stupor i koma.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Ukoliko postoji sumnja na slučajno ili namjerno predoziranje, indikovane su mjere za smanjenje resorpcije i ubrzanje eliminacije (aktivni ugalj, prisilna diureza, hemodijaliza). Nakon toga, na osnovu simptoma, potrebno je definisati mjere intenzivne njege koje treba preduzeti.</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5. </w:t>
      </w:r>
      <w:r w:rsidRPr="009C5697">
        <w:rPr>
          <w:rFonts w:ascii="Times New Roman" w:eastAsia="Times New Roman" w:hAnsi="Times New Roman" w:cs="Times New Roman"/>
          <w:b/>
          <w:bCs/>
          <w:lang w:val="sr-Latn-ME"/>
        </w:rPr>
        <w:tab/>
        <w:t>FARMAKOLOŠKI PODACI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5.1. </w:t>
      </w:r>
      <w:r w:rsidRPr="009C5697">
        <w:rPr>
          <w:rFonts w:ascii="Times New Roman" w:eastAsia="Times New Roman" w:hAnsi="Times New Roman" w:cs="Times New Roman"/>
          <w:b/>
          <w:bCs/>
          <w:lang w:val="sr-Latn-ME"/>
        </w:rPr>
        <w:tab/>
        <w:t xml:space="preserve">Farmakodinamski podaci </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Farmakoterapijska grupa: Ljekovi protiv gihta; urikozurici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ATC kod:</w:t>
      </w:r>
      <w:r w:rsidRPr="009C5697">
        <w:rPr>
          <w:rFonts w:ascii="Times New Roman" w:eastAsia="Times New Roman" w:hAnsi="Times New Roman" w:cs="Times New Roman"/>
          <w:lang w:val="sr-Latn-ME" w:eastAsia="zh-CN"/>
        </w:rPr>
        <w:t xml:space="preserve"> </w:t>
      </w:r>
      <w:r w:rsidRPr="009C5697">
        <w:rPr>
          <w:rFonts w:ascii="Times New Roman" w:eastAsia="Times New Roman" w:hAnsi="Times New Roman" w:cs="Times New Roman"/>
          <w:bCs/>
          <w:lang w:val="sr-Latn-ME"/>
        </w:rPr>
        <w:t>M04AB01</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Probenecid djeluje kompetitivnom inhibicijom bubrežnog tubularnog transporta, interferirajući sa organskim anjonskim transporterima (OAT), smanjujući tako značajno reapsorpciju tubularne mokraćne kiseline. Ovo dovodi do povećanja neto izlučivanja mokraćne kiseline urinom.</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5.2. </w:t>
      </w:r>
      <w:r w:rsidRPr="009C5697">
        <w:rPr>
          <w:rFonts w:ascii="Times New Roman" w:eastAsia="Times New Roman" w:hAnsi="Times New Roman" w:cs="Times New Roman"/>
          <w:b/>
          <w:bCs/>
          <w:lang w:val="sr-Latn-ME"/>
        </w:rPr>
        <w:tab/>
        <w:t>Farmakokinetički podaci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p>
    <w:p w:rsid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r w:rsidRPr="009C5697">
        <w:rPr>
          <w:rFonts w:ascii="Times New Roman" w:eastAsia="Times New Roman" w:hAnsi="Times New Roman" w:cs="Times New Roman"/>
          <w:u w:val="single"/>
          <w:lang w:val="sr-Latn-ME"/>
        </w:rPr>
        <w:t>Resorpcija</w:t>
      </w: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Nakon oralne primjene, probenecid se efikasno resorbuje iz gastrointestinalnog trakta, a pik koncentracije u plazmi se dostiže u roku od 1 do 5 sati.</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lang w:val="sr-Latn-ME"/>
        </w:rPr>
      </w:pPr>
    </w:p>
    <w:p w:rsid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r w:rsidRPr="009C5697">
        <w:rPr>
          <w:rFonts w:ascii="Times New Roman" w:eastAsia="Times New Roman" w:hAnsi="Times New Roman" w:cs="Times New Roman"/>
          <w:u w:val="single"/>
          <w:lang w:val="sr-Latn-ME"/>
        </w:rPr>
        <w:lastRenderedPageBreak/>
        <w:t>Distribucija</w:t>
      </w: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U dozama od 0,5 do 2 g, bioraspoloživost je praktično 100%. Poluvrijeme eliminacije u plazmi probenecida je promjenljivo, kreće se od približno 4 do 12 sati, a povećava se sa povećanjem doze od 0,5 do 2 g.</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p>
    <w:p w:rsid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r w:rsidRPr="009C5697">
        <w:rPr>
          <w:rFonts w:ascii="Times New Roman" w:eastAsia="Times New Roman" w:hAnsi="Times New Roman" w:cs="Times New Roman"/>
          <w:u w:val="single"/>
          <w:lang w:val="sr-Latn-ME"/>
        </w:rPr>
        <w:t>Metabolizam</w:t>
      </w: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Probenecid se intenzivno metaboliše, uglavnom oksidacijom bočnog lanca i, u manjoj mjeri, glukuronidacijom.</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p>
    <w:p w:rsidR="009C5697" w:rsidRDefault="009C5697" w:rsidP="009C5697">
      <w:pPr>
        <w:tabs>
          <w:tab w:val="left" w:pos="540"/>
          <w:tab w:val="left" w:pos="569"/>
        </w:tabs>
        <w:spacing w:after="0" w:line="240" w:lineRule="auto"/>
        <w:jc w:val="both"/>
        <w:rPr>
          <w:rFonts w:ascii="Times New Roman" w:eastAsia="Times New Roman" w:hAnsi="Times New Roman" w:cs="Times New Roman"/>
          <w:u w:val="single"/>
          <w:lang w:val="sr-Latn-ME"/>
        </w:rPr>
      </w:pPr>
      <w:r w:rsidRPr="009C5697">
        <w:rPr>
          <w:rFonts w:ascii="Times New Roman" w:eastAsia="Times New Roman" w:hAnsi="Times New Roman" w:cs="Times New Roman"/>
          <w:u w:val="single"/>
          <w:lang w:val="sr-Latn-ME"/>
        </w:rPr>
        <w:t>Eliminacija</w:t>
      </w: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u w:val="single"/>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Probenecid i njegovi metaboliti izlučuju se urinom i putem žuči, ali bubrežni put ostaje glavni put eliminacije. Srednje poluvrijeme eliminacije nakon primjene doza od 0,5 do 2 g je otprilike 5 sati.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5.3. </w:t>
      </w:r>
      <w:r w:rsidRPr="009C5697">
        <w:rPr>
          <w:rFonts w:ascii="Times New Roman" w:eastAsia="Times New Roman" w:hAnsi="Times New Roman" w:cs="Times New Roman"/>
          <w:b/>
          <w:bCs/>
          <w:lang w:val="sr-Latn-ME"/>
        </w:rPr>
        <w:tab/>
        <w:t xml:space="preserve">Pretklinički podaci o bezbjednosti </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Trenutno dostupni pretklinički podaci ne daju dodatne relevantne informacije za ljekara u odnosu na one koji su već navedeni u drugim odjeljcima Sažetka karakteristika lijeka.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Studije na životinjama nijesu dovoljne da bi se procijenio uticaj na plodnost ili reprodukciju.</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6. </w:t>
      </w:r>
      <w:r w:rsidRPr="009C5697">
        <w:rPr>
          <w:rFonts w:ascii="Times New Roman" w:eastAsia="Times New Roman" w:hAnsi="Times New Roman" w:cs="Times New Roman"/>
          <w:b/>
          <w:bCs/>
          <w:lang w:val="sr-Latn-ME"/>
        </w:rPr>
        <w:tab/>
        <w:t>FARMACEUTSKI PODACI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6.1. </w:t>
      </w:r>
      <w:r w:rsidRPr="009C5697">
        <w:rPr>
          <w:rFonts w:ascii="Times New Roman" w:eastAsia="Times New Roman" w:hAnsi="Times New Roman" w:cs="Times New Roman"/>
          <w:b/>
          <w:bCs/>
          <w:lang w:val="sr-Latn-ME"/>
        </w:rPr>
        <w:tab/>
        <w:t>Lista pomoćnih supstanci (ekscipijenasa)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Celuloza, mikrokristalna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Hipromeloza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Natrijum skrob glikolat (tip 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Silicijum dioksid, koloidni, bezvodni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Magnezijum stearat</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6.2. </w:t>
      </w:r>
      <w:r w:rsidRPr="009C5697">
        <w:rPr>
          <w:rFonts w:ascii="Times New Roman" w:eastAsia="Times New Roman" w:hAnsi="Times New Roman" w:cs="Times New Roman"/>
          <w:b/>
          <w:bCs/>
          <w:lang w:val="sr-Latn-ME"/>
        </w:rPr>
        <w:tab/>
        <w:t>Inkompatibilnosti</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Nije primjenljivo.</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6.3. </w:t>
      </w:r>
      <w:r w:rsidRPr="009C5697">
        <w:rPr>
          <w:rFonts w:ascii="Times New Roman" w:eastAsia="Times New Roman" w:hAnsi="Times New Roman" w:cs="Times New Roman"/>
          <w:b/>
          <w:bCs/>
          <w:lang w:val="sr-Latn-ME"/>
        </w:rPr>
        <w:tab/>
        <w:t>Rok upotrebe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4 godine.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6.4. </w:t>
      </w:r>
      <w:r w:rsidRPr="009C5697">
        <w:rPr>
          <w:rFonts w:ascii="Times New Roman" w:eastAsia="Times New Roman" w:hAnsi="Times New Roman" w:cs="Times New Roman"/>
          <w:b/>
          <w:bCs/>
          <w:lang w:val="sr-Latn-ME"/>
        </w:rPr>
        <w:tab/>
        <w:t>Posebne mjere upozorenja pri čuvanju lijeka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r w:rsidRPr="009C5697">
        <w:rPr>
          <w:rFonts w:ascii="Times New Roman" w:eastAsia="Times New Roman" w:hAnsi="Times New Roman" w:cs="Times New Roman"/>
          <w:lang w:val="sr-Latn-ME"/>
        </w:rPr>
        <w:t>Čuvati na temperaturi do 25ºC.</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lastRenderedPageBreak/>
        <w:t xml:space="preserve">6.5. </w:t>
      </w:r>
      <w:r w:rsidRPr="009C5697">
        <w:rPr>
          <w:rFonts w:ascii="Times New Roman" w:eastAsia="Times New Roman" w:hAnsi="Times New Roman" w:cs="Times New Roman"/>
          <w:b/>
          <w:bCs/>
          <w:lang w:val="sr-Latn-ME"/>
        </w:rPr>
        <w:tab/>
        <w:t>Vrsta i sadržaj pakovanja</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bookmarkStart w:id="1" w:name="_Hlk25824680"/>
      <w:r w:rsidRPr="009C5697">
        <w:rPr>
          <w:rFonts w:ascii="Times New Roman" w:eastAsia="Times New Roman" w:hAnsi="Times New Roman" w:cs="Times New Roman"/>
          <w:lang w:val="sr-Latn-ME"/>
        </w:rPr>
        <w:t>Tablete su upakovane u blistere koji se sastoje od bezbojnog prozirnog tvrdog PVC filma i laminirane aluminijumske folije.</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10 Al/PVC blistera sa po 10 tableta se nalazi u kutiji. Ukupno 100 tableta u kutiji.</w:t>
      </w:r>
    </w:p>
    <w:bookmarkEnd w:id="1"/>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6.6. </w:t>
      </w:r>
      <w:r w:rsidRPr="009C5697">
        <w:rPr>
          <w:rFonts w:ascii="Times New Roman" w:eastAsia="Times New Roman" w:hAnsi="Times New Roman" w:cs="Times New Roman"/>
          <w:b/>
          <w:bCs/>
          <w:lang w:val="sr-Latn-ME"/>
        </w:rPr>
        <w:tab/>
      </w:r>
      <w:r w:rsidRPr="009C5697">
        <w:rPr>
          <w:rFonts w:ascii="Times New Roman" w:eastAsia="Times New Roman" w:hAnsi="Times New Roman" w:cs="Times New Roman"/>
          <w:b/>
          <w:bCs/>
          <w:color w:val="000000"/>
          <w:lang w:val="sr-Latn-ME"/>
        </w:rPr>
        <w:t>Posebne mjere opreza pri odlaganju materijala koji treba odbaciti nakon primjene lijeka</w:t>
      </w:r>
      <w:r w:rsidRPr="009C5697">
        <w:rPr>
          <w:rFonts w:ascii="Times New Roman" w:eastAsia="Times New Roman" w:hAnsi="Times New Roman" w:cs="Times New Roman"/>
          <w:b/>
          <w:bCs/>
          <w:lang w:val="sr-Latn-ME"/>
        </w:rPr>
        <w:t xml:space="preserve"> (i druga uputstva za rukovanje lijekom) </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p>
    <w:p w:rsidR="009C5697" w:rsidRPr="009C5697" w:rsidRDefault="009C5697" w:rsidP="009C5697">
      <w:pPr>
        <w:tabs>
          <w:tab w:val="left" w:pos="540"/>
          <w:tab w:val="left" w:pos="569"/>
        </w:tabs>
        <w:spacing w:after="0" w:line="240" w:lineRule="auto"/>
        <w:jc w:val="both"/>
        <w:rPr>
          <w:rFonts w:ascii="Times New Roman" w:eastAsia="TimesNewRoman" w:hAnsi="Times New Roman" w:cs="Times New Roman"/>
          <w:lang w:val="sr-Latn-ME"/>
        </w:rPr>
      </w:pPr>
      <w:r w:rsidRPr="009C5697">
        <w:rPr>
          <w:rFonts w:ascii="Times New Roman" w:eastAsia="TimesNewRoman" w:hAnsi="Times New Roman" w:cs="Times New Roman"/>
          <w:lang w:val="sr-Latn-ME"/>
        </w:rPr>
        <w:t>Neupotrijebljeni lijek se uništava u skladu sa važećim propisima.</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7. </w:t>
      </w:r>
      <w:r w:rsidRPr="009C5697">
        <w:rPr>
          <w:rFonts w:ascii="Times New Roman" w:eastAsia="Times New Roman" w:hAnsi="Times New Roman" w:cs="Times New Roman"/>
          <w:b/>
          <w:bCs/>
          <w:lang w:val="sr-Latn-ME"/>
        </w:rPr>
        <w:tab/>
        <w:t xml:space="preserve">NOSILAC DOZVOLE </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Glosarij d.o.o.</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Vojislavljevića 76, 81000 Podgorica, Crna Gora</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8. </w:t>
      </w:r>
      <w:r w:rsidRPr="009C5697">
        <w:rPr>
          <w:rFonts w:ascii="Times New Roman" w:eastAsia="Times New Roman" w:hAnsi="Times New Roman" w:cs="Times New Roman"/>
          <w:b/>
          <w:bCs/>
          <w:lang w:val="sr-Latn-ME"/>
        </w:rPr>
        <w:tab/>
        <w:t>BROJ DOZVOLE ZA STAVLJANJE LIJEKA U PROMET</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Santuril, tableta, 500 mg, blister, 100 (10x10) tableta:</w:t>
      </w:r>
      <w:r w:rsidR="00045087" w:rsidRPr="00045087">
        <w:t xml:space="preserve"> </w:t>
      </w:r>
      <w:r w:rsidR="00045087" w:rsidRPr="00045087">
        <w:rPr>
          <w:rFonts w:ascii="Times New Roman" w:eastAsia="Times New Roman" w:hAnsi="Times New Roman" w:cs="Times New Roman"/>
          <w:bCs/>
          <w:lang w:val="sr-Latn-ME"/>
        </w:rPr>
        <w:t>2030/19/1017 - 4028</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
          <w:bCs/>
          <w:lang w:val="sr-Latn-ME"/>
        </w:rPr>
      </w:pPr>
      <w:r w:rsidRPr="009C5697">
        <w:rPr>
          <w:rFonts w:ascii="Times New Roman" w:eastAsia="Times New Roman" w:hAnsi="Times New Roman" w:cs="Times New Roman"/>
          <w:b/>
          <w:bCs/>
          <w:lang w:val="sr-Latn-ME"/>
        </w:rPr>
        <w:t xml:space="preserve">9. </w:t>
      </w:r>
      <w:r w:rsidRPr="009C5697">
        <w:rPr>
          <w:rFonts w:ascii="Times New Roman" w:eastAsia="Times New Roman" w:hAnsi="Times New Roman" w:cs="Times New Roman"/>
          <w:b/>
          <w:bCs/>
          <w:lang w:val="sr-Latn-ME"/>
        </w:rPr>
        <w:tab/>
        <w:t>DATUM PRVE DOZVOLE/OBNOVE DOZVOLE ZA STAVLJANJE LIJEKA U PROMET</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r w:rsidRPr="009C5697">
        <w:rPr>
          <w:rFonts w:ascii="Times New Roman" w:eastAsia="Times New Roman" w:hAnsi="Times New Roman" w:cs="Times New Roman"/>
          <w:bCs/>
          <w:lang w:val="sr-Latn-ME"/>
        </w:rPr>
        <w:t>Santuril, tableta, 500 mg, blister, 100 (10x10) tableta:</w:t>
      </w:r>
      <w:r w:rsidR="00045087" w:rsidRPr="00045087">
        <w:t xml:space="preserve"> </w:t>
      </w:r>
      <w:r w:rsidR="00045087" w:rsidRPr="00045087">
        <w:rPr>
          <w:rFonts w:ascii="Times New Roman" w:eastAsia="Times New Roman" w:hAnsi="Times New Roman" w:cs="Times New Roman"/>
          <w:bCs/>
          <w:lang w:val="sr-Latn-ME"/>
        </w:rPr>
        <w:t>13.12.2019. godine</w:t>
      </w:r>
    </w:p>
    <w:p w:rsid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045087" w:rsidRPr="009C5697" w:rsidRDefault="0004508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9C5697" w:rsidP="009C5697">
      <w:p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9C5697">
        <w:rPr>
          <w:rFonts w:ascii="Times New Roman" w:eastAsia="Times New Roman" w:hAnsi="Times New Roman" w:cs="Times New Roman"/>
          <w:b/>
          <w:bCs/>
          <w:lang w:val="sr-Latn-ME"/>
        </w:rPr>
        <w:t xml:space="preserve">10. </w:t>
      </w:r>
      <w:r w:rsidRPr="009C5697">
        <w:rPr>
          <w:rFonts w:ascii="Times New Roman" w:eastAsia="Times New Roman" w:hAnsi="Times New Roman" w:cs="Times New Roman"/>
          <w:b/>
          <w:bCs/>
          <w:lang w:val="sr-Latn-ME"/>
        </w:rPr>
        <w:tab/>
        <w:t xml:space="preserve">DATUM REVIZIJE TEKSTA </w:t>
      </w:r>
    </w:p>
    <w:p w:rsidR="009C5697" w:rsidRPr="009C5697" w:rsidRDefault="009C5697" w:rsidP="009C5697">
      <w:pPr>
        <w:tabs>
          <w:tab w:val="left" w:pos="540"/>
          <w:tab w:val="left" w:pos="569"/>
        </w:tabs>
        <w:spacing w:after="0" w:line="240" w:lineRule="auto"/>
        <w:jc w:val="both"/>
        <w:rPr>
          <w:rFonts w:ascii="Times New Roman" w:eastAsia="Times New Roman" w:hAnsi="Times New Roman" w:cs="Times New Roman"/>
          <w:bCs/>
          <w:lang w:val="sr-Latn-ME"/>
        </w:rPr>
      </w:pPr>
    </w:p>
    <w:p w:rsidR="009C5697" w:rsidRPr="009C5697" w:rsidRDefault="00045087" w:rsidP="009C569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Decembar, 2019. godine</w:t>
      </w:r>
    </w:p>
    <w:p w:rsidR="00DA1FB0" w:rsidRPr="009C5697" w:rsidRDefault="00DA1FB0" w:rsidP="009C5697">
      <w:pPr>
        <w:spacing w:line="240" w:lineRule="auto"/>
        <w:jc w:val="both"/>
        <w:rPr>
          <w:rFonts w:ascii="Times New Roman" w:hAnsi="Times New Roman" w:cs="Times New Roman"/>
          <w:lang w:val="sr-Latn-ME"/>
        </w:rPr>
      </w:pPr>
    </w:p>
    <w:sectPr w:rsidR="00DA1FB0" w:rsidRPr="009C5697"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26" w:rsidRDefault="00515626" w:rsidP="00FF2B5A">
      <w:pPr>
        <w:spacing w:after="0" w:line="240" w:lineRule="auto"/>
      </w:pPr>
      <w:r>
        <w:separator/>
      </w:r>
    </w:p>
  </w:endnote>
  <w:endnote w:type="continuationSeparator" w:id="0">
    <w:p w:rsidR="00515626" w:rsidRDefault="0051562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5275D">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5275D">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26" w:rsidRDefault="00515626" w:rsidP="00FF2B5A">
      <w:pPr>
        <w:spacing w:after="0" w:line="240" w:lineRule="auto"/>
      </w:pPr>
      <w:r>
        <w:separator/>
      </w:r>
    </w:p>
  </w:footnote>
  <w:footnote w:type="continuationSeparator" w:id="0">
    <w:p w:rsidR="00515626" w:rsidRDefault="0051562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045087">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45087" w:rsidRPr="00045087" w:rsidRDefault="00045087" w:rsidP="00045087">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450A80"/>
    <w:multiLevelType w:val="hybridMultilevel"/>
    <w:tmpl w:val="3D7C3CDA"/>
    <w:lvl w:ilvl="0" w:tplc="027A63BA">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358B"/>
    <w:multiLevelType w:val="hybridMultilevel"/>
    <w:tmpl w:val="BF0E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5505408"/>
    <w:multiLevelType w:val="hybridMultilevel"/>
    <w:tmpl w:val="F610807E"/>
    <w:lvl w:ilvl="0" w:tplc="027A6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1"/>
  </w:num>
  <w:num w:numId="4">
    <w:abstractNumId w:val="12"/>
  </w:num>
  <w:num w:numId="5">
    <w:abstractNumId w:val="8"/>
  </w:num>
  <w:num w:numId="6">
    <w:abstractNumId w:val="2"/>
  </w:num>
  <w:num w:numId="7">
    <w:abstractNumId w:val="11"/>
  </w:num>
  <w:num w:numId="8">
    <w:abstractNumId w:val="7"/>
  </w:num>
  <w:num w:numId="9">
    <w:abstractNumId w:val="9"/>
  </w:num>
  <w:num w:numId="10">
    <w:abstractNumId w:val="4"/>
  </w:num>
  <w:num w:numId="11">
    <w:abstractNumId w:val="0"/>
  </w:num>
  <w:num w:numId="12">
    <w:abstractNumId w:val="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5087"/>
    <w:rsid w:val="00116FE6"/>
    <w:rsid w:val="002B336F"/>
    <w:rsid w:val="0031146A"/>
    <w:rsid w:val="00461135"/>
    <w:rsid w:val="00515626"/>
    <w:rsid w:val="00747C4B"/>
    <w:rsid w:val="00805838"/>
    <w:rsid w:val="00883AF2"/>
    <w:rsid w:val="009318B4"/>
    <w:rsid w:val="00934541"/>
    <w:rsid w:val="009C5697"/>
    <w:rsid w:val="009F0536"/>
    <w:rsid w:val="00A06058"/>
    <w:rsid w:val="00A86044"/>
    <w:rsid w:val="00AF30B1"/>
    <w:rsid w:val="00B234CE"/>
    <w:rsid w:val="00B34AF2"/>
    <w:rsid w:val="00B5275D"/>
    <w:rsid w:val="00C4240B"/>
    <w:rsid w:val="00C606D3"/>
    <w:rsid w:val="00CF1D50"/>
    <w:rsid w:val="00D45AFE"/>
    <w:rsid w:val="00DA1FB0"/>
    <w:rsid w:val="00E0627A"/>
    <w:rsid w:val="00E1143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paragraph" w:styleId="ListParagraph">
    <w:name w:val="List Paragraph"/>
    <w:basedOn w:val="Normal"/>
    <w:uiPriority w:val="34"/>
    <w:qFormat/>
    <w:rsid w:val="00045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48754-7B8B-4B61-8016-753EDB73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9</cp:revision>
  <dcterms:created xsi:type="dcterms:W3CDTF">2017-06-23T09:30:00Z</dcterms:created>
  <dcterms:modified xsi:type="dcterms:W3CDTF">2019-12-13T06:30:00Z</dcterms:modified>
</cp:coreProperties>
</file>