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6FD" w:rsidRPr="002510A5" w:rsidRDefault="004166FD" w:rsidP="004166FD">
      <w:pPr>
        <w:jc w:val="center"/>
        <w:rPr>
          <w:b/>
          <w:bCs/>
          <w:iCs/>
          <w:sz w:val="22"/>
          <w:szCs w:val="22"/>
          <w:u w:val="single"/>
        </w:rPr>
      </w:pPr>
      <w:r w:rsidRPr="002510A5">
        <w:rPr>
          <w:b/>
          <w:bCs/>
          <w:iCs/>
          <w:sz w:val="22"/>
          <w:szCs w:val="22"/>
          <w:u w:val="single"/>
        </w:rPr>
        <w:t>SAŽETAK KARAKTERISTIKA LIJEKA</w:t>
      </w:r>
    </w:p>
    <w:p w:rsidR="004166FD" w:rsidRPr="002510A5" w:rsidRDefault="004166FD" w:rsidP="004166FD">
      <w:pPr>
        <w:rPr>
          <w:b/>
          <w:bCs/>
          <w:i/>
          <w:iCs/>
          <w:sz w:val="22"/>
          <w:szCs w:val="22"/>
          <w:u w:val="single"/>
        </w:rPr>
      </w:pPr>
    </w:p>
    <w:p w:rsidR="004166FD" w:rsidRPr="00786071" w:rsidRDefault="004166FD" w:rsidP="004166FD">
      <w:pPr>
        <w:tabs>
          <w:tab w:val="left" w:pos="540"/>
          <w:tab w:val="left" w:pos="569"/>
        </w:tabs>
        <w:rPr>
          <w:b/>
          <w:bCs/>
          <w:sz w:val="22"/>
          <w:szCs w:val="22"/>
        </w:rPr>
      </w:pPr>
      <w:r w:rsidRPr="00786071">
        <w:rPr>
          <w:b/>
          <w:bCs/>
          <w:sz w:val="22"/>
          <w:szCs w:val="22"/>
        </w:rPr>
        <w:t>1.</w:t>
      </w:r>
      <w:r w:rsidRPr="00786071">
        <w:rPr>
          <w:b/>
          <w:bCs/>
          <w:sz w:val="22"/>
          <w:szCs w:val="22"/>
        </w:rPr>
        <w:tab/>
        <w:t>NAZIV LIJEKA</w:t>
      </w:r>
    </w:p>
    <w:p w:rsidR="004166FD" w:rsidRPr="00786071" w:rsidRDefault="004166FD" w:rsidP="004166FD">
      <w:pPr>
        <w:rPr>
          <w:sz w:val="22"/>
          <w:szCs w:val="22"/>
          <w:lang w:val="pl-PL"/>
        </w:rPr>
      </w:pPr>
    </w:p>
    <w:p w:rsidR="008A13DF" w:rsidRDefault="004166FD" w:rsidP="004166FD">
      <w:pPr>
        <w:rPr>
          <w:sz w:val="22"/>
          <w:szCs w:val="22"/>
          <w:lang w:val="pl-PL"/>
        </w:rPr>
      </w:pPr>
      <w:r>
        <w:rPr>
          <w:sz w:val="22"/>
          <w:szCs w:val="22"/>
          <w:lang w:val="pl-PL"/>
        </w:rPr>
        <w:t>LYSOBACT DUO</w:t>
      </w:r>
      <w:r w:rsidRPr="00AB2D2E">
        <w:rPr>
          <w:sz w:val="22"/>
          <w:szCs w:val="22"/>
          <w:vertAlign w:val="superscript"/>
          <w:lang w:val="pl-PL"/>
        </w:rPr>
        <w:t>®</w:t>
      </w:r>
      <w:r w:rsidR="00011451">
        <w:rPr>
          <w:sz w:val="22"/>
          <w:szCs w:val="22"/>
          <w:lang w:val="pl-PL"/>
        </w:rPr>
        <w:t xml:space="preserve"> 20 mg + 1,5 mg komprimovana</w:t>
      </w:r>
      <w:r w:rsidR="006135BA">
        <w:rPr>
          <w:sz w:val="22"/>
          <w:szCs w:val="22"/>
          <w:lang w:val="pl-PL"/>
        </w:rPr>
        <w:t xml:space="preserve"> lozenga</w:t>
      </w:r>
    </w:p>
    <w:p w:rsidR="004166FD" w:rsidRPr="002846DB" w:rsidRDefault="004166FD" w:rsidP="004166FD">
      <w:pPr>
        <w:rPr>
          <w:sz w:val="22"/>
          <w:szCs w:val="22"/>
          <w:lang w:val="sr-Latn-CS"/>
        </w:rPr>
      </w:pPr>
      <w:r w:rsidRPr="00E51C30">
        <w:rPr>
          <w:sz w:val="22"/>
          <w:szCs w:val="22"/>
          <w:lang w:val="sv-SE"/>
        </w:rPr>
        <w:t>INN:</w:t>
      </w:r>
      <w:r>
        <w:rPr>
          <w:sz w:val="22"/>
          <w:szCs w:val="22"/>
          <w:lang w:val="sv-SE"/>
        </w:rPr>
        <w:t xml:space="preserve"> lizozim, cetilpiridinijum</w:t>
      </w:r>
    </w:p>
    <w:p w:rsidR="004166FD" w:rsidRPr="00786071" w:rsidRDefault="004166FD" w:rsidP="004166FD">
      <w:pPr>
        <w:rPr>
          <w:sz w:val="22"/>
          <w:szCs w:val="22"/>
          <w:lang w:val="sr-Latn-CS"/>
        </w:rPr>
      </w:pPr>
    </w:p>
    <w:p w:rsidR="004166FD" w:rsidRPr="00786071" w:rsidRDefault="004166FD" w:rsidP="004166FD">
      <w:pPr>
        <w:tabs>
          <w:tab w:val="left" w:pos="540"/>
          <w:tab w:val="left" w:pos="569"/>
        </w:tabs>
        <w:rPr>
          <w:b/>
          <w:bCs/>
          <w:sz w:val="22"/>
          <w:szCs w:val="22"/>
        </w:rPr>
      </w:pPr>
      <w:r w:rsidRPr="00786071">
        <w:rPr>
          <w:b/>
          <w:bCs/>
          <w:sz w:val="22"/>
          <w:szCs w:val="22"/>
        </w:rPr>
        <w:t xml:space="preserve">2. </w:t>
      </w:r>
      <w:r w:rsidRPr="00786071">
        <w:rPr>
          <w:b/>
          <w:bCs/>
          <w:sz w:val="22"/>
          <w:szCs w:val="22"/>
        </w:rPr>
        <w:tab/>
        <w:t>KVALITATIVNI I KVANTITATIVNI SASTAV</w:t>
      </w:r>
    </w:p>
    <w:p w:rsidR="004166FD" w:rsidRDefault="004166FD" w:rsidP="004166FD">
      <w:pPr>
        <w:rPr>
          <w:sz w:val="22"/>
          <w:szCs w:val="22"/>
          <w:lang w:val="sr-Latn-CS"/>
        </w:rPr>
      </w:pPr>
    </w:p>
    <w:p w:rsidR="004166FD" w:rsidRPr="00C47AF0" w:rsidRDefault="004166FD" w:rsidP="004166FD">
      <w:pPr>
        <w:tabs>
          <w:tab w:val="left" w:pos="8505"/>
        </w:tabs>
        <w:jc w:val="both"/>
        <w:rPr>
          <w:sz w:val="22"/>
          <w:szCs w:val="22"/>
        </w:rPr>
      </w:pPr>
      <w:r w:rsidRPr="00C47AF0">
        <w:rPr>
          <w:sz w:val="22"/>
          <w:szCs w:val="22"/>
        </w:rPr>
        <w:t xml:space="preserve">LYSOBACT DUO sadrži: </w:t>
      </w:r>
    </w:p>
    <w:p w:rsidR="004166FD" w:rsidRPr="00C47AF0" w:rsidRDefault="004166FD" w:rsidP="004166FD">
      <w:pPr>
        <w:tabs>
          <w:tab w:val="left" w:pos="8505"/>
        </w:tabs>
        <w:jc w:val="both"/>
        <w:rPr>
          <w:color w:val="000000"/>
          <w:sz w:val="22"/>
          <w:szCs w:val="22"/>
        </w:rPr>
      </w:pPr>
    </w:p>
    <w:p w:rsidR="004166FD" w:rsidRPr="00C47AF0" w:rsidRDefault="004166FD" w:rsidP="004166FD">
      <w:pPr>
        <w:jc w:val="both"/>
        <w:rPr>
          <w:rFonts w:eastAsia="Calibri"/>
          <w:color w:val="000000"/>
          <w:sz w:val="22"/>
          <w:szCs w:val="22"/>
          <w:lang w:val="bs-Latn-BA"/>
        </w:rPr>
      </w:pPr>
      <w:r w:rsidRPr="00C47AF0">
        <w:rPr>
          <w:color w:val="000000"/>
          <w:sz w:val="22"/>
          <w:szCs w:val="22"/>
        </w:rPr>
        <w:t>Lizozim hidro</w:t>
      </w:r>
      <w:r>
        <w:rPr>
          <w:color w:val="000000"/>
          <w:sz w:val="22"/>
          <w:szCs w:val="22"/>
        </w:rPr>
        <w:t>h</w:t>
      </w:r>
      <w:r w:rsidRPr="00C47AF0">
        <w:rPr>
          <w:color w:val="000000"/>
          <w:sz w:val="22"/>
          <w:szCs w:val="22"/>
        </w:rPr>
        <w:t xml:space="preserve">lorid         20,00 mg </w:t>
      </w:r>
      <w:r w:rsidRPr="00C47AF0">
        <w:rPr>
          <w:rFonts w:eastAsia="Calibri"/>
          <w:color w:val="000000"/>
          <w:sz w:val="22"/>
          <w:szCs w:val="22"/>
          <w:lang w:val="bs-Latn-BA"/>
        </w:rPr>
        <w:t>što odgovara 800 000 FIP jedinica</w:t>
      </w:r>
    </w:p>
    <w:p w:rsidR="004166FD" w:rsidRDefault="004166FD" w:rsidP="004166FD">
      <w:pPr>
        <w:tabs>
          <w:tab w:val="left" w:pos="8505"/>
        </w:tabs>
        <w:jc w:val="both"/>
        <w:rPr>
          <w:sz w:val="22"/>
          <w:szCs w:val="22"/>
          <w:lang w:val="hr-HR"/>
        </w:rPr>
      </w:pPr>
      <w:r w:rsidRPr="00C47AF0">
        <w:rPr>
          <w:sz w:val="22"/>
          <w:szCs w:val="22"/>
          <w:lang w:val="hr-HR"/>
        </w:rPr>
        <w:t>Cetilpiridin</w:t>
      </w:r>
      <w:r>
        <w:rPr>
          <w:sz w:val="22"/>
          <w:szCs w:val="22"/>
          <w:lang w:val="hr-HR"/>
        </w:rPr>
        <w:t>ijum</w:t>
      </w:r>
      <w:r w:rsidRPr="00C47AF0">
        <w:rPr>
          <w:sz w:val="22"/>
          <w:szCs w:val="22"/>
          <w:lang w:val="hr-HR"/>
        </w:rPr>
        <w:t xml:space="preserve"> </w:t>
      </w:r>
      <w:r>
        <w:rPr>
          <w:sz w:val="22"/>
          <w:szCs w:val="22"/>
          <w:lang w:val="hr-HR"/>
        </w:rPr>
        <w:t xml:space="preserve">hlorid      </w:t>
      </w:r>
      <w:r w:rsidRPr="00C47AF0">
        <w:rPr>
          <w:sz w:val="22"/>
          <w:szCs w:val="22"/>
          <w:lang w:val="hr-HR"/>
        </w:rPr>
        <w:t>1,50 mg</w:t>
      </w:r>
    </w:p>
    <w:p w:rsidR="004166FD" w:rsidRPr="00BE4395" w:rsidRDefault="004166FD" w:rsidP="004166FD">
      <w:pPr>
        <w:tabs>
          <w:tab w:val="left" w:pos="8505"/>
        </w:tabs>
        <w:jc w:val="both"/>
        <w:rPr>
          <w:color w:val="FF0000"/>
          <w:sz w:val="22"/>
          <w:szCs w:val="22"/>
          <w:lang w:val="hr-HR"/>
        </w:rPr>
      </w:pPr>
    </w:p>
    <w:p w:rsidR="004166FD" w:rsidRPr="00C47AF0" w:rsidRDefault="004166FD" w:rsidP="004166FD">
      <w:pPr>
        <w:tabs>
          <w:tab w:val="left" w:pos="8505"/>
        </w:tabs>
        <w:jc w:val="both"/>
        <w:rPr>
          <w:sz w:val="22"/>
          <w:szCs w:val="22"/>
          <w:lang w:val="hr-HR"/>
        </w:rPr>
      </w:pPr>
      <w:r w:rsidRPr="00063B53">
        <w:rPr>
          <w:sz w:val="22"/>
          <w:szCs w:val="22"/>
          <w:lang w:val="hr-HR"/>
        </w:rPr>
        <w:t>Pomoćne supstance sa potvrđenim dejstvom: sorbitol, saharoza.</w:t>
      </w:r>
    </w:p>
    <w:p w:rsidR="004166FD" w:rsidRPr="00C47AF0" w:rsidRDefault="004166FD" w:rsidP="004166FD">
      <w:pPr>
        <w:tabs>
          <w:tab w:val="left" w:pos="8505"/>
        </w:tabs>
        <w:jc w:val="both"/>
        <w:rPr>
          <w:sz w:val="22"/>
          <w:szCs w:val="22"/>
          <w:lang w:val="hr-HR"/>
        </w:rPr>
      </w:pPr>
    </w:p>
    <w:p w:rsidR="004166FD" w:rsidRPr="00786071" w:rsidRDefault="004166FD" w:rsidP="004166FD">
      <w:pPr>
        <w:rPr>
          <w:sz w:val="22"/>
          <w:szCs w:val="22"/>
          <w:lang w:val="sr-Latn-CS"/>
        </w:rPr>
      </w:pPr>
      <w:r w:rsidRPr="00786071">
        <w:rPr>
          <w:sz w:val="22"/>
          <w:szCs w:val="22"/>
          <w:lang w:val="sr-Latn-CS"/>
        </w:rPr>
        <w:t>Za spisak svih e</w:t>
      </w:r>
      <w:r w:rsidR="00475819">
        <w:rPr>
          <w:sz w:val="22"/>
          <w:szCs w:val="22"/>
          <w:lang w:val="sr-Latn-CS"/>
        </w:rPr>
        <w:t>kscipijenasa, pogledati dio 6.1.</w:t>
      </w:r>
    </w:p>
    <w:p w:rsidR="004166FD" w:rsidRDefault="004166FD" w:rsidP="004166FD">
      <w:pPr>
        <w:rPr>
          <w:sz w:val="22"/>
          <w:szCs w:val="22"/>
          <w:lang w:val="sr-Latn-CS"/>
        </w:rPr>
      </w:pPr>
    </w:p>
    <w:p w:rsidR="004166FD" w:rsidRPr="00786071" w:rsidRDefault="004166FD" w:rsidP="004166FD">
      <w:pPr>
        <w:tabs>
          <w:tab w:val="left" w:pos="540"/>
          <w:tab w:val="left" w:pos="569"/>
        </w:tabs>
        <w:rPr>
          <w:b/>
          <w:bCs/>
          <w:sz w:val="22"/>
          <w:szCs w:val="22"/>
        </w:rPr>
      </w:pPr>
      <w:r w:rsidRPr="00786071">
        <w:rPr>
          <w:b/>
          <w:bCs/>
          <w:sz w:val="22"/>
          <w:szCs w:val="22"/>
        </w:rPr>
        <w:t xml:space="preserve">3. </w:t>
      </w:r>
      <w:r w:rsidRPr="00786071">
        <w:rPr>
          <w:b/>
          <w:bCs/>
          <w:sz w:val="22"/>
          <w:szCs w:val="22"/>
        </w:rPr>
        <w:tab/>
        <w:t xml:space="preserve">FARMACEUTSKI OBLIK </w:t>
      </w:r>
    </w:p>
    <w:p w:rsidR="004166FD" w:rsidRDefault="004166FD" w:rsidP="004166FD">
      <w:pPr>
        <w:jc w:val="both"/>
        <w:rPr>
          <w:sz w:val="22"/>
          <w:szCs w:val="22"/>
        </w:rPr>
      </w:pPr>
    </w:p>
    <w:p w:rsidR="004166FD" w:rsidRPr="00C47AF0" w:rsidRDefault="00475819" w:rsidP="004166FD">
      <w:pPr>
        <w:jc w:val="both"/>
        <w:rPr>
          <w:sz w:val="22"/>
          <w:szCs w:val="22"/>
        </w:rPr>
      </w:pPr>
      <w:r>
        <w:rPr>
          <w:sz w:val="22"/>
          <w:szCs w:val="22"/>
        </w:rPr>
        <w:t>Komprimovana lozenga</w:t>
      </w:r>
      <w:r w:rsidR="006135BA">
        <w:rPr>
          <w:sz w:val="22"/>
          <w:szCs w:val="22"/>
        </w:rPr>
        <w:t>.</w:t>
      </w:r>
    </w:p>
    <w:p w:rsidR="004166FD" w:rsidRPr="00C47AF0" w:rsidRDefault="004166FD" w:rsidP="004166FD">
      <w:pPr>
        <w:jc w:val="both"/>
        <w:rPr>
          <w:sz w:val="22"/>
          <w:szCs w:val="22"/>
        </w:rPr>
      </w:pPr>
      <w:r w:rsidRPr="00C47AF0">
        <w:rPr>
          <w:sz w:val="22"/>
          <w:szCs w:val="22"/>
        </w:rPr>
        <w:t>Komprimovan</w:t>
      </w:r>
      <w:r w:rsidR="006135BA">
        <w:rPr>
          <w:sz w:val="22"/>
          <w:szCs w:val="22"/>
        </w:rPr>
        <w:t>e</w:t>
      </w:r>
      <w:r w:rsidRPr="00C47AF0">
        <w:rPr>
          <w:sz w:val="22"/>
          <w:szCs w:val="22"/>
        </w:rPr>
        <w:t xml:space="preserve"> lozeng</w:t>
      </w:r>
      <w:r w:rsidR="006135BA">
        <w:rPr>
          <w:sz w:val="22"/>
          <w:szCs w:val="22"/>
        </w:rPr>
        <w:t>e</w:t>
      </w:r>
      <w:r w:rsidRPr="00C47AF0">
        <w:rPr>
          <w:sz w:val="22"/>
          <w:szCs w:val="22"/>
        </w:rPr>
        <w:t xml:space="preserve"> bijele do gotovo bijele b</w:t>
      </w:r>
      <w:r w:rsidR="00783822">
        <w:rPr>
          <w:sz w:val="22"/>
          <w:szCs w:val="22"/>
        </w:rPr>
        <w:t>oje</w:t>
      </w:r>
      <w:r w:rsidR="002E298F">
        <w:rPr>
          <w:sz w:val="22"/>
          <w:szCs w:val="22"/>
        </w:rPr>
        <w:t>, okruglog oblika, bikonveksne.</w:t>
      </w:r>
    </w:p>
    <w:p w:rsidR="004166FD" w:rsidRPr="00786071" w:rsidRDefault="004166FD" w:rsidP="004166FD">
      <w:pPr>
        <w:rPr>
          <w:bCs/>
          <w:sz w:val="22"/>
          <w:szCs w:val="22"/>
          <w:lang w:val="sr-Latn-CS"/>
        </w:rPr>
      </w:pPr>
    </w:p>
    <w:p w:rsidR="004166FD" w:rsidRPr="00786071" w:rsidRDefault="004166FD" w:rsidP="004166FD">
      <w:pPr>
        <w:tabs>
          <w:tab w:val="left" w:pos="540"/>
          <w:tab w:val="left" w:pos="569"/>
        </w:tabs>
        <w:jc w:val="both"/>
        <w:rPr>
          <w:b/>
          <w:bCs/>
          <w:sz w:val="22"/>
          <w:szCs w:val="22"/>
        </w:rPr>
      </w:pPr>
      <w:r w:rsidRPr="00786071">
        <w:rPr>
          <w:b/>
          <w:bCs/>
          <w:sz w:val="22"/>
          <w:szCs w:val="22"/>
        </w:rPr>
        <w:t xml:space="preserve">4. </w:t>
      </w:r>
      <w:r w:rsidRPr="00786071">
        <w:rPr>
          <w:b/>
          <w:bCs/>
          <w:sz w:val="22"/>
          <w:szCs w:val="22"/>
        </w:rPr>
        <w:tab/>
        <w:t>KLINIČKI PODACI</w:t>
      </w:r>
    </w:p>
    <w:p w:rsidR="004166FD" w:rsidRPr="00786071" w:rsidRDefault="004166FD" w:rsidP="004166FD">
      <w:pPr>
        <w:tabs>
          <w:tab w:val="left" w:pos="540"/>
          <w:tab w:val="left" w:pos="569"/>
        </w:tabs>
        <w:jc w:val="both"/>
        <w:rPr>
          <w:bCs/>
          <w:sz w:val="22"/>
          <w:szCs w:val="22"/>
        </w:rPr>
      </w:pPr>
    </w:p>
    <w:p w:rsidR="004166FD" w:rsidRDefault="004166FD" w:rsidP="004166FD">
      <w:pPr>
        <w:tabs>
          <w:tab w:val="left" w:pos="540"/>
          <w:tab w:val="left" w:pos="569"/>
        </w:tabs>
        <w:jc w:val="both"/>
        <w:rPr>
          <w:b/>
          <w:bCs/>
          <w:sz w:val="22"/>
          <w:szCs w:val="22"/>
        </w:rPr>
      </w:pPr>
      <w:r w:rsidRPr="00786071">
        <w:rPr>
          <w:b/>
          <w:bCs/>
          <w:sz w:val="22"/>
          <w:szCs w:val="22"/>
        </w:rPr>
        <w:t xml:space="preserve">4.1. </w:t>
      </w:r>
      <w:r w:rsidRPr="00786071">
        <w:rPr>
          <w:b/>
          <w:bCs/>
          <w:sz w:val="22"/>
          <w:szCs w:val="22"/>
        </w:rPr>
        <w:tab/>
        <w:t>Terapijske indikacije</w:t>
      </w:r>
    </w:p>
    <w:p w:rsidR="004166FD" w:rsidRDefault="004166FD" w:rsidP="004166FD">
      <w:pPr>
        <w:tabs>
          <w:tab w:val="left" w:pos="540"/>
          <w:tab w:val="left" w:pos="569"/>
        </w:tabs>
        <w:jc w:val="both"/>
        <w:rPr>
          <w:b/>
          <w:bCs/>
          <w:sz w:val="22"/>
          <w:szCs w:val="22"/>
        </w:rPr>
      </w:pPr>
    </w:p>
    <w:p w:rsidR="004166FD" w:rsidRPr="00F93859" w:rsidRDefault="004166FD" w:rsidP="004166FD">
      <w:pPr>
        <w:numPr>
          <w:ilvl w:val="0"/>
          <w:numId w:val="2"/>
        </w:numPr>
        <w:jc w:val="both"/>
        <w:rPr>
          <w:color w:val="000000"/>
          <w:sz w:val="22"/>
          <w:szCs w:val="22"/>
          <w:lang w:val="hr-HR"/>
        </w:rPr>
      </w:pPr>
      <w:r w:rsidRPr="00F93859">
        <w:rPr>
          <w:color w:val="000000"/>
          <w:sz w:val="22"/>
          <w:szCs w:val="22"/>
          <w:lang w:val="hr-HR"/>
        </w:rPr>
        <w:t>Lokalni tretman akutnih upalnih bolesti sluz</w:t>
      </w:r>
      <w:r>
        <w:rPr>
          <w:color w:val="000000"/>
          <w:sz w:val="22"/>
          <w:szCs w:val="22"/>
          <w:lang w:val="hr-HR"/>
        </w:rPr>
        <w:t>okože</w:t>
      </w:r>
      <w:r w:rsidRPr="00F93859">
        <w:rPr>
          <w:color w:val="000000"/>
          <w:sz w:val="22"/>
          <w:szCs w:val="22"/>
          <w:lang w:val="hr-HR"/>
        </w:rPr>
        <w:t xml:space="preserve"> usne šupljine i ždrijela (stomatitis, gingivitis, afte).</w:t>
      </w:r>
    </w:p>
    <w:p w:rsidR="004166FD" w:rsidRPr="00F93859" w:rsidRDefault="004166FD" w:rsidP="004166FD">
      <w:pPr>
        <w:numPr>
          <w:ilvl w:val="0"/>
          <w:numId w:val="2"/>
        </w:numPr>
        <w:jc w:val="both"/>
        <w:rPr>
          <w:color w:val="000000"/>
          <w:sz w:val="22"/>
          <w:szCs w:val="22"/>
          <w:lang w:val="hr-HR"/>
        </w:rPr>
      </w:pPr>
      <w:r w:rsidRPr="00F93859">
        <w:rPr>
          <w:color w:val="000000"/>
          <w:sz w:val="22"/>
          <w:szCs w:val="22"/>
          <w:lang w:val="hr-HR"/>
        </w:rPr>
        <w:t>Pomoćni tretman kod laringitisa ili faringitisa.</w:t>
      </w:r>
    </w:p>
    <w:p w:rsidR="004166FD" w:rsidRPr="00F93859" w:rsidRDefault="004166FD" w:rsidP="004166FD">
      <w:pPr>
        <w:numPr>
          <w:ilvl w:val="0"/>
          <w:numId w:val="2"/>
        </w:numPr>
        <w:jc w:val="both"/>
        <w:rPr>
          <w:color w:val="000000"/>
          <w:sz w:val="22"/>
          <w:szCs w:val="22"/>
          <w:lang w:val="hr-HR"/>
        </w:rPr>
      </w:pPr>
      <w:r w:rsidRPr="00F93859">
        <w:rPr>
          <w:color w:val="000000"/>
          <w:sz w:val="22"/>
          <w:szCs w:val="22"/>
          <w:lang w:val="hr-HR"/>
        </w:rPr>
        <w:t>Uz preporuku ljekara, predoperativno i postoperativno kod tonzilektomije, operacije g</w:t>
      </w:r>
      <w:r>
        <w:rPr>
          <w:color w:val="000000"/>
          <w:sz w:val="22"/>
          <w:szCs w:val="22"/>
          <w:lang w:val="hr-HR"/>
        </w:rPr>
        <w:t xml:space="preserve">rkljana, povreda ili apscesa, te </w:t>
      </w:r>
      <w:r w:rsidRPr="00F93859">
        <w:rPr>
          <w:color w:val="000000"/>
          <w:sz w:val="22"/>
          <w:szCs w:val="22"/>
          <w:lang w:val="hr-HR"/>
        </w:rPr>
        <w:t>nakon ekstrakcije zuba.</w:t>
      </w:r>
    </w:p>
    <w:p w:rsidR="004166FD" w:rsidRPr="00786071" w:rsidRDefault="004166FD" w:rsidP="004166FD">
      <w:pPr>
        <w:tabs>
          <w:tab w:val="left" w:pos="540"/>
          <w:tab w:val="left" w:pos="569"/>
        </w:tabs>
        <w:jc w:val="both"/>
        <w:rPr>
          <w:bCs/>
          <w:sz w:val="22"/>
          <w:szCs w:val="22"/>
        </w:rPr>
      </w:pPr>
    </w:p>
    <w:p w:rsidR="004166FD" w:rsidRPr="00786071" w:rsidRDefault="004166FD" w:rsidP="004166FD">
      <w:pPr>
        <w:tabs>
          <w:tab w:val="left" w:pos="540"/>
          <w:tab w:val="left" w:pos="569"/>
        </w:tabs>
        <w:jc w:val="both"/>
        <w:rPr>
          <w:b/>
          <w:bCs/>
          <w:sz w:val="22"/>
          <w:szCs w:val="22"/>
        </w:rPr>
      </w:pPr>
      <w:r w:rsidRPr="00786071">
        <w:rPr>
          <w:b/>
          <w:bCs/>
          <w:sz w:val="22"/>
          <w:szCs w:val="22"/>
        </w:rPr>
        <w:t xml:space="preserve">4.2. </w:t>
      </w:r>
      <w:r w:rsidRPr="00786071">
        <w:rPr>
          <w:b/>
          <w:bCs/>
          <w:sz w:val="22"/>
          <w:szCs w:val="22"/>
        </w:rPr>
        <w:tab/>
        <w:t>Doziranje i način primjene</w:t>
      </w:r>
    </w:p>
    <w:p w:rsidR="004166FD" w:rsidRPr="00786071" w:rsidRDefault="004166FD" w:rsidP="004166FD">
      <w:pPr>
        <w:tabs>
          <w:tab w:val="left" w:pos="540"/>
          <w:tab w:val="left" w:pos="569"/>
        </w:tabs>
        <w:jc w:val="both"/>
        <w:rPr>
          <w:bCs/>
          <w:sz w:val="22"/>
          <w:szCs w:val="22"/>
        </w:rPr>
      </w:pPr>
    </w:p>
    <w:p w:rsidR="004166FD" w:rsidRPr="00F93859" w:rsidRDefault="004166FD" w:rsidP="004166FD">
      <w:pPr>
        <w:jc w:val="both"/>
        <w:rPr>
          <w:color w:val="000000"/>
          <w:sz w:val="22"/>
          <w:szCs w:val="22"/>
          <w:lang w:val="hr-HR"/>
        </w:rPr>
      </w:pPr>
      <w:r w:rsidRPr="00F93859">
        <w:rPr>
          <w:i/>
          <w:color w:val="000000"/>
          <w:sz w:val="22"/>
          <w:szCs w:val="22"/>
          <w:lang w:val="hr-HR"/>
        </w:rPr>
        <w:t>Odrasli i djeca starija od 6 godina</w:t>
      </w:r>
      <w:r w:rsidRPr="00F93859">
        <w:rPr>
          <w:color w:val="000000"/>
          <w:sz w:val="22"/>
          <w:szCs w:val="22"/>
          <w:lang w:val="hr-HR"/>
        </w:rPr>
        <w:t>:</w:t>
      </w:r>
    </w:p>
    <w:p w:rsidR="004166FD" w:rsidRPr="00F93859" w:rsidRDefault="004166FD" w:rsidP="004166FD">
      <w:pPr>
        <w:jc w:val="both"/>
        <w:rPr>
          <w:color w:val="000000"/>
          <w:sz w:val="22"/>
          <w:szCs w:val="22"/>
          <w:lang w:val="hr-HR"/>
        </w:rPr>
      </w:pPr>
      <w:r w:rsidRPr="00F93859">
        <w:rPr>
          <w:color w:val="000000"/>
          <w:sz w:val="22"/>
          <w:szCs w:val="22"/>
          <w:lang w:val="hr-HR"/>
        </w:rPr>
        <w:t xml:space="preserve">3-6 lozengi dnevno, </w:t>
      </w:r>
      <w:r w:rsidRPr="00F93859">
        <w:rPr>
          <w:sz w:val="22"/>
          <w:szCs w:val="22"/>
          <w:lang w:val="hr-HR"/>
        </w:rPr>
        <w:t>sa minimalnim razmacima od 2 h između doziranja</w:t>
      </w:r>
      <w:r>
        <w:rPr>
          <w:color w:val="000000"/>
          <w:sz w:val="22"/>
          <w:szCs w:val="22"/>
          <w:lang w:val="hr-HR"/>
        </w:rPr>
        <w:t>. Komprimovane lozenge</w:t>
      </w:r>
      <w:r w:rsidRPr="00F93859">
        <w:rPr>
          <w:color w:val="000000"/>
          <w:sz w:val="22"/>
          <w:szCs w:val="22"/>
          <w:lang w:val="hr-HR"/>
        </w:rPr>
        <w:t xml:space="preserve"> istopiti u ustima, najbolje pod jezikom.</w:t>
      </w:r>
    </w:p>
    <w:p w:rsidR="004166FD" w:rsidRDefault="004166FD" w:rsidP="004166FD">
      <w:pPr>
        <w:jc w:val="both"/>
        <w:rPr>
          <w:i/>
          <w:color w:val="000000"/>
          <w:sz w:val="22"/>
          <w:szCs w:val="22"/>
          <w:lang w:val="hr-HR"/>
        </w:rPr>
      </w:pPr>
    </w:p>
    <w:p w:rsidR="004166FD" w:rsidRPr="00F93859" w:rsidRDefault="004166FD" w:rsidP="004166FD">
      <w:pPr>
        <w:jc w:val="both"/>
        <w:rPr>
          <w:color w:val="000000"/>
          <w:sz w:val="22"/>
          <w:szCs w:val="22"/>
          <w:lang w:val="hr-HR"/>
        </w:rPr>
      </w:pPr>
      <w:r w:rsidRPr="00F93859">
        <w:rPr>
          <w:i/>
          <w:color w:val="000000"/>
          <w:sz w:val="22"/>
          <w:szCs w:val="22"/>
          <w:lang w:val="hr-HR"/>
        </w:rPr>
        <w:t>Djeca</w:t>
      </w:r>
      <w:r w:rsidRPr="00F93859">
        <w:rPr>
          <w:color w:val="000000"/>
          <w:sz w:val="22"/>
          <w:szCs w:val="22"/>
          <w:lang w:val="hr-HR"/>
        </w:rPr>
        <w:t>:</w:t>
      </w:r>
    </w:p>
    <w:p w:rsidR="004166FD" w:rsidRPr="00F93859" w:rsidRDefault="004166FD" w:rsidP="004166FD">
      <w:pPr>
        <w:jc w:val="both"/>
        <w:rPr>
          <w:color w:val="000000"/>
          <w:sz w:val="22"/>
          <w:szCs w:val="22"/>
          <w:lang w:val="hr-HR"/>
        </w:rPr>
      </w:pPr>
      <w:r>
        <w:rPr>
          <w:sz w:val="22"/>
          <w:szCs w:val="22"/>
          <w:lang w:val="hr-BA"/>
        </w:rPr>
        <w:t xml:space="preserve">Lijek </w:t>
      </w:r>
      <w:r w:rsidRPr="00F93859">
        <w:rPr>
          <w:caps/>
          <w:sz w:val="22"/>
          <w:szCs w:val="22"/>
          <w:lang w:val="hr-BA"/>
        </w:rPr>
        <w:t>LYSOBACT DUO</w:t>
      </w:r>
      <w:r w:rsidRPr="00F93859">
        <w:rPr>
          <w:color w:val="000000"/>
          <w:sz w:val="22"/>
          <w:szCs w:val="22"/>
          <w:lang w:val="hr-HR"/>
        </w:rPr>
        <w:t xml:space="preserve"> </w:t>
      </w:r>
      <w:r w:rsidRPr="00F93859">
        <w:rPr>
          <w:color w:val="000000"/>
          <w:sz w:val="22"/>
          <w:szCs w:val="22"/>
        </w:rPr>
        <w:t>nije</w:t>
      </w:r>
      <w:r w:rsidRPr="00F93859">
        <w:rPr>
          <w:color w:val="000000"/>
          <w:sz w:val="22"/>
          <w:szCs w:val="22"/>
          <w:lang w:val="hr-HR"/>
        </w:rPr>
        <w:t xml:space="preserve"> namijenjen </w:t>
      </w:r>
      <w:r w:rsidRPr="00F93859">
        <w:rPr>
          <w:color w:val="000000"/>
          <w:sz w:val="22"/>
          <w:szCs w:val="22"/>
        </w:rPr>
        <w:t>za</w:t>
      </w:r>
      <w:r w:rsidRPr="00F93859">
        <w:rPr>
          <w:color w:val="000000"/>
          <w:sz w:val="22"/>
          <w:szCs w:val="22"/>
          <w:lang w:val="hr-HR"/>
        </w:rPr>
        <w:t xml:space="preserve"> </w:t>
      </w:r>
      <w:r w:rsidRPr="00F93859">
        <w:rPr>
          <w:color w:val="000000"/>
          <w:sz w:val="22"/>
          <w:szCs w:val="22"/>
        </w:rPr>
        <w:t>primjenu</w:t>
      </w:r>
      <w:r w:rsidRPr="00F93859">
        <w:rPr>
          <w:color w:val="000000"/>
          <w:sz w:val="22"/>
          <w:szCs w:val="22"/>
          <w:lang w:val="hr-HR"/>
        </w:rPr>
        <w:t xml:space="preserve"> </w:t>
      </w:r>
      <w:r>
        <w:rPr>
          <w:color w:val="000000"/>
          <w:sz w:val="22"/>
          <w:szCs w:val="22"/>
          <w:lang w:val="hr-HR"/>
        </w:rPr>
        <w:t>kod</w:t>
      </w:r>
      <w:r w:rsidRPr="00F93859">
        <w:rPr>
          <w:color w:val="000000"/>
          <w:sz w:val="22"/>
          <w:szCs w:val="22"/>
          <w:lang w:val="hr-HR"/>
        </w:rPr>
        <w:t xml:space="preserve"> </w:t>
      </w:r>
      <w:r w:rsidRPr="00F93859">
        <w:rPr>
          <w:color w:val="000000"/>
          <w:sz w:val="22"/>
          <w:szCs w:val="22"/>
        </w:rPr>
        <w:t>djece</w:t>
      </w:r>
      <w:r w:rsidRPr="00F93859">
        <w:rPr>
          <w:color w:val="000000"/>
          <w:sz w:val="22"/>
          <w:szCs w:val="22"/>
          <w:lang w:val="hr-HR"/>
        </w:rPr>
        <w:t xml:space="preserve"> </w:t>
      </w:r>
      <w:r w:rsidRPr="00F93859">
        <w:rPr>
          <w:color w:val="000000"/>
          <w:sz w:val="22"/>
          <w:szCs w:val="22"/>
        </w:rPr>
        <w:t>mla</w:t>
      </w:r>
      <w:r w:rsidRPr="00F93859">
        <w:rPr>
          <w:color w:val="000000"/>
          <w:sz w:val="22"/>
          <w:szCs w:val="22"/>
          <w:lang w:val="hr-HR"/>
        </w:rPr>
        <w:t>đ</w:t>
      </w:r>
      <w:r w:rsidRPr="00F93859">
        <w:rPr>
          <w:color w:val="000000"/>
          <w:sz w:val="22"/>
          <w:szCs w:val="22"/>
        </w:rPr>
        <w:t>e</w:t>
      </w:r>
      <w:r w:rsidRPr="00F93859">
        <w:rPr>
          <w:color w:val="000000"/>
          <w:sz w:val="22"/>
          <w:szCs w:val="22"/>
          <w:lang w:val="hr-HR"/>
        </w:rPr>
        <w:t xml:space="preserve"> </w:t>
      </w:r>
      <w:r w:rsidRPr="00F93859">
        <w:rPr>
          <w:color w:val="000000"/>
          <w:sz w:val="22"/>
          <w:szCs w:val="22"/>
        </w:rPr>
        <w:t>od</w:t>
      </w:r>
      <w:r w:rsidRPr="00F93859">
        <w:rPr>
          <w:color w:val="000000"/>
          <w:sz w:val="22"/>
          <w:szCs w:val="22"/>
          <w:lang w:val="hr-HR"/>
        </w:rPr>
        <w:t xml:space="preserve"> 6 </w:t>
      </w:r>
      <w:r w:rsidRPr="00F93859">
        <w:rPr>
          <w:color w:val="000000"/>
          <w:sz w:val="22"/>
          <w:szCs w:val="22"/>
        </w:rPr>
        <w:t>godina</w:t>
      </w:r>
      <w:r w:rsidRPr="00F93859">
        <w:rPr>
          <w:color w:val="000000"/>
          <w:sz w:val="22"/>
          <w:szCs w:val="22"/>
          <w:lang w:val="hr-HR"/>
        </w:rPr>
        <w:t>.</w:t>
      </w:r>
    </w:p>
    <w:p w:rsidR="004166FD" w:rsidRDefault="004166FD" w:rsidP="004166FD">
      <w:pPr>
        <w:tabs>
          <w:tab w:val="left" w:pos="540"/>
          <w:tab w:val="left" w:pos="569"/>
        </w:tabs>
        <w:jc w:val="both"/>
        <w:rPr>
          <w:bCs/>
          <w:sz w:val="22"/>
          <w:szCs w:val="22"/>
          <w:u w:val="single"/>
        </w:rPr>
      </w:pPr>
    </w:p>
    <w:p w:rsidR="004166FD" w:rsidRDefault="004166FD" w:rsidP="004166FD">
      <w:pPr>
        <w:tabs>
          <w:tab w:val="left" w:pos="540"/>
          <w:tab w:val="left" w:pos="569"/>
        </w:tabs>
        <w:jc w:val="both"/>
        <w:rPr>
          <w:b/>
          <w:bCs/>
          <w:sz w:val="22"/>
          <w:szCs w:val="22"/>
        </w:rPr>
      </w:pPr>
      <w:r w:rsidRPr="00786071">
        <w:rPr>
          <w:b/>
          <w:bCs/>
          <w:sz w:val="22"/>
          <w:szCs w:val="22"/>
        </w:rPr>
        <w:t xml:space="preserve">4.3. </w:t>
      </w:r>
      <w:r w:rsidRPr="00786071">
        <w:rPr>
          <w:b/>
          <w:bCs/>
          <w:sz w:val="22"/>
          <w:szCs w:val="22"/>
        </w:rPr>
        <w:tab/>
        <w:t>Kontraindikacije</w:t>
      </w:r>
    </w:p>
    <w:p w:rsidR="004166FD" w:rsidRPr="00786071" w:rsidRDefault="004166FD" w:rsidP="004166FD">
      <w:pPr>
        <w:tabs>
          <w:tab w:val="left" w:pos="540"/>
          <w:tab w:val="left" w:pos="569"/>
        </w:tabs>
        <w:jc w:val="both"/>
        <w:rPr>
          <w:b/>
          <w:bCs/>
          <w:sz w:val="22"/>
          <w:szCs w:val="22"/>
        </w:rPr>
      </w:pPr>
    </w:p>
    <w:p w:rsidR="004166FD" w:rsidRPr="00D5761F" w:rsidRDefault="004166FD" w:rsidP="004166FD">
      <w:pPr>
        <w:pStyle w:val="ListParagraph"/>
        <w:numPr>
          <w:ilvl w:val="0"/>
          <w:numId w:val="3"/>
        </w:numPr>
        <w:jc w:val="both"/>
        <w:rPr>
          <w:sz w:val="22"/>
          <w:szCs w:val="22"/>
          <w:lang w:val="hr-HR"/>
        </w:rPr>
      </w:pPr>
      <w:r w:rsidRPr="00D5761F">
        <w:rPr>
          <w:sz w:val="22"/>
          <w:szCs w:val="22"/>
          <w:lang w:val="hr-HR"/>
        </w:rPr>
        <w:t>Preosjetljivost na lizozim hidrohlorid, cetilpiridin</w:t>
      </w:r>
      <w:r>
        <w:rPr>
          <w:sz w:val="22"/>
          <w:szCs w:val="22"/>
          <w:lang w:val="hr-HR"/>
        </w:rPr>
        <w:t>ijum</w:t>
      </w:r>
      <w:r w:rsidRPr="00D5761F">
        <w:rPr>
          <w:sz w:val="22"/>
          <w:szCs w:val="22"/>
          <w:lang w:val="hr-HR"/>
        </w:rPr>
        <w:t xml:space="preserve"> hlorid ili na bilo koju od pomoćnih supstanci</w:t>
      </w:r>
      <w:r>
        <w:rPr>
          <w:sz w:val="22"/>
          <w:szCs w:val="22"/>
          <w:lang w:val="hr-HR"/>
        </w:rPr>
        <w:t>.</w:t>
      </w:r>
    </w:p>
    <w:p w:rsidR="004166FD" w:rsidRPr="00D5761F" w:rsidRDefault="004166FD" w:rsidP="004166FD">
      <w:pPr>
        <w:pStyle w:val="ListParagraph"/>
        <w:numPr>
          <w:ilvl w:val="0"/>
          <w:numId w:val="3"/>
        </w:numPr>
        <w:jc w:val="both"/>
        <w:rPr>
          <w:sz w:val="22"/>
          <w:szCs w:val="22"/>
          <w:lang w:val="hr-HR"/>
        </w:rPr>
      </w:pPr>
      <w:r w:rsidRPr="00D5761F">
        <w:rPr>
          <w:sz w:val="22"/>
          <w:szCs w:val="22"/>
          <w:lang w:val="hr-HR"/>
        </w:rPr>
        <w:t>Preosjetljivost na bjelance jajeta</w:t>
      </w:r>
      <w:r>
        <w:rPr>
          <w:sz w:val="22"/>
          <w:szCs w:val="22"/>
          <w:lang w:val="hr-HR"/>
        </w:rPr>
        <w:t>.</w:t>
      </w:r>
    </w:p>
    <w:p w:rsidR="004166FD" w:rsidRPr="00D5761F" w:rsidRDefault="008A13DF" w:rsidP="004166FD">
      <w:pPr>
        <w:pStyle w:val="ListParagraph"/>
        <w:numPr>
          <w:ilvl w:val="0"/>
          <w:numId w:val="3"/>
        </w:numPr>
        <w:tabs>
          <w:tab w:val="left" w:pos="540"/>
          <w:tab w:val="left" w:pos="569"/>
        </w:tabs>
        <w:jc w:val="both"/>
        <w:rPr>
          <w:bCs/>
          <w:sz w:val="22"/>
          <w:szCs w:val="22"/>
        </w:rPr>
      </w:pPr>
      <w:r>
        <w:rPr>
          <w:sz w:val="22"/>
          <w:szCs w:val="22"/>
          <w:lang w:val="hr-HR"/>
        </w:rPr>
        <w:t xml:space="preserve">   </w:t>
      </w:r>
      <w:r w:rsidR="004166FD" w:rsidRPr="00D5761F">
        <w:rPr>
          <w:sz w:val="22"/>
          <w:szCs w:val="22"/>
          <w:lang w:val="hr-HR"/>
        </w:rPr>
        <w:t>Djeca mlađa od 6 godina</w:t>
      </w:r>
      <w:r w:rsidR="004166FD">
        <w:rPr>
          <w:sz w:val="22"/>
          <w:szCs w:val="22"/>
          <w:lang w:val="hr-HR"/>
        </w:rPr>
        <w:t>.</w:t>
      </w:r>
    </w:p>
    <w:p w:rsidR="004166FD" w:rsidRDefault="004166FD" w:rsidP="004166FD">
      <w:pPr>
        <w:tabs>
          <w:tab w:val="left" w:pos="540"/>
          <w:tab w:val="left" w:pos="569"/>
        </w:tabs>
        <w:jc w:val="both"/>
        <w:rPr>
          <w:b/>
          <w:bCs/>
          <w:sz w:val="22"/>
          <w:szCs w:val="22"/>
        </w:rPr>
      </w:pPr>
      <w:r w:rsidRPr="00786071">
        <w:rPr>
          <w:b/>
          <w:bCs/>
          <w:sz w:val="22"/>
          <w:szCs w:val="22"/>
        </w:rPr>
        <w:lastRenderedPageBreak/>
        <w:t xml:space="preserve">4.4. </w:t>
      </w:r>
      <w:r w:rsidRPr="00786071">
        <w:rPr>
          <w:b/>
          <w:bCs/>
          <w:sz w:val="22"/>
          <w:szCs w:val="22"/>
        </w:rPr>
        <w:tab/>
        <w:t>Posebna upozorenja i mjere opreza pri upotrebi lijeka</w:t>
      </w:r>
    </w:p>
    <w:p w:rsidR="004166FD" w:rsidRPr="00786071" w:rsidRDefault="004166FD" w:rsidP="004166FD">
      <w:pPr>
        <w:tabs>
          <w:tab w:val="left" w:pos="540"/>
          <w:tab w:val="left" w:pos="569"/>
        </w:tabs>
        <w:jc w:val="both"/>
        <w:rPr>
          <w:b/>
          <w:bCs/>
          <w:sz w:val="22"/>
          <w:szCs w:val="22"/>
        </w:rPr>
      </w:pPr>
    </w:p>
    <w:p w:rsidR="004166FD" w:rsidRPr="007E7C00" w:rsidRDefault="004166FD" w:rsidP="004166FD">
      <w:pPr>
        <w:tabs>
          <w:tab w:val="left" w:pos="284"/>
        </w:tabs>
        <w:jc w:val="both"/>
        <w:rPr>
          <w:sz w:val="22"/>
          <w:szCs w:val="22"/>
          <w:lang w:val="hr-HR"/>
        </w:rPr>
      </w:pPr>
      <w:r w:rsidRPr="007E7C00">
        <w:rPr>
          <w:sz w:val="22"/>
          <w:szCs w:val="22"/>
          <w:lang w:val="hr-HR"/>
        </w:rPr>
        <w:t>Indikacija ne opravdava primjenu dužu od 5 dana</w:t>
      </w:r>
      <w:r w:rsidRPr="007E7C00">
        <w:rPr>
          <w:color w:val="FF0000"/>
          <w:sz w:val="22"/>
          <w:szCs w:val="22"/>
          <w:lang w:val="hr-HR"/>
        </w:rPr>
        <w:t>.</w:t>
      </w:r>
      <w:r w:rsidRPr="007E7C00">
        <w:rPr>
          <w:sz w:val="22"/>
          <w:szCs w:val="22"/>
          <w:lang w:val="hr-HR"/>
        </w:rPr>
        <w:t xml:space="preserve"> </w:t>
      </w:r>
    </w:p>
    <w:p w:rsidR="004166FD" w:rsidRPr="007E7C00" w:rsidRDefault="004166FD" w:rsidP="004166FD">
      <w:pPr>
        <w:tabs>
          <w:tab w:val="left" w:pos="284"/>
        </w:tabs>
        <w:jc w:val="both"/>
        <w:rPr>
          <w:sz w:val="22"/>
          <w:szCs w:val="22"/>
          <w:lang w:val="hr-BA"/>
        </w:rPr>
      </w:pPr>
    </w:p>
    <w:p w:rsidR="004166FD" w:rsidRPr="007E7C00" w:rsidRDefault="004166FD" w:rsidP="004166FD">
      <w:pPr>
        <w:jc w:val="both"/>
        <w:rPr>
          <w:sz w:val="22"/>
          <w:szCs w:val="22"/>
          <w:lang w:val="hr-HR"/>
        </w:rPr>
      </w:pPr>
      <w:r w:rsidRPr="007E7C00">
        <w:rPr>
          <w:sz w:val="22"/>
          <w:szCs w:val="22"/>
          <w:lang w:val="hr-HR"/>
        </w:rPr>
        <w:t xml:space="preserve">Ukoliko simptomi potraju duže od 5 dana i/ili u slučaju </w:t>
      </w:r>
      <w:r w:rsidRPr="007E7C00">
        <w:rPr>
          <w:bCs/>
          <w:sz w:val="22"/>
          <w:szCs w:val="22"/>
          <w:lang w:val="hr-BA"/>
        </w:rPr>
        <w:t xml:space="preserve">pojave drugih simptoma (jaka upala grla, glavobolja, mučnina, povraćanje) ili s njima povezane visoke temperature, </w:t>
      </w:r>
      <w:r w:rsidRPr="007E7C00">
        <w:rPr>
          <w:sz w:val="22"/>
          <w:szCs w:val="22"/>
          <w:lang w:val="hr-HR"/>
        </w:rPr>
        <w:t xml:space="preserve">potrebna je konsultacija ljekara. </w:t>
      </w:r>
    </w:p>
    <w:p w:rsidR="004166FD" w:rsidRPr="007E7C00" w:rsidRDefault="004166FD" w:rsidP="004166FD">
      <w:pPr>
        <w:jc w:val="both"/>
        <w:rPr>
          <w:sz w:val="22"/>
          <w:szCs w:val="22"/>
          <w:lang w:val="hr-HR"/>
        </w:rPr>
      </w:pPr>
    </w:p>
    <w:p w:rsidR="004166FD" w:rsidRPr="007E7C00" w:rsidRDefault="004166FD" w:rsidP="004166FD">
      <w:pPr>
        <w:jc w:val="both"/>
        <w:rPr>
          <w:sz w:val="22"/>
          <w:szCs w:val="22"/>
          <w:lang w:val="hr-HR"/>
        </w:rPr>
      </w:pPr>
      <w:r w:rsidRPr="007E7C00">
        <w:rPr>
          <w:sz w:val="22"/>
          <w:szCs w:val="22"/>
          <w:lang w:val="hr-HR"/>
        </w:rPr>
        <w:t>Ovaj lijek sadrži sorbitol. Njegova primjen</w:t>
      </w:r>
      <w:r>
        <w:rPr>
          <w:sz w:val="22"/>
          <w:szCs w:val="22"/>
          <w:lang w:val="hr-HR"/>
        </w:rPr>
        <w:t>a</w:t>
      </w:r>
      <w:r w:rsidRPr="007E7C00">
        <w:rPr>
          <w:sz w:val="22"/>
          <w:szCs w:val="22"/>
          <w:lang w:val="hr-HR"/>
        </w:rPr>
        <w:t xml:space="preserve"> se ne preporučuje </w:t>
      </w:r>
      <w:r>
        <w:rPr>
          <w:sz w:val="22"/>
          <w:szCs w:val="22"/>
          <w:lang w:val="hr-HR"/>
        </w:rPr>
        <w:t>kod</w:t>
      </w:r>
      <w:r w:rsidRPr="007E7C00">
        <w:rPr>
          <w:sz w:val="22"/>
          <w:szCs w:val="22"/>
          <w:lang w:val="hr-HR"/>
        </w:rPr>
        <w:t xml:space="preserve"> pacijenata sa netolerancijom na fruktozu (rijetka nasljedna bolest).</w:t>
      </w:r>
    </w:p>
    <w:p w:rsidR="004166FD" w:rsidRPr="00786071" w:rsidRDefault="004166FD" w:rsidP="004166FD">
      <w:pPr>
        <w:tabs>
          <w:tab w:val="left" w:pos="540"/>
          <w:tab w:val="left" w:pos="569"/>
        </w:tabs>
        <w:jc w:val="both"/>
        <w:rPr>
          <w:bCs/>
          <w:sz w:val="22"/>
          <w:szCs w:val="22"/>
        </w:rPr>
      </w:pPr>
    </w:p>
    <w:p w:rsidR="004166FD" w:rsidRDefault="004166FD" w:rsidP="004166FD">
      <w:pPr>
        <w:tabs>
          <w:tab w:val="left" w:pos="540"/>
          <w:tab w:val="left" w:pos="569"/>
        </w:tabs>
        <w:jc w:val="both"/>
        <w:rPr>
          <w:b/>
          <w:bCs/>
          <w:sz w:val="22"/>
          <w:szCs w:val="22"/>
        </w:rPr>
      </w:pPr>
      <w:r w:rsidRPr="00786071">
        <w:rPr>
          <w:b/>
          <w:bCs/>
          <w:sz w:val="22"/>
          <w:szCs w:val="22"/>
        </w:rPr>
        <w:t>4.5.</w:t>
      </w:r>
      <w:r>
        <w:rPr>
          <w:b/>
          <w:bCs/>
          <w:sz w:val="22"/>
          <w:szCs w:val="22"/>
        </w:rPr>
        <w:tab/>
      </w:r>
      <w:r w:rsidRPr="00786071">
        <w:rPr>
          <w:b/>
          <w:bCs/>
          <w:sz w:val="22"/>
          <w:szCs w:val="22"/>
        </w:rPr>
        <w:t>Interakcije sa drugim ljekovima i druge vrste interakcija</w:t>
      </w:r>
    </w:p>
    <w:p w:rsidR="004166FD" w:rsidRPr="00786071" w:rsidRDefault="004166FD" w:rsidP="004166FD">
      <w:pPr>
        <w:tabs>
          <w:tab w:val="left" w:pos="540"/>
          <w:tab w:val="left" w:pos="569"/>
        </w:tabs>
        <w:jc w:val="both"/>
        <w:rPr>
          <w:b/>
          <w:bCs/>
          <w:sz w:val="22"/>
          <w:szCs w:val="22"/>
        </w:rPr>
      </w:pPr>
    </w:p>
    <w:p w:rsidR="004166FD" w:rsidRPr="00506FF4" w:rsidRDefault="004166FD" w:rsidP="004166FD">
      <w:pPr>
        <w:jc w:val="both"/>
        <w:rPr>
          <w:color w:val="000000"/>
          <w:sz w:val="22"/>
          <w:szCs w:val="22"/>
          <w:lang w:val="hr-HR"/>
        </w:rPr>
      </w:pPr>
      <w:r w:rsidRPr="00506FF4">
        <w:rPr>
          <w:color w:val="000000"/>
          <w:sz w:val="22"/>
          <w:szCs w:val="22"/>
          <w:lang w:val="hr-HR"/>
        </w:rPr>
        <w:t>Ne primjenjivati sa drugim lokalnim antisepticima.</w:t>
      </w:r>
    </w:p>
    <w:p w:rsidR="004166FD" w:rsidRPr="00786071" w:rsidRDefault="004166FD" w:rsidP="004166FD">
      <w:pPr>
        <w:tabs>
          <w:tab w:val="left" w:pos="540"/>
          <w:tab w:val="left" w:pos="569"/>
        </w:tabs>
        <w:jc w:val="both"/>
        <w:rPr>
          <w:bCs/>
          <w:sz w:val="22"/>
          <w:szCs w:val="22"/>
        </w:rPr>
      </w:pPr>
    </w:p>
    <w:p w:rsidR="004166FD" w:rsidRDefault="004166FD" w:rsidP="004166FD">
      <w:pPr>
        <w:tabs>
          <w:tab w:val="left" w:pos="540"/>
          <w:tab w:val="left" w:pos="569"/>
        </w:tabs>
        <w:jc w:val="both"/>
        <w:rPr>
          <w:b/>
          <w:sz w:val="22"/>
          <w:szCs w:val="22"/>
          <w:lang w:val="sr-Latn-CS"/>
        </w:rPr>
      </w:pPr>
      <w:r w:rsidRPr="00786071">
        <w:rPr>
          <w:b/>
          <w:bCs/>
          <w:sz w:val="22"/>
          <w:szCs w:val="22"/>
        </w:rPr>
        <w:t xml:space="preserve">4.6. </w:t>
      </w:r>
      <w:r w:rsidRPr="00786071">
        <w:rPr>
          <w:b/>
          <w:bCs/>
          <w:sz w:val="22"/>
          <w:szCs w:val="22"/>
        </w:rPr>
        <w:tab/>
      </w:r>
      <w:r>
        <w:rPr>
          <w:b/>
          <w:sz w:val="22"/>
          <w:szCs w:val="22"/>
          <w:lang w:val="sr-Latn-CS"/>
        </w:rPr>
        <w:t>Plodnost, trudnoća i dojenje</w:t>
      </w:r>
    </w:p>
    <w:p w:rsidR="004166FD" w:rsidRDefault="004166FD" w:rsidP="004166FD">
      <w:pPr>
        <w:tabs>
          <w:tab w:val="left" w:pos="540"/>
          <w:tab w:val="left" w:pos="569"/>
        </w:tabs>
        <w:jc w:val="both"/>
        <w:rPr>
          <w:sz w:val="22"/>
          <w:szCs w:val="22"/>
          <w:u w:val="single"/>
        </w:rPr>
      </w:pPr>
    </w:p>
    <w:p w:rsidR="004166FD" w:rsidRDefault="004166FD" w:rsidP="004166FD">
      <w:pPr>
        <w:tabs>
          <w:tab w:val="left" w:pos="540"/>
          <w:tab w:val="left" w:pos="569"/>
        </w:tabs>
        <w:jc w:val="both"/>
        <w:rPr>
          <w:sz w:val="22"/>
          <w:szCs w:val="22"/>
          <w:u w:val="single"/>
        </w:rPr>
      </w:pPr>
      <w:r w:rsidRPr="007A3ECB">
        <w:rPr>
          <w:sz w:val="22"/>
          <w:szCs w:val="22"/>
          <w:u w:val="single"/>
        </w:rPr>
        <w:t>Trudnoća</w:t>
      </w:r>
    </w:p>
    <w:p w:rsidR="004166FD" w:rsidRPr="00506FF4" w:rsidRDefault="004166FD" w:rsidP="004166FD">
      <w:pPr>
        <w:jc w:val="both"/>
        <w:rPr>
          <w:sz w:val="22"/>
          <w:szCs w:val="22"/>
          <w:lang w:val="hr-HR"/>
        </w:rPr>
      </w:pPr>
      <w:r w:rsidRPr="00506FF4">
        <w:rPr>
          <w:sz w:val="22"/>
          <w:szCs w:val="22"/>
          <w:lang w:val="hr-BA"/>
        </w:rPr>
        <w:t>Nema dovoljno animalnih studija koje bi upućivale na teratogeno dejstvo lizozima ili cetilpiridin</w:t>
      </w:r>
      <w:r>
        <w:rPr>
          <w:sz w:val="22"/>
          <w:szCs w:val="22"/>
          <w:lang w:val="hr-BA"/>
        </w:rPr>
        <w:t>ijuma</w:t>
      </w:r>
      <w:r w:rsidRPr="00506FF4">
        <w:rPr>
          <w:sz w:val="22"/>
          <w:szCs w:val="22"/>
          <w:lang w:val="hr-BA"/>
        </w:rPr>
        <w:t>.</w:t>
      </w:r>
    </w:p>
    <w:p w:rsidR="004166FD" w:rsidRPr="00506FF4" w:rsidRDefault="004166FD" w:rsidP="004166FD">
      <w:pPr>
        <w:jc w:val="both"/>
        <w:rPr>
          <w:sz w:val="22"/>
          <w:szCs w:val="22"/>
          <w:lang w:val="hr-BA"/>
        </w:rPr>
      </w:pPr>
      <w:r w:rsidRPr="00506FF4">
        <w:rPr>
          <w:sz w:val="22"/>
          <w:szCs w:val="22"/>
          <w:lang w:val="hr-BA"/>
        </w:rPr>
        <w:t>Kliničko iskustvo vezano za efekte lijeka na plod je nedovoljno.</w:t>
      </w:r>
    </w:p>
    <w:p w:rsidR="004166FD" w:rsidRPr="00506FF4" w:rsidRDefault="004166FD" w:rsidP="004166FD">
      <w:pPr>
        <w:jc w:val="both"/>
        <w:rPr>
          <w:sz w:val="22"/>
          <w:szCs w:val="22"/>
          <w:lang w:val="hr-BA"/>
        </w:rPr>
      </w:pPr>
    </w:p>
    <w:p w:rsidR="004166FD" w:rsidRPr="00506FF4" w:rsidRDefault="004166FD" w:rsidP="004166FD">
      <w:pPr>
        <w:jc w:val="both"/>
        <w:rPr>
          <w:sz w:val="22"/>
          <w:szCs w:val="22"/>
          <w:lang w:val="hr-BA"/>
        </w:rPr>
      </w:pPr>
      <w:r w:rsidRPr="00506FF4">
        <w:rPr>
          <w:sz w:val="22"/>
          <w:szCs w:val="22"/>
          <w:lang w:val="hr-BA"/>
        </w:rPr>
        <w:t>Stoga se kao mjera opreza ne preporučuje primjena lijeka tokom trudnoće.</w:t>
      </w:r>
    </w:p>
    <w:p w:rsidR="004166FD" w:rsidRPr="007A3ECB" w:rsidRDefault="004166FD" w:rsidP="004166FD">
      <w:pPr>
        <w:tabs>
          <w:tab w:val="left" w:pos="540"/>
          <w:tab w:val="left" w:pos="569"/>
        </w:tabs>
        <w:jc w:val="both"/>
        <w:rPr>
          <w:sz w:val="22"/>
          <w:szCs w:val="22"/>
          <w:u w:val="single"/>
        </w:rPr>
      </w:pPr>
    </w:p>
    <w:p w:rsidR="004166FD" w:rsidRDefault="004166FD" w:rsidP="004166FD">
      <w:pPr>
        <w:tabs>
          <w:tab w:val="left" w:pos="540"/>
          <w:tab w:val="left" w:pos="569"/>
        </w:tabs>
        <w:jc w:val="both"/>
        <w:rPr>
          <w:sz w:val="22"/>
          <w:szCs w:val="22"/>
          <w:u w:val="single"/>
        </w:rPr>
      </w:pPr>
      <w:r w:rsidRPr="007A3ECB">
        <w:rPr>
          <w:sz w:val="22"/>
          <w:szCs w:val="22"/>
          <w:u w:val="single"/>
        </w:rPr>
        <w:t xml:space="preserve">Dojenje </w:t>
      </w:r>
    </w:p>
    <w:p w:rsidR="004166FD" w:rsidRPr="00506FF4" w:rsidRDefault="004166FD" w:rsidP="004166FD">
      <w:pPr>
        <w:jc w:val="both"/>
        <w:rPr>
          <w:sz w:val="22"/>
          <w:szCs w:val="22"/>
          <w:lang w:val="hr-BA"/>
        </w:rPr>
      </w:pPr>
      <w:r w:rsidRPr="00506FF4">
        <w:rPr>
          <w:sz w:val="22"/>
          <w:szCs w:val="22"/>
          <w:lang w:val="hr-BA"/>
        </w:rPr>
        <w:t xml:space="preserve">S obzirom </w:t>
      </w:r>
      <w:r>
        <w:rPr>
          <w:sz w:val="22"/>
          <w:szCs w:val="22"/>
          <w:lang w:val="hr-BA"/>
        </w:rPr>
        <w:t xml:space="preserve">na to </w:t>
      </w:r>
      <w:r w:rsidRPr="00506FF4">
        <w:rPr>
          <w:sz w:val="22"/>
          <w:szCs w:val="22"/>
          <w:lang w:val="hr-BA"/>
        </w:rPr>
        <w:t>da nema dovoljno podataka o izlučivanju u majčino mlijeko, ne preporučuje se primjena lijeka u periodu dojenja.</w:t>
      </w:r>
    </w:p>
    <w:p w:rsidR="004166FD" w:rsidRDefault="004166FD" w:rsidP="004166FD">
      <w:pPr>
        <w:tabs>
          <w:tab w:val="left" w:pos="540"/>
          <w:tab w:val="left" w:pos="569"/>
        </w:tabs>
        <w:ind w:left="540" w:hanging="540"/>
        <w:jc w:val="both"/>
        <w:rPr>
          <w:b/>
          <w:bCs/>
          <w:sz w:val="22"/>
          <w:szCs w:val="22"/>
        </w:rPr>
      </w:pPr>
    </w:p>
    <w:p w:rsidR="004166FD" w:rsidRDefault="004166FD" w:rsidP="004166FD">
      <w:pPr>
        <w:tabs>
          <w:tab w:val="left" w:pos="540"/>
          <w:tab w:val="left" w:pos="569"/>
        </w:tabs>
        <w:ind w:left="540" w:hanging="540"/>
        <w:jc w:val="both"/>
        <w:rPr>
          <w:b/>
          <w:bCs/>
          <w:sz w:val="22"/>
          <w:szCs w:val="22"/>
        </w:rPr>
      </w:pPr>
      <w:r w:rsidRPr="00786071">
        <w:rPr>
          <w:b/>
          <w:bCs/>
          <w:sz w:val="22"/>
          <w:szCs w:val="22"/>
        </w:rPr>
        <w:t xml:space="preserve">4.7. </w:t>
      </w:r>
      <w:r w:rsidRPr="00786071">
        <w:rPr>
          <w:b/>
          <w:bCs/>
          <w:sz w:val="22"/>
          <w:szCs w:val="22"/>
        </w:rPr>
        <w:tab/>
        <w:t xml:space="preserve">Uticaj na </w:t>
      </w:r>
      <w:r>
        <w:rPr>
          <w:b/>
          <w:bCs/>
          <w:sz w:val="22"/>
          <w:szCs w:val="22"/>
        </w:rPr>
        <w:t xml:space="preserve">sposobnost </w:t>
      </w:r>
      <w:r w:rsidRPr="00786071">
        <w:rPr>
          <w:b/>
          <w:bCs/>
          <w:sz w:val="22"/>
          <w:szCs w:val="22"/>
        </w:rPr>
        <w:t>upravljanja vozilima i rukovanj</w:t>
      </w:r>
      <w:r>
        <w:rPr>
          <w:b/>
          <w:bCs/>
          <w:sz w:val="22"/>
          <w:szCs w:val="22"/>
        </w:rPr>
        <w:t>e</w:t>
      </w:r>
      <w:r w:rsidRPr="00786071">
        <w:rPr>
          <w:b/>
          <w:bCs/>
          <w:sz w:val="22"/>
          <w:szCs w:val="22"/>
        </w:rPr>
        <w:t xml:space="preserve"> mašinama</w:t>
      </w:r>
    </w:p>
    <w:p w:rsidR="004166FD" w:rsidRPr="00786071" w:rsidRDefault="004166FD" w:rsidP="004166FD">
      <w:pPr>
        <w:tabs>
          <w:tab w:val="left" w:pos="540"/>
          <w:tab w:val="left" w:pos="569"/>
        </w:tabs>
        <w:ind w:left="540" w:hanging="540"/>
        <w:jc w:val="both"/>
        <w:rPr>
          <w:b/>
          <w:bCs/>
          <w:sz w:val="22"/>
          <w:szCs w:val="22"/>
        </w:rPr>
      </w:pPr>
    </w:p>
    <w:p w:rsidR="004166FD" w:rsidRPr="00480C67" w:rsidRDefault="004166FD" w:rsidP="004166FD">
      <w:pPr>
        <w:jc w:val="both"/>
        <w:rPr>
          <w:sz w:val="22"/>
          <w:szCs w:val="22"/>
          <w:lang w:val="hr-HR"/>
        </w:rPr>
      </w:pPr>
      <w:r w:rsidRPr="00480C67">
        <w:rPr>
          <w:sz w:val="22"/>
          <w:szCs w:val="22"/>
          <w:lang w:val="hr-HR"/>
        </w:rPr>
        <w:t>Ovaj lijek nema uticaj na sposobnost upravljanja vozilima i r</w:t>
      </w:r>
      <w:r>
        <w:rPr>
          <w:sz w:val="22"/>
          <w:szCs w:val="22"/>
          <w:lang w:val="hr-HR"/>
        </w:rPr>
        <w:t>ukovanj</w:t>
      </w:r>
      <w:r w:rsidRPr="00480C67">
        <w:rPr>
          <w:sz w:val="22"/>
          <w:szCs w:val="22"/>
          <w:lang w:val="hr-HR"/>
        </w:rPr>
        <w:t>a mašinama.</w:t>
      </w:r>
    </w:p>
    <w:p w:rsidR="004166FD" w:rsidRPr="00786071" w:rsidRDefault="004166FD" w:rsidP="004166FD">
      <w:pPr>
        <w:tabs>
          <w:tab w:val="left" w:pos="540"/>
          <w:tab w:val="left" w:pos="569"/>
        </w:tabs>
        <w:jc w:val="both"/>
        <w:rPr>
          <w:b/>
          <w:bCs/>
          <w:sz w:val="22"/>
          <w:szCs w:val="22"/>
        </w:rPr>
      </w:pPr>
    </w:p>
    <w:p w:rsidR="004166FD" w:rsidRDefault="004166FD" w:rsidP="004166FD">
      <w:pPr>
        <w:tabs>
          <w:tab w:val="left" w:pos="540"/>
          <w:tab w:val="left" w:pos="569"/>
        </w:tabs>
        <w:rPr>
          <w:b/>
          <w:bCs/>
          <w:sz w:val="22"/>
          <w:szCs w:val="22"/>
        </w:rPr>
      </w:pPr>
      <w:r w:rsidRPr="00786071">
        <w:rPr>
          <w:b/>
          <w:bCs/>
          <w:sz w:val="22"/>
          <w:szCs w:val="22"/>
        </w:rPr>
        <w:t xml:space="preserve">4.8. </w:t>
      </w:r>
      <w:r w:rsidRPr="00786071">
        <w:rPr>
          <w:b/>
          <w:bCs/>
          <w:sz w:val="22"/>
          <w:szCs w:val="22"/>
        </w:rPr>
        <w:tab/>
        <w:t>Neželjena dejstva</w:t>
      </w:r>
    </w:p>
    <w:p w:rsidR="004166FD" w:rsidRPr="00786071" w:rsidRDefault="004166FD" w:rsidP="004166FD">
      <w:pPr>
        <w:tabs>
          <w:tab w:val="left" w:pos="540"/>
          <w:tab w:val="left" w:pos="569"/>
        </w:tabs>
        <w:rPr>
          <w:b/>
          <w:bCs/>
          <w:sz w:val="22"/>
          <w:szCs w:val="22"/>
        </w:rPr>
      </w:pPr>
    </w:p>
    <w:p w:rsidR="004166FD" w:rsidRPr="00480C67" w:rsidRDefault="004166FD" w:rsidP="004166FD">
      <w:pPr>
        <w:numPr>
          <w:ilvl w:val="0"/>
          <w:numId w:val="4"/>
        </w:numPr>
        <w:autoSpaceDE w:val="0"/>
        <w:autoSpaceDN w:val="0"/>
        <w:adjustRightInd w:val="0"/>
        <w:jc w:val="both"/>
        <w:rPr>
          <w:bCs/>
          <w:color w:val="000000"/>
          <w:sz w:val="22"/>
          <w:szCs w:val="22"/>
          <w:lang w:val="hr-HR"/>
        </w:rPr>
      </w:pPr>
      <w:r w:rsidRPr="00480C67">
        <w:rPr>
          <w:bCs/>
          <w:color w:val="000000"/>
          <w:sz w:val="22"/>
          <w:szCs w:val="22"/>
          <w:lang w:val="hr-HR"/>
        </w:rPr>
        <w:t>Lokalne reakcije preosjetljivosti.</w:t>
      </w:r>
    </w:p>
    <w:p w:rsidR="004166FD" w:rsidRDefault="004166FD" w:rsidP="004166FD">
      <w:pPr>
        <w:numPr>
          <w:ilvl w:val="0"/>
          <w:numId w:val="4"/>
        </w:numPr>
        <w:autoSpaceDE w:val="0"/>
        <w:autoSpaceDN w:val="0"/>
        <w:adjustRightInd w:val="0"/>
        <w:jc w:val="both"/>
        <w:rPr>
          <w:bCs/>
          <w:color w:val="000000"/>
          <w:sz w:val="22"/>
          <w:szCs w:val="22"/>
          <w:lang w:val="hr-HR"/>
        </w:rPr>
      </w:pPr>
      <w:r w:rsidRPr="00480C67">
        <w:rPr>
          <w:bCs/>
          <w:color w:val="000000"/>
          <w:sz w:val="22"/>
          <w:szCs w:val="22"/>
          <w:lang w:val="hr-HR"/>
        </w:rPr>
        <w:t>V</w:t>
      </w:r>
      <w:r>
        <w:rPr>
          <w:bCs/>
          <w:color w:val="000000"/>
          <w:sz w:val="22"/>
          <w:szCs w:val="22"/>
          <w:lang w:val="hr-HR"/>
        </w:rPr>
        <w:t>e</w:t>
      </w:r>
      <w:r w:rsidRPr="00480C67">
        <w:rPr>
          <w:bCs/>
          <w:color w:val="000000"/>
          <w:sz w:val="22"/>
          <w:szCs w:val="22"/>
          <w:lang w:val="hr-HR"/>
        </w:rPr>
        <w:t>o</w:t>
      </w:r>
      <w:r>
        <w:rPr>
          <w:bCs/>
          <w:color w:val="000000"/>
          <w:sz w:val="22"/>
          <w:szCs w:val="22"/>
          <w:lang w:val="hr-HR"/>
        </w:rPr>
        <w:t>ma</w:t>
      </w:r>
      <w:r w:rsidRPr="00480C67">
        <w:rPr>
          <w:bCs/>
          <w:color w:val="000000"/>
          <w:sz w:val="22"/>
          <w:szCs w:val="22"/>
          <w:lang w:val="hr-HR"/>
        </w:rPr>
        <w:t xml:space="preserve"> rijetko, sistemske reakcije preosjetljivosti, kao što su: anafilaktički šok, anafilaktička reakcija, Kvinkeov edem.</w:t>
      </w:r>
    </w:p>
    <w:p w:rsidR="004166FD" w:rsidRPr="00480C67" w:rsidRDefault="004166FD" w:rsidP="004166FD">
      <w:pPr>
        <w:autoSpaceDE w:val="0"/>
        <w:autoSpaceDN w:val="0"/>
        <w:adjustRightInd w:val="0"/>
        <w:ind w:left="720"/>
        <w:jc w:val="both"/>
        <w:rPr>
          <w:bCs/>
          <w:color w:val="000000"/>
          <w:sz w:val="22"/>
          <w:szCs w:val="22"/>
          <w:lang w:val="hr-HR"/>
        </w:rPr>
      </w:pPr>
    </w:p>
    <w:p w:rsidR="004166FD" w:rsidRPr="00786071" w:rsidRDefault="004166FD" w:rsidP="004166FD">
      <w:pPr>
        <w:spacing w:after="200" w:line="276" w:lineRule="auto"/>
        <w:rPr>
          <w:rFonts w:eastAsia="Calibri"/>
          <w:sz w:val="22"/>
          <w:szCs w:val="22"/>
          <w:u w:val="single"/>
        </w:rPr>
      </w:pPr>
      <w:r w:rsidRPr="00786071">
        <w:rPr>
          <w:rFonts w:eastAsia="Calibri"/>
          <w:sz w:val="22"/>
          <w:szCs w:val="22"/>
          <w:u w:val="single"/>
        </w:rPr>
        <w:t>Prijavljivanje sumnji na neželjena dejstva</w:t>
      </w:r>
    </w:p>
    <w:p w:rsidR="004166FD" w:rsidRPr="00786071" w:rsidRDefault="004166FD" w:rsidP="004166FD">
      <w:pPr>
        <w:spacing w:after="200"/>
        <w:jc w:val="both"/>
        <w:rPr>
          <w:rFonts w:eastAsia="Calibri"/>
          <w:sz w:val="22"/>
          <w:szCs w:val="22"/>
        </w:rPr>
      </w:pPr>
      <w:r w:rsidRPr="00786071">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4166FD" w:rsidRPr="00786071" w:rsidRDefault="004166FD" w:rsidP="004166FD">
      <w:pPr>
        <w:pStyle w:val="NoSpacing"/>
        <w:jc w:val="both"/>
        <w:rPr>
          <w:rFonts w:eastAsia="Calibri"/>
          <w:sz w:val="22"/>
          <w:szCs w:val="22"/>
        </w:rPr>
      </w:pPr>
      <w:r w:rsidRPr="00786071">
        <w:rPr>
          <w:rFonts w:eastAsia="Calibri"/>
          <w:sz w:val="22"/>
          <w:szCs w:val="22"/>
        </w:rPr>
        <w:t>Agencija za ljekove i medicinska sredstva Crne Gore</w:t>
      </w:r>
    </w:p>
    <w:p w:rsidR="004166FD" w:rsidRPr="00786071" w:rsidRDefault="004166FD" w:rsidP="004166FD">
      <w:pPr>
        <w:pStyle w:val="NoSpacing"/>
        <w:jc w:val="both"/>
        <w:rPr>
          <w:rFonts w:eastAsia="Calibri"/>
          <w:sz w:val="22"/>
          <w:szCs w:val="22"/>
        </w:rPr>
      </w:pPr>
      <w:r w:rsidRPr="00786071">
        <w:rPr>
          <w:rFonts w:eastAsia="Calibri"/>
          <w:sz w:val="22"/>
          <w:szCs w:val="22"/>
        </w:rPr>
        <w:t>Odjeljenje za farmakovigilancu</w:t>
      </w:r>
    </w:p>
    <w:p w:rsidR="004166FD" w:rsidRDefault="004166FD" w:rsidP="004166FD">
      <w:pPr>
        <w:pStyle w:val="NoSpacing"/>
        <w:jc w:val="both"/>
        <w:rPr>
          <w:rFonts w:eastAsia="Calibri"/>
          <w:sz w:val="22"/>
          <w:szCs w:val="22"/>
        </w:rPr>
      </w:pPr>
      <w:r w:rsidRPr="00786071">
        <w:rPr>
          <w:rFonts w:eastAsia="Calibri"/>
          <w:sz w:val="22"/>
          <w:szCs w:val="22"/>
        </w:rPr>
        <w:t>Bulevar Ivana Crnojevića 64a, 81000 Podgorica</w:t>
      </w:r>
    </w:p>
    <w:p w:rsidR="008A13DF" w:rsidRPr="00786071" w:rsidRDefault="008A13DF" w:rsidP="004166FD">
      <w:pPr>
        <w:pStyle w:val="NoSpacing"/>
        <w:jc w:val="both"/>
        <w:rPr>
          <w:rFonts w:eastAsia="Calibri"/>
          <w:sz w:val="22"/>
          <w:szCs w:val="22"/>
        </w:rPr>
      </w:pPr>
    </w:p>
    <w:p w:rsidR="004166FD" w:rsidRPr="00786071" w:rsidRDefault="004166FD" w:rsidP="004166FD">
      <w:pPr>
        <w:pStyle w:val="NoSpacing"/>
        <w:rPr>
          <w:rFonts w:eastAsia="Calibri"/>
          <w:sz w:val="22"/>
          <w:szCs w:val="22"/>
        </w:rPr>
      </w:pPr>
    </w:p>
    <w:p w:rsidR="004166FD" w:rsidRPr="00786071" w:rsidRDefault="004166FD" w:rsidP="004166FD">
      <w:pPr>
        <w:pStyle w:val="NoSpacing"/>
        <w:jc w:val="both"/>
        <w:rPr>
          <w:rFonts w:eastAsia="Calibri"/>
          <w:sz w:val="22"/>
          <w:szCs w:val="22"/>
        </w:rPr>
      </w:pPr>
      <w:r w:rsidRPr="00786071">
        <w:rPr>
          <w:rFonts w:eastAsia="Calibri"/>
          <w:sz w:val="22"/>
          <w:szCs w:val="22"/>
        </w:rPr>
        <w:lastRenderedPageBreak/>
        <w:t>tel: +382 (0) 20 310 280</w:t>
      </w:r>
    </w:p>
    <w:p w:rsidR="004166FD" w:rsidRPr="00786071" w:rsidRDefault="004166FD" w:rsidP="004166FD">
      <w:pPr>
        <w:pStyle w:val="NoSpacing"/>
        <w:jc w:val="both"/>
        <w:rPr>
          <w:rFonts w:eastAsia="Calibri"/>
          <w:sz w:val="22"/>
          <w:szCs w:val="22"/>
        </w:rPr>
      </w:pPr>
      <w:r w:rsidRPr="00786071">
        <w:rPr>
          <w:rFonts w:eastAsia="Calibri"/>
          <w:sz w:val="22"/>
          <w:szCs w:val="22"/>
        </w:rPr>
        <w:t>fax: +382 (0) 20 310 581</w:t>
      </w:r>
    </w:p>
    <w:p w:rsidR="004166FD" w:rsidRPr="00786071" w:rsidRDefault="005E1F97" w:rsidP="004166FD">
      <w:pPr>
        <w:pStyle w:val="NoSpacing"/>
        <w:jc w:val="both"/>
        <w:rPr>
          <w:rFonts w:eastAsia="Calibri"/>
          <w:sz w:val="22"/>
          <w:szCs w:val="22"/>
        </w:rPr>
      </w:pPr>
      <w:hyperlink r:id="rId8" w:history="1">
        <w:r w:rsidR="004166FD" w:rsidRPr="00786071">
          <w:rPr>
            <w:rFonts w:eastAsia="Calibri"/>
            <w:color w:val="0000FF"/>
            <w:sz w:val="22"/>
            <w:szCs w:val="22"/>
            <w:u w:val="single"/>
          </w:rPr>
          <w:t>www.calims.me</w:t>
        </w:r>
      </w:hyperlink>
    </w:p>
    <w:p w:rsidR="004166FD" w:rsidRPr="00786071" w:rsidRDefault="005E1F97" w:rsidP="004166FD">
      <w:pPr>
        <w:pStyle w:val="NoSpacing"/>
        <w:jc w:val="both"/>
        <w:rPr>
          <w:rFonts w:eastAsia="Calibri"/>
          <w:color w:val="0000FF"/>
          <w:sz w:val="22"/>
          <w:szCs w:val="22"/>
          <w:u w:val="single"/>
        </w:rPr>
      </w:pPr>
      <w:hyperlink r:id="rId9" w:history="1">
        <w:r w:rsidR="004166FD" w:rsidRPr="00786071">
          <w:rPr>
            <w:rFonts w:eastAsia="Calibri"/>
            <w:color w:val="0000FF"/>
            <w:sz w:val="22"/>
            <w:szCs w:val="22"/>
            <w:u w:val="single"/>
          </w:rPr>
          <w:t>nezeljenadejstva@calims.me</w:t>
        </w:r>
      </w:hyperlink>
    </w:p>
    <w:p w:rsidR="004166FD" w:rsidRPr="00786071" w:rsidRDefault="004166FD" w:rsidP="004166FD">
      <w:pPr>
        <w:pStyle w:val="NoSpacing"/>
        <w:jc w:val="both"/>
        <w:rPr>
          <w:rFonts w:eastAsia="Calibri"/>
          <w:sz w:val="22"/>
          <w:szCs w:val="22"/>
        </w:rPr>
      </w:pPr>
      <w:r w:rsidRPr="00786071">
        <w:rPr>
          <w:rFonts w:eastAsia="Calibri"/>
          <w:sz w:val="22"/>
          <w:szCs w:val="22"/>
        </w:rPr>
        <w:t>putem IS zdravstvene zaštite</w:t>
      </w:r>
    </w:p>
    <w:p w:rsidR="004166FD" w:rsidRPr="00786071" w:rsidRDefault="004166FD" w:rsidP="004166FD">
      <w:pPr>
        <w:tabs>
          <w:tab w:val="left" w:pos="540"/>
          <w:tab w:val="left" w:pos="569"/>
        </w:tabs>
        <w:rPr>
          <w:b/>
          <w:bCs/>
          <w:sz w:val="22"/>
          <w:szCs w:val="22"/>
        </w:rPr>
      </w:pPr>
    </w:p>
    <w:p w:rsidR="004166FD" w:rsidRDefault="004166FD" w:rsidP="004166FD">
      <w:pPr>
        <w:tabs>
          <w:tab w:val="left" w:pos="540"/>
          <w:tab w:val="left" w:pos="569"/>
        </w:tabs>
        <w:jc w:val="both"/>
        <w:rPr>
          <w:b/>
          <w:bCs/>
          <w:sz w:val="22"/>
          <w:szCs w:val="22"/>
        </w:rPr>
      </w:pPr>
      <w:r w:rsidRPr="00786071">
        <w:rPr>
          <w:b/>
          <w:bCs/>
          <w:sz w:val="22"/>
          <w:szCs w:val="22"/>
        </w:rPr>
        <w:t xml:space="preserve">4.9. </w:t>
      </w:r>
      <w:r w:rsidRPr="00786071">
        <w:rPr>
          <w:b/>
          <w:bCs/>
          <w:sz w:val="22"/>
          <w:szCs w:val="22"/>
        </w:rPr>
        <w:tab/>
        <w:t xml:space="preserve">Predoziranje </w:t>
      </w:r>
    </w:p>
    <w:p w:rsidR="004166FD" w:rsidRPr="00786071" w:rsidRDefault="004166FD" w:rsidP="004166FD">
      <w:pPr>
        <w:tabs>
          <w:tab w:val="left" w:pos="540"/>
          <w:tab w:val="left" w:pos="569"/>
        </w:tabs>
        <w:jc w:val="both"/>
        <w:rPr>
          <w:b/>
          <w:bCs/>
          <w:sz w:val="22"/>
          <w:szCs w:val="22"/>
        </w:rPr>
      </w:pPr>
    </w:p>
    <w:p w:rsidR="004166FD" w:rsidRPr="00480C67" w:rsidRDefault="004166FD" w:rsidP="004166FD">
      <w:pPr>
        <w:jc w:val="both"/>
        <w:rPr>
          <w:sz w:val="22"/>
          <w:szCs w:val="22"/>
          <w:lang w:val="hr-HR"/>
        </w:rPr>
      </w:pPr>
      <w:r w:rsidRPr="00480C67">
        <w:rPr>
          <w:sz w:val="22"/>
          <w:szCs w:val="22"/>
          <w:lang w:val="hr-HR"/>
        </w:rPr>
        <w:t>Podaci ni</w:t>
      </w:r>
      <w:r>
        <w:rPr>
          <w:sz w:val="22"/>
          <w:szCs w:val="22"/>
          <w:lang w:val="hr-HR"/>
        </w:rPr>
        <w:t>je</w:t>
      </w:r>
      <w:r w:rsidRPr="00480C67">
        <w:rPr>
          <w:sz w:val="22"/>
          <w:szCs w:val="22"/>
          <w:lang w:val="hr-HR"/>
        </w:rPr>
        <w:t>su dostupni.</w:t>
      </w:r>
    </w:p>
    <w:p w:rsidR="004166FD" w:rsidRDefault="004166FD" w:rsidP="004166FD">
      <w:pPr>
        <w:tabs>
          <w:tab w:val="left" w:pos="540"/>
          <w:tab w:val="left" w:pos="569"/>
        </w:tabs>
        <w:jc w:val="both"/>
        <w:rPr>
          <w:b/>
          <w:bCs/>
          <w:sz w:val="22"/>
          <w:szCs w:val="22"/>
        </w:rPr>
      </w:pPr>
    </w:p>
    <w:p w:rsidR="004166FD" w:rsidRPr="00786071" w:rsidRDefault="004166FD" w:rsidP="004166FD">
      <w:pPr>
        <w:tabs>
          <w:tab w:val="left" w:pos="540"/>
          <w:tab w:val="left" w:pos="569"/>
        </w:tabs>
        <w:jc w:val="both"/>
        <w:rPr>
          <w:b/>
          <w:bCs/>
          <w:sz w:val="22"/>
          <w:szCs w:val="22"/>
        </w:rPr>
      </w:pPr>
      <w:r w:rsidRPr="00786071">
        <w:rPr>
          <w:b/>
          <w:bCs/>
          <w:sz w:val="22"/>
          <w:szCs w:val="22"/>
        </w:rPr>
        <w:t xml:space="preserve">5. </w:t>
      </w:r>
      <w:r w:rsidRPr="00786071">
        <w:rPr>
          <w:b/>
          <w:bCs/>
          <w:sz w:val="22"/>
          <w:szCs w:val="22"/>
        </w:rPr>
        <w:tab/>
        <w:t>FARMAKOLOŠKI PODACI</w:t>
      </w:r>
    </w:p>
    <w:p w:rsidR="004166FD" w:rsidRPr="00786071" w:rsidRDefault="004166FD" w:rsidP="004166FD">
      <w:pPr>
        <w:tabs>
          <w:tab w:val="left" w:pos="540"/>
          <w:tab w:val="left" w:pos="569"/>
        </w:tabs>
        <w:jc w:val="both"/>
        <w:rPr>
          <w:b/>
          <w:bCs/>
          <w:sz w:val="22"/>
          <w:szCs w:val="22"/>
        </w:rPr>
      </w:pPr>
    </w:p>
    <w:p w:rsidR="004166FD" w:rsidRPr="00786071" w:rsidRDefault="004166FD" w:rsidP="004166FD">
      <w:pPr>
        <w:tabs>
          <w:tab w:val="left" w:pos="540"/>
          <w:tab w:val="left" w:pos="569"/>
        </w:tabs>
        <w:jc w:val="both"/>
        <w:rPr>
          <w:b/>
          <w:bCs/>
          <w:sz w:val="22"/>
          <w:szCs w:val="22"/>
        </w:rPr>
      </w:pPr>
      <w:r w:rsidRPr="00786071">
        <w:rPr>
          <w:b/>
          <w:bCs/>
          <w:sz w:val="22"/>
          <w:szCs w:val="22"/>
        </w:rPr>
        <w:t xml:space="preserve">5.1. </w:t>
      </w:r>
      <w:r w:rsidRPr="00786071">
        <w:rPr>
          <w:b/>
          <w:bCs/>
          <w:sz w:val="22"/>
          <w:szCs w:val="22"/>
        </w:rPr>
        <w:tab/>
        <w:t xml:space="preserve">Farmakodinamski podaci </w:t>
      </w:r>
    </w:p>
    <w:p w:rsidR="004166FD" w:rsidRPr="00786071" w:rsidRDefault="004166FD" w:rsidP="004166FD">
      <w:pPr>
        <w:tabs>
          <w:tab w:val="left" w:pos="540"/>
          <w:tab w:val="left" w:pos="569"/>
        </w:tabs>
        <w:jc w:val="both"/>
        <w:rPr>
          <w:b/>
          <w:bCs/>
          <w:sz w:val="22"/>
          <w:szCs w:val="22"/>
        </w:rPr>
      </w:pPr>
    </w:p>
    <w:p w:rsidR="004166FD" w:rsidRPr="0038210E" w:rsidRDefault="004166FD" w:rsidP="004166FD">
      <w:pPr>
        <w:jc w:val="both"/>
        <w:rPr>
          <w:rFonts w:ascii="Microsoft Sans Serif" w:eastAsia="Univers Condensed" w:hAnsi="Microsoft Sans Serif" w:cs="Microsoft Sans Serif"/>
          <w:sz w:val="20"/>
          <w:szCs w:val="20"/>
          <w:lang w:val="hr-BA"/>
        </w:rPr>
      </w:pPr>
      <w:r w:rsidRPr="00786071">
        <w:rPr>
          <w:bCs/>
          <w:sz w:val="22"/>
          <w:szCs w:val="22"/>
        </w:rPr>
        <w:t>Farmakoterapijska grupa:</w:t>
      </w:r>
      <w:r>
        <w:rPr>
          <w:bCs/>
          <w:sz w:val="22"/>
          <w:szCs w:val="22"/>
        </w:rPr>
        <w:t xml:space="preserve"> </w:t>
      </w:r>
      <w:r w:rsidRPr="0038210E">
        <w:rPr>
          <w:rFonts w:eastAsia="Univers Condensed"/>
          <w:sz w:val="22"/>
          <w:szCs w:val="22"/>
          <w:lang w:val="hr-HR"/>
        </w:rPr>
        <w:t>Preparati za l</w:t>
      </w:r>
      <w:r>
        <w:rPr>
          <w:rFonts w:eastAsia="Univers Condensed"/>
          <w:sz w:val="22"/>
          <w:szCs w:val="22"/>
          <w:lang w:val="hr-HR"/>
        </w:rPr>
        <w:t>i</w:t>
      </w:r>
      <w:r w:rsidRPr="0038210E">
        <w:rPr>
          <w:rFonts w:eastAsia="Univers Condensed"/>
          <w:sz w:val="22"/>
          <w:szCs w:val="22"/>
          <w:lang w:val="hr-HR"/>
        </w:rPr>
        <w:t>ječenje bolesti grla, antisepti</w:t>
      </w:r>
      <w:r>
        <w:rPr>
          <w:rFonts w:eastAsia="Univers Condensed"/>
          <w:sz w:val="22"/>
          <w:szCs w:val="22"/>
          <w:lang w:val="hr-HR"/>
        </w:rPr>
        <w:t>ci</w:t>
      </w:r>
    </w:p>
    <w:p w:rsidR="004166FD" w:rsidRPr="00480FB1" w:rsidRDefault="004166FD" w:rsidP="004166FD">
      <w:pPr>
        <w:tabs>
          <w:tab w:val="left" w:pos="540"/>
          <w:tab w:val="left" w:pos="569"/>
        </w:tabs>
        <w:jc w:val="both"/>
        <w:rPr>
          <w:bCs/>
          <w:sz w:val="22"/>
          <w:szCs w:val="22"/>
        </w:rPr>
      </w:pPr>
    </w:p>
    <w:p w:rsidR="004166FD" w:rsidRDefault="004166FD" w:rsidP="004166FD">
      <w:pPr>
        <w:tabs>
          <w:tab w:val="left" w:pos="540"/>
          <w:tab w:val="left" w:pos="569"/>
        </w:tabs>
        <w:jc w:val="both"/>
        <w:rPr>
          <w:bCs/>
          <w:sz w:val="22"/>
          <w:szCs w:val="22"/>
        </w:rPr>
      </w:pPr>
      <w:r w:rsidRPr="00480FB1">
        <w:rPr>
          <w:bCs/>
          <w:sz w:val="22"/>
          <w:szCs w:val="22"/>
        </w:rPr>
        <w:t>ATC kod:</w:t>
      </w:r>
      <w:r w:rsidRPr="0038210E">
        <w:rPr>
          <w:rFonts w:ascii="Microsoft Sans Serif" w:eastAsia="Univers Condensed" w:hAnsi="Microsoft Sans Serif" w:cs="Microsoft Sans Serif"/>
          <w:sz w:val="20"/>
          <w:szCs w:val="20"/>
          <w:lang w:val="hr-HR"/>
        </w:rPr>
        <w:t xml:space="preserve"> </w:t>
      </w:r>
      <w:r w:rsidRPr="0038210E">
        <w:rPr>
          <w:rFonts w:eastAsia="Univers Condensed"/>
          <w:sz w:val="22"/>
          <w:szCs w:val="22"/>
          <w:lang w:val="hr-HR"/>
        </w:rPr>
        <w:t>R 02 AA</w:t>
      </w:r>
      <w:r w:rsidRPr="0038210E">
        <w:rPr>
          <w:rFonts w:eastAsia="Univers Condensed"/>
          <w:sz w:val="22"/>
          <w:szCs w:val="22"/>
          <w:lang w:val="hr-BA"/>
        </w:rPr>
        <w:t>.</w:t>
      </w:r>
      <w:r w:rsidRPr="0038210E">
        <w:rPr>
          <w:rFonts w:ascii="Microsoft Sans Serif" w:eastAsia="Univers Condensed" w:hAnsi="Microsoft Sans Serif" w:cs="Microsoft Sans Serif"/>
          <w:sz w:val="20"/>
          <w:szCs w:val="20"/>
          <w:lang w:val="hr-BA"/>
        </w:rPr>
        <w:t xml:space="preserve">  </w:t>
      </w:r>
    </w:p>
    <w:p w:rsidR="004166FD" w:rsidRPr="00786071" w:rsidRDefault="004166FD" w:rsidP="004166FD">
      <w:pPr>
        <w:tabs>
          <w:tab w:val="left" w:pos="540"/>
          <w:tab w:val="left" w:pos="569"/>
        </w:tabs>
        <w:jc w:val="both"/>
        <w:rPr>
          <w:bCs/>
          <w:sz w:val="22"/>
          <w:szCs w:val="22"/>
        </w:rPr>
      </w:pPr>
    </w:p>
    <w:p w:rsidR="004166FD" w:rsidRPr="0038210E" w:rsidRDefault="004166FD" w:rsidP="004166FD">
      <w:pPr>
        <w:jc w:val="both"/>
        <w:rPr>
          <w:sz w:val="22"/>
          <w:szCs w:val="22"/>
          <w:lang w:val="hr-BA"/>
        </w:rPr>
      </w:pPr>
      <w:r w:rsidRPr="0038210E">
        <w:rPr>
          <w:sz w:val="22"/>
          <w:szCs w:val="22"/>
        </w:rPr>
        <w:t>Lizozim</w:t>
      </w:r>
      <w:r w:rsidRPr="0038210E">
        <w:rPr>
          <w:sz w:val="22"/>
          <w:szCs w:val="22"/>
          <w:lang w:val="hr-BA"/>
        </w:rPr>
        <w:t xml:space="preserve"> </w:t>
      </w:r>
      <w:r w:rsidRPr="0038210E">
        <w:rPr>
          <w:sz w:val="22"/>
          <w:szCs w:val="22"/>
        </w:rPr>
        <w:t>je</w:t>
      </w:r>
      <w:r w:rsidRPr="0038210E">
        <w:rPr>
          <w:sz w:val="22"/>
          <w:szCs w:val="22"/>
          <w:lang w:val="hr-BA"/>
        </w:rPr>
        <w:t xml:space="preserve"> </w:t>
      </w:r>
      <w:r w:rsidRPr="0038210E">
        <w:rPr>
          <w:sz w:val="22"/>
          <w:szCs w:val="22"/>
        </w:rPr>
        <w:t>mukopolisaharid</w:t>
      </w:r>
      <w:r w:rsidRPr="0038210E">
        <w:rPr>
          <w:sz w:val="22"/>
          <w:szCs w:val="22"/>
          <w:lang w:val="hr-BA"/>
        </w:rPr>
        <w:t xml:space="preserve"> </w:t>
      </w:r>
      <w:r w:rsidRPr="0038210E">
        <w:rPr>
          <w:sz w:val="22"/>
          <w:szCs w:val="22"/>
        </w:rPr>
        <w:t>sa</w:t>
      </w:r>
      <w:r w:rsidRPr="0038210E">
        <w:rPr>
          <w:sz w:val="22"/>
          <w:szCs w:val="22"/>
          <w:lang w:val="hr-BA"/>
        </w:rPr>
        <w:t xml:space="preserve"> </w:t>
      </w:r>
      <w:r w:rsidRPr="0038210E">
        <w:rPr>
          <w:sz w:val="22"/>
          <w:szCs w:val="22"/>
        </w:rPr>
        <w:t>djelovanjem</w:t>
      </w:r>
      <w:r w:rsidRPr="0038210E">
        <w:rPr>
          <w:sz w:val="22"/>
          <w:szCs w:val="22"/>
          <w:lang w:val="hr-BA"/>
        </w:rPr>
        <w:t xml:space="preserve"> </w:t>
      </w:r>
      <w:r w:rsidRPr="0038210E">
        <w:rPr>
          <w:sz w:val="22"/>
          <w:szCs w:val="22"/>
        </w:rPr>
        <w:t>na</w:t>
      </w:r>
      <w:r w:rsidRPr="0038210E">
        <w:rPr>
          <w:sz w:val="22"/>
          <w:szCs w:val="22"/>
          <w:lang w:val="hr-BA"/>
        </w:rPr>
        <w:t xml:space="preserve"> </w:t>
      </w:r>
      <w:r w:rsidRPr="0038210E">
        <w:rPr>
          <w:sz w:val="22"/>
          <w:szCs w:val="22"/>
        </w:rPr>
        <w:t>Gram</w:t>
      </w:r>
      <w:r w:rsidRPr="0038210E">
        <w:rPr>
          <w:sz w:val="22"/>
          <w:szCs w:val="22"/>
          <w:lang w:val="hr-BA"/>
        </w:rPr>
        <w:t xml:space="preserve"> </w:t>
      </w:r>
      <w:r w:rsidRPr="0038210E">
        <w:rPr>
          <w:sz w:val="22"/>
          <w:szCs w:val="22"/>
        </w:rPr>
        <w:t>pozitivne</w:t>
      </w:r>
      <w:r w:rsidRPr="0038210E">
        <w:rPr>
          <w:sz w:val="22"/>
          <w:szCs w:val="22"/>
          <w:vertAlign w:val="superscript"/>
          <w:lang w:val="hr-BA"/>
        </w:rPr>
        <w:t xml:space="preserve"> </w:t>
      </w:r>
      <w:r w:rsidRPr="0038210E">
        <w:rPr>
          <w:sz w:val="22"/>
          <w:szCs w:val="22"/>
        </w:rPr>
        <w:t>bakterije</w:t>
      </w:r>
      <w:r w:rsidRPr="0038210E">
        <w:rPr>
          <w:sz w:val="22"/>
          <w:szCs w:val="22"/>
          <w:lang w:val="hr-BA"/>
        </w:rPr>
        <w:t xml:space="preserve">, vjerovatno transformišući netopive polisaharide </w:t>
      </w:r>
      <w:r>
        <w:rPr>
          <w:sz w:val="22"/>
          <w:szCs w:val="22"/>
          <w:lang w:val="hr-BA"/>
        </w:rPr>
        <w:t>ćelijsk</w:t>
      </w:r>
      <w:r w:rsidRPr="0038210E">
        <w:rPr>
          <w:sz w:val="22"/>
          <w:szCs w:val="22"/>
          <w:lang w:val="hr-BA"/>
        </w:rPr>
        <w:t xml:space="preserve">og zida u topive mukopeptide. </w:t>
      </w:r>
      <w:r w:rsidRPr="0038210E">
        <w:rPr>
          <w:sz w:val="22"/>
          <w:szCs w:val="22"/>
        </w:rPr>
        <w:t xml:space="preserve">Djeluje i protiv nekih Gram negativnih bakterija, virusa i gljivica. </w:t>
      </w:r>
      <w:r w:rsidRPr="0038210E">
        <w:rPr>
          <w:sz w:val="22"/>
          <w:szCs w:val="22"/>
          <w:lang w:val="hr-BA"/>
        </w:rPr>
        <w:t>Ima lokalno antiinflamatorno djelovanje i povećava nespecifičnu otpornost organizma.</w:t>
      </w:r>
    </w:p>
    <w:p w:rsidR="004166FD" w:rsidRPr="0038210E" w:rsidRDefault="004166FD" w:rsidP="004166FD">
      <w:pPr>
        <w:jc w:val="both"/>
        <w:rPr>
          <w:sz w:val="22"/>
          <w:szCs w:val="22"/>
        </w:rPr>
      </w:pPr>
    </w:p>
    <w:p w:rsidR="004166FD" w:rsidRPr="0038210E" w:rsidRDefault="004166FD" w:rsidP="004166FD">
      <w:pPr>
        <w:jc w:val="both"/>
        <w:rPr>
          <w:sz w:val="22"/>
          <w:szCs w:val="22"/>
        </w:rPr>
      </w:pPr>
      <w:r w:rsidRPr="0038210E">
        <w:rPr>
          <w:sz w:val="22"/>
          <w:szCs w:val="22"/>
        </w:rPr>
        <w:t>Cetilpiridin</w:t>
      </w:r>
      <w:r>
        <w:rPr>
          <w:sz w:val="22"/>
          <w:szCs w:val="22"/>
        </w:rPr>
        <w:t>ijum</w:t>
      </w:r>
      <w:r w:rsidRPr="0038210E">
        <w:rPr>
          <w:sz w:val="22"/>
          <w:szCs w:val="22"/>
        </w:rPr>
        <w:t xml:space="preserve"> – kvarterna baza amonijaka ima baktericidno djelovanje protiv Gram pozitivnih i Gram negativnih bakterija. Pored toga, cetilpiridin</w:t>
      </w:r>
      <w:r>
        <w:rPr>
          <w:sz w:val="22"/>
          <w:szCs w:val="22"/>
        </w:rPr>
        <w:t>ijum</w:t>
      </w:r>
      <w:r w:rsidRPr="0038210E">
        <w:rPr>
          <w:sz w:val="22"/>
          <w:szCs w:val="22"/>
        </w:rPr>
        <w:t xml:space="preserve"> ima i dezinfekcijsko djelovanje na sluz</w:t>
      </w:r>
      <w:r>
        <w:rPr>
          <w:sz w:val="22"/>
          <w:szCs w:val="22"/>
        </w:rPr>
        <w:t>okoži</w:t>
      </w:r>
      <w:r w:rsidRPr="0038210E">
        <w:rPr>
          <w:sz w:val="22"/>
          <w:szCs w:val="22"/>
        </w:rPr>
        <w:t>.</w:t>
      </w:r>
    </w:p>
    <w:p w:rsidR="004166FD" w:rsidRPr="00786071" w:rsidRDefault="004166FD" w:rsidP="004166FD">
      <w:pPr>
        <w:tabs>
          <w:tab w:val="left" w:pos="540"/>
          <w:tab w:val="left" w:pos="569"/>
        </w:tabs>
        <w:jc w:val="both"/>
        <w:rPr>
          <w:bCs/>
          <w:sz w:val="22"/>
          <w:szCs w:val="22"/>
        </w:rPr>
      </w:pPr>
    </w:p>
    <w:p w:rsidR="004166FD" w:rsidRDefault="004166FD" w:rsidP="004166FD">
      <w:pPr>
        <w:tabs>
          <w:tab w:val="left" w:pos="540"/>
          <w:tab w:val="left" w:pos="569"/>
        </w:tabs>
        <w:jc w:val="both"/>
        <w:rPr>
          <w:b/>
          <w:bCs/>
          <w:sz w:val="22"/>
          <w:szCs w:val="22"/>
        </w:rPr>
      </w:pPr>
      <w:r w:rsidRPr="00786071">
        <w:rPr>
          <w:b/>
          <w:bCs/>
          <w:sz w:val="22"/>
          <w:szCs w:val="22"/>
        </w:rPr>
        <w:t xml:space="preserve">5.2. </w:t>
      </w:r>
      <w:r w:rsidRPr="00786071">
        <w:rPr>
          <w:b/>
          <w:bCs/>
          <w:sz w:val="22"/>
          <w:szCs w:val="22"/>
        </w:rPr>
        <w:tab/>
        <w:t xml:space="preserve">Farmakokinetički podaci </w:t>
      </w:r>
    </w:p>
    <w:p w:rsidR="004166FD" w:rsidRPr="00786071" w:rsidRDefault="004166FD" w:rsidP="004166FD">
      <w:pPr>
        <w:tabs>
          <w:tab w:val="left" w:pos="540"/>
          <w:tab w:val="left" w:pos="569"/>
        </w:tabs>
        <w:jc w:val="both"/>
        <w:rPr>
          <w:b/>
          <w:bCs/>
          <w:sz w:val="22"/>
          <w:szCs w:val="22"/>
        </w:rPr>
      </w:pPr>
    </w:p>
    <w:p w:rsidR="004166FD" w:rsidRDefault="004166FD" w:rsidP="004166FD">
      <w:pPr>
        <w:tabs>
          <w:tab w:val="left" w:pos="540"/>
          <w:tab w:val="left" w:pos="569"/>
        </w:tabs>
        <w:jc w:val="both"/>
        <w:rPr>
          <w:sz w:val="22"/>
          <w:szCs w:val="22"/>
          <w:lang w:val="hr-HR"/>
        </w:rPr>
      </w:pPr>
      <w:r w:rsidRPr="00E02B7A">
        <w:rPr>
          <w:sz w:val="22"/>
          <w:szCs w:val="22"/>
          <w:lang w:val="hr-HR"/>
        </w:rPr>
        <w:t>Podaci ni</w:t>
      </w:r>
      <w:r>
        <w:rPr>
          <w:sz w:val="22"/>
          <w:szCs w:val="22"/>
          <w:lang w:val="hr-HR"/>
        </w:rPr>
        <w:t>je</w:t>
      </w:r>
      <w:r w:rsidRPr="00E02B7A">
        <w:rPr>
          <w:sz w:val="22"/>
          <w:szCs w:val="22"/>
          <w:lang w:val="hr-HR"/>
        </w:rPr>
        <w:t>su dostupni.</w:t>
      </w:r>
    </w:p>
    <w:p w:rsidR="004166FD" w:rsidRPr="00786071" w:rsidRDefault="004166FD" w:rsidP="004166FD">
      <w:pPr>
        <w:tabs>
          <w:tab w:val="left" w:pos="540"/>
          <w:tab w:val="left" w:pos="569"/>
        </w:tabs>
        <w:jc w:val="both"/>
        <w:rPr>
          <w:bCs/>
          <w:sz w:val="22"/>
          <w:szCs w:val="22"/>
        </w:rPr>
      </w:pPr>
    </w:p>
    <w:p w:rsidR="004166FD" w:rsidRDefault="004166FD" w:rsidP="004166FD">
      <w:pPr>
        <w:tabs>
          <w:tab w:val="left" w:pos="540"/>
          <w:tab w:val="left" w:pos="569"/>
        </w:tabs>
        <w:jc w:val="both"/>
        <w:rPr>
          <w:b/>
          <w:bCs/>
          <w:sz w:val="22"/>
          <w:szCs w:val="22"/>
        </w:rPr>
      </w:pPr>
      <w:r w:rsidRPr="00786071">
        <w:rPr>
          <w:b/>
          <w:bCs/>
          <w:sz w:val="22"/>
          <w:szCs w:val="22"/>
        </w:rPr>
        <w:t xml:space="preserve">5.3. </w:t>
      </w:r>
      <w:r w:rsidRPr="00786071">
        <w:rPr>
          <w:b/>
          <w:bCs/>
          <w:sz w:val="22"/>
          <w:szCs w:val="22"/>
        </w:rPr>
        <w:tab/>
        <w:t xml:space="preserve">Pretklinički podaci o bezbjednosti </w:t>
      </w:r>
    </w:p>
    <w:p w:rsidR="004166FD" w:rsidRPr="00786071" w:rsidRDefault="004166FD" w:rsidP="004166FD">
      <w:pPr>
        <w:tabs>
          <w:tab w:val="left" w:pos="540"/>
          <w:tab w:val="left" w:pos="569"/>
        </w:tabs>
        <w:jc w:val="both"/>
        <w:rPr>
          <w:b/>
          <w:bCs/>
          <w:sz w:val="22"/>
          <w:szCs w:val="22"/>
        </w:rPr>
      </w:pPr>
    </w:p>
    <w:p w:rsidR="004166FD" w:rsidRPr="001B5A10" w:rsidRDefault="004166FD" w:rsidP="004166FD">
      <w:pPr>
        <w:jc w:val="both"/>
        <w:rPr>
          <w:rFonts w:eastAsia="Univers Condensed"/>
          <w:sz w:val="22"/>
          <w:szCs w:val="22"/>
          <w:lang w:val="hr-BA"/>
        </w:rPr>
      </w:pPr>
      <w:r w:rsidRPr="001B5A10">
        <w:rPr>
          <w:rFonts w:eastAsia="Univers Condensed"/>
          <w:sz w:val="22"/>
          <w:szCs w:val="22"/>
          <w:lang w:val="hr-BA"/>
        </w:rPr>
        <w:t xml:space="preserve">Pretklinički podaci ne pokazuju poseban rizik za ljude na temelju konvencionalnih ispitivanja </w:t>
      </w:r>
      <w:r>
        <w:rPr>
          <w:rFonts w:eastAsia="Univers Condensed"/>
          <w:sz w:val="22"/>
          <w:szCs w:val="22"/>
          <w:lang w:val="hr-BA"/>
        </w:rPr>
        <w:t>bezbjed</w:t>
      </w:r>
      <w:r w:rsidRPr="001B5A10">
        <w:rPr>
          <w:rFonts w:eastAsia="Univers Condensed"/>
          <w:sz w:val="22"/>
          <w:szCs w:val="22"/>
          <w:lang w:val="hr-BA"/>
        </w:rPr>
        <w:t>nosne farmakologije, toksičnosti ponovljenih doza, genotoksičnosti, ka</w:t>
      </w:r>
      <w:r>
        <w:rPr>
          <w:rFonts w:eastAsia="Univers Condensed"/>
          <w:sz w:val="22"/>
          <w:szCs w:val="22"/>
          <w:lang w:val="hr-BA"/>
        </w:rPr>
        <w:t>rcin</w:t>
      </w:r>
      <w:r w:rsidRPr="001B5A10">
        <w:rPr>
          <w:rFonts w:eastAsia="Univers Condensed"/>
          <w:sz w:val="22"/>
          <w:szCs w:val="22"/>
          <w:lang w:val="hr-BA"/>
        </w:rPr>
        <w:t>ogenog potencijala i reproduktivne toksičnosti.</w:t>
      </w:r>
    </w:p>
    <w:p w:rsidR="004166FD" w:rsidRPr="00786071" w:rsidRDefault="004166FD" w:rsidP="004166FD">
      <w:pPr>
        <w:tabs>
          <w:tab w:val="left" w:pos="540"/>
          <w:tab w:val="left" w:pos="569"/>
        </w:tabs>
        <w:jc w:val="both"/>
        <w:rPr>
          <w:b/>
          <w:bCs/>
          <w:sz w:val="22"/>
          <w:szCs w:val="22"/>
        </w:rPr>
      </w:pPr>
    </w:p>
    <w:p w:rsidR="004166FD" w:rsidRDefault="004166FD" w:rsidP="004166FD">
      <w:pPr>
        <w:tabs>
          <w:tab w:val="left" w:pos="540"/>
          <w:tab w:val="left" w:pos="569"/>
        </w:tabs>
        <w:rPr>
          <w:b/>
          <w:bCs/>
          <w:sz w:val="22"/>
          <w:szCs w:val="22"/>
        </w:rPr>
      </w:pPr>
      <w:r w:rsidRPr="00786071">
        <w:rPr>
          <w:b/>
          <w:bCs/>
          <w:sz w:val="22"/>
          <w:szCs w:val="22"/>
        </w:rPr>
        <w:t xml:space="preserve">6. </w:t>
      </w:r>
      <w:r w:rsidRPr="00786071">
        <w:rPr>
          <w:b/>
          <w:bCs/>
          <w:sz w:val="22"/>
          <w:szCs w:val="22"/>
        </w:rPr>
        <w:tab/>
        <w:t>FARMACEUTSKI PODACI</w:t>
      </w:r>
    </w:p>
    <w:p w:rsidR="008A13DF" w:rsidRPr="00786071" w:rsidRDefault="008A13DF" w:rsidP="004166FD">
      <w:pPr>
        <w:tabs>
          <w:tab w:val="left" w:pos="540"/>
          <w:tab w:val="left" w:pos="569"/>
        </w:tabs>
        <w:rPr>
          <w:b/>
          <w:bCs/>
          <w:sz w:val="22"/>
          <w:szCs w:val="22"/>
        </w:rPr>
      </w:pPr>
    </w:p>
    <w:p w:rsidR="004166FD" w:rsidRDefault="004166FD" w:rsidP="004166FD">
      <w:pPr>
        <w:tabs>
          <w:tab w:val="left" w:pos="540"/>
          <w:tab w:val="left" w:pos="569"/>
        </w:tabs>
        <w:rPr>
          <w:b/>
          <w:bCs/>
          <w:sz w:val="22"/>
          <w:szCs w:val="22"/>
        </w:rPr>
      </w:pPr>
      <w:r w:rsidRPr="00786071">
        <w:rPr>
          <w:b/>
          <w:bCs/>
          <w:sz w:val="22"/>
          <w:szCs w:val="22"/>
        </w:rPr>
        <w:t xml:space="preserve">6.1. </w:t>
      </w:r>
      <w:r w:rsidRPr="00786071">
        <w:rPr>
          <w:b/>
          <w:bCs/>
          <w:sz w:val="22"/>
          <w:szCs w:val="22"/>
        </w:rPr>
        <w:tab/>
        <w:t>Lista pomoćnih supstanci (ekscipijenasa)</w:t>
      </w:r>
    </w:p>
    <w:p w:rsidR="004166FD" w:rsidRDefault="004166FD" w:rsidP="004166FD">
      <w:pPr>
        <w:tabs>
          <w:tab w:val="left" w:pos="540"/>
          <w:tab w:val="left" w:pos="569"/>
        </w:tabs>
        <w:rPr>
          <w:b/>
          <w:bCs/>
          <w:sz w:val="22"/>
          <w:szCs w:val="22"/>
        </w:rPr>
      </w:pPr>
    </w:p>
    <w:p w:rsidR="004166FD" w:rsidRPr="0052605A" w:rsidRDefault="004166FD" w:rsidP="004166FD">
      <w:pPr>
        <w:numPr>
          <w:ilvl w:val="0"/>
          <w:numId w:val="1"/>
        </w:numPr>
        <w:jc w:val="both"/>
        <w:rPr>
          <w:sz w:val="22"/>
          <w:szCs w:val="22"/>
          <w:lang w:val="hr-HR"/>
        </w:rPr>
      </w:pPr>
      <w:r w:rsidRPr="0052605A">
        <w:rPr>
          <w:sz w:val="22"/>
          <w:szCs w:val="22"/>
          <w:lang w:val="hr-HR"/>
        </w:rPr>
        <w:t>Sorbitol (E420)</w:t>
      </w:r>
    </w:p>
    <w:p w:rsidR="004166FD" w:rsidRPr="0052605A" w:rsidRDefault="004166FD" w:rsidP="004166FD">
      <w:pPr>
        <w:numPr>
          <w:ilvl w:val="0"/>
          <w:numId w:val="1"/>
        </w:numPr>
        <w:jc w:val="both"/>
        <w:rPr>
          <w:sz w:val="22"/>
          <w:szCs w:val="22"/>
          <w:lang w:val="hr-HR"/>
        </w:rPr>
      </w:pPr>
      <w:r w:rsidRPr="0052605A">
        <w:rPr>
          <w:sz w:val="22"/>
          <w:szCs w:val="22"/>
          <w:lang w:val="hr-HR"/>
        </w:rPr>
        <w:t>Povidon</w:t>
      </w:r>
    </w:p>
    <w:p w:rsidR="004166FD" w:rsidRPr="0052605A" w:rsidRDefault="004166FD" w:rsidP="004166FD">
      <w:pPr>
        <w:numPr>
          <w:ilvl w:val="0"/>
          <w:numId w:val="1"/>
        </w:numPr>
        <w:jc w:val="both"/>
        <w:rPr>
          <w:sz w:val="22"/>
          <w:szCs w:val="22"/>
          <w:lang w:val="hr-HR"/>
        </w:rPr>
      </w:pPr>
      <w:r w:rsidRPr="0052605A">
        <w:rPr>
          <w:sz w:val="22"/>
          <w:szCs w:val="22"/>
          <w:lang w:val="hr-HR"/>
        </w:rPr>
        <w:t xml:space="preserve">Aroma pepermint </w:t>
      </w:r>
    </w:p>
    <w:p w:rsidR="004166FD" w:rsidRPr="0052605A" w:rsidRDefault="004166FD" w:rsidP="004166FD">
      <w:pPr>
        <w:numPr>
          <w:ilvl w:val="0"/>
          <w:numId w:val="1"/>
        </w:numPr>
        <w:jc w:val="both"/>
        <w:rPr>
          <w:sz w:val="22"/>
          <w:szCs w:val="22"/>
          <w:lang w:val="hr-HR"/>
        </w:rPr>
      </w:pPr>
      <w:r w:rsidRPr="0052605A">
        <w:rPr>
          <w:sz w:val="22"/>
          <w:szCs w:val="22"/>
          <w:lang w:val="hr-HR"/>
        </w:rPr>
        <w:t>Magnezij</w:t>
      </w:r>
      <w:r>
        <w:rPr>
          <w:sz w:val="22"/>
          <w:szCs w:val="22"/>
          <w:lang w:val="hr-HR"/>
        </w:rPr>
        <w:t>um</w:t>
      </w:r>
      <w:r w:rsidRPr="0052605A">
        <w:rPr>
          <w:sz w:val="22"/>
          <w:szCs w:val="22"/>
          <w:lang w:val="hr-HR"/>
        </w:rPr>
        <w:t xml:space="preserve"> stearat</w:t>
      </w:r>
    </w:p>
    <w:p w:rsidR="004166FD" w:rsidRDefault="004166FD" w:rsidP="004166FD">
      <w:pPr>
        <w:tabs>
          <w:tab w:val="left" w:pos="540"/>
          <w:tab w:val="left" w:pos="569"/>
        </w:tabs>
        <w:rPr>
          <w:b/>
          <w:bCs/>
          <w:sz w:val="22"/>
          <w:szCs w:val="22"/>
        </w:rPr>
      </w:pPr>
    </w:p>
    <w:p w:rsidR="004166FD" w:rsidRPr="00063B53" w:rsidRDefault="004166FD" w:rsidP="004166FD">
      <w:pPr>
        <w:tabs>
          <w:tab w:val="left" w:pos="540"/>
          <w:tab w:val="left" w:pos="569"/>
        </w:tabs>
        <w:rPr>
          <w:bCs/>
          <w:sz w:val="22"/>
          <w:szCs w:val="22"/>
        </w:rPr>
      </w:pPr>
      <w:r w:rsidRPr="00063B53">
        <w:rPr>
          <w:bCs/>
          <w:sz w:val="22"/>
          <w:szCs w:val="22"/>
        </w:rPr>
        <w:t>Aroma peppermint: maltodekstrin, arapska guma, saharoza, ulje b</w:t>
      </w:r>
      <w:r w:rsidR="00DF221C">
        <w:rPr>
          <w:bCs/>
          <w:sz w:val="22"/>
          <w:szCs w:val="22"/>
        </w:rPr>
        <w:t>iljke Mentha arvensis, L-mentol.</w:t>
      </w:r>
    </w:p>
    <w:p w:rsidR="004166FD" w:rsidRPr="00786071" w:rsidRDefault="004166FD" w:rsidP="004166FD">
      <w:pPr>
        <w:tabs>
          <w:tab w:val="left" w:pos="540"/>
          <w:tab w:val="left" w:pos="569"/>
        </w:tabs>
        <w:rPr>
          <w:bCs/>
          <w:sz w:val="22"/>
          <w:szCs w:val="22"/>
        </w:rPr>
      </w:pPr>
    </w:p>
    <w:p w:rsidR="004166FD" w:rsidRDefault="004166FD" w:rsidP="004166FD">
      <w:pPr>
        <w:tabs>
          <w:tab w:val="left" w:pos="540"/>
          <w:tab w:val="left" w:pos="569"/>
        </w:tabs>
        <w:rPr>
          <w:b/>
          <w:bCs/>
          <w:sz w:val="22"/>
          <w:szCs w:val="22"/>
        </w:rPr>
      </w:pPr>
      <w:r w:rsidRPr="00786071">
        <w:rPr>
          <w:b/>
          <w:bCs/>
          <w:sz w:val="22"/>
          <w:szCs w:val="22"/>
        </w:rPr>
        <w:lastRenderedPageBreak/>
        <w:t xml:space="preserve">6.2. </w:t>
      </w:r>
      <w:r w:rsidRPr="00786071">
        <w:rPr>
          <w:b/>
          <w:bCs/>
          <w:sz w:val="22"/>
          <w:szCs w:val="22"/>
        </w:rPr>
        <w:tab/>
        <w:t>Inkompatibilnosti</w:t>
      </w:r>
    </w:p>
    <w:p w:rsidR="008A13DF" w:rsidRPr="00786071" w:rsidRDefault="008A13DF" w:rsidP="004166FD">
      <w:pPr>
        <w:tabs>
          <w:tab w:val="left" w:pos="540"/>
          <w:tab w:val="left" w:pos="569"/>
        </w:tabs>
        <w:rPr>
          <w:b/>
          <w:bCs/>
          <w:sz w:val="22"/>
          <w:szCs w:val="22"/>
        </w:rPr>
      </w:pPr>
    </w:p>
    <w:p w:rsidR="004166FD" w:rsidRDefault="004166FD" w:rsidP="008A13DF">
      <w:pPr>
        <w:jc w:val="both"/>
        <w:rPr>
          <w:color w:val="000000"/>
          <w:sz w:val="22"/>
          <w:szCs w:val="22"/>
          <w:lang w:val="hr-HR"/>
        </w:rPr>
      </w:pPr>
      <w:r w:rsidRPr="009F497B">
        <w:rPr>
          <w:color w:val="000000"/>
          <w:sz w:val="22"/>
          <w:szCs w:val="22"/>
          <w:lang w:val="hr-HR"/>
        </w:rPr>
        <w:t>Podaci o inkompatibilnosti ni</w:t>
      </w:r>
      <w:r w:rsidRPr="003F4FB2">
        <w:rPr>
          <w:color w:val="000000"/>
          <w:sz w:val="22"/>
          <w:szCs w:val="22"/>
          <w:lang w:val="hr-HR"/>
        </w:rPr>
        <w:t>je</w:t>
      </w:r>
      <w:r w:rsidRPr="009F497B">
        <w:rPr>
          <w:color w:val="000000"/>
          <w:sz w:val="22"/>
          <w:szCs w:val="22"/>
          <w:lang w:val="hr-HR"/>
        </w:rPr>
        <w:t>su poznati.</w:t>
      </w:r>
    </w:p>
    <w:p w:rsidR="008A13DF" w:rsidRPr="008A13DF" w:rsidRDefault="008A13DF" w:rsidP="008A13DF">
      <w:pPr>
        <w:jc w:val="both"/>
        <w:rPr>
          <w:color w:val="000000"/>
          <w:sz w:val="22"/>
          <w:szCs w:val="22"/>
          <w:lang w:val="hr-HR"/>
        </w:rPr>
      </w:pPr>
    </w:p>
    <w:p w:rsidR="004166FD" w:rsidRDefault="004166FD" w:rsidP="004166FD">
      <w:pPr>
        <w:tabs>
          <w:tab w:val="left" w:pos="540"/>
          <w:tab w:val="left" w:pos="569"/>
        </w:tabs>
        <w:rPr>
          <w:b/>
          <w:bCs/>
          <w:sz w:val="22"/>
          <w:szCs w:val="22"/>
        </w:rPr>
      </w:pPr>
      <w:r w:rsidRPr="00786071">
        <w:rPr>
          <w:b/>
          <w:bCs/>
          <w:sz w:val="22"/>
          <w:szCs w:val="22"/>
        </w:rPr>
        <w:t>6.3.</w:t>
      </w:r>
      <w:r>
        <w:rPr>
          <w:b/>
          <w:bCs/>
          <w:sz w:val="22"/>
          <w:szCs w:val="22"/>
        </w:rPr>
        <w:t xml:space="preserve"> </w:t>
      </w:r>
      <w:r w:rsidRPr="00786071">
        <w:rPr>
          <w:b/>
          <w:bCs/>
          <w:sz w:val="22"/>
          <w:szCs w:val="22"/>
        </w:rPr>
        <w:tab/>
        <w:t>Rok upotrebe</w:t>
      </w:r>
    </w:p>
    <w:p w:rsidR="008A13DF" w:rsidRPr="00786071" w:rsidRDefault="008A13DF" w:rsidP="004166FD">
      <w:pPr>
        <w:tabs>
          <w:tab w:val="left" w:pos="540"/>
          <w:tab w:val="left" w:pos="569"/>
        </w:tabs>
        <w:rPr>
          <w:b/>
          <w:bCs/>
          <w:sz w:val="22"/>
          <w:szCs w:val="22"/>
        </w:rPr>
      </w:pPr>
    </w:p>
    <w:p w:rsidR="004166FD" w:rsidRDefault="004166FD" w:rsidP="004166FD">
      <w:pPr>
        <w:tabs>
          <w:tab w:val="left" w:pos="540"/>
          <w:tab w:val="left" w:pos="569"/>
        </w:tabs>
        <w:rPr>
          <w:sz w:val="22"/>
          <w:szCs w:val="22"/>
          <w:lang w:val="hr-HR"/>
        </w:rPr>
      </w:pPr>
      <w:r>
        <w:rPr>
          <w:sz w:val="22"/>
          <w:szCs w:val="22"/>
          <w:lang w:val="hr-HR"/>
        </w:rPr>
        <w:t>36</w:t>
      </w:r>
      <w:r w:rsidRPr="003F4FB2">
        <w:rPr>
          <w:sz w:val="22"/>
          <w:szCs w:val="22"/>
          <w:lang w:val="hr-HR"/>
        </w:rPr>
        <w:t xml:space="preserve"> mjesec</w:t>
      </w:r>
      <w:r>
        <w:rPr>
          <w:sz w:val="22"/>
          <w:szCs w:val="22"/>
          <w:lang w:val="hr-HR"/>
        </w:rPr>
        <w:t>i</w:t>
      </w:r>
    </w:p>
    <w:p w:rsidR="004166FD" w:rsidRPr="00786071" w:rsidRDefault="004166FD" w:rsidP="004166FD">
      <w:pPr>
        <w:tabs>
          <w:tab w:val="left" w:pos="540"/>
          <w:tab w:val="left" w:pos="569"/>
        </w:tabs>
        <w:rPr>
          <w:bCs/>
          <w:sz w:val="22"/>
          <w:szCs w:val="22"/>
        </w:rPr>
      </w:pPr>
    </w:p>
    <w:p w:rsidR="004166FD" w:rsidRDefault="004166FD" w:rsidP="004166FD">
      <w:pPr>
        <w:tabs>
          <w:tab w:val="left" w:pos="540"/>
          <w:tab w:val="left" w:pos="569"/>
        </w:tabs>
        <w:rPr>
          <w:b/>
          <w:bCs/>
          <w:sz w:val="22"/>
          <w:szCs w:val="22"/>
        </w:rPr>
      </w:pPr>
      <w:r w:rsidRPr="00786071">
        <w:rPr>
          <w:b/>
          <w:bCs/>
          <w:sz w:val="22"/>
          <w:szCs w:val="22"/>
        </w:rPr>
        <w:t xml:space="preserve">6.4. </w:t>
      </w:r>
      <w:r w:rsidRPr="00786071">
        <w:rPr>
          <w:b/>
          <w:bCs/>
          <w:sz w:val="22"/>
          <w:szCs w:val="22"/>
        </w:rPr>
        <w:tab/>
        <w:t>Posebne mjere upozorenja pri čuvanju lijeka</w:t>
      </w:r>
    </w:p>
    <w:p w:rsidR="008A13DF" w:rsidRPr="00786071" w:rsidRDefault="008A13DF" w:rsidP="004166FD">
      <w:pPr>
        <w:tabs>
          <w:tab w:val="left" w:pos="540"/>
          <w:tab w:val="left" w:pos="569"/>
        </w:tabs>
        <w:rPr>
          <w:b/>
          <w:bCs/>
          <w:sz w:val="22"/>
          <w:szCs w:val="22"/>
        </w:rPr>
      </w:pPr>
    </w:p>
    <w:p w:rsidR="004166FD" w:rsidRPr="003F4FB2" w:rsidRDefault="004166FD" w:rsidP="004166FD">
      <w:pPr>
        <w:jc w:val="both"/>
        <w:rPr>
          <w:sz w:val="22"/>
          <w:szCs w:val="22"/>
          <w:lang w:val="hr-HR"/>
        </w:rPr>
      </w:pPr>
      <w:r w:rsidRPr="003F4FB2">
        <w:rPr>
          <w:sz w:val="22"/>
          <w:szCs w:val="22"/>
          <w:lang w:val="hr-HR"/>
        </w:rPr>
        <w:t>Čuvati na temperaturi do 25°C.</w:t>
      </w:r>
    </w:p>
    <w:p w:rsidR="004166FD" w:rsidRPr="00786071" w:rsidRDefault="004166FD" w:rsidP="004166FD">
      <w:pPr>
        <w:tabs>
          <w:tab w:val="left" w:pos="540"/>
          <w:tab w:val="left" w:pos="569"/>
        </w:tabs>
        <w:rPr>
          <w:bCs/>
          <w:sz w:val="22"/>
          <w:szCs w:val="22"/>
        </w:rPr>
      </w:pPr>
    </w:p>
    <w:p w:rsidR="004166FD" w:rsidRPr="00786071" w:rsidRDefault="004166FD" w:rsidP="004166FD">
      <w:pPr>
        <w:tabs>
          <w:tab w:val="left" w:pos="540"/>
          <w:tab w:val="left" w:pos="569"/>
        </w:tabs>
        <w:rPr>
          <w:b/>
          <w:bCs/>
          <w:sz w:val="22"/>
          <w:szCs w:val="22"/>
        </w:rPr>
      </w:pPr>
      <w:r w:rsidRPr="00786071">
        <w:rPr>
          <w:b/>
          <w:bCs/>
          <w:sz w:val="22"/>
          <w:szCs w:val="22"/>
        </w:rPr>
        <w:t xml:space="preserve">6.5. </w:t>
      </w:r>
      <w:r w:rsidRPr="00786071">
        <w:rPr>
          <w:b/>
          <w:bCs/>
          <w:sz w:val="22"/>
          <w:szCs w:val="22"/>
        </w:rPr>
        <w:tab/>
        <w:t xml:space="preserve">Vrsta i sadržaj pakovanja </w:t>
      </w:r>
    </w:p>
    <w:p w:rsidR="004166FD" w:rsidRDefault="004166FD" w:rsidP="004166FD">
      <w:pPr>
        <w:tabs>
          <w:tab w:val="left" w:pos="540"/>
          <w:tab w:val="left" w:pos="569"/>
        </w:tabs>
        <w:rPr>
          <w:bCs/>
          <w:sz w:val="22"/>
          <w:szCs w:val="22"/>
        </w:rPr>
      </w:pPr>
    </w:p>
    <w:p w:rsidR="004166FD" w:rsidRPr="00DE3B52" w:rsidRDefault="004166FD" w:rsidP="004166FD">
      <w:pPr>
        <w:jc w:val="both"/>
        <w:rPr>
          <w:sz w:val="22"/>
          <w:szCs w:val="22"/>
          <w:lang w:val="hr-HR"/>
        </w:rPr>
      </w:pPr>
      <w:r w:rsidRPr="00DE3B52">
        <w:rPr>
          <w:sz w:val="22"/>
          <w:szCs w:val="22"/>
          <w:lang w:val="hr-HR"/>
        </w:rPr>
        <w:t xml:space="preserve">Pakovni materijal: PVC/PVdC/Al </w:t>
      </w:r>
      <w:r w:rsidR="00B26D37" w:rsidRPr="00DE3B52">
        <w:rPr>
          <w:sz w:val="22"/>
          <w:szCs w:val="22"/>
          <w:lang w:val="hr-HR"/>
        </w:rPr>
        <w:t>folija.</w:t>
      </w:r>
    </w:p>
    <w:p w:rsidR="004166FD" w:rsidRPr="00DE3B52" w:rsidRDefault="004166FD" w:rsidP="004166FD">
      <w:pPr>
        <w:jc w:val="both"/>
        <w:rPr>
          <w:sz w:val="22"/>
          <w:szCs w:val="22"/>
          <w:lang w:val="hr-HR"/>
        </w:rPr>
      </w:pPr>
    </w:p>
    <w:p w:rsidR="004166FD" w:rsidRPr="00DE3B52" w:rsidRDefault="004166FD" w:rsidP="004166FD">
      <w:pPr>
        <w:jc w:val="both"/>
        <w:rPr>
          <w:sz w:val="22"/>
          <w:szCs w:val="22"/>
          <w:lang w:val="hr-HR"/>
        </w:rPr>
      </w:pPr>
      <w:r w:rsidRPr="00DE3B52">
        <w:rPr>
          <w:sz w:val="22"/>
          <w:szCs w:val="22"/>
          <w:lang w:val="hr-HR"/>
        </w:rPr>
        <w:t>20 komprimovanih lozengi (2 blistera sa po 10 lozengi).</w:t>
      </w:r>
    </w:p>
    <w:p w:rsidR="004166FD" w:rsidRPr="00786071" w:rsidRDefault="004166FD" w:rsidP="004166FD">
      <w:pPr>
        <w:tabs>
          <w:tab w:val="left" w:pos="540"/>
          <w:tab w:val="left" w:pos="569"/>
        </w:tabs>
        <w:rPr>
          <w:bCs/>
          <w:sz w:val="22"/>
          <w:szCs w:val="22"/>
        </w:rPr>
      </w:pPr>
    </w:p>
    <w:p w:rsidR="004166FD" w:rsidRDefault="004166FD" w:rsidP="004166FD">
      <w:pPr>
        <w:tabs>
          <w:tab w:val="left" w:pos="540"/>
          <w:tab w:val="left" w:pos="569"/>
        </w:tabs>
        <w:rPr>
          <w:b/>
          <w:bCs/>
          <w:sz w:val="22"/>
          <w:szCs w:val="22"/>
        </w:rPr>
      </w:pPr>
      <w:r w:rsidRPr="00786071">
        <w:rPr>
          <w:b/>
          <w:bCs/>
          <w:sz w:val="22"/>
          <w:szCs w:val="22"/>
        </w:rPr>
        <w:t xml:space="preserve">6.6. </w:t>
      </w:r>
      <w:r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Pr>
          <w:b/>
          <w:bCs/>
          <w:sz w:val="22"/>
          <w:szCs w:val="22"/>
        </w:rPr>
        <w:t xml:space="preserve">(i druga uputsva za rukovanje lijekom) </w:t>
      </w:r>
    </w:p>
    <w:p w:rsidR="008A13DF" w:rsidRDefault="008A13DF" w:rsidP="004166FD">
      <w:pPr>
        <w:tabs>
          <w:tab w:val="left" w:pos="540"/>
          <w:tab w:val="left" w:pos="569"/>
        </w:tabs>
        <w:rPr>
          <w:b/>
          <w:bCs/>
          <w:sz w:val="22"/>
          <w:szCs w:val="22"/>
        </w:rPr>
      </w:pPr>
    </w:p>
    <w:p w:rsidR="004166FD" w:rsidRPr="009215C7" w:rsidRDefault="004166FD" w:rsidP="004166FD">
      <w:pPr>
        <w:tabs>
          <w:tab w:val="left" w:pos="540"/>
          <w:tab w:val="left" w:pos="569"/>
        </w:tabs>
        <w:jc w:val="both"/>
        <w:rPr>
          <w:bCs/>
          <w:color w:val="FF0000"/>
          <w:sz w:val="22"/>
          <w:szCs w:val="22"/>
        </w:rPr>
      </w:pPr>
      <w:r w:rsidRPr="005367BA">
        <w:rPr>
          <w:bCs/>
          <w:sz w:val="22"/>
          <w:szCs w:val="22"/>
        </w:rPr>
        <w:t>Neupotrebljen lijek se uništava u skladu sa važećim propisima.</w:t>
      </w:r>
    </w:p>
    <w:p w:rsidR="004166FD" w:rsidRDefault="004166FD" w:rsidP="004166FD">
      <w:pPr>
        <w:tabs>
          <w:tab w:val="left" w:pos="540"/>
          <w:tab w:val="left" w:pos="569"/>
        </w:tabs>
        <w:rPr>
          <w:b/>
          <w:bCs/>
          <w:sz w:val="22"/>
          <w:szCs w:val="22"/>
        </w:rPr>
      </w:pPr>
    </w:p>
    <w:p w:rsidR="004166FD" w:rsidRDefault="004166FD" w:rsidP="004166FD">
      <w:pPr>
        <w:tabs>
          <w:tab w:val="left" w:pos="540"/>
          <w:tab w:val="left" w:pos="569"/>
        </w:tabs>
        <w:rPr>
          <w:b/>
          <w:bCs/>
          <w:sz w:val="22"/>
          <w:szCs w:val="22"/>
        </w:rPr>
      </w:pPr>
      <w:r w:rsidRPr="00786071">
        <w:rPr>
          <w:b/>
          <w:bCs/>
          <w:sz w:val="22"/>
          <w:szCs w:val="22"/>
        </w:rPr>
        <w:t xml:space="preserve">7. </w:t>
      </w:r>
      <w:r w:rsidRPr="00786071">
        <w:rPr>
          <w:b/>
          <w:bCs/>
          <w:sz w:val="22"/>
          <w:szCs w:val="22"/>
        </w:rPr>
        <w:tab/>
        <w:t xml:space="preserve">NOSILAC DOZVOLE </w:t>
      </w:r>
    </w:p>
    <w:p w:rsidR="008A13DF" w:rsidRPr="00786071" w:rsidRDefault="008A13DF" w:rsidP="004166FD">
      <w:pPr>
        <w:tabs>
          <w:tab w:val="left" w:pos="540"/>
          <w:tab w:val="left" w:pos="569"/>
        </w:tabs>
        <w:rPr>
          <w:b/>
          <w:bCs/>
          <w:sz w:val="22"/>
          <w:szCs w:val="22"/>
        </w:rPr>
      </w:pPr>
    </w:p>
    <w:p w:rsidR="004166FD" w:rsidRPr="00486223" w:rsidRDefault="00B41340" w:rsidP="004166FD">
      <w:pPr>
        <w:pStyle w:val="ListNumber"/>
        <w:numPr>
          <w:ilvl w:val="0"/>
          <w:numId w:val="0"/>
        </w:numPr>
        <w:jc w:val="both"/>
        <w:rPr>
          <w:rFonts w:ascii="Times New Roman" w:hAnsi="Times New Roman"/>
          <w:b/>
          <w:color w:val="000000"/>
          <w:sz w:val="22"/>
          <w:szCs w:val="22"/>
        </w:rPr>
      </w:pPr>
      <w:r>
        <w:rPr>
          <w:rFonts w:ascii="Times New Roman" w:hAnsi="Times New Roman"/>
          <w:color w:val="000000"/>
          <w:sz w:val="22"/>
          <w:szCs w:val="22"/>
        </w:rPr>
        <w:t>BOSNALIJEK D.D</w:t>
      </w:r>
      <w:r w:rsidR="004166FD" w:rsidRPr="00486223">
        <w:rPr>
          <w:rFonts w:ascii="Times New Roman" w:hAnsi="Times New Roman"/>
          <w:color w:val="000000"/>
          <w:sz w:val="22"/>
          <w:szCs w:val="22"/>
        </w:rPr>
        <w:t xml:space="preserve">. </w:t>
      </w:r>
      <w:r w:rsidRPr="00486223">
        <w:rPr>
          <w:rFonts w:ascii="Times New Roman" w:hAnsi="Times New Roman"/>
          <w:color w:val="000000"/>
          <w:sz w:val="22"/>
          <w:szCs w:val="22"/>
        </w:rPr>
        <w:t>PREDSTAVNIŠTVO CRNA GORA</w:t>
      </w:r>
      <w:r w:rsidR="004166FD" w:rsidRPr="00486223">
        <w:rPr>
          <w:rFonts w:ascii="Times New Roman" w:hAnsi="Times New Roman"/>
          <w:color w:val="000000"/>
          <w:sz w:val="22"/>
          <w:szCs w:val="22"/>
        </w:rPr>
        <w:t>, Bulevar Svetog</w:t>
      </w:r>
      <w:r w:rsidR="00B1364F">
        <w:rPr>
          <w:rFonts w:ascii="Times New Roman" w:hAnsi="Times New Roman"/>
          <w:color w:val="000000"/>
          <w:sz w:val="22"/>
          <w:szCs w:val="22"/>
        </w:rPr>
        <w:t xml:space="preserve"> Petra Cetinjskog 63, Podgorica, Crna Gora</w:t>
      </w:r>
    </w:p>
    <w:p w:rsidR="004166FD" w:rsidRPr="00786071" w:rsidRDefault="004166FD" w:rsidP="004166FD">
      <w:pPr>
        <w:tabs>
          <w:tab w:val="left" w:pos="540"/>
          <w:tab w:val="left" w:pos="569"/>
        </w:tabs>
        <w:rPr>
          <w:bCs/>
          <w:sz w:val="22"/>
          <w:szCs w:val="22"/>
        </w:rPr>
      </w:pPr>
    </w:p>
    <w:p w:rsidR="004166FD" w:rsidRPr="00786071" w:rsidRDefault="004166FD" w:rsidP="004166FD">
      <w:pPr>
        <w:tabs>
          <w:tab w:val="left" w:pos="540"/>
          <w:tab w:val="left" w:pos="569"/>
        </w:tabs>
        <w:rPr>
          <w:b/>
          <w:bCs/>
          <w:sz w:val="22"/>
          <w:szCs w:val="22"/>
        </w:rPr>
      </w:pPr>
      <w:r w:rsidRPr="00786071">
        <w:rPr>
          <w:b/>
          <w:bCs/>
          <w:sz w:val="22"/>
          <w:szCs w:val="22"/>
        </w:rPr>
        <w:t xml:space="preserve">8. </w:t>
      </w:r>
      <w:r w:rsidRPr="00786071">
        <w:rPr>
          <w:b/>
          <w:bCs/>
          <w:sz w:val="22"/>
          <w:szCs w:val="22"/>
        </w:rPr>
        <w:tab/>
        <w:t>BROJ DOZVOLE</w:t>
      </w:r>
      <w:r>
        <w:rPr>
          <w:b/>
          <w:bCs/>
          <w:sz w:val="22"/>
          <w:szCs w:val="22"/>
        </w:rPr>
        <w:t xml:space="preserve"> ZA STAVLJANJE LIJEKA U PROMET</w:t>
      </w:r>
    </w:p>
    <w:p w:rsidR="004166FD" w:rsidRPr="00213BB7" w:rsidRDefault="004166FD" w:rsidP="004166FD">
      <w:pPr>
        <w:tabs>
          <w:tab w:val="left" w:pos="540"/>
          <w:tab w:val="left" w:pos="569"/>
        </w:tabs>
        <w:rPr>
          <w:color w:val="000000"/>
          <w:sz w:val="22"/>
          <w:szCs w:val="22"/>
          <w:lang w:val="en-AU"/>
        </w:rPr>
      </w:pPr>
    </w:p>
    <w:p w:rsidR="00FA5477" w:rsidRDefault="00213BB7" w:rsidP="00213BB7">
      <w:pPr>
        <w:rPr>
          <w:color w:val="000000"/>
          <w:sz w:val="22"/>
          <w:szCs w:val="22"/>
          <w:lang w:val="en-AU"/>
        </w:rPr>
      </w:pPr>
      <w:r w:rsidRPr="00213BB7">
        <w:rPr>
          <w:color w:val="000000"/>
          <w:sz w:val="22"/>
          <w:szCs w:val="22"/>
          <w:lang w:val="en-AU"/>
        </w:rPr>
        <w:t>LYSOBACT DUO®</w:t>
      </w:r>
      <w:r w:rsidR="00FA5477">
        <w:rPr>
          <w:color w:val="000000"/>
          <w:sz w:val="22"/>
          <w:szCs w:val="22"/>
          <w:lang w:val="en-AU"/>
        </w:rPr>
        <w:t xml:space="preserve"> 20 mg + 1,5 mg komprimovana lozenga, blister, 20 (2x10) lozengi</w:t>
      </w:r>
      <w:r w:rsidR="00DE3B52">
        <w:rPr>
          <w:color w:val="000000"/>
          <w:sz w:val="22"/>
          <w:szCs w:val="22"/>
          <w:lang w:val="en-AU"/>
        </w:rPr>
        <w:t>:</w:t>
      </w:r>
    </w:p>
    <w:p w:rsidR="00DE3B52" w:rsidRDefault="00DE3B52" w:rsidP="00213BB7">
      <w:pPr>
        <w:rPr>
          <w:color w:val="000000"/>
          <w:sz w:val="22"/>
          <w:szCs w:val="22"/>
          <w:lang w:val="en-AU"/>
        </w:rPr>
      </w:pPr>
    </w:p>
    <w:p w:rsidR="00213BB7" w:rsidRPr="00213BB7" w:rsidRDefault="000B6FD0" w:rsidP="00213BB7">
      <w:pPr>
        <w:rPr>
          <w:color w:val="000000"/>
          <w:sz w:val="22"/>
          <w:szCs w:val="22"/>
          <w:lang w:val="en-AU"/>
        </w:rPr>
      </w:pPr>
      <w:r>
        <w:rPr>
          <w:color w:val="000000"/>
          <w:sz w:val="22"/>
          <w:szCs w:val="22"/>
          <w:lang w:val="en-AU"/>
        </w:rPr>
        <w:t>2030/19/1004 - 2421</w:t>
      </w:r>
    </w:p>
    <w:p w:rsidR="004166FD" w:rsidRPr="00786071" w:rsidRDefault="004166FD" w:rsidP="004166FD">
      <w:pPr>
        <w:tabs>
          <w:tab w:val="left" w:pos="540"/>
          <w:tab w:val="left" w:pos="569"/>
        </w:tabs>
        <w:rPr>
          <w:bCs/>
          <w:sz w:val="22"/>
          <w:szCs w:val="22"/>
        </w:rPr>
      </w:pPr>
    </w:p>
    <w:p w:rsidR="004166FD" w:rsidRPr="00786071" w:rsidRDefault="004166FD" w:rsidP="004166FD">
      <w:pPr>
        <w:tabs>
          <w:tab w:val="left" w:pos="540"/>
          <w:tab w:val="left" w:pos="569"/>
        </w:tabs>
        <w:rPr>
          <w:b/>
          <w:bCs/>
          <w:sz w:val="22"/>
          <w:szCs w:val="22"/>
        </w:rPr>
      </w:pPr>
      <w:r w:rsidRPr="00786071">
        <w:rPr>
          <w:b/>
          <w:bCs/>
          <w:sz w:val="22"/>
          <w:szCs w:val="22"/>
        </w:rPr>
        <w:t xml:space="preserve">9. </w:t>
      </w:r>
      <w:r w:rsidRPr="00786071">
        <w:rPr>
          <w:b/>
          <w:bCs/>
          <w:sz w:val="22"/>
          <w:szCs w:val="22"/>
        </w:rPr>
        <w:tab/>
        <w:t xml:space="preserve">DATUM </w:t>
      </w:r>
      <w:r>
        <w:rPr>
          <w:b/>
          <w:bCs/>
          <w:sz w:val="22"/>
          <w:szCs w:val="22"/>
        </w:rPr>
        <w:t xml:space="preserve">PRVE </w:t>
      </w:r>
      <w:r w:rsidRPr="00786071">
        <w:rPr>
          <w:b/>
          <w:bCs/>
          <w:sz w:val="22"/>
          <w:szCs w:val="22"/>
        </w:rPr>
        <w:t>DOZVOLE</w:t>
      </w:r>
      <w:r>
        <w:rPr>
          <w:b/>
          <w:bCs/>
          <w:sz w:val="22"/>
          <w:szCs w:val="22"/>
        </w:rPr>
        <w:t>/OBNOVE DOZVOLE ZA STAVLJANJE LIJEKA U PROMET</w:t>
      </w:r>
    </w:p>
    <w:p w:rsidR="004166FD" w:rsidRPr="00786071" w:rsidRDefault="004166FD" w:rsidP="004166FD">
      <w:pPr>
        <w:tabs>
          <w:tab w:val="left" w:pos="540"/>
          <w:tab w:val="left" w:pos="569"/>
        </w:tabs>
        <w:rPr>
          <w:bCs/>
          <w:sz w:val="22"/>
          <w:szCs w:val="22"/>
        </w:rPr>
      </w:pPr>
    </w:p>
    <w:p w:rsidR="00FA5477" w:rsidRDefault="00FA5477" w:rsidP="004166FD">
      <w:pPr>
        <w:tabs>
          <w:tab w:val="left" w:pos="540"/>
          <w:tab w:val="left" w:pos="569"/>
        </w:tabs>
        <w:rPr>
          <w:color w:val="000000"/>
          <w:sz w:val="22"/>
          <w:szCs w:val="22"/>
          <w:lang w:val="en-AU"/>
        </w:rPr>
      </w:pPr>
      <w:r w:rsidRPr="00213BB7">
        <w:rPr>
          <w:color w:val="000000"/>
          <w:sz w:val="22"/>
          <w:szCs w:val="22"/>
          <w:lang w:val="en-AU"/>
        </w:rPr>
        <w:t>LYSOBACT DUO®</w:t>
      </w:r>
      <w:r>
        <w:rPr>
          <w:color w:val="000000"/>
          <w:sz w:val="22"/>
          <w:szCs w:val="22"/>
          <w:lang w:val="en-AU"/>
        </w:rPr>
        <w:t xml:space="preserve"> 20 mg + 1,5 mg komprimovana lozenga, blister, 20 (2x10) lozengi</w:t>
      </w:r>
      <w:r w:rsidRPr="00213BB7">
        <w:rPr>
          <w:color w:val="000000"/>
          <w:sz w:val="22"/>
          <w:szCs w:val="22"/>
          <w:lang w:val="en-AU"/>
        </w:rPr>
        <w:t xml:space="preserve">: </w:t>
      </w:r>
    </w:p>
    <w:p w:rsidR="00DE3B52" w:rsidRDefault="00DE3B52" w:rsidP="004166FD">
      <w:pPr>
        <w:tabs>
          <w:tab w:val="left" w:pos="540"/>
          <w:tab w:val="left" w:pos="569"/>
        </w:tabs>
        <w:rPr>
          <w:color w:val="000000"/>
          <w:sz w:val="22"/>
          <w:szCs w:val="22"/>
          <w:lang w:val="en-AU"/>
        </w:rPr>
      </w:pPr>
    </w:p>
    <w:p w:rsidR="004166FD" w:rsidRDefault="00DE55DB" w:rsidP="004166FD">
      <w:pPr>
        <w:tabs>
          <w:tab w:val="left" w:pos="540"/>
          <w:tab w:val="left" w:pos="569"/>
        </w:tabs>
        <w:rPr>
          <w:color w:val="000000"/>
          <w:sz w:val="22"/>
          <w:szCs w:val="22"/>
          <w:lang w:val="en-AU"/>
        </w:rPr>
      </w:pPr>
      <w:r>
        <w:rPr>
          <w:color w:val="000000"/>
          <w:sz w:val="22"/>
          <w:szCs w:val="22"/>
          <w:lang w:val="en-AU"/>
        </w:rPr>
        <w:t>16</w:t>
      </w:r>
      <w:bookmarkStart w:id="0" w:name="_GoBack"/>
      <w:bookmarkEnd w:id="0"/>
      <w:r w:rsidR="00243D4B">
        <w:rPr>
          <w:color w:val="000000"/>
          <w:sz w:val="22"/>
          <w:szCs w:val="22"/>
          <w:lang w:val="en-AU"/>
        </w:rPr>
        <w:t xml:space="preserve">.12.2019. godine </w:t>
      </w:r>
    </w:p>
    <w:p w:rsidR="00213BB7" w:rsidRPr="00786071" w:rsidRDefault="00213BB7" w:rsidP="004166FD">
      <w:pPr>
        <w:tabs>
          <w:tab w:val="left" w:pos="540"/>
          <w:tab w:val="left" w:pos="569"/>
        </w:tabs>
        <w:rPr>
          <w:bCs/>
          <w:sz w:val="22"/>
          <w:szCs w:val="22"/>
        </w:rPr>
      </w:pPr>
    </w:p>
    <w:p w:rsidR="004166FD" w:rsidRPr="00786071" w:rsidRDefault="004166FD" w:rsidP="004166FD">
      <w:pPr>
        <w:tabs>
          <w:tab w:val="left" w:pos="540"/>
          <w:tab w:val="left" w:pos="569"/>
        </w:tabs>
        <w:ind w:left="540" w:hanging="540"/>
        <w:rPr>
          <w:bCs/>
          <w:sz w:val="22"/>
          <w:szCs w:val="22"/>
        </w:rPr>
      </w:pPr>
      <w:r w:rsidRPr="00786071">
        <w:rPr>
          <w:b/>
          <w:bCs/>
          <w:sz w:val="22"/>
          <w:szCs w:val="22"/>
        </w:rPr>
        <w:t xml:space="preserve">10. </w:t>
      </w:r>
      <w:r w:rsidRPr="00786071">
        <w:rPr>
          <w:b/>
          <w:bCs/>
          <w:sz w:val="22"/>
          <w:szCs w:val="22"/>
        </w:rPr>
        <w:tab/>
        <w:t xml:space="preserve">DATUM REVIZIJE TEKSTA </w:t>
      </w:r>
    </w:p>
    <w:p w:rsidR="004166FD" w:rsidRPr="00DE3B52" w:rsidRDefault="004166FD" w:rsidP="004166FD">
      <w:pPr>
        <w:rPr>
          <w:color w:val="000000"/>
          <w:sz w:val="22"/>
          <w:szCs w:val="22"/>
          <w:lang w:val="en-AU"/>
        </w:rPr>
      </w:pPr>
    </w:p>
    <w:p w:rsidR="00DA1FB0" w:rsidRDefault="00DA1FB0" w:rsidP="002B336F">
      <w:pPr>
        <w:rPr>
          <w:color w:val="000000"/>
          <w:sz w:val="22"/>
          <w:szCs w:val="22"/>
          <w:lang w:val="en-AU"/>
        </w:rPr>
      </w:pPr>
      <w:r w:rsidRPr="00DE3B52">
        <w:rPr>
          <w:color w:val="000000"/>
          <w:sz w:val="22"/>
          <w:szCs w:val="22"/>
          <w:lang w:val="en-AU"/>
        </w:rPr>
        <w:t xml:space="preserve"> </w:t>
      </w:r>
      <w:r w:rsidR="00B92FAD">
        <w:rPr>
          <w:color w:val="000000"/>
          <w:sz w:val="22"/>
          <w:szCs w:val="22"/>
          <w:lang w:val="en-AU"/>
        </w:rPr>
        <w:t>Decembar, 2019. godine</w:t>
      </w:r>
    </w:p>
    <w:p w:rsidR="00B45559" w:rsidRDefault="00B45559" w:rsidP="002B336F">
      <w:pPr>
        <w:rPr>
          <w:color w:val="000000"/>
          <w:sz w:val="22"/>
          <w:szCs w:val="22"/>
          <w:lang w:val="en-AU"/>
        </w:rPr>
      </w:pPr>
    </w:p>
    <w:p w:rsidR="00B45559" w:rsidRDefault="00B45559" w:rsidP="00B45559">
      <w:pPr>
        <w:rPr>
          <w:sz w:val="22"/>
          <w:szCs w:val="22"/>
          <w:lang w:val="en-AU"/>
        </w:rPr>
      </w:pPr>
    </w:p>
    <w:p w:rsidR="00B92FAD" w:rsidRPr="00B45559" w:rsidRDefault="00B92FAD" w:rsidP="00B45559">
      <w:pPr>
        <w:rPr>
          <w:sz w:val="22"/>
          <w:szCs w:val="22"/>
          <w:lang w:val="en-AU"/>
        </w:rPr>
      </w:pPr>
    </w:p>
    <w:sectPr w:rsidR="00B92FAD" w:rsidRPr="00B45559"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F97" w:rsidRDefault="005E1F97" w:rsidP="00FF2B5A">
      <w:r>
        <w:separator/>
      </w:r>
    </w:p>
  </w:endnote>
  <w:endnote w:type="continuationSeparator" w:id="0">
    <w:p w:rsidR="005E1F97" w:rsidRDefault="005E1F97"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Univers Condens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sz w:val="20"/>
        <w:szCs w:val="20"/>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sz w:val="20"/>
        <w:szCs w:val="20"/>
        <w:lang w:val="sr-Latn-ME"/>
      </w:rPr>
    </w:pPr>
  </w:p>
  <w:p w:rsidR="009318B4" w:rsidRPr="009318B4" w:rsidRDefault="00F1527C" w:rsidP="00F1527C">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sidR="00DE55DB">
      <w:rPr>
        <w:noProof/>
        <w:sz w:val="20"/>
        <w:szCs w:val="20"/>
        <w:lang w:val="sr-Latn-ME"/>
      </w:rPr>
      <w:t>4</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sidR="00DE55DB">
      <w:rPr>
        <w:noProof/>
        <w:sz w:val="20"/>
        <w:szCs w:val="20"/>
        <w:lang w:val="sr-Latn-ME"/>
      </w:rPr>
      <w:t>4</w:t>
    </w:r>
    <w:r w:rsidRPr="00F1527C">
      <w:rPr>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sz w:val="20"/>
        <w:szCs w:val="20"/>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sz w:val="20"/>
        <w:szCs w:val="20"/>
        <w:lang w:val="sr-Latn-ME"/>
      </w:rPr>
    </w:pPr>
  </w:p>
  <w:p w:rsidR="00B34AF2" w:rsidRPr="009318B4" w:rsidRDefault="00B34AF2" w:rsidP="00B34AF2">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F97" w:rsidRDefault="005E1F97" w:rsidP="00FF2B5A">
      <w:r>
        <w:separator/>
      </w:r>
    </w:p>
  </w:footnote>
  <w:footnote w:type="continuationSeparator" w:id="0">
    <w:p w:rsidR="005E1F97" w:rsidRDefault="005E1F97"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10439BE"/>
    <w:lvl w:ilvl="0">
      <w:start w:val="1"/>
      <w:numFmt w:val="decimal"/>
      <w:pStyle w:val="ListNumber"/>
      <w:lvlText w:val="%1."/>
      <w:lvlJc w:val="left"/>
      <w:pPr>
        <w:tabs>
          <w:tab w:val="num" w:pos="360"/>
        </w:tabs>
        <w:ind w:left="360" w:hanging="360"/>
      </w:pPr>
    </w:lvl>
  </w:abstractNum>
  <w:abstractNum w:abstractNumId="1" w15:restartNumberingAfterBreak="0">
    <w:nsid w:val="367555E6"/>
    <w:multiLevelType w:val="hybridMultilevel"/>
    <w:tmpl w:val="5128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1664C"/>
    <w:multiLevelType w:val="hybridMultilevel"/>
    <w:tmpl w:val="36A245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BC2036E"/>
    <w:multiLevelType w:val="hybridMultilevel"/>
    <w:tmpl w:val="A916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D34C6B"/>
    <w:multiLevelType w:val="hybridMultilevel"/>
    <w:tmpl w:val="E1D4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1451"/>
    <w:rsid w:val="000A3717"/>
    <w:rsid w:val="000B6FD0"/>
    <w:rsid w:val="00116FE6"/>
    <w:rsid w:val="001426D8"/>
    <w:rsid w:val="00213BB7"/>
    <w:rsid w:val="00243D4B"/>
    <w:rsid w:val="002951D2"/>
    <w:rsid w:val="002B336F"/>
    <w:rsid w:val="002E298F"/>
    <w:rsid w:val="0031146A"/>
    <w:rsid w:val="004166FD"/>
    <w:rsid w:val="0044070E"/>
    <w:rsid w:val="00461135"/>
    <w:rsid w:val="00475819"/>
    <w:rsid w:val="004B3C4C"/>
    <w:rsid w:val="005E1F97"/>
    <w:rsid w:val="006135BA"/>
    <w:rsid w:val="006A1788"/>
    <w:rsid w:val="00743875"/>
    <w:rsid w:val="00747C4B"/>
    <w:rsid w:val="00752653"/>
    <w:rsid w:val="00764FB6"/>
    <w:rsid w:val="00783822"/>
    <w:rsid w:val="007C0995"/>
    <w:rsid w:val="00805838"/>
    <w:rsid w:val="00883AF2"/>
    <w:rsid w:val="00895265"/>
    <w:rsid w:val="008A13DF"/>
    <w:rsid w:val="008B73AB"/>
    <w:rsid w:val="009318B4"/>
    <w:rsid w:val="00934541"/>
    <w:rsid w:val="00A06058"/>
    <w:rsid w:val="00A15267"/>
    <w:rsid w:val="00A85BE2"/>
    <w:rsid w:val="00A90C86"/>
    <w:rsid w:val="00AF30B1"/>
    <w:rsid w:val="00B1364F"/>
    <w:rsid w:val="00B234CE"/>
    <w:rsid w:val="00B25659"/>
    <w:rsid w:val="00B26D37"/>
    <w:rsid w:val="00B34AF2"/>
    <w:rsid w:val="00B40390"/>
    <w:rsid w:val="00B41340"/>
    <w:rsid w:val="00B45559"/>
    <w:rsid w:val="00B92FAD"/>
    <w:rsid w:val="00BB17BF"/>
    <w:rsid w:val="00C4240B"/>
    <w:rsid w:val="00C606D3"/>
    <w:rsid w:val="00CB6A6E"/>
    <w:rsid w:val="00D45AFE"/>
    <w:rsid w:val="00DA1FB0"/>
    <w:rsid w:val="00DE3B52"/>
    <w:rsid w:val="00DE55DB"/>
    <w:rsid w:val="00DF221C"/>
    <w:rsid w:val="00E0627A"/>
    <w:rsid w:val="00EB2A93"/>
    <w:rsid w:val="00F1527C"/>
    <w:rsid w:val="00F90214"/>
    <w:rsid w:val="00FA0B7E"/>
    <w:rsid w:val="00FA5477"/>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6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66F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66FD"/>
    <w:pPr>
      <w:ind w:left="720"/>
      <w:contextualSpacing/>
    </w:pPr>
  </w:style>
  <w:style w:type="paragraph" w:styleId="ListNumber">
    <w:name w:val="List Number"/>
    <w:basedOn w:val="Normal"/>
    <w:rsid w:val="004166FD"/>
    <w:pPr>
      <w:numPr>
        <w:numId w:val="5"/>
      </w:numPr>
    </w:pPr>
    <w:rPr>
      <w:rFonts w:ascii="Arial" w:hAnsi="Arial"/>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48FFE-963D-4A3D-AA72-CC663C82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Tomic</cp:lastModifiedBy>
  <cp:revision>34</cp:revision>
  <dcterms:created xsi:type="dcterms:W3CDTF">2019-12-11T07:52:00Z</dcterms:created>
  <dcterms:modified xsi:type="dcterms:W3CDTF">2019-12-16T06:34:00Z</dcterms:modified>
</cp:coreProperties>
</file>