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E5" w:rsidRPr="00A56FE5" w:rsidRDefault="00A56FE5" w:rsidP="00A56FE5">
      <w:pPr>
        <w:tabs>
          <w:tab w:val="left" w:pos="284"/>
        </w:tabs>
        <w:spacing w:after="0" w:line="240" w:lineRule="auto"/>
        <w:jc w:val="center"/>
        <w:rPr>
          <w:rFonts w:ascii="Times New Roman" w:eastAsia="Times New Roman" w:hAnsi="Times New Roman" w:cs="Times New Roman"/>
          <w:b/>
          <w:bCs/>
          <w:iCs/>
          <w:u w:val="single"/>
          <w:lang w:val="de-DE"/>
        </w:rPr>
      </w:pPr>
      <w:r w:rsidRPr="00A56FE5">
        <w:rPr>
          <w:rFonts w:ascii="Times New Roman" w:eastAsia="Times New Roman" w:hAnsi="Times New Roman" w:cs="Times New Roman"/>
          <w:b/>
          <w:bCs/>
          <w:iCs/>
          <w:u w:val="single"/>
          <w:lang w:val="de-DE"/>
        </w:rPr>
        <w:t>SAŽETAK KARAKTERISTIKA LIJEKA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de-DE"/>
        </w:rPr>
      </w:pPr>
      <w:r w:rsidRPr="00A56FE5">
        <w:rPr>
          <w:rFonts w:ascii="Times New Roman" w:eastAsia="Times New Roman" w:hAnsi="Times New Roman" w:cs="Times New Roman"/>
          <w:lang w:val="de-DE"/>
        </w:rPr>
        <w:t xml:space="preserve"> </w:t>
      </w:r>
    </w:p>
    <w:p w:rsidR="00A56FE5" w:rsidRDefault="00A56FE5" w:rsidP="00A56FE5">
      <w:pPr>
        <w:tabs>
          <w:tab w:val="left" w:pos="284"/>
        </w:tabs>
        <w:spacing w:after="0" w:line="240" w:lineRule="auto"/>
        <w:jc w:val="both"/>
        <w:rPr>
          <w:rFonts w:ascii="Times New Roman" w:eastAsia="Times New Roman" w:hAnsi="Times New Roman" w:cs="Times New Roman"/>
          <w:b/>
          <w:lang w:val="de-DE"/>
        </w:rPr>
      </w:pPr>
    </w:p>
    <w:p w:rsidR="00A56FE5" w:rsidRDefault="00A56FE5" w:rsidP="00A56FE5">
      <w:pPr>
        <w:tabs>
          <w:tab w:val="left" w:pos="284"/>
        </w:tabs>
        <w:spacing w:after="0" w:line="240" w:lineRule="auto"/>
        <w:jc w:val="both"/>
        <w:rPr>
          <w:rFonts w:ascii="Times New Roman" w:eastAsia="Times New Roman" w:hAnsi="Times New Roman" w:cs="Times New Roman"/>
          <w:b/>
          <w:lang w:val="de-DE"/>
        </w:rPr>
      </w:pPr>
      <w:r w:rsidRPr="00A56FE5">
        <w:rPr>
          <w:rFonts w:ascii="Times New Roman" w:eastAsia="Times New Roman" w:hAnsi="Times New Roman" w:cs="Times New Roman"/>
          <w:b/>
          <w:lang w:val="de-DE"/>
        </w:rPr>
        <w:t>1. NAZIV LIJEKA</w:t>
      </w:r>
    </w:p>
    <w:p w:rsidR="00A56FE5" w:rsidRPr="00A56FE5" w:rsidRDefault="00A56FE5" w:rsidP="00A56FE5">
      <w:pPr>
        <w:tabs>
          <w:tab w:val="left" w:pos="284"/>
        </w:tabs>
        <w:spacing w:after="0" w:line="240" w:lineRule="auto"/>
        <w:jc w:val="both"/>
        <w:rPr>
          <w:rFonts w:ascii="Times New Roman" w:eastAsia="Times New Roman" w:hAnsi="Times New Roman" w:cs="Times New Roman"/>
          <w:b/>
          <w:lang w:val="sr-Latn-C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DUAVIVE</w:t>
      </w:r>
      <w:r w:rsidRPr="00A56FE5">
        <w:rPr>
          <w:rFonts w:ascii="Times New Roman" w:eastAsia="Times New Roman" w:hAnsi="Times New Roman" w:cs="Times New Roman"/>
          <w:vertAlign w:val="superscript"/>
          <w:lang w:val="sr-Latn-RS"/>
        </w:rPr>
        <w:t>®</w:t>
      </w:r>
      <w:r w:rsidRPr="00A56FE5">
        <w:rPr>
          <w:rFonts w:ascii="Times New Roman" w:eastAsia="Times New Roman" w:hAnsi="Times New Roman" w:cs="Times New Roman"/>
          <w:lang w:val="sr-Latn-RS"/>
        </w:rPr>
        <w:t xml:space="preserve">, 0,45 mg + 20 mg, tableta sa modifikovanim oslobađanjem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CS"/>
        </w:rPr>
      </w:pPr>
      <w:r w:rsidRPr="00A56FE5">
        <w:rPr>
          <w:rFonts w:ascii="Times New Roman" w:eastAsia="Times New Roman" w:hAnsi="Times New Roman" w:cs="Times New Roman"/>
          <w:lang w:val="sr-Latn-RS"/>
        </w:rPr>
        <w:t>INN</w:t>
      </w:r>
      <w:r w:rsidRPr="00A56FE5">
        <w:rPr>
          <w:rFonts w:ascii="Times New Roman" w:eastAsia="Times New Roman" w:hAnsi="Times New Roman" w:cs="Times New Roman"/>
          <w:lang w:val="sr-Latn-CS"/>
        </w:rPr>
        <w:t>:</w:t>
      </w:r>
      <w:r w:rsidRPr="00A56FE5">
        <w:rPr>
          <w:rFonts w:ascii="Times New Roman" w:eastAsia="Times New Roman" w:hAnsi="Times New Roman" w:cs="Times New Roman"/>
          <w:lang w:val="sr-Latn-RS"/>
        </w:rPr>
        <w:t xml:space="preserve"> konjugovani estrogeni, bazedoksifen</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CS"/>
        </w:rPr>
      </w:pPr>
    </w:p>
    <w:p w:rsidR="00A56FE5" w:rsidRPr="00A56FE5" w:rsidRDefault="00A56FE5" w:rsidP="00A56FE5">
      <w:pPr>
        <w:tabs>
          <w:tab w:val="left" w:pos="284"/>
        </w:tabs>
        <w:spacing w:before="200" w:after="200" w:line="240" w:lineRule="auto"/>
        <w:jc w:val="both"/>
        <w:rPr>
          <w:rFonts w:ascii="Times New Roman" w:eastAsia="Times New Roman" w:hAnsi="Times New Roman" w:cs="Times New Roman"/>
          <w:b/>
          <w:lang w:val="sr-Latn-CS"/>
        </w:rPr>
      </w:pPr>
      <w:r w:rsidRPr="00A56FE5">
        <w:rPr>
          <w:rFonts w:ascii="Times New Roman" w:eastAsia="Times New Roman" w:hAnsi="Times New Roman" w:cs="Times New Roman"/>
          <w:b/>
          <w:lang w:val="sr-Latn-CS"/>
        </w:rPr>
        <w:t xml:space="preserve">2. </w:t>
      </w:r>
      <w:r w:rsidRPr="00A56FE5">
        <w:rPr>
          <w:rFonts w:ascii="Times New Roman" w:eastAsia="Times New Roman" w:hAnsi="Times New Roman" w:cs="Times New Roman"/>
          <w:b/>
          <w:lang w:val="sr-Latn-RS"/>
        </w:rPr>
        <w:t>KVALITATIVNI</w:t>
      </w:r>
      <w:r w:rsidRPr="00A56FE5">
        <w:rPr>
          <w:rFonts w:ascii="Times New Roman" w:eastAsia="Times New Roman" w:hAnsi="Times New Roman" w:cs="Times New Roman"/>
          <w:b/>
          <w:lang w:val="sr-Latn-CS"/>
        </w:rPr>
        <w:t xml:space="preserve"> </w:t>
      </w:r>
      <w:r w:rsidRPr="00A56FE5">
        <w:rPr>
          <w:rFonts w:ascii="Times New Roman" w:eastAsia="Times New Roman" w:hAnsi="Times New Roman" w:cs="Times New Roman"/>
          <w:b/>
          <w:lang w:val="sr-Latn-RS"/>
        </w:rPr>
        <w:t>I</w:t>
      </w:r>
      <w:r w:rsidRPr="00A56FE5">
        <w:rPr>
          <w:rFonts w:ascii="Times New Roman" w:eastAsia="Times New Roman" w:hAnsi="Times New Roman" w:cs="Times New Roman"/>
          <w:b/>
          <w:lang w:val="sr-Latn-CS"/>
        </w:rPr>
        <w:t xml:space="preserve"> </w:t>
      </w:r>
      <w:r w:rsidRPr="00A56FE5">
        <w:rPr>
          <w:rFonts w:ascii="Times New Roman" w:eastAsia="Times New Roman" w:hAnsi="Times New Roman" w:cs="Times New Roman"/>
          <w:b/>
          <w:lang w:val="sr-Latn-RS"/>
        </w:rPr>
        <w:t>KVANTITATIVNI</w:t>
      </w:r>
      <w:r w:rsidRPr="00A56FE5">
        <w:rPr>
          <w:rFonts w:ascii="Times New Roman" w:eastAsia="Times New Roman" w:hAnsi="Times New Roman" w:cs="Times New Roman"/>
          <w:b/>
          <w:lang w:val="sr-Latn-CS"/>
        </w:rPr>
        <w:t xml:space="preserve"> </w:t>
      </w:r>
      <w:r w:rsidRPr="00A56FE5">
        <w:rPr>
          <w:rFonts w:ascii="Times New Roman" w:eastAsia="Times New Roman" w:hAnsi="Times New Roman" w:cs="Times New Roman"/>
          <w:b/>
          <w:lang w:val="sr-Latn-RS"/>
        </w:rPr>
        <w:t>SASTAV</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Jedna tableta sa modifikovanim oslobađanjem sadrži 0,45 mg konjugovanih estrogena i 20 mg bazedoksifena (u obliku bazedoksifen acetata).</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strike/>
          <w:highlight w:val="lightGray"/>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u w:val="single"/>
          <w:lang w:val="sr-Latn-RS"/>
        </w:rPr>
        <w:t>Pomoćne supstance sa potvrđenim dejstvom</w:t>
      </w:r>
      <w:r w:rsidRPr="00A56FE5">
        <w:rPr>
          <w:rFonts w:ascii="Times New Roman" w:eastAsia="Times New Roman" w:hAnsi="Times New Roman" w:cs="Times New Roman"/>
          <w:lang w:val="sr-Latn-RS"/>
        </w:rPr>
        <w:t>:</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bCs/>
          <w:color w:val="FF0000"/>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Jedna tableta sa modifikovanim oslobađanjem sadrži 96,9 mg saharoze (uključujući 0,7 mg saharoze u obliku saharoze monopalmitat), 62,9 mg laktoze (u obliku laktoze, monohidrat), 0,2 mg tečnog maltitola, 0,0176 mg glukoze i 0,0088 mg sorbitola.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CS"/>
        </w:rPr>
      </w:pPr>
      <w:r w:rsidRPr="00A56FE5">
        <w:rPr>
          <w:rFonts w:ascii="Times New Roman" w:eastAsia="Times New Roman" w:hAnsi="Times New Roman" w:cs="Times New Roman"/>
          <w:lang w:val="sr-Latn-CS"/>
        </w:rPr>
        <w:t>Za spisak svih ekscipijenasa, pogledati dio 6.1.</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CS"/>
        </w:rPr>
      </w:pPr>
    </w:p>
    <w:p w:rsidR="00A56FE5" w:rsidRPr="00A56FE5" w:rsidRDefault="00A56FE5" w:rsidP="00A56FE5">
      <w:pPr>
        <w:tabs>
          <w:tab w:val="left" w:pos="284"/>
        </w:tabs>
        <w:spacing w:before="200" w:after="200" w:line="240" w:lineRule="auto"/>
        <w:jc w:val="both"/>
        <w:rPr>
          <w:rFonts w:ascii="Times New Roman" w:eastAsia="Times New Roman" w:hAnsi="Times New Roman" w:cs="Times New Roman"/>
          <w:b/>
        </w:rPr>
      </w:pPr>
      <w:r w:rsidRPr="00A56FE5">
        <w:rPr>
          <w:rFonts w:ascii="Times New Roman" w:eastAsia="Times New Roman" w:hAnsi="Times New Roman" w:cs="Times New Roman"/>
          <w:b/>
        </w:rPr>
        <w:t>3. FARMACEUTSKI OBLIK</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Tableta sa modifikovanim oslobađanjem.</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Ovalna bikonveksna tableta sa modifikovanim oslobađanjem ružičaste boje, dužine 12 mm, sa odštampanom crnom oznakom „0.45/20“ na jednoj strani.</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before="200" w:after="200" w:line="240" w:lineRule="auto"/>
        <w:jc w:val="both"/>
        <w:rPr>
          <w:rFonts w:ascii="Times New Roman" w:eastAsia="Times New Roman" w:hAnsi="Times New Roman" w:cs="Times New Roman"/>
          <w:b/>
          <w:lang w:val="de-DE"/>
        </w:rPr>
      </w:pPr>
      <w:r w:rsidRPr="00A56FE5">
        <w:rPr>
          <w:rFonts w:ascii="Times New Roman" w:eastAsia="Times New Roman" w:hAnsi="Times New Roman" w:cs="Times New Roman"/>
          <w:b/>
          <w:lang w:val="de-DE"/>
        </w:rPr>
        <w:t>4. KLINIČKI PODACI</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de-DE"/>
        </w:rPr>
      </w:pPr>
      <w:r w:rsidRPr="00A56FE5">
        <w:rPr>
          <w:rFonts w:ascii="Times New Roman" w:eastAsia="Times New Roman" w:hAnsi="Times New Roman" w:cs="Times New Roman"/>
          <w:b/>
          <w:bCs/>
          <w:lang w:val="de-DE"/>
        </w:rPr>
        <w:t>4.1. Terapijske indikacije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de-DE"/>
        </w:rPr>
      </w:pPr>
    </w:p>
    <w:p w:rsidR="00A56FE5" w:rsidRPr="00A56FE5" w:rsidRDefault="00A56FE5" w:rsidP="00A56FE5">
      <w:pPr>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 xml:space="preserve">Lijek DUAVIVE je indikovan za simptomatsku terapiju nedostatka estrogena kod žena u postmenopauzi sa uterusom (kod kojih je proteklo najmanje 12 mjeseci od posljednje menstruacije), kada primjena terapije koja sadrži progestin nije odgovarajuća. </w:t>
      </w:r>
    </w:p>
    <w:p w:rsidR="00A56FE5" w:rsidRPr="00A56FE5" w:rsidRDefault="00A56FE5" w:rsidP="00A56FE5">
      <w:pPr>
        <w:keepNext/>
        <w:widowControl w:val="0"/>
        <w:spacing w:after="0" w:line="240" w:lineRule="auto"/>
        <w:jc w:val="both"/>
        <w:rPr>
          <w:rFonts w:ascii="Times New Roman" w:eastAsia="Times New Roman" w:hAnsi="Times New Roman" w:cs="Times New Roman"/>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Iskustvo u liječenju žena starijih od 65 godina je ograničeno.</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4.2. Doziranje i način primjene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Doziranje</w:t>
      </w:r>
    </w:p>
    <w:p w:rsidR="00A56FE5" w:rsidRPr="00A56FE5" w:rsidRDefault="00A56FE5" w:rsidP="00A56FE5">
      <w:pPr>
        <w:keepNext/>
        <w:keepLines/>
        <w:spacing w:after="0" w:line="240" w:lineRule="auto"/>
        <w:jc w:val="both"/>
        <w:rPr>
          <w:rFonts w:ascii="Times New Roman" w:eastAsia="Times New Roman" w:hAnsi="Times New Roman" w:cs="Times New Roman"/>
          <w:lang w:val="sr-Latn-RS" w:eastAsia="sr-Latn-CS" w:bidi="sr-Latn-C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Za početak i nastavak terapije simptoma postmenopauze treba primjenjivati najnižu efektivnu dozu tokom najkraćeg vremenskog perioda (vidjeti dio 4.4).</w:t>
      </w:r>
    </w:p>
    <w:p w:rsidR="00A56FE5" w:rsidRPr="00A56FE5" w:rsidRDefault="00A56FE5" w:rsidP="00A56FE5">
      <w:pPr>
        <w:keepNext/>
        <w:keepLines/>
        <w:widowControl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lastRenderedPageBreak/>
        <w:t>Preporučena doza je 0,45 mg konjugovanih estrogena (KE) i 20 mg bazedoksifena (BZA), odnodno jedna tableta za peroralnu primjenu jednom dnevno.</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Ako pacijentkinja zaboravi da uzme tabletu, treba da je uzme čim se sjeti. Liječenje potom treba nastaviti kao prije. Ako je pacijentkinja zaboravila da uzme više od jedne tablete, treba da uzme samo posljednju dozu. Ne smije se uzimati dvostruko veća doza od uobičajene da bi se nadoknadile propuštene tablete.</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widowControl w:val="0"/>
        <w:spacing w:after="0" w:line="240" w:lineRule="auto"/>
        <w:ind w:left="72" w:hanging="72"/>
        <w:jc w:val="both"/>
        <w:outlineLvl w:val="2"/>
        <w:rPr>
          <w:rFonts w:ascii="Times New Roman" w:eastAsia="Times New Roman" w:hAnsi="Times New Roman" w:cs="Times New Roman"/>
          <w:i/>
          <w:iCs/>
          <w:u w:val="single"/>
          <w:lang w:val="sr-Latn-RS"/>
        </w:rPr>
      </w:pPr>
      <w:r w:rsidRPr="00A56FE5">
        <w:rPr>
          <w:rFonts w:ascii="Times New Roman" w:eastAsia="Times New Roman" w:hAnsi="Times New Roman" w:cs="Times New Roman"/>
          <w:i/>
          <w:iCs/>
          <w:u w:val="single"/>
          <w:lang w:val="sr-Latn-RS"/>
        </w:rPr>
        <w:t>Posebne populacije</w:t>
      </w:r>
    </w:p>
    <w:p w:rsidR="00A56FE5" w:rsidRPr="00A56FE5" w:rsidRDefault="00A56FE5" w:rsidP="00A56FE5">
      <w:pPr>
        <w:widowControl w:val="0"/>
        <w:spacing w:after="0" w:line="240" w:lineRule="auto"/>
        <w:ind w:left="72" w:hanging="72"/>
        <w:jc w:val="both"/>
        <w:outlineLvl w:val="2"/>
        <w:rPr>
          <w:rFonts w:ascii="Times New Roman" w:eastAsia="Times New Roman" w:hAnsi="Times New Roman" w:cs="Times New Roman"/>
          <w:b/>
          <w:i/>
          <w:iCs/>
          <w:color w:val="FF0000"/>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i/>
          <w:lang w:val="sr-Latn-RS"/>
        </w:rPr>
        <w:t xml:space="preserve">Starije osobe </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Primjena KE + BZA nije ispitivana kod žena starijih od 75 godina. Na osnovu dostupnih podataka, nije potrebno prilagođavati dozu na osnovu starosti (vidjeti dio  5.2). Iskustvo u liječenju žena starijih od 65 godina je ograničeno.</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widowControl w:val="0"/>
        <w:spacing w:after="0" w:line="240" w:lineRule="auto"/>
        <w:ind w:left="72" w:hanging="72"/>
        <w:jc w:val="both"/>
        <w:outlineLvl w:val="2"/>
        <w:rPr>
          <w:rFonts w:ascii="Times New Roman" w:eastAsia="Times New Roman" w:hAnsi="Times New Roman" w:cs="Times New Roman"/>
          <w:i/>
          <w:iCs/>
          <w:lang w:val="sr-Latn-RS"/>
        </w:rPr>
      </w:pPr>
      <w:r w:rsidRPr="00A56FE5">
        <w:rPr>
          <w:rFonts w:ascii="Times New Roman" w:eastAsia="Times New Roman" w:hAnsi="Times New Roman" w:cs="Times New Roman"/>
          <w:i/>
          <w:iCs/>
          <w:lang w:val="sr-Latn-RS"/>
        </w:rPr>
        <w:t>Oštećenje funkcije bubrega</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Farmakokinetika konjugovanih estrogena i bazedoksifena nije ispitivana kod pacijentkinja sa oštećenjem funkcije bubrega. Iz tog razloga se primjena u ovoj populaciji ne preporučuje (vidjeti djelove 4.4 i 5.2).</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widowControl w:val="0"/>
        <w:tabs>
          <w:tab w:val="left" w:pos="284"/>
        </w:tabs>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i/>
          <w:lang w:val="sr-Latn-RS"/>
        </w:rPr>
        <w:t xml:space="preserve">Oštećenje funkcije jetre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Bezbjednost i efikasnost konjugovanih estrogena i bazedoksifena nije ispitivana kod pacijentkinja sa oštećenjem funkcije jetre. Primjena u ovoj populaciji je kontraindikovana (vidjeti djelove 4.3, 4.4 i 5.2).</w:t>
      </w:r>
    </w:p>
    <w:p w:rsidR="00A56FE5" w:rsidRPr="00A56FE5" w:rsidRDefault="00A56FE5" w:rsidP="00A56FE5">
      <w:pPr>
        <w:widowControl w:val="0"/>
        <w:spacing w:after="0" w:line="240" w:lineRule="auto"/>
        <w:jc w:val="both"/>
        <w:rPr>
          <w:rFonts w:ascii="Times New Roman" w:eastAsia="Times New Roman" w:hAnsi="Times New Roman" w:cs="Times New Roman"/>
          <w:lang w:val="sr-Latn-RS" w:eastAsia="sr-Latn-CS" w:bidi="sr-Latn-CS"/>
        </w:rPr>
      </w:pP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i/>
          <w:iCs/>
          <w:lang w:val="sr-Latn-RS"/>
        </w:rPr>
      </w:pPr>
      <w:r w:rsidRPr="00A56FE5">
        <w:rPr>
          <w:rFonts w:ascii="Times New Roman" w:eastAsia="Times New Roman" w:hAnsi="Times New Roman" w:cs="Times New Roman"/>
          <w:i/>
          <w:iCs/>
          <w:lang w:val="sr-Latn-RS"/>
        </w:rPr>
        <w:t xml:space="preserve">Pedijatrijska populacija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Nema relevantne primjene konjugovanih estrogena i bazedoksifena u pedijatrijskoj populaciji.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 xml:space="preserve">Način primjene </w:t>
      </w: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Za oralnu upotrebu.</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Lijek DUAVIVE se može uzimati u bilo koje doba dana, bez obzira na obroke</w:t>
      </w:r>
      <w:r w:rsidRPr="00A56FE5">
        <w:rPr>
          <w:rFonts w:ascii="Times New Roman" w:eastAsia="Times New Roman" w:hAnsi="Times New Roman" w:cs="Times New Roman"/>
          <w:bCs/>
          <w:lang w:val="sr-Latn-RS" w:eastAsia="sr-Latn-CS" w:bidi="sr-Latn-CS"/>
        </w:rPr>
        <w:t xml:space="preserve"> </w:t>
      </w:r>
      <w:r w:rsidRPr="00A56FE5">
        <w:rPr>
          <w:rFonts w:ascii="Times New Roman" w:eastAsia="Times New Roman" w:hAnsi="Times New Roman" w:cs="Times New Roman"/>
          <w:lang w:val="sr-Latn-RS"/>
        </w:rPr>
        <w:t xml:space="preserve">(vidjeti dio 5.2). Tablete treba progutati cijele.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4.3. Kontraindikacije</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color w:val="FF0000"/>
          <w:lang w:val="sr-Latn-RS"/>
        </w:rPr>
      </w:pPr>
    </w:p>
    <w:p w:rsidR="00A56FE5" w:rsidRPr="00A56FE5" w:rsidRDefault="00A56FE5" w:rsidP="00A56FE5">
      <w:pPr>
        <w:widowControl w:val="0"/>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Preosjetljivost na aktivne supstance ili na bilo koju od pomoćnih supstanci navedenih u dijelu 6.1. </w:t>
      </w:r>
    </w:p>
    <w:p w:rsidR="00A56FE5" w:rsidRPr="00A56FE5" w:rsidRDefault="00A56FE5" w:rsidP="00A56FE5">
      <w:pPr>
        <w:widowControl w:val="0"/>
        <w:numPr>
          <w:ilvl w:val="0"/>
          <w:numId w:val="15"/>
        </w:numPr>
        <w:tabs>
          <w:tab w:val="left" w:pos="284"/>
        </w:tabs>
        <w:spacing w:after="0" w:line="240" w:lineRule="auto"/>
        <w:ind w:hanging="720"/>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Karcinom dojke – dijagnostikovan, u anamnezi ili suspektan.</w:t>
      </w:r>
    </w:p>
    <w:p w:rsidR="00A56FE5" w:rsidRPr="00A56FE5" w:rsidRDefault="00A56FE5" w:rsidP="00A56FE5">
      <w:pPr>
        <w:widowControl w:val="0"/>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Maligni estrogen-zavisni tumori (npr. karcinom endometrijuma) – dijagnostikovani, u anamnezi ili suspektni.</w:t>
      </w:r>
    </w:p>
    <w:p w:rsidR="00A56FE5" w:rsidRPr="00A56FE5" w:rsidRDefault="00A56FE5" w:rsidP="00A56FE5">
      <w:pPr>
        <w:widowControl w:val="0"/>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Nedijagnostikovano genitalno krvarenje.</w:t>
      </w:r>
    </w:p>
    <w:p w:rsidR="00A56FE5" w:rsidRPr="00A56FE5" w:rsidRDefault="00A56FE5" w:rsidP="00A56FE5">
      <w:pPr>
        <w:widowControl w:val="0"/>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Neliječena hiperplazija endometrijuma.</w:t>
      </w:r>
    </w:p>
    <w:p w:rsidR="00A56FE5" w:rsidRPr="00A56FE5" w:rsidRDefault="00A56FE5" w:rsidP="00A56FE5">
      <w:pPr>
        <w:widowControl w:val="0"/>
        <w:numPr>
          <w:ilvl w:val="0"/>
          <w:numId w:val="1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Aktivna venska tromboembolija ili venska tromboembolija u anamnezi (npr. duboka venska tromboza, plućna embolija i tromboza retinalne vene).</w:t>
      </w:r>
    </w:p>
    <w:p w:rsidR="00A56FE5" w:rsidRPr="00A56FE5" w:rsidRDefault="00A56FE5" w:rsidP="00A56FE5">
      <w:pPr>
        <w:numPr>
          <w:ilvl w:val="0"/>
          <w:numId w:val="1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Dijagnostikovani poremećaji povezani sa trombofilijom (npr. deficijencija proteina C, proteina S ili antitrombina; vidjeti dio 4.4).</w:t>
      </w:r>
    </w:p>
    <w:p w:rsidR="00A56FE5" w:rsidRPr="00A56FE5" w:rsidRDefault="00A56FE5" w:rsidP="00A56FE5">
      <w:pPr>
        <w:numPr>
          <w:ilvl w:val="0"/>
          <w:numId w:val="1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Aktivna arterijska tromboembolijska bolest ili arterijska tromboembolijska bolest u anamnezi (npr. infarkt miokarda, moždani udar).</w:t>
      </w:r>
    </w:p>
    <w:p w:rsidR="00A56FE5" w:rsidRPr="00A56FE5" w:rsidRDefault="00A56FE5" w:rsidP="00A56FE5">
      <w:pPr>
        <w:numPr>
          <w:ilvl w:val="0"/>
          <w:numId w:val="1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Akutno oboljenje jetre ili oboljenje jetre u anamnezi, sve dok se parametri funkcije jetre ne vrate na normalu.</w:t>
      </w:r>
    </w:p>
    <w:p w:rsidR="00A56FE5" w:rsidRPr="00A56FE5" w:rsidRDefault="00A56FE5" w:rsidP="00A56FE5">
      <w:pPr>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KE + BZA ne smiju uzimati žene u reproduktivnom periodu ili dojilje (vidjeti djelove 4.6 i 5.3). </w:t>
      </w:r>
    </w:p>
    <w:p w:rsidR="00A56FE5" w:rsidRPr="00A56FE5" w:rsidRDefault="00A56FE5" w:rsidP="00A56FE5">
      <w:pPr>
        <w:numPr>
          <w:ilvl w:val="0"/>
          <w:numId w:val="15"/>
        </w:numPr>
        <w:tabs>
          <w:tab w:val="left" w:pos="284"/>
        </w:tabs>
        <w:spacing w:after="0" w:line="240" w:lineRule="auto"/>
        <w:ind w:left="284" w:hanging="28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Porfirija.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rPr>
      </w:pPr>
      <w:r w:rsidRPr="00A56FE5">
        <w:rPr>
          <w:rFonts w:ascii="Times New Roman" w:eastAsia="Times New Roman" w:hAnsi="Times New Roman" w:cs="Times New Roman"/>
          <w:color w:val="FF0000"/>
        </w:rPr>
        <w:t xml:space="preserve"> </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ru-RU"/>
        </w:rPr>
      </w:pPr>
      <w:r w:rsidRPr="00A56FE5">
        <w:rPr>
          <w:rFonts w:ascii="Times New Roman" w:eastAsia="Times New Roman" w:hAnsi="Times New Roman" w:cs="Times New Roman"/>
          <w:b/>
          <w:bCs/>
          <w:lang w:val="ru-RU"/>
        </w:rPr>
        <w:t>4.4. Posebna upozorenja i m</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ere opreza pri upotrebi l</w:t>
      </w:r>
      <w:r w:rsidRPr="00A56FE5">
        <w:rPr>
          <w:rFonts w:ascii="Times New Roman" w:eastAsia="Times New Roman" w:hAnsi="Times New Roman" w:cs="Times New Roman"/>
          <w:b/>
          <w:bCs/>
          <w:lang w:val="sr-Latn-RS"/>
        </w:rPr>
        <w:t>ij</w:t>
      </w:r>
      <w:r w:rsidRPr="00A56FE5">
        <w:rPr>
          <w:rFonts w:ascii="Times New Roman" w:eastAsia="Times New Roman" w:hAnsi="Times New Roman" w:cs="Times New Roman"/>
          <w:b/>
          <w:bCs/>
          <w:lang w:val="ru-RU"/>
        </w:rPr>
        <w:t>eka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autoSpaceDE w:val="0"/>
        <w:autoSpaceDN w:val="0"/>
        <w:adjustRightInd w:val="0"/>
        <w:spacing w:after="0" w:line="240" w:lineRule="auto"/>
        <w:jc w:val="both"/>
        <w:rPr>
          <w:rFonts w:ascii="Times New Roman" w:eastAsia="TimesNewRoman" w:hAnsi="Times New Roman" w:cs="Times New Roman"/>
          <w:lang w:val="sr-Latn-RS"/>
        </w:rPr>
      </w:pPr>
      <w:r w:rsidRPr="00A56FE5">
        <w:rPr>
          <w:rFonts w:ascii="Times New Roman" w:eastAsia="TimesNewRoman" w:hAnsi="Times New Roman" w:cs="Times New Roman"/>
          <w:lang w:val="sr-Latn-RS"/>
        </w:rPr>
        <w:t>Za liječenje postmenopauzalnih simptoma, terapija KE + BZA-om se smije uvesti samo u slučaju simptoma koji štetno utiču na kvalitet života. U svim slučajevima, najmanje jednom godišnje treba pažljivo procijeniti rizike i koristi, a liječenje treba nastaviti samo dok korist prevazilazi mogući rizik.</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Žene koje uzimaju KE + BZA ne smiju da uzimaju progestine, dodatne estrogene ili selektivne modulatore estrogenskih receptora (engl. </w:t>
      </w:r>
      <w:r w:rsidRPr="00A56FE5">
        <w:rPr>
          <w:rFonts w:ascii="Times New Roman" w:eastAsia="Times New Roman" w:hAnsi="Times New Roman" w:cs="Times New Roman"/>
          <w:i/>
          <w:lang w:val="sr-Latn-RS"/>
        </w:rPr>
        <w:t>selective estrogen receptor modulator</w:t>
      </w:r>
      <w:r w:rsidRPr="00A56FE5">
        <w:rPr>
          <w:rFonts w:ascii="Times New Roman" w:eastAsia="Times New Roman" w:hAnsi="Times New Roman" w:cs="Times New Roman"/>
          <w:lang w:val="sr-Latn-RS"/>
        </w:rPr>
        <w:t xml:space="preserve">, SERM).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widowControl w:val="0"/>
        <w:tabs>
          <w:tab w:val="left" w:pos="284"/>
        </w:tabs>
        <w:autoSpaceDE w:val="0"/>
        <w:autoSpaceDN w:val="0"/>
        <w:adjustRightInd w:val="0"/>
        <w:spacing w:after="0" w:line="240" w:lineRule="auto"/>
        <w:jc w:val="both"/>
        <w:rPr>
          <w:rFonts w:ascii="Times New Roman" w:eastAsia="TimesNewRoman" w:hAnsi="Times New Roman" w:cs="Times New Roman"/>
          <w:lang w:val="sr-Latn-RS"/>
        </w:rPr>
      </w:pPr>
      <w:r w:rsidRPr="00A56FE5">
        <w:rPr>
          <w:rFonts w:ascii="Times New Roman" w:eastAsia="Times New Roman" w:hAnsi="Times New Roman" w:cs="Times New Roman"/>
          <w:lang w:val="sr-Latn-RS"/>
        </w:rPr>
        <w:t xml:space="preserve">Primjena lijeka DUAVIVE (KE + BZA) nije ispitivana za liječenje preuranjene menopauze.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t>Ljekarski pregled/praćenje</w:t>
      </w:r>
    </w:p>
    <w:p w:rsidR="00A56FE5" w:rsidRPr="00A56FE5" w:rsidRDefault="00A56FE5" w:rsidP="00A56FE5">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Prije započinjanja ili ponovnog liječenja KE + BZA-om mora se uzeti kompletna lična i porodična anamneza. Ovo treba uzeti u obzir prilikom sprovođenja fizikalnog pregleda (koji uključuje pregled karlice i dojki), kao i kontraindikacije i mjere opreza pri primjeni lijeka. Tokom liječenja, preporučuju se periodični pregledi, a učestalost i prirodu pregleda treba prilagoditi stanju svake žene posebno. Ženama treba objasniti koje promjene na dojkama treba da prijave ljekaru ili medicinskoj sestri (vidjeti podnaslov „Karcinom dojke“ u nastavku). Preglede, koji uključuju odgovarajuće radiološke preglede, npr. mamografiju, treba sprovoditi u skladu sa trenutno prihvaćenom praksom i prilagoditi ih kliničkim potrebama svake pojedinačne osobe.</w:t>
      </w: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b/>
          <w:i/>
          <w:iCs/>
          <w:color w:val="FF0000"/>
          <w:lang w:val="sr-Latn-RS"/>
        </w:rPr>
      </w:pPr>
    </w:p>
    <w:p w:rsidR="00A56FE5" w:rsidRPr="00A56FE5" w:rsidRDefault="00A56FE5" w:rsidP="00A56FE5">
      <w:pPr>
        <w:widowControl w:val="0"/>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t>Stanja koja zahtijevaju nadzor</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Ako je bilo koje od sljedećih stanja prisutno, ili se javljalo ranije i/ili se pogoršalo tokom trudnoće ili prethodne hormonske terapije, neophodno je pažljivo praćenje pacijentkinje. Treba uzeti u obzir da se ova stanja mogu ponovo javiti ili pogoršati tokom liječenja KE + BZA-om, a posebno sljedeća stanja:</w:t>
      </w:r>
    </w:p>
    <w:p w:rsidR="00A56FE5" w:rsidRPr="00A56FE5" w:rsidRDefault="00A56FE5" w:rsidP="00A56FE5">
      <w:pPr>
        <w:widowControl w:val="0"/>
        <w:spacing w:after="0" w:line="240" w:lineRule="auto"/>
        <w:jc w:val="both"/>
        <w:rPr>
          <w:rFonts w:ascii="Times New Roman" w:eastAsia="Times New Roman" w:hAnsi="Times New Roman" w:cs="Times New Roman"/>
          <w:color w:val="FF0000"/>
          <w:lang w:val="sr-Latn-RS" w:eastAsia="sr-Latn-CS" w:bidi="sr-Latn-CS"/>
        </w:rPr>
      </w:pP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lejomiomi (fibroidi uterusa) ili endometrioza,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faktori rizika za tromboembolijske poremećaje (vidjeti ispod),</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faktori rizika za estrogen-zavisne tumore, npr. karcinom dojke kod krvnih srodnika prvog koljena,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hipertenzija,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poremećaji jetre (npr. adenom jetre),</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dijabetes melitus sa vaskularnim komplikacijama ili bez njih,</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holelitijaza,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migrena ili (jaka) glavobolja,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sistemski eritemski lupus,</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hiperplazija endometrijuma u anamnezi (vidjeti ispod),</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epilepsija,</w:t>
      </w:r>
    </w:p>
    <w:p w:rsidR="00A56FE5" w:rsidRPr="00A56FE5" w:rsidRDefault="00A56FE5" w:rsidP="00A56FE5">
      <w:pPr>
        <w:widowControl w:val="0"/>
        <w:numPr>
          <w:ilvl w:val="0"/>
          <w:numId w:val="17"/>
        </w:numPr>
        <w:tabs>
          <w:tab w:val="left" w:pos="284"/>
        </w:tabs>
        <w:spacing w:after="0" w:line="240" w:lineRule="auto"/>
        <w:ind w:left="357"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astma,</w:t>
      </w:r>
    </w:p>
    <w:p w:rsidR="00A56FE5" w:rsidRPr="00A56FE5" w:rsidRDefault="00A56FE5" w:rsidP="00A56FE5">
      <w:pPr>
        <w:widowControl w:val="0"/>
        <w:numPr>
          <w:ilvl w:val="0"/>
          <w:numId w:val="17"/>
        </w:numPr>
        <w:tabs>
          <w:tab w:val="left" w:pos="284"/>
        </w:tabs>
        <w:spacing w:after="0" w:line="240" w:lineRule="auto"/>
        <w:ind w:hanging="73"/>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otoskleroza.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lastRenderedPageBreak/>
        <w:t>Razlozi zbog kojih treba odmah prekinuti terapiju</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widowControl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Terapiju treba prekinuti ako se ustanovi postojanje kontraindikacije (npr. venska tromboembolija, moždani udar, i trudnoća), kao i u sljedećim situacijama:</w:t>
      </w:r>
    </w:p>
    <w:p w:rsidR="00A56FE5" w:rsidRPr="00A56FE5" w:rsidRDefault="00A56FE5" w:rsidP="00A56FE5">
      <w:pPr>
        <w:widowControl w:val="0"/>
        <w:spacing w:after="0" w:line="240" w:lineRule="auto"/>
        <w:jc w:val="both"/>
        <w:rPr>
          <w:rFonts w:ascii="Times New Roman" w:eastAsia="Times New Roman" w:hAnsi="Times New Roman" w:cs="Times New Roman"/>
          <w:lang w:val="sr-Latn-RS" w:eastAsia="sr-Latn-CS" w:bidi="sr-Latn-CS"/>
        </w:rPr>
      </w:pPr>
    </w:p>
    <w:p w:rsidR="00A56FE5" w:rsidRPr="00A56FE5" w:rsidRDefault="00A56FE5" w:rsidP="00A56FE5">
      <w:pPr>
        <w:widowControl w:val="0"/>
        <w:numPr>
          <w:ilvl w:val="0"/>
          <w:numId w:val="19"/>
        </w:numPr>
        <w:tabs>
          <w:tab w:val="left" w:pos="284"/>
        </w:tabs>
        <w:spacing w:after="0" w:line="240" w:lineRule="auto"/>
        <w:ind w:hanging="720"/>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žutica ili pogoršanje funkcije jetre,</w:t>
      </w:r>
    </w:p>
    <w:p w:rsidR="00A56FE5" w:rsidRPr="00A56FE5" w:rsidRDefault="00A56FE5" w:rsidP="00A56FE5">
      <w:pPr>
        <w:widowControl w:val="0"/>
        <w:numPr>
          <w:ilvl w:val="0"/>
          <w:numId w:val="19"/>
        </w:numPr>
        <w:tabs>
          <w:tab w:val="left" w:pos="284"/>
        </w:tabs>
        <w:spacing w:after="0" w:line="240" w:lineRule="auto"/>
        <w:ind w:hanging="720"/>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značajno povećanje krvnog pritiska,</w:t>
      </w:r>
    </w:p>
    <w:p w:rsidR="00A56FE5" w:rsidRPr="00A56FE5" w:rsidRDefault="00A56FE5" w:rsidP="00A56FE5">
      <w:pPr>
        <w:widowControl w:val="0"/>
        <w:numPr>
          <w:ilvl w:val="0"/>
          <w:numId w:val="19"/>
        </w:numPr>
        <w:tabs>
          <w:tab w:val="left" w:pos="284"/>
        </w:tabs>
        <w:spacing w:after="0" w:line="240" w:lineRule="auto"/>
        <w:ind w:hanging="720"/>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ponovna pojava glavobolje migrenoznog tipa.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 xml:space="preserve">Hiperplazija i karcinom endometrijuma </w:t>
      </w:r>
    </w:p>
    <w:p w:rsidR="00A56FE5" w:rsidRPr="00A56FE5" w:rsidRDefault="00A56FE5" w:rsidP="00A56FE5">
      <w:pPr>
        <w:tabs>
          <w:tab w:val="left" w:pos="284"/>
        </w:tabs>
        <w:spacing w:after="0" w:line="240" w:lineRule="auto"/>
        <w:jc w:val="both"/>
        <w:rPr>
          <w:rFonts w:ascii="Times New Roman" w:eastAsia="Times New Roman" w:hAnsi="Times New Roman" w:cs="Times New Roman"/>
          <w:b/>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Kod žena sa intaktnim uterusom, dugotrajna primjena samo estrogena povećava rizik od hiperplazije i karcinoma endometrijuma. Prijavljeno povećanje rizika za nastanak karcinoma endometrijuma kod žena koje uzimaju samo estrogene, veće je od 2 do 12 puta (u zavisnosti od dužine terapije i doze estrogena) u odnosu na žene koje ih ne uzimaju. Nakon prekida liječenja, rizik može ostati povećan još najmanje 10 godina. Žene koje uzimaju KE + BZA ne smiju da uzimaju dodatne estrogene, jer to može povećati rizik od hiperplazije endometrijuma i karcinoma endometrijuma. </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Bazedoksifen kao komponenta KE + BZA smanjuje rizik od hiperplazije endometrijuma, koja bi mogla da progredira do karcinoma endometrijuma.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Lines/>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Tokom terapije se može javiti probojno ili tačkasto krvarenje. Ako se probojno ili tačkasto krvarenje javi nakon određenog perioda liječenja ili se nastavi nakon prekida terapije, potrebno je ispitati razlog, što može uključiti i biopsiju endometrijuma, kako bi se isključio malignitet endometrijuma.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u w:val="single"/>
          <w:lang w:val="sr-Latn-RS"/>
        </w:rPr>
        <w:t>Karcinom dojke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Sveukupni dokazi ukazuju na povećan rizik od karcinoma dojke kod žena koje uzimaju terapiju samo estrogenima, koji zavisi od dužine trajanja terapije.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Ispitivanje sprovedeno od strane Inicijative za zdravlje žena (engl. </w:t>
      </w:r>
      <w:r w:rsidRPr="00A56FE5">
        <w:rPr>
          <w:rFonts w:ascii="Times New Roman" w:eastAsia="Times New Roman" w:hAnsi="Times New Roman" w:cs="Times New Roman"/>
          <w:i/>
          <w:lang w:val="sr-Latn-RS"/>
        </w:rPr>
        <w:t>Women’s Health Initiative</w:t>
      </w:r>
      <w:r w:rsidRPr="00A56FE5">
        <w:rPr>
          <w:rFonts w:ascii="Times New Roman" w:eastAsia="Times New Roman" w:hAnsi="Times New Roman" w:cs="Times New Roman"/>
          <w:lang w:val="sr-Latn-RS"/>
        </w:rPr>
        <w:t xml:space="preserve">, WHI) nije pokazalo povećanje rizika od karcinoma dojke kod žena podvrgnutih histerektomiji koje su na terapiji samo estrogenima.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U opservacionim studijama je uglavnom zabilježen mali porast rizika od karcinoma dojke, i taj rizik je znatno niži nego kod žena koje koriste kombinaciju estrogen-progestagen (vidjeti dio 4.8). Povećanje rizika postaje vidljivo nakon nekoliko godina primjene, ali se vraća na početnu vrijednost u roku od nekoliko (najviše pet) godina nakon prestanka terapije.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Uticaj KE + BZA na rizik od karcinoma dojke nije poznat.</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Karcinom ovarijuma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Karcinom ovarijuma je mnogo rjeđi od karcinoma dojke.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Epidemiološki dokazi velike metaanalize ukazuju da je kod žena koje uzimaju hormonsku supstitucionu terapiju na bazi samo estrogena rizik blago povećan, što postaje vidljivo nakon 5 godina primjene, i vremenom se smanjuje nakon prestanka terapije.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Neke druge studije, uključujući ispitivanje WHI, ukazuju na to da upotreba kombinovane hormonske supstitucione terapije može da bude povezana sa sličnim ili neznatno manjim rizikom (vidjeti dio 4.8).</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Uticaj KE + BZA na rizik od karcinoma jajnika nije poznat.</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Venska tromboembolija (VTE)</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U kliničkim ispitivanjima primjene KE + BZA kod žena u postmenopauzi u trajanju do 2 godine zabilježeni su slučajevi venske tromboembolije (vidjeti dio 4.8). Ako se ustanovi venska tromboembolija ili se na nju sumnja, primjenu KE + BZA treba odmah prekinuti.</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Selektivni modulatori estrogenih receptora (uključujući bazedoksifen) i estrogeni individualno povećavaju rizik od venske tromboembolije (vidjeti dio 4.8).</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Hormonska terapija je povezana sa 1,3 do 3 puta većim rizikom od razvoja venske tromboembolije. Pojava događaja povezanog sa venskom tromboembolijom vjerovatnija je u prvoj godini hormonske supstitucione terapije nego kasnije (vidjeti dio 4.8).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Pacijentkinje sa dijagnostikovanom trombofilijom su pod povećanim rizikom od venske tromboembolije, a primjena hormonske terapije može doprinijeti tom riziku. Primjena KE + BZA je kontraindikovana kod ovih pacijentkinja (vidjeti dio 4.3).</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Opšte poznati faktori rizika za razvoj venske tromboembolije uključuju terapiju estrogenima, starije životno doba, velike hirurške intervencije, produženu imobilizaciju, gojaznost (indeks tjelesne mase &gt; 30 kg/m</w:t>
      </w:r>
      <w:r w:rsidRPr="00A56FE5">
        <w:rPr>
          <w:rFonts w:ascii="Times New Roman" w:eastAsia="Times New Roman" w:hAnsi="Times New Roman" w:cs="Times New Roman"/>
          <w:vertAlign w:val="superscript"/>
          <w:lang w:val="sr-Latn-RS"/>
        </w:rPr>
        <w:t>2</w:t>
      </w:r>
      <w:r w:rsidRPr="00A56FE5">
        <w:rPr>
          <w:rFonts w:ascii="Times New Roman" w:eastAsia="Times New Roman" w:hAnsi="Times New Roman" w:cs="Times New Roman"/>
          <w:lang w:val="sr-Latn-RS"/>
        </w:rPr>
        <w:t>), trudnoću/postporođajni period, sistemski eritemski lupus (SEL) i karcinom. Nema usklađenog mišljenja o mogućoj ulozi proširenih vena u razvoju venske tromboembolije. Kao i kod svih pacijenata u postoperativnom periodu, treba razmotriti primjenu profilaktičkih mjera u cilju prevencije venske tromboembolije nakon operacije. U slučaju produžene imobilizacije nakon elektivnog hirurškog zahvata, preporučuje se privremeni prekid primjene KE + BZA 4 do 6 nedjelja prije planiranog hirurškog zahvata. Liječenje ne treba ponovo započinjati sve dok pacijentkinja ne bude potpuno pokretna. Pored toga, žene koje uzimaju KE + BZA treba savjetovati da se tokom putovanja koja zahtijevaju dugo sjedenje periodično kreću.</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bCs/>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Kod žena koje u ličnoj anamnezi nemaju vensku tromboemboliju, ali imaju srodnika prvog koljena sa istorijom tromboze u mlađem uzrastu, mogu se sprovesti ispitivanja, ali uzimajući u obzir i njihova ograničenja (ispitivanjem se može utvrditi samo određeni broj defekata povezanih sa trombofilijom). Ako je identifikovan defekt povezan sa trombofilijom pored tromboze kod članova porodice ili se defekt smatra teškim (npr. deficijencija antitrombina, proteina S ili proteina C ili kombinacija defekata), primjena hormonske terapije je kontraindikovana.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Kod žena koje su već na hroničnoj antikoagulantnoj terapiji treba pažljivo procijeniti odnos koristi i rizika primjene hormonske terapije.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U slučaju pojave ili sumnje na vensku tromboemboliju nakon započinjanja terapije, uzimenja KE + BZA se mora odmah prekinuti. Pacijentkinje treba uputiti da se odmah jave ljekaru čim uoče bilo koji od mogućih simptoma tromboembolije (npr. bolni otok noge, iznenadni bol u grudima, dispneja).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eastAsia="sr-Latn-CS" w:bidi="sr-Latn-CS"/>
        </w:rPr>
      </w:pPr>
      <w:r w:rsidRPr="00A56FE5">
        <w:rPr>
          <w:rFonts w:ascii="Times New Roman" w:eastAsia="Times New Roman" w:hAnsi="Times New Roman" w:cs="Times New Roman"/>
          <w:u w:val="single"/>
          <w:lang w:val="sr-Latn-RS" w:eastAsia="sr-Latn-CS" w:bidi="sr-Latn-CS"/>
        </w:rPr>
        <w:t>Bolest koronarnih arterija</w:t>
      </w:r>
    </w:p>
    <w:p w:rsidR="00A56FE5" w:rsidRPr="00A56FE5" w:rsidRDefault="00A56FE5" w:rsidP="00A56FE5">
      <w:pPr>
        <w:keepNext/>
        <w:keepLines/>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eastAsia="sr-Latn-CS" w:bidi="sr-Latn-CS"/>
        </w:rPr>
      </w:pPr>
    </w:p>
    <w:p w:rsidR="00A56FE5" w:rsidRPr="00A56FE5" w:rsidRDefault="00A56FE5" w:rsidP="00A56FE5">
      <w:pPr>
        <w:keepNext/>
        <w:keepLines/>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 xml:space="preserve">Nema dokaza iz randomizovanih kontrolisanih ispitivanja da terapija samo estrogenima pruža zaštitu od infarkta miokarda, bilo da je pacijentkinja oboljela od bolesti koronarnih arterija ili ne. Randomizovano kontrolisano ispitivanje nije pokazalo povećanje rizika od bolesti koronarnih arterija kod žena sa histerektomijom koje su bile na terapiji samo estrogenima.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Ishemijski moždani udar</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Terapija samo estrogenima povezana je sa do 1,5 puta većim rizikom od ishemijskog moždanog udara. Relativni rizik se ne mijenja sa godinama, niti sa vremenom proteklim od ulaska u menopauzu. Međutim, budući da osnovni rizik od moždanog udara u velikoj mjeri zavisi od starosnog doba, ukupni rizik od moždanog udara kod žena na hormonskoj terapiji se povećava sa godinama (vidjeti dio 4.8).</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Uticaj KE + BZA na rizik od moždanog udara nije poznat.</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U slučaju pojave ili sumnje na moždani udar, uzimanje KE + BZA se mora odmah prekinuti (vidjeti dio 4.3).</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Ostala stanja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pStyle w:val="ListParagraph"/>
        <w:keepNext/>
        <w:keepLines/>
        <w:numPr>
          <w:ilvl w:val="0"/>
          <w:numId w:val="20"/>
        </w:numPr>
        <w:tabs>
          <w:tab w:val="left" w:pos="284"/>
        </w:tabs>
        <w:autoSpaceDE w:val="0"/>
        <w:autoSpaceDN w:val="0"/>
        <w:adjustRightInd w:val="0"/>
        <w:spacing w:line="240" w:lineRule="auto"/>
        <w:ind w:left="567" w:hanging="207"/>
        <w:jc w:val="both"/>
        <w:rPr>
          <w:lang w:val="sr-Latn-RS"/>
        </w:rPr>
      </w:pPr>
      <w:r w:rsidRPr="00A56FE5">
        <w:rPr>
          <w:lang w:val="sr-Latn-RS"/>
        </w:rPr>
        <w:t xml:space="preserve">Estrogeni mogu da izazovu zadržavanje tečnosti, pa zato pacijentkinje sa srčanom ili bubrežnom disfunkcijom treba pažljivo pratiti tokom terapije KE + BZA-om. </w:t>
      </w:r>
    </w:p>
    <w:p w:rsidR="00A56FE5" w:rsidRPr="00A56FE5" w:rsidRDefault="00A56FE5" w:rsidP="00A56FE5">
      <w:pPr>
        <w:autoSpaceDE w:val="0"/>
        <w:autoSpaceDN w:val="0"/>
        <w:adjustRightInd w:val="0"/>
        <w:spacing w:after="0" w:line="240" w:lineRule="auto"/>
        <w:ind w:left="567" w:hanging="207"/>
        <w:jc w:val="both"/>
        <w:rPr>
          <w:rFonts w:ascii="Times New Roman" w:eastAsia="Times New Roman" w:hAnsi="Times New Roman" w:cs="Times New Roman"/>
          <w:lang w:val="sr-Latn-RS" w:eastAsia="sr-Latn-CS" w:bidi="sr-Latn-CS"/>
        </w:rPr>
      </w:pPr>
    </w:p>
    <w:p w:rsidR="00A56FE5" w:rsidRPr="00A56FE5" w:rsidRDefault="00A56FE5" w:rsidP="00A56FE5">
      <w:pPr>
        <w:pStyle w:val="ListParagraph"/>
        <w:numPr>
          <w:ilvl w:val="0"/>
          <w:numId w:val="20"/>
        </w:numPr>
        <w:tabs>
          <w:tab w:val="left" w:pos="284"/>
        </w:tabs>
        <w:autoSpaceDE w:val="0"/>
        <w:autoSpaceDN w:val="0"/>
        <w:adjustRightInd w:val="0"/>
        <w:spacing w:line="240" w:lineRule="auto"/>
        <w:ind w:left="567" w:hanging="207"/>
        <w:jc w:val="both"/>
        <w:rPr>
          <w:lang w:val="sr-Latn-RS"/>
        </w:rPr>
      </w:pPr>
      <w:r w:rsidRPr="00A56FE5">
        <w:rPr>
          <w:lang w:val="sr-Latn-RS"/>
        </w:rPr>
        <w:t xml:space="preserve">Pacijentkinje sa terminalnom insuficijencijom bubrega treba pažljivo pratiti zbog očekivanog povećanja nivoa cirkulišućih estrogena iz KE + BZA. Primjena u ovoj populaciji se ne preporučuje (vidjeti djelove 4.2 i 5.2). </w:t>
      </w:r>
    </w:p>
    <w:p w:rsidR="00A56FE5" w:rsidRPr="00A56FE5" w:rsidRDefault="00A56FE5" w:rsidP="00A56FE5">
      <w:pPr>
        <w:autoSpaceDE w:val="0"/>
        <w:autoSpaceDN w:val="0"/>
        <w:adjustRightInd w:val="0"/>
        <w:spacing w:after="0" w:line="240" w:lineRule="auto"/>
        <w:ind w:left="567" w:hanging="207"/>
        <w:jc w:val="both"/>
        <w:rPr>
          <w:rFonts w:ascii="Times New Roman" w:eastAsia="Times New Roman" w:hAnsi="Times New Roman" w:cs="Times New Roman"/>
          <w:color w:val="FF0000"/>
          <w:lang w:val="sr-Latn-RS" w:eastAsia="sr-Latn-CS" w:bidi="sr-Latn-CS"/>
        </w:rPr>
      </w:pPr>
    </w:p>
    <w:p w:rsidR="00A56FE5" w:rsidRPr="00A56FE5" w:rsidRDefault="00A56FE5" w:rsidP="00A56FE5">
      <w:pPr>
        <w:pStyle w:val="ListParagraph"/>
        <w:numPr>
          <w:ilvl w:val="0"/>
          <w:numId w:val="20"/>
        </w:numPr>
        <w:tabs>
          <w:tab w:val="left" w:pos="284"/>
        </w:tabs>
        <w:autoSpaceDE w:val="0"/>
        <w:autoSpaceDN w:val="0"/>
        <w:adjustRightInd w:val="0"/>
        <w:spacing w:line="240" w:lineRule="auto"/>
        <w:ind w:left="567" w:hanging="207"/>
        <w:jc w:val="both"/>
        <w:rPr>
          <w:lang w:val="sr-Latn-RS"/>
        </w:rPr>
      </w:pPr>
      <w:r w:rsidRPr="00A56FE5">
        <w:rPr>
          <w:lang w:val="sr-Latn-RS"/>
        </w:rPr>
        <w:t>Žene sa prethodno dijagnostikovanom hipertrigliceridemijom treba pažljivo pratiti tokom terapije estrogenima, jer su kod ovih pacijentkinja zabilježeni rijetki slučajevi izrazitog povećanja vrijednosti triglicerida u plazmi koja su dovela do pankreatitisa. Primjena konjugovanih estrogena + bazedoksifena nije ispitivana kod žena sa početnim vrijednostima triglicerida &gt; 300 mg/dl (&gt; 3,4 mmol/l). U kliničkim ispitivanjima u trajanju do 2 godine, primjena konjugovanih estrogena + bazedoksifena dovodila se u vezu sa povećanjem koncentracije triglicerida u serumu u odnosu na početne vrijednosti za oko 16% nakon 12 mjeseci, odnosno za oko 20% nakon 24 mjeseca. Iz tog razloga treba razmotriti praćenje vrijednosti triglicerida u serumu bar jednom godišnje.</w:t>
      </w:r>
    </w:p>
    <w:p w:rsidR="00A56FE5" w:rsidRPr="00A56FE5" w:rsidRDefault="00A56FE5" w:rsidP="00A56FE5">
      <w:pPr>
        <w:autoSpaceDE w:val="0"/>
        <w:autoSpaceDN w:val="0"/>
        <w:adjustRightInd w:val="0"/>
        <w:spacing w:after="0" w:line="240" w:lineRule="auto"/>
        <w:ind w:left="567" w:hanging="207"/>
        <w:jc w:val="both"/>
        <w:rPr>
          <w:rFonts w:ascii="Times New Roman" w:eastAsia="Times New Roman" w:hAnsi="Times New Roman" w:cs="Times New Roman"/>
          <w:color w:val="FF0000"/>
          <w:lang w:val="sr-Latn-RS"/>
        </w:rPr>
      </w:pPr>
    </w:p>
    <w:p w:rsidR="00A56FE5" w:rsidRPr="00A56FE5" w:rsidRDefault="00A56FE5" w:rsidP="00A56FE5">
      <w:pPr>
        <w:pStyle w:val="ListParagraph"/>
        <w:numPr>
          <w:ilvl w:val="0"/>
          <w:numId w:val="20"/>
        </w:numPr>
        <w:tabs>
          <w:tab w:val="left" w:pos="284"/>
        </w:tabs>
        <w:autoSpaceDE w:val="0"/>
        <w:autoSpaceDN w:val="0"/>
        <w:adjustRightInd w:val="0"/>
        <w:spacing w:line="240" w:lineRule="auto"/>
        <w:ind w:left="567" w:hanging="207"/>
        <w:jc w:val="both"/>
        <w:rPr>
          <w:lang w:val="sr-Latn-RS"/>
        </w:rPr>
      </w:pPr>
      <w:r w:rsidRPr="00A56FE5">
        <w:rPr>
          <w:lang w:val="sr-Latn-RS"/>
        </w:rPr>
        <w:t>Primjena konjugovanih estrogena + bazedoksifena nije ispitivana kod pacijentkinja sa oštećenjem funkcije jetre (vidjeti djelove 4.2 i 5.2) ili holestaznom žuticom u anamnezi. Kod pacijentkinja sa oštećenjem funkcije jetre, metabolizam estrogena može biti usporen. Kod žena sa holestaznom žuticom u anamnezi kod prethodnog uzimanja estrogena ili tokom trudnoće, potreban je oprez, a u slučaju ponovne pojave, liječenje KE + BZA-om treba prekinuti.</w:t>
      </w:r>
    </w:p>
    <w:p w:rsidR="00A56FE5" w:rsidRPr="00A56FE5" w:rsidRDefault="00A56FE5" w:rsidP="00A56FE5">
      <w:pPr>
        <w:tabs>
          <w:tab w:val="left" w:pos="0"/>
        </w:tabs>
        <w:spacing w:after="0" w:line="240" w:lineRule="auto"/>
        <w:ind w:left="567" w:hanging="207"/>
        <w:jc w:val="both"/>
        <w:rPr>
          <w:rFonts w:ascii="Times New Roman" w:eastAsia="Times New Roman" w:hAnsi="Times New Roman" w:cs="Times New Roman"/>
          <w:lang w:val="sr-Latn-RS" w:eastAsia="sr-Latn-CS" w:bidi="sr-Latn-CS"/>
        </w:rPr>
      </w:pPr>
    </w:p>
    <w:p w:rsidR="00A56FE5" w:rsidRPr="00A56FE5" w:rsidRDefault="00A56FE5" w:rsidP="00A56FE5">
      <w:pPr>
        <w:pStyle w:val="ListParagraph"/>
        <w:numPr>
          <w:ilvl w:val="0"/>
          <w:numId w:val="20"/>
        </w:numPr>
        <w:tabs>
          <w:tab w:val="left" w:pos="284"/>
          <w:tab w:val="left" w:pos="426"/>
        </w:tabs>
        <w:autoSpaceDE w:val="0"/>
        <w:autoSpaceDN w:val="0"/>
        <w:adjustRightInd w:val="0"/>
        <w:spacing w:line="240" w:lineRule="auto"/>
        <w:ind w:left="567" w:hanging="207"/>
        <w:jc w:val="both"/>
        <w:rPr>
          <w:lang w:val="sr-Latn-RS"/>
        </w:rPr>
      </w:pPr>
      <w:r w:rsidRPr="00A56FE5">
        <w:rPr>
          <w:lang w:val="sr-Latn-RS"/>
        </w:rPr>
        <w:lastRenderedPageBreak/>
        <w:t>Kod pacijentkinja u postmenopauzi koje primaju estrogene, rizik od bolesti žučne kese koja zahtijeva hirurško liječenje povećan je 2 do 4 puta (vidjeti dio 4.8). Pacijentkinje liječene KE + BZA-om je potrebno je pažljivo nadzirati, kako bi se uočili eventualni znaci razvoja bolesti žučne kese.</w:t>
      </w:r>
    </w:p>
    <w:p w:rsidR="00A56FE5" w:rsidRPr="00A56FE5" w:rsidRDefault="00A56FE5" w:rsidP="00A56FE5">
      <w:pPr>
        <w:autoSpaceDE w:val="0"/>
        <w:autoSpaceDN w:val="0"/>
        <w:adjustRightInd w:val="0"/>
        <w:spacing w:after="0" w:line="240" w:lineRule="auto"/>
        <w:ind w:left="567" w:hanging="207"/>
        <w:jc w:val="both"/>
        <w:rPr>
          <w:rFonts w:ascii="Times New Roman" w:eastAsia="Times New Roman" w:hAnsi="Times New Roman" w:cs="Times New Roman"/>
          <w:lang w:val="sr-Latn-RS"/>
        </w:rPr>
      </w:pPr>
    </w:p>
    <w:p w:rsidR="00A56FE5" w:rsidRPr="00A56FE5" w:rsidRDefault="00A56FE5" w:rsidP="00A56FE5">
      <w:pPr>
        <w:pStyle w:val="ListParagraph"/>
        <w:keepNext/>
        <w:keepLines/>
        <w:widowControl w:val="0"/>
        <w:numPr>
          <w:ilvl w:val="0"/>
          <w:numId w:val="20"/>
        </w:numPr>
        <w:tabs>
          <w:tab w:val="left" w:pos="284"/>
        </w:tabs>
        <w:autoSpaceDE w:val="0"/>
        <w:autoSpaceDN w:val="0"/>
        <w:adjustRightInd w:val="0"/>
        <w:spacing w:line="240" w:lineRule="auto"/>
        <w:ind w:left="567" w:hanging="207"/>
        <w:jc w:val="both"/>
        <w:rPr>
          <w:lang w:val="sr-Latn-RS"/>
        </w:rPr>
      </w:pPr>
      <w:r w:rsidRPr="00A56FE5">
        <w:rPr>
          <w:lang w:val="sr-Latn-RS"/>
        </w:rPr>
        <w:t xml:space="preserve">Estrogeni povećavaju koncentraciju tiroksin vezujućeg globulina (engl. </w:t>
      </w:r>
      <w:r w:rsidRPr="00A56FE5">
        <w:rPr>
          <w:i/>
          <w:lang w:val="sr-Latn-RS"/>
        </w:rPr>
        <w:t>thyroid binding globulin</w:t>
      </w:r>
      <w:r w:rsidRPr="00A56FE5">
        <w:rPr>
          <w:lang w:val="sr-Latn-RS"/>
        </w:rPr>
        <w:t xml:space="preserve">, TBG), što dovodi do povećanja ukupne koncentracije tiroidnih hormona u cirkulaciji, izraženo pomoću joda vezanog za proteine (engl. </w:t>
      </w:r>
      <w:r w:rsidRPr="00A56FE5">
        <w:rPr>
          <w:i/>
          <w:lang w:val="sr-Latn-RS"/>
        </w:rPr>
        <w:t>protein-bound io</w:t>
      </w:r>
      <w:r w:rsidRPr="00A56FE5">
        <w:rPr>
          <w:lang w:val="sr-Latn-RS"/>
        </w:rPr>
        <w:t xml:space="preserve">dine, PBI), koncentracije T4 (određenih metodom kolone ili radioimunološkim testom), ili koncentracije T3 (određenih radioimunološkim testom). Vezivanje T3 za smolu je smanjeno, odražavajući povišeni TBG. Koncentracije slobodnog T4 i T3 ostaju nepromijenjene. Ostali vezujući proteini u serumu mogu biti povišeni, kao što je kortikoid vezujući globulin (engl. </w:t>
      </w:r>
      <w:r w:rsidRPr="00A56FE5">
        <w:rPr>
          <w:i/>
          <w:lang w:val="sr-Latn-RS"/>
        </w:rPr>
        <w:t>corticoid binding globulin</w:t>
      </w:r>
      <w:r w:rsidRPr="00A56FE5">
        <w:rPr>
          <w:lang w:val="sr-Latn-RS"/>
        </w:rPr>
        <w:t xml:space="preserve">, CBG) i globulin koji vezuje polne hormone (engl. </w:t>
      </w:r>
      <w:r w:rsidRPr="00A56FE5">
        <w:rPr>
          <w:i/>
          <w:lang w:val="sr-Latn-RS"/>
        </w:rPr>
        <w:t>sex-hormone-binding globulin</w:t>
      </w:r>
      <w:r w:rsidRPr="00A56FE5">
        <w:rPr>
          <w:lang w:val="sr-Latn-RS"/>
        </w:rPr>
        <w:t>, SHBG), što dovodi do povećanja cirkulišućih kortikosteroida odnosno polnih hormona. Koncentracije slobodnih ili biološki aktivnih hormona ostaju nepromijenjene. Ostali proteini u plazmi mogu biti povišeni (angiotenzinogen/renin supstrat, alfa-1 antitripsin, ceruloplazmin).</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Primjena estrogena ne poboljšava kognitivnu funkciju. Postoje izvjesni dokazi o povećanom riziku od mogućeg razvoja demencije kod žena koje započnu primjenu kontinuirane terapije samo estrogenima nakon 65. godine.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Uticaj KE + BZA na rizik od demencije nije poznat.</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Sadržaj pomoćnih supstanci</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Lijek DUAVIVE sadrži laktozu, saharozu, glukozu (u polidekstrozi i tečnom maltitolu) i sorbitol (u polidekstrozi).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t>Laktoza, saharoza i glukoza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Pacijentkinje sa rijetkim nasljednim oboljenjem intolerancije na galaktozu, nedostatkom Lapp laktaze, intolerancije na fruktozu, glukozno-galaktoznom malapsorpcijom ili nedostatkom saharaza-izomaltaze ne smiju koristiti ovaj lijek.</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t>Sorbitol</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Ovaj lijek sadrži sorbitol koji može uticati na bioraspoloživost drugih istovremeno primijenjenih ljekova. Potrebno je uzeti u obzir aditivni efekat svih izvora sorbitola iz drugih istovremeno primijenjenih ljekova i ishrane.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ru-RU"/>
        </w:rPr>
      </w:pPr>
      <w:r w:rsidRPr="00A56FE5">
        <w:rPr>
          <w:rFonts w:ascii="Times New Roman" w:eastAsia="Times New Roman" w:hAnsi="Times New Roman" w:cs="Times New Roman"/>
          <w:b/>
          <w:bCs/>
          <w:lang w:val="ru-RU"/>
        </w:rPr>
        <w:t>4.5. Interakcije sa drugim l</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ekovima i druge vrste interakcija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de-DE"/>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Rezultati kliničke studije interakcija sprovedene sa KE + BZA, kao i studija interakcija sa konjugovanim estrogenima ili bazedoksifenom primijenjenih kao monoterapija, sažeto su prikazani u nastavku.</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Konjugovani estrogeni</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i/>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NewRoman,Bold" w:hAnsi="Times New Roman" w:cs="Times New Roman"/>
          <w:lang w:val="sr-Latn-RS"/>
        </w:rPr>
      </w:pPr>
      <w:r w:rsidRPr="00A56FE5">
        <w:rPr>
          <w:rFonts w:ascii="Times New Roman" w:eastAsia="Times New Roman" w:hAnsi="Times New Roman" w:cs="Times New Roman"/>
          <w:i/>
          <w:lang w:val="sr-Latn-RS"/>
        </w:rPr>
        <w:t>In vitro</w:t>
      </w:r>
      <w:r w:rsidRPr="00A56FE5">
        <w:rPr>
          <w:rFonts w:ascii="Times New Roman" w:eastAsia="Times New Roman" w:hAnsi="Times New Roman" w:cs="Times New Roman"/>
          <w:lang w:val="sr-Latn-RS"/>
        </w:rPr>
        <w:t xml:space="preserve"> i </w:t>
      </w:r>
      <w:r w:rsidRPr="00A56FE5">
        <w:rPr>
          <w:rFonts w:ascii="Times New Roman" w:eastAsia="Times New Roman" w:hAnsi="Times New Roman" w:cs="Times New Roman"/>
          <w:i/>
          <w:lang w:val="sr-Latn-RS"/>
        </w:rPr>
        <w:t>in vivo</w:t>
      </w:r>
      <w:r w:rsidRPr="00A56FE5">
        <w:rPr>
          <w:rFonts w:ascii="Times New Roman" w:eastAsia="Times New Roman" w:hAnsi="Times New Roman" w:cs="Times New Roman"/>
          <w:lang w:val="sr-Latn-RS"/>
        </w:rPr>
        <w:t xml:space="preserve"> studije pokazale su da se estrogeni djelimično metabolišu putem enzima citohroma P450, uključujući CYP3A4. Međutim, u kliničkoj studiji interakcije ljekova, ponovljena primjena 200 mg itrakonazola, snažnog inhibitora CYP3A4, i pojedinačne doze od 0,45 mg konjugovanih estrogena i 20 mg bazedoksifena, imala je minimalni uticaj na farmakokinetiku konjugovanih estrogena (izraženih kao estron i ekvilin) i bazedoksifena.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Metabolizam estrogena može biti ubrzan usljed istovremene primjene induktora enzima koji učestvuju u metabolizmu ljekova, kao što su antikonvulzivi (npr. fenobarbital, fenitoin, karbamazepin) i antiinfektivi (npr. rifampicin, rifabutin, nevirapin, efavirenz). Ritonavir i nelfinavir, iako poznati kao snažni inhibitori, suprotno tome pokazuju indukujuća svojstva kad se koriste istovremeno sa steroidnim hormonima. Biljni preparati koji sadrže kantarion (</w:t>
      </w:r>
      <w:r w:rsidRPr="00A56FE5">
        <w:rPr>
          <w:rFonts w:ascii="Times New Roman" w:eastAsia="Times New Roman" w:hAnsi="Times New Roman" w:cs="Times New Roman"/>
          <w:i/>
          <w:lang w:val="sr-Latn-RS"/>
        </w:rPr>
        <w:t>Hypericum perforatum</w:t>
      </w:r>
      <w:r w:rsidRPr="00A56FE5">
        <w:rPr>
          <w:rFonts w:ascii="Times New Roman" w:eastAsia="Times New Roman" w:hAnsi="Times New Roman" w:cs="Times New Roman"/>
          <w:lang w:val="sr-Latn-RS"/>
        </w:rPr>
        <w:t>) mogu da indukuju metabolizam estrogena. Ubrzani metabolizam estrogena može dovesti do smanjenog kliničkog dejstva i promjena u obrascu krvarenja iz uterusa.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bCs/>
          <w:lang w:val="sr-Latn-RS"/>
        </w:rPr>
      </w:pPr>
      <w:r w:rsidRPr="00A56FE5">
        <w:rPr>
          <w:rFonts w:ascii="Times New Roman" w:eastAsia="Times New Roman" w:hAnsi="Times New Roman" w:cs="Times New Roman"/>
          <w:u w:val="single"/>
          <w:lang w:val="sr-Latn-RS"/>
        </w:rPr>
        <w:t>Bazedoksifen</w:t>
      </w:r>
      <w:r w:rsidRPr="00A56FE5">
        <w:rPr>
          <w:rFonts w:ascii="Times New Roman" w:eastAsia="Times New Roman" w:hAnsi="Times New Roman" w:cs="Times New Roman"/>
          <w:lang w:val="sr-Latn-RS"/>
        </w:rPr>
        <w:t xml:space="preserve"> </w:t>
      </w:r>
    </w:p>
    <w:p w:rsidR="00A56FE5" w:rsidRPr="00A56FE5" w:rsidRDefault="00A56FE5" w:rsidP="00A56FE5">
      <w:pPr>
        <w:tabs>
          <w:tab w:val="left" w:pos="284"/>
        </w:tabs>
        <w:spacing w:after="0" w:line="240" w:lineRule="auto"/>
        <w:jc w:val="both"/>
        <w:rPr>
          <w:rFonts w:ascii="Times New Roman" w:eastAsia="Times New Roman" w:hAnsi="Times New Roman" w:cs="Times New Roman"/>
          <w:bCs/>
          <w:lang w:val="sr-Latn-RS"/>
        </w:rPr>
      </w:pPr>
    </w:p>
    <w:p w:rsidR="00A56FE5" w:rsidRPr="00A56FE5" w:rsidRDefault="00A56FE5" w:rsidP="00A56FE5">
      <w:pPr>
        <w:widowControl w:val="0"/>
        <w:spacing w:after="0" w:line="240" w:lineRule="auto"/>
        <w:jc w:val="both"/>
        <w:rPr>
          <w:rFonts w:ascii="Times New Roman" w:eastAsia="Times New Roman" w:hAnsi="Times New Roman" w:cs="Times New Roman"/>
          <w:color w:val="FF0000"/>
          <w:lang w:val="sr-Latn-RS" w:eastAsia="sr-Latn-CS" w:bidi="sr-Latn-CS"/>
        </w:rPr>
      </w:pPr>
      <w:r w:rsidRPr="00A56FE5">
        <w:rPr>
          <w:rFonts w:ascii="Times New Roman" w:eastAsia="Times New Roman" w:hAnsi="Times New Roman" w:cs="Times New Roman"/>
          <w:lang w:val="sr-Latn-RS" w:eastAsia="sr-Latn-CS" w:bidi="sr-Latn-CS"/>
        </w:rPr>
        <w:t>Metabolizam bazedoksifena može se povećati istovremenom primjenom induktora glukuronoziltransferaze (UGT), kao što su rifampicin, fenobarbital, karbamazepin i fenitoin, što potencijalno dovodi do smanjenja sistemskih koncentracija bazedoksifena. Smanjena izloženost bazedoksifenu može da bude povezana sa povećanim rizikom od hiperplazije endometrijuma (vidjeti dio 4.4). </w:t>
      </w:r>
    </w:p>
    <w:p w:rsidR="00A56FE5" w:rsidRPr="00A56FE5" w:rsidRDefault="00A56FE5" w:rsidP="00A56FE5">
      <w:pPr>
        <w:tabs>
          <w:tab w:val="left" w:pos="284"/>
          <w:tab w:val="left" w:pos="720"/>
        </w:tabs>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 w:val="left" w:pos="720"/>
        </w:tabs>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Bazedoksifen se neznatno metaboliše putem citohroma P450 (CYP) ili se ne metaboliše uopšte. Bazedoksifen nije induktor ni inhibitor glavnih izoenzima CYP, pa je vjerovatnoća pojave interakcija sa ljekovima koji se metabolišu putem CYP neznatna. </w:t>
      </w:r>
    </w:p>
    <w:p w:rsidR="00A56FE5" w:rsidRPr="00A56FE5" w:rsidRDefault="00A56FE5" w:rsidP="00A56FE5">
      <w:pPr>
        <w:tabs>
          <w:tab w:val="left" w:pos="284"/>
          <w:tab w:val="left" w:pos="720"/>
        </w:tabs>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r w:rsidRPr="00A56FE5">
        <w:rPr>
          <w:rFonts w:ascii="Times New Roman" w:eastAsia="Times New Roman" w:hAnsi="Times New Roman" w:cs="Times New Roman"/>
          <w:lang w:val="sr-Latn-RS"/>
        </w:rPr>
        <w:t xml:space="preserve">Nisu zabilježene značajne farmakokinetičke interakcije između bazedoksifena i sljedećih ljekova: ibuprofena, atorvastatina, azitromicina i antacida koji sadrže aluminijum hidroksid, odnosno magnezijum hidroksid.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ru-RU"/>
        </w:rPr>
        <w:t xml:space="preserve">4.6. </w:t>
      </w:r>
      <w:r w:rsidRPr="00A56FE5">
        <w:rPr>
          <w:rFonts w:ascii="Times New Roman" w:eastAsia="Times New Roman" w:hAnsi="Times New Roman" w:cs="Times New Roman"/>
          <w:b/>
          <w:bCs/>
          <w:lang w:val="sr-Latn-RS"/>
        </w:rPr>
        <w:t>Plodnost, t</w:t>
      </w:r>
      <w:r w:rsidRPr="00A56FE5">
        <w:rPr>
          <w:rFonts w:ascii="Times New Roman" w:eastAsia="Times New Roman" w:hAnsi="Times New Roman" w:cs="Times New Roman"/>
          <w:b/>
          <w:bCs/>
          <w:lang w:val="ru-RU"/>
        </w:rPr>
        <w:t>rudnoć</w:t>
      </w:r>
      <w:r w:rsidRPr="00A56FE5">
        <w:rPr>
          <w:rFonts w:ascii="Times New Roman" w:eastAsia="Times New Roman" w:hAnsi="Times New Roman" w:cs="Times New Roman"/>
          <w:b/>
          <w:bCs/>
          <w:lang w:val="sr-Latn-RS"/>
        </w:rPr>
        <w:t>a</w:t>
      </w:r>
      <w:r w:rsidRPr="00A56FE5">
        <w:rPr>
          <w:rFonts w:ascii="Times New Roman" w:eastAsia="Times New Roman" w:hAnsi="Times New Roman" w:cs="Times New Roman"/>
          <w:b/>
          <w:bCs/>
          <w:lang w:val="ru-RU"/>
        </w:rPr>
        <w:t xml:space="preserve"> i </w:t>
      </w:r>
      <w:r w:rsidRPr="00A56FE5">
        <w:rPr>
          <w:rFonts w:ascii="Times New Roman" w:eastAsia="Times New Roman" w:hAnsi="Times New Roman" w:cs="Times New Roman"/>
          <w:b/>
          <w:bCs/>
          <w:lang w:val="sr-Latn-RS"/>
        </w:rPr>
        <w:t>dojenje</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Trudnoća</w:t>
      </w: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KE + BZA </w:t>
      </w:r>
      <w:r w:rsidRPr="00A56FE5">
        <w:rPr>
          <w:rFonts w:ascii="Times New Roman" w:eastAsia="Times New Roman" w:hAnsi="Times New Roman" w:cs="Times New Roman"/>
          <w:lang w:val="es-ES_tradnl"/>
        </w:rPr>
        <w:t>se primjenjuje isključivo</w:t>
      </w:r>
      <w:r w:rsidRPr="00A56FE5">
        <w:rPr>
          <w:rFonts w:ascii="Times New Roman" w:eastAsia="Times New Roman" w:hAnsi="Times New Roman" w:cs="Times New Roman"/>
          <w:lang w:val="sr-Latn-RS"/>
        </w:rPr>
        <w:t xml:space="preserve"> kod žena u postmenopauzi i njegova primjena je kontraindikovana kod žena u </w:t>
      </w:r>
      <w:r w:rsidRPr="00A56FE5">
        <w:rPr>
          <w:rFonts w:ascii="Times New Roman" w:eastAsia="Times New Roman" w:hAnsi="Times New Roman" w:cs="Times New Roman"/>
          <w:lang w:val="es-ES_tradnl"/>
        </w:rPr>
        <w:t>reproduktivnom periodu</w:t>
      </w:r>
      <w:r w:rsidRPr="00A56FE5">
        <w:rPr>
          <w:rFonts w:ascii="Times New Roman" w:eastAsia="Times New Roman" w:hAnsi="Times New Roman" w:cs="Times New Roman"/>
          <w:lang w:val="sr-Latn-RS"/>
        </w:rPr>
        <w:t xml:space="preserve"> (vidjeti dio 4.3). Nema podataka o primjeni KE + BZA</w:t>
      </w:r>
      <w:r w:rsidRPr="00A56FE5">
        <w:rPr>
          <w:rFonts w:ascii="Times New Roman" w:eastAsia="Times New Roman" w:hAnsi="Times New Roman" w:cs="Times New Roman"/>
          <w:i/>
          <w:lang w:val="sr-Latn-RS"/>
        </w:rPr>
        <w:t xml:space="preserve"> </w:t>
      </w:r>
      <w:r w:rsidRPr="00A56FE5">
        <w:rPr>
          <w:rFonts w:ascii="Times New Roman" w:eastAsia="Times New Roman" w:hAnsi="Times New Roman" w:cs="Times New Roman"/>
          <w:lang w:val="sr-Latn-RS"/>
        </w:rPr>
        <w:t>kod trudnica. Ako dođe do trudnoće tokom terapije KE + BZA-om, liječenje treba odmah prekinuti.</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highlight w:val="yellow"/>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Rezultati većine dosadašnjih epidemioloških studija koje se odnose na nenamjernu izloženost fetusa estrogenima, ne ukazuju na teratogena ili fetotoksična dejstva.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studijama primjene bazedoksifena kao monoterapije na kunićima pokazana je reproduktivna toksičnost (vidjeti dio 5.3). Potencijalni rizik za ljude nije poznat.</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Dojenje</w:t>
      </w: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Primjena KE + BZA je kontraindikovana tokom dojenja (vidjeti dio 4.3). Nije poznato da li se bazedoksifen izlučuje u majčino mlijeko. Mjerljive količine estrogena utvrđene su u mlijeku majki koje su primale konjugovane estrogene. Pokazalo se da primjena estrogena kod dojilja smanjuje količinu i kvalitet mlijeka.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Plodnost</w:t>
      </w:r>
    </w:p>
    <w:p w:rsidR="00A56FE5" w:rsidRPr="00A56FE5" w:rsidRDefault="00A56FE5" w:rsidP="00A56FE5">
      <w:pPr>
        <w:keepNext/>
        <w:tabs>
          <w:tab w:val="left" w:pos="284"/>
        </w:tabs>
        <w:autoSpaceDE w:val="0"/>
        <w:autoSpaceDN w:val="0"/>
        <w:adjustRightInd w:val="0"/>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Nisu sprovedene studije na životinjama da bi se procijenio efekat kombinacije konjugovanih estrogena i bazedoksifena na reprodukciju. </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U studijama na pacovima, bazedoksifen je pokazao neželjena dejstva na plodnost (vidjeti dio 5.3). Potencijalni rizik za ljude nije poznat.</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4.7. Uticaj na sposobnost upravljanja vozilima i rukovanje mašinama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KE + BZA ima mali uticaj na sposobnost upravljanja motornim vozilima i rukovanja mašinama.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kliničkim ispitivanjima primjene bazedoksifena kao monoterapije, zabilježena je pospanost kao neželjena reakcija, zbog čega je potrebno upoznati pacijentkinje sa mogućim uticajem na sposobnost upravljanja motornim vozilima i rukovanja mašinama.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Kod pacijentkinja koje su primale monoterapiju bazedoksifenom, u postmarketinškom periodu su prijavljene vizuelne smetnje, kao što su poremećaj oštrine vida ili zamućen vid. Ukoliko se pojave takvi simptomi, pacijentkinje treba da izbjegavaju upravljanje motornim vozilima ili rukovanje mašinama koje zahtijeva preciznu vizuelnu percepciju, dok se simptomi ne povuku ili dok ne dobiju savjet ljekara da je to bezbjedno.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4.8. Neželjena dejstva</w:t>
      </w:r>
    </w:p>
    <w:p w:rsidR="00A56FE5" w:rsidRPr="00A56FE5" w:rsidRDefault="00A56FE5" w:rsidP="00A56FE5">
      <w:pPr>
        <w:tabs>
          <w:tab w:val="left" w:pos="284"/>
        </w:tabs>
        <w:spacing w:after="0" w:line="240" w:lineRule="auto"/>
        <w:jc w:val="both"/>
        <w:rPr>
          <w:rFonts w:ascii="Times New Roman" w:eastAsia="Times New Roman" w:hAnsi="Times New Roman" w:cs="Times New Roman"/>
          <w:noProof/>
          <w:color w:val="FF0000"/>
          <w:u w:val="single"/>
          <w:lang w:val="hr-HR"/>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u w:val="single"/>
          <w:lang w:val="sr-Latn-RS"/>
        </w:rPr>
      </w:pPr>
      <w:r w:rsidRPr="00A56FE5">
        <w:rPr>
          <w:rFonts w:ascii="Times New Roman" w:eastAsia="Times New Roman" w:hAnsi="Times New Roman" w:cs="Times New Roman"/>
          <w:u w:val="single"/>
          <w:lang w:val="sr-Latn-RS"/>
        </w:rPr>
        <w:t>Sažetak bezbjednosnog profila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 xml:space="preserve">Najčešće prijavljivana neželjena reakcija je bol u abdomenu, zabilježen kod više od 10% pacijentkinja u kliničkim ispitivanjima.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Ozbiljna venska tromboembolija može da se javi rijetko (manje od 1 slučaja na 1000 pacijentkinja).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Tabelarni prikaz neželjenih reakcija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tabeli u nastavku prikazane su sve neželjene reakcije zabilježene kod pacijentkinja KE + BZA (n = 3168) u placebo kontrolisanim kliničkim ispitivanjima. Neželjene reakcije su kategorisane kao veoma česte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xml:space="preserve"> 1/10), česte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 do &lt; 1/10), povremene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1/1000 do &lt; 1/100) ili rijetke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1/10.000 do &lt; 1/1000).</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highlight w:val="yellow"/>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36"/>
        <w:gridCol w:w="1820"/>
        <w:gridCol w:w="1417"/>
        <w:gridCol w:w="2233"/>
      </w:tblGrid>
      <w:tr w:rsidR="00A56FE5" w:rsidRPr="00A56FE5" w:rsidTr="00A56FE5">
        <w:trPr>
          <w:trHeight w:val="293"/>
          <w:tblHeader/>
        </w:trPr>
        <w:tc>
          <w:tcPr>
            <w:tcW w:w="1873" w:type="dxa"/>
            <w:vMerge w:val="restart"/>
          </w:tcPr>
          <w:p w:rsidR="00A56FE5" w:rsidRPr="00A56FE5" w:rsidRDefault="00A56FE5" w:rsidP="00A56FE5">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Klasa sistema organa</w:t>
            </w:r>
          </w:p>
        </w:tc>
        <w:tc>
          <w:tcPr>
            <w:tcW w:w="7306" w:type="dxa"/>
            <w:gridSpan w:val="4"/>
          </w:tcPr>
          <w:p w:rsidR="00A56FE5" w:rsidRPr="00A56FE5" w:rsidRDefault="00A56FE5" w:rsidP="00A56FE5">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Učestalost neželjenih reakcija</w:t>
            </w:r>
          </w:p>
        </w:tc>
      </w:tr>
      <w:tr w:rsidR="00A56FE5" w:rsidRPr="00A56FE5" w:rsidTr="00A56FE5">
        <w:trPr>
          <w:trHeight w:val="397"/>
          <w:tblHeader/>
        </w:trPr>
        <w:tc>
          <w:tcPr>
            <w:tcW w:w="1873" w:type="dxa"/>
            <w:vMerge/>
          </w:tcPr>
          <w:p w:rsidR="00A56FE5" w:rsidRPr="00A56FE5" w:rsidRDefault="00A56FE5" w:rsidP="00A56FE5">
            <w:pPr>
              <w:keepNext/>
              <w:keepLines/>
              <w:tabs>
                <w:tab w:val="left" w:pos="284"/>
              </w:tabs>
              <w:spacing w:after="0" w:line="240" w:lineRule="auto"/>
              <w:rPr>
                <w:rFonts w:ascii="Times New Roman" w:eastAsia="Times New Roman" w:hAnsi="Times New Roman" w:cs="Times New Roman"/>
                <w:lang w:val="sr-Latn-RS"/>
              </w:rPr>
            </w:pPr>
          </w:p>
        </w:tc>
        <w:tc>
          <w:tcPr>
            <w:tcW w:w="1836" w:type="dxa"/>
          </w:tcPr>
          <w:p w:rsidR="00A56FE5" w:rsidRPr="00A56FE5" w:rsidRDefault="00A56FE5" w:rsidP="00A56FE5">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Veoma često</w:t>
            </w:r>
          </w:p>
        </w:tc>
        <w:tc>
          <w:tcPr>
            <w:tcW w:w="1820" w:type="dxa"/>
          </w:tcPr>
          <w:p w:rsidR="00A56FE5" w:rsidRPr="00A56FE5" w:rsidRDefault="00A56FE5" w:rsidP="00A56FE5">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Često</w:t>
            </w:r>
          </w:p>
        </w:tc>
        <w:tc>
          <w:tcPr>
            <w:tcW w:w="1417" w:type="dxa"/>
          </w:tcPr>
          <w:p w:rsidR="00A56FE5" w:rsidRPr="00A56FE5" w:rsidRDefault="00A56FE5" w:rsidP="00A56FE5">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Povremeno</w:t>
            </w:r>
          </w:p>
        </w:tc>
        <w:tc>
          <w:tcPr>
            <w:tcW w:w="2233" w:type="dxa"/>
          </w:tcPr>
          <w:p w:rsidR="00A56FE5" w:rsidRPr="00A56FE5" w:rsidRDefault="00A56FE5" w:rsidP="00A56FE5">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Rijetko</w:t>
            </w:r>
          </w:p>
        </w:tc>
      </w:tr>
      <w:tr w:rsidR="00A56FE5" w:rsidRPr="00A56FE5" w:rsidTr="00A56FE5">
        <w:trPr>
          <w:trHeight w:val="431"/>
        </w:trPr>
        <w:tc>
          <w:tcPr>
            <w:tcW w:w="1873" w:type="dxa"/>
          </w:tcPr>
          <w:p w:rsidR="00A56FE5" w:rsidRPr="00A56FE5" w:rsidRDefault="00A56FE5" w:rsidP="00A56FE5">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Infekcije i infestacije</w:t>
            </w:r>
          </w:p>
        </w:tc>
        <w:tc>
          <w:tcPr>
            <w:tcW w:w="1836"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82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Vulvovaginalna kandidijaza</w:t>
            </w:r>
          </w:p>
        </w:tc>
        <w:tc>
          <w:tcPr>
            <w:tcW w:w="1417"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2233"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r>
      <w:tr w:rsidR="00A56FE5" w:rsidRPr="00A56FE5" w:rsidTr="00A56FE5">
        <w:trPr>
          <w:trHeight w:val="283"/>
        </w:trPr>
        <w:tc>
          <w:tcPr>
            <w:tcW w:w="1873" w:type="dxa"/>
          </w:tcPr>
          <w:p w:rsidR="00A56FE5" w:rsidRPr="00A56FE5" w:rsidRDefault="00A56FE5" w:rsidP="00A56FE5">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Vaskularni poremećaji</w:t>
            </w:r>
          </w:p>
        </w:tc>
        <w:tc>
          <w:tcPr>
            <w:tcW w:w="1836"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82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417"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2233" w:type="dxa"/>
          </w:tcPr>
          <w:p w:rsidR="00A56FE5" w:rsidRPr="00A56FE5" w:rsidRDefault="00A56FE5" w:rsidP="00A56FE5">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Venski tromboembolijski događaji (uključujući plućnu emboliju, trombozu retinalne vene, duboku vensku trombozu i tromboflebitis)</w:t>
            </w:r>
          </w:p>
        </w:tc>
      </w:tr>
      <w:tr w:rsidR="00A56FE5" w:rsidRPr="00A56FE5" w:rsidTr="00A56FE5">
        <w:trPr>
          <w:trHeight w:val="269"/>
        </w:trPr>
        <w:tc>
          <w:tcPr>
            <w:tcW w:w="1873" w:type="dxa"/>
          </w:tcPr>
          <w:p w:rsidR="00A56FE5" w:rsidRPr="00A56FE5" w:rsidRDefault="00A56FE5" w:rsidP="00A56FE5">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Gastrointestinalni poremećaji</w:t>
            </w:r>
          </w:p>
        </w:tc>
        <w:tc>
          <w:tcPr>
            <w:tcW w:w="1836"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Bol u abdomenu</w:t>
            </w:r>
          </w:p>
        </w:tc>
        <w:tc>
          <w:tcPr>
            <w:tcW w:w="1820"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Konstipacija; dijareja; mučnina</w:t>
            </w:r>
          </w:p>
        </w:tc>
        <w:tc>
          <w:tcPr>
            <w:tcW w:w="1417"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223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r>
      <w:tr w:rsidR="00A56FE5" w:rsidRPr="00A56FE5" w:rsidTr="00A56FE5">
        <w:trPr>
          <w:trHeight w:val="287"/>
        </w:trPr>
        <w:tc>
          <w:tcPr>
            <w:tcW w:w="187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Hepatobilijarni poremećaji</w:t>
            </w:r>
          </w:p>
        </w:tc>
        <w:tc>
          <w:tcPr>
            <w:tcW w:w="1836"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1820"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1417"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Holecistitis</w:t>
            </w:r>
          </w:p>
        </w:tc>
        <w:tc>
          <w:tcPr>
            <w:tcW w:w="223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r>
      <w:tr w:rsidR="00A56FE5" w:rsidRPr="00A56FE5" w:rsidTr="00A56FE5">
        <w:trPr>
          <w:trHeight w:val="701"/>
        </w:trPr>
        <w:tc>
          <w:tcPr>
            <w:tcW w:w="187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w:t>
            </w:r>
            <w:r w:rsidRPr="00A56FE5">
              <w:rPr>
                <w:rFonts w:ascii="Times New Roman" w:eastAsia="Times New Roman" w:hAnsi="Times New Roman" w:cs="Times New Roman"/>
              </w:rPr>
              <w:t>oremećaji</w:t>
            </w:r>
            <w:r w:rsidRPr="00A56FE5">
              <w:rPr>
                <w:rFonts w:ascii="Times New Roman" w:eastAsia="Times New Roman" w:hAnsi="Times New Roman" w:cs="Times New Roman"/>
                <w:spacing w:val="-5"/>
              </w:rPr>
              <w:t xml:space="preserve"> </w:t>
            </w:r>
            <w:r w:rsidRPr="00A56FE5">
              <w:rPr>
                <w:rFonts w:ascii="Times New Roman" w:eastAsia="Times New Roman" w:hAnsi="Times New Roman" w:cs="Times New Roman"/>
                <w:spacing w:val="-1"/>
              </w:rPr>
              <w:t>mišićno-koštanog</w:t>
            </w:r>
            <w:r w:rsidRPr="00A56FE5">
              <w:rPr>
                <w:rFonts w:ascii="Times New Roman" w:eastAsia="Times New Roman" w:hAnsi="Times New Roman" w:cs="Times New Roman"/>
                <w:spacing w:val="-8"/>
              </w:rPr>
              <w:t xml:space="preserve"> </w:t>
            </w:r>
            <w:r w:rsidRPr="00A56FE5">
              <w:rPr>
                <w:rFonts w:ascii="Times New Roman" w:eastAsia="Times New Roman" w:hAnsi="Times New Roman" w:cs="Times New Roman"/>
                <w:spacing w:val="-1"/>
              </w:rPr>
              <w:t>sistema</w:t>
            </w:r>
            <w:r w:rsidRPr="00A56FE5">
              <w:rPr>
                <w:rFonts w:ascii="Times New Roman" w:eastAsia="Times New Roman" w:hAnsi="Times New Roman" w:cs="Times New Roman"/>
                <w:spacing w:val="-8"/>
              </w:rPr>
              <w:t xml:space="preserve"> </w:t>
            </w:r>
            <w:r w:rsidRPr="00A56FE5">
              <w:rPr>
                <w:rFonts w:ascii="Times New Roman" w:eastAsia="Times New Roman" w:hAnsi="Times New Roman" w:cs="Times New Roman"/>
              </w:rPr>
              <w:t>i</w:t>
            </w:r>
            <w:r w:rsidRPr="00A56FE5">
              <w:rPr>
                <w:rFonts w:ascii="Times New Roman" w:eastAsia="Times New Roman" w:hAnsi="Times New Roman" w:cs="Times New Roman"/>
                <w:spacing w:val="-9"/>
              </w:rPr>
              <w:t xml:space="preserve"> </w:t>
            </w:r>
            <w:r w:rsidRPr="00A56FE5">
              <w:rPr>
                <w:rFonts w:ascii="Times New Roman" w:eastAsia="Times New Roman" w:hAnsi="Times New Roman" w:cs="Times New Roman"/>
              </w:rPr>
              <w:t>vezivnog</w:t>
            </w:r>
            <w:r w:rsidRPr="00A56FE5">
              <w:rPr>
                <w:rFonts w:ascii="Times New Roman" w:eastAsia="Times New Roman" w:hAnsi="Times New Roman" w:cs="Times New Roman"/>
                <w:spacing w:val="-9"/>
              </w:rPr>
              <w:t xml:space="preserve"> </w:t>
            </w:r>
            <w:r w:rsidRPr="00A56FE5">
              <w:rPr>
                <w:rFonts w:ascii="Times New Roman" w:eastAsia="Times New Roman" w:hAnsi="Times New Roman" w:cs="Times New Roman"/>
              </w:rPr>
              <w:t>tkiva</w:t>
            </w:r>
          </w:p>
        </w:tc>
        <w:tc>
          <w:tcPr>
            <w:tcW w:w="1836"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1820"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Grčevi u mišićima</w:t>
            </w:r>
          </w:p>
        </w:tc>
        <w:tc>
          <w:tcPr>
            <w:tcW w:w="1417"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223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r>
      <w:tr w:rsidR="00A56FE5" w:rsidRPr="00A56FE5" w:rsidTr="00A56FE5">
        <w:trPr>
          <w:trHeight w:val="296"/>
        </w:trPr>
        <w:tc>
          <w:tcPr>
            <w:tcW w:w="187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rPr>
              <w:t>Ispitivanja</w:t>
            </w:r>
          </w:p>
        </w:tc>
        <w:tc>
          <w:tcPr>
            <w:tcW w:w="1836"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1820"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es-ES_tradnl"/>
              </w:rPr>
              <w:t>Povećanje koncentracije triglicerida u krvi</w:t>
            </w:r>
          </w:p>
        </w:tc>
        <w:tc>
          <w:tcPr>
            <w:tcW w:w="1417"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223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r>
    </w:tbl>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Cs/>
          <w:u w:val="single"/>
          <w:lang w:val="sr-Latn-RS"/>
        </w:rPr>
      </w:pPr>
      <w:r w:rsidRPr="00A56FE5">
        <w:rPr>
          <w:rFonts w:ascii="Times New Roman" w:eastAsia="Times New Roman" w:hAnsi="Times New Roman" w:cs="Times New Roman"/>
          <w:u w:val="single"/>
          <w:lang w:val="sr-Latn-RS"/>
        </w:rPr>
        <w:t>Opis odabranih neželjenih reakcija</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Cs/>
          <w:color w:val="FF0000"/>
          <w:u w:val="single"/>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t>Rizik od karcinoma dojke</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Rizik od karcinoma dojke povezan sa primjenom samo estrogena opisan je u nekoliko studija. Ovaj rizik je znatno niži kod pacijentkinja koje su na terapiji samo estrogenima u odnosu na pacijentkinje koje primaju kombinovanu terapiju estrogen-progestagen. Stepen rizika zavisi od dužine terapije (vidjeti dio  4.4). U nastavku su prikazani rezultati najvećeg randomizovanog, placebo kontrolisanog ispitivanja (studija WHI) i najveće epidemiološke studije (</w:t>
      </w:r>
      <w:r w:rsidRPr="00A56FE5">
        <w:rPr>
          <w:rFonts w:ascii="Times New Roman" w:eastAsia="Times New Roman" w:hAnsi="Times New Roman" w:cs="Times New Roman"/>
          <w:i/>
          <w:lang w:val="sr-Latn-RS"/>
        </w:rPr>
        <w:t>Studija na milion žena</w:t>
      </w:r>
      <w:r w:rsidRPr="00A56FE5">
        <w:rPr>
          <w:rFonts w:ascii="Times New Roman" w:eastAsia="Times New Roman" w:hAnsi="Times New Roman" w:cs="Times New Roman"/>
          <w:lang w:val="sr-Latn-RS"/>
        </w:rPr>
        <w:t xml:space="preserve">, MWS).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Studija WHI u SAD (grupa koja je primala samo estrogen) – dodatni rizik od karcinoma dojke nakon 5 godina primjene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19"/>
        <w:gridCol w:w="2343"/>
        <w:gridCol w:w="2551"/>
      </w:tblGrid>
      <w:tr w:rsidR="00A56FE5" w:rsidRPr="00A56FE5" w:rsidTr="00A56FE5">
        <w:tc>
          <w:tcPr>
            <w:tcW w:w="1701" w:type="dxa"/>
            <w:tcBorders>
              <w:bottom w:val="single" w:sz="4" w:space="0" w:color="auto"/>
            </w:tcBorders>
            <w:vAlign w:val="center"/>
          </w:tcPr>
          <w:p w:rsidR="00A56FE5" w:rsidRPr="00A56FE5" w:rsidRDefault="00A56FE5" w:rsidP="0004224D">
            <w:pPr>
              <w:autoSpaceDE w:val="0"/>
              <w:autoSpaceDN w:val="0"/>
              <w:adjustRightInd w:val="0"/>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Godine starosti (raspon)</w:t>
            </w:r>
          </w:p>
        </w:tc>
        <w:tc>
          <w:tcPr>
            <w:tcW w:w="2619"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Incidenca na 1000 žena u placebo grupi tokom 5 godina</w:t>
            </w:r>
          </w:p>
        </w:tc>
        <w:tc>
          <w:tcPr>
            <w:tcW w:w="2343"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Odnos rizika i 95% CI</w:t>
            </w:r>
          </w:p>
        </w:tc>
        <w:tc>
          <w:tcPr>
            <w:tcW w:w="2551"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Dodatni slučajevi na 1000 pacijentkinja koje su primale samo estrogen tokom 5 godina (95% CI)</w:t>
            </w:r>
          </w:p>
        </w:tc>
      </w:tr>
      <w:tr w:rsidR="00A56FE5" w:rsidRPr="00A56FE5" w:rsidTr="00A56FE5">
        <w:tc>
          <w:tcPr>
            <w:tcW w:w="9214" w:type="dxa"/>
            <w:gridSpan w:val="4"/>
            <w:tcBorders>
              <w:bottom w:val="single" w:sz="4" w:space="0" w:color="auto"/>
            </w:tcBorders>
          </w:tcPr>
          <w:p w:rsidR="00A56FE5" w:rsidRPr="00A56FE5" w:rsidRDefault="00A56FE5" w:rsidP="00B22B3F">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Samo konjugovani estrogen</w:t>
            </w:r>
          </w:p>
        </w:tc>
      </w:tr>
      <w:tr w:rsidR="00A56FE5" w:rsidRPr="00A56FE5" w:rsidTr="00A56FE5">
        <w:tc>
          <w:tcPr>
            <w:tcW w:w="1701" w:type="dxa"/>
            <w:tcBorders>
              <w:bottom w:val="single" w:sz="4" w:space="0" w:color="auto"/>
            </w:tcBorders>
          </w:tcPr>
          <w:p w:rsidR="00A56FE5" w:rsidRPr="00A56FE5" w:rsidRDefault="00A56FE5" w:rsidP="00B22B3F">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50–79</w:t>
            </w:r>
          </w:p>
        </w:tc>
        <w:tc>
          <w:tcPr>
            <w:tcW w:w="2619" w:type="dxa"/>
            <w:tcBorders>
              <w:bottom w:val="single" w:sz="4" w:space="0" w:color="auto"/>
            </w:tcBorders>
          </w:tcPr>
          <w:p w:rsidR="00A56FE5" w:rsidRPr="00A56FE5" w:rsidRDefault="00A56FE5" w:rsidP="00B22B3F">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21</w:t>
            </w:r>
          </w:p>
        </w:tc>
        <w:tc>
          <w:tcPr>
            <w:tcW w:w="2343" w:type="dxa"/>
            <w:tcBorders>
              <w:bottom w:val="single" w:sz="4" w:space="0" w:color="auto"/>
            </w:tcBorders>
          </w:tcPr>
          <w:p w:rsidR="00A56FE5" w:rsidRPr="00A56FE5" w:rsidRDefault="00A56FE5" w:rsidP="00B22B3F">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0,8 (0,7–1,0)</w:t>
            </w:r>
          </w:p>
        </w:tc>
        <w:tc>
          <w:tcPr>
            <w:tcW w:w="2551" w:type="dxa"/>
            <w:tcBorders>
              <w:bottom w:val="single" w:sz="4" w:space="0" w:color="auto"/>
            </w:tcBorders>
          </w:tcPr>
          <w:p w:rsidR="00A56FE5" w:rsidRPr="00A56FE5" w:rsidRDefault="00A56FE5" w:rsidP="00B22B3F">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-4 (-6–0)*</w:t>
            </w:r>
          </w:p>
        </w:tc>
      </w:tr>
      <w:tr w:rsidR="00A56FE5" w:rsidRPr="00A56FE5" w:rsidTr="00A56FE5">
        <w:tc>
          <w:tcPr>
            <w:tcW w:w="9214" w:type="dxa"/>
            <w:gridSpan w:val="4"/>
            <w:tcBorders>
              <w:left w:val="nil"/>
              <w:bottom w:val="nil"/>
              <w:right w:val="nil"/>
            </w:tcBorders>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i/>
                <w:lang w:val="sr-Latn-RS"/>
              </w:rPr>
              <w:t>* Studija WHI kod žena bez uterusa, koja nije pokazala povećanje rizika od raka dojke</w:t>
            </w:r>
          </w:p>
        </w:tc>
      </w:tr>
    </w:tbl>
    <w:p w:rsidR="00A56FE5" w:rsidRPr="00A56FE5" w:rsidRDefault="00A56FE5" w:rsidP="00A56FE5">
      <w:pPr>
        <w:keepLines/>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Studija na milion žena (grupa koja je primala samo estradiol) – procijenjeni dodatni rizik od karcinoma dojke nakon 5 godina primjene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52"/>
        <w:gridCol w:w="2410"/>
        <w:gridCol w:w="2551"/>
      </w:tblGrid>
      <w:tr w:rsidR="00A56FE5" w:rsidRPr="00A56FE5" w:rsidTr="00A56FE5">
        <w:trPr>
          <w:trHeight w:val="864"/>
        </w:trPr>
        <w:tc>
          <w:tcPr>
            <w:tcW w:w="1701"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Godine starosti (raspon)</w:t>
            </w:r>
          </w:p>
        </w:tc>
        <w:tc>
          <w:tcPr>
            <w:tcW w:w="2552"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Dodatni slučajevi na 1000 pacijentkinja koje nikad nisu uzimale hormonsku supstitucionu terapiju tokom perioda od 5 godina*</w:t>
            </w:r>
          </w:p>
        </w:tc>
        <w:tc>
          <w:tcPr>
            <w:tcW w:w="2410"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Odnos rizika</w:t>
            </w:r>
            <w:r w:rsidRPr="00A56FE5">
              <w:rPr>
                <w:rFonts w:ascii="Times New Roman" w:eastAsia="Times New Roman" w:hAnsi="Times New Roman" w:cs="Times New Roman"/>
                <w:vertAlign w:val="superscript"/>
                <w:lang w:val="sr-Latn-RS"/>
              </w:rPr>
              <w:t>#</w:t>
            </w:r>
          </w:p>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p>
        </w:tc>
        <w:tc>
          <w:tcPr>
            <w:tcW w:w="2551" w:type="dxa"/>
            <w:tcBorders>
              <w:bottom w:val="single" w:sz="4" w:space="0" w:color="auto"/>
            </w:tcBorders>
            <w:vAlign w:val="center"/>
          </w:tcPr>
          <w:p w:rsidR="00A56FE5" w:rsidRPr="00A56FE5" w:rsidRDefault="00A56FE5" w:rsidP="0004224D">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Dodatni slučajevi na 1000 pacijentkinja koje su primale samo estrogen tokom 5 godina (95% CI)</w:t>
            </w:r>
          </w:p>
        </w:tc>
      </w:tr>
      <w:tr w:rsidR="00A56FE5" w:rsidRPr="00A56FE5" w:rsidTr="00A56FE5">
        <w:trPr>
          <w:trHeight w:val="332"/>
        </w:trPr>
        <w:tc>
          <w:tcPr>
            <w:tcW w:w="9214" w:type="dxa"/>
            <w:gridSpan w:val="4"/>
            <w:tcBorders>
              <w:bottom w:val="single" w:sz="4" w:space="0" w:color="auto"/>
            </w:tcBorders>
          </w:tcPr>
          <w:p w:rsidR="00A56FE5" w:rsidRPr="00A56FE5" w:rsidRDefault="00A56FE5" w:rsidP="00B22B3F">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Samo estradiol</w:t>
            </w:r>
          </w:p>
        </w:tc>
      </w:tr>
      <w:tr w:rsidR="00A56FE5" w:rsidRPr="00A56FE5" w:rsidTr="00A56FE5">
        <w:tc>
          <w:tcPr>
            <w:tcW w:w="1701" w:type="dxa"/>
            <w:tcBorders>
              <w:bottom w:val="single" w:sz="4" w:space="0" w:color="auto"/>
            </w:tcBorders>
          </w:tcPr>
          <w:p w:rsidR="00A56FE5" w:rsidRPr="00A56FE5" w:rsidRDefault="00A56FE5" w:rsidP="00B22B3F">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50–65</w:t>
            </w:r>
          </w:p>
        </w:tc>
        <w:tc>
          <w:tcPr>
            <w:tcW w:w="2552" w:type="dxa"/>
            <w:tcBorders>
              <w:bottom w:val="single" w:sz="4" w:space="0" w:color="auto"/>
            </w:tcBorders>
          </w:tcPr>
          <w:p w:rsidR="00A56FE5" w:rsidRPr="00A56FE5" w:rsidRDefault="00A56FE5" w:rsidP="00B22B3F">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9–12</w:t>
            </w:r>
          </w:p>
        </w:tc>
        <w:tc>
          <w:tcPr>
            <w:tcW w:w="2410" w:type="dxa"/>
            <w:tcBorders>
              <w:bottom w:val="single" w:sz="4" w:space="0" w:color="auto"/>
            </w:tcBorders>
          </w:tcPr>
          <w:p w:rsidR="00A56FE5" w:rsidRPr="00A56FE5" w:rsidRDefault="00A56FE5" w:rsidP="00B22B3F">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1,2</w:t>
            </w:r>
          </w:p>
        </w:tc>
        <w:tc>
          <w:tcPr>
            <w:tcW w:w="2551" w:type="dxa"/>
            <w:tcBorders>
              <w:bottom w:val="single" w:sz="4" w:space="0" w:color="auto"/>
            </w:tcBorders>
          </w:tcPr>
          <w:p w:rsidR="00A56FE5" w:rsidRPr="00A56FE5" w:rsidRDefault="00A56FE5" w:rsidP="00B22B3F">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1–2 (0–3)</w:t>
            </w:r>
          </w:p>
        </w:tc>
      </w:tr>
      <w:tr w:rsidR="00A56FE5" w:rsidRPr="00A56FE5" w:rsidTr="00A56FE5">
        <w:tc>
          <w:tcPr>
            <w:tcW w:w="9214" w:type="dxa"/>
            <w:gridSpan w:val="4"/>
            <w:tcBorders>
              <w:left w:val="nil"/>
              <w:bottom w:val="nil"/>
              <w:right w:val="nil"/>
            </w:tcBorders>
          </w:tcPr>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Preuzeto iz osnovnih stopa učestalosti u razvijenim zemljama.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vertAlign w:val="superscript"/>
                <w:lang w:val="sr-Latn-RS"/>
              </w:rPr>
              <w:t xml:space="preserve"># </w:t>
            </w:r>
            <w:r w:rsidRPr="00A56FE5">
              <w:rPr>
                <w:rFonts w:ascii="Times New Roman" w:eastAsia="Times New Roman" w:hAnsi="Times New Roman" w:cs="Times New Roman"/>
                <w:lang w:val="sr-Latn-RS"/>
              </w:rPr>
              <w:t xml:space="preserve"> Ukupni odnos rizika. Odnos rizika nije konstantan, već se povećava sa dužinom trajanja liječenja.</w:t>
            </w:r>
          </w:p>
        </w:tc>
      </w:tr>
    </w:tbl>
    <w:p w:rsidR="00A56FE5" w:rsidRPr="00A56FE5" w:rsidRDefault="00A56FE5" w:rsidP="00A56FE5">
      <w:pPr>
        <w:tabs>
          <w:tab w:val="left" w:pos="284"/>
        </w:tabs>
        <w:spacing w:after="0" w:line="240" w:lineRule="auto"/>
        <w:jc w:val="both"/>
        <w:rPr>
          <w:rFonts w:ascii="Times New Roman" w:eastAsia="Times New Roman" w:hAnsi="Times New Roman" w:cs="Times New Roman"/>
          <w:i/>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lastRenderedPageBreak/>
        <w:t>Rizik od karcinoma endometrijuma</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i/>
          <w:lang w:val="sr-Latn-RS"/>
        </w:rPr>
        <w:t>Žene u postmenopauzi sa uterusom</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Rizik od karcinoma endometrijuma iznosi oko 5 na svakih 1000 žena sa uterusom koje ne primaju hormonsku supstitucionu terapiju. </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7E5A52"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Kod žena sa intaktnim uterusom ne preporučuje se primjena samo estrogenske hormonske supstitucione terapije zato što povećava rizik od karcinoma endometrijuma (vidjeti dio 4.4). U zavisnosti od dužine trajanja primjene samog estrogena, kao i od doze estrogena, povećanje rizika od karcinoma endometrijuma u epidemiološkim studijama kretalo se od 5 do 55 dodatnih dijagnostikovanih slučajeva na svakih 1000 že</w:t>
      </w:r>
      <w:r w:rsidR="007E5A52">
        <w:rPr>
          <w:rFonts w:ascii="Times New Roman" w:eastAsia="Times New Roman" w:hAnsi="Times New Roman" w:cs="Times New Roman"/>
          <w:lang w:val="sr-Latn-RS"/>
        </w:rPr>
        <w:t>na starosti od 50 do 65 godina.</w:t>
      </w: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KE + BZA sadrži bazedoksifen, koji smanjuje rizik od hiperplazije endometrijuma koja se može javiti prilikom terapije samo estrogenima (vidjeti dio 4.4). Hiperplazija endometrijuma može dalje napredovati do karcinoma endometrijuma.</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i/>
          <w:u w:val="single"/>
          <w:lang w:val="sr-Latn-RS"/>
        </w:rPr>
        <w:t>Karcinom jajnika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7E5A52"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Primjena hormonske supstitucione terapije koja sadrži samo estrogen povezuje se sa blago povećanim rizikom od dijagnoze karcin</w:t>
      </w:r>
      <w:r w:rsidR="007E5A52">
        <w:rPr>
          <w:rFonts w:ascii="Times New Roman" w:eastAsia="Times New Roman" w:hAnsi="Times New Roman" w:cs="Times New Roman"/>
          <w:lang w:val="sr-Latn-RS"/>
        </w:rPr>
        <w:t xml:space="preserve">oma jajnika (vidjeti dio 4.4).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Meta analiza 52 epidemiološke studije ukazala je na povećani rizik od nastanka karcinoma jajnika kod žena koje trenutno primaju hormonsku supstitucionu terapiju u poređenju sa ženama koje nikada nisu koristile hormonsku supstitucionu terapiju (RR 1,43, 95% CI 1,31–1,56). Kod žena starosti od 50 do 54 godine koje primaju hormonsku supstitucionu terapiju 5 godina, rezultat je otprilike jedan dodatni slučaj na 2000 pacijentkinja. Kod žena starosti od 50 do 54 godine koje ne primaju hormonsku supstitucionu terapiju, kod otprilike dvije od 2000 žena biće dijagnostikovan karcinom jajnika u periodu od 5 godina.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i/>
          <w:u w:val="single"/>
          <w:lang w:val="sr-Latn-RS"/>
        </w:rPr>
      </w:pPr>
      <w:bookmarkStart w:id="0" w:name="SystemOrgan"/>
      <w:bookmarkEnd w:id="0"/>
      <w:r w:rsidRPr="00A56FE5">
        <w:rPr>
          <w:rFonts w:ascii="Times New Roman" w:eastAsia="Times New Roman" w:hAnsi="Times New Roman" w:cs="Times New Roman"/>
          <w:i/>
          <w:u w:val="single"/>
          <w:lang w:val="sr-Latn-RS"/>
        </w:rPr>
        <w:t>Rizik od venske tromboembolije</w:t>
      </w:r>
    </w:p>
    <w:p w:rsidR="00A56FE5" w:rsidRPr="00A56FE5" w:rsidRDefault="00A56FE5" w:rsidP="00A56FE5">
      <w:pPr>
        <w:keepNext/>
        <w:keepLines/>
        <w:autoSpaceDE w:val="0"/>
        <w:autoSpaceDN w:val="0"/>
        <w:adjustRightInd w:val="0"/>
        <w:spacing w:after="0" w:line="240" w:lineRule="auto"/>
        <w:jc w:val="both"/>
        <w:rPr>
          <w:rFonts w:ascii="Times New Roman" w:eastAsia="Times New Roman" w:hAnsi="Times New Roman" w:cs="Times New Roman"/>
          <w:lang w:val="sr-Latn-RS" w:eastAsia="sr-Latn-CS" w:bidi="sr-Latn-CS"/>
        </w:rPr>
      </w:pPr>
    </w:p>
    <w:p w:rsidR="00A56FE5" w:rsidRPr="007E5A52" w:rsidRDefault="00A56FE5" w:rsidP="007E5A52">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ispitivanju bazedoksifena u terapiji osteoporoze (prosječna starost = 66,5 godina), stopa razvoja venske tromboembolije na 1000 žena</w:t>
      </w:r>
      <w:r w:rsidRPr="00A56FE5">
        <w:rPr>
          <w:rFonts w:ascii="Times New Roman" w:eastAsia="Times New Roman" w:hAnsi="Times New Roman" w:cs="Times New Roman"/>
          <w:lang w:val="sr-Latn-RS"/>
        </w:rPr>
        <w:noBreakHyphen/>
        <w:t>godina tokom trogodišnjeg perioda studije bila je 2,86 u grupi koja je primala bazedoksifen (20 mg) i 1,76 u placebo grupi, a tokom petogodišnjeg perioda studije bila je 2,34 u grupi koja je primala 20 mg bazedoksifena i 1,56 u placebo grupi. Nakon 7 godina stopa razvoja venske tromboembolije na 1000 žena-godina bila je 2,06 u grupi koja je primala 20 mg bazedo</w:t>
      </w:r>
      <w:r w:rsidR="007E5A52">
        <w:rPr>
          <w:rFonts w:ascii="Times New Roman" w:eastAsia="Times New Roman" w:hAnsi="Times New Roman" w:cs="Times New Roman"/>
          <w:lang w:val="sr-Latn-RS"/>
        </w:rPr>
        <w:t>ksifena i 1,36 u placebo grupi.</w:t>
      </w:r>
    </w:p>
    <w:p w:rsidR="00A56FE5" w:rsidRDefault="00A56FE5" w:rsidP="00A56FE5">
      <w:pPr>
        <w:tabs>
          <w:tab w:val="left" w:pos="0"/>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Poznato je da estrogeni povećavaju rizik od venske tromboembolije (vidjeti dio 4.4). Pojava takve reakcije vjerovatnija je u prvoj godini liječenja. U nastavku su prikazani sažeti podaci iz najvećeg randomizovanog ispitivanja:</w:t>
      </w:r>
    </w:p>
    <w:p w:rsidR="007E5A52" w:rsidRPr="00A56FE5" w:rsidRDefault="007E5A52" w:rsidP="00A56FE5">
      <w:pPr>
        <w:tabs>
          <w:tab w:val="left" w:pos="0"/>
          <w:tab w:val="left" w:pos="284"/>
        </w:tabs>
        <w:spacing w:after="0" w:line="240" w:lineRule="auto"/>
        <w:jc w:val="both"/>
        <w:rPr>
          <w:rFonts w:ascii="Times New Roman" w:eastAsia="Times New Roman" w:hAnsi="Times New Roman" w:cs="Times New Roman"/>
          <w:lang w:val="sr-Latn-RS"/>
        </w:rPr>
      </w:pPr>
    </w:p>
    <w:p w:rsid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Grupa koja je primala samo estrogen u WHI studiji – dodatni rizik od venske tromboembolije tokom 5 godina primjene</w:t>
      </w:r>
    </w:p>
    <w:p w:rsidR="007E5A52" w:rsidRPr="00A56FE5" w:rsidRDefault="007E5A52" w:rsidP="00A56FE5">
      <w:pPr>
        <w:keepNext/>
        <w:tabs>
          <w:tab w:val="left" w:pos="284"/>
        </w:tabs>
        <w:spacing w:after="0" w:line="240" w:lineRule="auto"/>
        <w:jc w:val="both"/>
        <w:rPr>
          <w:rFonts w:ascii="Times New Roman" w:eastAsia="Times New Roman" w:hAnsi="Times New Roman" w:cs="Times New Roman"/>
          <w:lang w:val="sr-Latn-R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714"/>
        <w:gridCol w:w="2268"/>
        <w:gridCol w:w="2126"/>
      </w:tblGrid>
      <w:tr w:rsidR="00A56FE5" w:rsidRPr="00A56FE5" w:rsidTr="00A56FE5">
        <w:tc>
          <w:tcPr>
            <w:tcW w:w="2106" w:type="dxa"/>
            <w:tcBorders>
              <w:bottom w:val="single" w:sz="4" w:space="0" w:color="auto"/>
            </w:tcBorders>
            <w:vAlign w:val="center"/>
          </w:tcPr>
          <w:p w:rsidR="00A56FE5" w:rsidRPr="00A56FE5" w:rsidRDefault="00A56FE5" w:rsidP="0004224D">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Godine starosti (raspon)</w:t>
            </w:r>
          </w:p>
        </w:tc>
        <w:tc>
          <w:tcPr>
            <w:tcW w:w="2714" w:type="dxa"/>
            <w:tcBorders>
              <w:bottom w:val="single" w:sz="4" w:space="0" w:color="auto"/>
            </w:tcBorders>
            <w:vAlign w:val="center"/>
          </w:tcPr>
          <w:p w:rsidR="00A56FE5" w:rsidRPr="00A56FE5" w:rsidRDefault="00A56FE5" w:rsidP="0004224D">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Incidenca na 1000 žena u placebo grupi tokom 5 godina</w:t>
            </w:r>
          </w:p>
        </w:tc>
        <w:tc>
          <w:tcPr>
            <w:tcW w:w="2268" w:type="dxa"/>
            <w:tcBorders>
              <w:bottom w:val="single" w:sz="4" w:space="0" w:color="auto"/>
            </w:tcBorders>
            <w:vAlign w:val="center"/>
          </w:tcPr>
          <w:p w:rsidR="00A56FE5" w:rsidRPr="00A56FE5" w:rsidRDefault="00A56FE5" w:rsidP="0004224D">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Odnos rizika i 95% CI</w:t>
            </w:r>
          </w:p>
        </w:tc>
        <w:tc>
          <w:tcPr>
            <w:tcW w:w="2126" w:type="dxa"/>
            <w:tcBorders>
              <w:bottom w:val="single" w:sz="4" w:space="0" w:color="auto"/>
            </w:tcBorders>
            <w:vAlign w:val="center"/>
          </w:tcPr>
          <w:p w:rsidR="00A56FE5" w:rsidRPr="00A56FE5" w:rsidRDefault="00A56FE5" w:rsidP="0004224D">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Dodatni slučajevi na 1000 pacijentkinja koje su primale samo estrogen</w:t>
            </w:r>
          </w:p>
        </w:tc>
      </w:tr>
      <w:tr w:rsidR="00A56FE5" w:rsidRPr="00A56FE5" w:rsidTr="00A56FE5">
        <w:tc>
          <w:tcPr>
            <w:tcW w:w="9214" w:type="dxa"/>
            <w:gridSpan w:val="4"/>
            <w:shd w:val="clear" w:color="auto" w:fill="auto"/>
          </w:tcPr>
          <w:p w:rsidR="00A56FE5" w:rsidRPr="00A56FE5" w:rsidRDefault="00A56FE5" w:rsidP="007E5A52">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Oralno primijenjen samo estrogen*</w:t>
            </w:r>
          </w:p>
        </w:tc>
      </w:tr>
      <w:tr w:rsidR="00A56FE5" w:rsidRPr="00A56FE5" w:rsidTr="00A56FE5">
        <w:tc>
          <w:tcPr>
            <w:tcW w:w="2106" w:type="dxa"/>
            <w:tcBorders>
              <w:bottom w:val="single" w:sz="4" w:space="0" w:color="auto"/>
            </w:tcBorders>
          </w:tcPr>
          <w:p w:rsidR="00A56FE5" w:rsidRPr="00A56FE5" w:rsidRDefault="00A56FE5" w:rsidP="007E5A52">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50–59</w:t>
            </w:r>
          </w:p>
        </w:tc>
        <w:tc>
          <w:tcPr>
            <w:tcW w:w="2714" w:type="dxa"/>
            <w:tcBorders>
              <w:bottom w:val="single" w:sz="4" w:space="0" w:color="auto"/>
            </w:tcBorders>
          </w:tcPr>
          <w:p w:rsidR="00A56FE5" w:rsidRPr="00A56FE5" w:rsidRDefault="00A56FE5" w:rsidP="007E5A52">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7</w:t>
            </w:r>
          </w:p>
        </w:tc>
        <w:tc>
          <w:tcPr>
            <w:tcW w:w="2268" w:type="dxa"/>
            <w:tcBorders>
              <w:bottom w:val="single" w:sz="4" w:space="0" w:color="auto"/>
            </w:tcBorders>
          </w:tcPr>
          <w:p w:rsidR="00A56FE5" w:rsidRPr="00A56FE5" w:rsidRDefault="00A56FE5" w:rsidP="007E5A52">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1,2 (0,6–2,4)</w:t>
            </w:r>
          </w:p>
        </w:tc>
        <w:tc>
          <w:tcPr>
            <w:tcW w:w="2126" w:type="dxa"/>
            <w:tcBorders>
              <w:bottom w:val="single" w:sz="4" w:space="0" w:color="auto"/>
            </w:tcBorders>
          </w:tcPr>
          <w:p w:rsidR="00A56FE5" w:rsidRPr="00A56FE5" w:rsidRDefault="00A56FE5" w:rsidP="007E5A52">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1 (-3–10)</w:t>
            </w:r>
          </w:p>
        </w:tc>
      </w:tr>
      <w:tr w:rsidR="00A56FE5" w:rsidRPr="00A56FE5" w:rsidTr="00A56FE5">
        <w:tc>
          <w:tcPr>
            <w:tcW w:w="9214" w:type="dxa"/>
            <w:gridSpan w:val="4"/>
            <w:tcBorders>
              <w:left w:val="nil"/>
              <w:bottom w:val="nil"/>
              <w:right w:val="nil"/>
            </w:tcBorders>
          </w:tcPr>
          <w:p w:rsidR="00A56FE5" w:rsidRPr="00A56FE5" w:rsidRDefault="00A56FE5" w:rsidP="00A56FE5">
            <w:pPr>
              <w:tabs>
                <w:tab w:val="left" w:pos="284"/>
              </w:tabs>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lang w:val="sr-Latn-RS"/>
              </w:rPr>
              <w:t>*studija kod žena bez uterusa</w:t>
            </w:r>
          </w:p>
        </w:tc>
      </w:tr>
    </w:tbl>
    <w:p w:rsidR="00A56FE5" w:rsidRPr="00A56FE5" w:rsidRDefault="00A56FE5" w:rsidP="00A56FE5">
      <w:pPr>
        <w:keepNext/>
        <w:tabs>
          <w:tab w:val="left" w:pos="284"/>
          <w:tab w:val="left" w:pos="1683"/>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i/>
          <w:u w:val="single"/>
          <w:lang w:val="sr-Latn-RS"/>
        </w:rPr>
        <w:lastRenderedPageBreak/>
        <w:t>Rizik od ishemijskog moždanog udara</w:t>
      </w:r>
    </w:p>
    <w:p w:rsidR="00A56FE5" w:rsidRPr="00A56FE5" w:rsidRDefault="00A56FE5" w:rsidP="00A56FE5">
      <w:pPr>
        <w:keepNext/>
        <w:tabs>
          <w:tab w:val="left" w:pos="284"/>
          <w:tab w:val="left" w:pos="1683"/>
        </w:tabs>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tabs>
          <w:tab w:val="left" w:pos="284"/>
          <w:tab w:val="left" w:pos="1683"/>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Terapija samo estrogenima povezana je sa do 1,5 puta većim relativnim rizikom od ishemijskog moždanog udara. Ovaj relativni rizik ne zavisi od godina ili trajanja primjene, ali kako početni rizik u velikoj mjeri zavisi od godina, ukupni rizik od moždanog udara kod žena koje koriste estrogensku terapiju povećaće se sa godinama (vidjeti dio  4.4). Dodatni rizik od ishemijskog moždanog udara tokom pet godina primjene procijenjen je u najvećem randomizovanom ispitivanju kod žena bez uterusa (WHI) starosti od 50 do 59 godina. </w:t>
      </w:r>
    </w:p>
    <w:p w:rsidR="00A56FE5" w:rsidRPr="00A56FE5" w:rsidRDefault="00A56FE5" w:rsidP="00A56FE5">
      <w:pPr>
        <w:tabs>
          <w:tab w:val="left" w:pos="284"/>
          <w:tab w:val="left" w:pos="1683"/>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Kombinovane studije WHI – dodatni rizik od ishemijskog udara* tokom 5 godina primjene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714"/>
        <w:gridCol w:w="2268"/>
        <w:gridCol w:w="2126"/>
      </w:tblGrid>
      <w:tr w:rsidR="00A56FE5" w:rsidRPr="00A56FE5" w:rsidTr="00A56FE5">
        <w:tc>
          <w:tcPr>
            <w:tcW w:w="2106" w:type="dxa"/>
            <w:tcBorders>
              <w:bottom w:val="single" w:sz="4" w:space="0" w:color="auto"/>
            </w:tcBorders>
            <w:vAlign w:val="center"/>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Godine starosti (raspon)</w:t>
            </w:r>
          </w:p>
        </w:tc>
        <w:tc>
          <w:tcPr>
            <w:tcW w:w="2714" w:type="dxa"/>
            <w:tcBorders>
              <w:bottom w:val="single" w:sz="4" w:space="0" w:color="auto"/>
            </w:tcBorders>
            <w:vAlign w:val="center"/>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Incidenca na 1000 žena u placebo grupi tokom 5 godina</w:t>
            </w:r>
          </w:p>
        </w:tc>
        <w:tc>
          <w:tcPr>
            <w:tcW w:w="2268" w:type="dxa"/>
            <w:tcBorders>
              <w:bottom w:val="single" w:sz="4" w:space="0" w:color="auto"/>
            </w:tcBorders>
            <w:vAlign w:val="center"/>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Odnos rizika i 95% CI</w:t>
            </w:r>
          </w:p>
        </w:tc>
        <w:tc>
          <w:tcPr>
            <w:tcW w:w="2126" w:type="dxa"/>
            <w:tcBorders>
              <w:bottom w:val="single" w:sz="4" w:space="0" w:color="auto"/>
            </w:tcBorders>
            <w:vAlign w:val="center"/>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Dodatni slučajevi na 1000 pacijentkinja koje su primale hormonsku supstitucionu terapiju tokom 5 godina</w:t>
            </w:r>
          </w:p>
        </w:tc>
      </w:tr>
      <w:tr w:rsidR="00A56FE5" w:rsidRPr="00A56FE5" w:rsidTr="00A56FE5">
        <w:tc>
          <w:tcPr>
            <w:tcW w:w="2106" w:type="dxa"/>
            <w:tcBorders>
              <w:bottom w:val="single" w:sz="4" w:space="0" w:color="auto"/>
            </w:tcBorders>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50–59</w:t>
            </w:r>
          </w:p>
        </w:tc>
        <w:tc>
          <w:tcPr>
            <w:tcW w:w="2714" w:type="dxa"/>
            <w:tcBorders>
              <w:bottom w:val="single" w:sz="4" w:space="0" w:color="auto"/>
            </w:tcBorders>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8</w:t>
            </w:r>
          </w:p>
        </w:tc>
        <w:tc>
          <w:tcPr>
            <w:tcW w:w="2268" w:type="dxa"/>
            <w:tcBorders>
              <w:bottom w:val="single" w:sz="4" w:space="0" w:color="auto"/>
            </w:tcBorders>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1,3 (1,1–1,6)</w:t>
            </w:r>
          </w:p>
        </w:tc>
        <w:tc>
          <w:tcPr>
            <w:tcW w:w="2126" w:type="dxa"/>
            <w:tcBorders>
              <w:bottom w:val="single" w:sz="4" w:space="0" w:color="auto"/>
            </w:tcBorders>
          </w:tcPr>
          <w:p w:rsidR="00A56FE5" w:rsidRPr="00A56FE5" w:rsidRDefault="00A56FE5" w:rsidP="00E73910">
            <w:pPr>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3 (1–5)</w:t>
            </w:r>
          </w:p>
        </w:tc>
      </w:tr>
    </w:tbl>
    <w:p w:rsidR="00A56FE5" w:rsidRPr="00A56FE5" w:rsidRDefault="00A56FE5" w:rsidP="00A56FE5">
      <w:pPr>
        <w:tabs>
          <w:tab w:val="left" w:pos="284"/>
          <w:tab w:val="left" w:pos="1683"/>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lang w:val="sr-Latn-RS"/>
        </w:rPr>
        <w:t>*</w:t>
      </w:r>
      <w:r w:rsidRPr="00A56FE5">
        <w:rPr>
          <w:rFonts w:ascii="Times New Roman" w:eastAsia="Times New Roman" w:hAnsi="Times New Roman" w:cs="Times New Roman"/>
          <w:i/>
          <w:lang w:val="sr-Latn-RS"/>
        </w:rPr>
        <w:t xml:space="preserve">nije bilo razlike između ishemijskog i hemoragijskog moždanog udara </w:t>
      </w:r>
    </w:p>
    <w:p w:rsidR="00A56FE5" w:rsidRPr="00A56FE5" w:rsidRDefault="00A56FE5" w:rsidP="00A56FE5">
      <w:pPr>
        <w:keepNext/>
        <w:keepLines/>
        <w:tabs>
          <w:tab w:val="left" w:pos="284"/>
          <w:tab w:val="left" w:pos="1683"/>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widowControl w:val="0"/>
        <w:tabs>
          <w:tab w:val="left" w:pos="284"/>
          <w:tab w:val="left" w:pos="1683"/>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Neželjene reakcije prijavljene pri monoterapiji konjugovanim estrogenima i/ili bazedoksifenom</w:t>
      </w:r>
    </w:p>
    <w:p w:rsidR="00A56FE5" w:rsidRPr="00A56FE5" w:rsidRDefault="00A56FE5" w:rsidP="00A56FE5">
      <w:pPr>
        <w:widowControl w:val="0"/>
        <w:tabs>
          <w:tab w:val="left" w:pos="284"/>
          <w:tab w:val="left" w:pos="1683"/>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Neželjene reakcije kategorisane su kao veoma česte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 česte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 do &lt; 1/10), povremene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1/1000 do &lt; 1/100), rijetke (</w:t>
      </w:r>
      <w:r w:rsidRPr="00A56FE5">
        <w:rPr>
          <w:rFonts w:ascii="Times New Roman" w:eastAsia="Times New Roman" w:hAnsi="Times New Roman" w:cs="Times New Roman"/>
          <w:lang w:val="sr-Latn-RS"/>
        </w:rPr>
        <w:sym w:font="Symbol" w:char="00B3"/>
      </w:r>
      <w:r w:rsidRPr="00A56FE5">
        <w:rPr>
          <w:rFonts w:ascii="Times New Roman" w:eastAsia="Times New Roman" w:hAnsi="Times New Roman" w:cs="Times New Roman"/>
          <w:lang w:val="sr-Latn-RS"/>
        </w:rPr>
        <w:t> 1/10.000 do 1/1000), veoma rijetke (&lt; 1/10.000) ili nepoznato (ne može se procijeniti na osnovu dostupnih podataka).</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Neželjene reakcije zabilježene kod monoterapije konjugovanim estrogenima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b/>
          <w:lang w:val="sr-Latn-R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842"/>
        <w:gridCol w:w="1843"/>
        <w:gridCol w:w="1701"/>
        <w:gridCol w:w="2013"/>
      </w:tblGrid>
      <w:tr w:rsidR="00A56FE5" w:rsidRPr="00A56FE5" w:rsidTr="006B17C1">
        <w:trPr>
          <w:trHeight w:val="343"/>
          <w:tblHeader/>
        </w:trPr>
        <w:tc>
          <w:tcPr>
            <w:tcW w:w="2240" w:type="dxa"/>
            <w:vMerge w:val="restart"/>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Klasa sistema organa</w:t>
            </w:r>
          </w:p>
        </w:tc>
        <w:tc>
          <w:tcPr>
            <w:tcW w:w="7399" w:type="dxa"/>
            <w:gridSpan w:val="4"/>
          </w:tcPr>
          <w:p w:rsidR="00A56FE5" w:rsidRPr="00A56FE5" w:rsidRDefault="00A56FE5" w:rsidP="007E5A52">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Učestalost neželjenih reakcija</w:t>
            </w:r>
          </w:p>
        </w:tc>
      </w:tr>
      <w:tr w:rsidR="00A56FE5" w:rsidRPr="00A56FE5" w:rsidTr="006B17C1">
        <w:trPr>
          <w:trHeight w:val="348"/>
          <w:tblHeader/>
        </w:trPr>
        <w:tc>
          <w:tcPr>
            <w:tcW w:w="2240" w:type="dxa"/>
            <w:vMerge/>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842" w:type="dxa"/>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Često</w:t>
            </w:r>
          </w:p>
        </w:tc>
        <w:tc>
          <w:tcPr>
            <w:tcW w:w="1843" w:type="dxa"/>
          </w:tcPr>
          <w:p w:rsidR="00A56FE5" w:rsidRPr="00A56FE5" w:rsidRDefault="00A56FE5" w:rsidP="007E5A52">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Povremeno</w:t>
            </w:r>
          </w:p>
        </w:tc>
        <w:tc>
          <w:tcPr>
            <w:tcW w:w="1701" w:type="dxa"/>
          </w:tcPr>
          <w:p w:rsidR="00A56FE5" w:rsidRPr="00A56FE5" w:rsidRDefault="00A56FE5" w:rsidP="007E5A52">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Rijetko</w:t>
            </w:r>
          </w:p>
        </w:tc>
        <w:tc>
          <w:tcPr>
            <w:tcW w:w="2013" w:type="dxa"/>
          </w:tcPr>
          <w:p w:rsidR="00A56FE5" w:rsidRPr="00A56FE5" w:rsidRDefault="00A56FE5" w:rsidP="007E5A52">
            <w:pPr>
              <w:keepNext/>
              <w:keepLines/>
              <w:tabs>
                <w:tab w:val="left" w:pos="284"/>
              </w:tabs>
              <w:spacing w:after="0" w:line="240" w:lineRule="auto"/>
              <w:jc w:val="center"/>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Veoma rijetko</w:t>
            </w:r>
          </w:p>
        </w:tc>
      </w:tr>
      <w:tr w:rsidR="00A56FE5" w:rsidRPr="00A56FE5" w:rsidTr="006B17C1">
        <w:trPr>
          <w:trHeight w:val="131"/>
        </w:trPr>
        <w:tc>
          <w:tcPr>
            <w:tcW w:w="224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Infekcije i infestacije</w:t>
            </w:r>
          </w:p>
        </w:tc>
        <w:tc>
          <w:tcPr>
            <w:tcW w:w="1842"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843"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Vaginitis </w:t>
            </w:r>
          </w:p>
        </w:tc>
        <w:tc>
          <w:tcPr>
            <w:tcW w:w="1701"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2013"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highlight w:val="green"/>
                <w:lang w:val="sr-Latn-RS"/>
              </w:rPr>
            </w:pPr>
          </w:p>
        </w:tc>
      </w:tr>
      <w:tr w:rsidR="00A56FE5" w:rsidRPr="00A56FE5" w:rsidTr="006B17C1">
        <w:trPr>
          <w:trHeight w:val="1609"/>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Neoplazme – benigne, maligne i neodređene (uključujući ciste i polipe)</w:t>
            </w:r>
          </w:p>
        </w:tc>
        <w:tc>
          <w:tcPr>
            <w:tcW w:w="1842"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highlight w:val="yellow"/>
                <w:lang w:val="sr-Latn-RS"/>
              </w:rPr>
            </w:pPr>
          </w:p>
        </w:tc>
        <w:tc>
          <w:tcPr>
            <w:tcW w:w="184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tc>
        <w:tc>
          <w:tcPr>
            <w:tcW w:w="1701" w:type="dxa"/>
          </w:tcPr>
          <w:p w:rsidR="00A56FE5" w:rsidRPr="00A56FE5" w:rsidRDefault="00A56FE5" w:rsidP="00A56FE5">
            <w:pPr>
              <w:tabs>
                <w:tab w:val="left" w:pos="284"/>
                <w:tab w:val="left" w:pos="5080"/>
                <w:tab w:val="left" w:pos="5302"/>
                <w:tab w:val="left" w:pos="5524"/>
                <w:tab w:val="left" w:pos="5746"/>
                <w:tab w:val="left" w:pos="5968"/>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Potenciranje rasta benignog meningeoma; fibrocistična bolest dojki</w:t>
            </w:r>
          </w:p>
        </w:tc>
        <w:tc>
          <w:tcPr>
            <w:tcW w:w="201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Uvećanje hemangioma jetre</w:t>
            </w:r>
          </w:p>
        </w:tc>
      </w:tr>
      <w:tr w:rsidR="00A56FE5" w:rsidRPr="00A56FE5" w:rsidTr="006B17C1">
        <w:trPr>
          <w:trHeight w:val="918"/>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imunskog sistema</w:t>
            </w:r>
          </w:p>
        </w:tc>
        <w:tc>
          <w:tcPr>
            <w:tcW w:w="1842"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highlight w:val="yellow"/>
                <w:lang w:val="sr-Latn-RS"/>
              </w:rPr>
            </w:pPr>
          </w:p>
        </w:tc>
        <w:tc>
          <w:tcPr>
            <w:tcW w:w="184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Preosjetljivost </w:t>
            </w:r>
          </w:p>
        </w:tc>
        <w:tc>
          <w:tcPr>
            <w:tcW w:w="1701"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Angioedem; anafilaktičke/ anafilaktoidne reakcije; urtikarija</w:t>
            </w:r>
          </w:p>
        </w:tc>
        <w:tc>
          <w:tcPr>
            <w:tcW w:w="2013" w:type="dxa"/>
          </w:tcPr>
          <w:p w:rsidR="00A56FE5" w:rsidRPr="00A56FE5" w:rsidRDefault="00A56FE5" w:rsidP="00A56FE5">
            <w:pPr>
              <w:tabs>
                <w:tab w:val="left" w:pos="284"/>
              </w:tabs>
              <w:spacing w:after="0" w:line="240" w:lineRule="auto"/>
              <w:jc w:val="both"/>
              <w:rPr>
                <w:rFonts w:ascii="Times New Roman" w:eastAsia="Times New Roman" w:hAnsi="Times New Roman" w:cs="Times New Roman"/>
                <w:highlight w:val="green"/>
                <w:lang w:val="sr-Latn-RS"/>
              </w:rPr>
            </w:pPr>
          </w:p>
        </w:tc>
      </w:tr>
      <w:tr w:rsidR="00A56FE5" w:rsidRPr="00A56FE5" w:rsidTr="006B17C1">
        <w:trPr>
          <w:trHeight w:val="1621"/>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Poremećaji metabolizma i ishrane</w:t>
            </w: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Netolerancija na glukozu; </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Pogoršanje porfirije; hipokalcemija (kod pacijentkinja sa bolestima koje mogu predisponirati tešku hipokalcemiju)</w:t>
            </w:r>
          </w:p>
        </w:tc>
      </w:tr>
      <w:tr w:rsidR="00A56FE5" w:rsidRPr="00A56FE5" w:rsidTr="006B17C1">
        <w:trPr>
          <w:trHeight w:val="989"/>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Psihijatrijski poremećaji</w:t>
            </w: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Demencija; depresija; promjene raspoloženja; promjene libida</w:t>
            </w: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Razdražljivost</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rPr>
          <w:trHeight w:val="841"/>
        </w:trPr>
        <w:tc>
          <w:tcPr>
            <w:tcW w:w="2240"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nervnog sistema</w:t>
            </w:r>
          </w:p>
        </w:tc>
        <w:tc>
          <w:tcPr>
            <w:tcW w:w="1842"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Migrena; glavobolja; vrtoglavica; nervoza</w:t>
            </w: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Pogoršanje epilepsije</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Pogoršanje horeje</w:t>
            </w:r>
          </w:p>
        </w:tc>
      </w:tr>
      <w:tr w:rsidR="00A56FE5" w:rsidRPr="00A56FE5" w:rsidTr="006B17C1">
        <w:trPr>
          <w:trHeight w:val="585"/>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oka</w:t>
            </w:r>
          </w:p>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Nepodnošenje kontaktnih sočiva</w:t>
            </w: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rPr>
          <w:trHeight w:val="511"/>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Kardiološki poremećaji</w:t>
            </w: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701" w:type="dxa"/>
          </w:tcPr>
          <w:p w:rsidR="00A56FE5" w:rsidRPr="00A56FE5" w:rsidRDefault="00A56FE5" w:rsidP="007E5A52">
            <w:pPr>
              <w:tabs>
                <w:tab w:val="left" w:pos="284"/>
                <w:tab w:val="left" w:pos="5302"/>
                <w:tab w:val="left" w:pos="5524"/>
                <w:tab w:val="left" w:pos="5746"/>
                <w:tab w:val="left" w:pos="5968"/>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Infarkt miokarda</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rPr>
          <w:trHeight w:val="707"/>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Respiratorni, torakalni i medijastinalni poremećaji</w:t>
            </w: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Pogoršanje astme</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c>
          <w:tcPr>
            <w:tcW w:w="2240"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Gastrointestinalni poremećaji</w:t>
            </w:r>
          </w:p>
        </w:tc>
        <w:tc>
          <w:tcPr>
            <w:tcW w:w="1842" w:type="dxa"/>
          </w:tcPr>
          <w:p w:rsidR="00A56FE5" w:rsidRPr="00A56FE5" w:rsidRDefault="00A56FE5" w:rsidP="007E5A52">
            <w:pPr>
              <w:keepNext/>
              <w:keepLines/>
              <w:tabs>
                <w:tab w:val="left" w:pos="284"/>
                <w:tab w:val="left" w:pos="5746"/>
                <w:tab w:val="left" w:pos="5968"/>
              </w:tabs>
              <w:spacing w:after="0" w:line="240" w:lineRule="auto"/>
              <w:ind w:left="284"/>
              <w:rPr>
                <w:rFonts w:ascii="Times New Roman" w:eastAsia="Times New Roman" w:hAnsi="Times New Roman" w:cs="Times New Roman"/>
                <w:lang w:val="sr-Latn-RS"/>
              </w:rPr>
            </w:pPr>
          </w:p>
        </w:tc>
        <w:tc>
          <w:tcPr>
            <w:tcW w:w="184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Mučnina</w:t>
            </w:r>
          </w:p>
        </w:tc>
        <w:tc>
          <w:tcPr>
            <w:tcW w:w="1701" w:type="dxa"/>
          </w:tcPr>
          <w:p w:rsidR="00A56FE5" w:rsidRPr="00A56FE5" w:rsidRDefault="00A56FE5" w:rsidP="007E5A52">
            <w:pPr>
              <w:keepNext/>
              <w:keepLines/>
              <w:tabs>
                <w:tab w:val="left" w:pos="284"/>
                <w:tab w:val="left" w:pos="5746"/>
                <w:tab w:val="left" w:pos="5968"/>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Pankreatitis; ishemijski kolitis; povraćanje</w:t>
            </w: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rPr>
          <w:trHeight w:val="1111"/>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kože i potkožnog tkiva</w:t>
            </w:r>
          </w:p>
        </w:tc>
        <w:tc>
          <w:tcPr>
            <w:tcW w:w="1842" w:type="dxa"/>
          </w:tcPr>
          <w:p w:rsidR="00A56FE5" w:rsidRPr="00A56FE5" w:rsidRDefault="00A56FE5" w:rsidP="007E5A52">
            <w:pPr>
              <w:tabs>
                <w:tab w:val="left" w:pos="284"/>
                <w:tab w:val="left" w:pos="5302"/>
                <w:tab w:val="left" w:pos="5524"/>
                <w:tab w:val="left" w:pos="5746"/>
                <w:tab w:val="left" w:pos="5968"/>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Alopecija</w:t>
            </w:r>
          </w:p>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Hirzutizam; osip; pruritus; hloazma</w:t>
            </w: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Multiformni eritem; nodozni eritem</w:t>
            </w:r>
          </w:p>
        </w:tc>
      </w:tr>
      <w:tr w:rsidR="00A56FE5" w:rsidRPr="00A56FE5" w:rsidTr="006B17C1">
        <w:trPr>
          <w:trHeight w:val="826"/>
        </w:trPr>
        <w:tc>
          <w:tcPr>
            <w:tcW w:w="2240" w:type="dxa"/>
          </w:tcPr>
          <w:p w:rsidR="00A56FE5" w:rsidRPr="00A56FE5" w:rsidRDefault="00A56FE5" w:rsidP="007E5A52">
            <w:pPr>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mišićno-koštanog sistema i vezivnog tkiva</w:t>
            </w:r>
          </w:p>
        </w:tc>
        <w:tc>
          <w:tcPr>
            <w:tcW w:w="1842" w:type="dxa"/>
          </w:tcPr>
          <w:p w:rsidR="00A56FE5" w:rsidRPr="00A56FE5" w:rsidRDefault="00A56FE5" w:rsidP="007E5A52">
            <w:pPr>
              <w:tabs>
                <w:tab w:val="left" w:pos="284"/>
              </w:tabs>
              <w:spacing w:after="0" w:line="240" w:lineRule="auto"/>
              <w:rPr>
                <w:rFonts w:ascii="Times New Roman" w:eastAsia="Times New Roman" w:hAnsi="Times New Roman" w:cs="Times New Roman"/>
                <w:bCs/>
                <w:lang w:val="sr-Latn-RS"/>
              </w:rPr>
            </w:pPr>
            <w:r w:rsidRPr="00A56FE5">
              <w:rPr>
                <w:rFonts w:ascii="Times New Roman" w:eastAsia="Times New Roman" w:hAnsi="Times New Roman" w:cs="Times New Roman"/>
                <w:lang w:val="sr-Latn-RS"/>
              </w:rPr>
              <w:t>Artralgija; grčevi u nogama</w:t>
            </w:r>
          </w:p>
        </w:tc>
        <w:tc>
          <w:tcPr>
            <w:tcW w:w="1843" w:type="dxa"/>
          </w:tcPr>
          <w:p w:rsidR="00A56FE5" w:rsidRPr="00A56FE5" w:rsidRDefault="00A56FE5" w:rsidP="007E5A52">
            <w:pPr>
              <w:tabs>
                <w:tab w:val="left" w:pos="284"/>
              </w:tabs>
              <w:spacing w:after="0" w:line="240" w:lineRule="auto"/>
              <w:rPr>
                <w:rFonts w:ascii="Times New Roman" w:eastAsia="Times New Roman" w:hAnsi="Times New Roman" w:cs="Times New Roman"/>
                <w:color w:val="FF0000"/>
                <w:lang w:val="sr-Latn-RS"/>
              </w:rPr>
            </w:pPr>
          </w:p>
        </w:tc>
        <w:tc>
          <w:tcPr>
            <w:tcW w:w="1701" w:type="dxa"/>
          </w:tcPr>
          <w:p w:rsidR="00A56FE5" w:rsidRPr="00A56FE5" w:rsidRDefault="00A56FE5" w:rsidP="007E5A52">
            <w:pPr>
              <w:tabs>
                <w:tab w:val="left" w:pos="284"/>
              </w:tabs>
              <w:spacing w:after="0" w:line="240" w:lineRule="auto"/>
              <w:rPr>
                <w:rFonts w:ascii="Times New Roman" w:eastAsia="Times New Roman" w:hAnsi="Times New Roman" w:cs="Times New Roman"/>
                <w:color w:val="FF0000"/>
                <w:highlight w:val="green"/>
                <w:lang w:val="sr-Latn-RS"/>
              </w:rPr>
            </w:pPr>
          </w:p>
        </w:tc>
        <w:tc>
          <w:tcPr>
            <w:tcW w:w="2013" w:type="dxa"/>
          </w:tcPr>
          <w:p w:rsidR="00A56FE5" w:rsidRPr="00A56FE5" w:rsidRDefault="00A56FE5" w:rsidP="007E5A52">
            <w:pPr>
              <w:tabs>
                <w:tab w:val="left" w:pos="284"/>
              </w:tabs>
              <w:spacing w:after="0" w:line="240" w:lineRule="auto"/>
              <w:rPr>
                <w:rFonts w:ascii="Times New Roman" w:eastAsia="Times New Roman" w:hAnsi="Times New Roman" w:cs="Times New Roman"/>
                <w:color w:val="FF0000"/>
                <w:highlight w:val="green"/>
                <w:lang w:val="sr-Latn-RS"/>
              </w:rPr>
            </w:pPr>
          </w:p>
        </w:tc>
      </w:tr>
      <w:tr w:rsidR="00A56FE5" w:rsidRPr="00A56FE5" w:rsidTr="006B17C1">
        <w:trPr>
          <w:trHeight w:val="283"/>
        </w:trPr>
        <w:tc>
          <w:tcPr>
            <w:tcW w:w="2240"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Poremećaji reproduktivnog sistema i dojki</w:t>
            </w:r>
          </w:p>
        </w:tc>
        <w:tc>
          <w:tcPr>
            <w:tcW w:w="1842"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Bolovi u dojkama, osjetljivost, uvećanje dojki, iscjedak; leukoreja </w:t>
            </w:r>
          </w:p>
        </w:tc>
        <w:tc>
          <w:tcPr>
            <w:tcW w:w="184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Promjene u cervikalnoj ektropiji i sekreciji</w:t>
            </w:r>
          </w:p>
        </w:tc>
        <w:tc>
          <w:tcPr>
            <w:tcW w:w="1701"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Bol u karlici</w:t>
            </w:r>
          </w:p>
        </w:tc>
        <w:tc>
          <w:tcPr>
            <w:tcW w:w="201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highlight w:val="green"/>
                <w:lang w:val="sr-Latn-RS"/>
              </w:rPr>
            </w:pPr>
          </w:p>
        </w:tc>
      </w:tr>
      <w:tr w:rsidR="00A56FE5" w:rsidRPr="00A56FE5" w:rsidTr="006B17C1">
        <w:trPr>
          <w:trHeight w:val="702"/>
        </w:trPr>
        <w:tc>
          <w:tcPr>
            <w:tcW w:w="2240"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Ispitivanja</w:t>
            </w:r>
          </w:p>
        </w:tc>
        <w:tc>
          <w:tcPr>
            <w:tcW w:w="1842"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Promjene tjelesne mase (povećanje ili smanjenje) </w:t>
            </w:r>
          </w:p>
        </w:tc>
        <w:tc>
          <w:tcPr>
            <w:tcW w:w="184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lang w:val="sr-Latn-RS"/>
              </w:rPr>
            </w:pPr>
          </w:p>
        </w:tc>
        <w:tc>
          <w:tcPr>
            <w:tcW w:w="1701"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highlight w:val="green"/>
                <w:lang w:val="sr-Latn-RS"/>
              </w:rPr>
            </w:pPr>
          </w:p>
        </w:tc>
        <w:tc>
          <w:tcPr>
            <w:tcW w:w="2013" w:type="dxa"/>
          </w:tcPr>
          <w:p w:rsidR="00A56FE5" w:rsidRPr="00A56FE5" w:rsidRDefault="00A56FE5" w:rsidP="007E5A52">
            <w:pPr>
              <w:keepNext/>
              <w:keepLines/>
              <w:tabs>
                <w:tab w:val="left" w:pos="284"/>
              </w:tabs>
              <w:spacing w:after="0" w:line="240" w:lineRule="auto"/>
              <w:rPr>
                <w:rFonts w:ascii="Times New Roman" w:eastAsia="Times New Roman" w:hAnsi="Times New Roman" w:cs="Times New Roman"/>
                <w:highlight w:val="green"/>
                <w:lang w:val="sr-Latn-RS"/>
              </w:rPr>
            </w:pPr>
            <w:r w:rsidRPr="00A56FE5">
              <w:rPr>
                <w:rFonts w:ascii="Times New Roman" w:eastAsia="Times New Roman" w:hAnsi="Times New Roman" w:cs="Times New Roman"/>
                <w:lang w:val="sr-Latn-RS"/>
              </w:rPr>
              <w:t>Povećanja krvnog pritiska</w:t>
            </w:r>
          </w:p>
        </w:tc>
      </w:tr>
    </w:tbl>
    <w:p w:rsidR="006B17C1" w:rsidRDefault="006B17C1" w:rsidP="006B17C1">
      <w:pPr>
        <w:keepNext/>
        <w:keepLines/>
        <w:tabs>
          <w:tab w:val="left" w:pos="284"/>
        </w:tabs>
        <w:spacing w:after="0" w:line="240" w:lineRule="auto"/>
        <w:jc w:val="center"/>
        <w:rPr>
          <w:rFonts w:ascii="Times New Roman" w:eastAsia="Times New Roman" w:hAnsi="Times New Roman" w:cs="Times New Roman"/>
          <w:color w:val="FF0000"/>
          <w:lang w:val="sr-Latn-RS"/>
        </w:rPr>
      </w:pPr>
    </w:p>
    <w:p w:rsidR="00A56FE5" w:rsidRPr="006B17C1" w:rsidRDefault="00A56FE5" w:rsidP="006B17C1">
      <w:pPr>
        <w:keepNext/>
        <w:keepLines/>
        <w:tabs>
          <w:tab w:val="left" w:pos="284"/>
        </w:tabs>
        <w:spacing w:after="0" w:line="240" w:lineRule="auto"/>
        <w:rPr>
          <w:rFonts w:ascii="Times New Roman" w:eastAsia="Times New Roman" w:hAnsi="Times New Roman" w:cs="Times New Roman"/>
          <w:u w:val="single"/>
          <w:lang w:val="sr-Latn-RS"/>
        </w:rPr>
      </w:pPr>
      <w:r w:rsidRPr="006B17C1">
        <w:rPr>
          <w:rFonts w:ascii="Times New Roman" w:eastAsia="Times New Roman" w:hAnsi="Times New Roman" w:cs="Times New Roman"/>
          <w:u w:val="single"/>
          <w:lang w:val="sr-Latn-RS"/>
        </w:rPr>
        <w:t>Neželjene reakcije zabilježene kod monoterapije bazedoksifenom</w:t>
      </w:r>
    </w:p>
    <w:p w:rsidR="006B17C1" w:rsidRPr="00A56FE5" w:rsidRDefault="006B17C1"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701"/>
        <w:gridCol w:w="1804"/>
        <w:gridCol w:w="1980"/>
        <w:gridCol w:w="2056"/>
      </w:tblGrid>
      <w:tr w:rsidR="00A56FE5" w:rsidRPr="00A56FE5" w:rsidTr="006B17C1">
        <w:trPr>
          <w:trHeight w:val="416"/>
          <w:tblHeader/>
        </w:trPr>
        <w:tc>
          <w:tcPr>
            <w:tcW w:w="2098" w:type="dxa"/>
            <w:vMerge w:val="restart"/>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Klasa sistema organa</w:t>
            </w:r>
          </w:p>
        </w:tc>
        <w:tc>
          <w:tcPr>
            <w:tcW w:w="7541" w:type="dxa"/>
            <w:gridSpan w:val="4"/>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Učestalost neželjenih reakcija</w:t>
            </w:r>
          </w:p>
        </w:tc>
      </w:tr>
      <w:tr w:rsidR="00A56FE5" w:rsidRPr="00A56FE5" w:rsidTr="006B17C1">
        <w:trPr>
          <w:trHeight w:val="547"/>
          <w:tblHeader/>
        </w:trPr>
        <w:tc>
          <w:tcPr>
            <w:tcW w:w="2098" w:type="dxa"/>
            <w:vMerge/>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tc>
        <w:tc>
          <w:tcPr>
            <w:tcW w:w="1701" w:type="dxa"/>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Veoma često</w:t>
            </w:r>
          </w:p>
        </w:tc>
        <w:tc>
          <w:tcPr>
            <w:tcW w:w="1804" w:type="dxa"/>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Često</w:t>
            </w:r>
          </w:p>
        </w:tc>
        <w:tc>
          <w:tcPr>
            <w:tcW w:w="1980" w:type="dxa"/>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Povremeno</w:t>
            </w:r>
          </w:p>
        </w:tc>
        <w:tc>
          <w:tcPr>
            <w:tcW w:w="2056" w:type="dxa"/>
          </w:tcPr>
          <w:p w:rsidR="00A56FE5" w:rsidRPr="00A56FE5" w:rsidRDefault="00A56FE5" w:rsidP="006B17C1">
            <w:pPr>
              <w:keepNext/>
              <w:keepLines/>
              <w:tabs>
                <w:tab w:val="left" w:pos="284"/>
              </w:tabs>
              <w:spacing w:after="0" w:line="240" w:lineRule="auto"/>
              <w:jc w:val="center"/>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Nepoznata učestalost</w:t>
            </w:r>
          </w:p>
        </w:tc>
      </w:tr>
      <w:tr w:rsidR="00A56FE5" w:rsidRPr="00A56FE5" w:rsidTr="006B17C1">
        <w:trPr>
          <w:trHeight w:val="475"/>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imunog sistema</w:t>
            </w:r>
          </w:p>
        </w:tc>
        <w:tc>
          <w:tcPr>
            <w:tcW w:w="1701"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highlight w:val="yellow"/>
                <w:lang w:val="sr-Latn-RS"/>
              </w:rPr>
            </w:pPr>
            <w:r w:rsidRPr="00A56FE5">
              <w:rPr>
                <w:rFonts w:ascii="Times New Roman" w:eastAsia="Times New Roman" w:hAnsi="Times New Roman" w:cs="Times New Roman"/>
                <w:lang w:val="sr-Latn-RS"/>
              </w:rPr>
              <w:t>Preosjetljivost</w:t>
            </w:r>
          </w:p>
        </w:tc>
        <w:tc>
          <w:tcPr>
            <w:tcW w:w="1980"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2056"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r>
      <w:tr w:rsidR="00A56FE5" w:rsidRPr="00A56FE5" w:rsidTr="006B17C1">
        <w:trPr>
          <w:trHeight w:val="511"/>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nervnog sistema</w:t>
            </w:r>
          </w:p>
        </w:tc>
        <w:tc>
          <w:tcPr>
            <w:tcW w:w="1701"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pt-BR"/>
              </w:rPr>
              <w:t>Pospanost</w:t>
            </w:r>
          </w:p>
        </w:tc>
        <w:tc>
          <w:tcPr>
            <w:tcW w:w="1980"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2056"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r>
      <w:tr w:rsidR="00A56FE5" w:rsidRPr="00A56FE5" w:rsidTr="006B17C1">
        <w:trPr>
          <w:trHeight w:val="539"/>
        </w:trPr>
        <w:tc>
          <w:tcPr>
            <w:tcW w:w="2098"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oka</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701"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980"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Tromboza retinalne vene</w:t>
            </w:r>
          </w:p>
        </w:tc>
        <w:tc>
          <w:tcPr>
            <w:tcW w:w="2056"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Smanjenje oštrine vida,</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zamućen vid, fotopsija,</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 vidnog polja,</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oštećenje vida, suvoća očiju,</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edem očnog kapka,</w:t>
            </w:r>
          </w:p>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blefarospazam, bol u oku i oticanje oka</w:t>
            </w:r>
          </w:p>
        </w:tc>
      </w:tr>
      <w:tr w:rsidR="00A56FE5" w:rsidRPr="00A56FE5" w:rsidTr="006B17C1">
        <w:trPr>
          <w:trHeight w:val="189"/>
        </w:trPr>
        <w:tc>
          <w:tcPr>
            <w:tcW w:w="2098"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Kardiološki poremećaji</w:t>
            </w:r>
          </w:p>
        </w:tc>
        <w:tc>
          <w:tcPr>
            <w:tcW w:w="1701"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980"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2056"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Palpitacije</w:t>
            </w:r>
          </w:p>
        </w:tc>
      </w:tr>
      <w:tr w:rsidR="00A56FE5" w:rsidRPr="00A56FE5" w:rsidTr="006B17C1">
        <w:trPr>
          <w:trHeight w:val="281"/>
        </w:trPr>
        <w:tc>
          <w:tcPr>
            <w:tcW w:w="2098"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Vaskularni poremećaji</w:t>
            </w:r>
          </w:p>
        </w:tc>
        <w:tc>
          <w:tcPr>
            <w:tcW w:w="1701"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rPr>
              <w:t>Valunzi</w:t>
            </w:r>
          </w:p>
        </w:tc>
        <w:tc>
          <w:tcPr>
            <w:tcW w:w="1804"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lang w:val="sr-Latn-RS"/>
              </w:rPr>
            </w:pPr>
          </w:p>
        </w:tc>
        <w:tc>
          <w:tcPr>
            <w:tcW w:w="1980" w:type="dxa"/>
          </w:tcPr>
          <w:p w:rsidR="00A56FE5" w:rsidRPr="00A56FE5" w:rsidRDefault="00A56FE5" w:rsidP="006B17C1">
            <w:pPr>
              <w:keepNext/>
              <w:keepLines/>
              <w:widowControl w:val="0"/>
              <w:spacing w:after="0" w:line="240" w:lineRule="auto"/>
              <w:rPr>
                <w:rFonts w:ascii="Times New Roman" w:eastAsia="Times New Roman" w:hAnsi="Times New Roman" w:cs="Times New Roman"/>
                <w:b/>
                <w:lang w:val="sr-Latn-RS" w:eastAsia="sr-Latn-CS" w:bidi="sr-Latn-CS"/>
              </w:rPr>
            </w:pPr>
            <w:r w:rsidRPr="00A56FE5">
              <w:rPr>
                <w:rFonts w:ascii="Times New Roman" w:eastAsia="Times New Roman" w:hAnsi="Times New Roman" w:cs="Times New Roman"/>
                <w:lang w:val="sr-Latn-CS" w:eastAsia="sr-Latn-CS" w:bidi="sr-Latn-CS"/>
              </w:rPr>
              <w:t>Duboka venska tromboza</w:t>
            </w:r>
            <w:r w:rsidRPr="00A56FE5">
              <w:rPr>
                <w:rFonts w:ascii="Times New Roman" w:eastAsia="Times New Roman" w:hAnsi="Times New Roman" w:cs="Times New Roman"/>
                <w:lang w:val="sr-Latn-RS" w:eastAsia="sr-Latn-CS" w:bidi="sr-Latn-CS"/>
              </w:rPr>
              <w:t>, površinski tromboflebitis</w:t>
            </w:r>
          </w:p>
        </w:tc>
        <w:tc>
          <w:tcPr>
            <w:tcW w:w="2056" w:type="dxa"/>
          </w:tcPr>
          <w:p w:rsidR="00A56FE5" w:rsidRPr="00A56FE5" w:rsidRDefault="00A56FE5" w:rsidP="006B17C1">
            <w:pPr>
              <w:keepNext/>
              <w:keepLines/>
              <w:widowControl w:val="0"/>
              <w:tabs>
                <w:tab w:val="left" w:pos="284"/>
              </w:tabs>
              <w:spacing w:after="0" w:line="240" w:lineRule="auto"/>
              <w:rPr>
                <w:rFonts w:ascii="Times New Roman" w:eastAsia="Times New Roman" w:hAnsi="Times New Roman" w:cs="Times New Roman"/>
                <w:color w:val="FF0000"/>
                <w:lang w:val="sr-Latn-RS"/>
              </w:rPr>
            </w:pPr>
          </w:p>
        </w:tc>
      </w:tr>
      <w:tr w:rsidR="00A56FE5" w:rsidRPr="00A56FE5" w:rsidTr="006B17C1">
        <w:trPr>
          <w:trHeight w:val="556"/>
        </w:trPr>
        <w:tc>
          <w:tcPr>
            <w:tcW w:w="2098" w:type="dxa"/>
            <w:shd w:val="clear" w:color="auto" w:fill="FFFFFF"/>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Respiratorni, torakalni i medijastinalni poremećaji</w:t>
            </w:r>
          </w:p>
        </w:tc>
        <w:tc>
          <w:tcPr>
            <w:tcW w:w="1701" w:type="dxa"/>
            <w:shd w:val="clear" w:color="auto" w:fill="FFFFFF"/>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lang w:val="sr-Latn-RS"/>
              </w:rPr>
            </w:pPr>
          </w:p>
        </w:tc>
        <w:tc>
          <w:tcPr>
            <w:tcW w:w="1804" w:type="dxa"/>
            <w:shd w:val="clear" w:color="auto" w:fill="FFFFFF"/>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lang w:val="sr-Latn-RS"/>
              </w:rPr>
            </w:pPr>
          </w:p>
        </w:tc>
        <w:tc>
          <w:tcPr>
            <w:tcW w:w="1980" w:type="dxa"/>
            <w:shd w:val="clear" w:color="auto" w:fill="FFFFFF"/>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Plućna embolija</w:t>
            </w:r>
          </w:p>
        </w:tc>
        <w:tc>
          <w:tcPr>
            <w:tcW w:w="2056" w:type="dxa"/>
            <w:shd w:val="clear" w:color="auto" w:fill="FFFFFF"/>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color w:val="FF0000"/>
                <w:lang w:val="sr-Latn-RS"/>
              </w:rPr>
            </w:pPr>
          </w:p>
        </w:tc>
      </w:tr>
    </w:tbl>
    <w:p w:rsidR="006B17C1" w:rsidRDefault="006B17C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701"/>
        <w:gridCol w:w="1804"/>
        <w:gridCol w:w="1980"/>
        <w:gridCol w:w="2056"/>
      </w:tblGrid>
      <w:tr w:rsidR="00A56FE5" w:rsidRPr="00A56FE5" w:rsidTr="006B17C1">
        <w:trPr>
          <w:trHeight w:val="556"/>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Gastrointestinalni poremećaji</w:t>
            </w:r>
          </w:p>
        </w:tc>
        <w:tc>
          <w:tcPr>
            <w:tcW w:w="1701" w:type="dxa"/>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tabs>
                <w:tab w:val="left" w:pos="284"/>
                <w:tab w:val="left" w:pos="5746"/>
                <w:tab w:val="left" w:pos="5968"/>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Suvoća usta</w:t>
            </w:r>
          </w:p>
        </w:tc>
        <w:tc>
          <w:tcPr>
            <w:tcW w:w="1980" w:type="dxa"/>
          </w:tcPr>
          <w:p w:rsidR="00A56FE5" w:rsidRPr="00A56FE5" w:rsidRDefault="00A56FE5" w:rsidP="00A56FE5">
            <w:pPr>
              <w:keepNext/>
              <w:keepLines/>
              <w:tabs>
                <w:tab w:val="left" w:pos="284"/>
                <w:tab w:val="left" w:pos="5746"/>
                <w:tab w:val="left" w:pos="5968"/>
              </w:tabs>
              <w:spacing w:after="0" w:line="240" w:lineRule="auto"/>
              <w:jc w:val="both"/>
              <w:rPr>
                <w:rFonts w:ascii="Times New Roman" w:eastAsia="Times New Roman" w:hAnsi="Times New Roman" w:cs="Times New Roman"/>
                <w:color w:val="FF0000"/>
                <w:lang w:val="sr-Latn-RS"/>
              </w:rPr>
            </w:pPr>
          </w:p>
        </w:tc>
        <w:tc>
          <w:tcPr>
            <w:tcW w:w="2056" w:type="dxa"/>
          </w:tcPr>
          <w:p w:rsidR="00A56FE5" w:rsidRPr="00A56FE5" w:rsidRDefault="00A56FE5" w:rsidP="00A56FE5">
            <w:pPr>
              <w:keepNext/>
              <w:keepLines/>
              <w:tabs>
                <w:tab w:val="left" w:pos="284"/>
                <w:tab w:val="left" w:pos="5746"/>
                <w:tab w:val="left" w:pos="5968"/>
              </w:tabs>
              <w:spacing w:after="0" w:line="240" w:lineRule="auto"/>
              <w:jc w:val="both"/>
              <w:rPr>
                <w:rFonts w:ascii="Times New Roman" w:eastAsia="Times New Roman" w:hAnsi="Times New Roman" w:cs="Times New Roman"/>
                <w:color w:val="FF0000"/>
                <w:lang w:val="sr-Latn-RS"/>
              </w:rPr>
            </w:pPr>
          </w:p>
        </w:tc>
      </w:tr>
      <w:tr w:rsidR="00A56FE5" w:rsidRPr="00A56FE5" w:rsidTr="006B17C1">
        <w:trPr>
          <w:trHeight w:val="563"/>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kože i potkožnog tkiva</w:t>
            </w:r>
          </w:p>
        </w:tc>
        <w:tc>
          <w:tcPr>
            <w:tcW w:w="1701"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Utrikarija, osip, pruritus</w:t>
            </w:r>
          </w:p>
        </w:tc>
        <w:tc>
          <w:tcPr>
            <w:tcW w:w="198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c>
          <w:tcPr>
            <w:tcW w:w="2056"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r>
      <w:tr w:rsidR="00A56FE5" w:rsidRPr="00A56FE5" w:rsidTr="006B17C1">
        <w:trPr>
          <w:trHeight w:val="827"/>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Poremećaji mišićno-koštanog sistema i vezivnog tkiva</w:t>
            </w:r>
          </w:p>
        </w:tc>
        <w:tc>
          <w:tcPr>
            <w:tcW w:w="1701"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Grčevi u mišićima (uključujući grčeve u nogama) </w:t>
            </w:r>
          </w:p>
        </w:tc>
        <w:tc>
          <w:tcPr>
            <w:tcW w:w="1804"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color w:val="FF0000"/>
                <w:lang w:val="sr-Latn-RS"/>
              </w:rPr>
            </w:pPr>
          </w:p>
        </w:tc>
        <w:tc>
          <w:tcPr>
            <w:tcW w:w="198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c>
          <w:tcPr>
            <w:tcW w:w="2056"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r>
      <w:tr w:rsidR="00A56FE5" w:rsidRPr="00A56FE5" w:rsidTr="006B17C1">
        <w:tc>
          <w:tcPr>
            <w:tcW w:w="2098" w:type="dxa"/>
            <w:shd w:val="clear" w:color="auto" w:fill="auto"/>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Opšti poremećaji i </w:t>
            </w:r>
            <w:r w:rsidRPr="00A56FE5">
              <w:rPr>
                <w:rFonts w:ascii="Times New Roman" w:eastAsia="Times New Roman" w:hAnsi="Times New Roman" w:cs="Times New Roman"/>
              </w:rPr>
              <w:t xml:space="preserve">reakcije </w:t>
            </w:r>
            <w:r w:rsidRPr="00A56FE5">
              <w:rPr>
                <w:rFonts w:ascii="Times New Roman" w:eastAsia="Times New Roman" w:hAnsi="Times New Roman" w:cs="Times New Roman"/>
                <w:lang w:val="sr-Latn-RS"/>
              </w:rPr>
              <w:t>na mjestu primjene</w:t>
            </w:r>
          </w:p>
        </w:tc>
        <w:tc>
          <w:tcPr>
            <w:tcW w:w="1701" w:type="dxa"/>
            <w:shd w:val="clear" w:color="auto" w:fill="auto"/>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sr-Latn-RS"/>
              </w:rPr>
              <w:t>Periferni edem</w:t>
            </w:r>
          </w:p>
        </w:tc>
        <w:tc>
          <w:tcPr>
            <w:tcW w:w="1804" w:type="dxa"/>
            <w:shd w:val="clear" w:color="auto" w:fill="auto"/>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color w:val="FF0000"/>
                <w:lang w:val="sr-Latn-RS"/>
              </w:rPr>
            </w:pPr>
          </w:p>
        </w:tc>
        <w:tc>
          <w:tcPr>
            <w:tcW w:w="1980" w:type="dxa"/>
            <w:shd w:val="clear" w:color="auto" w:fill="auto"/>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c>
          <w:tcPr>
            <w:tcW w:w="2056" w:type="dxa"/>
            <w:shd w:val="clear" w:color="auto" w:fill="auto"/>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r>
      <w:tr w:rsidR="00A56FE5" w:rsidRPr="00A56FE5" w:rsidTr="006B17C1">
        <w:trPr>
          <w:cantSplit/>
        </w:trPr>
        <w:tc>
          <w:tcPr>
            <w:tcW w:w="2098"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rPr>
              <w:t>Ispitivanja</w:t>
            </w:r>
          </w:p>
        </w:tc>
        <w:tc>
          <w:tcPr>
            <w:tcW w:w="1701"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p>
        </w:tc>
        <w:tc>
          <w:tcPr>
            <w:tcW w:w="1804" w:type="dxa"/>
          </w:tcPr>
          <w:p w:rsidR="00A56FE5" w:rsidRPr="00A56FE5" w:rsidRDefault="00A56FE5" w:rsidP="006B17C1">
            <w:pPr>
              <w:keepNext/>
              <w:keepLines/>
              <w:tabs>
                <w:tab w:val="left" w:pos="284"/>
              </w:tabs>
              <w:spacing w:after="0" w:line="240" w:lineRule="auto"/>
              <w:rPr>
                <w:rFonts w:ascii="Times New Roman" w:eastAsia="Times New Roman" w:hAnsi="Times New Roman" w:cs="Times New Roman"/>
                <w:lang w:val="sr-Latn-RS"/>
              </w:rPr>
            </w:pPr>
            <w:r w:rsidRPr="00A56FE5">
              <w:rPr>
                <w:rFonts w:ascii="Times New Roman" w:eastAsia="Times New Roman" w:hAnsi="Times New Roman" w:cs="Times New Roman"/>
                <w:lang w:val="es-ES_tradnl"/>
              </w:rPr>
              <w:t>Povećanje koncentracije triglicerida u krvi, povećanje vrijednosti alanin aminotransferaze, povećanje vrijednosti aspartat aminotransferaze</w:t>
            </w:r>
          </w:p>
        </w:tc>
        <w:tc>
          <w:tcPr>
            <w:tcW w:w="1980"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c>
          <w:tcPr>
            <w:tcW w:w="2056" w:type="dxa"/>
          </w:tcPr>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tc>
      </w:tr>
    </w:tbl>
    <w:p w:rsidR="00A56FE5" w:rsidRPr="00A56FE5" w:rsidRDefault="00A56FE5" w:rsidP="00A56FE5">
      <w:pPr>
        <w:tabs>
          <w:tab w:val="left" w:pos="284"/>
        </w:tabs>
        <w:spacing w:after="0" w:line="240" w:lineRule="auto"/>
        <w:jc w:val="both"/>
        <w:rPr>
          <w:rFonts w:ascii="Times New Roman" w:eastAsia="Times New Roman" w:hAnsi="Times New Roman" w:cs="Times New Roman"/>
          <w:noProof/>
          <w:color w:val="FF0000"/>
          <w:u w:val="single"/>
          <w:lang w:val="hr-HR"/>
        </w:rPr>
      </w:pPr>
    </w:p>
    <w:p w:rsidR="00A56FE5" w:rsidRPr="00A56FE5" w:rsidRDefault="00A56FE5" w:rsidP="00A56FE5">
      <w:pPr>
        <w:tabs>
          <w:tab w:val="left" w:pos="284"/>
        </w:tabs>
        <w:spacing w:after="200" w:line="240" w:lineRule="auto"/>
        <w:jc w:val="both"/>
        <w:rPr>
          <w:rFonts w:ascii="Times New Roman" w:eastAsia="Calibri" w:hAnsi="Times New Roman" w:cs="Times New Roman"/>
          <w:u w:val="single"/>
          <w:lang w:val="sr-Latn-RS"/>
        </w:rPr>
      </w:pPr>
      <w:r w:rsidRPr="00A56FE5">
        <w:rPr>
          <w:rFonts w:ascii="Times New Roman" w:eastAsia="Calibri" w:hAnsi="Times New Roman" w:cs="Times New Roman"/>
          <w:u w:val="single"/>
          <w:lang w:val="sr-Latn-RS"/>
        </w:rPr>
        <w:t>Prijavljivanje sumnji na neželjena dejstva</w:t>
      </w:r>
    </w:p>
    <w:p w:rsidR="00A56FE5" w:rsidRPr="00A56FE5" w:rsidRDefault="00A56FE5" w:rsidP="00A56FE5">
      <w:pPr>
        <w:tabs>
          <w:tab w:val="left" w:pos="284"/>
        </w:tabs>
        <w:spacing w:after="20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Agencija za ljekove i medicinska sredstva Crne Gore</w:t>
      </w:r>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Odjeljenje za farmakovigilancu</w:t>
      </w:r>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Bulevar Ivana Crnojevića 64a, 81000 Podgorica</w:t>
      </w:r>
    </w:p>
    <w:p w:rsidR="00A56FE5" w:rsidRPr="00A56FE5" w:rsidRDefault="00A56FE5" w:rsidP="00A56FE5">
      <w:pPr>
        <w:spacing w:after="0" w:line="240" w:lineRule="auto"/>
        <w:jc w:val="both"/>
        <w:rPr>
          <w:rFonts w:ascii="Times New Roman" w:eastAsia="Calibri" w:hAnsi="Times New Roman" w:cs="Times New Roman"/>
          <w:lang w:val="sr-Latn-RS"/>
        </w:rPr>
      </w:pPr>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tel: +382 (0) 20 310 280</w:t>
      </w:r>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fax: +382 (0) 20 310 581</w:t>
      </w:r>
    </w:p>
    <w:p w:rsidR="00A56FE5" w:rsidRPr="00A56FE5" w:rsidRDefault="00A56FE5" w:rsidP="00A56FE5">
      <w:pPr>
        <w:spacing w:after="0" w:line="240" w:lineRule="auto"/>
        <w:jc w:val="both"/>
        <w:rPr>
          <w:rFonts w:ascii="Times New Roman" w:eastAsia="Calibri" w:hAnsi="Times New Roman" w:cs="Times New Roman"/>
          <w:lang w:val="sr-Latn-RS"/>
        </w:rPr>
      </w:pPr>
      <w:hyperlink r:id="rId8" w:history="1">
        <w:r w:rsidRPr="00A56FE5">
          <w:rPr>
            <w:rFonts w:ascii="Times New Roman" w:eastAsia="Calibri" w:hAnsi="Times New Roman" w:cs="Times New Roman"/>
            <w:color w:val="0000FF"/>
            <w:u w:val="single"/>
            <w:lang w:val="sr-Latn-RS"/>
          </w:rPr>
          <w:t>www.calims.me</w:t>
        </w:r>
      </w:hyperlink>
    </w:p>
    <w:p w:rsidR="00A56FE5" w:rsidRPr="00A56FE5" w:rsidRDefault="00A56FE5" w:rsidP="00A56FE5">
      <w:pPr>
        <w:spacing w:after="0" w:line="240" w:lineRule="auto"/>
        <w:jc w:val="both"/>
        <w:rPr>
          <w:rFonts w:ascii="Times New Roman" w:eastAsia="Calibri" w:hAnsi="Times New Roman" w:cs="Times New Roman"/>
          <w:color w:val="0000FF"/>
          <w:u w:val="single"/>
          <w:lang w:val="sr-Latn-RS"/>
        </w:rPr>
      </w:pPr>
      <w:hyperlink r:id="rId9" w:history="1">
        <w:r w:rsidRPr="00A56FE5">
          <w:rPr>
            <w:rFonts w:ascii="Times New Roman" w:eastAsia="Calibri" w:hAnsi="Times New Roman" w:cs="Times New Roman"/>
            <w:color w:val="0000FF"/>
            <w:u w:val="single"/>
            <w:lang w:val="sr-Latn-RS"/>
          </w:rPr>
          <w:t>nezeljenadejstva@calims.me</w:t>
        </w:r>
      </w:hyperlink>
    </w:p>
    <w:p w:rsidR="00A56FE5" w:rsidRPr="00A56FE5" w:rsidRDefault="00A56FE5" w:rsidP="00A56FE5">
      <w:pPr>
        <w:spacing w:after="0" w:line="240" w:lineRule="auto"/>
        <w:jc w:val="both"/>
        <w:rPr>
          <w:rFonts w:ascii="Times New Roman" w:eastAsia="Calibri" w:hAnsi="Times New Roman" w:cs="Times New Roman"/>
          <w:lang w:val="sr-Latn-RS"/>
        </w:rPr>
      </w:pPr>
      <w:r w:rsidRPr="00A56FE5">
        <w:rPr>
          <w:rFonts w:ascii="Times New Roman" w:eastAsia="Calibri" w:hAnsi="Times New Roman" w:cs="Times New Roman"/>
          <w:lang w:val="sr-Latn-RS"/>
        </w:rPr>
        <w:t>putem IS zdravstvene zaštite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 xml:space="preserve">4.9. Predoziranje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Ne postoji specifičan antidot. U slučaju predoziranja, preporučuje se praćenje pacijenta kako bi se uočili eventualni znaci ili simptomi neželjenih dejstava, i treba odmah započeti primjenu simptomatske terapije.</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Simptomi predoziranja ljekovima koji sadrže estrogen kod odraslih i djece mogu da uključuju mučninu, povraćanje, osjetljivost dojki, vrtoglavicu, bol u abdomenu, pospanost/zamor; kod žena se može pojaviti krvarenje usljed prekida hormonske terapije.</w:t>
      </w:r>
    </w:p>
    <w:p w:rsidR="00A56FE5" w:rsidRPr="00A56FE5" w:rsidRDefault="00A56FE5" w:rsidP="00A56FE5">
      <w:pPr>
        <w:tabs>
          <w:tab w:val="left" w:pos="284"/>
        </w:tabs>
        <w:spacing w:before="200" w:after="200" w:line="240" w:lineRule="auto"/>
        <w:jc w:val="both"/>
        <w:rPr>
          <w:rFonts w:ascii="Times New Roman" w:eastAsia="Times New Roman" w:hAnsi="Times New Roman" w:cs="Times New Roman"/>
          <w:b/>
          <w:lang w:val="sr-Latn-RS"/>
        </w:rPr>
      </w:pPr>
      <w:r w:rsidRPr="00A56FE5">
        <w:rPr>
          <w:rFonts w:ascii="Times New Roman" w:eastAsia="Times New Roman" w:hAnsi="Times New Roman" w:cs="Times New Roman"/>
          <w:b/>
          <w:lang w:val="sr-Latn-RS"/>
        </w:rPr>
        <w:lastRenderedPageBreak/>
        <w:t>5. FARMAKOLOŠKI PODACI</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5.1. Farmakodinamski podaci</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color w:val="FF0000"/>
          <w:lang w:val="sr-Latn-RS"/>
        </w:rPr>
      </w:pPr>
    </w:p>
    <w:p w:rsidR="00A56FE5" w:rsidRPr="00A56FE5" w:rsidRDefault="00A56FE5" w:rsidP="00A56FE5">
      <w:pPr>
        <w:widowControl w:val="0"/>
        <w:numPr>
          <w:ilvl w:val="12"/>
          <w:numId w:val="0"/>
        </w:numPr>
        <w:tabs>
          <w:tab w:val="left" w:pos="284"/>
        </w:tabs>
        <w:spacing w:after="0" w:line="240" w:lineRule="auto"/>
        <w:ind w:right="-2"/>
        <w:jc w:val="both"/>
        <w:rPr>
          <w:rFonts w:ascii="Times New Roman" w:eastAsia="Times New Roman" w:hAnsi="Times New Roman" w:cs="Times New Roman"/>
          <w:lang w:val="sr-Latn-RS"/>
        </w:rPr>
      </w:pPr>
      <w:r w:rsidRPr="00A56FE5">
        <w:rPr>
          <w:rFonts w:ascii="Times New Roman" w:eastAsia="Times New Roman" w:hAnsi="Times New Roman" w:cs="Times New Roman"/>
          <w:bCs/>
          <w:lang w:val="sr-Latn-RS"/>
        </w:rPr>
        <w:t>Farmakoterapijska grupa:</w:t>
      </w:r>
      <w:r w:rsidRPr="00A56FE5">
        <w:rPr>
          <w:rFonts w:ascii="Times New Roman" w:eastAsia="Times New Roman" w:hAnsi="Times New Roman" w:cs="Times New Roman"/>
          <w:lang w:val="sr-Latn-RS"/>
        </w:rPr>
        <w:t xml:space="preserve"> Polni hormoni i modulatori genitalnog sistema; estrogeni, kombinacije sa drugim ljekovima</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widowControl w:val="0"/>
        <w:numPr>
          <w:ilvl w:val="12"/>
          <w:numId w:val="0"/>
        </w:numPr>
        <w:tabs>
          <w:tab w:val="left" w:pos="284"/>
        </w:tabs>
        <w:spacing w:after="0" w:line="240" w:lineRule="auto"/>
        <w:ind w:right="-2"/>
        <w:jc w:val="both"/>
        <w:rPr>
          <w:rFonts w:ascii="Times New Roman" w:eastAsia="Times New Roman" w:hAnsi="Times New Roman" w:cs="Times New Roman"/>
          <w:lang w:val="sr-Latn-RS"/>
        </w:rPr>
      </w:pPr>
      <w:r w:rsidRPr="00A56FE5">
        <w:rPr>
          <w:rFonts w:ascii="Times New Roman" w:eastAsia="Times New Roman" w:hAnsi="Times New Roman" w:cs="Times New Roman"/>
          <w:bCs/>
          <w:lang w:val="sr-Latn-RS"/>
        </w:rPr>
        <w:t>ATC kod:</w:t>
      </w:r>
      <w:r w:rsidRPr="00A56FE5">
        <w:rPr>
          <w:rFonts w:ascii="Times New Roman" w:eastAsia="Times New Roman" w:hAnsi="Times New Roman" w:cs="Times New Roman"/>
          <w:lang w:val="sr-Latn-RS"/>
        </w:rPr>
        <w:t xml:space="preserve"> G03CC07</w:t>
      </w: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widowControl w:val="0"/>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Mehanizam dejstva</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KE + BZA je kombinacija konjugovanih estrogena i bazedoksifena (selektivnog modulatora estrogenih receptora, SERM), čineći tako tkivno selektivan estrogenski kompleks (engl. </w:t>
      </w:r>
      <w:r w:rsidRPr="00A56FE5">
        <w:rPr>
          <w:rFonts w:ascii="Times New Roman" w:eastAsia="Times New Roman" w:hAnsi="Times New Roman" w:cs="Times New Roman"/>
          <w:i/>
          <w:lang w:val="sr-Latn-RS"/>
        </w:rPr>
        <w:t>tissue selective oestrogen complex</w:t>
      </w:r>
      <w:r w:rsidRPr="00A56FE5">
        <w:rPr>
          <w:rFonts w:ascii="Times New Roman" w:eastAsia="Times New Roman" w:hAnsi="Times New Roman" w:cs="Times New Roman"/>
          <w:lang w:val="sr-Latn-RS"/>
        </w:rPr>
        <w:t>, TSEC). Aktivne supstance konjugovanih estrogena prvenstveno su sulfatni estri estrona, ekvilin sulfati i 17α/β-estradiol. Oni nadoknađuju gubitak sinteze estrogena kod žena u menopauzi i ublažavaju simptome menopauze. Budući da estrogeni stimulišu rast endometrijuma, kada se primijene sami povećavaju rizik od hiperplazije i karcinoma endometrijuma. Dodatak bazedoksifena, koji djeluje kao antagonista estrogenskih receptora u uterusu, znatno smanjuje rizik od hiperplazije endometrijuma izazvane estrogenom kod žena koje nisu bile podvrgnute histerektomiji.</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u w:val="single"/>
          <w:lang w:val="sr-Latn-RS"/>
        </w:rPr>
      </w:pPr>
    </w:p>
    <w:p w:rsidR="00A56FE5" w:rsidRDefault="00A56FE5" w:rsidP="00A56FE5">
      <w:pPr>
        <w:widowControl w:val="0"/>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Klinička efikasnost i bezbjednost</w:t>
      </w:r>
    </w:p>
    <w:p w:rsidR="006B17C1" w:rsidRPr="00A56FE5" w:rsidRDefault="006B17C1" w:rsidP="00A56FE5">
      <w:pPr>
        <w:widowControl w:val="0"/>
        <w:tabs>
          <w:tab w:val="left" w:pos="284"/>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KE + BZA je ispitivan kod 4868 postmenopauzalnih žena koje su učestvovale u pet kliničkih ispitivanja faze III. Među njima, 1585 žena dobijalo je 0,45 mg KE + 20 mg BZA, a 1241 žena je dobijala placebo. Ispitivano je dugotrajno izlaganje KE + BZA-u do 2 godine; 3322 žene bile su izložene KE + BZA-u najmanje 1 godinu, a 1999 žena bilo je izloženo 2 godine.</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t>Ublažavanje simptoma nedostatka estrogena i krvarenja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Ublažavanje simptoma menopauze postignuto je tokom prvih nedjelja terapije. U studiji koja je trajala 12 nedjelja, primjena kombinacije 0,45 mg konjugovanih estrogena + 20 mg bazedoksifena znatno je smanjila broj i težinu valunga, u poređenju sa placebom u četvrtoj i dvanaestoj nedjelji terapije.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jednoj studiji, kod 97% žena liječenih kombinacijom 0,45 mg konjugovanih estrogena + 20 mg bazedoksifena zabilježena je amenoreja u periodu od 10.-og do 12.-og mjeseca terapije. Nepravilno krvarenje i/ili tačkasto krvarenje prijavljeno je kod 7% žena u grupi koja je primala kombinaciju 0,45 mg konjugovanih estrogena + 20 mg bazedoksifena tokom prva 3 mjeseca liječenja, i kod 3% žena u periodu od 10.-og do 12.-og mjeseca terapije.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drugoj studiji, kod 96% žena liječenih kombinacijom 0,45 mg konjugovanih estrogena + 20 mg bazedoksifena zabilježena je amenoreja u periodu od 10.-og do 12.-og mjeseca terapije. Nepravilno krvarenje i/ili tačkasto krvarenje prijavljeno je kod 8% žena u grupi koja je primala kombinaciju 0,45 mg konjugovanih estrogena + 20 mg bazedoksifena tokom prva 3 mjeseca liječenja, i kod 4% žena u periodu od 10.-og do 12.-og mjeseca terapije.</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spacing w:after="0" w:line="240" w:lineRule="auto"/>
        <w:jc w:val="both"/>
        <w:rPr>
          <w:rFonts w:ascii="Times New Roman" w:eastAsia="Times New Roman" w:hAnsi="Times New Roman" w:cs="Times New Roman"/>
          <w:i/>
          <w:u w:val="single"/>
          <w:lang w:val="sr-Latn-RS" w:eastAsia="sr-Latn-CS" w:bidi="sr-Latn-CS"/>
        </w:rPr>
      </w:pPr>
      <w:r w:rsidRPr="00A56FE5">
        <w:rPr>
          <w:rFonts w:ascii="Times New Roman" w:eastAsia="Times New Roman" w:hAnsi="Times New Roman" w:cs="Times New Roman"/>
          <w:i/>
          <w:u w:val="single"/>
          <w:lang w:val="sr-Latn-RS" w:eastAsia="sr-Latn-CS" w:bidi="sr-Latn-CS"/>
        </w:rPr>
        <w:t>Gustina tkiva dojki</w:t>
      </w:r>
    </w:p>
    <w:p w:rsidR="00A56FE5" w:rsidRPr="00A56FE5" w:rsidRDefault="00A56FE5" w:rsidP="00A56FE5">
      <w:pPr>
        <w:spacing w:after="0" w:line="240" w:lineRule="auto"/>
        <w:jc w:val="both"/>
        <w:rPr>
          <w:rFonts w:ascii="Times New Roman" w:eastAsia="Times New Roman" w:hAnsi="Times New Roman" w:cs="Times New Roman"/>
          <w:i/>
          <w:color w:val="FF0000"/>
          <w:u w:val="single"/>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lang w:val="sr-Latn-RS"/>
        </w:rPr>
        <w:lastRenderedPageBreak/>
        <w:t>Primjena kombinacije 0,45 mg konjugovanih estrogena + 20 mg bazedoksifena tokom jedne godine dovela je do sličnih promjena u mamografskoj gustini tkiva dojki u poređenju sa placebom.</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
          <w:u w:val="single"/>
          <w:lang w:val="sr-Latn-RS"/>
        </w:rPr>
      </w:pPr>
      <w:r w:rsidRPr="00A56FE5">
        <w:rPr>
          <w:rFonts w:ascii="Times New Roman" w:eastAsia="Times New Roman" w:hAnsi="Times New Roman" w:cs="Times New Roman"/>
          <w:i/>
          <w:u w:val="single"/>
          <w:lang w:val="sr-Latn-RS"/>
        </w:rPr>
        <w:t xml:space="preserve">Efekti na mineralnu gustinu kostiju </w:t>
      </w:r>
      <w:r w:rsidRPr="00A56FE5">
        <w:rPr>
          <w:rFonts w:ascii="Times New Roman" w:eastAsia="Times New Roman" w:hAnsi="Times New Roman" w:cs="Times New Roman"/>
          <w:u w:val="single"/>
          <w:lang w:val="sr-Latn-RS"/>
        </w:rPr>
        <w:t>(engl.</w:t>
      </w:r>
      <w:r w:rsidRPr="00A56FE5">
        <w:rPr>
          <w:rFonts w:ascii="Times New Roman" w:eastAsia="Times New Roman" w:hAnsi="Times New Roman" w:cs="Times New Roman"/>
          <w:i/>
          <w:u w:val="single"/>
          <w:lang w:val="sr-Latn-RS"/>
        </w:rPr>
        <w:t xml:space="preserve"> bone mineral density, BMD</w:t>
      </w:r>
      <w:r w:rsidRPr="00A56FE5">
        <w:rPr>
          <w:rFonts w:ascii="Times New Roman" w:eastAsia="Times New Roman" w:hAnsi="Times New Roman" w:cs="Times New Roman"/>
          <w:u w:val="single"/>
          <w:lang w:val="sr-Latn-RS"/>
        </w:rPr>
        <w:t>)</w:t>
      </w:r>
    </w:p>
    <w:p w:rsidR="00A56FE5" w:rsidRPr="00A56FE5" w:rsidRDefault="00A56FE5" w:rsidP="00A56FE5">
      <w:pPr>
        <w:tabs>
          <w:tab w:val="left" w:pos="284"/>
        </w:tabs>
        <w:spacing w:after="0" w:line="240" w:lineRule="auto"/>
        <w:jc w:val="both"/>
        <w:rPr>
          <w:rFonts w:ascii="Times New Roman" w:eastAsia="Times New Roman" w:hAnsi="Times New Roman" w:cs="Times New Roman"/>
          <w:i/>
          <w:u w:val="single"/>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U jednogodišnjoj studiji, primjena kombinacije 0,45 mg konjugovanih estrogena + 20 mg bazedoksifena dovela je do značajne razlike u mineralnoj gustini kostiju lumbalnog dijela kičme (+1,52% u odnosu na početne vrijednosti BMD) u 12. mjesecu terapije u poređenju sa placebom. Ova promjena BMD bila je slična onoj do koje je dovela primjena 20 mg samog bazedoksifena (+1,35%), i manja od one koja je zabilježena kod primjene kombinacije 0,45 mg konjugovanih estrogena + 1,5 mg medroksiprogesterona (+2,58%) u istoj studiji.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bCs/>
          <w:u w:val="single"/>
          <w:lang w:val="sr-Latn-RS"/>
        </w:rPr>
      </w:pPr>
      <w:r w:rsidRPr="00A56FE5">
        <w:rPr>
          <w:rFonts w:ascii="Times New Roman" w:eastAsia="Times New Roman" w:hAnsi="Times New Roman" w:cs="Times New Roman"/>
          <w:u w:val="single"/>
          <w:lang w:val="sr-Latn-RS"/>
        </w:rPr>
        <w:t>Starije osobe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bCs/>
          <w:u w:val="single"/>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i/>
          <w:lang w:val="sr-Latn-RS"/>
        </w:rPr>
      </w:pPr>
      <w:r w:rsidRPr="00A56FE5">
        <w:rPr>
          <w:rFonts w:ascii="Times New Roman" w:eastAsia="Times New Roman" w:hAnsi="Times New Roman" w:cs="Times New Roman"/>
          <w:lang w:val="sr-Latn-RS"/>
        </w:rPr>
        <w:t>Od ukupnog broja ispitanica u fazi III kliničkih ispitivanja, koje su primale KE + BZA 20 mg, 2,4% (n=77) bile su starosti ≥ 65 godina. Ukupne razlike u bezbjednosti ili efikasnosti terapije nisu uočene kod žena starijih od 65 godina i mlađe populacije, ali ne može se isključiti veća osjetljivost pojedinih starijih pacijentkinja.</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bCs/>
          <w:color w:val="FF0000"/>
          <w:u w:val="single"/>
          <w:lang w:val="sr-Latn-RS"/>
        </w:rPr>
      </w:pPr>
    </w:p>
    <w:p w:rsidR="00A56FE5" w:rsidRPr="00A56FE5" w:rsidRDefault="00A56FE5" w:rsidP="00A56FE5">
      <w:pPr>
        <w:keepNext/>
        <w:keepLines/>
        <w:tabs>
          <w:tab w:val="left" w:pos="284"/>
        </w:tabs>
        <w:autoSpaceDE w:val="0"/>
        <w:autoSpaceDN w:val="0"/>
        <w:adjustRightInd w:val="0"/>
        <w:spacing w:after="0" w:line="240" w:lineRule="auto"/>
        <w:jc w:val="both"/>
        <w:rPr>
          <w:rFonts w:ascii="Times New Roman" w:eastAsia="Times New Roman" w:hAnsi="Times New Roman" w:cs="Times New Roman"/>
          <w:bCs/>
          <w:u w:val="single"/>
          <w:lang w:val="sr-Latn-RS"/>
        </w:rPr>
      </w:pPr>
      <w:r w:rsidRPr="00A56FE5">
        <w:rPr>
          <w:rFonts w:ascii="Times New Roman" w:eastAsia="Times New Roman" w:hAnsi="Times New Roman" w:cs="Times New Roman"/>
          <w:u w:val="single"/>
          <w:lang w:val="sr-Latn-RS"/>
        </w:rPr>
        <w:t>Pedijatrijska populacija</w:t>
      </w:r>
    </w:p>
    <w:p w:rsidR="00A56FE5" w:rsidRPr="00A56FE5" w:rsidRDefault="00A56FE5" w:rsidP="00A56FE5">
      <w:pPr>
        <w:keepNext/>
        <w:keepLines/>
        <w:tabs>
          <w:tab w:val="left" w:pos="284"/>
        </w:tabs>
        <w:autoSpaceDE w:val="0"/>
        <w:autoSpaceDN w:val="0"/>
        <w:adjustRightInd w:val="0"/>
        <w:spacing w:after="0" w:line="240" w:lineRule="auto"/>
        <w:jc w:val="both"/>
        <w:rPr>
          <w:rFonts w:ascii="Times New Roman" w:eastAsia="Times New Roman" w:hAnsi="Times New Roman" w:cs="Times New Roman"/>
          <w:bCs/>
          <w:color w:val="FF0000"/>
          <w:u w:val="single"/>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Evropska agencija za ljekove izuzela je od obaveze podnošenje rezultata ispitivanja sa KE + BZA u svim podgrupama pedijatrijske populacije u simptomatskoj terapiji nedostatka estrogena kod žena u postmenopauzi (vidjeti dio 4.2 za informacije o upotrebi u pedijatrijskoj populaciji).</w:t>
      </w:r>
    </w:p>
    <w:p w:rsidR="00A56FE5" w:rsidRPr="00A56FE5" w:rsidRDefault="00A56FE5" w:rsidP="00A56FE5">
      <w:pPr>
        <w:spacing w:after="0" w:line="240" w:lineRule="auto"/>
        <w:jc w:val="both"/>
        <w:rPr>
          <w:rFonts w:ascii="Times New Roman" w:eastAsia="Times New Roman" w:hAnsi="Times New Roman" w:cs="Times New Roman"/>
          <w:color w:val="FF0000"/>
          <w:lang w:val="sr-Latn-CS" w:eastAsia="sr-Latn-CS" w:bidi="sr-Latn-C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b/>
          <w:bCs/>
          <w:lang w:val="sr-Latn-CS"/>
        </w:rPr>
      </w:pPr>
      <w:r w:rsidRPr="00A56FE5">
        <w:rPr>
          <w:rFonts w:ascii="Times New Roman" w:eastAsia="Times New Roman" w:hAnsi="Times New Roman" w:cs="Times New Roman"/>
          <w:b/>
          <w:bCs/>
          <w:lang w:val="sr-Latn-CS"/>
        </w:rPr>
        <w:t xml:space="preserve">5.2. </w:t>
      </w:r>
      <w:r w:rsidRPr="00A56FE5">
        <w:rPr>
          <w:rFonts w:ascii="Times New Roman" w:eastAsia="Times New Roman" w:hAnsi="Times New Roman" w:cs="Times New Roman"/>
          <w:b/>
          <w:bCs/>
        </w:rPr>
        <w:t>Farmakokineti</w:t>
      </w:r>
      <w:r w:rsidRPr="00A56FE5">
        <w:rPr>
          <w:rFonts w:ascii="Times New Roman" w:eastAsia="Times New Roman" w:hAnsi="Times New Roman" w:cs="Times New Roman"/>
          <w:b/>
          <w:bCs/>
          <w:lang w:val="sr-Latn-CS"/>
        </w:rPr>
        <w:t>č</w:t>
      </w:r>
      <w:r w:rsidRPr="00A56FE5">
        <w:rPr>
          <w:rFonts w:ascii="Times New Roman" w:eastAsia="Times New Roman" w:hAnsi="Times New Roman" w:cs="Times New Roman"/>
          <w:b/>
          <w:bCs/>
        </w:rPr>
        <w:t>ki</w:t>
      </w:r>
      <w:r w:rsidRPr="00A56FE5">
        <w:rPr>
          <w:rFonts w:ascii="Times New Roman" w:eastAsia="Times New Roman" w:hAnsi="Times New Roman" w:cs="Times New Roman"/>
          <w:b/>
          <w:bCs/>
          <w:lang w:val="sr-Latn-CS"/>
        </w:rPr>
        <w:t xml:space="preserve"> </w:t>
      </w:r>
      <w:r w:rsidRPr="00A56FE5">
        <w:rPr>
          <w:rFonts w:ascii="Times New Roman" w:eastAsia="Times New Roman" w:hAnsi="Times New Roman" w:cs="Times New Roman"/>
          <w:b/>
          <w:bCs/>
        </w:rPr>
        <w:t>podaci</w:t>
      </w:r>
    </w:p>
    <w:p w:rsidR="00A56FE5" w:rsidRPr="00A56FE5" w:rsidRDefault="00A56FE5" w:rsidP="00A56FE5">
      <w:pPr>
        <w:keepNext/>
        <w:autoSpaceDE w:val="0"/>
        <w:autoSpaceDN w:val="0"/>
        <w:adjustRightInd w:val="0"/>
        <w:spacing w:after="0" w:line="240" w:lineRule="auto"/>
        <w:jc w:val="both"/>
        <w:rPr>
          <w:rFonts w:ascii="Times New Roman" w:eastAsia="Times New Roman" w:hAnsi="Times New Roman" w:cs="Times New Roman"/>
          <w:lang w:val="sr-Latn-C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Farmakokinetičke studije za kombinaciju konjugovani estrogeni + bazedoksifen sprovedene su kod zdravih postmenopauzalnih žena koje su ušle u postmenopauzu prirodnim putem ili koje su podvrgnute bilateralnoj ooforektomiji.</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eastAsia="sr-Latn-CS" w:bidi="sr-Latn-C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Srednje vrijednosti farmakokinetičkih parametara u stanju ravnoteže za konjugovane estrogene (početna vrijednost podešena za ukupni estron) i bazedoksifen nakon primjene višestrukih doza od 0,45 mg konjugovanih estrogena + 20 mg bazedoksifena, prikazane su u tabeli u nastavku.</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eastAsia="sr-Latn-CS" w:bidi="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1372"/>
        <w:gridCol w:w="1328"/>
        <w:gridCol w:w="1620"/>
      </w:tblGrid>
      <w:tr w:rsidR="00A56FE5" w:rsidRPr="00A56FE5" w:rsidTr="00A56FE5">
        <w:trPr>
          <w:jc w:val="center"/>
        </w:trPr>
        <w:tc>
          <w:tcPr>
            <w:tcW w:w="8587" w:type="dxa"/>
            <w:gridSpan w:val="4"/>
            <w:tcBorders>
              <w:top w:val="nil"/>
              <w:left w:val="nil"/>
              <w:bottom w:val="single" w:sz="4" w:space="0" w:color="auto"/>
              <w:right w:val="nil"/>
            </w:tcBorders>
          </w:tcPr>
          <w:p w:rsidR="00A56FE5" w:rsidRPr="00A56FE5" w:rsidRDefault="00A56FE5" w:rsidP="00A56FE5">
            <w:pPr>
              <w:keepNext/>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Srednja vrijednost ± SD farmakokinetičkih parametara u stanju ravnoteže (n=24)</w:t>
            </w:r>
          </w:p>
        </w:tc>
      </w:tr>
      <w:tr w:rsidR="00A56FE5" w:rsidRPr="00A56FE5" w:rsidTr="00A56FE5">
        <w:trPr>
          <w:jc w:val="center"/>
        </w:trPr>
        <w:tc>
          <w:tcPr>
            <w:tcW w:w="4267" w:type="dxa"/>
            <w:tcBorders>
              <w:top w:val="single" w:sz="4" w:space="0" w:color="auto"/>
              <w:left w:val="single" w:sz="4" w:space="0" w:color="auto"/>
              <w:bottom w:val="single" w:sz="4" w:space="0" w:color="auto"/>
              <w:right w:val="nil"/>
            </w:tcBorders>
          </w:tcPr>
          <w:p w:rsidR="00A56FE5" w:rsidRPr="00A56FE5" w:rsidRDefault="00A56FE5" w:rsidP="00A56FE5">
            <w:pPr>
              <w:keepNext/>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RS" w:eastAsia="sr-Latn-CS" w:bidi="sr-Latn-CS"/>
              </w:rPr>
            </w:pPr>
          </w:p>
        </w:tc>
        <w:tc>
          <w:tcPr>
            <w:tcW w:w="1372" w:type="dxa"/>
            <w:tcBorders>
              <w:top w:val="single" w:sz="4" w:space="0" w:color="auto"/>
              <w:left w:val="nil"/>
              <w:bottom w:val="single" w:sz="4" w:space="0" w:color="auto"/>
              <w:right w:val="nil"/>
            </w:tcBorders>
          </w:tcPr>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C</w:t>
            </w:r>
            <w:r w:rsidRPr="00A56FE5">
              <w:rPr>
                <w:rFonts w:ascii="Times New Roman" w:eastAsia="Times New Roman" w:hAnsi="Times New Roman" w:cs="Times New Roman"/>
                <w:vertAlign w:val="subscript"/>
                <w:lang w:val="sr-Latn-RS" w:eastAsia="sr-Latn-CS" w:bidi="sr-Latn-CS"/>
              </w:rPr>
              <w:t>max</w:t>
            </w:r>
          </w:p>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(ng/ml)</w:t>
            </w:r>
          </w:p>
        </w:tc>
        <w:tc>
          <w:tcPr>
            <w:tcW w:w="1328" w:type="dxa"/>
            <w:tcBorders>
              <w:top w:val="single" w:sz="4" w:space="0" w:color="auto"/>
              <w:left w:val="nil"/>
              <w:bottom w:val="single" w:sz="4" w:space="0" w:color="auto"/>
              <w:right w:val="nil"/>
            </w:tcBorders>
          </w:tcPr>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T</w:t>
            </w:r>
            <w:r w:rsidRPr="00A56FE5">
              <w:rPr>
                <w:rFonts w:ascii="Times New Roman" w:eastAsia="Times New Roman" w:hAnsi="Times New Roman" w:cs="Times New Roman"/>
                <w:vertAlign w:val="subscript"/>
                <w:lang w:val="sr-Latn-RS" w:eastAsia="sr-Latn-CS" w:bidi="sr-Latn-CS"/>
              </w:rPr>
              <w:t>max</w:t>
            </w:r>
          </w:p>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(h)</w:t>
            </w:r>
          </w:p>
        </w:tc>
        <w:tc>
          <w:tcPr>
            <w:tcW w:w="1620" w:type="dxa"/>
            <w:tcBorders>
              <w:top w:val="single" w:sz="4" w:space="0" w:color="auto"/>
              <w:left w:val="nil"/>
              <w:bottom w:val="single" w:sz="4" w:space="0" w:color="auto"/>
              <w:right w:val="single" w:sz="4" w:space="0" w:color="auto"/>
            </w:tcBorders>
          </w:tcPr>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PIKss</w:t>
            </w:r>
          </w:p>
          <w:p w:rsidR="00A56FE5" w:rsidRPr="00A56FE5" w:rsidRDefault="00A56FE5" w:rsidP="00E73910">
            <w:pPr>
              <w:keepNext/>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(ng</w:t>
            </w:r>
            <w:r w:rsidRPr="00A56FE5">
              <w:rPr>
                <w:rFonts w:ascii="Times New Roman" w:eastAsia="Times New Roman" w:hAnsi="Times New Roman" w:cs="Times New Roman"/>
                <w:lang w:val="sr-Latn-RS" w:eastAsia="sr-Latn-CS" w:bidi="sr-Latn-CS"/>
              </w:rPr>
              <w:sym w:font="Symbol" w:char="F0D7"/>
            </w:r>
            <w:r w:rsidRPr="00A56FE5">
              <w:rPr>
                <w:rFonts w:ascii="Times New Roman" w:eastAsia="Times New Roman" w:hAnsi="Times New Roman" w:cs="Times New Roman"/>
                <w:lang w:val="sr-Latn-RS" w:eastAsia="sr-Latn-CS" w:bidi="sr-Latn-CS"/>
              </w:rPr>
              <w:t>h/ml)</w:t>
            </w:r>
          </w:p>
        </w:tc>
      </w:tr>
      <w:tr w:rsidR="00A56FE5" w:rsidRPr="00A56FE5" w:rsidTr="00A56FE5">
        <w:trPr>
          <w:jc w:val="center"/>
        </w:trPr>
        <w:tc>
          <w:tcPr>
            <w:tcW w:w="4267" w:type="dxa"/>
            <w:tcBorders>
              <w:top w:val="single" w:sz="4" w:space="0" w:color="auto"/>
              <w:left w:val="single" w:sz="4" w:space="0" w:color="auto"/>
              <w:bottom w:val="nil"/>
              <w:right w:val="nil"/>
            </w:tcBorders>
          </w:tcPr>
          <w:p w:rsidR="00A56FE5" w:rsidRPr="00A56FE5" w:rsidRDefault="00A56FE5" w:rsidP="00A56FE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Bazedoksifen</w:t>
            </w:r>
          </w:p>
        </w:tc>
        <w:tc>
          <w:tcPr>
            <w:tcW w:w="1372" w:type="dxa"/>
            <w:tcBorders>
              <w:top w:val="single" w:sz="4" w:space="0" w:color="auto"/>
              <w:left w:val="nil"/>
              <w:bottom w:val="nil"/>
              <w:right w:val="nil"/>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6,9 ± 3,9</w:t>
            </w:r>
          </w:p>
        </w:tc>
        <w:tc>
          <w:tcPr>
            <w:tcW w:w="1328" w:type="dxa"/>
            <w:tcBorders>
              <w:top w:val="single" w:sz="4" w:space="0" w:color="auto"/>
              <w:left w:val="nil"/>
              <w:bottom w:val="nil"/>
              <w:right w:val="nil"/>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2,5 ± 2,1</w:t>
            </w:r>
          </w:p>
        </w:tc>
        <w:tc>
          <w:tcPr>
            <w:tcW w:w="1620" w:type="dxa"/>
            <w:tcBorders>
              <w:top w:val="single" w:sz="4" w:space="0" w:color="auto"/>
              <w:left w:val="nil"/>
              <w:bottom w:val="nil"/>
              <w:right w:val="single" w:sz="4" w:space="0" w:color="auto"/>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71 ± 34</w:t>
            </w:r>
          </w:p>
        </w:tc>
      </w:tr>
      <w:tr w:rsidR="00A56FE5" w:rsidRPr="00A56FE5" w:rsidTr="00A56FE5">
        <w:trPr>
          <w:jc w:val="center"/>
        </w:trPr>
        <w:tc>
          <w:tcPr>
            <w:tcW w:w="4267" w:type="dxa"/>
            <w:tcBorders>
              <w:top w:val="nil"/>
              <w:left w:val="single" w:sz="4" w:space="0" w:color="auto"/>
              <w:bottom w:val="single" w:sz="4" w:space="0" w:color="auto"/>
              <w:right w:val="nil"/>
            </w:tcBorders>
          </w:tcPr>
          <w:p w:rsidR="00A56FE5" w:rsidRPr="00A56FE5" w:rsidRDefault="00A56FE5" w:rsidP="00A56FE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Ukupni estron podešen za početne vrijednosti</w:t>
            </w:r>
          </w:p>
        </w:tc>
        <w:tc>
          <w:tcPr>
            <w:tcW w:w="1372" w:type="dxa"/>
            <w:tcBorders>
              <w:top w:val="nil"/>
              <w:left w:val="nil"/>
              <w:bottom w:val="single" w:sz="4" w:space="0" w:color="auto"/>
              <w:right w:val="nil"/>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2,6 ± 0,8</w:t>
            </w:r>
          </w:p>
        </w:tc>
        <w:tc>
          <w:tcPr>
            <w:tcW w:w="1328" w:type="dxa"/>
            <w:tcBorders>
              <w:top w:val="nil"/>
              <w:left w:val="nil"/>
              <w:bottom w:val="single" w:sz="4" w:space="0" w:color="auto"/>
              <w:right w:val="nil"/>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6,5 ± 1,6</w:t>
            </w:r>
          </w:p>
        </w:tc>
        <w:tc>
          <w:tcPr>
            <w:tcW w:w="1620" w:type="dxa"/>
            <w:tcBorders>
              <w:top w:val="nil"/>
              <w:left w:val="nil"/>
              <w:bottom w:val="single" w:sz="4" w:space="0" w:color="auto"/>
              <w:right w:val="single" w:sz="4" w:space="0" w:color="auto"/>
            </w:tcBorders>
          </w:tcPr>
          <w:p w:rsidR="00A56FE5" w:rsidRPr="00A56FE5" w:rsidRDefault="00A56FE5" w:rsidP="00E739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RS" w:eastAsia="sr-Latn-CS" w:bidi="sr-Latn-CS"/>
              </w:rPr>
            </w:pPr>
            <w:r w:rsidRPr="00A56FE5">
              <w:rPr>
                <w:rFonts w:ascii="Times New Roman" w:eastAsia="Times New Roman" w:hAnsi="Times New Roman" w:cs="Times New Roman"/>
                <w:lang w:val="sr-Latn-RS" w:eastAsia="sr-Latn-CS" w:bidi="sr-Latn-CS"/>
              </w:rPr>
              <w:t>35 ± 12</w:t>
            </w:r>
          </w:p>
        </w:tc>
      </w:tr>
    </w:tbl>
    <w:p w:rsidR="00A56FE5" w:rsidRPr="00A56FE5" w:rsidRDefault="00A56FE5" w:rsidP="00A56FE5">
      <w:pPr>
        <w:spacing w:after="0" w:line="240" w:lineRule="auto"/>
        <w:ind w:left="72" w:hanging="72"/>
        <w:jc w:val="both"/>
        <w:outlineLvl w:val="2"/>
        <w:rPr>
          <w:rFonts w:ascii="Times New Roman" w:eastAsia="Times New Roman" w:hAnsi="Times New Roman" w:cs="Times New Roman"/>
          <w:b/>
          <w:i/>
          <w:iCs/>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u w:val="single"/>
          <w:lang w:val="en-GB"/>
        </w:rPr>
      </w:pPr>
      <w:r w:rsidRPr="00A56FE5">
        <w:rPr>
          <w:rFonts w:ascii="Times New Roman" w:eastAsia="Times New Roman" w:hAnsi="Times New Roman" w:cs="Times New Roman"/>
          <w:u w:val="single"/>
          <w:lang w:val="en-GB"/>
        </w:rPr>
        <w:t>Resorpcija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Nakon primjene pojedinačne doze kombinacije konjugovani estrogeni + bazedoksifen, došlo je do resorpcije bazedoksifena i ukupnog estrona podešenog za početne vrijednosti sa t</w:t>
      </w:r>
      <w:r w:rsidRPr="00A56FE5">
        <w:rPr>
          <w:rFonts w:ascii="Times New Roman" w:eastAsia="Times New Roman" w:hAnsi="Times New Roman" w:cs="Times New Roman"/>
          <w:vertAlign w:val="subscript"/>
          <w:lang w:val="sr-Latn-RS"/>
        </w:rPr>
        <w:t xml:space="preserve">max </w:t>
      </w:r>
      <w:r w:rsidRPr="00A56FE5">
        <w:rPr>
          <w:rFonts w:ascii="Times New Roman" w:eastAsia="Times New Roman" w:hAnsi="Times New Roman" w:cs="Times New Roman"/>
          <w:lang w:val="sr-Latn-RS"/>
        </w:rPr>
        <w:t>za bazedoksifen koje je iznosilo približno 2 sata, i t</w:t>
      </w:r>
      <w:r w:rsidRPr="00A56FE5">
        <w:rPr>
          <w:rFonts w:ascii="Times New Roman" w:eastAsia="Times New Roman" w:hAnsi="Times New Roman" w:cs="Times New Roman"/>
          <w:vertAlign w:val="subscript"/>
          <w:lang w:val="sr-Latn-RS"/>
        </w:rPr>
        <w:t xml:space="preserve">max </w:t>
      </w:r>
      <w:r w:rsidRPr="00A56FE5">
        <w:rPr>
          <w:rFonts w:ascii="Times New Roman" w:eastAsia="Times New Roman" w:hAnsi="Times New Roman" w:cs="Times New Roman"/>
          <w:lang w:val="sr-Latn-RS"/>
        </w:rPr>
        <w:t>za ukupni estron podešen za početne vrijednosti od približno 8,5 sati. Nakon primjene pojedinačne doze od 0,625 mg konjugovanih estrogena + 20 mg bazedoksifena uz obrok bogat mastima, nije došlo do promjene C</w:t>
      </w:r>
      <w:r w:rsidRPr="00A56FE5">
        <w:rPr>
          <w:rFonts w:ascii="Times New Roman" w:eastAsia="Times New Roman" w:hAnsi="Times New Roman" w:cs="Times New Roman"/>
          <w:vertAlign w:val="subscript"/>
          <w:lang w:val="sr-Latn-RS"/>
        </w:rPr>
        <w:t>max</w:t>
      </w:r>
      <w:r w:rsidRPr="00A56FE5">
        <w:rPr>
          <w:rFonts w:ascii="Times New Roman" w:eastAsia="Times New Roman" w:hAnsi="Times New Roman" w:cs="Times New Roman"/>
          <w:lang w:val="sr-Latn-RS"/>
        </w:rPr>
        <w:t xml:space="preserve"> za bazedoksifen, ali se PIK povećao za približno 25%. Hrana je imala mali ili nije imala nikakav uticaj na izloženost konjugovanim estrogenima.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Kombinacija konjugovani estrogeni + bazedoksifen se može uzimati sa hranom ili bez nje.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Nakon primjene samog bazedoksifena, zabilježeno je linearno povećanje koncentracije u plazmi za pojedinačne doze od 0,5 mg do 120 mg, i za višestruke dnevne doza od 1 mg do 80 mg. Apsolutna biološka raspoloživost bazedoksifena iznosi oko 6%.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Konjugovani estrogeni su rastvorljivi u vodi i dobro se resorbuju u gastrointestinalnom traktu nakon oslobađanja iz lijeka. Proporcionalnost doza estrogena ispitivana je u dvije studije sa konjugovanim estrogenima. Sa povećanjem doze konjugovanih estrogena u rasponu od 0,3 mg do 0,625 mg, zabilježeno je proporcionalno povećanje PIK i C</w:t>
      </w:r>
      <w:r w:rsidRPr="00A56FE5">
        <w:rPr>
          <w:rFonts w:ascii="Times New Roman" w:eastAsia="Times New Roman" w:hAnsi="Times New Roman" w:cs="Times New Roman"/>
          <w:vertAlign w:val="subscript"/>
          <w:lang w:val="sr-Latn-RS"/>
        </w:rPr>
        <w:t>max</w:t>
      </w:r>
      <w:r w:rsidRPr="00A56FE5">
        <w:rPr>
          <w:rFonts w:ascii="Times New Roman" w:eastAsia="Times New Roman" w:hAnsi="Times New Roman" w:cs="Times New Roman"/>
          <w:lang w:val="sr-Latn-RS"/>
        </w:rPr>
        <w:t xml:space="preserve"> za ukupni (konjugovani i nekonjugovani) ekvilin, ukupni estron podešen za početne vrijednosti i nekonjugovani estron podešen za početne vrijednosti.</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r w:rsidRPr="00A56FE5">
        <w:rPr>
          <w:rFonts w:ascii="Times New Roman" w:eastAsia="Times New Roman" w:hAnsi="Times New Roman" w:cs="Times New Roman"/>
          <w:kern w:val="28"/>
          <w:u w:val="single"/>
          <w:lang w:val="sr-Latn-RS" w:eastAsia="sr-Latn-CS" w:bidi="sr-Latn-CS"/>
        </w:rPr>
        <w:t>Distribucija</w:t>
      </w: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Distribucija konjugovanih estrogena i bazedoksifena nakon primjene kombinacije konjugovani estrogeni + bazedoksifen nije ispitivana.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Nakon intravenske primjene samog bazedoksifena u dozi od 3 mg, volumen distribucije iznosio je </w:t>
      </w:r>
      <w:r w:rsidRPr="00A56FE5">
        <w:rPr>
          <w:rFonts w:ascii="Times New Roman" w:eastAsia="Times New Roman" w:hAnsi="Times New Roman" w:cs="Times New Roman"/>
          <w:lang w:val="sr-Latn-RS"/>
        </w:rPr>
        <w:br/>
        <w:t>14,7 </w:t>
      </w:r>
      <w:r w:rsidRPr="00A56FE5">
        <w:rPr>
          <w:rFonts w:ascii="Times New Roman" w:eastAsia="Times New Roman" w:hAnsi="Times New Roman" w:cs="Times New Roman"/>
          <w:lang w:val="sr-Latn-RS"/>
        </w:rPr>
        <w:sym w:font="Symbol" w:char="F0B1"/>
      </w:r>
      <w:r w:rsidRPr="00A56FE5">
        <w:rPr>
          <w:rFonts w:ascii="Times New Roman" w:eastAsia="Times New Roman" w:hAnsi="Times New Roman" w:cs="Times New Roman"/>
          <w:lang w:val="sr-Latn-RS"/>
        </w:rPr>
        <w:t xml:space="preserve"> 3,9 l/kg. </w:t>
      </w:r>
      <w:r w:rsidRPr="00A56FE5">
        <w:rPr>
          <w:rFonts w:ascii="Times New Roman" w:eastAsia="Times New Roman" w:hAnsi="Times New Roman" w:cs="Times New Roman"/>
          <w:i/>
          <w:lang w:val="sr-Latn-RS"/>
        </w:rPr>
        <w:t xml:space="preserve">In vitro, </w:t>
      </w:r>
      <w:r w:rsidRPr="00A56FE5">
        <w:rPr>
          <w:rFonts w:ascii="Times New Roman" w:eastAsia="Times New Roman" w:hAnsi="Times New Roman" w:cs="Times New Roman"/>
          <w:lang w:val="sr-Latn-RS"/>
        </w:rPr>
        <w:t xml:space="preserve">bazedoksifen se vezuje za proteine plazme u visokom procentu (98%–99%), ali se ne vezuje za globulin koji vezuje polne hormone (engl. </w:t>
      </w:r>
      <w:r w:rsidRPr="00A56FE5">
        <w:rPr>
          <w:rFonts w:ascii="Times New Roman" w:eastAsia="Times New Roman" w:hAnsi="Times New Roman" w:cs="Times New Roman"/>
          <w:i/>
          <w:lang w:val="sr-Latn-RS"/>
        </w:rPr>
        <w:t xml:space="preserve">sex hormone binding globulin - </w:t>
      </w:r>
      <w:r w:rsidRPr="00A56FE5">
        <w:rPr>
          <w:rFonts w:ascii="Times New Roman" w:eastAsia="Times New Roman" w:hAnsi="Times New Roman" w:cs="Times New Roman"/>
          <w:lang w:val="sr-Latn-RS"/>
        </w:rPr>
        <w:t xml:space="preserve">SHBG).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Distribucija egzogenog estrogena slična je onoj kod endogenog estrogena. Estrogeni se široko distribuiraju u organizmu i generalno se mogu naći u većim koncentracijama u ciljnim organima za polne hormone. Estrogeni u cirkulaciji su u najvećoj mjeri vezani za polne hormone i albumin.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r w:rsidRPr="00A56FE5">
        <w:rPr>
          <w:rFonts w:ascii="Times New Roman" w:eastAsia="Times New Roman" w:hAnsi="Times New Roman" w:cs="Times New Roman"/>
          <w:kern w:val="28"/>
          <w:u w:val="single"/>
          <w:lang w:val="sr-Latn-RS" w:eastAsia="sr-Latn-CS" w:bidi="sr-Latn-CS"/>
        </w:rPr>
        <w:t>Biotransformacija</w:t>
      </w: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strike/>
          <w:lang w:val="sr-Latn-RS"/>
        </w:rPr>
      </w:pPr>
      <w:r w:rsidRPr="00A56FE5">
        <w:rPr>
          <w:rFonts w:ascii="Times New Roman" w:eastAsia="Times New Roman" w:hAnsi="Times New Roman" w:cs="Times New Roman"/>
          <w:lang w:val="sr-Latn-RS"/>
        </w:rPr>
        <w:t>Metabolička raspodjela konjugovanih estrogena i bazedoksifena nakon primjene kombinacije konjugovani estrogeni + bazedoksifen nije ispitivana.</w:t>
      </w:r>
      <w:r w:rsidRPr="00A56FE5">
        <w:rPr>
          <w:rFonts w:ascii="Times New Roman" w:eastAsia="Times New Roman" w:hAnsi="Times New Roman" w:cs="Times New Roman"/>
          <w:strike/>
          <w:lang w:val="sr-Latn-RS"/>
        </w:rPr>
        <w:t xml:space="preserve"> </w:t>
      </w:r>
    </w:p>
    <w:p w:rsidR="00A56FE5" w:rsidRPr="00A56FE5" w:rsidRDefault="00A56FE5" w:rsidP="00A56FE5">
      <w:pPr>
        <w:tabs>
          <w:tab w:val="left" w:pos="284"/>
        </w:tabs>
        <w:spacing w:after="0" w:line="240" w:lineRule="auto"/>
        <w:jc w:val="both"/>
        <w:rPr>
          <w:rFonts w:ascii="Times New Roman" w:eastAsia="Times New Roman" w:hAnsi="Times New Roman" w:cs="Times New Roman"/>
          <w:strike/>
          <w:color w:val="FF0000"/>
          <w:lang w:val="sr-Latn-RS"/>
        </w:rPr>
      </w:pPr>
    </w:p>
    <w:p w:rsidR="00A56FE5" w:rsidRPr="00A56FE5" w:rsidRDefault="00A56FE5" w:rsidP="00A56FE5">
      <w:pPr>
        <w:tabs>
          <w:tab w:val="left" w:pos="284"/>
        </w:tabs>
        <w:spacing w:after="0" w:line="240" w:lineRule="auto"/>
        <w:ind w:right="-4"/>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Estrogeni se u cirkulaciji nalaze u stanju dinamičke ravnoteže metaboličke interkonverzije. 17β-estradiol se reverzibilno konvertuje u estron, a oba mogu da se konvertuju u estriol, koji je glavni metabolit u urinu. Kod žena u postmenopauzi, značajan procenat estrogena u cirkulaciji nalazi se u obliku sulfatnih konjugata, naročito estron sulfata, koji služi kao cirkulišući rezervoar za formiranje aktivnijih estrogena.</w:t>
      </w:r>
    </w:p>
    <w:p w:rsidR="00A56FE5" w:rsidRPr="00A56FE5" w:rsidRDefault="00A56FE5" w:rsidP="00A56FE5">
      <w:pPr>
        <w:tabs>
          <w:tab w:val="left" w:pos="284"/>
        </w:tabs>
        <w:spacing w:after="0" w:line="240" w:lineRule="auto"/>
        <w:jc w:val="both"/>
        <w:rPr>
          <w:rFonts w:ascii="Times New Roman" w:eastAsia="Times New Roman" w:hAnsi="Times New Roman" w:cs="Times New Roman"/>
          <w:strike/>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
          <w:iCs/>
          <w:u w:val="double"/>
          <w:lang w:val="sr-Latn-RS"/>
        </w:rPr>
      </w:pPr>
      <w:r w:rsidRPr="00A56FE5">
        <w:rPr>
          <w:rFonts w:ascii="Times New Roman" w:eastAsia="Times New Roman" w:hAnsi="Times New Roman" w:cs="Times New Roman"/>
          <w:lang w:val="sr-Latn-RS"/>
        </w:rPr>
        <w:t xml:space="preserve">Metabolička raspodjela bazedoksifena kod žena u postmenopauzi utvrđena je nakon oralne primjene 20 mg radioaktivno obilježenog bazedoksifena. Bazedoksifen se u velikoj mjeri metaboliše kod žena. Glukuronidacija je glavni metabolički put. Bazedoksifen malo ili nimalo podliježe metabolizmu putem citohroma P450. Bazedoksifen 5-glukuronid je glavni metabolit prisutan u cirkulaciji. Koncentracije ovog glukuronida su oko 10 puta veće od koncentracija nepromijenjene aktivne supstance BZA u plazmi.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r w:rsidRPr="00A56FE5">
        <w:rPr>
          <w:rFonts w:ascii="Times New Roman" w:eastAsia="Times New Roman" w:hAnsi="Times New Roman" w:cs="Times New Roman"/>
          <w:kern w:val="28"/>
          <w:u w:val="single"/>
          <w:lang w:val="sr-Latn-RS" w:eastAsia="sr-Latn-CS" w:bidi="sr-Latn-CS"/>
        </w:rPr>
        <w:t>Eliminacija</w:t>
      </w: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Nakon primjene pojedinačne doze kombinacije konjugovani estrogeni + bazedoksifen, poluvrijeme eliminacije za ukupni estron podešen za početne vrijednosti (predstavlja konjugovane estrogene) iznosi oko 17 sati. Poluvrijeme eliminacije bazedoskifena iznosi oko 30 sati. Ravnotežne koncentracije se postižu do druge nedelje primjene lijeka, kada se lijek primjenjuje jednom dnevno.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lastRenderedPageBreak/>
        <w:t>Komponente konjugovanih estrogena, 17β-estradiol, estron i estriol izlučuju se urinom, zajedno sa glukuronidnim i suflatnim konjugatima.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Nakon intravenske primjene, klirens bazedoksifena iznosi 0,4 ± 0,1 l/h/kg. Glavni put izlučivanja radioaktivno obilježenog bazedoksifena jeste putem fecesa, a manje od 1% doze eliminiše se urinom.</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keepLines/>
        <w:tabs>
          <w:tab w:val="left" w:pos="567"/>
        </w:tabs>
        <w:spacing w:after="0" w:line="240" w:lineRule="auto"/>
        <w:jc w:val="both"/>
        <w:outlineLvl w:val="2"/>
        <w:rPr>
          <w:rFonts w:ascii="Times New Roman" w:eastAsia="Times New Roman" w:hAnsi="Times New Roman" w:cs="Times New Roman"/>
          <w:kern w:val="28"/>
          <w:u w:val="single"/>
          <w:lang w:val="sr-Latn-RS" w:eastAsia="sr-Latn-CS" w:bidi="sr-Latn-CS"/>
        </w:rPr>
      </w:pPr>
      <w:r w:rsidRPr="00A56FE5">
        <w:rPr>
          <w:rFonts w:ascii="Times New Roman" w:eastAsia="Times New Roman" w:hAnsi="Times New Roman" w:cs="Times New Roman"/>
          <w:kern w:val="28"/>
          <w:u w:val="single"/>
          <w:lang w:val="sr-Latn-RS" w:eastAsia="sr-Latn-CS" w:bidi="sr-Latn-CS"/>
        </w:rPr>
        <w:t>Posebne populacije</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numPr>
          <w:ilvl w:val="12"/>
          <w:numId w:val="0"/>
        </w:numPr>
        <w:tabs>
          <w:tab w:val="left" w:pos="284"/>
        </w:tabs>
        <w:spacing w:after="0" w:line="240" w:lineRule="auto"/>
        <w:ind w:right="-2"/>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i/>
          <w:iCs/>
          <w:u w:val="single"/>
          <w:lang w:val="sr-Latn-RS"/>
        </w:rPr>
        <w:t>Starije osobe</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
          <w:iCs/>
          <w:lang w:val="sr-Latn-RS"/>
        </w:rPr>
      </w:pPr>
      <w:r w:rsidRPr="00A56FE5">
        <w:rPr>
          <w:rFonts w:ascii="Times New Roman" w:eastAsia="Times New Roman" w:hAnsi="Times New Roman" w:cs="Times New Roman"/>
          <w:lang w:val="sr-Latn-RS"/>
        </w:rPr>
        <w:t>Farmakokinetika kombinacije konjugovani estrogeni + bazedoksifen nije ispitivana kod žena starijih od 75 godina</w:t>
      </w:r>
      <w:r w:rsidRPr="00A56FE5">
        <w:rPr>
          <w:rFonts w:ascii="Times New Roman" w:eastAsia="Times New Roman" w:hAnsi="Times New Roman" w:cs="Times New Roman"/>
          <w:i/>
          <w:lang w:val="sr-Latn-RS"/>
        </w:rPr>
        <w:t>.</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Farmakokinetika pojedinačne doze od 20 mg bazedoksifena procjenjivana je u ispitivanju kod 26 zdravih žena u postmenopauzi. U prosjeku, u poređenju sa ženama starosti od 51 do 64 godine (n=8), zabilježen je 1,5 puta veći PIK kod žena starosti od 65 do 74 godine (n=8), i 2,6 puta veći PIK kod žena starosti </w:t>
      </w:r>
      <w:r w:rsidRPr="00A56FE5">
        <w:rPr>
          <w:rFonts w:ascii="Times New Roman" w:eastAsia="Times New Roman" w:hAnsi="Times New Roman" w:cs="Times New Roman"/>
          <w:lang w:val="sr-Latn-RS"/>
        </w:rPr>
        <w:sym w:font="Symbol" w:char="F03E"/>
      </w:r>
      <w:r w:rsidRPr="00A56FE5">
        <w:rPr>
          <w:rFonts w:ascii="Times New Roman" w:eastAsia="Times New Roman" w:hAnsi="Times New Roman" w:cs="Times New Roman"/>
          <w:lang w:val="sr-Latn-RS"/>
        </w:rPr>
        <w:t xml:space="preserve"> 75 godina (n=8). Ovom povećanju je najvjerovatnije doprinijela promjena funkcije jetre koja je u vezi sa godinama starosti.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numPr>
          <w:ilvl w:val="12"/>
          <w:numId w:val="0"/>
        </w:numPr>
        <w:tabs>
          <w:tab w:val="left" w:pos="284"/>
        </w:tabs>
        <w:spacing w:after="0" w:line="240" w:lineRule="auto"/>
        <w:jc w:val="both"/>
        <w:rPr>
          <w:rFonts w:ascii="Times New Roman" w:eastAsia="Times New Roman" w:hAnsi="Times New Roman" w:cs="Times New Roman"/>
          <w:i/>
          <w:iCs/>
          <w:u w:val="single"/>
          <w:lang w:val="sr-Latn-RS"/>
        </w:rPr>
      </w:pPr>
      <w:r w:rsidRPr="00A56FE5">
        <w:rPr>
          <w:rFonts w:ascii="Times New Roman" w:eastAsia="Times New Roman" w:hAnsi="Times New Roman" w:cs="Times New Roman"/>
          <w:i/>
          <w:iCs/>
          <w:u w:val="single"/>
          <w:lang w:val="sr-Latn-RS"/>
        </w:rPr>
        <w:t>Oštećenje funkcije bubrega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Farmakokinetika kombinacije konjugovani estrogeni + bazedoksifen nije ispitivana kod pacijentkinja sa oštećenom funkcijom bubrega.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Dostupni su ograničeni klinički podaci (n=5) za bazedoksifen kod pacijentkinja sa umjerenim oštećenjem funkcije bubrega (klirens kreatinina </w:t>
      </w:r>
      <w:r w:rsidRPr="00A56FE5">
        <w:rPr>
          <w:rFonts w:ascii="Times New Roman" w:eastAsia="Times New Roman" w:hAnsi="Times New Roman" w:cs="Times New Roman"/>
          <w:lang w:val="sr-Latn-RS"/>
        </w:rPr>
        <w:sym w:font="Symbol" w:char="F03C"/>
      </w:r>
      <w:r w:rsidRPr="00A56FE5">
        <w:rPr>
          <w:rFonts w:ascii="Times New Roman" w:eastAsia="Times New Roman" w:hAnsi="Times New Roman" w:cs="Times New Roman"/>
          <w:lang w:val="sr-Latn-RS"/>
        </w:rPr>
        <w:t> 50 ml/min). Kod ovih pacijentkinja je primijenjena pojedinačna doza od 20 mg bazedoksifena. Zanemarljiva (</w:t>
      </w:r>
      <w:r w:rsidRPr="00A56FE5">
        <w:rPr>
          <w:rFonts w:ascii="Times New Roman" w:eastAsia="Times New Roman" w:hAnsi="Times New Roman" w:cs="Times New Roman"/>
          <w:lang w:val="sr-Latn-RS"/>
        </w:rPr>
        <w:sym w:font="Symbol" w:char="F03C"/>
      </w:r>
      <w:r w:rsidRPr="00A56FE5">
        <w:rPr>
          <w:rFonts w:ascii="Times New Roman" w:eastAsia="Times New Roman" w:hAnsi="Times New Roman" w:cs="Times New Roman"/>
          <w:lang w:val="sr-Latn-RS"/>
        </w:rPr>
        <w:t>1%) količina bazedoksifena eliminisana je putem urina. Oštećenje funkcije bubrega imalo je mali ili nije imalo nikakav uticaj na farmakokinetiku bazedoksifena.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numPr>
          <w:ilvl w:val="12"/>
          <w:numId w:val="0"/>
        </w:numPr>
        <w:tabs>
          <w:tab w:val="left" w:pos="284"/>
        </w:tabs>
        <w:spacing w:after="0" w:line="240" w:lineRule="auto"/>
        <w:ind w:right="-2"/>
        <w:jc w:val="both"/>
        <w:rPr>
          <w:rFonts w:ascii="Times New Roman" w:eastAsia="Times New Roman" w:hAnsi="Times New Roman" w:cs="Times New Roman"/>
          <w:i/>
          <w:iCs/>
          <w:u w:val="single"/>
          <w:lang w:val="sr-Latn-RS"/>
        </w:rPr>
      </w:pPr>
      <w:r w:rsidRPr="00A56FE5">
        <w:rPr>
          <w:rFonts w:ascii="Times New Roman" w:eastAsia="Times New Roman" w:hAnsi="Times New Roman" w:cs="Times New Roman"/>
          <w:i/>
          <w:iCs/>
          <w:u w:val="single"/>
          <w:lang w:val="sr-Latn-RS"/>
        </w:rPr>
        <w:t xml:space="preserve">Oštećenje funkcije jetre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 xml:space="preserve">Farmakokinetika kombinacije konjugovani estrogeni + bazedoksifen nije ispitivana kod žena sa oštećenom funkcijom jetre.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Raspodjela pojedinačne doze od 20 mg bazedoksifena poređena je kod pacijentkinja sa oštećenjem funkcije jetre [</w:t>
      </w:r>
      <w:r w:rsidRPr="00A56FE5">
        <w:rPr>
          <w:rFonts w:ascii="Times New Roman" w:eastAsia="Times New Roman" w:hAnsi="Times New Roman" w:cs="Times New Roman"/>
          <w:i/>
          <w:lang w:val="es-ES_tradnl"/>
        </w:rPr>
        <w:t>Child-Pugh</w:t>
      </w:r>
      <w:r w:rsidRPr="00A56FE5">
        <w:rPr>
          <w:rFonts w:ascii="Times New Roman" w:eastAsia="Times New Roman" w:hAnsi="Times New Roman" w:cs="Times New Roman"/>
          <w:lang w:val="es-ES_tradnl"/>
        </w:rPr>
        <w:t xml:space="preserve"> klasa A (n=6), B (n=6) i C (n=6)] i pacijentkinja sa normalnom funkcijom jetre (n=18). U prosjeku, pacijentkinje sa oštećenjem funkcije jetre pokazale su povećanje vrijednosti PIK od 4,3 puta u poređenju sa kontrolnom grupom. Bezbjednost i efikasnost nisu dalje procjenjivane kod pacijentkinja sa insuficijencijom jetre. Primjena kombinacije konjugovani estrogeni + bazedoksifen u ovoj populaciji pacijentkinja je kontraindikovana (vidjeti djelove 4.2, 4.3 i 4.4). </w:t>
      </w:r>
    </w:p>
    <w:p w:rsidR="00A56FE5" w:rsidRPr="00A56FE5" w:rsidRDefault="00A56FE5" w:rsidP="00A56FE5">
      <w:pPr>
        <w:numPr>
          <w:ilvl w:val="12"/>
          <w:numId w:val="0"/>
        </w:numPr>
        <w:tabs>
          <w:tab w:val="left" w:pos="284"/>
        </w:tabs>
        <w:spacing w:after="0" w:line="240" w:lineRule="auto"/>
        <w:ind w:right="-2"/>
        <w:jc w:val="both"/>
        <w:rPr>
          <w:rFonts w:ascii="Times New Roman" w:eastAsia="Times New Roman" w:hAnsi="Times New Roman" w:cs="Times New Roman"/>
          <w:iCs/>
          <w:color w:val="FF0000"/>
          <w:lang w:val="sr-Latn-RS"/>
        </w:rPr>
      </w:pPr>
    </w:p>
    <w:p w:rsidR="00A56FE5" w:rsidRPr="00A56FE5" w:rsidRDefault="00A56FE5" w:rsidP="00A56FE5">
      <w:pPr>
        <w:widowControl w:val="0"/>
        <w:spacing w:after="0" w:line="240" w:lineRule="auto"/>
        <w:jc w:val="both"/>
        <w:rPr>
          <w:rFonts w:ascii="Times New Roman" w:eastAsia="Times New Roman" w:hAnsi="Times New Roman" w:cs="Times New Roman"/>
          <w:bCs/>
          <w:i/>
          <w:u w:val="single"/>
          <w:lang w:val="sr-Latn-RS" w:eastAsia="sr-Latn-CS" w:bidi="sr-Latn-CS"/>
        </w:rPr>
      </w:pPr>
      <w:r w:rsidRPr="00A56FE5">
        <w:rPr>
          <w:rFonts w:ascii="Times New Roman" w:eastAsia="Times New Roman" w:hAnsi="Times New Roman" w:cs="Times New Roman"/>
          <w:i/>
          <w:u w:val="single"/>
          <w:lang w:val="sr-Latn-RS" w:eastAsia="sr-Latn-CS" w:bidi="sr-Latn-CS"/>
        </w:rPr>
        <w:t xml:space="preserve">Indeks tjelesne mase </w:t>
      </w:r>
      <w:r w:rsidRPr="00A56FE5">
        <w:rPr>
          <w:rFonts w:ascii="Times New Roman" w:eastAsia="Times New Roman" w:hAnsi="Times New Roman" w:cs="Times New Roman"/>
          <w:u w:val="single"/>
          <w:lang w:val="sr-Latn-RS" w:eastAsia="sr-Latn-CS" w:bidi="sr-Latn-CS"/>
        </w:rPr>
        <w:t xml:space="preserve">(engl. </w:t>
      </w:r>
      <w:r w:rsidRPr="00A56FE5">
        <w:rPr>
          <w:rFonts w:ascii="Times New Roman" w:eastAsia="Times New Roman" w:hAnsi="Times New Roman" w:cs="Times New Roman"/>
          <w:i/>
          <w:u w:val="single"/>
          <w:lang w:val="sr-Latn-RS" w:eastAsia="sr-Latn-CS" w:bidi="sr-Latn-CS"/>
        </w:rPr>
        <w:t xml:space="preserve">body mass index - </w:t>
      </w:r>
      <w:r w:rsidRPr="00A56FE5">
        <w:rPr>
          <w:rFonts w:ascii="Times New Roman" w:eastAsia="Times New Roman" w:hAnsi="Times New Roman" w:cs="Times New Roman"/>
          <w:u w:val="single"/>
          <w:lang w:val="sr-Latn-RS" w:eastAsia="sr-Latn-CS" w:bidi="sr-Latn-CS"/>
        </w:rPr>
        <w:t xml:space="preserve">BMI)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U farmakokinetičkom ispitivanju (n=24) je pokazano da BMI ima mali uticaj na sistemsku izloženost konjugovanim estrogenima i bazedoksifenu.</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b/>
          <w:bCs/>
          <w:lang w:val="ru-RU"/>
        </w:rPr>
      </w:pPr>
      <w:r w:rsidRPr="00A56FE5">
        <w:rPr>
          <w:rFonts w:ascii="Times New Roman" w:eastAsia="Times New Roman" w:hAnsi="Times New Roman" w:cs="Times New Roman"/>
          <w:b/>
          <w:bCs/>
          <w:lang w:val="ru-RU"/>
        </w:rPr>
        <w:t>5.3. Pretklinički podaci o bezb</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ednosti</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Nisu sprovedene studije karcinogenosti, mutagenosti i oštećenja plodnosti prilikom primjene kombinacije konjugovani estrogeni + bazedoksifen. Dolje navedeni podaci dobijeni su u studijama sa bazedoksifenom.</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 xml:space="preserve">U ispitivanjima karcinogenosti na transgenim miševima koja su trajala 6 mjeseci, zabilježena je povećana incidenca benignih tumora granuloznih ćelija jajnika kod ženki miševa kojima je primijenjeno 150 ili </w:t>
      </w:r>
      <w:r w:rsidRPr="00A56FE5">
        <w:rPr>
          <w:rFonts w:ascii="Times New Roman" w:eastAsia="Times New Roman" w:hAnsi="Times New Roman" w:cs="Times New Roman"/>
          <w:lang w:val="es-ES_tradnl"/>
        </w:rPr>
        <w:br/>
      </w:r>
      <w:r w:rsidRPr="00A56FE5">
        <w:rPr>
          <w:rFonts w:ascii="Times New Roman" w:eastAsia="Times New Roman" w:hAnsi="Times New Roman" w:cs="Times New Roman"/>
          <w:lang w:val="es-ES_tradnl"/>
        </w:rPr>
        <w:lastRenderedPageBreak/>
        <w:t>500 mg/kg/dnevno. Sistemska izloženost (PIK) bazedoksifenu u ovim grupama bila je 35 i 69 puta viša u odnosu na onu kod žena u postmenopauzi, koje su primale 20 mg/dnevno bazedoksifena tokom 14 dana. </w:t>
      </w:r>
    </w:p>
    <w:p w:rsidR="00A56FE5" w:rsidRPr="00A56FE5" w:rsidRDefault="00A56FE5" w:rsidP="00A56FE5">
      <w:pPr>
        <w:spacing w:after="0" w:line="240" w:lineRule="auto"/>
        <w:jc w:val="both"/>
        <w:rPr>
          <w:rFonts w:ascii="Times New Roman" w:eastAsia="Times New Roman" w:hAnsi="Times New Roman" w:cs="Times New Roman"/>
          <w:color w:val="FF0000"/>
          <w:lang w:val="es-ES_tradnl"/>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U dvogodišnjem ispitivanju karcinogenosti na pacovima, zabilježena je povećana incidenca benignih tumora granuloznih ćelija jajnika kod ženki pacova pri koncentraciji u hrani od 0,03% i 0,1%. Sistemska izloženost (PIK) bazedoksifenu je u tim grupama bila 2,6 i 6,6 puta veća u odnosu na onu kod žena u postmenopauzi, koje su primale 20 mg/dnevno tokom 14 dana.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s-ES_tradnl"/>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es-ES_tradnl"/>
        </w:rPr>
        <w:t>Zabilježeni benigni tumori granuloznih ćelija jajnika kod ženki miševa i pacova kojima je davan bazedoksifen predstavljaju efekat karakterističan za cijelu grupu ljekova selektivnih modulatora estrogenskih receptora (SERM) i vezani su za njihovu farmakologiju kod glodara kada oni dobijaju terapiju tokom svog reproduktivnog doba, dok su jajnici funkcionalni i odgovaraju na hormonsku stimulaciju</w:t>
      </w:r>
      <w:r w:rsidRPr="00A56FE5">
        <w:rPr>
          <w:rFonts w:ascii="Times New Roman" w:eastAsia="Times New Roman" w:hAnsi="Times New Roman" w:cs="Times New Roman"/>
          <w:lang w:val="sr-Latn-RS"/>
        </w:rPr>
        <w:t>.</w:t>
      </w:r>
    </w:p>
    <w:p w:rsidR="00A56FE5" w:rsidRPr="00A56FE5" w:rsidRDefault="00A56FE5" w:rsidP="00A56FE5">
      <w:pPr>
        <w:spacing w:after="0" w:line="240" w:lineRule="auto"/>
        <w:jc w:val="both"/>
        <w:rPr>
          <w:rFonts w:ascii="Times New Roman" w:eastAsia="Times New Roman" w:hAnsi="Times New Roman" w:cs="Times New Roman"/>
          <w:color w:val="FF0000"/>
          <w:lang w:val="es-ES_tradnl"/>
        </w:rPr>
      </w:pPr>
    </w:p>
    <w:p w:rsidR="00A56FE5" w:rsidRPr="00A56FE5" w:rsidRDefault="00A56FE5" w:rsidP="00A56FE5">
      <w:pPr>
        <w:autoSpaceDE w:val="0"/>
        <w:autoSpaceDN w:val="0"/>
        <w:adjustRightInd w:val="0"/>
        <w:spacing w:after="0" w:line="240" w:lineRule="auto"/>
        <w:jc w:val="both"/>
        <w:rPr>
          <w:rFonts w:ascii="Times New Roman" w:eastAsia="TimesNewRoman" w:hAnsi="Times New Roman" w:cs="Times New Roman"/>
        </w:rPr>
      </w:pPr>
      <w:r w:rsidRPr="00A56FE5">
        <w:rPr>
          <w:rFonts w:ascii="Times New Roman" w:eastAsia="TimesNewRoman" w:hAnsi="Times New Roman" w:cs="Times New Roman"/>
          <w:lang w:val="es-ES_tradnl"/>
        </w:rPr>
        <w:t>Bazedoksifen je prouzrokovao nefropatije specifične za mužjake pacova (kortikomedularna nefrokalcinoza i pojačana spontana hronična progresivna nefropatija) i povezane adenome i karcinome pri odnosima izloženosti od 0,05 do 4 puta i odnosima doza prema tjelesnoj površini (mg/m</w:t>
      </w:r>
      <w:r w:rsidRPr="00A56FE5">
        <w:rPr>
          <w:rFonts w:ascii="Times New Roman" w:eastAsia="TimesNewRoman" w:hAnsi="Times New Roman" w:cs="Times New Roman"/>
          <w:vertAlign w:val="superscript"/>
          <w:lang w:val="es-ES_tradnl"/>
        </w:rPr>
        <w:t>2</w:t>
      </w:r>
      <w:r w:rsidRPr="00A56FE5">
        <w:rPr>
          <w:rFonts w:ascii="Times New Roman" w:eastAsia="TimesNewRoman" w:hAnsi="Times New Roman" w:cs="Times New Roman"/>
          <w:lang w:val="es-ES_tradnl"/>
        </w:rPr>
        <w:t xml:space="preserve">) otprilike 0,6 do 22 puta većim nego kod primjene kliničke doze od 20 mg. Smatra se da su ovi nalazi specifični za pacove i da vjerovatno nisu značajni za ljude. </w:t>
      </w:r>
      <w:r w:rsidRPr="00A56FE5">
        <w:rPr>
          <w:rFonts w:ascii="Times New Roman" w:eastAsia="TimesNewRoman" w:hAnsi="Times New Roman" w:cs="Times New Roman"/>
        </w:rPr>
        <w:t>Karcinomi bubrežnih ćelija su opaženi u 18-mjesečnom ispitivanju efikasnosti na kosti kod starijih makaki majmunica koje su bile podvrgnute ovarijektomiji, pri odnosima izloženosti od 0</w:t>
      </w:r>
      <w:proofErr w:type="gramStart"/>
      <w:r w:rsidRPr="00A56FE5">
        <w:rPr>
          <w:rFonts w:ascii="Times New Roman" w:eastAsia="TimesNewRoman" w:hAnsi="Times New Roman" w:cs="Times New Roman"/>
        </w:rPr>
        <w:t>,05</w:t>
      </w:r>
      <w:proofErr w:type="gramEnd"/>
      <w:r w:rsidRPr="00A56FE5">
        <w:rPr>
          <w:rFonts w:ascii="Times New Roman" w:eastAsia="TimesNewRoman" w:hAnsi="Times New Roman" w:cs="Times New Roman"/>
        </w:rPr>
        <w:t xml:space="preserve"> do 16,3 puta, i odnosima doza prema tjelesnoj površini (mg/m</w:t>
      </w:r>
      <w:r w:rsidRPr="00A56FE5">
        <w:rPr>
          <w:rFonts w:ascii="Times New Roman" w:eastAsia="TimesNewRoman" w:hAnsi="Times New Roman" w:cs="Times New Roman"/>
          <w:vertAlign w:val="superscript"/>
        </w:rPr>
        <w:t>2</w:t>
      </w:r>
      <w:r w:rsidRPr="00A56FE5">
        <w:rPr>
          <w:rFonts w:ascii="Times New Roman" w:eastAsia="TimesNewRoman" w:hAnsi="Times New Roman" w:cs="Times New Roman"/>
        </w:rPr>
        <w:t>) otprilike 0,2 do 24 puta većim nego kod primjene kliničke doze od 20 mg. Poznato je da se navedeni tumori pojavljuju kod starijih životinja primata i smatrali su se spontanima kod starijih majmuna i nevažnima za ljude.</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rsidR="00A56FE5" w:rsidRPr="00A56FE5" w:rsidRDefault="00A56FE5" w:rsidP="00A56FE5">
      <w:pPr>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Bazedoksifen nije bio genotoksičan ili mutagen u nizu testova, uključujući</w:t>
      </w:r>
      <w:r w:rsidRPr="00A56FE5">
        <w:rPr>
          <w:rFonts w:ascii="Times New Roman" w:eastAsia="Times New Roman" w:hAnsi="Times New Roman" w:cs="Times New Roman"/>
          <w:i/>
          <w:iCs/>
          <w:lang w:val="es-ES_tradnl"/>
        </w:rPr>
        <w:t xml:space="preserve"> in vitro</w:t>
      </w:r>
      <w:r w:rsidRPr="00A56FE5">
        <w:rPr>
          <w:rFonts w:ascii="Times New Roman" w:eastAsia="Times New Roman" w:hAnsi="Times New Roman" w:cs="Times New Roman"/>
          <w:lang w:val="es-ES_tradnl"/>
        </w:rPr>
        <w:t xml:space="preserve"> test bakterijske reverzne mutacije, </w:t>
      </w:r>
      <w:r w:rsidRPr="00A56FE5">
        <w:rPr>
          <w:rFonts w:ascii="Times New Roman" w:eastAsia="Times New Roman" w:hAnsi="Times New Roman" w:cs="Times New Roman"/>
          <w:i/>
          <w:iCs/>
          <w:lang w:val="es-ES_tradnl"/>
        </w:rPr>
        <w:t>in vitro</w:t>
      </w:r>
      <w:r w:rsidRPr="00A56FE5">
        <w:rPr>
          <w:rFonts w:ascii="Times New Roman" w:eastAsia="Times New Roman" w:hAnsi="Times New Roman" w:cs="Times New Roman"/>
          <w:lang w:val="es-ES_tradnl"/>
        </w:rPr>
        <w:t xml:space="preserve"> test brze mutacije ćelija sisara na lokusu za timidin kinazu (TK±) u L5178Y ćelijama limfoma miša, </w:t>
      </w:r>
      <w:r w:rsidRPr="00A56FE5">
        <w:rPr>
          <w:rFonts w:ascii="Times New Roman" w:eastAsia="Times New Roman" w:hAnsi="Times New Roman" w:cs="Times New Roman"/>
          <w:i/>
          <w:iCs/>
          <w:lang w:val="es-ES_tradnl"/>
        </w:rPr>
        <w:t xml:space="preserve">in vitro </w:t>
      </w:r>
      <w:r w:rsidRPr="00A56FE5">
        <w:rPr>
          <w:rFonts w:ascii="Times New Roman" w:eastAsia="Times New Roman" w:hAnsi="Times New Roman" w:cs="Times New Roman"/>
          <w:lang w:val="es-ES_tradnl"/>
        </w:rPr>
        <w:t xml:space="preserve">test aberacije hromozoma na ćelijama ovarijuma kineskog hrčka (CHO), i </w:t>
      </w:r>
      <w:r w:rsidRPr="00A56FE5">
        <w:rPr>
          <w:rFonts w:ascii="Times New Roman" w:eastAsia="Times New Roman" w:hAnsi="Times New Roman" w:cs="Times New Roman"/>
          <w:i/>
          <w:iCs/>
          <w:lang w:val="es-ES_tradnl"/>
        </w:rPr>
        <w:t xml:space="preserve">in vivo </w:t>
      </w:r>
      <w:r w:rsidRPr="00A56FE5">
        <w:rPr>
          <w:rFonts w:ascii="Times New Roman" w:eastAsia="Times New Roman" w:hAnsi="Times New Roman" w:cs="Times New Roman"/>
          <w:lang w:val="es-ES_tradnl"/>
        </w:rPr>
        <w:t>test na mikronukleusima miševa</w:t>
      </w:r>
      <w:r w:rsidRPr="00A56FE5">
        <w:rPr>
          <w:rFonts w:ascii="Times New Roman" w:eastAsia="Times New Roman" w:hAnsi="Times New Roman" w:cs="Times New Roman"/>
          <w:lang w:val="sr-Latn-RS"/>
        </w:rPr>
        <w:t>.</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Nisu sprovedene studije reproduktivne toksičnosti i oštećenja plodnosti prilikom primjene kombinacije konjugovani estrogeni + bazedoksifen. Dolje navedeni podaci su dobijeni u studijama sa bazedoksifenom.</w:t>
      </w: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U ispitivanjima sa bazedoksifenom na kunićima, pri dozama toksičnim za majku od 0,5 mg/kg/dnevno (1,5 puta većim od izloženosti kod ljudi) javljao se abortus, a kod fetusa povećana incidenca anomalija srca (defekt septuma komore) i skeletnog sistema (odložena osifikacija, deformacije ili defekti kostiju, primarno kičme i lobanje). Primjena doza toksičnih za majku ≥ 1 mg/kg/dnevno (≥ 0,4 puta doza kod ljudi zasnovana na površini tijela) kod pacova je dovela do smanjenog broja živih fetusa i/ili smanjenja tjelesne mase fetusa. Nisu zabilježene anomalije u razvoju fetusa. </w:t>
      </w:r>
    </w:p>
    <w:p w:rsidR="00A56FE5" w:rsidRPr="00A56FE5" w:rsidRDefault="00A56FE5" w:rsidP="00A56FE5">
      <w:pPr>
        <w:spacing w:after="0" w:line="240" w:lineRule="auto"/>
        <w:jc w:val="both"/>
        <w:rPr>
          <w:rFonts w:ascii="Times New Roman" w:eastAsia="Times New Roman" w:hAnsi="Times New Roman" w:cs="Times New Roman"/>
          <w:lang w:val="es-ES_tradnl"/>
        </w:rPr>
      </w:pPr>
    </w:p>
    <w:p w:rsidR="00A56FE5" w:rsidRPr="00A56FE5" w:rsidRDefault="00A56FE5" w:rsidP="00A56FE5">
      <w:pPr>
        <w:tabs>
          <w:tab w:val="left" w:pos="284"/>
        </w:tabs>
        <w:autoSpaceDE w:val="0"/>
        <w:autoSpaceDN w:val="0"/>
        <w:adjustRightInd w:val="0"/>
        <w:spacing w:after="0" w:line="240" w:lineRule="auto"/>
        <w:jc w:val="both"/>
        <w:rPr>
          <w:rFonts w:ascii="Times New Roman" w:eastAsia="Times New Roman" w:hAnsi="Times New Roman" w:cs="Times New Roman"/>
          <w:lang w:val="es-ES_tradnl"/>
        </w:rPr>
      </w:pPr>
      <w:r w:rsidRPr="00A56FE5">
        <w:rPr>
          <w:rFonts w:ascii="Times New Roman" w:eastAsia="Times New Roman" w:hAnsi="Times New Roman" w:cs="Times New Roman"/>
          <w:lang w:val="es-ES_tradnl"/>
        </w:rPr>
        <w:t>Ženkama pacova su primijenjene dnevne doze od 0,3 do 30 mg/kg (0,15 do 14,6 puta veće od doze zasnovane na površini tijela kod ljudi, mg/m</w:t>
      </w:r>
      <w:r w:rsidRPr="00A56FE5">
        <w:rPr>
          <w:rFonts w:ascii="Times New Roman" w:eastAsia="Times New Roman" w:hAnsi="Times New Roman" w:cs="Times New Roman"/>
          <w:vertAlign w:val="superscript"/>
          <w:lang w:val="es-ES_tradnl"/>
        </w:rPr>
        <w:t xml:space="preserve">2 </w:t>
      </w:r>
      <w:r w:rsidRPr="00A56FE5">
        <w:rPr>
          <w:rFonts w:ascii="Times New Roman" w:eastAsia="Times New Roman" w:hAnsi="Times New Roman" w:cs="Times New Roman"/>
          <w:lang w:val="es-ES_tradnl"/>
        </w:rPr>
        <w:t>[doza od 20 mg/kg kod ljudi je ekvivalentna dozi od 12,3 mg/m</w:t>
      </w:r>
      <w:r w:rsidRPr="00A56FE5">
        <w:rPr>
          <w:rFonts w:ascii="Times New Roman" w:eastAsia="Times New Roman" w:hAnsi="Times New Roman" w:cs="Times New Roman"/>
          <w:vertAlign w:val="superscript"/>
          <w:lang w:val="es-ES_tradnl"/>
        </w:rPr>
        <w:t>2</w:t>
      </w:r>
      <w:r w:rsidRPr="00A56FE5">
        <w:rPr>
          <w:rFonts w:ascii="Times New Roman" w:eastAsia="Times New Roman" w:hAnsi="Times New Roman" w:cs="Times New Roman"/>
          <w:lang w:val="es-ES_tradnl"/>
        </w:rPr>
        <w:t>]) prije i tokom parenja sa netretiranim mužjacima. U svim grupama ženki, kojima je davan bazedoksifen, zabilježena su neželjena dejstva na estrusni ciklus i plodnost.</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tabs>
          <w:tab w:val="left" w:pos="284"/>
        </w:tabs>
        <w:spacing w:before="200" w:after="200" w:line="240" w:lineRule="auto"/>
        <w:jc w:val="both"/>
        <w:rPr>
          <w:rFonts w:ascii="Times New Roman" w:eastAsia="Times New Roman" w:hAnsi="Times New Roman" w:cs="Times New Roman"/>
          <w:b/>
          <w:lang w:val="sr-Latn-RS"/>
        </w:rPr>
      </w:pPr>
      <w:r w:rsidRPr="00A56FE5">
        <w:rPr>
          <w:rFonts w:ascii="Times New Roman" w:eastAsia="Times New Roman" w:hAnsi="Times New Roman" w:cs="Times New Roman"/>
          <w:b/>
          <w:lang w:val="sr-Latn-RS"/>
        </w:rPr>
        <w:t>6. FARMACEUTSKI PODACI</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CS"/>
        </w:rPr>
      </w:pPr>
      <w:r w:rsidRPr="00A56FE5">
        <w:rPr>
          <w:rFonts w:ascii="Times New Roman" w:eastAsia="Times New Roman" w:hAnsi="Times New Roman" w:cs="Times New Roman"/>
          <w:b/>
          <w:bCs/>
          <w:lang w:val="sr-Latn-RS"/>
        </w:rPr>
        <w:lastRenderedPageBreak/>
        <w:t>6.1. Lista pomo</w:t>
      </w:r>
      <w:r w:rsidRPr="00A56FE5">
        <w:rPr>
          <w:rFonts w:ascii="Times New Roman" w:eastAsia="Times New Roman" w:hAnsi="Times New Roman" w:cs="Times New Roman"/>
          <w:b/>
          <w:bCs/>
          <w:lang w:val="sr-Latn-CS"/>
        </w:rPr>
        <w:t>ćnih supstanci (ekscipijenasa)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u w:val="single"/>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Sastav jezgra tablete sa konjugovanim estrogenima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Laktoza, monohidrat</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Celuloza, mikrokristalna</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Celuloza, prah</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Hipromeloza 2208 (100000 mPa•s)(E464)</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Magnezijum stearat</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Kalcijum fosfat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color w:val="FF0000"/>
          <w:lang w:val="sr-Latn-RS"/>
        </w:rPr>
      </w:pP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t>Sastav inertne obloge oko jezgra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Saharoza</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Celuloza, mikrokristalna</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Hidroksipropil celuloza</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Hipromeloza 2910 (6 mPa•s) (E464)</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Hipromeloza 2910 (15 mPa•s) (E464)</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Makrogol 400</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t>Sastav aktivnog filma sa bazedoksifenom</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Saharoza</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Hipromeloza 2910 (3 mPa•s) (E464)</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Saharoza monopalmitat</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Askorbinska kiselina</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Cs/>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u w:val="single"/>
          <w:lang w:val="sr-Latn-RS"/>
        </w:rPr>
      </w:pPr>
      <w:r w:rsidRPr="00A56FE5">
        <w:rPr>
          <w:rFonts w:ascii="Times New Roman" w:eastAsia="Times New Roman" w:hAnsi="Times New Roman" w:cs="Times New Roman"/>
          <w:u w:val="single"/>
          <w:lang w:val="sr-Latn-RS"/>
        </w:rPr>
        <w:t>Sastav ružičaste film obloge (</w:t>
      </w:r>
      <w:r w:rsidRPr="00A56FE5">
        <w:rPr>
          <w:rFonts w:ascii="Times New Roman" w:eastAsia="Times New Roman" w:hAnsi="Times New Roman" w:cs="Times New Roman"/>
          <w:i/>
          <w:u w:val="single"/>
          <w:lang w:val="sr-Latn-RS"/>
        </w:rPr>
        <w:t>Opadry Pink</w:t>
      </w:r>
      <w:r w:rsidRPr="00A56FE5">
        <w:rPr>
          <w:rFonts w:ascii="Times New Roman" w:eastAsia="Times New Roman" w:hAnsi="Times New Roman" w:cs="Times New Roman"/>
          <w:u w:val="single"/>
          <w:lang w:val="sr-Latn-RS"/>
        </w:rPr>
        <w:t>)</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Hipromeloza 2910 (6 mPa•s) (E464)</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Titan dioksid (E171)</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 xml:space="preserve">Makrogol 400 </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Gvožđe (III) oksid, crveni (E172)</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color w:val="FF0000"/>
          <w:lang w:val="sr-Latn-RS"/>
        </w:rPr>
      </w:pPr>
    </w:p>
    <w:p w:rsidR="00A56FE5" w:rsidRPr="00A56FE5" w:rsidRDefault="00A56FE5" w:rsidP="00A56FE5">
      <w:pPr>
        <w:keepNext/>
        <w:spacing w:after="0" w:line="240" w:lineRule="auto"/>
        <w:ind w:left="72" w:hanging="72"/>
        <w:jc w:val="both"/>
        <w:outlineLvl w:val="2"/>
        <w:rPr>
          <w:rFonts w:ascii="Times New Roman" w:eastAsia="Times New Roman" w:hAnsi="Times New Roman" w:cs="Times New Roman"/>
          <w:iCs/>
          <w:u w:val="single"/>
          <w:lang w:val="sr-Latn-RS"/>
        </w:rPr>
      </w:pPr>
      <w:r w:rsidRPr="00A56FE5">
        <w:rPr>
          <w:rFonts w:ascii="Times New Roman" w:eastAsia="Times New Roman" w:hAnsi="Times New Roman" w:cs="Times New Roman"/>
          <w:iCs/>
          <w:u w:val="single"/>
          <w:lang w:val="sr-Latn-RS"/>
        </w:rPr>
        <w:t>Sastav bezbojne film obloge (</w:t>
      </w:r>
      <w:r w:rsidRPr="00A56FE5">
        <w:rPr>
          <w:rFonts w:ascii="Times New Roman" w:eastAsia="Times New Roman" w:hAnsi="Times New Roman" w:cs="Times New Roman"/>
          <w:i/>
          <w:iCs/>
          <w:u w:val="single"/>
          <w:lang w:val="sr-Latn-RS"/>
        </w:rPr>
        <w:t>Opaglos 2 Clear</w:t>
      </w:r>
      <w:r w:rsidRPr="00A56FE5">
        <w:rPr>
          <w:rFonts w:ascii="Times New Roman" w:eastAsia="Times New Roman" w:hAnsi="Times New Roman" w:cs="Times New Roman"/>
          <w:iCs/>
          <w:u w:val="single"/>
          <w:lang w:val="sr-Latn-RS"/>
        </w:rPr>
        <w:t>)</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Hidroksietil celuloza</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Povidon (E1201)</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Polidekstroza (E1200) (sadrži glukozu i sorbitol)</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Maltitol, tečni</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Poloksamer 188</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u w:val="single"/>
          <w:lang w:val="sr-Latn-RS"/>
        </w:rPr>
      </w:pPr>
      <w:r w:rsidRPr="00A56FE5">
        <w:rPr>
          <w:rFonts w:ascii="Times New Roman" w:eastAsia="Times New Roman" w:hAnsi="Times New Roman" w:cs="Times New Roman"/>
          <w:u w:val="single"/>
          <w:lang w:val="sr-Latn-RS"/>
        </w:rPr>
        <w:t>Sastav mastila za štampu</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Gvožđe (III) oksid, crni (E172)</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Propilen glikol (E1520)</w:t>
      </w:r>
    </w:p>
    <w:p w:rsidR="00A56FE5" w:rsidRPr="00A56FE5" w:rsidRDefault="00A56FE5" w:rsidP="00A56FE5">
      <w:pPr>
        <w:tabs>
          <w:tab w:val="left" w:pos="284"/>
        </w:tabs>
        <w:spacing w:after="0" w:line="240" w:lineRule="auto"/>
        <w:jc w:val="both"/>
        <w:rPr>
          <w:rFonts w:ascii="Times New Roman" w:eastAsia="Times New Roman" w:hAnsi="Times New Roman" w:cs="Times New Roman"/>
          <w:iCs/>
          <w:lang w:val="sr-Latn-RS"/>
        </w:rPr>
      </w:pPr>
      <w:r w:rsidRPr="00A56FE5">
        <w:rPr>
          <w:rFonts w:ascii="Times New Roman" w:eastAsia="Times New Roman" w:hAnsi="Times New Roman" w:cs="Times New Roman"/>
          <w:lang w:val="sr-Latn-RS"/>
        </w:rPr>
        <w:t xml:space="preserve">Hipromeloza 2910 (6 mPa•s) </w:t>
      </w: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lastRenderedPageBreak/>
        <w:t>6.2. Inkompatibilnosti</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autoSpaceDE w:val="0"/>
        <w:autoSpaceDN w:val="0"/>
        <w:adjustRightInd w:val="0"/>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Nije primjenljivo.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en-GB"/>
        </w:rPr>
      </w:pPr>
      <w:r w:rsidRPr="00A56FE5">
        <w:rPr>
          <w:rFonts w:ascii="Times New Roman" w:eastAsia="Times New Roman" w:hAnsi="Times New Roman" w:cs="Times New Roman"/>
          <w:b/>
          <w:bCs/>
          <w:lang w:val="en-GB"/>
        </w:rPr>
        <w:t>6.3. Rok upotrebe</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n-GB"/>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n-GB"/>
        </w:rPr>
      </w:pPr>
      <w:r w:rsidRPr="00A56FE5">
        <w:rPr>
          <w:rFonts w:ascii="Times New Roman" w:eastAsia="Times New Roman" w:hAnsi="Times New Roman" w:cs="Times New Roman"/>
          <w:lang w:val="en-GB"/>
        </w:rPr>
        <w:t>Tri (3) godine.</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en-GB"/>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en-GB"/>
        </w:rPr>
      </w:pPr>
      <w:r w:rsidRPr="00A56FE5">
        <w:rPr>
          <w:rFonts w:ascii="Times New Roman" w:eastAsia="Times New Roman" w:hAnsi="Times New Roman" w:cs="Times New Roman"/>
          <w:lang w:val="en-GB"/>
        </w:rPr>
        <w:t xml:space="preserve">Nakon otvaranja, kesicu </w:t>
      </w:r>
      <w:proofErr w:type="gramStart"/>
      <w:r w:rsidRPr="00A56FE5">
        <w:rPr>
          <w:rFonts w:ascii="Times New Roman" w:eastAsia="Times New Roman" w:hAnsi="Times New Roman" w:cs="Times New Roman"/>
          <w:lang w:val="en-GB"/>
        </w:rPr>
        <w:t>sa</w:t>
      </w:r>
      <w:proofErr w:type="gramEnd"/>
      <w:r w:rsidRPr="00A56FE5">
        <w:rPr>
          <w:rFonts w:ascii="Times New Roman" w:eastAsia="Times New Roman" w:hAnsi="Times New Roman" w:cs="Times New Roman"/>
          <w:lang w:val="en-GB"/>
        </w:rPr>
        <w:t xml:space="preserve"> blisterom treba upotrijebiti u roku od 60 dana.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en-GB"/>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ru-RU"/>
        </w:rPr>
        <w:t>6.4. Posebne m</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 xml:space="preserve">ere </w:t>
      </w:r>
      <w:r w:rsidRPr="00A56FE5">
        <w:rPr>
          <w:rFonts w:ascii="Times New Roman" w:eastAsia="Times New Roman" w:hAnsi="Times New Roman" w:cs="Times New Roman"/>
          <w:b/>
          <w:bCs/>
        </w:rPr>
        <w:t xml:space="preserve">upozorenja </w:t>
      </w:r>
      <w:r w:rsidRPr="00A56FE5">
        <w:rPr>
          <w:rFonts w:ascii="Times New Roman" w:eastAsia="Times New Roman" w:hAnsi="Times New Roman" w:cs="Times New Roman"/>
          <w:b/>
          <w:bCs/>
          <w:lang w:val="ru-RU"/>
        </w:rPr>
        <w:t>pri čuvanju</w:t>
      </w:r>
      <w:r w:rsidRPr="00A56FE5">
        <w:rPr>
          <w:rFonts w:ascii="Times New Roman" w:eastAsia="Times New Roman" w:hAnsi="Times New Roman" w:cs="Times New Roman"/>
          <w:b/>
          <w:bCs/>
          <w:lang w:val="sr-Latn-RS"/>
        </w:rPr>
        <w:t xml:space="preserve"> lijeka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Čuvati na temperaturi do 25ºC. </w:t>
      </w: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p>
    <w:p w:rsidR="00A56FE5" w:rsidRPr="006B17C1" w:rsidRDefault="00A56FE5" w:rsidP="006B17C1">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Čuvati u originalnom pa</w:t>
      </w:r>
      <w:r w:rsidR="006B17C1">
        <w:rPr>
          <w:rFonts w:ascii="Times New Roman" w:eastAsia="Times New Roman" w:hAnsi="Times New Roman" w:cs="Times New Roman"/>
          <w:lang w:val="sr-Latn-RS"/>
        </w:rPr>
        <w:t xml:space="preserve">kovanju radi zaštite od vlage. </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de-DE"/>
        </w:rPr>
      </w:pP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b/>
          <w:bCs/>
          <w:lang w:val="ru-RU"/>
        </w:rPr>
      </w:pPr>
      <w:r w:rsidRPr="00A56FE5">
        <w:rPr>
          <w:rFonts w:ascii="Times New Roman" w:eastAsia="Times New Roman" w:hAnsi="Times New Roman" w:cs="Times New Roman"/>
          <w:b/>
          <w:bCs/>
          <w:lang w:val="sr-Latn-CS"/>
        </w:rPr>
        <w:t xml:space="preserve">6.5. Vrsta i sadržaj pakovanja </w:t>
      </w:r>
    </w:p>
    <w:p w:rsidR="00A56FE5" w:rsidRPr="00A56FE5" w:rsidRDefault="00A56FE5" w:rsidP="00A56FE5">
      <w:pPr>
        <w:keepNext/>
        <w:tabs>
          <w:tab w:val="left" w:pos="284"/>
        </w:tabs>
        <w:spacing w:after="0" w:line="240" w:lineRule="auto"/>
        <w:jc w:val="both"/>
        <w:rPr>
          <w:rFonts w:ascii="Times New Roman" w:eastAsia="Times New Roman" w:hAnsi="Times New Roman" w:cs="Times New Roman"/>
          <w:color w:val="FF0000"/>
          <w:lang w:val="de-DE"/>
        </w:rPr>
      </w:pPr>
    </w:p>
    <w:p w:rsidR="00A56FE5" w:rsidRPr="00A56FE5" w:rsidRDefault="00A56FE5" w:rsidP="00A56FE5">
      <w:pPr>
        <w:keepNext/>
        <w:keepLines/>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de-DE"/>
        </w:rPr>
        <w:t>Unutrašnje pakovanje je</w:t>
      </w:r>
      <w:r w:rsidRPr="00A56FE5">
        <w:rPr>
          <w:rFonts w:ascii="Times New Roman" w:eastAsia="Times New Roman" w:hAnsi="Times New Roman" w:cs="Times New Roman"/>
          <w:lang w:val="sr-Latn-RS"/>
        </w:rPr>
        <w:t xml:space="preserve"> </w:t>
      </w:r>
      <w:r w:rsidRPr="00A56FE5">
        <w:rPr>
          <w:rFonts w:ascii="Times New Roman" w:eastAsia="Times New Roman" w:hAnsi="Times New Roman" w:cs="Times New Roman"/>
          <w:lang w:val="de-DE"/>
        </w:rPr>
        <w:t>UPVC/monohlorotrifluoroetilen</w:t>
      </w:r>
      <w:r w:rsidRPr="00A56FE5">
        <w:rPr>
          <w:rFonts w:ascii="Times New Roman" w:eastAsia="Times New Roman" w:hAnsi="Times New Roman" w:cs="Times New Roman"/>
          <w:lang w:val="sr-Latn-RS"/>
        </w:rPr>
        <w:t xml:space="preserve"> blister koji sadrži 28 tableta sa modifikovanim oslobađanjem.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 xml:space="preserve">Spoljašnje pakovanje je </w:t>
      </w:r>
      <w:r w:rsidRPr="00A56FE5">
        <w:rPr>
          <w:rFonts w:ascii="Times New Roman" w:eastAsia="Times New Roman" w:hAnsi="Times New Roman" w:cs="Times New Roman"/>
          <w:lang w:val="da-DK"/>
        </w:rPr>
        <w:t>složiva kartonska kutija koja sad</w:t>
      </w:r>
      <w:r w:rsidRPr="00A56FE5">
        <w:rPr>
          <w:rFonts w:ascii="Times New Roman" w:eastAsia="Times New Roman" w:hAnsi="Times New Roman" w:cs="Times New Roman"/>
          <w:lang w:val="sr-Latn-CS"/>
        </w:rPr>
        <w:t>ži jedan blister</w:t>
      </w:r>
      <w:r w:rsidRPr="00A56FE5">
        <w:rPr>
          <w:rFonts w:ascii="Times New Roman" w:eastAsia="Times New Roman" w:hAnsi="Times New Roman" w:cs="Times New Roman"/>
          <w:lang w:val="sr-Latn-RS"/>
        </w:rPr>
        <w:t xml:space="preserve"> </w:t>
      </w:r>
      <w:r w:rsidRPr="00A56FE5">
        <w:rPr>
          <w:rFonts w:ascii="Times New Roman" w:eastAsia="Times New Roman" w:hAnsi="Times New Roman" w:cs="Times New Roman"/>
          <w:lang w:val="da-DK"/>
        </w:rPr>
        <w:t xml:space="preserve">sa 28 tableta </w:t>
      </w:r>
      <w:r w:rsidRPr="00A56FE5">
        <w:rPr>
          <w:rFonts w:ascii="Times New Roman" w:eastAsia="Times New Roman" w:hAnsi="Times New Roman" w:cs="Times New Roman"/>
          <w:lang w:val="sr-Latn-RS"/>
        </w:rPr>
        <w:t>sa modifikovanim oslobađanjem</w:t>
      </w:r>
      <w:r w:rsidRPr="00A56FE5">
        <w:rPr>
          <w:rFonts w:ascii="Times New Roman" w:eastAsia="Times New Roman" w:hAnsi="Times New Roman" w:cs="Times New Roman"/>
          <w:lang w:val="da-DK"/>
        </w:rPr>
        <w:t xml:space="preserve"> u kesici i Uputstvo za lijek.</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ru-RU"/>
        </w:rPr>
        <w:t>6.6. Posebne m</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ere opreza pri odlaganju materijala koji treba odbaciti nakon prim</w:t>
      </w:r>
      <w:r w:rsidRPr="00A56FE5">
        <w:rPr>
          <w:rFonts w:ascii="Times New Roman" w:eastAsia="Times New Roman" w:hAnsi="Times New Roman" w:cs="Times New Roman"/>
          <w:b/>
          <w:bCs/>
          <w:lang w:val="sr-Latn-RS"/>
        </w:rPr>
        <w:t>j</w:t>
      </w:r>
      <w:r w:rsidRPr="00A56FE5">
        <w:rPr>
          <w:rFonts w:ascii="Times New Roman" w:eastAsia="Times New Roman" w:hAnsi="Times New Roman" w:cs="Times New Roman"/>
          <w:b/>
          <w:bCs/>
          <w:lang w:val="ru-RU"/>
        </w:rPr>
        <w:t>ene l</w:t>
      </w:r>
      <w:r w:rsidRPr="00A56FE5">
        <w:rPr>
          <w:rFonts w:ascii="Times New Roman" w:eastAsia="Times New Roman" w:hAnsi="Times New Roman" w:cs="Times New Roman"/>
          <w:b/>
          <w:bCs/>
          <w:lang w:val="sr-Latn-RS"/>
        </w:rPr>
        <w:t>ij</w:t>
      </w:r>
      <w:r w:rsidRPr="00A56FE5">
        <w:rPr>
          <w:rFonts w:ascii="Times New Roman" w:eastAsia="Times New Roman" w:hAnsi="Times New Roman" w:cs="Times New Roman"/>
          <w:b/>
          <w:bCs/>
          <w:lang w:val="ru-RU"/>
        </w:rPr>
        <w:t xml:space="preserve">eka </w:t>
      </w:r>
      <w:r w:rsidRPr="00A56FE5">
        <w:rPr>
          <w:rFonts w:ascii="Times New Roman" w:eastAsia="Times New Roman" w:hAnsi="Times New Roman" w:cs="Times New Roman"/>
          <w:b/>
          <w:bCs/>
          <w:lang w:val="sr-Latn-RS"/>
        </w:rPr>
        <w:t>(i druga uputstva za rukovanje lijekom)</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Svu neiskorišćenu količinu lijeka ili otpadnog materijala nakon njegove upotrebe treba ukloniti, u skladu sa važećim propisima.</w:t>
      </w: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s>
        <w:spacing w:before="200" w:after="200" w:line="240" w:lineRule="auto"/>
        <w:jc w:val="both"/>
        <w:rPr>
          <w:rFonts w:ascii="Times New Roman" w:eastAsia="Times New Roman" w:hAnsi="Times New Roman" w:cs="Times New Roman"/>
          <w:b/>
          <w:lang w:val="sr-Latn-RS"/>
        </w:rPr>
      </w:pPr>
      <w:r w:rsidRPr="00A56FE5">
        <w:rPr>
          <w:rFonts w:ascii="Times New Roman" w:eastAsia="Times New Roman" w:hAnsi="Times New Roman" w:cs="Times New Roman"/>
          <w:b/>
          <w:lang w:val="sr-Latn-RS"/>
        </w:rPr>
        <w:t xml:space="preserve">7. NOSILAC DOZVOLE </w:t>
      </w:r>
    </w:p>
    <w:p w:rsidR="00A56FE5" w:rsidRPr="00A56FE5" w:rsidRDefault="00A56FE5" w:rsidP="00A56FE5">
      <w:pPr>
        <w:tabs>
          <w:tab w:val="left" w:pos="284"/>
        </w:tabs>
        <w:spacing w:after="0" w:line="240" w:lineRule="auto"/>
        <w:jc w:val="both"/>
        <w:rPr>
          <w:rFonts w:ascii="Times New Roman" w:eastAsia="Times New Roman" w:hAnsi="Times New Roman" w:cs="Times New Roman"/>
          <w:lang w:val="sr-Latn-RS"/>
        </w:rPr>
      </w:pPr>
      <w:r w:rsidRPr="00A56FE5">
        <w:rPr>
          <w:rFonts w:ascii="Times New Roman" w:eastAsia="Times New Roman" w:hAnsi="Times New Roman" w:cs="Times New Roman"/>
          <w:lang w:val="sr-Latn-RS"/>
        </w:rPr>
        <w:t>Evropa Lek Pharma d.o.o. Podgorica</w:t>
      </w:r>
    </w:p>
    <w:p w:rsidR="00A56FE5" w:rsidRDefault="00A56FE5" w:rsidP="00A56FE5">
      <w:pPr>
        <w:tabs>
          <w:tab w:val="left" w:pos="284"/>
        </w:tabs>
        <w:spacing w:after="0" w:line="240" w:lineRule="auto"/>
        <w:jc w:val="both"/>
        <w:rPr>
          <w:rFonts w:ascii="Times New Roman" w:eastAsia="Times New Roman" w:hAnsi="Times New Roman" w:cs="Times New Roman"/>
          <w:spacing w:val="-2"/>
          <w:lang w:val="sr-Latn-RS"/>
        </w:rPr>
      </w:pPr>
      <w:r w:rsidRPr="00A56FE5">
        <w:rPr>
          <w:rFonts w:ascii="Times New Roman" w:eastAsia="Times New Roman" w:hAnsi="Times New Roman" w:cs="Times New Roman"/>
          <w:spacing w:val="-2"/>
          <w:lang w:val="sr-Latn-RS"/>
        </w:rPr>
        <w:t>Kritskog odreda 4/1, 81 000 Podgorica, Crna Gora</w:t>
      </w:r>
    </w:p>
    <w:p w:rsidR="006B17C1" w:rsidRPr="00A56FE5" w:rsidRDefault="006B17C1" w:rsidP="00A56FE5">
      <w:pPr>
        <w:tabs>
          <w:tab w:val="left" w:pos="284"/>
        </w:tabs>
        <w:spacing w:after="0" w:line="240" w:lineRule="auto"/>
        <w:jc w:val="both"/>
        <w:rPr>
          <w:rFonts w:ascii="Times New Roman" w:eastAsia="Times New Roman" w:hAnsi="Times New Roman" w:cs="Times New Roman"/>
          <w:spacing w:val="-2"/>
          <w:lang w:val="sr-Latn-RS"/>
        </w:rPr>
      </w:pPr>
    </w:p>
    <w:p w:rsidR="00A56FE5" w:rsidRPr="00A56FE5" w:rsidRDefault="00A56FE5" w:rsidP="00A56FE5">
      <w:pPr>
        <w:tabs>
          <w:tab w:val="left" w:pos="284"/>
        </w:tabs>
        <w:spacing w:after="0" w:line="240" w:lineRule="auto"/>
        <w:jc w:val="both"/>
        <w:rPr>
          <w:rFonts w:ascii="Times New Roman" w:eastAsia="Times New Roman" w:hAnsi="Times New Roman" w:cs="Times New Roman"/>
          <w:color w:val="FF0000"/>
          <w:lang w:val="sr-Latn-RS"/>
        </w:rPr>
      </w:pP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
          <w:bCs/>
          <w:lang w:val="sr-Latn-RS"/>
        </w:rPr>
      </w:pPr>
      <w:r w:rsidRPr="00A56FE5">
        <w:rPr>
          <w:rFonts w:ascii="Times New Roman" w:eastAsia="Times New Roman" w:hAnsi="Times New Roman" w:cs="Times New Roman"/>
          <w:b/>
          <w:bCs/>
          <w:lang w:val="sr-Latn-RS"/>
        </w:rPr>
        <w:t xml:space="preserve">8. </w:t>
      </w:r>
      <w:r w:rsidRPr="00A56FE5">
        <w:rPr>
          <w:rFonts w:ascii="Times New Roman" w:eastAsia="Times New Roman" w:hAnsi="Times New Roman" w:cs="Times New Roman"/>
          <w:b/>
          <w:bCs/>
          <w:lang w:val="sr-Latn-RS"/>
        </w:rPr>
        <w:tab/>
        <w:t>BROJ DOZVOLE ZA STAVLJANJE LIJEKA U PROMET</w:t>
      </w: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lang w:val="sr-Latn-RS"/>
        </w:rPr>
      </w:pPr>
    </w:p>
    <w:p w:rsidR="005C0F2F"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A56FE5">
        <w:rPr>
          <w:rFonts w:ascii="Times New Roman" w:eastAsia="Times New Roman" w:hAnsi="Times New Roman" w:cs="Times New Roman"/>
          <w:bCs/>
          <w:lang w:val="sr-Latn-ME"/>
        </w:rPr>
        <w:t>Duavive</w:t>
      </w:r>
      <w:r w:rsidRPr="00A56FE5">
        <w:rPr>
          <w:rFonts w:ascii="Times New Roman" w:eastAsia="Times New Roman" w:hAnsi="Times New Roman" w:cs="Times New Roman"/>
          <w:bCs/>
          <w:vertAlign w:val="superscript"/>
          <w:lang w:val="sr-Latn-ME"/>
        </w:rPr>
        <w:t>®</w:t>
      </w:r>
      <w:r w:rsidRPr="00A56FE5">
        <w:rPr>
          <w:rFonts w:ascii="Times New Roman" w:eastAsia="Times New Roman" w:hAnsi="Times New Roman" w:cs="Times New Roman"/>
          <w:bCs/>
          <w:lang w:val="sr-Latn-ME"/>
        </w:rPr>
        <w:t>, tableta sa modifikovanim oslobađanjem, 0,45 mg + 20 mg, blister, 28 (1x28) tableta:</w:t>
      </w:r>
      <w:r w:rsidR="005C0F2F">
        <w:rPr>
          <w:rFonts w:ascii="Times New Roman" w:eastAsia="Times New Roman" w:hAnsi="Times New Roman" w:cs="Times New Roman"/>
          <w:bCs/>
          <w:lang w:val="sr-Latn-ME"/>
        </w:rPr>
        <w:t xml:space="preserve"> </w:t>
      </w:r>
    </w:p>
    <w:p w:rsidR="00A56FE5" w:rsidRPr="00A56FE5" w:rsidRDefault="005C0F2F" w:rsidP="00A56FE5">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5C0F2F">
        <w:rPr>
          <w:rFonts w:ascii="Times New Roman" w:eastAsia="Times New Roman" w:hAnsi="Times New Roman" w:cs="Times New Roman"/>
          <w:bCs/>
          <w:lang w:val="sr-Latn-ME"/>
        </w:rPr>
        <w:t>2030/20/204 - 1901</w:t>
      </w: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rPr>
      </w:pP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rPr>
      </w:pP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
          <w:bCs/>
        </w:rPr>
      </w:pPr>
      <w:r w:rsidRPr="00A56FE5">
        <w:rPr>
          <w:rFonts w:ascii="Times New Roman" w:eastAsia="Times New Roman" w:hAnsi="Times New Roman" w:cs="Times New Roman"/>
          <w:b/>
          <w:bCs/>
        </w:rPr>
        <w:t xml:space="preserve">9. </w:t>
      </w:r>
      <w:r w:rsidRPr="00A56FE5">
        <w:rPr>
          <w:rFonts w:ascii="Times New Roman" w:eastAsia="Times New Roman" w:hAnsi="Times New Roman" w:cs="Times New Roman"/>
          <w:b/>
          <w:bCs/>
        </w:rPr>
        <w:tab/>
        <w:t>DATUM PRVE DOZVOLE/OBNOVE DOZVOLE ZA STAVLJANJE LIJEKA U PROMET</w:t>
      </w:r>
    </w:p>
    <w:p w:rsidR="00A56FE5" w:rsidRP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rPr>
      </w:pPr>
    </w:p>
    <w:p w:rsidR="00A56FE5" w:rsidRDefault="00A56FE5" w:rsidP="00A56FE5">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A56FE5">
        <w:rPr>
          <w:rFonts w:ascii="Times New Roman" w:eastAsia="Times New Roman" w:hAnsi="Times New Roman" w:cs="Times New Roman"/>
          <w:bCs/>
          <w:lang w:val="sr-Latn-ME"/>
        </w:rPr>
        <w:t>Duavive</w:t>
      </w:r>
      <w:r w:rsidRPr="00A56FE5">
        <w:rPr>
          <w:rFonts w:ascii="Times New Roman" w:eastAsia="Times New Roman" w:hAnsi="Times New Roman" w:cs="Times New Roman"/>
          <w:bCs/>
          <w:vertAlign w:val="superscript"/>
          <w:lang w:val="sr-Latn-ME"/>
        </w:rPr>
        <w:t>®</w:t>
      </w:r>
      <w:r w:rsidRPr="00A56FE5">
        <w:rPr>
          <w:rFonts w:ascii="Times New Roman" w:eastAsia="Times New Roman" w:hAnsi="Times New Roman" w:cs="Times New Roman"/>
          <w:bCs/>
          <w:lang w:val="sr-Latn-ME"/>
        </w:rPr>
        <w:t>, tableta sa modifikovanim oslobađanjem, 0,45 mg + 20 mg, blister, 28 (1x28) tableta:</w:t>
      </w:r>
    </w:p>
    <w:p w:rsidR="005C0F2F" w:rsidRPr="00A56FE5" w:rsidRDefault="005C0F2F" w:rsidP="00A56FE5">
      <w:pPr>
        <w:tabs>
          <w:tab w:val="left" w:pos="284"/>
          <w:tab w:val="left" w:pos="540"/>
          <w:tab w:val="left" w:pos="569"/>
        </w:tabs>
        <w:spacing w:after="0" w:line="240" w:lineRule="auto"/>
        <w:jc w:val="both"/>
        <w:rPr>
          <w:rFonts w:ascii="Times New Roman" w:eastAsia="Times New Roman" w:hAnsi="Times New Roman" w:cs="Times New Roman"/>
          <w:bCs/>
          <w:lang w:val="sr-Latn-ME"/>
        </w:rPr>
      </w:pPr>
      <w:r>
        <w:rPr>
          <w:rFonts w:ascii="TimesNewRoman" w:hAnsi="TimesNewRoman" w:cs="TimesNewRoman"/>
          <w:lang w:val="sr-Latn-ME"/>
        </w:rPr>
        <w:t>17.02.2020. godine</w:t>
      </w:r>
    </w:p>
    <w:p w:rsidR="00A56FE5" w:rsidRPr="00A56FE5" w:rsidRDefault="00A56FE5" w:rsidP="00A56FE5">
      <w:pPr>
        <w:tabs>
          <w:tab w:val="left" w:pos="284"/>
          <w:tab w:val="left" w:pos="540"/>
          <w:tab w:val="left" w:pos="569"/>
        </w:tabs>
        <w:spacing w:after="0" w:line="240" w:lineRule="auto"/>
        <w:ind w:left="540" w:hanging="540"/>
        <w:jc w:val="both"/>
        <w:rPr>
          <w:rFonts w:ascii="Times New Roman" w:eastAsia="Times New Roman" w:hAnsi="Times New Roman" w:cs="Times New Roman"/>
          <w:bCs/>
        </w:rPr>
      </w:pPr>
      <w:bookmarkStart w:id="1" w:name="_GoBack"/>
      <w:bookmarkEnd w:id="1"/>
      <w:r w:rsidRPr="00A56FE5">
        <w:rPr>
          <w:rFonts w:ascii="Times New Roman" w:eastAsia="Times New Roman" w:hAnsi="Times New Roman" w:cs="Times New Roman"/>
          <w:b/>
          <w:bCs/>
        </w:rPr>
        <w:lastRenderedPageBreak/>
        <w:t xml:space="preserve">10. </w:t>
      </w:r>
      <w:r w:rsidRPr="00A56FE5">
        <w:rPr>
          <w:rFonts w:ascii="Times New Roman" w:eastAsia="Times New Roman" w:hAnsi="Times New Roman" w:cs="Times New Roman"/>
          <w:b/>
          <w:bCs/>
        </w:rPr>
        <w:tab/>
        <w:t xml:space="preserve">DATUM REVIZIJE TEKSTA </w:t>
      </w:r>
    </w:p>
    <w:p w:rsidR="00A56FE5" w:rsidRDefault="00A56FE5" w:rsidP="00A56FE5">
      <w:pPr>
        <w:tabs>
          <w:tab w:val="left" w:pos="284"/>
        </w:tabs>
        <w:spacing w:after="0" w:line="240" w:lineRule="auto"/>
        <w:jc w:val="both"/>
        <w:rPr>
          <w:rFonts w:ascii="Times New Roman" w:eastAsia="Times New Roman" w:hAnsi="Times New Roman" w:cs="Times New Roman"/>
          <w:bCs/>
          <w:color w:val="FF0000"/>
          <w:lang w:val="de-DE"/>
        </w:rPr>
      </w:pPr>
    </w:p>
    <w:p w:rsidR="006B17C1" w:rsidRPr="006B17C1" w:rsidRDefault="006B17C1" w:rsidP="00A56FE5">
      <w:pPr>
        <w:tabs>
          <w:tab w:val="left" w:pos="284"/>
        </w:tabs>
        <w:spacing w:after="0" w:line="240" w:lineRule="auto"/>
        <w:jc w:val="both"/>
        <w:rPr>
          <w:rFonts w:ascii="Times New Roman" w:eastAsia="Times New Roman" w:hAnsi="Times New Roman" w:cs="Times New Roman"/>
          <w:bCs/>
          <w:lang w:val="de-DE"/>
        </w:rPr>
      </w:pPr>
      <w:r w:rsidRPr="006B17C1">
        <w:rPr>
          <w:rFonts w:ascii="Times New Roman" w:eastAsia="Times New Roman" w:hAnsi="Times New Roman" w:cs="Times New Roman"/>
          <w:bCs/>
          <w:lang w:val="de-DE"/>
        </w:rPr>
        <w:t>Februar, 2020. godine</w:t>
      </w:r>
    </w:p>
    <w:p w:rsidR="00A56FE5" w:rsidRPr="00A56FE5" w:rsidRDefault="00A56FE5" w:rsidP="00A56FE5">
      <w:pPr>
        <w:tabs>
          <w:tab w:val="left" w:pos="284"/>
        </w:tabs>
        <w:spacing w:after="0" w:line="240" w:lineRule="auto"/>
        <w:jc w:val="both"/>
        <w:rPr>
          <w:rFonts w:ascii="Times New Roman" w:eastAsia="Times New Roman" w:hAnsi="Times New Roman" w:cs="Times New Roman"/>
          <w:bCs/>
          <w:color w:val="FF0000"/>
          <w:lang w:val="de-DE"/>
        </w:rPr>
      </w:pPr>
    </w:p>
    <w:p w:rsidR="00DA1FB0" w:rsidRPr="00A56FE5" w:rsidRDefault="00DA1FB0" w:rsidP="00A56FE5">
      <w:pPr>
        <w:spacing w:line="240" w:lineRule="auto"/>
        <w:jc w:val="both"/>
        <w:rPr>
          <w:rFonts w:ascii="Times New Roman" w:hAnsi="Times New Roman" w:cs="Times New Roman"/>
        </w:rPr>
      </w:pPr>
    </w:p>
    <w:sectPr w:rsidR="00DA1FB0" w:rsidRPr="00A56FE5"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7D" w:rsidRDefault="0080417D" w:rsidP="00FF2B5A">
      <w:pPr>
        <w:spacing w:after="0" w:line="240" w:lineRule="auto"/>
      </w:pPr>
      <w:r>
        <w:separator/>
      </w:r>
    </w:p>
  </w:endnote>
  <w:endnote w:type="continuationSeparator" w:id="0">
    <w:p w:rsidR="0080417D" w:rsidRDefault="0080417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KGFENB+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sig w:usb0="00000087" w:usb1="08070000" w:usb2="00000010" w:usb3="00000000" w:csb0="0002000B" w:csb1="00000000"/>
  </w:font>
  <w:font w:name="TimesNewRoman,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E5" w:rsidRPr="00F1527C" w:rsidRDefault="00A56FE5"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A56FE5" w:rsidRPr="00F1527C" w:rsidRDefault="00A56FE5"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A56FE5" w:rsidRPr="00F1527C" w:rsidRDefault="00A56FE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A56FE5" w:rsidRPr="00F1527C" w:rsidRDefault="00A56FE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A56FE5" w:rsidRPr="00F1527C" w:rsidRDefault="00A56FE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A56FE5" w:rsidRPr="009318B4" w:rsidRDefault="00A56FE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B4542">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B4542">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E5" w:rsidRPr="00F1527C" w:rsidRDefault="00A56FE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A56FE5" w:rsidRPr="00F1527C" w:rsidRDefault="00A56FE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A56FE5" w:rsidRPr="00F1527C" w:rsidRDefault="00A56FE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A56FE5" w:rsidRPr="00F1527C" w:rsidRDefault="00A56FE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A56FE5" w:rsidRPr="00F1527C" w:rsidRDefault="00A56FE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A56FE5" w:rsidRPr="009318B4" w:rsidRDefault="00A56FE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7D" w:rsidRDefault="0080417D" w:rsidP="00FF2B5A">
      <w:pPr>
        <w:spacing w:after="0" w:line="240" w:lineRule="auto"/>
      </w:pPr>
      <w:r>
        <w:separator/>
      </w:r>
    </w:p>
  </w:footnote>
  <w:footnote w:type="continuationSeparator" w:id="0">
    <w:p w:rsidR="0080417D" w:rsidRDefault="0080417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E5" w:rsidRDefault="00A56FE5" w:rsidP="009318B4">
    <w:pPr>
      <w:pStyle w:val="Header"/>
      <w:rPr>
        <w:sz w:val="16"/>
        <w:szCs w:val="16"/>
      </w:rPr>
    </w:pPr>
  </w:p>
  <w:p w:rsidR="00A56FE5" w:rsidRDefault="00A56FE5" w:rsidP="00A56FE5">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E5A52" w:rsidRPr="00A56FE5" w:rsidRDefault="007E5A52" w:rsidP="00A56FE5">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E5" w:rsidRDefault="00A56FE5" w:rsidP="009318B4">
    <w:pPr>
      <w:pStyle w:val="Header"/>
      <w:rPr>
        <w:sz w:val="16"/>
        <w:szCs w:val="16"/>
      </w:rPr>
    </w:pPr>
  </w:p>
  <w:p w:rsidR="00A56FE5" w:rsidRDefault="00A56FE5"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A56FE5" w:rsidRDefault="00A56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9815146"/>
    <w:multiLevelType w:val="hybridMultilevel"/>
    <w:tmpl w:val="779C2BE8"/>
    <w:lvl w:ilvl="0" w:tplc="DD6E4D4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0F1C0F"/>
    <w:multiLevelType w:val="hybridMultilevel"/>
    <w:tmpl w:val="42063DBC"/>
    <w:lvl w:ilvl="0" w:tplc="DD6E4D42">
      <w:start w:val="1"/>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6CE35AA"/>
    <w:multiLevelType w:val="hybridMultilevel"/>
    <w:tmpl w:val="141CDD04"/>
    <w:lvl w:ilvl="0" w:tplc="DD6E4D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F77F6"/>
    <w:multiLevelType w:val="hybridMultilevel"/>
    <w:tmpl w:val="F926EA9C"/>
    <w:lvl w:ilvl="0" w:tplc="495A6D6E">
      <w:numFmt w:val="bullet"/>
      <w:lvlText w:val="-"/>
      <w:lvlJc w:val="left"/>
      <w:pPr>
        <w:ind w:left="720" w:hanging="360"/>
      </w:pPr>
      <w:rPr>
        <w:rFonts w:ascii="Cambria" w:eastAsiaTheme="majorEastAsia" w:hAnsi="Cambria" w:cs="TimesNewRomanBol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935626C"/>
    <w:multiLevelType w:val="hybridMultilevel"/>
    <w:tmpl w:val="1BC47940"/>
    <w:lvl w:ilvl="0" w:tplc="104A45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DB723E2"/>
    <w:multiLevelType w:val="hybridMultilevel"/>
    <w:tmpl w:val="88D48CB2"/>
    <w:lvl w:ilvl="0" w:tplc="CD88998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8"/>
  </w:num>
  <w:num w:numId="2">
    <w:abstractNumId w:val="17"/>
  </w:num>
  <w:num w:numId="3">
    <w:abstractNumId w:val="3"/>
  </w:num>
  <w:num w:numId="4">
    <w:abstractNumId w:val="13"/>
  </w:num>
  <w:num w:numId="5">
    <w:abstractNumId w:val="10"/>
  </w:num>
  <w:num w:numId="6">
    <w:abstractNumId w:val="5"/>
  </w:num>
  <w:num w:numId="7">
    <w:abstractNumId w:val="12"/>
  </w:num>
  <w:num w:numId="8">
    <w:abstractNumId w:val="9"/>
  </w:num>
  <w:num w:numId="9">
    <w:abstractNumId w:val="11"/>
  </w:num>
  <w:num w:numId="10">
    <w:abstractNumId w:val="7"/>
  </w:num>
  <w:num w:numId="11">
    <w:abstractNumId w:val="2"/>
  </w:num>
  <w:num w:numId="12">
    <w:abstractNumId w:val="6"/>
  </w:num>
  <w:num w:numId="13">
    <w:abstractNumId w:val="0"/>
    <w:lvlOverride w:ilvl="0">
      <w:startOverride w:val="7"/>
    </w:lvlOverride>
  </w:num>
  <w:num w:numId="14">
    <w:abstractNumId w:val="18"/>
  </w:num>
  <w:num w:numId="15">
    <w:abstractNumId w:val="14"/>
  </w:num>
  <w:num w:numId="16">
    <w:abstractNumId w:val="19"/>
  </w:num>
  <w:num w:numId="17">
    <w:abstractNumId w:val="16"/>
  </w:num>
  <w:num w:numId="18">
    <w:abstractNumId w:val="1"/>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224D"/>
    <w:rsid w:val="00116FE6"/>
    <w:rsid w:val="002B336F"/>
    <w:rsid w:val="0031146A"/>
    <w:rsid w:val="00461135"/>
    <w:rsid w:val="005C0F2F"/>
    <w:rsid w:val="006B17C1"/>
    <w:rsid w:val="00716486"/>
    <w:rsid w:val="00747C4B"/>
    <w:rsid w:val="007E5A52"/>
    <w:rsid w:val="0080417D"/>
    <w:rsid w:val="00805838"/>
    <w:rsid w:val="00883AF2"/>
    <w:rsid w:val="009318B4"/>
    <w:rsid w:val="00934541"/>
    <w:rsid w:val="009F0536"/>
    <w:rsid w:val="00A06058"/>
    <w:rsid w:val="00A56FE5"/>
    <w:rsid w:val="00A86044"/>
    <w:rsid w:val="00AF30B1"/>
    <w:rsid w:val="00B22B3F"/>
    <w:rsid w:val="00B234CE"/>
    <w:rsid w:val="00B34AF2"/>
    <w:rsid w:val="00C4240B"/>
    <w:rsid w:val="00C606D3"/>
    <w:rsid w:val="00CF1D50"/>
    <w:rsid w:val="00D45AFE"/>
    <w:rsid w:val="00DA1FB0"/>
    <w:rsid w:val="00E0627A"/>
    <w:rsid w:val="00E11437"/>
    <w:rsid w:val="00E73910"/>
    <w:rsid w:val="00EB2A93"/>
    <w:rsid w:val="00F1527C"/>
    <w:rsid w:val="00FB454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5460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56FE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unhideWhenUsed/>
    <w:qFormat/>
    <w:rsid w:val="00A56F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A56FE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link w:val="DefaultChar"/>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3Char">
    <w:name w:val="Heading 3 Char"/>
    <w:basedOn w:val="DefaultParagraphFont"/>
    <w:link w:val="Heading3"/>
    <w:rsid w:val="00A56FE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A56FE5"/>
    <w:rPr>
      <w:rFonts w:ascii="Arial (W1)" w:eastAsia="Times New Roman" w:hAnsi="Arial (W1)" w:cs="Arial"/>
      <w:b/>
      <w:bCs/>
      <w:i/>
      <w:iCs/>
      <w:sz w:val="32"/>
      <w:szCs w:val="24"/>
      <w:u w:val="single"/>
      <w:lang w:val="sr-Latn-CS"/>
    </w:rPr>
  </w:style>
  <w:style w:type="character" w:customStyle="1" w:styleId="Heading4Char">
    <w:name w:val="Heading 4 Char"/>
    <w:basedOn w:val="DefaultParagraphFont"/>
    <w:link w:val="Heading4"/>
    <w:rsid w:val="00A56FE5"/>
    <w:rPr>
      <w:rFonts w:ascii="Arial" w:eastAsia="Times New Roman" w:hAnsi="Arial" w:cs="Arial"/>
      <w:i/>
      <w:iCs/>
      <w:color w:val="999999"/>
      <w:sz w:val="16"/>
      <w:szCs w:val="24"/>
    </w:rPr>
  </w:style>
  <w:style w:type="numbering" w:customStyle="1" w:styleId="NoList2">
    <w:name w:val="No List2"/>
    <w:next w:val="NoList"/>
    <w:uiPriority w:val="99"/>
    <w:semiHidden/>
    <w:unhideWhenUsed/>
    <w:rsid w:val="00A56FE5"/>
  </w:style>
  <w:style w:type="paragraph" w:customStyle="1" w:styleId="NASLOV123">
    <w:name w:val="NASLOV 123"/>
    <w:basedOn w:val="Normal"/>
    <w:qFormat/>
    <w:rsid w:val="00A56FE5"/>
    <w:pPr>
      <w:tabs>
        <w:tab w:val="left" w:pos="284"/>
      </w:tabs>
      <w:spacing w:before="200" w:after="200" w:line="240" w:lineRule="auto"/>
    </w:pPr>
    <w:rPr>
      <w:rFonts w:ascii="Times New Roman" w:eastAsia="Times New Roman" w:hAnsi="Times New Roman" w:cs="Times New Roman"/>
      <w:b/>
    </w:rPr>
  </w:style>
  <w:style w:type="paragraph" w:customStyle="1" w:styleId="TableParagraph">
    <w:name w:val="Table Paragraph"/>
    <w:basedOn w:val="Normal"/>
    <w:uiPriority w:val="1"/>
    <w:qFormat/>
    <w:rsid w:val="00A56FE5"/>
    <w:pPr>
      <w:autoSpaceDE w:val="0"/>
      <w:autoSpaceDN w:val="0"/>
      <w:adjustRightInd w:val="0"/>
      <w:spacing w:after="0" w:line="240" w:lineRule="auto"/>
    </w:pPr>
    <w:rPr>
      <w:rFonts w:ascii="Times New Roman" w:eastAsia="Times New Roman" w:hAnsi="Times New Roman" w:cs="Times New Roman"/>
      <w:sz w:val="24"/>
      <w:szCs w:val="24"/>
      <w:lang w:val="en-GB"/>
    </w:rPr>
  </w:style>
  <w:style w:type="paragraph" w:customStyle="1" w:styleId="CDSSectionheading">
    <w:name w:val="CDS Section heading"/>
    <w:rsid w:val="00A56FE5"/>
    <w:pPr>
      <w:keepNext/>
      <w:widowControl w:val="0"/>
      <w:spacing w:after="0" w:line="240" w:lineRule="auto"/>
    </w:pPr>
    <w:rPr>
      <w:rFonts w:ascii="Arial" w:eastAsia="Times New Roman" w:hAnsi="Arial" w:cs="Times New Roman"/>
      <w:b/>
      <w:i/>
      <w:szCs w:val="20"/>
      <w:lang w:val="sr-Latn-CS" w:eastAsia="sr-Latn-CS" w:bidi="sr-Latn-CS"/>
    </w:rPr>
  </w:style>
  <w:style w:type="paragraph" w:customStyle="1" w:styleId="TableText">
    <w:name w:val="TableText"/>
    <w:link w:val="TableTextChar"/>
    <w:rsid w:val="00A56FE5"/>
    <w:pPr>
      <w:spacing w:after="0" w:line="240" w:lineRule="auto"/>
    </w:pPr>
    <w:rPr>
      <w:rFonts w:ascii="Times New Roman" w:eastAsia="Times New Roman" w:hAnsi="Times New Roman" w:cs="Arial"/>
      <w:sz w:val="20"/>
      <w:szCs w:val="20"/>
      <w:lang w:val="sr-Latn-CS" w:eastAsia="sr-Latn-CS" w:bidi="sr-Latn-CS"/>
    </w:rPr>
  </w:style>
  <w:style w:type="character" w:customStyle="1" w:styleId="TableTextChar">
    <w:name w:val="TableText Char"/>
    <w:link w:val="TableText"/>
    <w:rsid w:val="00A56FE5"/>
    <w:rPr>
      <w:rFonts w:ascii="Times New Roman" w:eastAsia="Times New Roman" w:hAnsi="Times New Roman" w:cs="Arial"/>
      <w:sz w:val="20"/>
      <w:szCs w:val="20"/>
      <w:lang w:val="sr-Latn-CS" w:eastAsia="sr-Latn-CS" w:bidi="sr-Latn-CS"/>
    </w:rPr>
  </w:style>
  <w:style w:type="paragraph" w:customStyle="1" w:styleId="CDSMandatorysafetyconcepts">
    <w:name w:val="CDS Mandatory safety concepts"/>
    <w:link w:val="CDSMandatorysafetyconceptsChar"/>
    <w:rsid w:val="00A56FE5"/>
    <w:pPr>
      <w:spacing w:after="0" w:line="240" w:lineRule="auto"/>
    </w:pPr>
    <w:rPr>
      <w:rFonts w:ascii="Times New Roman" w:eastAsia="Times New Roman" w:hAnsi="Times New Roman" w:cs="Times New Roman"/>
      <w:b/>
      <w:szCs w:val="20"/>
      <w:lang w:val="sr-Latn-CS" w:eastAsia="sr-Latn-CS" w:bidi="sr-Latn-CS"/>
    </w:rPr>
  </w:style>
  <w:style w:type="paragraph" w:customStyle="1" w:styleId="CDSOptionalconcepts">
    <w:name w:val="CDS Optional concepts"/>
    <w:link w:val="CDSOptionalconceptsChar"/>
    <w:rsid w:val="00A56FE5"/>
    <w:pPr>
      <w:widowControl w:val="0"/>
      <w:spacing w:after="0" w:line="240" w:lineRule="auto"/>
    </w:pPr>
    <w:rPr>
      <w:rFonts w:ascii="Times New Roman" w:eastAsia="Times New Roman" w:hAnsi="Times New Roman" w:cs="Times New Roman"/>
      <w:szCs w:val="20"/>
      <w:lang w:val="sr-Latn-CS" w:eastAsia="sr-Latn-CS" w:bidi="sr-Latn-CS"/>
    </w:rPr>
  </w:style>
  <w:style w:type="character" w:customStyle="1" w:styleId="CDSOptionalconceptsChar">
    <w:name w:val="CDS Optional concepts Char"/>
    <w:link w:val="CDSOptionalconcepts"/>
    <w:rsid w:val="00A56FE5"/>
    <w:rPr>
      <w:rFonts w:ascii="Times New Roman" w:eastAsia="Times New Roman" w:hAnsi="Times New Roman" w:cs="Times New Roman"/>
      <w:szCs w:val="20"/>
      <w:lang w:val="sr-Latn-CS" w:eastAsia="sr-Latn-CS" w:bidi="sr-Latn-CS"/>
    </w:rPr>
  </w:style>
  <w:style w:type="character" w:customStyle="1" w:styleId="StyleBold">
    <w:name w:val="Style Bold"/>
    <w:rsid w:val="00A56FE5"/>
    <w:rPr>
      <w:rFonts w:ascii="Times New Roman Bold" w:hAnsi="Times New Roman Bold"/>
      <w:b/>
      <w:bCs/>
      <w:sz w:val="22"/>
      <w:u w:val="single"/>
      <w:lang w:val="sr-Latn-CS" w:eastAsia="sr-Latn-CS" w:bidi="sr-Latn-CS"/>
    </w:rPr>
  </w:style>
  <w:style w:type="character" w:customStyle="1" w:styleId="CDSMandatorysafetyconceptsChar">
    <w:name w:val="CDS Mandatory safety concepts Char"/>
    <w:link w:val="CDSMandatorysafetyconcepts"/>
    <w:rsid w:val="00A56FE5"/>
    <w:rPr>
      <w:rFonts w:ascii="Times New Roman" w:eastAsia="Times New Roman" w:hAnsi="Times New Roman" w:cs="Times New Roman"/>
      <w:b/>
      <w:szCs w:val="20"/>
      <w:lang w:val="sr-Latn-CS" w:eastAsia="sr-Latn-CS" w:bidi="sr-Latn-CS"/>
    </w:rPr>
  </w:style>
  <w:style w:type="paragraph" w:customStyle="1" w:styleId="Mandatorysafetyconcepts">
    <w:name w:val="Mandatory safety concepts"/>
    <w:rsid w:val="00A56FE5"/>
    <w:pPr>
      <w:widowControl w:val="0"/>
      <w:spacing w:after="0" w:line="240" w:lineRule="auto"/>
    </w:pPr>
    <w:rPr>
      <w:rFonts w:ascii="Times New Roman" w:eastAsia="Times New Roman" w:hAnsi="Times New Roman" w:cs="Times New Roman"/>
      <w:b/>
      <w:szCs w:val="20"/>
      <w:lang w:val="sr-Latn-CS" w:eastAsia="sr-Latn-CS" w:bidi="sr-Latn-CS"/>
    </w:rPr>
  </w:style>
  <w:style w:type="paragraph" w:customStyle="1" w:styleId="Standard1">
    <w:name w:val="Standard1"/>
    <w:basedOn w:val="Default"/>
    <w:next w:val="Default"/>
    <w:rsid w:val="00A56FE5"/>
    <w:pPr>
      <w:widowControl/>
    </w:pPr>
    <w:rPr>
      <w:rFonts w:ascii="KGFENB+TimesNewRoman" w:eastAsia="Times New Roman" w:hAnsi="KGFENB+TimesNewRoman" w:cs="Times New Roman"/>
      <w:color w:val="auto"/>
      <w:lang w:val="sr-Latn-CS" w:eastAsia="sr-Latn-CS" w:bidi="sr-Latn-CS"/>
    </w:rPr>
  </w:style>
  <w:style w:type="character" w:customStyle="1" w:styleId="DefaultChar">
    <w:name w:val="Default Char"/>
    <w:link w:val="Default"/>
    <w:rsid w:val="00A56FE5"/>
    <w:rPr>
      <w:rFonts w:ascii="UQLKLG+TimesNewRoman" w:eastAsia="SimSun" w:hAnsi="UQLKLG+TimesNewRoman" w:cs="UQLKLG+TimesNewRoman"/>
      <w:color w:val="000000"/>
      <w:sz w:val="24"/>
      <w:szCs w:val="24"/>
      <w:lang w:eastAsia="zh-CN"/>
    </w:rPr>
  </w:style>
  <w:style w:type="paragraph" w:styleId="ListParagraph">
    <w:name w:val="List Paragraph"/>
    <w:basedOn w:val="Normal"/>
    <w:uiPriority w:val="34"/>
    <w:qFormat/>
    <w:rsid w:val="00A56FE5"/>
    <w:pPr>
      <w:tabs>
        <w:tab w:val="left" w:pos="567"/>
      </w:tabs>
      <w:spacing w:after="0" w:line="260" w:lineRule="exact"/>
      <w:ind w:left="720"/>
    </w:pPr>
    <w:rPr>
      <w:rFonts w:ascii="Times New Roman" w:eastAsia="Times New Roman" w:hAnsi="Times New Roman" w:cs="Times New Roman"/>
      <w:szCs w:val="20"/>
      <w:lang w:val="sr-Latn-CS" w:eastAsia="sr-Latn-CS" w:bidi="sr-Latn-CS"/>
    </w:rPr>
  </w:style>
  <w:style w:type="character" w:customStyle="1" w:styleId="italics1">
    <w:name w:val="italics1"/>
    <w:rsid w:val="00A56FE5"/>
    <w:rPr>
      <w:i/>
      <w:iCs/>
    </w:rPr>
  </w:style>
  <w:style w:type="paragraph" w:customStyle="1" w:styleId="CDSOthermandatoryconcepts">
    <w:name w:val="CDS Other mandatory concepts"/>
    <w:link w:val="CDSOthermandatoryconceptsChar"/>
    <w:rsid w:val="00A56FE5"/>
    <w:pPr>
      <w:spacing w:after="0" w:line="240" w:lineRule="auto"/>
    </w:pPr>
    <w:rPr>
      <w:rFonts w:ascii="Arial" w:eastAsia="Times New Roman" w:hAnsi="Arial" w:cs="Times New Roman"/>
      <w:b/>
      <w:sz w:val="20"/>
      <w:szCs w:val="20"/>
      <w:lang w:val="sr-Latn-CS" w:eastAsia="sr-Latn-CS" w:bidi="sr-Latn-CS"/>
    </w:rPr>
  </w:style>
  <w:style w:type="character" w:customStyle="1" w:styleId="CDSOthermandatoryconceptsChar">
    <w:name w:val="CDS Other mandatory concepts Char"/>
    <w:link w:val="CDSOthermandatoryconcepts"/>
    <w:rsid w:val="00A56FE5"/>
    <w:rPr>
      <w:rFonts w:ascii="Arial" w:eastAsia="Times New Roman" w:hAnsi="Arial" w:cs="Times New Roman"/>
      <w:b/>
      <w:sz w:val="20"/>
      <w:szCs w:val="20"/>
      <w:lang w:val="sr-Latn-CS" w:eastAsia="sr-Latn-CS" w:bidi="sr-Latn-CS"/>
    </w:rPr>
  </w:style>
  <w:style w:type="paragraph" w:customStyle="1" w:styleId="StyleHeading3NotBoldUnderlineBefore0ptAfter0pt">
    <w:name w:val="Style Heading 3 + Not Bold Underline Before:  0 pt After:  0 pt..."/>
    <w:basedOn w:val="Heading3"/>
    <w:rsid w:val="00A56FE5"/>
    <w:pPr>
      <w:tabs>
        <w:tab w:val="left" w:pos="567"/>
      </w:tabs>
      <w:spacing w:before="0" w:line="240" w:lineRule="auto"/>
    </w:pPr>
    <w:rPr>
      <w:rFonts w:ascii="Times New Roman" w:eastAsia="Times New Roman" w:hAnsi="Times New Roman" w:cs="Times New Roman"/>
      <w:color w:val="auto"/>
      <w:kern w:val="28"/>
      <w:sz w:val="22"/>
      <w:szCs w:val="20"/>
      <w:u w:val="single"/>
      <w:lang w:val="sr-Latn-CS" w:eastAsia="sr-Latn-CS" w:bidi="sr-Latn-CS"/>
    </w:rPr>
  </w:style>
  <w:style w:type="paragraph" w:styleId="Caption">
    <w:name w:val="caption"/>
    <w:next w:val="Paragraph"/>
    <w:qFormat/>
    <w:rsid w:val="00A56FE5"/>
    <w:pPr>
      <w:keepNext/>
      <w:tabs>
        <w:tab w:val="left" w:pos="1152"/>
      </w:tabs>
      <w:spacing w:before="120" w:after="120" w:line="240" w:lineRule="auto"/>
      <w:ind w:left="1152" w:hanging="1152"/>
    </w:pPr>
    <w:rPr>
      <w:rFonts w:ascii="Times New Roman" w:eastAsia="Times New Roman" w:hAnsi="Times New Roman" w:cs="Arial"/>
      <w:b/>
      <w:bCs/>
      <w:sz w:val="24"/>
      <w:szCs w:val="24"/>
    </w:rPr>
  </w:style>
  <w:style w:type="paragraph" w:customStyle="1" w:styleId="Paragraph">
    <w:name w:val="Paragraph"/>
    <w:link w:val="ParagraphChar"/>
    <w:rsid w:val="00A56FE5"/>
    <w:pPr>
      <w:spacing w:after="240" w:line="240" w:lineRule="auto"/>
    </w:pPr>
    <w:rPr>
      <w:rFonts w:ascii="Times New Roman" w:eastAsia="Times New Roman" w:hAnsi="Times New Roman" w:cs="Times New Roman"/>
      <w:sz w:val="24"/>
      <w:szCs w:val="24"/>
      <w:lang w:val="en-GB" w:eastAsia="en-GB"/>
    </w:rPr>
  </w:style>
  <w:style w:type="character" w:customStyle="1" w:styleId="ParagraphChar">
    <w:name w:val="Paragraph Char"/>
    <w:link w:val="Paragraph"/>
    <w:rsid w:val="00A56FE5"/>
    <w:rPr>
      <w:rFonts w:ascii="Times New Roman" w:eastAsia="Times New Roman" w:hAnsi="Times New Roman" w:cs="Times New Roman"/>
      <w:sz w:val="24"/>
      <w:szCs w:val="24"/>
      <w:lang w:val="en-GB" w:eastAsia="en-GB"/>
    </w:rPr>
  </w:style>
  <w:style w:type="paragraph" w:customStyle="1" w:styleId="TableTextColHead">
    <w:name w:val="TableText Col Head"/>
    <w:rsid w:val="00A56FE5"/>
    <w:pPr>
      <w:spacing w:after="0" w:line="240" w:lineRule="auto"/>
      <w:jc w:val="center"/>
    </w:pPr>
    <w:rPr>
      <w:rFonts w:ascii="Times New Roman" w:eastAsia="Times New Roman" w:hAnsi="Times New Roman" w:cs="Times New Roman"/>
      <w:b/>
      <w:sz w:val="20"/>
      <w:szCs w:val="20"/>
    </w:rPr>
  </w:style>
  <w:style w:type="paragraph" w:styleId="Revision">
    <w:name w:val="Revision"/>
    <w:hidden/>
    <w:uiPriority w:val="99"/>
    <w:semiHidden/>
    <w:rsid w:val="00A56FE5"/>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B69D-E280-4001-9DE5-9F615DF3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7272</Words>
  <Characters>41451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14</cp:revision>
  <dcterms:created xsi:type="dcterms:W3CDTF">2017-06-23T09:30:00Z</dcterms:created>
  <dcterms:modified xsi:type="dcterms:W3CDTF">2020-02-17T09:43:00Z</dcterms:modified>
</cp:coreProperties>
</file>