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D9A" w:rsidRPr="002C4D9A" w:rsidRDefault="002C4D9A" w:rsidP="002C4D9A">
      <w:pPr>
        <w:spacing w:after="0" w:line="240" w:lineRule="auto"/>
        <w:jc w:val="center"/>
        <w:rPr>
          <w:rFonts w:ascii="Times New Roman" w:eastAsia="Times New Roman" w:hAnsi="Times New Roman" w:cs="Times New Roman"/>
          <w:b/>
          <w:bCs/>
          <w:iCs/>
          <w:u w:val="single"/>
        </w:rPr>
      </w:pPr>
      <w:r w:rsidRPr="002C4D9A">
        <w:rPr>
          <w:rFonts w:ascii="Times New Roman" w:eastAsia="Times New Roman" w:hAnsi="Times New Roman" w:cs="Times New Roman"/>
          <w:b/>
          <w:bCs/>
          <w:iCs/>
          <w:u w:val="single"/>
        </w:rPr>
        <w:t>SAŽETAK KARAKTERISTIKA LIJEKA</w:t>
      </w:r>
    </w:p>
    <w:p w:rsidR="002C4D9A" w:rsidRPr="002C4D9A" w:rsidRDefault="002C4D9A" w:rsidP="002C4D9A">
      <w:pPr>
        <w:spacing w:after="0" w:line="240" w:lineRule="auto"/>
        <w:jc w:val="both"/>
        <w:rPr>
          <w:rFonts w:ascii="Times New Roman" w:eastAsia="Times New Roman" w:hAnsi="Times New Roman" w:cs="Times New Roman"/>
          <w:b/>
          <w:bCs/>
          <w:i/>
          <w:iCs/>
          <w:u w:val="single"/>
        </w:rPr>
      </w:pPr>
    </w:p>
    <w:p w:rsidR="002C4D9A" w:rsidRPr="002C4D9A" w:rsidRDefault="002C4D9A" w:rsidP="002C4D9A">
      <w:pPr>
        <w:spacing w:after="0" w:line="240" w:lineRule="auto"/>
        <w:jc w:val="both"/>
        <w:rPr>
          <w:rFonts w:ascii="Times New Roman" w:eastAsia="Times New Roman" w:hAnsi="Times New Roman" w:cs="Times New Roman"/>
          <w:lang w:val="sr-Latn-CS"/>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bCs/>
        </w:rPr>
      </w:pPr>
      <w:r w:rsidRPr="002C4D9A">
        <w:rPr>
          <w:rFonts w:ascii="Times New Roman" w:eastAsia="Times New Roman" w:hAnsi="Times New Roman" w:cs="Times New Roman"/>
          <w:b/>
          <w:bCs/>
        </w:rPr>
        <w:t>1.</w:t>
      </w:r>
      <w:r w:rsidRPr="002C4D9A">
        <w:rPr>
          <w:rFonts w:ascii="Times New Roman" w:eastAsia="Times New Roman" w:hAnsi="Times New Roman" w:cs="Times New Roman"/>
          <w:b/>
          <w:bCs/>
        </w:rPr>
        <w:tab/>
        <w:t>NAZIV LIJEKA</w:t>
      </w:r>
    </w:p>
    <w:p w:rsidR="002C4D9A" w:rsidRPr="002C4D9A" w:rsidRDefault="002C4D9A" w:rsidP="002C4D9A">
      <w:pPr>
        <w:spacing w:after="0" w:line="240" w:lineRule="auto"/>
        <w:jc w:val="both"/>
        <w:rPr>
          <w:rFonts w:ascii="Times New Roman" w:eastAsia="Times New Roman" w:hAnsi="Times New Roman" w:cs="Times New Roman"/>
          <w:lang w:val="pl-PL"/>
        </w:rPr>
      </w:pPr>
    </w:p>
    <w:p w:rsidR="002C4D9A" w:rsidRPr="002C4D9A" w:rsidRDefault="002C4D9A" w:rsidP="002C4D9A">
      <w:pPr>
        <w:spacing w:after="0" w:line="240" w:lineRule="auto"/>
        <w:jc w:val="both"/>
        <w:rPr>
          <w:rFonts w:ascii="Times New Roman" w:eastAsia="Times New Roman" w:hAnsi="Times New Roman" w:cs="Times New Roman"/>
          <w:i/>
          <w:iCs/>
        </w:rPr>
      </w:pPr>
      <w:r w:rsidRPr="002C4D9A">
        <w:rPr>
          <w:rFonts w:ascii="Times New Roman" w:eastAsia="Times New Roman" w:hAnsi="Times New Roman" w:cs="Times New Roman"/>
          <w:iCs/>
          <w:lang w:val="bs-Latn-BA"/>
        </w:rPr>
        <w:t>Verion</w:t>
      </w:r>
      <w:r w:rsidRPr="002C4D9A">
        <w:rPr>
          <w:rFonts w:ascii="Times New Roman" w:eastAsia="Times New Roman" w:hAnsi="Times New Roman" w:cs="Times New Roman"/>
          <w:iCs/>
          <w:vertAlign w:val="superscript"/>
          <w:lang w:val="bs-Latn-BA"/>
        </w:rPr>
        <w:t>®</w:t>
      </w:r>
      <w:r w:rsidRPr="002C4D9A">
        <w:rPr>
          <w:rFonts w:ascii="Times New Roman" w:eastAsia="Times New Roman" w:hAnsi="Times New Roman" w:cs="Times New Roman"/>
          <w:iCs/>
          <w:lang w:val="bs-Latn-BA"/>
        </w:rPr>
        <w:t xml:space="preserve"> 0,5 mg kapsula, meka</w:t>
      </w:r>
    </w:p>
    <w:p w:rsidR="002C4D9A" w:rsidRPr="002C4D9A" w:rsidRDefault="002C4D9A" w:rsidP="002C4D9A">
      <w:pPr>
        <w:spacing w:after="0" w:line="240" w:lineRule="auto"/>
        <w:jc w:val="both"/>
        <w:rPr>
          <w:rFonts w:ascii="Times New Roman" w:eastAsia="Times New Roman" w:hAnsi="Times New Roman" w:cs="Times New Roman"/>
          <w:bCs/>
          <w:lang w:val="sv-SE"/>
        </w:rPr>
      </w:pPr>
    </w:p>
    <w:p w:rsidR="002C4D9A" w:rsidRPr="002C4D9A" w:rsidRDefault="002C4D9A" w:rsidP="002C4D9A">
      <w:pPr>
        <w:spacing w:after="0" w:line="240" w:lineRule="auto"/>
        <w:jc w:val="both"/>
        <w:rPr>
          <w:rFonts w:ascii="Times New Roman" w:eastAsia="Times New Roman" w:hAnsi="Times New Roman" w:cs="Times New Roman"/>
          <w:lang w:val="sr-Latn-CS"/>
        </w:rPr>
      </w:pPr>
      <w:r w:rsidRPr="002C4D9A">
        <w:rPr>
          <w:rFonts w:ascii="Times New Roman" w:eastAsia="Times New Roman" w:hAnsi="Times New Roman" w:cs="Times New Roman"/>
          <w:lang w:val="sv-SE"/>
        </w:rPr>
        <w:t>INN: dutasterid</w:t>
      </w:r>
    </w:p>
    <w:p w:rsidR="002C4D9A" w:rsidRDefault="002C4D9A" w:rsidP="002C4D9A">
      <w:pPr>
        <w:spacing w:after="0" w:line="240" w:lineRule="auto"/>
        <w:jc w:val="both"/>
        <w:rPr>
          <w:rFonts w:ascii="Times New Roman" w:eastAsia="Times New Roman" w:hAnsi="Times New Roman" w:cs="Times New Roman"/>
          <w:bCs/>
          <w:lang w:val="sv-SE"/>
        </w:rPr>
      </w:pPr>
    </w:p>
    <w:p w:rsidR="002C4D9A" w:rsidRPr="002C4D9A" w:rsidRDefault="002C4D9A" w:rsidP="002C4D9A">
      <w:pPr>
        <w:spacing w:after="0" w:line="240" w:lineRule="auto"/>
        <w:jc w:val="both"/>
        <w:rPr>
          <w:rFonts w:ascii="Times New Roman" w:eastAsia="Times New Roman" w:hAnsi="Times New Roman" w:cs="Times New Roman"/>
          <w:bCs/>
          <w:lang w:val="sv-SE"/>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bCs/>
        </w:rPr>
      </w:pPr>
      <w:r w:rsidRPr="002C4D9A">
        <w:rPr>
          <w:rFonts w:ascii="Times New Roman" w:eastAsia="Times New Roman" w:hAnsi="Times New Roman" w:cs="Times New Roman"/>
          <w:b/>
          <w:bCs/>
        </w:rPr>
        <w:t xml:space="preserve">2. </w:t>
      </w:r>
      <w:r w:rsidRPr="002C4D9A">
        <w:rPr>
          <w:rFonts w:ascii="Times New Roman" w:eastAsia="Times New Roman" w:hAnsi="Times New Roman" w:cs="Times New Roman"/>
          <w:b/>
          <w:bCs/>
        </w:rPr>
        <w:tab/>
        <w:t>KVALITATIVNI I KVANTITATIVNI SASTAV</w:t>
      </w:r>
    </w:p>
    <w:p w:rsidR="002C4D9A" w:rsidRPr="002C4D9A" w:rsidRDefault="002C4D9A" w:rsidP="002C4D9A">
      <w:pPr>
        <w:spacing w:after="0" w:line="240" w:lineRule="auto"/>
        <w:jc w:val="both"/>
        <w:rPr>
          <w:rFonts w:ascii="Times New Roman" w:eastAsia="Times New Roman" w:hAnsi="Times New Roman" w:cs="Times New Roman"/>
          <w:lang w:val="sr-Latn-CS"/>
        </w:rPr>
      </w:pPr>
    </w:p>
    <w:p w:rsidR="002C4D9A" w:rsidRPr="002C4D9A" w:rsidRDefault="002C4D9A" w:rsidP="002C4D9A">
      <w:pPr>
        <w:spacing w:after="0" w:line="240" w:lineRule="auto"/>
        <w:jc w:val="both"/>
        <w:rPr>
          <w:rFonts w:ascii="Times New Roman" w:eastAsia="Times New Roman" w:hAnsi="Times New Roman" w:cs="Times New Roman"/>
          <w:lang w:val="bs-Latn-BA"/>
        </w:rPr>
      </w:pPr>
      <w:r w:rsidRPr="002C4D9A">
        <w:rPr>
          <w:rFonts w:ascii="Times New Roman" w:eastAsia="Times New Roman" w:hAnsi="Times New Roman" w:cs="Times New Roman"/>
          <w:lang w:val="bs-Latn-BA"/>
        </w:rPr>
        <w:t>Jedna Verion kapsula, meka sadrži:</w:t>
      </w:r>
    </w:p>
    <w:p w:rsidR="002C4D9A" w:rsidRPr="002C4D9A" w:rsidRDefault="002C4D9A" w:rsidP="002C4D9A">
      <w:pPr>
        <w:spacing w:after="0" w:line="240" w:lineRule="auto"/>
        <w:jc w:val="both"/>
        <w:rPr>
          <w:rFonts w:ascii="Times New Roman" w:eastAsia="Times New Roman" w:hAnsi="Times New Roman" w:cs="Times New Roman"/>
          <w:lang w:val="bs-Latn-BA"/>
        </w:rPr>
      </w:pPr>
      <w:r w:rsidRPr="002C4D9A">
        <w:rPr>
          <w:rFonts w:ascii="Times New Roman" w:eastAsia="Times New Roman" w:hAnsi="Times New Roman" w:cs="Times New Roman"/>
          <w:lang w:val="bs-Latn-BA"/>
        </w:rPr>
        <w:t>Dutasterid      0,5 mg</w:t>
      </w:r>
    </w:p>
    <w:p w:rsidR="002C4D9A" w:rsidRPr="002C4D9A" w:rsidRDefault="002C4D9A" w:rsidP="002C4D9A">
      <w:pPr>
        <w:spacing w:after="0" w:line="240" w:lineRule="auto"/>
        <w:jc w:val="both"/>
        <w:rPr>
          <w:rFonts w:ascii="Times New Roman" w:eastAsia="Times New Roman" w:hAnsi="Times New Roman" w:cs="Times New Roman"/>
          <w:lang w:val="hr-HR"/>
        </w:rPr>
      </w:pPr>
    </w:p>
    <w:p w:rsidR="002C4D9A" w:rsidRPr="002C4D9A" w:rsidRDefault="002C4D9A" w:rsidP="002C4D9A">
      <w:pPr>
        <w:spacing w:after="0" w:line="240" w:lineRule="auto"/>
        <w:jc w:val="both"/>
        <w:rPr>
          <w:rFonts w:ascii="Times New Roman" w:eastAsia="Times New Roman" w:hAnsi="Times New Roman" w:cs="Times New Roman"/>
          <w:lang w:val="hr-HR"/>
        </w:rPr>
      </w:pPr>
      <w:r w:rsidRPr="002C4D9A">
        <w:rPr>
          <w:rFonts w:ascii="Times New Roman" w:eastAsia="Times New Roman" w:hAnsi="Times New Roman" w:cs="Times New Roman"/>
          <w:lang w:val="hr-HR"/>
        </w:rPr>
        <w:t>Pomoćne supstance sa potvrđenim dejstvom:</w:t>
      </w:r>
    </w:p>
    <w:p w:rsidR="002C4D9A" w:rsidRPr="002C4D9A" w:rsidRDefault="002C4D9A" w:rsidP="002C4D9A">
      <w:pPr>
        <w:spacing w:after="0" w:line="240" w:lineRule="auto"/>
        <w:jc w:val="both"/>
        <w:rPr>
          <w:rFonts w:ascii="Times New Roman" w:eastAsia="Times New Roman" w:hAnsi="Times New Roman" w:cs="Times New Roman"/>
          <w:lang w:val="sr-Latn-CS"/>
        </w:rPr>
      </w:pPr>
      <w:r w:rsidRPr="002C4D9A">
        <w:rPr>
          <w:rFonts w:ascii="Times New Roman" w:eastAsia="Times New Roman" w:hAnsi="Times New Roman" w:cs="Times New Roman"/>
        </w:rPr>
        <w:t>lecitin (soja) (E322)</w:t>
      </w:r>
      <w:r w:rsidRPr="002C4D9A">
        <w:rPr>
          <w:rFonts w:ascii="Times New Roman" w:eastAsia="Times New Roman" w:hAnsi="Times New Roman" w:cs="Times New Roman"/>
          <w:lang w:val="hr-HR"/>
        </w:rPr>
        <w:t>.</w:t>
      </w:r>
    </w:p>
    <w:p w:rsidR="002C4D9A" w:rsidRPr="002C4D9A" w:rsidRDefault="002C4D9A" w:rsidP="002C4D9A">
      <w:pPr>
        <w:spacing w:after="0" w:line="240" w:lineRule="auto"/>
        <w:jc w:val="both"/>
        <w:rPr>
          <w:rFonts w:ascii="Times New Roman" w:eastAsia="Times New Roman" w:hAnsi="Times New Roman" w:cs="Times New Roman"/>
          <w:lang w:val="sr-Latn-CS"/>
        </w:rPr>
      </w:pPr>
    </w:p>
    <w:p w:rsidR="002C4D9A" w:rsidRPr="002C4D9A" w:rsidRDefault="002C4D9A" w:rsidP="002C4D9A">
      <w:pPr>
        <w:spacing w:after="0" w:line="240" w:lineRule="auto"/>
        <w:jc w:val="both"/>
        <w:rPr>
          <w:rFonts w:ascii="Times New Roman" w:eastAsia="Times New Roman" w:hAnsi="Times New Roman" w:cs="Times New Roman"/>
          <w:lang w:val="sr-Latn-CS"/>
        </w:rPr>
      </w:pPr>
      <w:r w:rsidRPr="002C4D9A">
        <w:rPr>
          <w:rFonts w:ascii="Times New Roman" w:eastAsia="Times New Roman" w:hAnsi="Times New Roman" w:cs="Times New Roman"/>
          <w:lang w:val="sr-Latn-CS"/>
        </w:rPr>
        <w:t>Za spisak svih ekscipijenasa, pogledati dio 6.1.</w:t>
      </w:r>
    </w:p>
    <w:p w:rsidR="002C4D9A" w:rsidRDefault="002C4D9A" w:rsidP="002C4D9A">
      <w:pPr>
        <w:spacing w:after="0" w:line="240" w:lineRule="auto"/>
        <w:jc w:val="both"/>
        <w:rPr>
          <w:rFonts w:ascii="Times New Roman" w:eastAsia="Times New Roman" w:hAnsi="Times New Roman" w:cs="Times New Roman"/>
          <w:lang w:val="sr-Latn-CS"/>
        </w:rPr>
      </w:pPr>
    </w:p>
    <w:p w:rsidR="002C4D9A" w:rsidRPr="002C4D9A" w:rsidRDefault="002C4D9A" w:rsidP="002C4D9A">
      <w:pPr>
        <w:spacing w:after="0" w:line="240" w:lineRule="auto"/>
        <w:jc w:val="both"/>
        <w:rPr>
          <w:rFonts w:ascii="Times New Roman" w:eastAsia="Times New Roman" w:hAnsi="Times New Roman" w:cs="Times New Roman"/>
          <w:lang w:val="sr-Latn-CS"/>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bCs/>
        </w:rPr>
      </w:pPr>
      <w:r w:rsidRPr="002C4D9A">
        <w:rPr>
          <w:rFonts w:ascii="Times New Roman" w:eastAsia="Times New Roman" w:hAnsi="Times New Roman" w:cs="Times New Roman"/>
          <w:b/>
          <w:bCs/>
        </w:rPr>
        <w:t xml:space="preserve">3. </w:t>
      </w:r>
      <w:r w:rsidRPr="002C4D9A">
        <w:rPr>
          <w:rFonts w:ascii="Times New Roman" w:eastAsia="Times New Roman" w:hAnsi="Times New Roman" w:cs="Times New Roman"/>
          <w:b/>
          <w:bCs/>
        </w:rPr>
        <w:tab/>
        <w:t xml:space="preserve">FARMACEUTSKI OBLIK </w:t>
      </w:r>
    </w:p>
    <w:p w:rsidR="002C4D9A" w:rsidRPr="002C4D9A" w:rsidRDefault="002C4D9A" w:rsidP="002C4D9A">
      <w:pPr>
        <w:spacing w:after="0" w:line="240" w:lineRule="auto"/>
        <w:jc w:val="both"/>
        <w:rPr>
          <w:rFonts w:ascii="Times New Roman" w:eastAsia="Times New Roman" w:hAnsi="Times New Roman" w:cs="Times New Roman"/>
          <w:bCs/>
          <w:lang w:val="sr-Latn-CS"/>
        </w:rPr>
      </w:pPr>
    </w:p>
    <w:p w:rsidR="002C4D9A" w:rsidRDefault="002C4D9A" w:rsidP="002C4D9A">
      <w:pPr>
        <w:spacing w:after="0" w:line="240" w:lineRule="auto"/>
        <w:jc w:val="both"/>
        <w:rPr>
          <w:rFonts w:ascii="Times New Roman" w:eastAsia="Times New Roman" w:hAnsi="Times New Roman" w:cs="Times New Roman"/>
          <w:bCs/>
          <w:lang w:val="bs-Latn-BA"/>
        </w:rPr>
      </w:pPr>
      <w:r w:rsidRPr="002C4D9A">
        <w:rPr>
          <w:rFonts w:ascii="Times New Roman" w:eastAsia="Times New Roman" w:hAnsi="Times New Roman" w:cs="Times New Roman"/>
          <w:bCs/>
          <w:lang w:val="bs-Latn-BA"/>
        </w:rPr>
        <w:t>Kapsula, meka.</w:t>
      </w:r>
    </w:p>
    <w:p w:rsidR="002C4D9A" w:rsidRPr="002C4D9A" w:rsidRDefault="002C4D9A" w:rsidP="002C4D9A">
      <w:pPr>
        <w:spacing w:after="0" w:line="240" w:lineRule="auto"/>
        <w:jc w:val="both"/>
        <w:rPr>
          <w:rFonts w:ascii="Times New Roman" w:eastAsia="Times New Roman" w:hAnsi="Times New Roman" w:cs="Times New Roman"/>
          <w:bCs/>
          <w:lang w:val="bs-Latn-BA"/>
        </w:rPr>
      </w:pPr>
    </w:p>
    <w:p w:rsidR="002C4D9A" w:rsidRPr="002C4D9A" w:rsidRDefault="002C4D9A" w:rsidP="002C4D9A">
      <w:pPr>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bs-Latn-BA"/>
        </w:rPr>
        <w:t>Duguljasta, meka želatinska kapsula (dimenzije približno 16,5 x 6,5 mm), svijetlo žute boje, punjena prozirnim tečnim sadržajem.</w:t>
      </w:r>
    </w:p>
    <w:p w:rsidR="002C4D9A" w:rsidRDefault="002C4D9A" w:rsidP="002C4D9A">
      <w:pPr>
        <w:spacing w:after="0" w:line="240" w:lineRule="auto"/>
        <w:jc w:val="both"/>
        <w:rPr>
          <w:rFonts w:ascii="Times New Roman" w:eastAsia="Times New Roman" w:hAnsi="Times New Roman" w:cs="Times New Roman"/>
          <w:bCs/>
          <w:lang w:val="sr-Latn-CS"/>
        </w:rPr>
      </w:pPr>
    </w:p>
    <w:p w:rsidR="002C4D9A" w:rsidRPr="002C4D9A" w:rsidRDefault="002C4D9A" w:rsidP="002C4D9A">
      <w:pPr>
        <w:spacing w:after="0" w:line="240" w:lineRule="auto"/>
        <w:jc w:val="both"/>
        <w:rPr>
          <w:rFonts w:ascii="Times New Roman" w:eastAsia="Times New Roman" w:hAnsi="Times New Roman" w:cs="Times New Roman"/>
          <w:bCs/>
          <w:lang w:val="sr-Latn-CS"/>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bCs/>
        </w:rPr>
      </w:pPr>
      <w:r w:rsidRPr="002C4D9A">
        <w:rPr>
          <w:rFonts w:ascii="Times New Roman" w:eastAsia="Times New Roman" w:hAnsi="Times New Roman" w:cs="Times New Roman"/>
          <w:b/>
          <w:bCs/>
        </w:rPr>
        <w:t xml:space="preserve">4. </w:t>
      </w:r>
      <w:r w:rsidRPr="002C4D9A">
        <w:rPr>
          <w:rFonts w:ascii="Times New Roman" w:eastAsia="Times New Roman" w:hAnsi="Times New Roman" w:cs="Times New Roman"/>
          <w:b/>
          <w:bCs/>
        </w:rPr>
        <w:tab/>
        <w:t>KLINIČKI PODACI</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bCs/>
        </w:rPr>
      </w:pPr>
      <w:r w:rsidRPr="002C4D9A">
        <w:rPr>
          <w:rFonts w:ascii="Times New Roman" w:eastAsia="Times New Roman" w:hAnsi="Times New Roman" w:cs="Times New Roman"/>
          <w:b/>
          <w:bCs/>
        </w:rPr>
        <w:t xml:space="preserve">4.1. </w:t>
      </w:r>
      <w:r w:rsidRPr="002C4D9A">
        <w:rPr>
          <w:rFonts w:ascii="Times New Roman" w:eastAsia="Times New Roman" w:hAnsi="Times New Roman" w:cs="Times New Roman"/>
          <w:b/>
          <w:bCs/>
        </w:rPr>
        <w:tab/>
        <w:t>Terapijske indikacije</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Liječenje umjerenih do teških simptoma benigne hiperplazije prostate (BHP).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Smanjenje rizika od nastupa akutne urinarne retencije (AUR) i hirurškog zahvata kod pacijenata s umjerenim do teškim simptomima BHP.</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Za više informacija o efektima liječenja i populaciji pacijenata u kliničkim ispitivanjima, vidjeti dio 5.1.</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bCs/>
        </w:rPr>
      </w:pPr>
      <w:r w:rsidRPr="002C4D9A">
        <w:rPr>
          <w:rFonts w:ascii="Times New Roman" w:eastAsia="Times New Roman" w:hAnsi="Times New Roman" w:cs="Times New Roman"/>
          <w:b/>
          <w:bCs/>
        </w:rPr>
        <w:t xml:space="preserve">4.2. </w:t>
      </w:r>
      <w:r w:rsidRPr="002C4D9A">
        <w:rPr>
          <w:rFonts w:ascii="Times New Roman" w:eastAsia="Times New Roman" w:hAnsi="Times New Roman" w:cs="Times New Roman"/>
          <w:b/>
          <w:bCs/>
        </w:rPr>
        <w:tab/>
        <w:t>Doziranje i način primjene</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u w:val="single"/>
          <w:lang w:val="hr-HR"/>
        </w:rPr>
      </w:pPr>
      <w:r w:rsidRPr="002C4D9A">
        <w:rPr>
          <w:rFonts w:ascii="Times New Roman" w:eastAsia="Times New Roman" w:hAnsi="Times New Roman" w:cs="Times New Roman"/>
          <w:bCs/>
          <w:u w:val="single"/>
          <w:lang w:val="hr-HR"/>
        </w:rPr>
        <w:t>Doziranje</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Dutasterid se primjenjuje kao samostalna terapija ili u kombinaciji s alfa-blokatorom tamsulosinom (0,4 mg) (vidjeti dijelove 4.4., 4.8. i 5.1.).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
          <w:i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i/>
          <w:iCs/>
          <w:lang w:val="hr-HR"/>
        </w:rPr>
        <w:lastRenderedPageBreak/>
        <w:t xml:space="preserve">Doziranje kod odraslih pacijenata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Preporučena doza lijeka Verion je jedna kapsula (0,5 mg) primijenjena oralno jednom na dan.</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Iako se poboljšanje može primijetiti u ranom stadijumu, može proći i do šest mjeseci prije nego se postigne odgovor na liječenje.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
          <w:lang w:val="hr-HR"/>
        </w:rPr>
      </w:pPr>
      <w:r w:rsidRPr="002C4D9A">
        <w:rPr>
          <w:rFonts w:ascii="Times New Roman" w:eastAsia="Times New Roman" w:hAnsi="Times New Roman" w:cs="Times New Roman"/>
          <w:bCs/>
          <w:i/>
          <w:lang w:val="hr-HR"/>
        </w:rPr>
        <w:t>Doziranje kod starijih pacijenata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Kod starijih osoba nije potrebno prilagođavati dozu.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
          <w:lang w:val="bs-Latn-BA"/>
        </w:rPr>
      </w:pPr>
      <w:r w:rsidRPr="002C4D9A">
        <w:rPr>
          <w:rFonts w:ascii="Times New Roman" w:eastAsia="Times New Roman" w:hAnsi="Times New Roman" w:cs="Times New Roman"/>
          <w:bCs/>
          <w:i/>
          <w:lang w:val="hr-HR"/>
        </w:rPr>
        <w:t>Doziranje kod oštećene funkcije bubrega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Efekat oštećenja funkcije bubrega na farmakokinetiku dutasterida nije ispitivan. Ne predviđa se da bi bilo potrebno prilagođavati dozu kod pacijenata s oštećenom funkcijom bubrega (vidjeti dio 5.2.).</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
          <w:lang w:val="hr-HR"/>
        </w:rPr>
      </w:pPr>
      <w:r w:rsidRPr="002C4D9A">
        <w:rPr>
          <w:rFonts w:ascii="Times New Roman" w:eastAsia="Times New Roman" w:hAnsi="Times New Roman" w:cs="Times New Roman"/>
          <w:bCs/>
          <w:i/>
          <w:lang w:val="hr-HR"/>
        </w:rPr>
        <w:t xml:space="preserve">Doziranje kod oštećene funkcije jetre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Efekat oštećenja funkcije jetre na farmakokinetiku dutasterida nije ispitivan, stoga se s oprezom mora primjenjivati kod pacijenata s blagom do umjerenom oštećenom funkcijom jetre (vidjeti dio 4.4. i dio 5.2.). Kod osoba s teško oštećenom funkcijom jetre primjena dutasterida nije preporučena (vidjeti dio 4.3.).</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
          <w:lang w:val="hr-HR"/>
        </w:rPr>
      </w:pPr>
      <w:r w:rsidRPr="002C4D9A">
        <w:rPr>
          <w:rFonts w:ascii="Times New Roman" w:eastAsia="Times New Roman" w:hAnsi="Times New Roman" w:cs="Times New Roman"/>
          <w:bCs/>
          <w:i/>
          <w:lang w:val="hr-HR"/>
        </w:rPr>
        <w:t>Pedijatrijska populacija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Verion nije namijenjen za primjenu kod djece (vidjeti dio 4.3.).</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u w:val="single"/>
          <w:lang w:val="hr-HR"/>
        </w:rPr>
      </w:pPr>
      <w:r w:rsidRPr="002C4D9A">
        <w:rPr>
          <w:rFonts w:ascii="Times New Roman" w:eastAsia="Times New Roman" w:hAnsi="Times New Roman" w:cs="Times New Roman"/>
          <w:bCs/>
          <w:u w:val="single"/>
          <w:lang w:val="hr-HR"/>
        </w:rPr>
        <w:t>Način primjene</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Kapsula se mora progutati cijela i ne smije se žvakati ili otvarati jer kontakt sa sadržajem kapsule može dovesti do iritacije orofaringealne sluznice.</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Kapsula se može uzeti uz hranu ili bez nje.</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bCs/>
        </w:rPr>
      </w:pPr>
      <w:r w:rsidRPr="002C4D9A">
        <w:rPr>
          <w:rFonts w:ascii="Times New Roman" w:eastAsia="Times New Roman" w:hAnsi="Times New Roman" w:cs="Times New Roman"/>
          <w:b/>
          <w:bCs/>
        </w:rPr>
        <w:t xml:space="preserve">4.3. </w:t>
      </w:r>
      <w:r w:rsidRPr="002C4D9A">
        <w:rPr>
          <w:rFonts w:ascii="Times New Roman" w:eastAsia="Times New Roman" w:hAnsi="Times New Roman" w:cs="Times New Roman"/>
          <w:b/>
          <w:bCs/>
        </w:rPr>
        <w:tab/>
        <w:t>Kontraindikacije</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Preosjetljivost na aktivnu supstancu ili neku od pomoćnih supstanci navedenih u dijelu 6.1.</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Verion nije namijenjen:</w:t>
      </w:r>
    </w:p>
    <w:p w:rsidR="002C4D9A" w:rsidRPr="002C4D9A" w:rsidRDefault="002C4D9A" w:rsidP="002C4D9A">
      <w:pPr>
        <w:numPr>
          <w:ilvl w:val="0"/>
          <w:numId w:val="14"/>
        </w:num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za primjenu kod žena, djece i adolescenata (vidjeti dio 4.6);</w:t>
      </w:r>
    </w:p>
    <w:p w:rsidR="002C4D9A" w:rsidRPr="002C4D9A" w:rsidRDefault="002C4D9A" w:rsidP="002C4D9A">
      <w:pPr>
        <w:numPr>
          <w:ilvl w:val="0"/>
          <w:numId w:val="14"/>
        </w:numPr>
        <w:tabs>
          <w:tab w:val="left" w:pos="540"/>
          <w:tab w:val="left" w:pos="569"/>
        </w:tabs>
        <w:spacing w:after="0" w:line="240" w:lineRule="auto"/>
        <w:jc w:val="both"/>
        <w:rPr>
          <w:rFonts w:ascii="Times New Roman" w:eastAsia="Times New Roman" w:hAnsi="Times New Roman" w:cs="Times New Roman"/>
          <w:bCs/>
          <w:lang w:val="en-AU"/>
        </w:rPr>
      </w:pPr>
      <w:r w:rsidRPr="002C4D9A">
        <w:rPr>
          <w:rFonts w:ascii="Times New Roman" w:eastAsia="Times New Roman" w:hAnsi="Times New Roman" w:cs="Times New Roman"/>
          <w:bCs/>
          <w:lang w:val="hr-HR"/>
        </w:rPr>
        <w:t>kod pacijenata preosjetljivih na ostale inhibitore 5-alfa reduktaze;</w:t>
      </w:r>
    </w:p>
    <w:p w:rsidR="002C4D9A" w:rsidRPr="002C4D9A" w:rsidRDefault="002C4D9A" w:rsidP="002C4D9A">
      <w:pPr>
        <w:numPr>
          <w:ilvl w:val="0"/>
          <w:numId w:val="14"/>
        </w:numPr>
        <w:tabs>
          <w:tab w:val="left" w:pos="540"/>
          <w:tab w:val="left" w:pos="569"/>
        </w:tabs>
        <w:spacing w:after="0" w:line="240" w:lineRule="auto"/>
        <w:jc w:val="both"/>
        <w:rPr>
          <w:rFonts w:ascii="Times New Roman" w:eastAsia="Times New Roman" w:hAnsi="Times New Roman" w:cs="Times New Roman"/>
          <w:bCs/>
          <w:lang w:val="en-AU"/>
        </w:rPr>
      </w:pPr>
      <w:r w:rsidRPr="002C4D9A">
        <w:rPr>
          <w:rFonts w:ascii="Times New Roman" w:eastAsia="Times New Roman" w:hAnsi="Times New Roman" w:cs="Times New Roman"/>
          <w:bCs/>
          <w:lang w:val="hr-HR"/>
        </w:rPr>
        <w:t>kod pacijenata s teško oštećenom funkcijom jetre.</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bCs/>
        </w:rPr>
      </w:pPr>
      <w:r w:rsidRPr="002C4D9A">
        <w:rPr>
          <w:rFonts w:ascii="Times New Roman" w:eastAsia="Times New Roman" w:hAnsi="Times New Roman" w:cs="Times New Roman"/>
          <w:b/>
          <w:bCs/>
        </w:rPr>
        <w:t xml:space="preserve">4.4. </w:t>
      </w:r>
      <w:r w:rsidRPr="002C4D9A">
        <w:rPr>
          <w:rFonts w:ascii="Times New Roman" w:eastAsia="Times New Roman" w:hAnsi="Times New Roman" w:cs="Times New Roman"/>
          <w:b/>
          <w:bCs/>
        </w:rPr>
        <w:tab/>
        <w:t>Posebna upozorenja i mjere opreza pri upotrebi lijeka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Kombinovana terapija se propisuje nakon pažljive procjene odnosa koristi i rizika zbog potencijalno povećanog rizika od neželjenih dejstava (uključujući i srčanu slabost), te nakon uzimanja u obzir drugih terapija koje uključuju i primjenu monoterapija (vidjeti dio 4.2.).</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i/>
          <w:iCs/>
          <w:lang w:val="hr-HR"/>
        </w:rPr>
        <w:t>Karcinom prostate i tumori visokog stepena maligniteta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U četvorogodišnjem multicentričnom, randomizovanom, dvostruko slijepom, placebom kontrolisanom REDUCE ispitivanju ispitivala se efikasnost dutasterida 0,5 mg dnevno u odnosu na placebo kod pacijenata s visokim rizikom od razvoja karcinoma prostate (uključujući muškarce u dobi od 50 do 75 godina kojima su nivoi PSA bili od 2,5 do 10 ng/ml i kod kojih je biopsija prostate bila negativna 6 mjeseci prije uključivanja u ispitivanje). Rezultati tog ispitivanja otkrili su višu incidencu karcinoma prostate Gleason skora 8-10 u grupi muškaraca liječenih dutasteridom (n=29; 0,9%) u poređenju sa grupom koja je primala placebo (n=19; 0,6%). </w:t>
      </w:r>
      <w:r w:rsidRPr="002C4D9A">
        <w:rPr>
          <w:rFonts w:ascii="Times New Roman" w:eastAsia="Times New Roman" w:hAnsi="Times New Roman" w:cs="Times New Roman"/>
          <w:bCs/>
          <w:lang w:val="hr-HR"/>
        </w:rPr>
        <w:lastRenderedPageBreak/>
        <w:t xml:space="preserve">Odnos između dutasterida i karcinoma prostate Gleason skora 8-10 nije jasan. Stoga se muškarci koji uzimaju Verion moraju redovno pregledati radi procjene rizika razvoja karcinoma prostate (vidjeti dio 5.1).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i/>
          <w:iCs/>
          <w:lang w:val="hr-HR"/>
        </w:rPr>
        <w:t>Prostata specifični antigen (PSA)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Koncentracija PSA (prostata specifični antigen) u serumu važna je komponenta u otkrivanju karcinoma prostate. Verion uzrokuje smanjenje prosječne koncentracije PSA u serumu za oko 50% nakon 6 mjeseci liječenja.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Kod pacijenata koji primaju Verion mora se ustanoviti nova početna vrijednost PSA nakon 6 mjeseci liječenja lijekom Verion. Nakon toga, preporučuje se da se redovno prate vrijednosti PSA. Svaki potvrđeni porast PSA od najniže zabilježene vrijednosti, a dok je pacijent na lijeku Verion, može ukazati na prisustvo karcinoma prostate ili na nesaradnju pacijenta na terapiji lijekom Verion, i  mora se pažljivo procijeniti čak i ako su te vrijednosti još uvijek unutar normalnog raspona vrijednosti za muškarce koji ne uzimaju inhibitore 5-alfa reduktaze (vidjeti dio 5.1). Prilikom interpretacije PSA vrijednosti kod pacijenta koji uzima Verion, nove vrijednosti se moraju uporediti s prethodnim vrijednostima PSA koje su takođe dobijene dok je pacijent bio na lijeku Verion.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Nakon što je utvrđena nova početna vrijednost, liječenje lijekom Verion ne utiče na upotrebu PSA kao testa koji može pomoći u dijagnostikovanju karcinoma prostate.</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Ukupni nivoi PSA u serumu se vraćaju na početne vrijednosti unutar 6 mjeseci nakon prestanka liječenja. Odnos  slobodnog i ukupnog PSA ostaje konstantan čak i pod uticajem lijeka Verion. Ako ljekar izabere postotak slobodnog PSA kao pomoćni parametar u otkrivanju karcinoma prostate kod pacijenata koji se liječe lijekom Verion, prilagođavanje njegovih vrijednosti se ne čini potrebnim.</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Prije započinjanja liječenja lijekom Verion, i periodično nakon toga, potrebno je kod pacijenata učiniti digitorektalni pregled kao i ostale pretrage za otkrivanje karcinoma prostate.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
          <w:lang w:val="hr-HR"/>
        </w:rPr>
      </w:pPr>
      <w:r w:rsidRPr="002C4D9A">
        <w:rPr>
          <w:rFonts w:ascii="Times New Roman" w:eastAsia="Times New Roman" w:hAnsi="Times New Roman" w:cs="Times New Roman"/>
          <w:bCs/>
          <w:i/>
          <w:lang w:val="hr-HR"/>
        </w:rPr>
        <w:t>Kardiovaskularni neželjeni događaji</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U dva klinička ispitivanja u trajanju od 4 godine, incidenca srčane insuficijencije (zajednički naziv za prijavljene događaje, prvenstveno srčanu insuficijenciju i kongestivnu srčanu insuficijenciju) bila je granično viša kod ispitanika koji su uzimali kombinaciju lijeka dutasterida i alfa blokatora, prvenstveno tamsulosina, u odnosu na ispitanike koji nijesu uzimali takvu kombinaciju lijekova. Međutim, incidenca srčane insuficijencije u navedenim ispitivanjima je bila niža u svim aktivno tretiranim grupama u poređenju s placebom, a drugi dostupni podaci za dutasterid i alfa blokatore ne podupiru zaključak o povećanom riziku od kardiovaskularnih bolesti (vidjeti dio 5.1.).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i/>
          <w:iCs/>
          <w:lang w:val="hr-HR"/>
        </w:rPr>
        <w:t xml:space="preserve">Neoplazija dojke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Rijetko su zabilježene prijave karcinoma dojke kod muškaraca koji su uzimali dutasterid u kliničkim ispitivanjima, kao i nakon stavljanja lijeka u promet. Međutim, epidemiološka ispitivanja nijesu pokazala povećanje rizika za razvoj karcinoma dojke kod muškaraca prilikom primjene inhibitora 5-alfa reduktaze (vidjeti dio 5.1.). Ljekari moraju uputiti svoje pacijente da smjesta prijave svaku promjenu u tkivu dojke, poput kvržica ili iscjetka iz bradavice.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Default="002C4D9A" w:rsidP="002C4D9A">
      <w:pPr>
        <w:tabs>
          <w:tab w:val="left" w:pos="540"/>
          <w:tab w:val="left" w:pos="569"/>
        </w:tabs>
        <w:spacing w:after="0" w:line="240" w:lineRule="auto"/>
        <w:jc w:val="both"/>
        <w:rPr>
          <w:rFonts w:ascii="Times New Roman" w:eastAsia="Times New Roman" w:hAnsi="Times New Roman" w:cs="Times New Roman"/>
          <w:bCs/>
          <w:i/>
          <w:iCs/>
          <w:lang w:val="hr-HR"/>
        </w:rPr>
      </w:pPr>
    </w:p>
    <w:p w:rsidR="002C4D9A" w:rsidRDefault="002C4D9A" w:rsidP="002C4D9A">
      <w:pPr>
        <w:tabs>
          <w:tab w:val="left" w:pos="540"/>
          <w:tab w:val="left" w:pos="569"/>
        </w:tabs>
        <w:spacing w:after="0" w:line="240" w:lineRule="auto"/>
        <w:jc w:val="both"/>
        <w:rPr>
          <w:rFonts w:ascii="Times New Roman" w:eastAsia="Times New Roman" w:hAnsi="Times New Roman" w:cs="Times New Roman"/>
          <w:bCs/>
          <w:i/>
          <w:iCs/>
          <w:lang w:val="hr-HR"/>
        </w:rPr>
      </w:pPr>
    </w:p>
    <w:p w:rsidR="002C4D9A" w:rsidRDefault="002C4D9A" w:rsidP="002C4D9A">
      <w:pPr>
        <w:tabs>
          <w:tab w:val="left" w:pos="540"/>
          <w:tab w:val="left" w:pos="569"/>
        </w:tabs>
        <w:spacing w:after="0" w:line="240" w:lineRule="auto"/>
        <w:jc w:val="both"/>
        <w:rPr>
          <w:rFonts w:ascii="Times New Roman" w:eastAsia="Times New Roman" w:hAnsi="Times New Roman" w:cs="Times New Roman"/>
          <w:bCs/>
          <w:i/>
          <w:i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i/>
          <w:iCs/>
          <w:lang w:val="hr-HR"/>
        </w:rPr>
        <w:lastRenderedPageBreak/>
        <w:t xml:space="preserve">Oštećenja kapsule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Dutasterid se apsorbuje kroz kožu, stoga žene, djeca i adolescenti moraju izbjegavati kontakt s oštećenim kapsulama (vidjeti dio 4.6.). Ako je došlo do kontakta s oštećenom kapsulom, područje kontakta se mora odmah isprati sapunom i vodom.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i/>
          <w:iCs/>
          <w:lang w:val="hr-HR"/>
        </w:rPr>
        <w:t>Oštećenje funkcije jetre</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Dutasterid nije ispitivan kod pacijenata s bolestima jetre. Dutasterid se mora primjenjivati s oprezom kod pacijenata s blago do umjereno oštećenom funkcijom jetre (vidjeti dio 4.2, 4.3 i 5.2).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bCs/>
        </w:rPr>
      </w:pPr>
      <w:r w:rsidRPr="002C4D9A">
        <w:rPr>
          <w:rFonts w:ascii="Times New Roman" w:eastAsia="Times New Roman" w:hAnsi="Times New Roman" w:cs="Times New Roman"/>
          <w:b/>
          <w:bCs/>
        </w:rPr>
        <w:t>4.5.</w:t>
      </w:r>
      <w:r w:rsidRPr="002C4D9A">
        <w:rPr>
          <w:rFonts w:ascii="Times New Roman" w:eastAsia="Times New Roman" w:hAnsi="Times New Roman" w:cs="Times New Roman"/>
          <w:b/>
          <w:bCs/>
        </w:rPr>
        <w:tab/>
        <w:t>Interakcije sa drugim ljekovima i druge vrste interakcija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Za informacije o smanjenju koncentracije PSA u serumu tokom liječenja dutasteridom i smjernicama o otkrivanju karcinoma prostate vidjeti dio 4.4.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i/>
          <w:iCs/>
          <w:lang w:val="hr-HR"/>
        </w:rPr>
        <w:t xml:space="preserve">Uticaj drugih ljekova na farmakokinetiku dutasterida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
          <w:i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i/>
          <w:iCs/>
          <w:lang w:val="hr-HR"/>
        </w:rPr>
        <w:t xml:space="preserve">Istovremena primjena s inhibitorima CYP3A4 i/ili inhibitorima P-glikoproteina: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Dutasterid se većim dijelom eliminiše putem metabolizma. Ispitivanja </w:t>
      </w:r>
      <w:r w:rsidRPr="002C4D9A">
        <w:rPr>
          <w:rFonts w:ascii="Times New Roman" w:eastAsia="Times New Roman" w:hAnsi="Times New Roman" w:cs="Times New Roman"/>
          <w:bCs/>
          <w:i/>
          <w:iCs/>
          <w:lang w:val="hr-HR"/>
        </w:rPr>
        <w:t xml:space="preserve">in vitro </w:t>
      </w:r>
      <w:r w:rsidRPr="002C4D9A">
        <w:rPr>
          <w:rFonts w:ascii="Times New Roman" w:eastAsia="Times New Roman" w:hAnsi="Times New Roman" w:cs="Times New Roman"/>
          <w:bCs/>
          <w:lang w:val="hr-HR"/>
        </w:rPr>
        <w:t xml:space="preserve">pokazuju da se taj metabolizam katališe pomoću CYP3A4 i CYP3A5. Nijesu sprovedena formalna ispitivanja interakcije s potentnim inhibitorima CYP3A4.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Međutim, u farmakokinetičkim ispitivanjima populacije, koncentracije dutasterida u serumu bile su prosječno 1,6 odnosno 1,8 puta veće kod malog broja pacijenata koji su istovremeno liječeni verapamilom, odnosno diltiazemom (umjereni inhibitori CYP3A4 i inhibitori P-glikoproteina), nego kod ostalih pacijenata.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Dugotrajna primjena kombinacije dutasterida s ljekovima koji su potentni inhibitori CYP3A4 enzima (npr. ritonavir, indinavir, nefazodon, itrakonazol, ketokonazol primijenjen oralno) može povisiti koncentraciju dutasterida u serumu. Dalja inhibicija 5-alfa reduktaze kod povećane izloženosti dutasteridu nije vjerovatna. Međutim, može se razmotriti smanjenje učestalosti doziranja dutasterida ukoliko dođe do neželjenih dejstava.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Mora se naglasiti da se u slučaju inhibicije enzima dugo poluvrijeme eliminacije može još produžiti i  može biti potrebno više od 6 mjeseci istovremene terapije prije nego se postigne novo stanje dinamičke ravnoteže.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Primjena 12 g holestiramina jedan sat poslije jedne doze od 5 mg dutasterida nije uticala na farmakokinetiku dutasterida.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
          <w:iCs/>
          <w:lang w:val="hr-HR"/>
        </w:rPr>
      </w:pPr>
      <w:r w:rsidRPr="002C4D9A">
        <w:rPr>
          <w:rFonts w:ascii="Times New Roman" w:eastAsia="Times New Roman" w:hAnsi="Times New Roman" w:cs="Times New Roman"/>
          <w:bCs/>
          <w:i/>
          <w:iCs/>
          <w:lang w:val="hr-HR"/>
        </w:rPr>
        <w:t>Uticaj dutasterida na farmakokinetiku drugih ljekova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Dutasterid nema efekta na farmakokinetiku varfarina ili digoksina. Ovo ukazuje da dutasterid ne inhibira/indukuje  CYP2C9 niti transportni P-glikoprotein</w:t>
      </w:r>
      <w:r w:rsidRPr="002C4D9A">
        <w:rPr>
          <w:rFonts w:ascii="Times New Roman" w:eastAsia="Times New Roman" w:hAnsi="Times New Roman" w:cs="Times New Roman"/>
          <w:bCs/>
          <w:i/>
          <w:iCs/>
          <w:lang w:val="hr-HR"/>
        </w:rPr>
        <w:t xml:space="preserve">. </w:t>
      </w:r>
      <w:r w:rsidRPr="002C4D9A">
        <w:rPr>
          <w:rFonts w:ascii="Times New Roman" w:eastAsia="Times New Roman" w:hAnsi="Times New Roman" w:cs="Times New Roman"/>
          <w:bCs/>
          <w:lang w:val="hr-HR"/>
        </w:rPr>
        <w:t xml:space="preserve">Ispitivanja interakcije </w:t>
      </w:r>
      <w:r w:rsidRPr="002C4D9A">
        <w:rPr>
          <w:rFonts w:ascii="Times New Roman" w:eastAsia="Times New Roman" w:hAnsi="Times New Roman" w:cs="Times New Roman"/>
          <w:bCs/>
          <w:i/>
          <w:iCs/>
          <w:lang w:val="hr-HR"/>
        </w:rPr>
        <w:t xml:space="preserve">in vitro </w:t>
      </w:r>
      <w:r w:rsidRPr="002C4D9A">
        <w:rPr>
          <w:rFonts w:ascii="Times New Roman" w:eastAsia="Times New Roman" w:hAnsi="Times New Roman" w:cs="Times New Roman"/>
          <w:bCs/>
          <w:lang w:val="hr-HR"/>
        </w:rPr>
        <w:t xml:space="preserve">pokazuju da dutasterid ne inhibiše enzime CYP1A2, CYP2D6, CYP2C9, CYP2C19 niti CYP3A4.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U dvosedmičnom ispitivanju na malom broju zdravih ispitanika (N=24), dutasterid (0,5 mg dnevno) nije imao efekat na farmakokinetiku tamsulosina ili terazosina. Takođe, nije bilo naznaka farmakodinamičkih interakcija u ovom ispitivanju.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lang w:val="sr-Latn-CS"/>
        </w:rPr>
      </w:pPr>
      <w:r w:rsidRPr="002C4D9A">
        <w:rPr>
          <w:rFonts w:ascii="Times New Roman" w:eastAsia="Times New Roman" w:hAnsi="Times New Roman" w:cs="Times New Roman"/>
          <w:b/>
          <w:bCs/>
          <w:lang w:val="hr-HR"/>
        </w:rPr>
        <w:t xml:space="preserve">4.6. </w:t>
      </w:r>
      <w:r w:rsidRPr="002C4D9A">
        <w:rPr>
          <w:rFonts w:ascii="Times New Roman" w:eastAsia="Times New Roman" w:hAnsi="Times New Roman" w:cs="Times New Roman"/>
          <w:b/>
          <w:bCs/>
          <w:lang w:val="hr-HR"/>
        </w:rPr>
        <w:tab/>
      </w:r>
      <w:r w:rsidRPr="002C4D9A">
        <w:rPr>
          <w:rFonts w:ascii="Times New Roman" w:eastAsia="Times New Roman" w:hAnsi="Times New Roman" w:cs="Times New Roman"/>
          <w:b/>
          <w:lang w:val="sr-Latn-CS"/>
        </w:rPr>
        <w:t>Plodnost, trudnoća i dojenje</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lang w:val="hr-HR"/>
        </w:rPr>
      </w:pPr>
      <w:r w:rsidRPr="002C4D9A">
        <w:rPr>
          <w:rFonts w:ascii="Times New Roman" w:eastAsia="Times New Roman" w:hAnsi="Times New Roman" w:cs="Times New Roman"/>
          <w:lang w:val="hr-HR"/>
        </w:rPr>
        <w:t>Verion nije namijenjen za primjenu kod žena.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i/>
          <w:lang w:val="hr-HR"/>
        </w:rPr>
      </w:pPr>
      <w:r w:rsidRPr="002C4D9A">
        <w:rPr>
          <w:rFonts w:ascii="Times New Roman" w:eastAsia="Times New Roman" w:hAnsi="Times New Roman" w:cs="Times New Roman"/>
          <w:i/>
          <w:lang w:val="hr-HR"/>
        </w:rPr>
        <w:lastRenderedPageBreak/>
        <w:t>Trudnoća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lang w:val="hr-HR"/>
        </w:rPr>
      </w:pPr>
      <w:r w:rsidRPr="002C4D9A">
        <w:rPr>
          <w:rFonts w:ascii="Times New Roman" w:eastAsia="Times New Roman" w:hAnsi="Times New Roman" w:cs="Times New Roman"/>
          <w:lang w:val="hr-HR"/>
        </w:rPr>
        <w:t xml:space="preserve">Dutasterid, kao i ostali inhibitori 5-alfa reduktaze, sprečava pretvaranje testosterona u dihidrotestosteron. Ukoliko se primijeni kod trudnica, može spriječiti razvoj spoljašnjih genitalnih organa muškog fetusa (vidjeti dio 4.4.). Male količine dutasterida nađene su u spermi ispitanika koji su primali dutasterid u dozi od 0,5 mg na dan. Nije poznato može li na muški fetus štetno uticati izloženost majke spermi pacijenta koji se liječi dutasteridom (rizik je najveći tokom prvih 16 sedmica trudnoće).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lang w:val="hr-HR"/>
        </w:rPr>
      </w:pPr>
      <w:r w:rsidRPr="002C4D9A">
        <w:rPr>
          <w:rFonts w:ascii="Times New Roman" w:eastAsia="Times New Roman" w:hAnsi="Times New Roman" w:cs="Times New Roman"/>
          <w:lang w:val="hr-HR"/>
        </w:rPr>
        <w:t xml:space="preserve">Kao i kod primjene svih inhibitora 5-alfa reduktaze, kada je pacijentova partnerka trudna ili bi mogla biti trudna, preporučuje se izbjegavanje izlaganju spermi partnera upotrebom prezervativa.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lang w:val="hr-HR"/>
        </w:rPr>
      </w:pPr>
      <w:r w:rsidRPr="002C4D9A">
        <w:rPr>
          <w:rFonts w:ascii="Times New Roman" w:eastAsia="Times New Roman" w:hAnsi="Times New Roman" w:cs="Times New Roman"/>
          <w:lang w:val="hr-HR"/>
        </w:rPr>
        <w:t xml:space="preserve">Za informacije o pretkliničkim podacima, vidjeti dio 5.3.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i/>
          <w:lang w:val="hr-HR"/>
        </w:rPr>
      </w:pPr>
      <w:r w:rsidRPr="002C4D9A">
        <w:rPr>
          <w:rFonts w:ascii="Times New Roman" w:eastAsia="Times New Roman" w:hAnsi="Times New Roman" w:cs="Times New Roman"/>
          <w:i/>
          <w:lang w:val="hr-HR"/>
        </w:rPr>
        <w:t>Dojenje</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lang w:val="hr-HR"/>
        </w:rPr>
      </w:pPr>
      <w:r w:rsidRPr="002C4D9A">
        <w:rPr>
          <w:rFonts w:ascii="Times New Roman" w:eastAsia="Times New Roman" w:hAnsi="Times New Roman" w:cs="Times New Roman"/>
          <w:lang w:val="hr-HR"/>
        </w:rPr>
        <w:t>Nije poznato da li se dutasterid izlučuje u majčino mlijeko.</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i/>
          <w:lang w:val="hr-HR"/>
        </w:rPr>
      </w:pPr>
      <w:r w:rsidRPr="002C4D9A">
        <w:rPr>
          <w:rFonts w:ascii="Times New Roman" w:eastAsia="Times New Roman" w:hAnsi="Times New Roman" w:cs="Times New Roman"/>
          <w:i/>
          <w:lang w:val="hr-HR"/>
        </w:rPr>
        <w:t>Plodnost</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lang w:val="hr-HR"/>
        </w:rPr>
      </w:pPr>
      <w:r w:rsidRPr="002C4D9A">
        <w:rPr>
          <w:rFonts w:ascii="Times New Roman" w:eastAsia="Times New Roman" w:hAnsi="Times New Roman" w:cs="Times New Roman"/>
          <w:lang w:val="hr-HR"/>
        </w:rPr>
        <w:t xml:space="preserve">Dutasterid utiče na karakteristike sperme (smanjenje broja spermatozoida, volumena sjemena i pokretljivosti spermatozoida) kod zdravih muškaraca (vidjeti dio 5.1). Ne može se isključiti mogućnost smanjene plodnosti kod muškaraca.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bCs/>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bCs/>
        </w:rPr>
      </w:pPr>
      <w:r w:rsidRPr="002C4D9A">
        <w:rPr>
          <w:rFonts w:ascii="Times New Roman" w:eastAsia="Times New Roman" w:hAnsi="Times New Roman" w:cs="Times New Roman"/>
          <w:b/>
          <w:bCs/>
        </w:rPr>
        <w:t xml:space="preserve">4.7. </w:t>
      </w:r>
      <w:r w:rsidRPr="002C4D9A">
        <w:rPr>
          <w:rFonts w:ascii="Times New Roman" w:eastAsia="Times New Roman" w:hAnsi="Times New Roman" w:cs="Times New Roman"/>
          <w:b/>
          <w:bCs/>
        </w:rPr>
        <w:tab/>
        <w:t>Uticaj na sposobnost upravljanja vozilima i rukovanje mašinama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Na osnovu farmakodinamičkih svojstava dutasterida ne očekuje se da bi liječenje dutasteridom uticalo na sposobnost upravljanja vozilima i rada sa mašinama.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bCs/>
        </w:rPr>
      </w:pPr>
      <w:r w:rsidRPr="002C4D9A">
        <w:rPr>
          <w:rFonts w:ascii="Times New Roman" w:eastAsia="Times New Roman" w:hAnsi="Times New Roman" w:cs="Times New Roman"/>
          <w:b/>
          <w:bCs/>
        </w:rPr>
        <w:t xml:space="preserve">4.8. </w:t>
      </w:r>
      <w:r w:rsidRPr="002C4D9A">
        <w:rPr>
          <w:rFonts w:ascii="Times New Roman" w:eastAsia="Times New Roman" w:hAnsi="Times New Roman" w:cs="Times New Roman"/>
          <w:b/>
          <w:bCs/>
        </w:rPr>
        <w:tab/>
        <w:t>Neželjena dejstva</w:t>
      </w:r>
    </w:p>
    <w:p w:rsidR="002C4D9A" w:rsidRPr="002C4D9A" w:rsidRDefault="002C4D9A" w:rsidP="002C4D9A">
      <w:pPr>
        <w:spacing w:after="0" w:line="240" w:lineRule="auto"/>
        <w:jc w:val="both"/>
        <w:rPr>
          <w:rFonts w:ascii="Times New Roman" w:eastAsia="Calibri" w:hAnsi="Times New Roman" w:cs="Times New Roman"/>
        </w:rPr>
      </w:pPr>
    </w:p>
    <w:p w:rsidR="002C4D9A" w:rsidRPr="002C4D9A" w:rsidRDefault="002C4D9A" w:rsidP="002C4D9A">
      <w:pPr>
        <w:spacing w:after="0" w:line="240" w:lineRule="auto"/>
        <w:jc w:val="both"/>
        <w:rPr>
          <w:rFonts w:ascii="Times New Roman" w:eastAsia="Calibri" w:hAnsi="Times New Roman" w:cs="Times New Roman"/>
          <w:lang w:val="hr-HR"/>
        </w:rPr>
      </w:pPr>
      <w:r w:rsidRPr="002C4D9A">
        <w:rPr>
          <w:rFonts w:ascii="Times New Roman" w:eastAsia="Calibri" w:hAnsi="Times New Roman" w:cs="Times New Roman"/>
          <w:lang w:val="hr-HR"/>
        </w:rPr>
        <w:t>DUTASTERID KAO MONOTERAPIJA</w:t>
      </w:r>
    </w:p>
    <w:p w:rsidR="002C4D9A" w:rsidRPr="002C4D9A" w:rsidRDefault="002C4D9A" w:rsidP="002C4D9A">
      <w:pPr>
        <w:spacing w:after="0" w:line="240" w:lineRule="auto"/>
        <w:jc w:val="both"/>
        <w:rPr>
          <w:rFonts w:ascii="Times New Roman" w:eastAsia="Calibri" w:hAnsi="Times New Roman" w:cs="Times New Roman"/>
          <w:lang w:val="hr-HR"/>
        </w:rPr>
      </w:pPr>
    </w:p>
    <w:p w:rsidR="002C4D9A" w:rsidRPr="002C4D9A" w:rsidRDefault="002C4D9A" w:rsidP="002C4D9A">
      <w:pPr>
        <w:spacing w:after="0" w:line="240" w:lineRule="auto"/>
        <w:jc w:val="both"/>
        <w:rPr>
          <w:rFonts w:ascii="Times New Roman" w:eastAsia="Calibri" w:hAnsi="Times New Roman" w:cs="Times New Roman"/>
          <w:lang w:val="hr-HR"/>
        </w:rPr>
      </w:pPr>
      <w:r w:rsidRPr="002C4D9A">
        <w:rPr>
          <w:rFonts w:ascii="Times New Roman" w:eastAsia="Calibri" w:hAnsi="Times New Roman" w:cs="Times New Roman"/>
          <w:lang w:val="hr-HR"/>
        </w:rPr>
        <w:t xml:space="preserve">Otprilike 19% od 2167 pacijenata koji su primali dutasterid u dvogodišnjim placebom kontrolisanim ispitivanjima faze III razvilo je neželjena dejstva tokom prve godine liječenja. Većina neželjenih dejstava bila su blaga do umjerena i vezana za reproduktivni sistem. Tokom sljedeće dvije godine nastavka otvorenog ispitivanja nije bilo očiglednih promjena vezanih za profil neželjenih dejstava. </w:t>
      </w:r>
    </w:p>
    <w:p w:rsidR="002C4D9A" w:rsidRPr="002C4D9A" w:rsidRDefault="002C4D9A" w:rsidP="002C4D9A">
      <w:pPr>
        <w:spacing w:after="0" w:line="240" w:lineRule="auto"/>
        <w:jc w:val="both"/>
        <w:rPr>
          <w:rFonts w:ascii="Times New Roman" w:eastAsia="Calibri" w:hAnsi="Times New Roman" w:cs="Times New Roman"/>
          <w:lang w:val="hr-HR"/>
        </w:rPr>
      </w:pPr>
    </w:p>
    <w:p w:rsidR="002C4D9A" w:rsidRPr="002C4D9A" w:rsidRDefault="002C4D9A" w:rsidP="002C4D9A">
      <w:pPr>
        <w:spacing w:after="0" w:line="240" w:lineRule="auto"/>
        <w:jc w:val="both"/>
        <w:rPr>
          <w:rFonts w:ascii="Times New Roman" w:eastAsia="Calibri" w:hAnsi="Times New Roman" w:cs="Times New Roman"/>
          <w:lang w:val="hr-HR"/>
        </w:rPr>
      </w:pPr>
      <w:r w:rsidRPr="002C4D9A">
        <w:rPr>
          <w:rFonts w:ascii="Times New Roman" w:eastAsia="Calibri" w:hAnsi="Times New Roman" w:cs="Times New Roman"/>
          <w:lang w:val="hr-HR"/>
        </w:rPr>
        <w:t xml:space="preserve">Sljedeća tabela sadrži neželjena dejstva zabilježena u kontrolisanim kliničkim ispitivanjima, i iz postmarketinškog praćenja. Navedeni neželjeni događaji iz kliničkih ispitivanja su povezani s lijekom prema mišljenju ispitivača (incidenca ≥1%) i prijavljeni s višom incidencom u grupi pacijenata liječenih dutasteridom nego u grupi koja je primala placebo tokom prve godine liječenja. Neželjena dejstva iz postmarketinškog praćenja su prikupljena putem spontanih prijava, stoga je njihova prava učestalost nepoznata. Učestalost ispoljavanja neželjenih dejstava je definisana na sljedeći način: </w:t>
      </w:r>
    </w:p>
    <w:p w:rsidR="002C4D9A" w:rsidRPr="002C4D9A" w:rsidRDefault="002C4D9A" w:rsidP="002C4D9A">
      <w:pPr>
        <w:spacing w:after="0" w:line="240" w:lineRule="auto"/>
        <w:jc w:val="both"/>
        <w:rPr>
          <w:rFonts w:ascii="Times New Roman" w:eastAsia="Calibri" w:hAnsi="Times New Roman" w:cs="Times New Roman"/>
          <w:lang w:val="hr-HR"/>
        </w:rPr>
      </w:pPr>
    </w:p>
    <w:p w:rsidR="00F94793" w:rsidRDefault="002C4D9A" w:rsidP="002C4D9A">
      <w:pPr>
        <w:spacing w:after="0" w:line="240" w:lineRule="auto"/>
        <w:jc w:val="both"/>
        <w:rPr>
          <w:rFonts w:ascii="Times New Roman" w:eastAsia="Calibri" w:hAnsi="Times New Roman" w:cs="Times New Roman"/>
          <w:i/>
          <w:iCs/>
          <w:lang w:val="hr-HR"/>
        </w:rPr>
      </w:pPr>
      <w:r w:rsidRPr="002C4D9A">
        <w:rPr>
          <w:rFonts w:ascii="Times New Roman" w:eastAsia="Calibri" w:hAnsi="Times New Roman" w:cs="Times New Roman"/>
          <w:i/>
          <w:iCs/>
          <w:lang w:val="hr-HR"/>
        </w:rPr>
        <w:t xml:space="preserve">veoma česta (≥ 1/10); </w:t>
      </w:r>
    </w:p>
    <w:p w:rsidR="00F94793" w:rsidRDefault="002C4D9A" w:rsidP="002C4D9A">
      <w:pPr>
        <w:spacing w:after="0" w:line="240" w:lineRule="auto"/>
        <w:jc w:val="both"/>
        <w:rPr>
          <w:rFonts w:ascii="Times New Roman" w:eastAsia="Calibri" w:hAnsi="Times New Roman" w:cs="Times New Roman"/>
          <w:i/>
          <w:iCs/>
          <w:lang w:val="hr-HR"/>
        </w:rPr>
      </w:pPr>
      <w:r w:rsidRPr="002C4D9A">
        <w:rPr>
          <w:rFonts w:ascii="Times New Roman" w:eastAsia="Calibri" w:hAnsi="Times New Roman" w:cs="Times New Roman"/>
          <w:i/>
          <w:iCs/>
          <w:lang w:val="hr-HR"/>
        </w:rPr>
        <w:t xml:space="preserve">česta (≥ 1/100 i &lt; 1/10); </w:t>
      </w:r>
    </w:p>
    <w:p w:rsidR="00F94793" w:rsidRDefault="002C4D9A" w:rsidP="002C4D9A">
      <w:pPr>
        <w:spacing w:after="0" w:line="240" w:lineRule="auto"/>
        <w:jc w:val="both"/>
        <w:rPr>
          <w:rFonts w:ascii="Times New Roman" w:eastAsia="Calibri" w:hAnsi="Times New Roman" w:cs="Times New Roman"/>
          <w:i/>
          <w:iCs/>
          <w:lang w:val="hr-HR"/>
        </w:rPr>
      </w:pPr>
      <w:r w:rsidRPr="002C4D9A">
        <w:rPr>
          <w:rFonts w:ascii="Times New Roman" w:eastAsia="Calibri" w:hAnsi="Times New Roman" w:cs="Times New Roman"/>
          <w:i/>
          <w:iCs/>
          <w:lang w:val="hr-HR"/>
        </w:rPr>
        <w:t xml:space="preserve">povremena (≥ 1/1000 i &lt;1/100); </w:t>
      </w:r>
    </w:p>
    <w:p w:rsidR="00F94793" w:rsidRDefault="002C4D9A" w:rsidP="002C4D9A">
      <w:pPr>
        <w:spacing w:after="0" w:line="240" w:lineRule="auto"/>
        <w:jc w:val="both"/>
        <w:rPr>
          <w:rFonts w:ascii="Times New Roman" w:eastAsia="Calibri" w:hAnsi="Times New Roman" w:cs="Times New Roman"/>
          <w:i/>
          <w:iCs/>
          <w:lang w:val="hr-HR"/>
        </w:rPr>
      </w:pPr>
      <w:r w:rsidRPr="002C4D9A">
        <w:rPr>
          <w:rFonts w:ascii="Times New Roman" w:eastAsia="Calibri" w:hAnsi="Times New Roman" w:cs="Times New Roman"/>
          <w:i/>
          <w:iCs/>
          <w:lang w:val="hr-HR"/>
        </w:rPr>
        <w:t xml:space="preserve">rijetka (≥1/10 000 i &lt;1/1000); </w:t>
      </w:r>
    </w:p>
    <w:p w:rsidR="00F94793" w:rsidRDefault="002C4D9A" w:rsidP="002C4D9A">
      <w:pPr>
        <w:spacing w:after="0" w:line="240" w:lineRule="auto"/>
        <w:jc w:val="both"/>
        <w:rPr>
          <w:rFonts w:ascii="Times New Roman" w:eastAsia="Calibri" w:hAnsi="Times New Roman" w:cs="Times New Roman"/>
          <w:i/>
          <w:iCs/>
          <w:lang w:val="hr-HR"/>
        </w:rPr>
      </w:pPr>
      <w:r w:rsidRPr="002C4D9A">
        <w:rPr>
          <w:rFonts w:ascii="Times New Roman" w:eastAsia="Calibri" w:hAnsi="Times New Roman" w:cs="Times New Roman"/>
          <w:i/>
          <w:iCs/>
          <w:lang w:val="hr-HR"/>
        </w:rPr>
        <w:t xml:space="preserve">veoma rijetka (&lt; 1/10 000); </w:t>
      </w:r>
    </w:p>
    <w:p w:rsidR="002C4D9A" w:rsidRPr="002C4D9A" w:rsidRDefault="002C4D9A" w:rsidP="002C4D9A">
      <w:pPr>
        <w:spacing w:after="0" w:line="240" w:lineRule="auto"/>
        <w:jc w:val="both"/>
        <w:rPr>
          <w:rFonts w:ascii="Times New Roman" w:eastAsia="Calibri" w:hAnsi="Times New Roman" w:cs="Times New Roman"/>
          <w:lang w:val="pl-PL"/>
        </w:rPr>
      </w:pPr>
      <w:r w:rsidRPr="002C4D9A">
        <w:rPr>
          <w:rFonts w:ascii="Times New Roman" w:eastAsia="Calibri" w:hAnsi="Times New Roman" w:cs="Times New Roman"/>
          <w:i/>
          <w:iCs/>
          <w:lang w:val="hr-HR"/>
        </w:rPr>
        <w:t>nepoznata (učestalost se ne može procijeniti iz dostupnih podataka).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268"/>
        <w:gridCol w:w="2396"/>
        <w:gridCol w:w="14"/>
        <w:gridCol w:w="2382"/>
      </w:tblGrid>
      <w:tr w:rsidR="002C4D9A" w:rsidRPr="002C4D9A" w:rsidTr="002C4D9A">
        <w:trPr>
          <w:trHeight w:val="450"/>
        </w:trPr>
        <w:tc>
          <w:tcPr>
            <w:tcW w:w="2518" w:type="dxa"/>
            <w:vMerge w:val="restart"/>
            <w:shd w:val="clear" w:color="auto" w:fill="auto"/>
          </w:tcPr>
          <w:p w:rsidR="002C4D9A" w:rsidRPr="002C4D9A" w:rsidRDefault="002C4D9A" w:rsidP="002C4D9A">
            <w:pPr>
              <w:spacing w:after="0" w:line="240" w:lineRule="auto"/>
              <w:jc w:val="both"/>
              <w:rPr>
                <w:rFonts w:ascii="Times New Roman" w:eastAsia="Calibri" w:hAnsi="Times New Roman" w:cs="Times New Roman"/>
                <w:b/>
                <w:lang w:val="bs-Latn-BA"/>
              </w:rPr>
            </w:pPr>
            <w:r w:rsidRPr="002C4D9A">
              <w:rPr>
                <w:rFonts w:ascii="Times New Roman" w:eastAsia="Calibri" w:hAnsi="Times New Roman" w:cs="Times New Roman"/>
                <w:b/>
                <w:lang w:val="bs-Latn-BA"/>
              </w:rPr>
              <w:lastRenderedPageBreak/>
              <w:t>Organski sistem</w:t>
            </w:r>
          </w:p>
        </w:tc>
        <w:tc>
          <w:tcPr>
            <w:tcW w:w="2268" w:type="dxa"/>
            <w:vMerge w:val="restart"/>
            <w:shd w:val="clear" w:color="auto" w:fill="auto"/>
          </w:tcPr>
          <w:p w:rsidR="002C4D9A" w:rsidRPr="002C4D9A" w:rsidRDefault="002C4D9A" w:rsidP="002C4D9A">
            <w:pPr>
              <w:spacing w:after="0" w:line="240" w:lineRule="auto"/>
              <w:jc w:val="both"/>
              <w:rPr>
                <w:rFonts w:ascii="Times New Roman" w:eastAsia="Calibri" w:hAnsi="Times New Roman" w:cs="Times New Roman"/>
                <w:b/>
                <w:lang w:val="bs-Latn-BA"/>
              </w:rPr>
            </w:pPr>
            <w:r w:rsidRPr="002C4D9A">
              <w:rPr>
                <w:rFonts w:ascii="Times New Roman" w:eastAsia="Calibri" w:hAnsi="Times New Roman" w:cs="Times New Roman"/>
                <w:b/>
                <w:lang w:val="bs-Latn-BA"/>
              </w:rPr>
              <w:t>Neželjeno dejstvo</w:t>
            </w:r>
          </w:p>
        </w:tc>
        <w:tc>
          <w:tcPr>
            <w:tcW w:w="4792" w:type="dxa"/>
            <w:gridSpan w:val="3"/>
            <w:shd w:val="clear" w:color="auto" w:fill="auto"/>
          </w:tcPr>
          <w:p w:rsidR="002C4D9A" w:rsidRPr="002C4D9A" w:rsidRDefault="002C4D9A" w:rsidP="002C4D9A">
            <w:pPr>
              <w:spacing w:after="0" w:line="240" w:lineRule="auto"/>
              <w:jc w:val="both"/>
              <w:rPr>
                <w:rFonts w:ascii="Times New Roman" w:eastAsia="Calibri" w:hAnsi="Times New Roman" w:cs="Times New Roman"/>
                <w:b/>
                <w:lang w:val="bs-Latn-BA"/>
              </w:rPr>
            </w:pPr>
            <w:r w:rsidRPr="002C4D9A">
              <w:rPr>
                <w:rFonts w:ascii="Times New Roman" w:eastAsia="Calibri" w:hAnsi="Times New Roman" w:cs="Times New Roman"/>
                <w:b/>
                <w:lang w:val="bs-Latn-BA"/>
              </w:rPr>
              <w:t>Incidenca na osnovu podataka iz kliničkih ispitivanja</w:t>
            </w:r>
          </w:p>
          <w:p w:rsidR="002C4D9A" w:rsidRPr="002C4D9A" w:rsidRDefault="002C4D9A" w:rsidP="002C4D9A">
            <w:pPr>
              <w:spacing w:after="0" w:line="240" w:lineRule="auto"/>
              <w:jc w:val="both"/>
              <w:rPr>
                <w:rFonts w:ascii="Times New Roman" w:eastAsia="Calibri" w:hAnsi="Times New Roman" w:cs="Times New Roman"/>
                <w:b/>
                <w:lang w:val="bs-Latn-BA"/>
              </w:rPr>
            </w:pPr>
          </w:p>
        </w:tc>
      </w:tr>
      <w:tr w:rsidR="002C4D9A" w:rsidRPr="002C4D9A" w:rsidTr="002C4D9A">
        <w:trPr>
          <w:trHeight w:val="450"/>
        </w:trPr>
        <w:tc>
          <w:tcPr>
            <w:tcW w:w="2518" w:type="dxa"/>
            <w:vMerge/>
            <w:shd w:val="clear" w:color="auto" w:fill="auto"/>
          </w:tcPr>
          <w:p w:rsidR="002C4D9A" w:rsidRPr="002C4D9A" w:rsidRDefault="002C4D9A" w:rsidP="002C4D9A">
            <w:pPr>
              <w:spacing w:after="0" w:line="240" w:lineRule="auto"/>
              <w:jc w:val="both"/>
              <w:rPr>
                <w:rFonts w:ascii="Times New Roman" w:eastAsia="Calibri" w:hAnsi="Times New Roman" w:cs="Times New Roman"/>
                <w:b/>
                <w:lang w:val="bs-Latn-BA"/>
              </w:rPr>
            </w:pPr>
          </w:p>
        </w:tc>
        <w:tc>
          <w:tcPr>
            <w:tcW w:w="2268" w:type="dxa"/>
            <w:vMerge/>
            <w:shd w:val="clear" w:color="auto" w:fill="auto"/>
          </w:tcPr>
          <w:p w:rsidR="002C4D9A" w:rsidRPr="002C4D9A" w:rsidRDefault="002C4D9A" w:rsidP="002C4D9A">
            <w:pPr>
              <w:spacing w:after="0" w:line="240" w:lineRule="auto"/>
              <w:jc w:val="both"/>
              <w:rPr>
                <w:rFonts w:ascii="Times New Roman" w:eastAsia="Calibri" w:hAnsi="Times New Roman" w:cs="Times New Roman"/>
                <w:b/>
                <w:lang w:val="bs-Latn-BA"/>
              </w:rPr>
            </w:pPr>
          </w:p>
        </w:tc>
        <w:tc>
          <w:tcPr>
            <w:tcW w:w="2410" w:type="dxa"/>
            <w:gridSpan w:val="2"/>
            <w:shd w:val="clear" w:color="auto" w:fill="auto"/>
          </w:tcPr>
          <w:p w:rsidR="002C4D9A" w:rsidRPr="002C4D9A" w:rsidRDefault="002C4D9A" w:rsidP="00F94793">
            <w:pPr>
              <w:spacing w:after="0" w:line="240" w:lineRule="auto"/>
              <w:jc w:val="center"/>
              <w:rPr>
                <w:rFonts w:ascii="Times New Roman" w:eastAsia="Calibri" w:hAnsi="Times New Roman" w:cs="Times New Roman"/>
                <w:b/>
                <w:lang w:val="bs-Latn-BA"/>
              </w:rPr>
            </w:pPr>
            <w:r w:rsidRPr="002C4D9A">
              <w:rPr>
                <w:rFonts w:ascii="Times New Roman" w:eastAsia="Calibri" w:hAnsi="Times New Roman" w:cs="Times New Roman"/>
                <w:b/>
                <w:lang w:val="bs-Latn-BA"/>
              </w:rPr>
              <w:t>Incidenca tokom 1.godine liječenja (n=2167)</w:t>
            </w:r>
          </w:p>
          <w:p w:rsidR="002C4D9A" w:rsidRPr="002C4D9A" w:rsidRDefault="002C4D9A" w:rsidP="00F94793">
            <w:pPr>
              <w:spacing w:after="0" w:line="240" w:lineRule="auto"/>
              <w:jc w:val="center"/>
              <w:rPr>
                <w:rFonts w:ascii="Times New Roman" w:eastAsia="Calibri" w:hAnsi="Times New Roman" w:cs="Times New Roman"/>
                <w:b/>
                <w:lang w:val="bs-Latn-BA"/>
              </w:rPr>
            </w:pPr>
          </w:p>
        </w:tc>
        <w:tc>
          <w:tcPr>
            <w:tcW w:w="2382" w:type="dxa"/>
            <w:shd w:val="clear" w:color="auto" w:fill="auto"/>
          </w:tcPr>
          <w:p w:rsidR="002C4D9A" w:rsidRPr="002C4D9A" w:rsidRDefault="002C4D9A" w:rsidP="00F94793">
            <w:pPr>
              <w:spacing w:after="0" w:line="240" w:lineRule="auto"/>
              <w:jc w:val="center"/>
              <w:rPr>
                <w:rFonts w:ascii="Times New Roman" w:eastAsia="Calibri" w:hAnsi="Times New Roman" w:cs="Times New Roman"/>
                <w:b/>
                <w:lang w:val="bs-Latn-BA"/>
              </w:rPr>
            </w:pPr>
            <w:r w:rsidRPr="002C4D9A">
              <w:rPr>
                <w:rFonts w:ascii="Times New Roman" w:eastAsia="Calibri" w:hAnsi="Times New Roman" w:cs="Times New Roman"/>
                <w:b/>
                <w:lang w:val="bs-Latn-BA"/>
              </w:rPr>
              <w:t>Incidenca tokom 2.godine liječenja (n=1744)</w:t>
            </w:r>
          </w:p>
        </w:tc>
      </w:tr>
      <w:tr w:rsidR="002C4D9A" w:rsidRPr="002C4D9A" w:rsidTr="002C4D9A">
        <w:trPr>
          <w:trHeight w:val="171"/>
        </w:trPr>
        <w:tc>
          <w:tcPr>
            <w:tcW w:w="2518" w:type="dxa"/>
            <w:vMerge w:val="restart"/>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Poremećaji reproduktivnog sistema i dojki</w:t>
            </w: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Impotencija*</w:t>
            </w:r>
          </w:p>
        </w:tc>
        <w:tc>
          <w:tcPr>
            <w:tcW w:w="239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6,0%</w:t>
            </w:r>
          </w:p>
        </w:tc>
        <w:tc>
          <w:tcPr>
            <w:tcW w:w="2396" w:type="dxa"/>
            <w:gridSpan w:val="2"/>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1,7%</w:t>
            </w:r>
          </w:p>
        </w:tc>
      </w:tr>
      <w:tr w:rsidR="002C4D9A" w:rsidRPr="002C4D9A" w:rsidTr="002C4D9A">
        <w:trPr>
          <w:trHeight w:val="168"/>
        </w:trPr>
        <w:tc>
          <w:tcPr>
            <w:tcW w:w="2518" w:type="dxa"/>
            <w:vMerge/>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Promijenjen (smanjen) libido*</w:t>
            </w:r>
          </w:p>
        </w:tc>
        <w:tc>
          <w:tcPr>
            <w:tcW w:w="239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3,7%</w:t>
            </w:r>
          </w:p>
        </w:tc>
        <w:tc>
          <w:tcPr>
            <w:tcW w:w="2396" w:type="dxa"/>
            <w:gridSpan w:val="2"/>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0,6%</w:t>
            </w:r>
          </w:p>
        </w:tc>
      </w:tr>
      <w:tr w:rsidR="002C4D9A" w:rsidRPr="002C4D9A" w:rsidTr="002C4D9A">
        <w:trPr>
          <w:trHeight w:val="168"/>
        </w:trPr>
        <w:tc>
          <w:tcPr>
            <w:tcW w:w="2518" w:type="dxa"/>
            <w:vMerge/>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Poremećaji ejakulacije* ^</w:t>
            </w:r>
          </w:p>
        </w:tc>
        <w:tc>
          <w:tcPr>
            <w:tcW w:w="239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1,8%</w:t>
            </w:r>
          </w:p>
        </w:tc>
        <w:tc>
          <w:tcPr>
            <w:tcW w:w="2396" w:type="dxa"/>
            <w:gridSpan w:val="2"/>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0,5%</w:t>
            </w:r>
          </w:p>
        </w:tc>
      </w:tr>
      <w:tr w:rsidR="002C4D9A" w:rsidRPr="002C4D9A" w:rsidTr="002C4D9A">
        <w:trPr>
          <w:trHeight w:val="168"/>
        </w:trPr>
        <w:tc>
          <w:tcPr>
            <w:tcW w:w="2518" w:type="dxa"/>
            <w:vMerge/>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Poremećaji dojki</w:t>
            </w:r>
            <w:r w:rsidRPr="002C4D9A">
              <w:rPr>
                <w:rFonts w:ascii="Times New Roman" w:eastAsia="Calibri" w:hAnsi="Times New Roman" w:cs="Times New Roman"/>
                <w:vertAlign w:val="superscript"/>
                <w:lang w:val="bs-Latn-BA"/>
              </w:rPr>
              <w:t>+</w:t>
            </w:r>
          </w:p>
        </w:tc>
        <w:tc>
          <w:tcPr>
            <w:tcW w:w="239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1,3%</w:t>
            </w:r>
          </w:p>
        </w:tc>
        <w:tc>
          <w:tcPr>
            <w:tcW w:w="2396" w:type="dxa"/>
            <w:gridSpan w:val="2"/>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1,3%</w:t>
            </w:r>
          </w:p>
        </w:tc>
      </w:tr>
      <w:tr w:rsidR="002C4D9A" w:rsidRPr="002C4D9A" w:rsidTr="002C4D9A">
        <w:trPr>
          <w:trHeight w:val="386"/>
        </w:trPr>
        <w:tc>
          <w:tcPr>
            <w:tcW w:w="2518" w:type="dxa"/>
            <w:vMerge w:val="restart"/>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Poremećaji imunog sistema</w:t>
            </w:r>
          </w:p>
        </w:tc>
        <w:tc>
          <w:tcPr>
            <w:tcW w:w="2268" w:type="dxa"/>
            <w:vMerge w:val="restart"/>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Alergijske reakcije uključujući osip, pruritus, urtikariju, lokalizovani edem i angioedem</w:t>
            </w:r>
          </w:p>
        </w:tc>
        <w:tc>
          <w:tcPr>
            <w:tcW w:w="4792" w:type="dxa"/>
            <w:gridSpan w:val="3"/>
            <w:shd w:val="clear" w:color="auto" w:fill="auto"/>
          </w:tcPr>
          <w:p w:rsidR="002C4D9A" w:rsidRPr="002C4D9A" w:rsidRDefault="002C4D9A" w:rsidP="002C4D9A">
            <w:pPr>
              <w:spacing w:after="0" w:line="240" w:lineRule="auto"/>
              <w:jc w:val="both"/>
              <w:rPr>
                <w:rFonts w:ascii="Times New Roman" w:eastAsia="Calibri" w:hAnsi="Times New Roman" w:cs="Times New Roman"/>
                <w:b/>
                <w:lang w:val="bs-Latn-BA"/>
              </w:rPr>
            </w:pPr>
            <w:r w:rsidRPr="002C4D9A">
              <w:rPr>
                <w:rFonts w:ascii="Times New Roman" w:eastAsia="Calibri" w:hAnsi="Times New Roman" w:cs="Times New Roman"/>
                <w:b/>
                <w:lang w:val="bs-Latn-BA"/>
              </w:rPr>
              <w:t>Incidenca procijenjena na osnovu podataka iz postmarketinškog praćenja</w:t>
            </w:r>
          </w:p>
        </w:tc>
      </w:tr>
      <w:tr w:rsidR="002C4D9A" w:rsidRPr="002C4D9A" w:rsidTr="002C4D9A">
        <w:trPr>
          <w:trHeight w:val="562"/>
        </w:trPr>
        <w:tc>
          <w:tcPr>
            <w:tcW w:w="2518" w:type="dxa"/>
            <w:vMerge/>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p>
        </w:tc>
        <w:tc>
          <w:tcPr>
            <w:tcW w:w="2268" w:type="dxa"/>
            <w:vMerge/>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p>
        </w:tc>
        <w:tc>
          <w:tcPr>
            <w:tcW w:w="4792" w:type="dxa"/>
            <w:gridSpan w:val="3"/>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p>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Nepoznata</w:t>
            </w:r>
          </w:p>
        </w:tc>
      </w:tr>
      <w:tr w:rsidR="002C4D9A" w:rsidRPr="002C4D9A" w:rsidTr="002C4D9A">
        <w:trPr>
          <w:trHeight w:val="562"/>
        </w:trPr>
        <w:tc>
          <w:tcPr>
            <w:tcW w:w="251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Psihijatrijski poremećaji</w:t>
            </w: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Depresija</w:t>
            </w:r>
          </w:p>
        </w:tc>
        <w:tc>
          <w:tcPr>
            <w:tcW w:w="4792" w:type="dxa"/>
            <w:gridSpan w:val="3"/>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 xml:space="preserve">Nepoznata </w:t>
            </w:r>
          </w:p>
        </w:tc>
      </w:tr>
      <w:tr w:rsidR="002C4D9A" w:rsidRPr="002C4D9A" w:rsidTr="002C4D9A">
        <w:trPr>
          <w:trHeight w:val="562"/>
        </w:trPr>
        <w:tc>
          <w:tcPr>
            <w:tcW w:w="251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Poremećaji kože i potkožnog tkiva</w:t>
            </w: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Alopecija (primarno gubitak dlaka na tijelu), hipertrihoza</w:t>
            </w:r>
          </w:p>
        </w:tc>
        <w:tc>
          <w:tcPr>
            <w:tcW w:w="4792" w:type="dxa"/>
            <w:gridSpan w:val="3"/>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Povremena</w:t>
            </w:r>
          </w:p>
        </w:tc>
      </w:tr>
      <w:tr w:rsidR="002C4D9A" w:rsidRPr="002C4D9A" w:rsidTr="002C4D9A">
        <w:trPr>
          <w:trHeight w:val="562"/>
        </w:trPr>
        <w:tc>
          <w:tcPr>
            <w:tcW w:w="251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Poremećaji reproduktivnog sistema i dojki</w:t>
            </w: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Bol i oticanje testisa</w:t>
            </w:r>
          </w:p>
        </w:tc>
        <w:tc>
          <w:tcPr>
            <w:tcW w:w="4792" w:type="dxa"/>
            <w:gridSpan w:val="3"/>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Nepoznata</w:t>
            </w:r>
          </w:p>
        </w:tc>
      </w:tr>
    </w:tbl>
    <w:p w:rsidR="002C4D9A" w:rsidRPr="002C4D9A" w:rsidRDefault="002C4D9A" w:rsidP="002C4D9A">
      <w:pPr>
        <w:spacing w:after="0" w:line="240" w:lineRule="auto"/>
        <w:jc w:val="both"/>
        <w:rPr>
          <w:rFonts w:ascii="Times New Roman" w:eastAsia="Calibri" w:hAnsi="Times New Roman" w:cs="Times New Roman"/>
          <w:lang w:val="bs-Latn-BA"/>
        </w:rPr>
      </w:pPr>
    </w:p>
    <w:p w:rsidR="002C4D9A" w:rsidRPr="002C4D9A" w:rsidRDefault="002C4D9A" w:rsidP="002C4D9A">
      <w:pPr>
        <w:spacing w:after="0" w:line="240" w:lineRule="auto"/>
        <w:jc w:val="both"/>
        <w:rPr>
          <w:rFonts w:ascii="Times New Roman" w:eastAsia="Calibri" w:hAnsi="Times New Roman" w:cs="Times New Roman"/>
          <w:lang w:val="hr-HR"/>
        </w:rPr>
      </w:pPr>
      <w:r w:rsidRPr="002C4D9A">
        <w:rPr>
          <w:rFonts w:ascii="Times New Roman" w:eastAsia="Calibri" w:hAnsi="Times New Roman" w:cs="Times New Roman"/>
          <w:lang w:val="bs-Latn-BA"/>
        </w:rPr>
        <w:t>*</w:t>
      </w:r>
      <w:r w:rsidRPr="002C4D9A">
        <w:rPr>
          <w:rFonts w:ascii="Times New Roman" w:eastAsia="Calibri" w:hAnsi="Times New Roman" w:cs="Times New Roman"/>
          <w:lang w:val="hr-HR"/>
        </w:rPr>
        <w:t xml:space="preserve">Ovi neželjeni događaji na reproduktivnom sistemu su povezani s liječenjem dutasteridom (uključujući monoterapiju i kombinaciju sa tamsulosinom). Ta neželjena dejstva mogu potrajati i nakon prestanka liječenja. Uticaj dutasterida na njihovo trajanje nije poznat. </w:t>
      </w:r>
    </w:p>
    <w:p w:rsidR="002C4D9A" w:rsidRPr="002C4D9A" w:rsidRDefault="002C4D9A" w:rsidP="002C4D9A">
      <w:pPr>
        <w:spacing w:after="0" w:line="240" w:lineRule="auto"/>
        <w:jc w:val="both"/>
        <w:rPr>
          <w:rFonts w:ascii="Times New Roman" w:eastAsia="Calibri" w:hAnsi="Times New Roman" w:cs="Times New Roman"/>
          <w:lang w:val="hr-HR"/>
        </w:rPr>
      </w:pPr>
      <w:r w:rsidRPr="002C4D9A">
        <w:rPr>
          <w:rFonts w:ascii="Times New Roman" w:eastAsia="Calibri" w:hAnsi="Times New Roman" w:cs="Times New Roman"/>
          <w:lang w:val="hr-HR"/>
        </w:rPr>
        <w:t>^uključuje smanjenje volumena sperme</w:t>
      </w:r>
    </w:p>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vertAlign w:val="superscript"/>
          <w:lang w:val="hr-HR"/>
        </w:rPr>
        <w:t>+</w:t>
      </w:r>
      <w:r w:rsidRPr="002C4D9A">
        <w:rPr>
          <w:rFonts w:ascii="Times New Roman" w:eastAsia="Calibri" w:hAnsi="Times New Roman" w:cs="Times New Roman"/>
          <w:lang w:val="hr-HR"/>
        </w:rPr>
        <w:t>uključuje osjetljivost dojki i povećanje dojki.</w:t>
      </w:r>
    </w:p>
    <w:p w:rsidR="002C4D9A" w:rsidRPr="002C4D9A" w:rsidRDefault="002C4D9A" w:rsidP="002C4D9A">
      <w:pPr>
        <w:spacing w:after="0" w:line="240" w:lineRule="auto"/>
        <w:jc w:val="both"/>
        <w:rPr>
          <w:rFonts w:ascii="Times New Roman" w:eastAsia="Calibri" w:hAnsi="Times New Roman" w:cs="Times New Roman"/>
          <w:lang w:val="bs-Latn-BA"/>
        </w:rPr>
      </w:pPr>
    </w:p>
    <w:p w:rsidR="002C4D9A" w:rsidRPr="002C4D9A" w:rsidRDefault="002C4D9A" w:rsidP="002C4D9A">
      <w:pPr>
        <w:spacing w:after="0" w:line="240" w:lineRule="auto"/>
        <w:jc w:val="both"/>
        <w:rPr>
          <w:rFonts w:ascii="Times New Roman" w:eastAsia="Calibri" w:hAnsi="Times New Roman" w:cs="Times New Roman"/>
          <w:lang w:val="hr-HR"/>
        </w:rPr>
      </w:pPr>
      <w:r w:rsidRPr="002C4D9A">
        <w:rPr>
          <w:rFonts w:ascii="Times New Roman" w:eastAsia="Calibri" w:hAnsi="Times New Roman" w:cs="Times New Roman"/>
          <w:lang w:val="hr-HR"/>
        </w:rPr>
        <w:t>DUTASTERID U KOMBINACIJI S ALFA-BLOKATOROM TAMSULOSINOM</w:t>
      </w:r>
    </w:p>
    <w:p w:rsidR="002C4D9A" w:rsidRPr="002C4D9A" w:rsidRDefault="002C4D9A" w:rsidP="002C4D9A">
      <w:pPr>
        <w:spacing w:after="0" w:line="240" w:lineRule="auto"/>
        <w:jc w:val="both"/>
        <w:rPr>
          <w:rFonts w:ascii="Times New Roman" w:eastAsia="Calibri" w:hAnsi="Times New Roman" w:cs="Times New Roman"/>
          <w:lang w:val="hr-HR"/>
        </w:rPr>
      </w:pPr>
    </w:p>
    <w:p w:rsidR="002C4D9A" w:rsidRPr="002C4D9A" w:rsidRDefault="002C4D9A" w:rsidP="002C4D9A">
      <w:pPr>
        <w:spacing w:after="0" w:line="240" w:lineRule="auto"/>
        <w:jc w:val="both"/>
        <w:rPr>
          <w:rFonts w:ascii="Times New Roman" w:eastAsia="Calibri" w:hAnsi="Times New Roman" w:cs="Times New Roman"/>
          <w:lang w:val="hr-HR"/>
        </w:rPr>
      </w:pPr>
      <w:r w:rsidRPr="002C4D9A">
        <w:rPr>
          <w:rFonts w:ascii="Times New Roman" w:eastAsia="Calibri" w:hAnsi="Times New Roman" w:cs="Times New Roman"/>
          <w:lang w:val="hr-HR"/>
        </w:rPr>
        <w:t>Podaci dobijeni iz ispitivanja CombAT, koje je trajalo 4 godine i u kojem su upoređivani dutasterid 0,5 mg (n=1623) i tamsulosin 0,4 mg (n=1611) primijenjeni jednom dnevno u monoterapiji i u kombinovanoj terapiji (n=1610), su pokazali učestalost  neželjenih događaja prema mišljenju ispitivača povezanih s lijekom tokom prve, druge, treće i četvrte godine liječenja od, redom: 22%, 6%, 4% i 2% za kombinaciju dutasterid/tamsulosin, te 15%, 6%, 3% i 2% za monoterapiju dutasteridom i 13%, 5%, 2% i 2% za monoterapiju tamsulosinom. Veća učestalost  neželjenih dejstava u grupi pacijenata liječenoj kombinovanom terapijom tokom prve godine liječenja, temelji se na većoj učestalosti poremećaja reproduktivnog sistema, posebno poremećaja ejakulacije.</w:t>
      </w:r>
    </w:p>
    <w:p w:rsidR="002C4D9A" w:rsidRPr="002C4D9A" w:rsidRDefault="002C4D9A" w:rsidP="002C4D9A">
      <w:pPr>
        <w:spacing w:after="0" w:line="240" w:lineRule="auto"/>
        <w:jc w:val="both"/>
        <w:rPr>
          <w:rFonts w:ascii="Times New Roman" w:eastAsia="Calibri" w:hAnsi="Times New Roman" w:cs="Times New Roman"/>
          <w:lang w:val="hr-HR"/>
        </w:rPr>
      </w:pPr>
    </w:p>
    <w:p w:rsidR="002C4D9A" w:rsidRPr="002C4D9A" w:rsidRDefault="002C4D9A" w:rsidP="002C4D9A">
      <w:pPr>
        <w:spacing w:after="0" w:line="240" w:lineRule="auto"/>
        <w:jc w:val="both"/>
        <w:rPr>
          <w:rFonts w:ascii="Times New Roman" w:eastAsia="Calibri" w:hAnsi="Times New Roman" w:cs="Times New Roman"/>
          <w:lang w:val="hr-HR"/>
        </w:rPr>
      </w:pPr>
      <w:r w:rsidRPr="002C4D9A">
        <w:rPr>
          <w:rFonts w:ascii="Times New Roman" w:eastAsia="Calibri" w:hAnsi="Times New Roman" w:cs="Times New Roman"/>
          <w:lang w:val="hr-HR"/>
        </w:rPr>
        <w:lastRenderedPageBreak/>
        <w:t>Sljedeći neželjeni događaji prema mišljenju ispitivača povezani s lijekom su prijavljeni s učestalošću  ≥1% tokom prve godine liječenja u CombAT ispitivanju; učestalost  tih neželjenih dejstava tokom 4 godine liječenja navedena je u tabeli:</w:t>
      </w:r>
    </w:p>
    <w:p w:rsidR="002C4D9A" w:rsidRPr="002C4D9A" w:rsidRDefault="002C4D9A" w:rsidP="002C4D9A">
      <w:pPr>
        <w:spacing w:after="0" w:line="240" w:lineRule="auto"/>
        <w:jc w:val="both"/>
        <w:rPr>
          <w:rFonts w:ascii="Times New Roman" w:eastAsia="Calibri" w:hAnsi="Times New Roman" w:cs="Times New Roman"/>
          <w:lang w:val="bs-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68"/>
        <w:gridCol w:w="1276"/>
        <w:gridCol w:w="1257"/>
        <w:gridCol w:w="1246"/>
        <w:gridCol w:w="1155"/>
      </w:tblGrid>
      <w:tr w:rsidR="002C4D9A" w:rsidRPr="002C4D9A" w:rsidTr="002C4D9A">
        <w:trPr>
          <w:trHeight w:val="113"/>
        </w:trPr>
        <w:tc>
          <w:tcPr>
            <w:tcW w:w="2376" w:type="dxa"/>
            <w:vMerge w:val="restart"/>
            <w:shd w:val="clear" w:color="auto" w:fill="auto"/>
          </w:tcPr>
          <w:p w:rsidR="002C4D9A" w:rsidRPr="002C4D9A" w:rsidRDefault="002C4D9A" w:rsidP="002C4D9A">
            <w:pPr>
              <w:spacing w:after="0" w:line="240" w:lineRule="auto"/>
              <w:jc w:val="both"/>
              <w:rPr>
                <w:rFonts w:ascii="Times New Roman" w:eastAsia="Calibri" w:hAnsi="Times New Roman" w:cs="Times New Roman"/>
                <w:b/>
                <w:lang w:val="bs-Latn-BA"/>
              </w:rPr>
            </w:pPr>
            <w:r w:rsidRPr="002C4D9A">
              <w:rPr>
                <w:rFonts w:ascii="Times New Roman" w:eastAsia="Calibri" w:hAnsi="Times New Roman" w:cs="Times New Roman"/>
                <w:b/>
                <w:lang w:val="bs-Latn-BA"/>
              </w:rPr>
              <w:t>Organski sistem</w:t>
            </w:r>
          </w:p>
        </w:tc>
        <w:tc>
          <w:tcPr>
            <w:tcW w:w="2268" w:type="dxa"/>
            <w:vMerge w:val="restart"/>
            <w:shd w:val="clear" w:color="auto" w:fill="auto"/>
          </w:tcPr>
          <w:p w:rsidR="002C4D9A" w:rsidRPr="002C4D9A" w:rsidRDefault="002C4D9A" w:rsidP="002C4D9A">
            <w:pPr>
              <w:spacing w:after="0" w:line="240" w:lineRule="auto"/>
              <w:jc w:val="both"/>
              <w:rPr>
                <w:rFonts w:ascii="Times New Roman" w:eastAsia="Calibri" w:hAnsi="Times New Roman" w:cs="Times New Roman"/>
                <w:b/>
                <w:lang w:val="bs-Latn-BA"/>
              </w:rPr>
            </w:pPr>
            <w:r w:rsidRPr="002C4D9A">
              <w:rPr>
                <w:rFonts w:ascii="Times New Roman" w:eastAsia="Calibri" w:hAnsi="Times New Roman" w:cs="Times New Roman"/>
                <w:b/>
                <w:lang w:val="bs-Latn-BA"/>
              </w:rPr>
              <w:t>Neželjeno dejstvo</w:t>
            </w:r>
          </w:p>
        </w:tc>
        <w:tc>
          <w:tcPr>
            <w:tcW w:w="4934" w:type="dxa"/>
            <w:gridSpan w:val="4"/>
            <w:shd w:val="clear" w:color="auto" w:fill="auto"/>
          </w:tcPr>
          <w:p w:rsidR="002C4D9A" w:rsidRPr="002C4D9A" w:rsidRDefault="002C4D9A" w:rsidP="00F94793">
            <w:pPr>
              <w:spacing w:after="0" w:line="240" w:lineRule="auto"/>
              <w:jc w:val="center"/>
              <w:rPr>
                <w:rFonts w:ascii="Times New Roman" w:eastAsia="Calibri" w:hAnsi="Times New Roman" w:cs="Times New Roman"/>
                <w:b/>
                <w:lang w:val="bs-Latn-BA"/>
              </w:rPr>
            </w:pPr>
            <w:r w:rsidRPr="002C4D9A">
              <w:rPr>
                <w:rFonts w:ascii="Times New Roman" w:eastAsia="Calibri" w:hAnsi="Times New Roman" w:cs="Times New Roman"/>
                <w:b/>
                <w:lang w:val="bs-Latn-BA"/>
              </w:rPr>
              <w:t>Incidenca tokom perioda liječenja</w:t>
            </w:r>
          </w:p>
        </w:tc>
      </w:tr>
      <w:tr w:rsidR="002C4D9A" w:rsidRPr="002C4D9A" w:rsidTr="002C4D9A">
        <w:trPr>
          <w:trHeight w:val="112"/>
        </w:trPr>
        <w:tc>
          <w:tcPr>
            <w:tcW w:w="2376" w:type="dxa"/>
            <w:vMerge/>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p>
        </w:tc>
        <w:tc>
          <w:tcPr>
            <w:tcW w:w="2268" w:type="dxa"/>
            <w:vMerge/>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p>
        </w:tc>
        <w:tc>
          <w:tcPr>
            <w:tcW w:w="127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1.godina</w:t>
            </w:r>
          </w:p>
        </w:tc>
        <w:tc>
          <w:tcPr>
            <w:tcW w:w="1257"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2.godina</w:t>
            </w:r>
          </w:p>
        </w:tc>
        <w:tc>
          <w:tcPr>
            <w:tcW w:w="124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3.godina</w:t>
            </w:r>
          </w:p>
        </w:tc>
        <w:tc>
          <w:tcPr>
            <w:tcW w:w="1155"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4.godina</w:t>
            </w:r>
          </w:p>
        </w:tc>
      </w:tr>
      <w:tr w:rsidR="002C4D9A" w:rsidRPr="002C4D9A" w:rsidTr="002C4D9A">
        <w:trPr>
          <w:trHeight w:val="56"/>
        </w:trPr>
        <w:tc>
          <w:tcPr>
            <w:tcW w:w="2376" w:type="dxa"/>
            <w:vMerge/>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Kombinacija</w:t>
            </w:r>
            <w:r w:rsidRPr="002C4D9A">
              <w:rPr>
                <w:rFonts w:ascii="Times New Roman" w:eastAsia="Calibri" w:hAnsi="Times New Roman" w:cs="Times New Roman"/>
                <w:vertAlign w:val="superscript"/>
                <w:lang w:val="bs-Latn-BA"/>
              </w:rPr>
              <w:t>a</w:t>
            </w:r>
            <w:r w:rsidRPr="002C4D9A">
              <w:rPr>
                <w:rFonts w:ascii="Times New Roman" w:eastAsia="Calibri" w:hAnsi="Times New Roman" w:cs="Times New Roman"/>
                <w:lang w:val="bs-Latn-BA"/>
              </w:rPr>
              <w:t xml:space="preserve"> (n)</w:t>
            </w:r>
          </w:p>
        </w:tc>
        <w:tc>
          <w:tcPr>
            <w:tcW w:w="127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(n=1610)</w:t>
            </w:r>
          </w:p>
        </w:tc>
        <w:tc>
          <w:tcPr>
            <w:tcW w:w="1257"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(n=1428)</w:t>
            </w:r>
          </w:p>
        </w:tc>
        <w:tc>
          <w:tcPr>
            <w:tcW w:w="124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(n=1283)</w:t>
            </w:r>
          </w:p>
        </w:tc>
        <w:tc>
          <w:tcPr>
            <w:tcW w:w="1155"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(n=1200)</w:t>
            </w:r>
          </w:p>
        </w:tc>
      </w:tr>
      <w:tr w:rsidR="002C4D9A" w:rsidRPr="002C4D9A" w:rsidTr="002C4D9A">
        <w:trPr>
          <w:trHeight w:val="56"/>
        </w:trPr>
        <w:tc>
          <w:tcPr>
            <w:tcW w:w="2376" w:type="dxa"/>
            <w:vMerge/>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Dutasterid</w:t>
            </w:r>
          </w:p>
        </w:tc>
        <w:tc>
          <w:tcPr>
            <w:tcW w:w="127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(n=1623)</w:t>
            </w:r>
          </w:p>
        </w:tc>
        <w:tc>
          <w:tcPr>
            <w:tcW w:w="1257"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(n=1464)</w:t>
            </w:r>
          </w:p>
        </w:tc>
        <w:tc>
          <w:tcPr>
            <w:tcW w:w="124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(n=1325)</w:t>
            </w:r>
          </w:p>
        </w:tc>
        <w:tc>
          <w:tcPr>
            <w:tcW w:w="1155"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(n=1200)</w:t>
            </w:r>
          </w:p>
        </w:tc>
      </w:tr>
      <w:tr w:rsidR="002C4D9A" w:rsidRPr="002C4D9A" w:rsidTr="002C4D9A">
        <w:trPr>
          <w:trHeight w:val="56"/>
        </w:trPr>
        <w:tc>
          <w:tcPr>
            <w:tcW w:w="2376" w:type="dxa"/>
            <w:vMerge/>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Tamsulosin</w:t>
            </w:r>
          </w:p>
        </w:tc>
        <w:tc>
          <w:tcPr>
            <w:tcW w:w="127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(n=1611)</w:t>
            </w:r>
          </w:p>
        </w:tc>
        <w:tc>
          <w:tcPr>
            <w:tcW w:w="1257"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(n=1468)</w:t>
            </w:r>
          </w:p>
        </w:tc>
        <w:tc>
          <w:tcPr>
            <w:tcW w:w="124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(n=1281)</w:t>
            </w:r>
          </w:p>
        </w:tc>
        <w:tc>
          <w:tcPr>
            <w:tcW w:w="1155"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(n=1112)</w:t>
            </w:r>
          </w:p>
        </w:tc>
      </w:tr>
      <w:tr w:rsidR="002C4D9A" w:rsidRPr="002C4D9A" w:rsidTr="002C4D9A">
        <w:trPr>
          <w:trHeight w:val="114"/>
        </w:trPr>
        <w:tc>
          <w:tcPr>
            <w:tcW w:w="2376" w:type="dxa"/>
            <w:vMerge w:val="restart"/>
            <w:shd w:val="clear" w:color="auto" w:fill="auto"/>
          </w:tcPr>
          <w:p w:rsidR="002C4D9A" w:rsidRPr="002C4D9A" w:rsidRDefault="002C4D9A" w:rsidP="00F94793">
            <w:pPr>
              <w:spacing w:after="0" w:line="240" w:lineRule="auto"/>
              <w:rPr>
                <w:rFonts w:ascii="Times New Roman" w:eastAsia="Calibri" w:hAnsi="Times New Roman" w:cs="Times New Roman"/>
                <w:lang w:val="bs-Latn-BA"/>
              </w:rPr>
            </w:pPr>
            <w:r w:rsidRPr="002C4D9A">
              <w:rPr>
                <w:rFonts w:ascii="Times New Roman" w:eastAsia="Calibri" w:hAnsi="Times New Roman" w:cs="Times New Roman"/>
                <w:lang w:val="bs-Latn-BA"/>
              </w:rPr>
              <w:t>Poremećaji nervnog sistema</w:t>
            </w: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Vrtoglavica</w:t>
            </w:r>
          </w:p>
        </w:tc>
        <w:tc>
          <w:tcPr>
            <w:tcW w:w="127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p>
        </w:tc>
        <w:tc>
          <w:tcPr>
            <w:tcW w:w="1257"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p>
        </w:tc>
        <w:tc>
          <w:tcPr>
            <w:tcW w:w="124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p>
        </w:tc>
        <w:tc>
          <w:tcPr>
            <w:tcW w:w="1155"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p>
        </w:tc>
      </w:tr>
      <w:tr w:rsidR="002C4D9A" w:rsidRPr="002C4D9A" w:rsidTr="002C4D9A">
        <w:trPr>
          <w:trHeight w:val="112"/>
        </w:trPr>
        <w:tc>
          <w:tcPr>
            <w:tcW w:w="2376" w:type="dxa"/>
            <w:vMerge/>
            <w:shd w:val="clear" w:color="auto" w:fill="auto"/>
          </w:tcPr>
          <w:p w:rsidR="002C4D9A" w:rsidRPr="002C4D9A" w:rsidRDefault="002C4D9A" w:rsidP="00F94793">
            <w:pPr>
              <w:spacing w:after="0" w:line="240" w:lineRule="auto"/>
              <w:rPr>
                <w:rFonts w:ascii="Times New Roman" w:eastAsia="Calibri" w:hAnsi="Times New Roman" w:cs="Times New Roman"/>
                <w:lang w:val="bs-Latn-BA"/>
              </w:rPr>
            </w:pP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Kombinacija</w:t>
            </w:r>
            <w:r w:rsidRPr="002C4D9A">
              <w:rPr>
                <w:rFonts w:ascii="Times New Roman" w:eastAsia="Calibri" w:hAnsi="Times New Roman" w:cs="Times New Roman"/>
                <w:vertAlign w:val="superscript"/>
                <w:lang w:val="bs-Latn-BA"/>
              </w:rPr>
              <w:t>a</w:t>
            </w:r>
          </w:p>
        </w:tc>
        <w:tc>
          <w:tcPr>
            <w:tcW w:w="127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1,4%</w:t>
            </w:r>
          </w:p>
        </w:tc>
        <w:tc>
          <w:tcPr>
            <w:tcW w:w="1257"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0,1%</w:t>
            </w:r>
          </w:p>
        </w:tc>
        <w:tc>
          <w:tcPr>
            <w:tcW w:w="124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&lt; 0,1%</w:t>
            </w:r>
          </w:p>
        </w:tc>
        <w:tc>
          <w:tcPr>
            <w:tcW w:w="1155"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0,2%</w:t>
            </w:r>
          </w:p>
        </w:tc>
      </w:tr>
      <w:tr w:rsidR="002C4D9A" w:rsidRPr="002C4D9A" w:rsidTr="002C4D9A">
        <w:trPr>
          <w:trHeight w:val="112"/>
        </w:trPr>
        <w:tc>
          <w:tcPr>
            <w:tcW w:w="2376" w:type="dxa"/>
            <w:vMerge/>
            <w:shd w:val="clear" w:color="auto" w:fill="auto"/>
          </w:tcPr>
          <w:p w:rsidR="002C4D9A" w:rsidRPr="002C4D9A" w:rsidRDefault="002C4D9A" w:rsidP="00F94793">
            <w:pPr>
              <w:spacing w:after="0" w:line="240" w:lineRule="auto"/>
              <w:rPr>
                <w:rFonts w:ascii="Times New Roman" w:eastAsia="Calibri" w:hAnsi="Times New Roman" w:cs="Times New Roman"/>
                <w:lang w:val="bs-Latn-BA"/>
              </w:rPr>
            </w:pP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Dutasterid</w:t>
            </w:r>
          </w:p>
        </w:tc>
        <w:tc>
          <w:tcPr>
            <w:tcW w:w="127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0,7%</w:t>
            </w:r>
          </w:p>
        </w:tc>
        <w:tc>
          <w:tcPr>
            <w:tcW w:w="1257"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0,1%</w:t>
            </w:r>
          </w:p>
        </w:tc>
        <w:tc>
          <w:tcPr>
            <w:tcW w:w="124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&lt; 0,1%</w:t>
            </w:r>
          </w:p>
        </w:tc>
        <w:tc>
          <w:tcPr>
            <w:tcW w:w="1155"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&lt; 0,1%</w:t>
            </w:r>
          </w:p>
        </w:tc>
      </w:tr>
      <w:tr w:rsidR="002C4D9A" w:rsidRPr="002C4D9A" w:rsidTr="002C4D9A">
        <w:trPr>
          <w:trHeight w:val="112"/>
        </w:trPr>
        <w:tc>
          <w:tcPr>
            <w:tcW w:w="2376" w:type="dxa"/>
            <w:vMerge/>
            <w:shd w:val="clear" w:color="auto" w:fill="auto"/>
          </w:tcPr>
          <w:p w:rsidR="002C4D9A" w:rsidRPr="002C4D9A" w:rsidRDefault="002C4D9A" w:rsidP="00F94793">
            <w:pPr>
              <w:spacing w:after="0" w:line="240" w:lineRule="auto"/>
              <w:rPr>
                <w:rFonts w:ascii="Times New Roman" w:eastAsia="Calibri" w:hAnsi="Times New Roman" w:cs="Times New Roman"/>
                <w:lang w:val="bs-Latn-BA"/>
              </w:rPr>
            </w:pP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Tamsulosin</w:t>
            </w:r>
          </w:p>
        </w:tc>
        <w:tc>
          <w:tcPr>
            <w:tcW w:w="127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1,3%</w:t>
            </w:r>
          </w:p>
        </w:tc>
        <w:tc>
          <w:tcPr>
            <w:tcW w:w="1257"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0,4%</w:t>
            </w:r>
          </w:p>
        </w:tc>
        <w:tc>
          <w:tcPr>
            <w:tcW w:w="124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&lt; 0,1%</w:t>
            </w:r>
          </w:p>
        </w:tc>
        <w:tc>
          <w:tcPr>
            <w:tcW w:w="1155"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w:t>
            </w:r>
          </w:p>
        </w:tc>
      </w:tr>
      <w:tr w:rsidR="002C4D9A" w:rsidRPr="002C4D9A" w:rsidTr="002C4D9A">
        <w:trPr>
          <w:trHeight w:val="57"/>
        </w:trPr>
        <w:tc>
          <w:tcPr>
            <w:tcW w:w="2376" w:type="dxa"/>
            <w:vMerge w:val="restart"/>
            <w:shd w:val="clear" w:color="auto" w:fill="auto"/>
          </w:tcPr>
          <w:p w:rsidR="002C4D9A" w:rsidRPr="002C4D9A" w:rsidRDefault="002C4D9A" w:rsidP="00F94793">
            <w:pPr>
              <w:spacing w:after="0" w:line="240" w:lineRule="auto"/>
              <w:rPr>
                <w:rFonts w:ascii="Times New Roman" w:eastAsia="Calibri" w:hAnsi="Times New Roman" w:cs="Times New Roman"/>
                <w:lang w:val="bs-Latn-BA"/>
              </w:rPr>
            </w:pPr>
            <w:r w:rsidRPr="002C4D9A">
              <w:rPr>
                <w:rFonts w:ascii="Times New Roman" w:eastAsia="Calibri" w:hAnsi="Times New Roman" w:cs="Times New Roman"/>
                <w:lang w:val="bs-Latn-BA"/>
              </w:rPr>
              <w:t>Srčani poremećaji</w:t>
            </w: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Srčana insuficijencija (zajednički pojam</w:t>
            </w:r>
            <w:r w:rsidRPr="002C4D9A">
              <w:rPr>
                <w:rFonts w:ascii="Times New Roman" w:eastAsia="Calibri" w:hAnsi="Times New Roman" w:cs="Times New Roman"/>
                <w:vertAlign w:val="superscript"/>
                <w:lang w:val="bs-Latn-BA"/>
              </w:rPr>
              <w:t>b</w:t>
            </w:r>
            <w:r w:rsidRPr="002C4D9A">
              <w:rPr>
                <w:rFonts w:ascii="Times New Roman" w:eastAsia="Calibri" w:hAnsi="Times New Roman" w:cs="Times New Roman"/>
                <w:lang w:val="bs-Latn-BA"/>
              </w:rPr>
              <w:t>)</w:t>
            </w:r>
          </w:p>
        </w:tc>
        <w:tc>
          <w:tcPr>
            <w:tcW w:w="127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p>
        </w:tc>
        <w:tc>
          <w:tcPr>
            <w:tcW w:w="1257"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p>
        </w:tc>
        <w:tc>
          <w:tcPr>
            <w:tcW w:w="124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p>
        </w:tc>
        <w:tc>
          <w:tcPr>
            <w:tcW w:w="1155"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p>
        </w:tc>
      </w:tr>
      <w:tr w:rsidR="002C4D9A" w:rsidRPr="002C4D9A" w:rsidTr="002C4D9A">
        <w:trPr>
          <w:trHeight w:val="56"/>
        </w:trPr>
        <w:tc>
          <w:tcPr>
            <w:tcW w:w="2376" w:type="dxa"/>
            <w:vMerge/>
            <w:shd w:val="clear" w:color="auto" w:fill="auto"/>
          </w:tcPr>
          <w:p w:rsidR="002C4D9A" w:rsidRPr="002C4D9A" w:rsidRDefault="002C4D9A" w:rsidP="00F94793">
            <w:pPr>
              <w:spacing w:after="0" w:line="240" w:lineRule="auto"/>
              <w:rPr>
                <w:rFonts w:ascii="Times New Roman" w:eastAsia="Calibri" w:hAnsi="Times New Roman" w:cs="Times New Roman"/>
                <w:lang w:val="bs-Latn-BA"/>
              </w:rPr>
            </w:pP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Kombinacija</w:t>
            </w:r>
            <w:r w:rsidRPr="002C4D9A">
              <w:rPr>
                <w:rFonts w:ascii="Times New Roman" w:eastAsia="Calibri" w:hAnsi="Times New Roman" w:cs="Times New Roman"/>
                <w:vertAlign w:val="superscript"/>
                <w:lang w:val="bs-Latn-BA"/>
              </w:rPr>
              <w:t>a</w:t>
            </w:r>
          </w:p>
        </w:tc>
        <w:tc>
          <w:tcPr>
            <w:tcW w:w="127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0,2%</w:t>
            </w:r>
          </w:p>
        </w:tc>
        <w:tc>
          <w:tcPr>
            <w:tcW w:w="1257"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0,4%</w:t>
            </w:r>
          </w:p>
        </w:tc>
        <w:tc>
          <w:tcPr>
            <w:tcW w:w="124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0,2%</w:t>
            </w:r>
          </w:p>
        </w:tc>
        <w:tc>
          <w:tcPr>
            <w:tcW w:w="1155"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0,2%</w:t>
            </w:r>
          </w:p>
        </w:tc>
      </w:tr>
      <w:tr w:rsidR="002C4D9A" w:rsidRPr="002C4D9A" w:rsidTr="002C4D9A">
        <w:trPr>
          <w:trHeight w:val="56"/>
        </w:trPr>
        <w:tc>
          <w:tcPr>
            <w:tcW w:w="2376" w:type="dxa"/>
            <w:vMerge/>
            <w:shd w:val="clear" w:color="auto" w:fill="auto"/>
          </w:tcPr>
          <w:p w:rsidR="002C4D9A" w:rsidRPr="002C4D9A" w:rsidRDefault="002C4D9A" w:rsidP="00F94793">
            <w:pPr>
              <w:spacing w:after="0" w:line="240" w:lineRule="auto"/>
              <w:rPr>
                <w:rFonts w:ascii="Times New Roman" w:eastAsia="Calibri" w:hAnsi="Times New Roman" w:cs="Times New Roman"/>
                <w:lang w:val="bs-Latn-BA"/>
              </w:rPr>
            </w:pP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Dutasterid</w:t>
            </w:r>
          </w:p>
        </w:tc>
        <w:tc>
          <w:tcPr>
            <w:tcW w:w="127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&lt; 0,1%</w:t>
            </w:r>
          </w:p>
        </w:tc>
        <w:tc>
          <w:tcPr>
            <w:tcW w:w="1257"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0,1%</w:t>
            </w:r>
          </w:p>
        </w:tc>
        <w:tc>
          <w:tcPr>
            <w:tcW w:w="124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&lt; 0,1%</w:t>
            </w:r>
          </w:p>
        </w:tc>
        <w:tc>
          <w:tcPr>
            <w:tcW w:w="1155"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w:t>
            </w:r>
          </w:p>
        </w:tc>
      </w:tr>
      <w:tr w:rsidR="002C4D9A" w:rsidRPr="002C4D9A" w:rsidTr="002C4D9A">
        <w:trPr>
          <w:trHeight w:val="56"/>
        </w:trPr>
        <w:tc>
          <w:tcPr>
            <w:tcW w:w="2376" w:type="dxa"/>
            <w:vMerge/>
            <w:shd w:val="clear" w:color="auto" w:fill="auto"/>
          </w:tcPr>
          <w:p w:rsidR="002C4D9A" w:rsidRPr="002C4D9A" w:rsidRDefault="002C4D9A" w:rsidP="00F94793">
            <w:pPr>
              <w:spacing w:after="0" w:line="240" w:lineRule="auto"/>
              <w:rPr>
                <w:rFonts w:ascii="Times New Roman" w:eastAsia="Calibri" w:hAnsi="Times New Roman" w:cs="Times New Roman"/>
                <w:lang w:val="bs-Latn-BA"/>
              </w:rPr>
            </w:pP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Tamsulosin</w:t>
            </w:r>
          </w:p>
        </w:tc>
        <w:tc>
          <w:tcPr>
            <w:tcW w:w="127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0,1%</w:t>
            </w:r>
          </w:p>
        </w:tc>
        <w:tc>
          <w:tcPr>
            <w:tcW w:w="1257"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&lt; 0,1%</w:t>
            </w:r>
          </w:p>
        </w:tc>
        <w:tc>
          <w:tcPr>
            <w:tcW w:w="124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0,4%</w:t>
            </w:r>
          </w:p>
        </w:tc>
        <w:tc>
          <w:tcPr>
            <w:tcW w:w="1155"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0,2%</w:t>
            </w:r>
          </w:p>
        </w:tc>
      </w:tr>
      <w:tr w:rsidR="002C4D9A" w:rsidRPr="002C4D9A" w:rsidTr="002C4D9A">
        <w:trPr>
          <w:trHeight w:val="75"/>
        </w:trPr>
        <w:tc>
          <w:tcPr>
            <w:tcW w:w="2376" w:type="dxa"/>
            <w:vMerge w:val="restart"/>
            <w:shd w:val="clear" w:color="auto" w:fill="auto"/>
          </w:tcPr>
          <w:p w:rsidR="002C4D9A" w:rsidRPr="002C4D9A" w:rsidRDefault="002C4D9A" w:rsidP="00F94793">
            <w:pPr>
              <w:spacing w:after="0" w:line="240" w:lineRule="auto"/>
              <w:rPr>
                <w:rFonts w:ascii="Times New Roman" w:eastAsia="Calibri" w:hAnsi="Times New Roman" w:cs="Times New Roman"/>
                <w:lang w:val="bs-Latn-BA"/>
              </w:rPr>
            </w:pPr>
            <w:r w:rsidRPr="002C4D9A">
              <w:rPr>
                <w:rFonts w:ascii="Times New Roman" w:eastAsia="Calibri" w:hAnsi="Times New Roman" w:cs="Times New Roman"/>
                <w:lang w:val="bs-Latn-BA"/>
              </w:rPr>
              <w:t>Poremećaji reproduktivnog sistema i dojki</w:t>
            </w: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Impotencija</w:t>
            </w:r>
            <w:r w:rsidRPr="002C4D9A">
              <w:rPr>
                <w:rFonts w:ascii="Times New Roman" w:eastAsia="Calibri" w:hAnsi="Times New Roman" w:cs="Times New Roman"/>
                <w:vertAlign w:val="superscript"/>
                <w:lang w:val="bs-Latn-BA"/>
              </w:rPr>
              <w:t>c</w:t>
            </w:r>
          </w:p>
        </w:tc>
        <w:tc>
          <w:tcPr>
            <w:tcW w:w="127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p>
        </w:tc>
        <w:tc>
          <w:tcPr>
            <w:tcW w:w="1257"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p>
        </w:tc>
        <w:tc>
          <w:tcPr>
            <w:tcW w:w="124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p>
        </w:tc>
        <w:tc>
          <w:tcPr>
            <w:tcW w:w="1155"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p>
        </w:tc>
      </w:tr>
      <w:tr w:rsidR="002C4D9A" w:rsidRPr="002C4D9A" w:rsidTr="002C4D9A">
        <w:trPr>
          <w:trHeight w:val="70"/>
        </w:trPr>
        <w:tc>
          <w:tcPr>
            <w:tcW w:w="2376" w:type="dxa"/>
            <w:vMerge/>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Kombinacija</w:t>
            </w:r>
            <w:r w:rsidRPr="002C4D9A">
              <w:rPr>
                <w:rFonts w:ascii="Times New Roman" w:eastAsia="Calibri" w:hAnsi="Times New Roman" w:cs="Times New Roman"/>
                <w:vertAlign w:val="superscript"/>
                <w:lang w:val="bs-Latn-BA"/>
              </w:rPr>
              <w:t>a</w:t>
            </w:r>
          </w:p>
        </w:tc>
        <w:tc>
          <w:tcPr>
            <w:tcW w:w="127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6,3%</w:t>
            </w:r>
          </w:p>
        </w:tc>
        <w:tc>
          <w:tcPr>
            <w:tcW w:w="1257"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1,8%</w:t>
            </w:r>
          </w:p>
        </w:tc>
        <w:tc>
          <w:tcPr>
            <w:tcW w:w="124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0,9%</w:t>
            </w:r>
          </w:p>
        </w:tc>
        <w:tc>
          <w:tcPr>
            <w:tcW w:w="1155"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0,4%</w:t>
            </w:r>
          </w:p>
        </w:tc>
      </w:tr>
      <w:tr w:rsidR="002C4D9A" w:rsidRPr="002C4D9A" w:rsidTr="002C4D9A">
        <w:trPr>
          <w:trHeight w:val="70"/>
        </w:trPr>
        <w:tc>
          <w:tcPr>
            <w:tcW w:w="2376" w:type="dxa"/>
            <w:vMerge/>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Dutasterid</w:t>
            </w:r>
          </w:p>
        </w:tc>
        <w:tc>
          <w:tcPr>
            <w:tcW w:w="127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5,1%</w:t>
            </w:r>
          </w:p>
        </w:tc>
        <w:tc>
          <w:tcPr>
            <w:tcW w:w="1257"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1,6%</w:t>
            </w:r>
          </w:p>
        </w:tc>
        <w:tc>
          <w:tcPr>
            <w:tcW w:w="124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0,6%</w:t>
            </w:r>
          </w:p>
        </w:tc>
        <w:tc>
          <w:tcPr>
            <w:tcW w:w="1155"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0,3%</w:t>
            </w:r>
          </w:p>
        </w:tc>
      </w:tr>
      <w:tr w:rsidR="002C4D9A" w:rsidRPr="002C4D9A" w:rsidTr="002C4D9A">
        <w:trPr>
          <w:trHeight w:val="70"/>
        </w:trPr>
        <w:tc>
          <w:tcPr>
            <w:tcW w:w="2376" w:type="dxa"/>
            <w:vMerge/>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Tamsulosin</w:t>
            </w:r>
          </w:p>
        </w:tc>
        <w:tc>
          <w:tcPr>
            <w:tcW w:w="127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3,3%</w:t>
            </w:r>
          </w:p>
        </w:tc>
        <w:tc>
          <w:tcPr>
            <w:tcW w:w="1257"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1,0%</w:t>
            </w:r>
          </w:p>
        </w:tc>
        <w:tc>
          <w:tcPr>
            <w:tcW w:w="124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0,6%</w:t>
            </w:r>
          </w:p>
        </w:tc>
        <w:tc>
          <w:tcPr>
            <w:tcW w:w="1155"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1,1%</w:t>
            </w:r>
          </w:p>
        </w:tc>
      </w:tr>
      <w:tr w:rsidR="002C4D9A" w:rsidRPr="002C4D9A" w:rsidTr="002C4D9A">
        <w:trPr>
          <w:trHeight w:val="70"/>
        </w:trPr>
        <w:tc>
          <w:tcPr>
            <w:tcW w:w="2376" w:type="dxa"/>
            <w:vMerge/>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Promijenjeni (smanjeni) libido</w:t>
            </w:r>
            <w:r w:rsidRPr="002C4D9A">
              <w:rPr>
                <w:rFonts w:ascii="Times New Roman" w:eastAsia="Calibri" w:hAnsi="Times New Roman" w:cs="Times New Roman"/>
                <w:vertAlign w:val="superscript"/>
                <w:lang w:val="bs-Latn-BA"/>
              </w:rPr>
              <w:t>c</w:t>
            </w:r>
          </w:p>
        </w:tc>
        <w:tc>
          <w:tcPr>
            <w:tcW w:w="127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p>
        </w:tc>
        <w:tc>
          <w:tcPr>
            <w:tcW w:w="1257"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p>
        </w:tc>
        <w:tc>
          <w:tcPr>
            <w:tcW w:w="124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p>
        </w:tc>
        <w:tc>
          <w:tcPr>
            <w:tcW w:w="1155"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p>
        </w:tc>
      </w:tr>
      <w:tr w:rsidR="002C4D9A" w:rsidRPr="002C4D9A" w:rsidTr="002C4D9A">
        <w:trPr>
          <w:trHeight w:val="70"/>
        </w:trPr>
        <w:tc>
          <w:tcPr>
            <w:tcW w:w="2376" w:type="dxa"/>
            <w:vMerge/>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Kombinacija</w:t>
            </w:r>
            <w:r w:rsidRPr="002C4D9A">
              <w:rPr>
                <w:rFonts w:ascii="Times New Roman" w:eastAsia="Calibri" w:hAnsi="Times New Roman" w:cs="Times New Roman"/>
                <w:vertAlign w:val="superscript"/>
                <w:lang w:val="bs-Latn-BA"/>
              </w:rPr>
              <w:t>a</w:t>
            </w:r>
          </w:p>
        </w:tc>
        <w:tc>
          <w:tcPr>
            <w:tcW w:w="127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5,3%</w:t>
            </w:r>
          </w:p>
        </w:tc>
        <w:tc>
          <w:tcPr>
            <w:tcW w:w="1257"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0,8%</w:t>
            </w:r>
          </w:p>
        </w:tc>
        <w:tc>
          <w:tcPr>
            <w:tcW w:w="124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0,2%</w:t>
            </w:r>
          </w:p>
        </w:tc>
        <w:tc>
          <w:tcPr>
            <w:tcW w:w="1155"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w:t>
            </w:r>
          </w:p>
        </w:tc>
      </w:tr>
      <w:tr w:rsidR="002C4D9A" w:rsidRPr="002C4D9A" w:rsidTr="002C4D9A">
        <w:trPr>
          <w:trHeight w:val="70"/>
        </w:trPr>
        <w:tc>
          <w:tcPr>
            <w:tcW w:w="2376" w:type="dxa"/>
            <w:vMerge/>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Dutasterid</w:t>
            </w:r>
          </w:p>
        </w:tc>
        <w:tc>
          <w:tcPr>
            <w:tcW w:w="127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3,8%</w:t>
            </w:r>
          </w:p>
        </w:tc>
        <w:tc>
          <w:tcPr>
            <w:tcW w:w="1257"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1,0%</w:t>
            </w:r>
          </w:p>
        </w:tc>
        <w:tc>
          <w:tcPr>
            <w:tcW w:w="124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0,2%</w:t>
            </w:r>
          </w:p>
        </w:tc>
        <w:tc>
          <w:tcPr>
            <w:tcW w:w="1155"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w:t>
            </w:r>
          </w:p>
        </w:tc>
      </w:tr>
      <w:tr w:rsidR="002C4D9A" w:rsidRPr="002C4D9A" w:rsidTr="002C4D9A">
        <w:trPr>
          <w:trHeight w:val="70"/>
        </w:trPr>
        <w:tc>
          <w:tcPr>
            <w:tcW w:w="2376" w:type="dxa"/>
            <w:vMerge/>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Tamsulosin</w:t>
            </w:r>
          </w:p>
        </w:tc>
        <w:tc>
          <w:tcPr>
            <w:tcW w:w="127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2,5%</w:t>
            </w:r>
          </w:p>
        </w:tc>
        <w:tc>
          <w:tcPr>
            <w:tcW w:w="1257"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0,7%</w:t>
            </w:r>
          </w:p>
        </w:tc>
        <w:tc>
          <w:tcPr>
            <w:tcW w:w="124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0,2%</w:t>
            </w:r>
          </w:p>
        </w:tc>
        <w:tc>
          <w:tcPr>
            <w:tcW w:w="1155"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&lt; 0,1%</w:t>
            </w:r>
          </w:p>
        </w:tc>
      </w:tr>
      <w:tr w:rsidR="002C4D9A" w:rsidRPr="002C4D9A" w:rsidTr="002C4D9A">
        <w:trPr>
          <w:trHeight w:val="70"/>
        </w:trPr>
        <w:tc>
          <w:tcPr>
            <w:tcW w:w="2376" w:type="dxa"/>
            <w:vMerge/>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Poremećaji ejakulacije</w:t>
            </w:r>
            <w:r w:rsidRPr="002C4D9A">
              <w:rPr>
                <w:rFonts w:ascii="Times New Roman" w:eastAsia="Calibri" w:hAnsi="Times New Roman" w:cs="Times New Roman"/>
                <w:vertAlign w:val="superscript"/>
                <w:lang w:val="bs-Latn-BA"/>
              </w:rPr>
              <w:t>c</w:t>
            </w:r>
            <w:r w:rsidRPr="002C4D9A">
              <w:rPr>
                <w:rFonts w:ascii="Times New Roman" w:eastAsia="Calibri" w:hAnsi="Times New Roman" w:cs="Times New Roman"/>
                <w:lang w:val="bs-Latn-BA"/>
              </w:rPr>
              <w:t>^</w:t>
            </w:r>
          </w:p>
        </w:tc>
        <w:tc>
          <w:tcPr>
            <w:tcW w:w="1276"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p>
        </w:tc>
        <w:tc>
          <w:tcPr>
            <w:tcW w:w="1257"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p>
        </w:tc>
        <w:tc>
          <w:tcPr>
            <w:tcW w:w="1246"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p>
        </w:tc>
        <w:tc>
          <w:tcPr>
            <w:tcW w:w="1155"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p>
        </w:tc>
      </w:tr>
      <w:tr w:rsidR="002C4D9A" w:rsidRPr="002C4D9A" w:rsidTr="002C4D9A">
        <w:trPr>
          <w:trHeight w:val="70"/>
        </w:trPr>
        <w:tc>
          <w:tcPr>
            <w:tcW w:w="2376" w:type="dxa"/>
            <w:vMerge/>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Kombinacija</w:t>
            </w:r>
            <w:r w:rsidRPr="002C4D9A">
              <w:rPr>
                <w:rFonts w:ascii="Times New Roman" w:eastAsia="Calibri" w:hAnsi="Times New Roman" w:cs="Times New Roman"/>
                <w:vertAlign w:val="superscript"/>
                <w:lang w:val="bs-Latn-BA"/>
              </w:rPr>
              <w:t>a</w:t>
            </w:r>
          </w:p>
        </w:tc>
        <w:tc>
          <w:tcPr>
            <w:tcW w:w="127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9,0%</w:t>
            </w:r>
          </w:p>
        </w:tc>
        <w:tc>
          <w:tcPr>
            <w:tcW w:w="1257"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1,0%</w:t>
            </w:r>
          </w:p>
        </w:tc>
        <w:tc>
          <w:tcPr>
            <w:tcW w:w="124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0,5%</w:t>
            </w:r>
          </w:p>
        </w:tc>
        <w:tc>
          <w:tcPr>
            <w:tcW w:w="1155"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&lt; 0,1%</w:t>
            </w:r>
          </w:p>
        </w:tc>
      </w:tr>
      <w:tr w:rsidR="002C4D9A" w:rsidRPr="002C4D9A" w:rsidTr="002C4D9A">
        <w:trPr>
          <w:trHeight w:val="70"/>
        </w:trPr>
        <w:tc>
          <w:tcPr>
            <w:tcW w:w="2376" w:type="dxa"/>
            <w:vMerge/>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Dutasterid</w:t>
            </w:r>
          </w:p>
        </w:tc>
        <w:tc>
          <w:tcPr>
            <w:tcW w:w="127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1,5%</w:t>
            </w:r>
          </w:p>
        </w:tc>
        <w:tc>
          <w:tcPr>
            <w:tcW w:w="1257"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0,5%</w:t>
            </w:r>
          </w:p>
        </w:tc>
        <w:tc>
          <w:tcPr>
            <w:tcW w:w="124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0,2%</w:t>
            </w:r>
          </w:p>
        </w:tc>
        <w:tc>
          <w:tcPr>
            <w:tcW w:w="1155"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0,3%</w:t>
            </w:r>
          </w:p>
        </w:tc>
      </w:tr>
      <w:tr w:rsidR="002C4D9A" w:rsidRPr="002C4D9A" w:rsidTr="002C4D9A">
        <w:trPr>
          <w:trHeight w:val="70"/>
        </w:trPr>
        <w:tc>
          <w:tcPr>
            <w:tcW w:w="2376" w:type="dxa"/>
            <w:vMerge/>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Tamsulosin</w:t>
            </w:r>
          </w:p>
        </w:tc>
        <w:tc>
          <w:tcPr>
            <w:tcW w:w="127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2,7%</w:t>
            </w:r>
          </w:p>
        </w:tc>
        <w:tc>
          <w:tcPr>
            <w:tcW w:w="1257"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0,5%</w:t>
            </w:r>
          </w:p>
        </w:tc>
        <w:tc>
          <w:tcPr>
            <w:tcW w:w="124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0,2%</w:t>
            </w:r>
          </w:p>
        </w:tc>
        <w:tc>
          <w:tcPr>
            <w:tcW w:w="1155"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0,3%</w:t>
            </w:r>
          </w:p>
        </w:tc>
      </w:tr>
      <w:tr w:rsidR="002C4D9A" w:rsidRPr="002C4D9A" w:rsidTr="002C4D9A">
        <w:trPr>
          <w:trHeight w:val="70"/>
        </w:trPr>
        <w:tc>
          <w:tcPr>
            <w:tcW w:w="2376" w:type="dxa"/>
            <w:vMerge/>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Poremećaji dojki</w:t>
            </w:r>
            <w:r w:rsidRPr="002C4D9A">
              <w:rPr>
                <w:rFonts w:ascii="Times New Roman" w:eastAsia="Calibri" w:hAnsi="Times New Roman" w:cs="Times New Roman"/>
                <w:vertAlign w:val="superscript"/>
                <w:lang w:val="bs-Latn-BA"/>
              </w:rPr>
              <w:t>d</w:t>
            </w:r>
          </w:p>
        </w:tc>
        <w:tc>
          <w:tcPr>
            <w:tcW w:w="127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p>
        </w:tc>
        <w:tc>
          <w:tcPr>
            <w:tcW w:w="1257"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p>
        </w:tc>
        <w:tc>
          <w:tcPr>
            <w:tcW w:w="124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p>
        </w:tc>
        <w:tc>
          <w:tcPr>
            <w:tcW w:w="1155"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p>
        </w:tc>
      </w:tr>
      <w:tr w:rsidR="002C4D9A" w:rsidRPr="002C4D9A" w:rsidTr="002C4D9A">
        <w:trPr>
          <w:trHeight w:val="70"/>
        </w:trPr>
        <w:tc>
          <w:tcPr>
            <w:tcW w:w="2376" w:type="dxa"/>
            <w:vMerge/>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Kombinacija</w:t>
            </w:r>
            <w:r w:rsidRPr="002C4D9A">
              <w:rPr>
                <w:rFonts w:ascii="Times New Roman" w:eastAsia="Calibri" w:hAnsi="Times New Roman" w:cs="Times New Roman"/>
                <w:vertAlign w:val="superscript"/>
                <w:lang w:val="bs-Latn-BA"/>
              </w:rPr>
              <w:t>a</w:t>
            </w:r>
          </w:p>
        </w:tc>
        <w:tc>
          <w:tcPr>
            <w:tcW w:w="127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2,1%</w:t>
            </w:r>
          </w:p>
        </w:tc>
        <w:tc>
          <w:tcPr>
            <w:tcW w:w="1257"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0,8%</w:t>
            </w:r>
          </w:p>
        </w:tc>
        <w:tc>
          <w:tcPr>
            <w:tcW w:w="124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0,9%</w:t>
            </w:r>
          </w:p>
        </w:tc>
        <w:tc>
          <w:tcPr>
            <w:tcW w:w="1155"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0,6%</w:t>
            </w:r>
          </w:p>
        </w:tc>
      </w:tr>
      <w:tr w:rsidR="002C4D9A" w:rsidRPr="002C4D9A" w:rsidTr="002C4D9A">
        <w:trPr>
          <w:trHeight w:val="70"/>
        </w:trPr>
        <w:tc>
          <w:tcPr>
            <w:tcW w:w="2376" w:type="dxa"/>
            <w:vMerge/>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Dutasterid</w:t>
            </w:r>
          </w:p>
        </w:tc>
        <w:tc>
          <w:tcPr>
            <w:tcW w:w="127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1,7%</w:t>
            </w:r>
          </w:p>
        </w:tc>
        <w:tc>
          <w:tcPr>
            <w:tcW w:w="1257"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1,2%</w:t>
            </w:r>
          </w:p>
        </w:tc>
        <w:tc>
          <w:tcPr>
            <w:tcW w:w="124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0,5%</w:t>
            </w:r>
          </w:p>
        </w:tc>
        <w:tc>
          <w:tcPr>
            <w:tcW w:w="1155"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0,7%</w:t>
            </w:r>
          </w:p>
        </w:tc>
      </w:tr>
      <w:tr w:rsidR="002C4D9A" w:rsidRPr="002C4D9A" w:rsidTr="002C4D9A">
        <w:trPr>
          <w:trHeight w:val="70"/>
        </w:trPr>
        <w:tc>
          <w:tcPr>
            <w:tcW w:w="2376" w:type="dxa"/>
            <w:vMerge/>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p>
        </w:tc>
        <w:tc>
          <w:tcPr>
            <w:tcW w:w="2268" w:type="dxa"/>
            <w:shd w:val="clear" w:color="auto" w:fill="auto"/>
          </w:tcPr>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lang w:val="bs-Latn-BA"/>
              </w:rPr>
              <w:t>Tamsulosin</w:t>
            </w:r>
          </w:p>
        </w:tc>
        <w:tc>
          <w:tcPr>
            <w:tcW w:w="127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0,8%</w:t>
            </w:r>
          </w:p>
        </w:tc>
        <w:tc>
          <w:tcPr>
            <w:tcW w:w="1257"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0,4%</w:t>
            </w:r>
          </w:p>
        </w:tc>
        <w:tc>
          <w:tcPr>
            <w:tcW w:w="1246"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0,2%</w:t>
            </w:r>
          </w:p>
        </w:tc>
        <w:tc>
          <w:tcPr>
            <w:tcW w:w="1155" w:type="dxa"/>
            <w:shd w:val="clear" w:color="auto" w:fill="auto"/>
          </w:tcPr>
          <w:p w:rsidR="002C4D9A" w:rsidRPr="002C4D9A" w:rsidRDefault="002C4D9A" w:rsidP="00F94793">
            <w:pPr>
              <w:spacing w:after="0" w:line="240" w:lineRule="auto"/>
              <w:jc w:val="center"/>
              <w:rPr>
                <w:rFonts w:ascii="Times New Roman" w:eastAsia="Calibri" w:hAnsi="Times New Roman" w:cs="Times New Roman"/>
                <w:lang w:val="bs-Latn-BA"/>
              </w:rPr>
            </w:pPr>
            <w:r w:rsidRPr="002C4D9A">
              <w:rPr>
                <w:rFonts w:ascii="Times New Roman" w:eastAsia="Calibri" w:hAnsi="Times New Roman" w:cs="Times New Roman"/>
                <w:lang w:val="bs-Latn-BA"/>
              </w:rPr>
              <w:t>0%</w:t>
            </w:r>
          </w:p>
        </w:tc>
      </w:tr>
    </w:tbl>
    <w:p w:rsidR="002C4D9A" w:rsidRPr="002C4D9A" w:rsidRDefault="002C4D9A" w:rsidP="002C4D9A">
      <w:pPr>
        <w:spacing w:after="0" w:line="240" w:lineRule="auto"/>
        <w:jc w:val="both"/>
        <w:rPr>
          <w:rFonts w:ascii="Times New Roman" w:eastAsia="Calibri" w:hAnsi="Times New Roman" w:cs="Times New Roman"/>
          <w:lang w:val="bs-Latn-BA"/>
        </w:rPr>
      </w:pPr>
    </w:p>
    <w:p w:rsidR="002C4D9A" w:rsidRPr="002C4D9A" w:rsidRDefault="002C4D9A" w:rsidP="002C4D9A">
      <w:pPr>
        <w:spacing w:after="0" w:line="240" w:lineRule="auto"/>
        <w:jc w:val="both"/>
        <w:rPr>
          <w:rFonts w:ascii="Times New Roman" w:eastAsia="Calibri" w:hAnsi="Times New Roman" w:cs="Times New Roman"/>
          <w:lang w:val="bs-Latn-BA"/>
        </w:rPr>
      </w:pPr>
      <w:r w:rsidRPr="002C4D9A">
        <w:rPr>
          <w:rFonts w:ascii="Times New Roman" w:eastAsia="Calibri" w:hAnsi="Times New Roman" w:cs="Times New Roman"/>
          <w:vertAlign w:val="superscript"/>
          <w:lang w:val="bs-Latn-BA"/>
        </w:rPr>
        <w:t xml:space="preserve">a </w:t>
      </w:r>
      <w:r w:rsidRPr="002C4D9A">
        <w:rPr>
          <w:rFonts w:ascii="Times New Roman" w:eastAsia="Calibri" w:hAnsi="Times New Roman" w:cs="Times New Roman"/>
          <w:lang w:val="bs-Latn-BA"/>
        </w:rPr>
        <w:t>Kombinacija = dutasterid 0,5 mg jednom dnevno plus tamsulosin 0,4 mg jednom dnevno</w:t>
      </w:r>
      <w:r w:rsidRPr="002C4D9A">
        <w:rPr>
          <w:rFonts w:ascii="Times New Roman" w:eastAsia="Calibri" w:hAnsi="Times New Roman" w:cs="Times New Roman"/>
          <w:lang w:val="hr-HR"/>
        </w:rPr>
        <w:t>.</w:t>
      </w:r>
    </w:p>
    <w:p w:rsidR="002C4D9A" w:rsidRPr="002C4D9A" w:rsidRDefault="002C4D9A" w:rsidP="002C4D9A">
      <w:pPr>
        <w:spacing w:after="0" w:line="240" w:lineRule="auto"/>
        <w:jc w:val="both"/>
        <w:rPr>
          <w:rFonts w:ascii="Times New Roman" w:eastAsia="Calibri" w:hAnsi="Times New Roman" w:cs="Times New Roman"/>
          <w:lang w:val="hr-HR"/>
        </w:rPr>
      </w:pPr>
      <w:r w:rsidRPr="002C4D9A">
        <w:rPr>
          <w:rFonts w:ascii="Times New Roman" w:eastAsia="Calibri" w:hAnsi="Times New Roman" w:cs="Times New Roman"/>
          <w:vertAlign w:val="superscript"/>
          <w:lang w:val="bs-Latn-BA"/>
        </w:rPr>
        <w:t>b</w:t>
      </w:r>
      <w:r w:rsidRPr="002C4D9A">
        <w:rPr>
          <w:rFonts w:ascii="Times New Roman" w:eastAsia="Calibri" w:hAnsi="Times New Roman" w:cs="Times New Roman"/>
          <w:lang w:val="bs-Latn-BA"/>
        </w:rPr>
        <w:t xml:space="preserve"> Zajednički pojam srčana insuficijencija obuhvata: kongestivnu srčanu insuficijenciju, srčanu insuficijenciju, zastoj lijevog ventrikula, akutnu srčanu insuficijenciju, kardiogeni šok, akutnu srčanu insuficijenciju lijevog ventrikula, zastoj desnog ventrikula, akutni zastoj desnog ventrikula, ventrikularni zastoj, kardiopulmonarnu insuficijenciju, kongestivnu kardiomiopatiju.</w:t>
      </w:r>
    </w:p>
    <w:p w:rsidR="002C4D9A" w:rsidRPr="002C4D9A" w:rsidRDefault="002C4D9A" w:rsidP="002C4D9A">
      <w:pPr>
        <w:spacing w:after="0" w:line="240" w:lineRule="auto"/>
        <w:jc w:val="both"/>
        <w:rPr>
          <w:rFonts w:ascii="Times New Roman" w:eastAsia="Calibri" w:hAnsi="Times New Roman" w:cs="Times New Roman"/>
          <w:lang w:val="hr-HR"/>
        </w:rPr>
      </w:pPr>
      <w:r w:rsidRPr="002C4D9A">
        <w:rPr>
          <w:rFonts w:ascii="Times New Roman" w:eastAsia="Calibri" w:hAnsi="Times New Roman" w:cs="Times New Roman"/>
          <w:vertAlign w:val="superscript"/>
          <w:lang w:val="hr-HR"/>
        </w:rPr>
        <w:t>c</w:t>
      </w:r>
      <w:r w:rsidRPr="002C4D9A">
        <w:rPr>
          <w:rFonts w:ascii="Times New Roman" w:eastAsia="Calibri" w:hAnsi="Times New Roman" w:cs="Times New Roman"/>
          <w:lang w:val="hr-HR"/>
        </w:rPr>
        <w:t xml:space="preserve"> Ovi neželjeni događaji na reproduktivnom sistemu su povezani s liječenjem dutasteridom (uključujući monoterapiju i kombinaciju s tamsulosinom). Ta neželjena dejstva mogu potrajati i nakon prestanka liječenja. Uticaj dutasterida na njihovo trajanje nije poznat.</w:t>
      </w:r>
    </w:p>
    <w:p w:rsidR="002C4D9A" w:rsidRPr="002C4D9A" w:rsidRDefault="002C4D9A" w:rsidP="002C4D9A">
      <w:pPr>
        <w:spacing w:after="0" w:line="240" w:lineRule="auto"/>
        <w:jc w:val="both"/>
        <w:rPr>
          <w:rFonts w:ascii="Times New Roman" w:eastAsia="Calibri" w:hAnsi="Times New Roman" w:cs="Times New Roman"/>
          <w:lang w:val="hr-HR"/>
        </w:rPr>
      </w:pPr>
      <w:r w:rsidRPr="002C4D9A">
        <w:rPr>
          <w:rFonts w:ascii="Times New Roman" w:eastAsia="Calibri" w:hAnsi="Times New Roman" w:cs="Times New Roman"/>
          <w:vertAlign w:val="superscript"/>
          <w:lang w:val="hr-HR"/>
        </w:rPr>
        <w:t>d</w:t>
      </w:r>
      <w:r w:rsidRPr="002C4D9A">
        <w:rPr>
          <w:rFonts w:ascii="Times New Roman" w:eastAsia="Calibri" w:hAnsi="Times New Roman" w:cs="Times New Roman"/>
          <w:lang w:val="hr-HR"/>
        </w:rPr>
        <w:t xml:space="preserve"> Uključuje osjetljivost dojki i njihovo povećanje.</w:t>
      </w:r>
    </w:p>
    <w:p w:rsidR="002C4D9A" w:rsidRPr="002C4D9A" w:rsidRDefault="002C4D9A" w:rsidP="002C4D9A">
      <w:pPr>
        <w:spacing w:after="0" w:line="240" w:lineRule="auto"/>
        <w:jc w:val="both"/>
        <w:rPr>
          <w:rFonts w:ascii="Times New Roman" w:eastAsia="Calibri" w:hAnsi="Times New Roman" w:cs="Times New Roman"/>
          <w:lang w:val="hr-HR"/>
        </w:rPr>
      </w:pPr>
      <w:r w:rsidRPr="002C4D9A">
        <w:rPr>
          <w:rFonts w:ascii="Times New Roman" w:eastAsia="Calibri" w:hAnsi="Times New Roman" w:cs="Times New Roman"/>
          <w:lang w:val="hr-HR"/>
        </w:rPr>
        <w:lastRenderedPageBreak/>
        <w:t>^ Uključuje smanjenje volumena sperme.</w:t>
      </w:r>
    </w:p>
    <w:p w:rsidR="002C4D9A" w:rsidRPr="002C4D9A" w:rsidRDefault="002C4D9A" w:rsidP="002C4D9A">
      <w:pPr>
        <w:spacing w:after="0" w:line="240" w:lineRule="auto"/>
        <w:jc w:val="both"/>
        <w:rPr>
          <w:rFonts w:ascii="Times New Roman" w:eastAsia="Calibri" w:hAnsi="Times New Roman" w:cs="Times New Roman"/>
          <w:lang w:val="bs-Latn-BA"/>
        </w:rPr>
      </w:pPr>
    </w:p>
    <w:p w:rsidR="002C4D9A" w:rsidRPr="002C4D9A" w:rsidRDefault="002C4D9A" w:rsidP="002C4D9A">
      <w:pPr>
        <w:spacing w:after="0" w:line="240" w:lineRule="auto"/>
        <w:jc w:val="both"/>
        <w:rPr>
          <w:rFonts w:ascii="Times New Roman" w:eastAsia="Calibri" w:hAnsi="Times New Roman" w:cs="Times New Roman"/>
          <w:lang w:val="hr-HR"/>
        </w:rPr>
      </w:pPr>
      <w:r w:rsidRPr="002C4D9A">
        <w:rPr>
          <w:rFonts w:ascii="Times New Roman" w:eastAsia="Calibri" w:hAnsi="Times New Roman" w:cs="Times New Roman"/>
          <w:lang w:val="hr-HR"/>
        </w:rPr>
        <w:t>OSTALI PODACI</w:t>
      </w:r>
    </w:p>
    <w:p w:rsidR="002C4D9A" w:rsidRPr="002C4D9A" w:rsidRDefault="002C4D9A" w:rsidP="002C4D9A">
      <w:pPr>
        <w:spacing w:after="0" w:line="240" w:lineRule="auto"/>
        <w:jc w:val="both"/>
        <w:rPr>
          <w:rFonts w:ascii="Times New Roman" w:eastAsia="Calibri" w:hAnsi="Times New Roman" w:cs="Times New Roman"/>
          <w:lang w:val="hr-HR"/>
        </w:rPr>
      </w:pPr>
    </w:p>
    <w:p w:rsidR="002C4D9A" w:rsidRPr="002C4D9A" w:rsidRDefault="002C4D9A" w:rsidP="002C4D9A">
      <w:pPr>
        <w:spacing w:after="0" w:line="240" w:lineRule="auto"/>
        <w:jc w:val="both"/>
        <w:rPr>
          <w:rFonts w:ascii="Times New Roman" w:eastAsia="Calibri" w:hAnsi="Times New Roman" w:cs="Times New Roman"/>
          <w:lang w:val="hr-HR"/>
        </w:rPr>
      </w:pPr>
      <w:r w:rsidRPr="002C4D9A">
        <w:rPr>
          <w:rFonts w:ascii="Times New Roman" w:eastAsia="Calibri" w:hAnsi="Times New Roman" w:cs="Times New Roman"/>
          <w:lang w:val="hr-HR"/>
        </w:rPr>
        <w:t>Ispitivanje REDUCE je otkrilo višu incidencu karcinoma prostate Gleasonov skor 8 – 10 u grupi muškaraca liječenih dutasteridom u odnosu na placebo grupu (vidjeti dio 4.4 i 5.1). Da  li je djelovanje dutasterida na smanjenje volumena prostate ili su faktori vezani za samo ispitivanje uticali na pomenute rezultate, nije utvrđeno.</w:t>
      </w:r>
    </w:p>
    <w:p w:rsidR="002C4D9A" w:rsidRPr="002C4D9A" w:rsidRDefault="002C4D9A" w:rsidP="002C4D9A">
      <w:pPr>
        <w:spacing w:after="0" w:line="240" w:lineRule="auto"/>
        <w:jc w:val="both"/>
        <w:rPr>
          <w:rFonts w:ascii="Times New Roman" w:eastAsia="Calibri" w:hAnsi="Times New Roman" w:cs="Times New Roman"/>
          <w:lang w:val="hr-HR"/>
        </w:rPr>
      </w:pPr>
    </w:p>
    <w:p w:rsidR="002C4D9A" w:rsidRPr="002C4D9A" w:rsidRDefault="002C4D9A" w:rsidP="002C4D9A">
      <w:pPr>
        <w:spacing w:after="0" w:line="240" w:lineRule="auto"/>
        <w:jc w:val="both"/>
        <w:rPr>
          <w:rFonts w:ascii="Times New Roman" w:eastAsia="Calibri" w:hAnsi="Times New Roman" w:cs="Times New Roman"/>
          <w:lang w:val="hr-HR"/>
        </w:rPr>
      </w:pPr>
      <w:r w:rsidRPr="002C4D9A">
        <w:rPr>
          <w:rFonts w:ascii="Times New Roman" w:eastAsia="Calibri" w:hAnsi="Times New Roman" w:cs="Times New Roman"/>
          <w:lang w:val="hr-HR"/>
        </w:rPr>
        <w:t>U kliničkim ispitivanjima i u postmarketinškom praćenju prijavljen je: karcinom dojke kod muškaraca (vidjeti dio 4.4).</w:t>
      </w:r>
    </w:p>
    <w:p w:rsidR="002C4D9A" w:rsidRPr="002C4D9A" w:rsidRDefault="002C4D9A" w:rsidP="002C4D9A">
      <w:pPr>
        <w:spacing w:after="0" w:line="240" w:lineRule="auto"/>
        <w:jc w:val="both"/>
        <w:rPr>
          <w:rFonts w:ascii="Times New Roman" w:eastAsia="Calibri" w:hAnsi="Times New Roman" w:cs="Times New Roman"/>
          <w:lang w:val="hr-HR"/>
        </w:rPr>
      </w:pPr>
    </w:p>
    <w:p w:rsidR="002C4D9A" w:rsidRPr="002C4D9A" w:rsidRDefault="002C4D9A" w:rsidP="002C4D9A">
      <w:pPr>
        <w:spacing w:after="200" w:line="240" w:lineRule="auto"/>
        <w:jc w:val="both"/>
        <w:rPr>
          <w:rFonts w:ascii="Times New Roman" w:eastAsia="Calibri" w:hAnsi="Times New Roman" w:cs="Times New Roman"/>
          <w:u w:val="single"/>
          <w:lang w:val="hr-HR"/>
        </w:rPr>
      </w:pPr>
      <w:r w:rsidRPr="002C4D9A">
        <w:rPr>
          <w:rFonts w:ascii="Times New Roman" w:eastAsia="Calibri" w:hAnsi="Times New Roman" w:cs="Times New Roman"/>
          <w:u w:val="single"/>
          <w:lang w:val="hr-HR"/>
        </w:rPr>
        <w:t>Prijavljivanje sumnji na neželjena dejstva</w:t>
      </w:r>
    </w:p>
    <w:p w:rsidR="002C4D9A" w:rsidRPr="002C4D9A" w:rsidRDefault="002C4D9A" w:rsidP="002C4D9A">
      <w:pPr>
        <w:spacing w:after="200" w:line="240" w:lineRule="auto"/>
        <w:jc w:val="both"/>
        <w:rPr>
          <w:rFonts w:ascii="Times New Roman" w:eastAsia="Calibri" w:hAnsi="Times New Roman" w:cs="Times New Roman"/>
          <w:lang w:val="hr-HR"/>
        </w:rPr>
      </w:pPr>
      <w:r w:rsidRPr="002C4D9A">
        <w:rPr>
          <w:rFonts w:ascii="Times New Roman" w:eastAsia="Calibri" w:hAnsi="Times New Roman" w:cs="Times New Roman"/>
          <w:lang w:val="hr-HR"/>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2C4D9A" w:rsidRPr="002C4D9A" w:rsidRDefault="002C4D9A" w:rsidP="002C4D9A">
      <w:pPr>
        <w:spacing w:after="0" w:line="240" w:lineRule="auto"/>
        <w:jc w:val="both"/>
        <w:rPr>
          <w:rFonts w:ascii="Times New Roman" w:eastAsia="Calibri" w:hAnsi="Times New Roman" w:cs="Times New Roman"/>
        </w:rPr>
      </w:pPr>
      <w:r w:rsidRPr="002C4D9A">
        <w:rPr>
          <w:rFonts w:ascii="Times New Roman" w:eastAsia="Calibri" w:hAnsi="Times New Roman" w:cs="Times New Roman"/>
        </w:rPr>
        <w:t>Agencija za ljekove i medicinska sredstva Crne Gore</w:t>
      </w:r>
    </w:p>
    <w:p w:rsidR="002C4D9A" w:rsidRPr="002C4D9A" w:rsidRDefault="002C4D9A" w:rsidP="002C4D9A">
      <w:pPr>
        <w:spacing w:after="0" w:line="240" w:lineRule="auto"/>
        <w:jc w:val="both"/>
        <w:rPr>
          <w:rFonts w:ascii="Times New Roman" w:eastAsia="Calibri" w:hAnsi="Times New Roman" w:cs="Times New Roman"/>
        </w:rPr>
      </w:pPr>
      <w:r w:rsidRPr="002C4D9A">
        <w:rPr>
          <w:rFonts w:ascii="Times New Roman" w:eastAsia="Calibri" w:hAnsi="Times New Roman" w:cs="Times New Roman"/>
        </w:rPr>
        <w:t>Odjeljenje za farmakovigilancu</w:t>
      </w:r>
    </w:p>
    <w:p w:rsidR="002C4D9A" w:rsidRPr="002C4D9A" w:rsidRDefault="002C4D9A" w:rsidP="002C4D9A">
      <w:pPr>
        <w:spacing w:after="0" w:line="240" w:lineRule="auto"/>
        <w:jc w:val="both"/>
        <w:rPr>
          <w:rFonts w:ascii="Times New Roman" w:eastAsia="Calibri" w:hAnsi="Times New Roman" w:cs="Times New Roman"/>
        </w:rPr>
      </w:pPr>
      <w:r w:rsidRPr="002C4D9A">
        <w:rPr>
          <w:rFonts w:ascii="Times New Roman" w:eastAsia="Calibri" w:hAnsi="Times New Roman" w:cs="Times New Roman"/>
        </w:rPr>
        <w:t>Bulevar Ivana Crnojevića 64a, 81000 Podgorica</w:t>
      </w:r>
    </w:p>
    <w:p w:rsidR="002C4D9A" w:rsidRPr="002C4D9A" w:rsidRDefault="002C4D9A" w:rsidP="002C4D9A">
      <w:pPr>
        <w:spacing w:after="0" w:line="240" w:lineRule="auto"/>
        <w:jc w:val="both"/>
        <w:rPr>
          <w:rFonts w:ascii="Times New Roman" w:eastAsia="Calibri" w:hAnsi="Times New Roman" w:cs="Times New Roman"/>
        </w:rPr>
      </w:pPr>
    </w:p>
    <w:p w:rsidR="002C4D9A" w:rsidRPr="002C4D9A" w:rsidRDefault="002C4D9A" w:rsidP="002C4D9A">
      <w:pPr>
        <w:spacing w:after="0" w:line="240" w:lineRule="auto"/>
        <w:jc w:val="both"/>
        <w:rPr>
          <w:rFonts w:ascii="Times New Roman" w:eastAsia="Calibri" w:hAnsi="Times New Roman" w:cs="Times New Roman"/>
        </w:rPr>
      </w:pPr>
      <w:r w:rsidRPr="002C4D9A">
        <w:rPr>
          <w:rFonts w:ascii="Times New Roman" w:eastAsia="Calibri" w:hAnsi="Times New Roman" w:cs="Times New Roman"/>
        </w:rPr>
        <w:t>tel: +382 (0) 20 310 280</w:t>
      </w:r>
    </w:p>
    <w:p w:rsidR="002C4D9A" w:rsidRPr="002C4D9A" w:rsidRDefault="002C4D9A" w:rsidP="002C4D9A">
      <w:pPr>
        <w:spacing w:after="0" w:line="240" w:lineRule="auto"/>
        <w:jc w:val="both"/>
        <w:rPr>
          <w:rFonts w:ascii="Times New Roman" w:eastAsia="Calibri" w:hAnsi="Times New Roman" w:cs="Times New Roman"/>
        </w:rPr>
      </w:pPr>
      <w:r w:rsidRPr="002C4D9A">
        <w:rPr>
          <w:rFonts w:ascii="Times New Roman" w:eastAsia="Calibri" w:hAnsi="Times New Roman" w:cs="Times New Roman"/>
        </w:rPr>
        <w:t>fax: +382 (0) 20 310 581</w:t>
      </w:r>
    </w:p>
    <w:p w:rsidR="002C4D9A" w:rsidRPr="002C4D9A" w:rsidRDefault="0032330B" w:rsidP="002C4D9A">
      <w:pPr>
        <w:spacing w:after="0" w:line="240" w:lineRule="auto"/>
        <w:jc w:val="both"/>
        <w:rPr>
          <w:rFonts w:ascii="Times New Roman" w:eastAsia="Calibri" w:hAnsi="Times New Roman" w:cs="Times New Roman"/>
        </w:rPr>
      </w:pPr>
      <w:hyperlink r:id="rId8" w:history="1">
        <w:r w:rsidR="002C4D9A" w:rsidRPr="002C4D9A">
          <w:rPr>
            <w:rFonts w:ascii="Times New Roman" w:eastAsia="Calibri" w:hAnsi="Times New Roman" w:cs="Times New Roman"/>
            <w:color w:val="0000FF"/>
            <w:u w:val="single"/>
          </w:rPr>
          <w:t>www.calims.me</w:t>
        </w:r>
      </w:hyperlink>
    </w:p>
    <w:p w:rsidR="002C4D9A" w:rsidRPr="002C4D9A" w:rsidRDefault="0032330B" w:rsidP="002C4D9A">
      <w:pPr>
        <w:spacing w:after="0" w:line="240" w:lineRule="auto"/>
        <w:jc w:val="both"/>
        <w:rPr>
          <w:rFonts w:ascii="Times New Roman" w:eastAsia="Calibri" w:hAnsi="Times New Roman" w:cs="Times New Roman"/>
          <w:color w:val="0000FF"/>
          <w:u w:val="single"/>
        </w:rPr>
      </w:pPr>
      <w:hyperlink r:id="rId9" w:history="1">
        <w:r w:rsidR="002C4D9A" w:rsidRPr="002C4D9A">
          <w:rPr>
            <w:rFonts w:ascii="Times New Roman" w:eastAsia="Calibri" w:hAnsi="Times New Roman" w:cs="Times New Roman"/>
            <w:color w:val="0000FF"/>
            <w:u w:val="single"/>
          </w:rPr>
          <w:t>nezeljenadejstva@calims.me</w:t>
        </w:r>
      </w:hyperlink>
    </w:p>
    <w:p w:rsidR="002C4D9A" w:rsidRPr="002C4D9A" w:rsidRDefault="002C4D9A" w:rsidP="002C4D9A">
      <w:pPr>
        <w:spacing w:after="0" w:line="240" w:lineRule="auto"/>
        <w:jc w:val="both"/>
        <w:rPr>
          <w:rFonts w:ascii="Times New Roman" w:eastAsia="Calibri" w:hAnsi="Times New Roman" w:cs="Times New Roman"/>
        </w:rPr>
      </w:pPr>
      <w:r w:rsidRPr="002C4D9A">
        <w:rPr>
          <w:rFonts w:ascii="Times New Roman" w:eastAsia="Calibri" w:hAnsi="Times New Roman" w:cs="Times New Roman"/>
        </w:rPr>
        <w:t>putem IS zdravstvene zaštite</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bCs/>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bCs/>
        </w:rPr>
      </w:pPr>
      <w:r w:rsidRPr="002C4D9A">
        <w:rPr>
          <w:rFonts w:ascii="Times New Roman" w:eastAsia="Times New Roman" w:hAnsi="Times New Roman" w:cs="Times New Roman"/>
          <w:b/>
          <w:bCs/>
        </w:rPr>
        <w:t xml:space="preserve">4.9. </w:t>
      </w:r>
      <w:r w:rsidRPr="002C4D9A">
        <w:rPr>
          <w:rFonts w:ascii="Times New Roman" w:eastAsia="Times New Roman" w:hAnsi="Times New Roman" w:cs="Times New Roman"/>
          <w:b/>
          <w:bCs/>
        </w:rPr>
        <w:tab/>
        <w:t xml:space="preserve">Predoziranje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Cs/>
          <w:lang w:val="hr-HR"/>
        </w:rPr>
      </w:pPr>
      <w:r w:rsidRPr="002C4D9A">
        <w:rPr>
          <w:rFonts w:ascii="Times New Roman" w:eastAsia="Times New Roman" w:hAnsi="Times New Roman" w:cs="Times New Roman"/>
          <w:bCs/>
          <w:iCs/>
          <w:lang w:val="hr-HR"/>
        </w:rPr>
        <w:t xml:space="preserve">U ispitivanjima kod zdravih ispitanika primijenjene su pojedinačne dnevne doze do 40 mg na dan (doza 80 puta veća od terapijske) tokom 7 dana i nijesu primijećeni značajni uticaji na bezbjednost pacijenata.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Cs/>
          <w:lang w:val="hr-HR"/>
        </w:rPr>
      </w:pPr>
      <w:r w:rsidRPr="002C4D9A">
        <w:rPr>
          <w:rFonts w:ascii="Times New Roman" w:eastAsia="Times New Roman" w:hAnsi="Times New Roman" w:cs="Times New Roman"/>
          <w:bCs/>
          <w:iCs/>
          <w:lang w:val="hr-HR"/>
        </w:rPr>
        <w:t>U kliničkim ispitivanjima primijenjene su doze od 5 mg na dan tokom 6 mjeseci i nijesu zabilježena dodatna neželjena dejstva u odnosu na terapijske doze od 0,5 mg.</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Cs/>
          <w:lang w:val="hr-HR"/>
        </w:rPr>
      </w:pPr>
      <w:r w:rsidRPr="002C4D9A">
        <w:rPr>
          <w:rFonts w:ascii="Times New Roman" w:eastAsia="Times New Roman" w:hAnsi="Times New Roman" w:cs="Times New Roman"/>
          <w:bCs/>
          <w:iCs/>
          <w:lang w:val="hr-HR"/>
        </w:rPr>
        <w:t>Ne postoji specifični antidot za dutasterid, stoga kod sumnje na predoziranje treba primijeniti simptomatsku i suportivnu terapiju.</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bCs/>
        </w:rPr>
      </w:pPr>
      <w:r w:rsidRPr="002C4D9A">
        <w:rPr>
          <w:rFonts w:ascii="Times New Roman" w:eastAsia="Times New Roman" w:hAnsi="Times New Roman" w:cs="Times New Roman"/>
          <w:b/>
          <w:bCs/>
        </w:rPr>
        <w:t xml:space="preserve">5. </w:t>
      </w:r>
      <w:r w:rsidRPr="002C4D9A">
        <w:rPr>
          <w:rFonts w:ascii="Times New Roman" w:eastAsia="Times New Roman" w:hAnsi="Times New Roman" w:cs="Times New Roman"/>
          <w:b/>
          <w:bCs/>
        </w:rPr>
        <w:tab/>
        <w:t>FARMAKOLOŠKI PODACI</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bCs/>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bCs/>
        </w:rPr>
      </w:pPr>
      <w:r w:rsidRPr="002C4D9A">
        <w:rPr>
          <w:rFonts w:ascii="Times New Roman" w:eastAsia="Times New Roman" w:hAnsi="Times New Roman" w:cs="Times New Roman"/>
          <w:b/>
          <w:bCs/>
        </w:rPr>
        <w:t xml:space="preserve">5.1. </w:t>
      </w:r>
      <w:r w:rsidRPr="002C4D9A">
        <w:rPr>
          <w:rFonts w:ascii="Times New Roman" w:eastAsia="Times New Roman" w:hAnsi="Times New Roman" w:cs="Times New Roman"/>
          <w:b/>
          <w:bCs/>
        </w:rPr>
        <w:tab/>
        <w:t xml:space="preserve">Farmakodinamski podaci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bCs/>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rPr>
      </w:pPr>
      <w:r w:rsidRPr="002C4D9A">
        <w:rPr>
          <w:rFonts w:ascii="Times New Roman" w:eastAsia="Times New Roman" w:hAnsi="Times New Roman" w:cs="Times New Roman"/>
          <w:bCs/>
        </w:rPr>
        <w:t>Farmakoterapijska grupa:</w:t>
      </w:r>
      <w:r w:rsidRPr="002C4D9A">
        <w:rPr>
          <w:rFonts w:ascii="Times New Roman" w:eastAsia="Times New Roman" w:hAnsi="Times New Roman" w:cs="Times New Roman"/>
          <w:lang w:val="pt-BR"/>
        </w:rPr>
        <w:t xml:space="preserve"> </w:t>
      </w:r>
      <w:r w:rsidRPr="002C4D9A">
        <w:rPr>
          <w:rFonts w:ascii="Times New Roman" w:eastAsia="Times New Roman" w:hAnsi="Times New Roman" w:cs="Times New Roman"/>
          <w:bCs/>
          <w:lang w:val="pt-BR"/>
        </w:rPr>
        <w:t>Inhibitori testosteron 5-alfa reduktaze.</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pt-BR"/>
        </w:rPr>
      </w:pPr>
      <w:r w:rsidRPr="002C4D9A">
        <w:rPr>
          <w:rFonts w:ascii="Times New Roman" w:eastAsia="Times New Roman" w:hAnsi="Times New Roman" w:cs="Times New Roman"/>
          <w:bCs/>
        </w:rPr>
        <w:t>ATC kod:</w:t>
      </w:r>
      <w:r w:rsidRPr="002C4D9A">
        <w:rPr>
          <w:rFonts w:ascii="Times New Roman" w:eastAsia="Times New Roman" w:hAnsi="Times New Roman" w:cs="Times New Roman"/>
          <w:lang w:val="pt-BR"/>
        </w:rPr>
        <w:t xml:space="preserve"> </w:t>
      </w:r>
      <w:r w:rsidRPr="002C4D9A">
        <w:rPr>
          <w:rFonts w:ascii="Times New Roman" w:eastAsia="Times New Roman" w:hAnsi="Times New Roman" w:cs="Times New Roman"/>
          <w:bCs/>
          <w:lang w:val="pt-BR"/>
        </w:rPr>
        <w:t>G04CB02</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pt-B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lastRenderedPageBreak/>
        <w:t>Dutasterid smanjuje nivo dihidrotestosterona (DHT) u cirkulaciji sprečavajući i tip I i tip II izoenzima 5α-reduktaze, koji su odgovorni za pretvaranje testosterona u 5α-dihidrotestosteron (DHT).</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DUTASTERID KAO MONOTERAPIJA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
          <w:i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
          <w:iCs/>
          <w:lang w:val="hr-HR"/>
        </w:rPr>
      </w:pPr>
      <w:r w:rsidRPr="002C4D9A">
        <w:rPr>
          <w:rFonts w:ascii="Times New Roman" w:eastAsia="Times New Roman" w:hAnsi="Times New Roman" w:cs="Times New Roman"/>
          <w:bCs/>
          <w:i/>
          <w:iCs/>
          <w:lang w:val="hr-HR"/>
        </w:rPr>
        <w:t>Djelovanje na DHT/testosteron:</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Djelovanje dnevnih doza dutasterida na smanjenje DHT je dozno zavisno i može se primijetiti unutar 1-2 sedmice (smanjenje od 85% i 90%).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Kod pacijenata s BHP liječenih dutasteridom 0,5 mg/dan, prosječni nivo smanjenja DHT u serumu je bio 94% u prvoj godini, 93% u drugoj godini, a prosječni nivo povećanja testosterona u serumu bio je 19% i u prvoj i u drugoj godini.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
          <w:i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
          <w:iCs/>
          <w:lang w:val="hr-HR"/>
        </w:rPr>
      </w:pPr>
      <w:r w:rsidRPr="002C4D9A">
        <w:rPr>
          <w:rFonts w:ascii="Times New Roman" w:eastAsia="Times New Roman" w:hAnsi="Times New Roman" w:cs="Times New Roman"/>
          <w:bCs/>
          <w:i/>
          <w:iCs/>
          <w:lang w:val="hr-HR"/>
        </w:rPr>
        <w:t>Djelovanje na volumen prostate:</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Značajno smanjenje volumena prostate zabilježeno je već mjesec dana nakon početka liječenja, te se nastavilo tokom 24 mjeseca (p&lt;0,001). Dutasterid je doveo do prosječnog smanjenja ukupnog volumena prostate od 23,6% (sa 54,9 cm</w:t>
      </w:r>
      <w:r w:rsidRPr="002C4D9A">
        <w:rPr>
          <w:rFonts w:ascii="Times New Roman" w:eastAsia="Times New Roman" w:hAnsi="Times New Roman" w:cs="Times New Roman"/>
          <w:bCs/>
          <w:vertAlign w:val="superscript"/>
          <w:lang w:val="hr-HR"/>
        </w:rPr>
        <w:t>3</w:t>
      </w:r>
      <w:r w:rsidRPr="002C4D9A">
        <w:rPr>
          <w:rFonts w:ascii="Times New Roman" w:eastAsia="Times New Roman" w:hAnsi="Times New Roman" w:cs="Times New Roman"/>
          <w:bCs/>
          <w:lang w:val="hr-HR"/>
        </w:rPr>
        <w:t xml:space="preserve"> na početku na 42,1 cm</w:t>
      </w:r>
      <w:r w:rsidRPr="002C4D9A">
        <w:rPr>
          <w:rFonts w:ascii="Times New Roman" w:eastAsia="Times New Roman" w:hAnsi="Times New Roman" w:cs="Times New Roman"/>
          <w:bCs/>
          <w:vertAlign w:val="superscript"/>
          <w:lang w:val="hr-HR"/>
        </w:rPr>
        <w:t>3</w:t>
      </w:r>
      <w:r w:rsidRPr="002C4D9A">
        <w:rPr>
          <w:rFonts w:ascii="Times New Roman" w:eastAsia="Times New Roman" w:hAnsi="Times New Roman" w:cs="Times New Roman"/>
          <w:bCs/>
          <w:lang w:val="hr-HR"/>
        </w:rPr>
        <w:t>) nakon 12 mjeseci liječenja, u poređenju sa prosječnim smanjenjem od 0,5% (sa 54,0 cm</w:t>
      </w:r>
      <w:r w:rsidRPr="002C4D9A">
        <w:rPr>
          <w:rFonts w:ascii="Times New Roman" w:eastAsia="Times New Roman" w:hAnsi="Times New Roman" w:cs="Times New Roman"/>
          <w:bCs/>
          <w:vertAlign w:val="superscript"/>
          <w:lang w:val="hr-HR"/>
        </w:rPr>
        <w:t>3</w:t>
      </w:r>
      <w:r w:rsidRPr="002C4D9A">
        <w:rPr>
          <w:rFonts w:ascii="Times New Roman" w:eastAsia="Times New Roman" w:hAnsi="Times New Roman" w:cs="Times New Roman"/>
          <w:bCs/>
          <w:lang w:val="hr-HR"/>
        </w:rPr>
        <w:t xml:space="preserve"> na 53,7 cm</w:t>
      </w:r>
      <w:r w:rsidRPr="002C4D9A">
        <w:rPr>
          <w:rFonts w:ascii="Times New Roman" w:eastAsia="Times New Roman" w:hAnsi="Times New Roman" w:cs="Times New Roman"/>
          <w:bCs/>
          <w:vertAlign w:val="superscript"/>
          <w:lang w:val="hr-HR"/>
        </w:rPr>
        <w:t>3</w:t>
      </w:r>
      <w:r w:rsidRPr="002C4D9A">
        <w:rPr>
          <w:rFonts w:ascii="Times New Roman" w:eastAsia="Times New Roman" w:hAnsi="Times New Roman" w:cs="Times New Roman"/>
          <w:bCs/>
          <w:lang w:val="hr-HR"/>
        </w:rPr>
        <w:t>) u grupi koja je primala placebo. Takođe su već nakon mjesec dana zabilježena značajna (p&lt;0,001) smanjenja volumena prelazne zone prostate, koja su nastavljena tokom 24 mjeseca, s prosječnim smanjenjem volumena prelazne zone prostate od 17,8% (sa 26,8 cm</w:t>
      </w:r>
      <w:r w:rsidRPr="002C4D9A">
        <w:rPr>
          <w:rFonts w:ascii="Times New Roman" w:eastAsia="Times New Roman" w:hAnsi="Times New Roman" w:cs="Times New Roman"/>
          <w:bCs/>
          <w:vertAlign w:val="superscript"/>
          <w:lang w:val="hr-HR"/>
        </w:rPr>
        <w:t>3</w:t>
      </w:r>
      <w:r w:rsidRPr="002C4D9A">
        <w:rPr>
          <w:rFonts w:ascii="Times New Roman" w:eastAsia="Times New Roman" w:hAnsi="Times New Roman" w:cs="Times New Roman"/>
          <w:bCs/>
          <w:lang w:val="hr-HR"/>
        </w:rPr>
        <w:t xml:space="preserve"> na početku na 21,4 cm</w:t>
      </w:r>
      <w:r w:rsidRPr="002C4D9A">
        <w:rPr>
          <w:rFonts w:ascii="Times New Roman" w:eastAsia="Times New Roman" w:hAnsi="Times New Roman" w:cs="Times New Roman"/>
          <w:bCs/>
          <w:vertAlign w:val="superscript"/>
          <w:lang w:val="hr-HR"/>
        </w:rPr>
        <w:t>3</w:t>
      </w:r>
      <w:r w:rsidRPr="002C4D9A">
        <w:rPr>
          <w:rFonts w:ascii="Times New Roman" w:eastAsia="Times New Roman" w:hAnsi="Times New Roman" w:cs="Times New Roman"/>
          <w:bCs/>
          <w:lang w:val="hr-HR"/>
        </w:rPr>
        <w:t>) u grupi koja je primala dutasterid, u poređenju sa prosječnim povećanjem volumena prelazne zone prostate od 7,9% (s 26,8 cm</w:t>
      </w:r>
      <w:r w:rsidRPr="002C4D9A">
        <w:rPr>
          <w:rFonts w:ascii="Times New Roman" w:eastAsia="Times New Roman" w:hAnsi="Times New Roman" w:cs="Times New Roman"/>
          <w:bCs/>
          <w:vertAlign w:val="superscript"/>
          <w:lang w:val="hr-HR"/>
        </w:rPr>
        <w:t>3</w:t>
      </w:r>
      <w:r w:rsidRPr="002C4D9A">
        <w:rPr>
          <w:rFonts w:ascii="Times New Roman" w:eastAsia="Times New Roman" w:hAnsi="Times New Roman" w:cs="Times New Roman"/>
          <w:bCs/>
          <w:lang w:val="hr-HR"/>
        </w:rPr>
        <w:t xml:space="preserve"> na 27,5 cm</w:t>
      </w:r>
      <w:r w:rsidRPr="002C4D9A">
        <w:rPr>
          <w:rFonts w:ascii="Times New Roman" w:eastAsia="Times New Roman" w:hAnsi="Times New Roman" w:cs="Times New Roman"/>
          <w:bCs/>
          <w:vertAlign w:val="superscript"/>
          <w:lang w:val="hr-HR"/>
        </w:rPr>
        <w:t>3</w:t>
      </w:r>
      <w:r w:rsidRPr="002C4D9A">
        <w:rPr>
          <w:rFonts w:ascii="Times New Roman" w:eastAsia="Times New Roman" w:hAnsi="Times New Roman" w:cs="Times New Roman"/>
          <w:bCs/>
          <w:lang w:val="hr-HR"/>
        </w:rPr>
        <w:t xml:space="preserve">) u grupi koja je primala placebo nakon 12 mjeseci. Smanjenje volumena prostate vidljivo tokom prve dvije godine liječenja u sklopu dvostruko slijepog ispitivanja, održano je i tokom dodatne dvije godine liječenja u sklopu nastavka otvorenog kliničkog ispitivanja.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Smanjenje veličine prostate dovodi do poboljšavanja simptoma i umanjuje rizik za AUR i operaciju prostate zbog BHP.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
          <w:u w:val="single"/>
          <w:lang w:val="hr-HR"/>
        </w:rPr>
      </w:pPr>
      <w:r w:rsidRPr="002C4D9A">
        <w:rPr>
          <w:rFonts w:ascii="Times New Roman" w:eastAsia="Times New Roman" w:hAnsi="Times New Roman" w:cs="Times New Roman"/>
          <w:bCs/>
          <w:i/>
          <w:u w:val="single"/>
          <w:lang w:val="hr-HR"/>
        </w:rPr>
        <w:t>Klinička ispitivanja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Dutasterid 0,5 mg/dan je poređen s placebom kod 4325 muških ispitanika s umjerenim do teškim simptomima BHP, koji su imali prostatu volumena ≥ 30 cm</w:t>
      </w:r>
      <w:r w:rsidRPr="002C4D9A">
        <w:rPr>
          <w:rFonts w:ascii="Times New Roman" w:eastAsia="Times New Roman" w:hAnsi="Times New Roman" w:cs="Times New Roman"/>
          <w:bCs/>
          <w:vertAlign w:val="superscript"/>
          <w:lang w:val="hr-HR"/>
        </w:rPr>
        <w:t>3</w:t>
      </w:r>
      <w:r w:rsidRPr="002C4D9A">
        <w:rPr>
          <w:rFonts w:ascii="Times New Roman" w:eastAsia="Times New Roman" w:hAnsi="Times New Roman" w:cs="Times New Roman"/>
          <w:bCs/>
          <w:lang w:val="hr-HR"/>
        </w:rPr>
        <w:t xml:space="preserve"> i vrijednost PSA unutar 1,5 - 10 ng/ml, u tri dvogodišnja, multicentrična, multinacionalna, placebo kontrolisana, dvostruko-slijepa ispitivanja primarne efikasnosti. Ispitivanja su produžena do 4 godine, kao nastavak otvorenog ispitivanja, sa svim preostalim pacijentima u ispitivanju na terapiji dutasteridom od 0,5 mg. 37% početno placebo-randomizovanih pacijenata i 40% dutasterid-randomizovanih pacijenata učestvovalo je u četvorogodišnjem ispitivanju. Većina (71%) od 2340 ispitanika uključenih u nastavak otvorenog ispitivanja završilo je dvije dodatne godine tzv. „open-label“ liječenja.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Najvažniji parametri kliničke efikasnosti bili su Indeks simptoma Američkog urološkog društva (AUA-SI od </w:t>
      </w:r>
      <w:r w:rsidRPr="002C4D9A">
        <w:rPr>
          <w:rFonts w:ascii="Times New Roman" w:eastAsia="Times New Roman" w:hAnsi="Times New Roman" w:cs="Times New Roman"/>
          <w:bCs/>
          <w:i/>
          <w:iCs/>
          <w:lang w:val="hr-HR"/>
        </w:rPr>
        <w:t>engl</w:t>
      </w:r>
      <w:r w:rsidRPr="002C4D9A">
        <w:rPr>
          <w:rFonts w:ascii="Times New Roman" w:eastAsia="Times New Roman" w:hAnsi="Times New Roman" w:cs="Times New Roman"/>
          <w:bCs/>
          <w:lang w:val="hr-HR"/>
        </w:rPr>
        <w:t xml:space="preserve">. </w:t>
      </w:r>
      <w:r w:rsidRPr="002C4D9A">
        <w:rPr>
          <w:rFonts w:ascii="Times New Roman" w:eastAsia="Times New Roman" w:hAnsi="Times New Roman" w:cs="Times New Roman"/>
          <w:bCs/>
          <w:i/>
          <w:iCs/>
          <w:lang w:val="hr-HR"/>
        </w:rPr>
        <w:t>American Urological Association Symptom Index</w:t>
      </w:r>
      <w:r w:rsidRPr="002C4D9A">
        <w:rPr>
          <w:rFonts w:ascii="Times New Roman" w:eastAsia="Times New Roman" w:hAnsi="Times New Roman" w:cs="Times New Roman"/>
          <w:bCs/>
          <w:lang w:val="hr-HR"/>
        </w:rPr>
        <w:t xml:space="preserve">), maksimalni protok urina (Qmax) i  učestalost akutne urinarne retencije i operacija prostate zbog BHP.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AUA-SI je upitnik sa sedam pitanja o simptomima BHP, s maksimalnim zbirom od 35 bodova. Na početku je prosječni rezultat bio 17. Nakon 6 mjeseci i  jedne odnosno dvije godine liječenja, grupa koja je primala placebo pokazala je prosječno poboljšanje za 2,5 (6 mjeseci), 2,5 (1. godina) i 2,3 (2. godina) boda, dok je grupa koja je primala dutasterid pokazala poboljšanje za 3,2, 3,8 i 4,5 boda. Razlike između grupa su bile statistički značajne. Poboljšanje u AUA-SI vidljivo tokom prve dvije godine dvostruko-slijepe terapije je održano i tokom dodatne dvije godine nastavka otvorenog ispitivanja.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
          <w:iCs/>
          <w:lang w:val="hr-HR"/>
        </w:rPr>
      </w:pPr>
      <w:r w:rsidRPr="002C4D9A">
        <w:rPr>
          <w:rFonts w:ascii="Times New Roman" w:eastAsia="Times New Roman" w:hAnsi="Times New Roman" w:cs="Times New Roman"/>
          <w:bCs/>
          <w:i/>
          <w:iCs/>
          <w:lang w:val="hr-HR"/>
        </w:rPr>
        <w:lastRenderedPageBreak/>
        <w:t>Qmax (maksimalni protok urina)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Prosječna početna vrijednost Qmax u ispitivanjima bila je oko 10 m/s (normalni Qmax ≥ 15 ml/s). Nakon godinu dana protok urina se u grupi koja je primala placebo poboljšao za 0,8 ml/s, a nakon dvije godine za 0,9 ml/s, dok je poboljšanje u dutasterid grupi bilo 1,7 (prva godina) i 2,0 ml/s (druga godina). Razlika između grupa je bila statistički značajna od prvog do 24. mjeseca. Povećanje stope maksimalnog protoka urina vidljivo tokom prve dvije godine dvostruko-slijepe terapije, održano je tokom i dodatne dvije godine nastavka otvorenog ispitivanja.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
          <w:iCs/>
          <w:lang w:val="hr-HR"/>
        </w:rPr>
      </w:pPr>
      <w:r w:rsidRPr="002C4D9A">
        <w:rPr>
          <w:rFonts w:ascii="Times New Roman" w:eastAsia="Times New Roman" w:hAnsi="Times New Roman" w:cs="Times New Roman"/>
          <w:bCs/>
          <w:i/>
          <w:iCs/>
          <w:lang w:val="hr-HR"/>
        </w:rPr>
        <w:t>Akutna urinarna retencija i hirurška intervencija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Nakon 2 godine liječenja incidenca AUR bila je 4,2% u grupi koja je primala placebo prema 1,8 u grupi liječenoj dutasteridom (smanjenje rizika za 57%). Ova razlika je statistički značajna i ukazuje da treba liječiti 42 pacijenta (95% CI: 30-73) tokom 2 godine kako bi se izbjegao jedan slučaj AUR.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Učestalost operacija prostate zbog BHP nakon 2 godine liječenja bila je 4,1% u grupi koja je primala placebo te 2,2% u grupi liječenoj dutasteridom (smanjenje rizika za 48%). Ova razlika je statistički značajna i znači da treba liječiti 51 pacijenta (95% CI: 33-109) tokom 2 godine kako bi se izbjegla jedna hirurška intervencija.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
          <w:iCs/>
          <w:lang w:val="hr-HR"/>
        </w:rPr>
      </w:pPr>
      <w:r w:rsidRPr="002C4D9A">
        <w:rPr>
          <w:rFonts w:ascii="Times New Roman" w:eastAsia="Times New Roman" w:hAnsi="Times New Roman" w:cs="Times New Roman"/>
          <w:bCs/>
          <w:i/>
          <w:iCs/>
          <w:lang w:val="hr-HR"/>
        </w:rPr>
        <w:t>Gustina kose</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Efekat dutasterida na gustinu kose nije formalno ispitivan tokom ispitivanja faze III, međutim, inhibitori 5-alfa reduktaze mogu smanjiti gubitak kose i mogu pokrenuti rast kose kod osoba s muškom androgenom alopecijom.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
          <w:iCs/>
          <w:lang w:val="hr-HR"/>
        </w:rPr>
      </w:pPr>
      <w:r w:rsidRPr="002C4D9A">
        <w:rPr>
          <w:rFonts w:ascii="Times New Roman" w:eastAsia="Times New Roman" w:hAnsi="Times New Roman" w:cs="Times New Roman"/>
          <w:bCs/>
          <w:i/>
          <w:iCs/>
          <w:lang w:val="hr-HR"/>
        </w:rPr>
        <w:t>Funkcija štitaste žlijezde</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Funkcija štitaste žlijezde je proučavana u jednogodišnjem ispitivanju kod zdravih muškaraca.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Nivoi slobodnog tiroksina ostali su stabilni tokom liječenja dutasteridom, ali su nivoi TSH bili blago povišeni (za 0,4 MCIU/ml) u odnosu na placebo na kraju jednogodišnje terapije. Međutim, budući da su nivoi TSH bili varijabilni, da je prosječni nivo raspona TSH (1,4 - 1,9 MCIU/ml) ostao unutar normalnih granica (0,5 - 5/6 MCIU/ml), da su nivoi slobodnog tiroksina bili stabilni unutar normalnog raspona i slični za placebo i dutasterid, promjene u TSH ne smatraju se klinički značajnim. Ni jedno kliničko ispitivanje nije pokazalo da dutasterid štetno utiče na funkciju štitaste žlijezde.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
          <w:iCs/>
          <w:lang w:val="hr-HR"/>
        </w:rPr>
      </w:pPr>
      <w:r w:rsidRPr="002C4D9A">
        <w:rPr>
          <w:rFonts w:ascii="Times New Roman" w:eastAsia="Times New Roman" w:hAnsi="Times New Roman" w:cs="Times New Roman"/>
          <w:bCs/>
          <w:i/>
          <w:iCs/>
          <w:lang w:val="hr-HR"/>
        </w:rPr>
        <w:t>Neoplazija dojki</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U dvogodišnjem kliničkom ispitivanju, u kom je izloženost dutasteridu iznosila 3374 pacijent-godina i koje je u vrijeme registracije produženo za dvije godine otvorenim ispitivanjem, zabilježena su 2 slučaja karcinoma dojke kod muškaraca u grupi pacijenata koji su primali dutasterid i 1 slučaj u grupi koja je primala placebo. U dva četvorogodišnja ispitivanja, CombAT i REDUCE, tokom kojih je izloženost dutasteridu iznosila 17489 pacijent-godina i izloženost kombinaciji dutasterida i tamsulosina 5027 pacijent-godina, nije bilo prijavljenih slučajeva karcinoma dojke ni u jednoj od ispitivanih grupa.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Dva epidemiološka ispitivanja uporednih grupa, od kojih se jedno sprovodilo u SAD-u (n=339 slučajeva karcinoma dojke i n= 6780 u kontrolnoj grupi), a drugo se temelji na bazi podataka iz Ujedinjenog Kraljevstva (n=398 slučajeva karcinoma dojke i n=3930 u kontrolnoj grupi) nijesu pokazala porast rizika za razvoj karcinoma dojke kod muškaraca koji su uzimali inhibitore 5-alfa reduktaze (vidjeti dio 4.4.). Rezultati prvog ispitivanja nijesu pokazali pozitivnu povezanost karcinoma dojke kod muškaraca (relativni rizik za ≥ 1 godine primjene prije dijagnoze karcinoma dojke u poređenju sa &lt; 1 godine primjene: 0,70: 95% CI 0,34, 1,45). U drugom ispitivanju, procijenjeni odnos izgleda za karcinom dojke povezan s primjenom inhibitora 5-alfa reduktaze u poređenju  sa odsustvom primjene bio je 1,08: 95% CI 0,62, 1,87).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lastRenderedPageBreak/>
        <w:t xml:space="preserve">Povezanost između pojave karcinoma dojke kod muškaraca i dugotrajne upotrebe dutasterida nije utvrđena.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
          <w:iCs/>
          <w:lang w:val="hr-HR"/>
        </w:rPr>
      </w:pPr>
      <w:r w:rsidRPr="002C4D9A">
        <w:rPr>
          <w:rFonts w:ascii="Times New Roman" w:eastAsia="Times New Roman" w:hAnsi="Times New Roman" w:cs="Times New Roman"/>
          <w:bCs/>
          <w:i/>
          <w:iCs/>
          <w:lang w:val="hr-HR"/>
        </w:rPr>
        <w:t>Efekat na plodnost kod muškaraca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Efekat dutasterida u dozi od 0,5 mg/dan na karakteristike sjemene tečnosti ispitivan je kod zdravih ispitanika u dobu od 18-52 godine (n=27 dutasterid, n=23 placebo) tokom 52 sedmice liječenja i 24 sedmice praćenja nakon liječenja. Nakon 52 sedmice prosječni procenat smanjenja ukupnog broja spermatozoida, volumena sjemene tečnosti i pokretljivosti spermatozoida u odnosu na početne vrijednosti iznosili su 23%, 26% odnosno 18%, u grupi liječenoj dutasteridom nakon prilagođavanja prema promjenama od početnih vrijednosti u grupi koja je primala placebo.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Koncentracija i morfologija spermatozoida nijesu se mijenjale. Nakon 24 sedmice praćenja prosječni procenat promjene ukupnog broja spermatozoida u grupi liječenoj dutasteridom ostao je 23% niži nego na početku. Iako su prosječne vrijednosti za sve parametre u svim vremenskim tačkama ostale unutar granica normale i nijesu ispunile unaprijed postavljene kriterijume za klinički značajnu promjenu (30%), kod dva ispitanika u grupi koja je primala dutasterid zabilježeno je smanjenje broja spermatozoida za više od 90% od početnih vrijednosti nakon 52 sedmice, uz djelimični oporavak tokom 24 sedmice praćenja. Ne može se isključiti mogućnost smanjene plodnosti kod muškaraca.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DUTASTERID U KOMBINACIJI S ALFA-BLOKATOROM TAMSULOSINOM</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Liječenje dutasteridom 0,5 mg/dan (n = 1623), tamsulosinom 0,4 mg/dan (n = 1611) ili kombinacijom dutasterida 0,5 mg i tamsulosina 0,4 mg (n = 1610) je ispitivano kod muških ispitanika s umjerenim do teškim simptomima benigne hiperplazije prostate (BHP), čija je prostata bila ≥30 ml, a PSA vrijednost u rasponu od 1,5 - 10 ng/ml, tokom multicentričnog, multinacionalnog, randomiziranog, dvostruko-slijepog ispitivanja u paralelnim grupama (CombAT studija). Oko 53% ispitanika je prethodno liječeno inhibitorima 5-alfa reduktaze ili alfa blokatorima. Primarni ishod efikasnosti tokom prve 2 godine liječenja bio je promjena vrijednosti Internacionalnog prostata simptom skora (IPSS od </w:t>
      </w:r>
      <w:r w:rsidRPr="002C4D9A">
        <w:rPr>
          <w:rFonts w:ascii="Times New Roman" w:eastAsia="Times New Roman" w:hAnsi="Times New Roman" w:cs="Times New Roman"/>
          <w:bCs/>
          <w:i/>
          <w:iCs/>
          <w:lang w:val="hr-HR"/>
        </w:rPr>
        <w:t>engl. International Prostate Symptom Score</w:t>
      </w:r>
      <w:r w:rsidRPr="002C4D9A">
        <w:rPr>
          <w:rFonts w:ascii="Times New Roman" w:eastAsia="Times New Roman" w:hAnsi="Times New Roman" w:cs="Times New Roman"/>
          <w:bCs/>
          <w:lang w:val="hr-HR"/>
        </w:rPr>
        <w:t xml:space="preserve">), upitnika od 8 pitanja baziranih na AUA-SI s dodatnim pitanjem o kvalitetu života. Sekundarni ishod efikasnosti nakon 2 godine je uključivao postignuti maksimalni protok urina (Qmax) i volumen prostate. Kombinovana terapija je postigla značajnost promjene IPSS-a od trećeg mjeseca liječenja u odnosu na dutasterid, odnosno od devetog mjeseca liječenja u odnosu na tamsulosin. Vezano uz Qmax, kombinovana terapija je postigla značajnost u odnosu i na dutasterid i na tamsulosin nakon 6 mjeseci liječenja.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Primarni ishod efikasnosti nakon 4 godine liječenja je bilo vrijeme do prvog događaja – akutne retencije urina ili hirurškog zahvata usljed BHP. Nakon 4 godine liječenja, kombinovana je terapija u odnosu na monoterapiju tamsulosinom statistički značajno smanjila rizik nastanka AUR ili potrebe hirurškog zahvata usljed BHP (65,8% smanjenje rizika uz p&lt;0,001 [95% CI 54,7% do 74,1%]). Incidenca AUR ili hirurškog zahvata usljed BHP do 4. godine je iznosila 4,2% za kombinovanu terapiju i 11,9% za tamsulosin (p&lt;0,001). U poređenju s monoterapijom dutasteridom, kombinovano je liječenje smanjilo rizik nastanka AUR ili potrebe hirurškog zahvata usljed BHP za 19,6% (p=0,18 [95% CI -10,9% do 41,7%]). Incidenca AUR ili hirurškog zahvata usljed BHP do 4. godine je iznosila 4,2% za kombinovanu terapiju i 5,2% za dutasterid.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Sekundarni ishodi efikasnosti nakon 4 godine liječenja su uključivali vrijeme do kliničke progresije (definisane kao: pogoršanje IPSS-a za ≥ 4 boda, pojava događaja vezanih uz BHP - AUR, inkontinencije, infekcije urinarnog trakta i bubrežne insuficijencije), promjenu u IPSS-u, maksimalnom protoku urina (Qmax) i volumenu prostate. Rezultati nakon 4 godine liječenja su prikazani u sljedećoj tabeli:</w:t>
      </w:r>
    </w:p>
    <w:p w:rsid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457E62" w:rsidRDefault="00457E62" w:rsidP="002C4D9A">
      <w:pPr>
        <w:tabs>
          <w:tab w:val="left" w:pos="540"/>
          <w:tab w:val="left" w:pos="569"/>
        </w:tabs>
        <w:spacing w:after="0" w:line="240" w:lineRule="auto"/>
        <w:jc w:val="both"/>
        <w:rPr>
          <w:rFonts w:ascii="Times New Roman" w:eastAsia="Times New Roman" w:hAnsi="Times New Roman" w:cs="Times New Roman"/>
          <w:bCs/>
          <w:lang w:val="hr-HR"/>
        </w:rPr>
      </w:pPr>
    </w:p>
    <w:p w:rsidR="00457E62" w:rsidRPr="002C4D9A" w:rsidRDefault="00457E62" w:rsidP="002C4D9A">
      <w:pPr>
        <w:tabs>
          <w:tab w:val="left" w:pos="540"/>
          <w:tab w:val="left" w:pos="569"/>
        </w:tabs>
        <w:spacing w:after="0" w:line="240" w:lineRule="auto"/>
        <w:jc w:val="both"/>
        <w:rPr>
          <w:rFonts w:ascii="Times New Roman" w:eastAsia="Times New Roman" w:hAnsi="Times New Roman" w:cs="Times New Roman"/>
          <w:bCs/>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2001"/>
        <w:gridCol w:w="1701"/>
        <w:gridCol w:w="1735"/>
        <w:gridCol w:w="1816"/>
      </w:tblGrid>
      <w:tr w:rsidR="002C4D9A" w:rsidRPr="002C4D9A" w:rsidTr="00457E62">
        <w:tc>
          <w:tcPr>
            <w:tcW w:w="1822" w:type="dxa"/>
            <w:shd w:val="clear" w:color="auto" w:fill="auto"/>
          </w:tcPr>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pl-PL"/>
              </w:rPr>
            </w:pPr>
            <w:r w:rsidRPr="002C4D9A">
              <w:rPr>
                <w:rFonts w:ascii="Times New Roman" w:eastAsia="Times New Roman" w:hAnsi="Times New Roman" w:cs="Times New Roman"/>
                <w:bCs/>
                <w:lang w:val="pl-PL"/>
              </w:rPr>
              <w:lastRenderedPageBreak/>
              <w:t xml:space="preserve">Parametar </w:t>
            </w:r>
          </w:p>
        </w:tc>
        <w:tc>
          <w:tcPr>
            <w:tcW w:w="2001" w:type="dxa"/>
            <w:shd w:val="clear" w:color="auto" w:fill="auto"/>
          </w:tcPr>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pl-PL"/>
              </w:rPr>
            </w:pPr>
            <w:r w:rsidRPr="002C4D9A">
              <w:rPr>
                <w:rFonts w:ascii="Times New Roman" w:eastAsia="Times New Roman" w:hAnsi="Times New Roman" w:cs="Times New Roman"/>
                <w:bCs/>
                <w:lang w:val="pl-PL"/>
              </w:rPr>
              <w:t>Vremenska tačka</w:t>
            </w:r>
          </w:p>
        </w:tc>
        <w:tc>
          <w:tcPr>
            <w:tcW w:w="1701" w:type="dxa"/>
            <w:shd w:val="clear" w:color="auto" w:fill="auto"/>
          </w:tcPr>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pl-PL"/>
              </w:rPr>
            </w:pPr>
            <w:r w:rsidRPr="002C4D9A">
              <w:rPr>
                <w:rFonts w:ascii="Times New Roman" w:eastAsia="Times New Roman" w:hAnsi="Times New Roman" w:cs="Times New Roman"/>
                <w:bCs/>
                <w:lang w:val="pl-PL"/>
              </w:rPr>
              <w:t>Kombinacija</w:t>
            </w:r>
          </w:p>
        </w:tc>
        <w:tc>
          <w:tcPr>
            <w:tcW w:w="1735" w:type="dxa"/>
            <w:shd w:val="clear" w:color="auto" w:fill="auto"/>
          </w:tcPr>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pl-PL"/>
              </w:rPr>
            </w:pPr>
            <w:r w:rsidRPr="002C4D9A">
              <w:rPr>
                <w:rFonts w:ascii="Times New Roman" w:eastAsia="Times New Roman" w:hAnsi="Times New Roman" w:cs="Times New Roman"/>
                <w:bCs/>
                <w:lang w:val="pl-PL"/>
              </w:rPr>
              <w:t>Dutasterid</w:t>
            </w:r>
          </w:p>
        </w:tc>
        <w:tc>
          <w:tcPr>
            <w:tcW w:w="1816" w:type="dxa"/>
            <w:shd w:val="clear" w:color="auto" w:fill="auto"/>
          </w:tcPr>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pl-PL"/>
              </w:rPr>
            </w:pPr>
            <w:r w:rsidRPr="002C4D9A">
              <w:rPr>
                <w:rFonts w:ascii="Times New Roman" w:eastAsia="Times New Roman" w:hAnsi="Times New Roman" w:cs="Times New Roman"/>
                <w:bCs/>
                <w:lang w:val="pl-PL"/>
              </w:rPr>
              <w:t>Tamsulosin</w:t>
            </w:r>
          </w:p>
        </w:tc>
      </w:tr>
      <w:tr w:rsidR="002C4D9A" w:rsidRPr="002C4D9A" w:rsidTr="00457E62">
        <w:tc>
          <w:tcPr>
            <w:tcW w:w="1822" w:type="dxa"/>
            <w:shd w:val="clear" w:color="auto" w:fill="auto"/>
          </w:tcPr>
          <w:p w:rsidR="002C4D9A" w:rsidRPr="002C4D9A" w:rsidRDefault="002C4D9A" w:rsidP="00457E62">
            <w:pPr>
              <w:tabs>
                <w:tab w:val="left" w:pos="540"/>
                <w:tab w:val="left" w:pos="569"/>
              </w:tabs>
              <w:spacing w:after="0" w:line="240" w:lineRule="auto"/>
              <w:rPr>
                <w:rFonts w:ascii="Times New Roman" w:eastAsia="Times New Roman" w:hAnsi="Times New Roman" w:cs="Times New Roman"/>
                <w:bCs/>
                <w:lang w:val="pl-PL"/>
              </w:rPr>
            </w:pPr>
            <w:r w:rsidRPr="002C4D9A">
              <w:rPr>
                <w:rFonts w:ascii="Times New Roman" w:eastAsia="Times New Roman" w:hAnsi="Times New Roman" w:cs="Times New Roman"/>
                <w:bCs/>
                <w:lang w:val="hr-HR"/>
              </w:rPr>
              <w:t>AUR ili hirurški zahvat usljed BHP (%)</w:t>
            </w:r>
          </w:p>
        </w:tc>
        <w:tc>
          <w:tcPr>
            <w:tcW w:w="2001" w:type="dxa"/>
            <w:shd w:val="clear" w:color="auto" w:fill="auto"/>
          </w:tcPr>
          <w:p w:rsidR="002C4D9A" w:rsidRPr="002C4D9A" w:rsidRDefault="002C4D9A" w:rsidP="00457E62">
            <w:pPr>
              <w:tabs>
                <w:tab w:val="left" w:pos="540"/>
                <w:tab w:val="left" w:pos="569"/>
              </w:tabs>
              <w:spacing w:after="0" w:line="240" w:lineRule="auto"/>
              <w:rPr>
                <w:rFonts w:ascii="Times New Roman" w:eastAsia="Times New Roman" w:hAnsi="Times New Roman" w:cs="Times New Roman"/>
                <w:bCs/>
                <w:lang w:val="pl-PL"/>
              </w:rPr>
            </w:pPr>
            <w:r w:rsidRPr="002C4D9A">
              <w:rPr>
                <w:rFonts w:ascii="Times New Roman" w:eastAsia="Times New Roman" w:hAnsi="Times New Roman" w:cs="Times New Roman"/>
                <w:bCs/>
                <w:lang w:val="pl-PL"/>
              </w:rPr>
              <w:t>Incidenca u 48. mjesecu</w:t>
            </w:r>
          </w:p>
        </w:tc>
        <w:tc>
          <w:tcPr>
            <w:tcW w:w="1701" w:type="dxa"/>
            <w:shd w:val="clear" w:color="auto" w:fill="auto"/>
          </w:tcPr>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pl-PL"/>
              </w:rPr>
            </w:pPr>
            <w:r w:rsidRPr="002C4D9A">
              <w:rPr>
                <w:rFonts w:ascii="Times New Roman" w:eastAsia="Times New Roman" w:hAnsi="Times New Roman" w:cs="Times New Roman"/>
                <w:bCs/>
                <w:lang w:val="pl-PL"/>
              </w:rPr>
              <w:t>4,2</w:t>
            </w:r>
          </w:p>
        </w:tc>
        <w:tc>
          <w:tcPr>
            <w:tcW w:w="1735" w:type="dxa"/>
            <w:shd w:val="clear" w:color="auto" w:fill="auto"/>
          </w:tcPr>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pl-PL"/>
              </w:rPr>
            </w:pPr>
            <w:r w:rsidRPr="002C4D9A">
              <w:rPr>
                <w:rFonts w:ascii="Times New Roman" w:eastAsia="Times New Roman" w:hAnsi="Times New Roman" w:cs="Times New Roman"/>
                <w:bCs/>
                <w:lang w:val="pl-PL"/>
              </w:rPr>
              <w:t>5,2</w:t>
            </w:r>
          </w:p>
        </w:tc>
        <w:tc>
          <w:tcPr>
            <w:tcW w:w="1816" w:type="dxa"/>
            <w:shd w:val="clear" w:color="auto" w:fill="auto"/>
          </w:tcPr>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pl-PL"/>
              </w:rPr>
            </w:pPr>
            <w:r w:rsidRPr="002C4D9A">
              <w:rPr>
                <w:rFonts w:ascii="Times New Roman" w:eastAsia="Times New Roman" w:hAnsi="Times New Roman" w:cs="Times New Roman"/>
                <w:bCs/>
                <w:lang w:val="pl-PL"/>
              </w:rPr>
              <w:t>11,9a</w:t>
            </w:r>
          </w:p>
        </w:tc>
      </w:tr>
      <w:tr w:rsidR="002C4D9A" w:rsidRPr="002C4D9A" w:rsidTr="00457E62">
        <w:tc>
          <w:tcPr>
            <w:tcW w:w="1822" w:type="dxa"/>
            <w:shd w:val="clear" w:color="auto" w:fill="auto"/>
          </w:tcPr>
          <w:p w:rsidR="002C4D9A" w:rsidRPr="002C4D9A" w:rsidRDefault="002C4D9A" w:rsidP="00457E62">
            <w:pPr>
              <w:tabs>
                <w:tab w:val="left" w:pos="540"/>
                <w:tab w:val="left" w:pos="569"/>
              </w:tabs>
              <w:spacing w:after="0" w:line="240" w:lineRule="auto"/>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Klinička progresija* (%)</w:t>
            </w:r>
          </w:p>
        </w:tc>
        <w:tc>
          <w:tcPr>
            <w:tcW w:w="2001" w:type="dxa"/>
            <w:shd w:val="clear" w:color="auto" w:fill="auto"/>
          </w:tcPr>
          <w:p w:rsidR="002C4D9A" w:rsidRPr="002C4D9A" w:rsidRDefault="002C4D9A" w:rsidP="00457E62">
            <w:pPr>
              <w:tabs>
                <w:tab w:val="left" w:pos="540"/>
                <w:tab w:val="left" w:pos="569"/>
              </w:tabs>
              <w:spacing w:after="0" w:line="240" w:lineRule="auto"/>
              <w:rPr>
                <w:rFonts w:ascii="Times New Roman" w:eastAsia="Times New Roman" w:hAnsi="Times New Roman" w:cs="Times New Roman"/>
                <w:bCs/>
                <w:lang w:val="pl-PL"/>
              </w:rPr>
            </w:pPr>
            <w:r w:rsidRPr="002C4D9A">
              <w:rPr>
                <w:rFonts w:ascii="Times New Roman" w:eastAsia="Times New Roman" w:hAnsi="Times New Roman" w:cs="Times New Roman"/>
                <w:bCs/>
                <w:lang w:val="pl-PL"/>
              </w:rPr>
              <w:t>48. mjesec</w:t>
            </w:r>
          </w:p>
        </w:tc>
        <w:tc>
          <w:tcPr>
            <w:tcW w:w="1701" w:type="dxa"/>
            <w:shd w:val="clear" w:color="auto" w:fill="auto"/>
          </w:tcPr>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pl-PL"/>
              </w:rPr>
            </w:pPr>
            <w:r w:rsidRPr="002C4D9A">
              <w:rPr>
                <w:rFonts w:ascii="Times New Roman" w:eastAsia="Times New Roman" w:hAnsi="Times New Roman" w:cs="Times New Roman"/>
                <w:bCs/>
                <w:lang w:val="pl-PL"/>
              </w:rPr>
              <w:t>12,6</w:t>
            </w:r>
          </w:p>
        </w:tc>
        <w:tc>
          <w:tcPr>
            <w:tcW w:w="1735" w:type="dxa"/>
            <w:shd w:val="clear" w:color="auto" w:fill="auto"/>
          </w:tcPr>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pl-PL"/>
              </w:rPr>
            </w:pPr>
            <w:r w:rsidRPr="002C4D9A">
              <w:rPr>
                <w:rFonts w:ascii="Times New Roman" w:eastAsia="Times New Roman" w:hAnsi="Times New Roman" w:cs="Times New Roman"/>
                <w:bCs/>
                <w:lang w:val="pl-PL"/>
              </w:rPr>
              <w:t>17,8b</w:t>
            </w:r>
          </w:p>
        </w:tc>
        <w:tc>
          <w:tcPr>
            <w:tcW w:w="1816" w:type="dxa"/>
            <w:shd w:val="clear" w:color="auto" w:fill="auto"/>
          </w:tcPr>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pl-PL"/>
              </w:rPr>
            </w:pPr>
            <w:r w:rsidRPr="002C4D9A">
              <w:rPr>
                <w:rFonts w:ascii="Times New Roman" w:eastAsia="Times New Roman" w:hAnsi="Times New Roman" w:cs="Times New Roman"/>
                <w:bCs/>
                <w:lang w:val="pl-PL"/>
              </w:rPr>
              <w:t>21,5a</w:t>
            </w:r>
          </w:p>
        </w:tc>
      </w:tr>
      <w:tr w:rsidR="002C4D9A" w:rsidRPr="002C4D9A" w:rsidTr="00457E62">
        <w:tc>
          <w:tcPr>
            <w:tcW w:w="1822" w:type="dxa"/>
            <w:shd w:val="clear" w:color="auto" w:fill="auto"/>
          </w:tcPr>
          <w:p w:rsidR="002C4D9A" w:rsidRPr="002C4D9A" w:rsidRDefault="002C4D9A" w:rsidP="00457E62">
            <w:pPr>
              <w:tabs>
                <w:tab w:val="left" w:pos="540"/>
                <w:tab w:val="left" w:pos="569"/>
              </w:tabs>
              <w:spacing w:after="0" w:line="240" w:lineRule="auto"/>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IPSS (jedinice)</w:t>
            </w:r>
          </w:p>
        </w:tc>
        <w:tc>
          <w:tcPr>
            <w:tcW w:w="2001" w:type="dxa"/>
            <w:shd w:val="clear" w:color="auto" w:fill="auto"/>
          </w:tcPr>
          <w:p w:rsidR="002C4D9A" w:rsidRPr="002C4D9A" w:rsidRDefault="002C4D9A" w:rsidP="00457E62">
            <w:pPr>
              <w:tabs>
                <w:tab w:val="left" w:pos="540"/>
                <w:tab w:val="left" w:pos="569"/>
              </w:tabs>
              <w:spacing w:after="0" w:line="240" w:lineRule="auto"/>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[Početna vrijednost]</w:t>
            </w:r>
          </w:p>
          <w:p w:rsidR="002C4D9A" w:rsidRPr="002C4D9A" w:rsidRDefault="002C4D9A" w:rsidP="00457E62">
            <w:pPr>
              <w:tabs>
                <w:tab w:val="left" w:pos="540"/>
                <w:tab w:val="left" w:pos="569"/>
              </w:tabs>
              <w:spacing w:after="0" w:line="240" w:lineRule="auto"/>
              <w:rPr>
                <w:rFonts w:ascii="Times New Roman" w:eastAsia="Times New Roman" w:hAnsi="Times New Roman" w:cs="Times New Roman"/>
                <w:bCs/>
                <w:lang w:val="pl-PL"/>
              </w:rPr>
            </w:pPr>
            <w:r w:rsidRPr="002C4D9A">
              <w:rPr>
                <w:rFonts w:ascii="Times New Roman" w:eastAsia="Times New Roman" w:hAnsi="Times New Roman" w:cs="Times New Roman"/>
                <w:bCs/>
                <w:lang w:val="hr-HR"/>
              </w:rPr>
              <w:t>48. mjesec (promjena u odnosu na početnu vrijednost)</w:t>
            </w:r>
          </w:p>
        </w:tc>
        <w:tc>
          <w:tcPr>
            <w:tcW w:w="1701" w:type="dxa"/>
            <w:shd w:val="clear" w:color="auto" w:fill="auto"/>
          </w:tcPr>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[16,6]</w:t>
            </w:r>
          </w:p>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pl-PL"/>
              </w:rPr>
            </w:pPr>
            <w:r w:rsidRPr="002C4D9A">
              <w:rPr>
                <w:rFonts w:ascii="Times New Roman" w:eastAsia="Times New Roman" w:hAnsi="Times New Roman" w:cs="Times New Roman"/>
                <w:bCs/>
                <w:lang w:val="hr-HR"/>
              </w:rPr>
              <w:t>- 6,3</w:t>
            </w:r>
          </w:p>
        </w:tc>
        <w:tc>
          <w:tcPr>
            <w:tcW w:w="1735" w:type="dxa"/>
            <w:shd w:val="clear" w:color="auto" w:fill="auto"/>
          </w:tcPr>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[16,4]</w:t>
            </w:r>
          </w:p>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-5,3b</w:t>
            </w:r>
          </w:p>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pl-PL"/>
              </w:rPr>
            </w:pPr>
          </w:p>
        </w:tc>
        <w:tc>
          <w:tcPr>
            <w:tcW w:w="1816" w:type="dxa"/>
            <w:shd w:val="clear" w:color="auto" w:fill="auto"/>
          </w:tcPr>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[16,4]</w:t>
            </w:r>
          </w:p>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pl-PL"/>
              </w:rPr>
            </w:pPr>
            <w:r w:rsidRPr="002C4D9A">
              <w:rPr>
                <w:rFonts w:ascii="Times New Roman" w:eastAsia="Times New Roman" w:hAnsi="Times New Roman" w:cs="Times New Roman"/>
                <w:bCs/>
                <w:lang w:val="pl-PL"/>
              </w:rPr>
              <w:t>-3,8a</w:t>
            </w:r>
          </w:p>
        </w:tc>
      </w:tr>
      <w:tr w:rsidR="002C4D9A" w:rsidRPr="002C4D9A" w:rsidTr="00457E62">
        <w:tc>
          <w:tcPr>
            <w:tcW w:w="1822" w:type="dxa"/>
            <w:shd w:val="clear" w:color="auto" w:fill="auto"/>
          </w:tcPr>
          <w:p w:rsidR="002C4D9A" w:rsidRPr="002C4D9A" w:rsidRDefault="002C4D9A" w:rsidP="00457E62">
            <w:pPr>
              <w:tabs>
                <w:tab w:val="left" w:pos="540"/>
                <w:tab w:val="left" w:pos="569"/>
              </w:tabs>
              <w:spacing w:after="0" w:line="240" w:lineRule="auto"/>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Qmax (ml/s)</w:t>
            </w:r>
          </w:p>
        </w:tc>
        <w:tc>
          <w:tcPr>
            <w:tcW w:w="2001" w:type="dxa"/>
            <w:shd w:val="clear" w:color="auto" w:fill="auto"/>
          </w:tcPr>
          <w:p w:rsidR="002C4D9A" w:rsidRPr="002C4D9A" w:rsidRDefault="002C4D9A" w:rsidP="00457E62">
            <w:pPr>
              <w:tabs>
                <w:tab w:val="left" w:pos="540"/>
                <w:tab w:val="left" w:pos="569"/>
              </w:tabs>
              <w:spacing w:after="0" w:line="240" w:lineRule="auto"/>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[Početna vrijednost]</w:t>
            </w:r>
          </w:p>
          <w:p w:rsidR="002C4D9A" w:rsidRPr="002C4D9A" w:rsidRDefault="002C4D9A" w:rsidP="00457E62">
            <w:pPr>
              <w:tabs>
                <w:tab w:val="left" w:pos="540"/>
                <w:tab w:val="left" w:pos="569"/>
              </w:tabs>
              <w:spacing w:after="0" w:line="240" w:lineRule="auto"/>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48. mjesec (promjena u odnosu na početnu vrijednost)</w:t>
            </w:r>
          </w:p>
        </w:tc>
        <w:tc>
          <w:tcPr>
            <w:tcW w:w="1701" w:type="dxa"/>
            <w:shd w:val="clear" w:color="auto" w:fill="auto"/>
          </w:tcPr>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[10,9]</w:t>
            </w:r>
          </w:p>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pl-PL"/>
              </w:rPr>
            </w:pPr>
            <w:r w:rsidRPr="002C4D9A">
              <w:rPr>
                <w:rFonts w:ascii="Times New Roman" w:eastAsia="Times New Roman" w:hAnsi="Times New Roman" w:cs="Times New Roman"/>
                <w:bCs/>
                <w:lang w:val="hr-HR"/>
              </w:rPr>
              <w:t>2,4</w:t>
            </w:r>
          </w:p>
        </w:tc>
        <w:tc>
          <w:tcPr>
            <w:tcW w:w="1735" w:type="dxa"/>
            <w:shd w:val="clear" w:color="auto" w:fill="auto"/>
          </w:tcPr>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[10,6]</w:t>
            </w:r>
          </w:p>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2,0</w:t>
            </w:r>
          </w:p>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pl-PL"/>
              </w:rPr>
            </w:pPr>
          </w:p>
        </w:tc>
        <w:tc>
          <w:tcPr>
            <w:tcW w:w="1816" w:type="dxa"/>
            <w:shd w:val="clear" w:color="auto" w:fill="auto"/>
          </w:tcPr>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[10,7]</w:t>
            </w:r>
          </w:p>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pl-PL"/>
              </w:rPr>
            </w:pPr>
            <w:r w:rsidRPr="002C4D9A">
              <w:rPr>
                <w:rFonts w:ascii="Times New Roman" w:eastAsia="Times New Roman" w:hAnsi="Times New Roman" w:cs="Times New Roman"/>
                <w:bCs/>
                <w:lang w:val="pl-PL"/>
              </w:rPr>
              <w:t>0,7a</w:t>
            </w:r>
          </w:p>
        </w:tc>
      </w:tr>
      <w:tr w:rsidR="002C4D9A" w:rsidRPr="002C4D9A" w:rsidTr="00457E62">
        <w:tc>
          <w:tcPr>
            <w:tcW w:w="1822" w:type="dxa"/>
            <w:shd w:val="clear" w:color="auto" w:fill="auto"/>
          </w:tcPr>
          <w:p w:rsidR="002C4D9A" w:rsidRPr="002C4D9A" w:rsidRDefault="002C4D9A" w:rsidP="00457E62">
            <w:pPr>
              <w:tabs>
                <w:tab w:val="left" w:pos="540"/>
                <w:tab w:val="left" w:pos="569"/>
              </w:tabs>
              <w:spacing w:after="0" w:line="240" w:lineRule="auto"/>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Volumen prostate (ml)</w:t>
            </w:r>
          </w:p>
        </w:tc>
        <w:tc>
          <w:tcPr>
            <w:tcW w:w="2001" w:type="dxa"/>
            <w:shd w:val="clear" w:color="auto" w:fill="auto"/>
          </w:tcPr>
          <w:p w:rsidR="002C4D9A" w:rsidRPr="002C4D9A" w:rsidRDefault="002C4D9A" w:rsidP="00457E62">
            <w:pPr>
              <w:tabs>
                <w:tab w:val="left" w:pos="540"/>
                <w:tab w:val="left" w:pos="569"/>
              </w:tabs>
              <w:spacing w:after="0" w:line="240" w:lineRule="auto"/>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[Početna vrijednost]</w:t>
            </w:r>
          </w:p>
          <w:p w:rsidR="002C4D9A" w:rsidRPr="002C4D9A" w:rsidRDefault="002C4D9A" w:rsidP="00457E62">
            <w:pPr>
              <w:tabs>
                <w:tab w:val="left" w:pos="540"/>
                <w:tab w:val="left" w:pos="569"/>
              </w:tabs>
              <w:spacing w:after="0" w:line="240" w:lineRule="auto"/>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48. mjesec (% promjene u odnosu na početnu vrijednost)</w:t>
            </w:r>
          </w:p>
          <w:p w:rsidR="002C4D9A" w:rsidRPr="002C4D9A" w:rsidRDefault="002C4D9A" w:rsidP="00457E62">
            <w:pPr>
              <w:tabs>
                <w:tab w:val="left" w:pos="540"/>
                <w:tab w:val="left" w:pos="569"/>
              </w:tabs>
              <w:spacing w:after="0" w:line="240" w:lineRule="auto"/>
              <w:rPr>
                <w:rFonts w:ascii="Times New Roman" w:eastAsia="Times New Roman" w:hAnsi="Times New Roman" w:cs="Times New Roman"/>
                <w:bCs/>
                <w:lang w:val="hr-HR"/>
              </w:rPr>
            </w:pPr>
          </w:p>
        </w:tc>
        <w:tc>
          <w:tcPr>
            <w:tcW w:w="1701" w:type="dxa"/>
            <w:shd w:val="clear" w:color="auto" w:fill="auto"/>
          </w:tcPr>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[54,7]</w:t>
            </w:r>
          </w:p>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pl-PL"/>
              </w:rPr>
            </w:pPr>
            <w:r w:rsidRPr="002C4D9A">
              <w:rPr>
                <w:rFonts w:ascii="Times New Roman" w:eastAsia="Times New Roman" w:hAnsi="Times New Roman" w:cs="Times New Roman"/>
                <w:bCs/>
                <w:lang w:val="hr-HR"/>
              </w:rPr>
              <w:t>-27,3</w:t>
            </w:r>
          </w:p>
        </w:tc>
        <w:tc>
          <w:tcPr>
            <w:tcW w:w="1735" w:type="dxa"/>
            <w:shd w:val="clear" w:color="auto" w:fill="auto"/>
          </w:tcPr>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[54,6]</w:t>
            </w:r>
          </w:p>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-28,0</w:t>
            </w:r>
          </w:p>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pl-PL"/>
              </w:rPr>
            </w:pPr>
          </w:p>
        </w:tc>
        <w:tc>
          <w:tcPr>
            <w:tcW w:w="1816" w:type="dxa"/>
            <w:shd w:val="clear" w:color="auto" w:fill="auto"/>
          </w:tcPr>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[55,8]</w:t>
            </w:r>
          </w:p>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pl-PL"/>
              </w:rPr>
            </w:pPr>
            <w:r w:rsidRPr="002C4D9A">
              <w:rPr>
                <w:rFonts w:ascii="Times New Roman" w:eastAsia="Times New Roman" w:hAnsi="Times New Roman" w:cs="Times New Roman"/>
                <w:bCs/>
                <w:lang w:val="pl-PL"/>
              </w:rPr>
              <w:t>+4,6a</w:t>
            </w:r>
          </w:p>
        </w:tc>
      </w:tr>
      <w:tr w:rsidR="002C4D9A" w:rsidRPr="002C4D9A" w:rsidTr="00457E62">
        <w:tc>
          <w:tcPr>
            <w:tcW w:w="1822" w:type="dxa"/>
            <w:shd w:val="clear" w:color="auto" w:fill="auto"/>
          </w:tcPr>
          <w:p w:rsidR="002C4D9A" w:rsidRPr="002C4D9A" w:rsidRDefault="002C4D9A" w:rsidP="00457E62">
            <w:pPr>
              <w:tabs>
                <w:tab w:val="left" w:pos="540"/>
                <w:tab w:val="left" w:pos="569"/>
              </w:tabs>
              <w:spacing w:after="0" w:line="240" w:lineRule="auto"/>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Volumen prelazne zone prostate (ml)#</w:t>
            </w:r>
          </w:p>
        </w:tc>
        <w:tc>
          <w:tcPr>
            <w:tcW w:w="2001" w:type="dxa"/>
            <w:shd w:val="clear" w:color="auto" w:fill="auto"/>
          </w:tcPr>
          <w:p w:rsidR="002C4D9A" w:rsidRPr="002C4D9A" w:rsidRDefault="002C4D9A" w:rsidP="00457E62">
            <w:pPr>
              <w:tabs>
                <w:tab w:val="left" w:pos="540"/>
                <w:tab w:val="left" w:pos="569"/>
              </w:tabs>
              <w:spacing w:after="0" w:line="240" w:lineRule="auto"/>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[Početna vrijednost]</w:t>
            </w:r>
          </w:p>
          <w:p w:rsidR="002C4D9A" w:rsidRPr="002C4D9A" w:rsidRDefault="002C4D9A" w:rsidP="00457E62">
            <w:pPr>
              <w:tabs>
                <w:tab w:val="left" w:pos="540"/>
                <w:tab w:val="left" w:pos="569"/>
              </w:tabs>
              <w:spacing w:after="0" w:line="240" w:lineRule="auto"/>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48. mjesec (% promjene u odnosu na početnu vrijednost)</w:t>
            </w:r>
          </w:p>
        </w:tc>
        <w:tc>
          <w:tcPr>
            <w:tcW w:w="1701" w:type="dxa"/>
            <w:shd w:val="clear" w:color="auto" w:fill="auto"/>
          </w:tcPr>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[27,7]</w:t>
            </w:r>
          </w:p>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pl-PL"/>
              </w:rPr>
            </w:pPr>
            <w:r w:rsidRPr="002C4D9A">
              <w:rPr>
                <w:rFonts w:ascii="Times New Roman" w:eastAsia="Times New Roman" w:hAnsi="Times New Roman" w:cs="Times New Roman"/>
                <w:bCs/>
                <w:lang w:val="hr-HR"/>
              </w:rPr>
              <w:t>-17,9</w:t>
            </w:r>
          </w:p>
        </w:tc>
        <w:tc>
          <w:tcPr>
            <w:tcW w:w="1735" w:type="dxa"/>
            <w:shd w:val="clear" w:color="auto" w:fill="auto"/>
          </w:tcPr>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[30,3]</w:t>
            </w:r>
          </w:p>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-26,5</w:t>
            </w:r>
          </w:p>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pl-PL"/>
              </w:rPr>
            </w:pPr>
          </w:p>
        </w:tc>
        <w:tc>
          <w:tcPr>
            <w:tcW w:w="1816" w:type="dxa"/>
            <w:shd w:val="clear" w:color="auto" w:fill="auto"/>
          </w:tcPr>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[30,5]</w:t>
            </w:r>
          </w:p>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18,2a</w:t>
            </w:r>
          </w:p>
        </w:tc>
      </w:tr>
      <w:tr w:rsidR="002C4D9A" w:rsidRPr="002C4D9A" w:rsidTr="00457E62">
        <w:tc>
          <w:tcPr>
            <w:tcW w:w="1822" w:type="dxa"/>
            <w:shd w:val="clear" w:color="auto" w:fill="auto"/>
          </w:tcPr>
          <w:p w:rsidR="002C4D9A" w:rsidRPr="002C4D9A" w:rsidRDefault="002C4D9A" w:rsidP="00457E62">
            <w:pPr>
              <w:tabs>
                <w:tab w:val="left" w:pos="540"/>
                <w:tab w:val="left" w:pos="569"/>
              </w:tabs>
              <w:spacing w:after="0" w:line="240" w:lineRule="auto"/>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BPH Impact Index (BII) (jedinice)</w:t>
            </w:r>
          </w:p>
        </w:tc>
        <w:tc>
          <w:tcPr>
            <w:tcW w:w="2001" w:type="dxa"/>
            <w:shd w:val="clear" w:color="auto" w:fill="auto"/>
          </w:tcPr>
          <w:p w:rsidR="002C4D9A" w:rsidRPr="002C4D9A" w:rsidRDefault="002C4D9A" w:rsidP="00457E62">
            <w:pPr>
              <w:tabs>
                <w:tab w:val="left" w:pos="540"/>
                <w:tab w:val="left" w:pos="569"/>
              </w:tabs>
              <w:spacing w:after="0" w:line="240" w:lineRule="auto"/>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[Početna vrijednost]</w:t>
            </w:r>
          </w:p>
          <w:p w:rsidR="002C4D9A" w:rsidRPr="002C4D9A" w:rsidRDefault="002C4D9A" w:rsidP="00457E62">
            <w:pPr>
              <w:tabs>
                <w:tab w:val="left" w:pos="540"/>
                <w:tab w:val="left" w:pos="569"/>
              </w:tabs>
              <w:spacing w:after="0" w:line="240" w:lineRule="auto"/>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48. mjesec (promjena u odnosu na početnu</w:t>
            </w:r>
            <w:r w:rsidR="00457E62">
              <w:rPr>
                <w:rFonts w:ascii="Times New Roman" w:eastAsia="Times New Roman" w:hAnsi="Times New Roman" w:cs="Times New Roman"/>
                <w:bCs/>
                <w:lang w:val="hr-HR"/>
              </w:rPr>
              <w:t xml:space="preserve"> </w:t>
            </w:r>
            <w:r w:rsidRPr="002C4D9A">
              <w:rPr>
                <w:rFonts w:ascii="Times New Roman" w:eastAsia="Times New Roman" w:hAnsi="Times New Roman" w:cs="Times New Roman"/>
                <w:bCs/>
                <w:lang w:val="hr-HR"/>
              </w:rPr>
              <w:t>vrijednost)</w:t>
            </w:r>
          </w:p>
        </w:tc>
        <w:tc>
          <w:tcPr>
            <w:tcW w:w="1701" w:type="dxa"/>
            <w:shd w:val="clear" w:color="auto" w:fill="auto"/>
          </w:tcPr>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[5,3]</w:t>
            </w:r>
          </w:p>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pl-PL"/>
              </w:rPr>
            </w:pPr>
            <w:r w:rsidRPr="002C4D9A">
              <w:rPr>
                <w:rFonts w:ascii="Times New Roman" w:eastAsia="Times New Roman" w:hAnsi="Times New Roman" w:cs="Times New Roman"/>
                <w:bCs/>
                <w:lang w:val="hr-HR"/>
              </w:rPr>
              <w:t>-2,2</w:t>
            </w:r>
          </w:p>
        </w:tc>
        <w:tc>
          <w:tcPr>
            <w:tcW w:w="1735" w:type="dxa"/>
            <w:shd w:val="clear" w:color="auto" w:fill="auto"/>
          </w:tcPr>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[5,3]</w:t>
            </w:r>
          </w:p>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-1,8b</w:t>
            </w:r>
          </w:p>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pl-PL"/>
              </w:rPr>
            </w:pPr>
          </w:p>
        </w:tc>
        <w:tc>
          <w:tcPr>
            <w:tcW w:w="1816" w:type="dxa"/>
            <w:shd w:val="clear" w:color="auto" w:fill="auto"/>
          </w:tcPr>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[5,3]</w:t>
            </w:r>
          </w:p>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pl-PL"/>
              </w:rPr>
            </w:pPr>
            <w:r w:rsidRPr="002C4D9A">
              <w:rPr>
                <w:rFonts w:ascii="Times New Roman" w:eastAsia="Times New Roman" w:hAnsi="Times New Roman" w:cs="Times New Roman"/>
                <w:bCs/>
                <w:lang w:val="pl-PL"/>
              </w:rPr>
              <w:t>-1,2a</w:t>
            </w:r>
          </w:p>
        </w:tc>
      </w:tr>
      <w:tr w:rsidR="002C4D9A" w:rsidRPr="002C4D9A" w:rsidTr="00457E62">
        <w:tc>
          <w:tcPr>
            <w:tcW w:w="1822" w:type="dxa"/>
            <w:shd w:val="clear" w:color="auto" w:fill="auto"/>
          </w:tcPr>
          <w:p w:rsidR="002C4D9A" w:rsidRPr="002C4D9A" w:rsidRDefault="002C4D9A" w:rsidP="00457E62">
            <w:pPr>
              <w:tabs>
                <w:tab w:val="left" w:pos="540"/>
                <w:tab w:val="left" w:pos="569"/>
              </w:tabs>
              <w:spacing w:after="0" w:line="240" w:lineRule="auto"/>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IPSS pitanje broj 8 (zdravstveni status vezan uz BPH) (jedinice)</w:t>
            </w:r>
          </w:p>
        </w:tc>
        <w:tc>
          <w:tcPr>
            <w:tcW w:w="2001" w:type="dxa"/>
            <w:shd w:val="clear" w:color="auto" w:fill="auto"/>
          </w:tcPr>
          <w:p w:rsidR="002C4D9A" w:rsidRPr="002C4D9A" w:rsidRDefault="002C4D9A" w:rsidP="00457E62">
            <w:pPr>
              <w:tabs>
                <w:tab w:val="left" w:pos="540"/>
                <w:tab w:val="left" w:pos="569"/>
              </w:tabs>
              <w:spacing w:after="0" w:line="240" w:lineRule="auto"/>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[Početna vrijednost]</w:t>
            </w:r>
          </w:p>
          <w:p w:rsidR="002C4D9A" w:rsidRPr="002C4D9A" w:rsidRDefault="002C4D9A" w:rsidP="00457E62">
            <w:pPr>
              <w:tabs>
                <w:tab w:val="left" w:pos="540"/>
                <w:tab w:val="left" w:pos="569"/>
              </w:tabs>
              <w:spacing w:after="0" w:line="240" w:lineRule="auto"/>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48. mjesec (promjena u odnosu na početnu vrijednost)</w:t>
            </w:r>
          </w:p>
        </w:tc>
        <w:tc>
          <w:tcPr>
            <w:tcW w:w="1701" w:type="dxa"/>
            <w:shd w:val="clear" w:color="auto" w:fill="auto"/>
          </w:tcPr>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[3,6]</w:t>
            </w:r>
          </w:p>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pl-PL"/>
              </w:rPr>
            </w:pPr>
            <w:r w:rsidRPr="002C4D9A">
              <w:rPr>
                <w:rFonts w:ascii="Times New Roman" w:eastAsia="Times New Roman" w:hAnsi="Times New Roman" w:cs="Times New Roman"/>
                <w:bCs/>
                <w:lang w:val="pl-PL"/>
              </w:rPr>
              <w:t>-1,5</w:t>
            </w:r>
          </w:p>
        </w:tc>
        <w:tc>
          <w:tcPr>
            <w:tcW w:w="1735" w:type="dxa"/>
            <w:shd w:val="clear" w:color="auto" w:fill="auto"/>
          </w:tcPr>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[3,6]</w:t>
            </w:r>
          </w:p>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-1,3b</w:t>
            </w:r>
          </w:p>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pl-PL"/>
              </w:rPr>
            </w:pPr>
          </w:p>
        </w:tc>
        <w:tc>
          <w:tcPr>
            <w:tcW w:w="1816" w:type="dxa"/>
            <w:shd w:val="clear" w:color="auto" w:fill="auto"/>
          </w:tcPr>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[3,6]</w:t>
            </w:r>
          </w:p>
          <w:p w:rsidR="002C4D9A" w:rsidRPr="002C4D9A" w:rsidRDefault="002C4D9A" w:rsidP="00457E62">
            <w:pPr>
              <w:tabs>
                <w:tab w:val="left" w:pos="540"/>
                <w:tab w:val="left" w:pos="569"/>
              </w:tabs>
              <w:spacing w:after="0" w:line="240" w:lineRule="auto"/>
              <w:jc w:val="center"/>
              <w:rPr>
                <w:rFonts w:ascii="Times New Roman" w:eastAsia="Times New Roman" w:hAnsi="Times New Roman" w:cs="Times New Roman"/>
                <w:bCs/>
                <w:lang w:val="pl-PL"/>
              </w:rPr>
            </w:pPr>
            <w:r w:rsidRPr="002C4D9A">
              <w:rPr>
                <w:rFonts w:ascii="Times New Roman" w:eastAsia="Times New Roman" w:hAnsi="Times New Roman" w:cs="Times New Roman"/>
                <w:bCs/>
                <w:lang w:val="pl-PL"/>
              </w:rPr>
              <w:t>-1,1a</w:t>
            </w:r>
          </w:p>
        </w:tc>
      </w:tr>
    </w:tbl>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pl-PL"/>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Početne vrijednosti su prosječne vrijednosti, a promjene u odnosu na početnu vrijednost su prilagođene srednjim vrijednostima.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pl-PL"/>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 klinička progresija je definisana: pogoršanjem IPSS-a za ≥ 4 boda, pojavom događaja vezanih za BHP - AUR, inkontinencija, infekcija urinarnog trakta i bubrežna insuficijencija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mjereno na odabranim ispitivačkim mjestima (13% randomiziranih pacijenata)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a. Kombinacija je postigla značajnost (p&lt;0,001) vs. tamsulosin u 48. mjesecu.</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b. Kombinacija je postigla značajnost (p&lt;0,001) vs. dutasterid u 48. mjesecu.</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
          <w:iCs/>
          <w:lang w:val="hr-HR"/>
        </w:rPr>
      </w:pPr>
      <w:r w:rsidRPr="002C4D9A">
        <w:rPr>
          <w:rFonts w:ascii="Times New Roman" w:eastAsia="Times New Roman" w:hAnsi="Times New Roman" w:cs="Times New Roman"/>
          <w:bCs/>
          <w:i/>
          <w:iCs/>
          <w:lang w:val="hr-HR"/>
        </w:rPr>
        <w:lastRenderedPageBreak/>
        <w:t>Kardiovaskularni neželjeni događaji</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U četvorogodišnjem BHP ispitivanju dutasterida u kombinaciji s tamsulosinom na 4844 muškarca (CombAT ispitivanje), incidenca prijavljenih događaja srčane insuficijencije u grupi koja je primala kombinaciju ljjekova (14/1610, 0,9%) bila je viša nego u obje grupe na monoterapiji: dutasteridom (4/1623, 0,2%) i tamsulozinom 10/1611, 0,6%).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U odvojenom četvorogodišnjem ispitivanju u koje je bio uključen 8231 muškarac uzrasta od 50 do 75 godina, (s prethodno negativnim nalazom biopsije na karcinom prostate i početnim PSA između 2,5 ng/ml i 10,0 ng/ml za muškarce između 50 i 60 godina, ili između 3 ng/ml i 10,0 ng/ml za muškarce starije od 60 godina) (ispitivanje REDUCE), zabilježena je viša incidenca prijavljenih događaja srčane insuficijencije kod ispitanika koji su uzimali dutasterid 0,5 mg jednom dnevno (30/4105, 0,7%), u odnosu na ispitanike na placebu (16/4126, 0,4%). Post-hoc analiza je pokazala višu incidencu prijavljenih događaja srčane insuficijencije kod ispitanika koji su istovremeno uzimali dutasterid i alfa blokator (12/1152, 1,0%), u odnosu na ispitanike na dutasteridu bez alfa blokatora (18/2953, 0,6%), na placebu i alfa blokatoru (1/1399, &lt;0,1%), ili placebu bez alfa blokatora (15/2727, 0,6%) (vidjeti dio 4.4).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U meta-analizi 12 randomizovanih, kliničkih ispitivanja kontrolisanih placebom ili komparatorom (n=18 802), koja je ocjenjivala rizik od razvoja kardiovaskularnih neželjenih dejstava zbog uzimanja dutasterida (u poređenju  s kontrolama), nije nađeno konzistentno, značajno povećanje rizika od srčane insuficijencije (RR 1,05; 95% CI 0,71, 1,57), akutnog infarkta miokarda (RR 1,00; 95% CI 0,77, 1,30) ili moždanog udara (RR 1,20; 95% CI 0,88, 1,64).</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
          <w:lang w:val="hr-HR"/>
        </w:rPr>
      </w:pPr>
      <w:r w:rsidRPr="002C4D9A">
        <w:rPr>
          <w:rFonts w:ascii="Times New Roman" w:eastAsia="Times New Roman" w:hAnsi="Times New Roman" w:cs="Times New Roman"/>
          <w:bCs/>
          <w:i/>
          <w:lang w:val="hr-HR"/>
        </w:rPr>
        <w:t>Karcinom prostate i tumori visokog stepena maligniteta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U četvorogodišnjem ispitivanju poređenja  placeba i dutasterida u kojem je bio uključen 8231 muškarac u dobi od 50 do 75 godina (s prethodno negativnim nalazom biopsije na karcinom prostate i početnim PSA između 2,5 nanograma/ml i 10,0 nanograma/ml za muškarce između 50 i 60 godina, ili između 3 nanograma/ml i 10,0 nanograma/ml za muškarce starije od 60 godina) (REDUCE studija), za 6706 ispitanika su dobiveni podaci nakon biopsije prostate iglom (prvenstveno predviđene protokolom), koji su korišteni za analizu i određivanje Gleason skora. U 1517 ispitanika u ispitivanju je dijagnostifikovan karcinom prostate. Većina karcinoma otkrivenih na biopsiji je u obje ispitivane grupe bila niskog stupnja maligniteta (Gleason skor 5-6, 70%).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Viša incidenca karcinoma prostate Gleason skora 8-10 je zabilježena u dutasterid grupi (n=29, 0,9%) u odnosu na placebo grupu (n=19, 0,6%) (p=0,15). U prvoj i drugoj godini ispitivanja broj ispitanika s karcinomom Gleason skora 8-10 je bio sličan u dutasterid (n=17, 0,5%) i placebo grupi (n=18, 0,5%). U trećoj i četvrtoj godini više je karcinoma Gleason </w:t>
      </w:r>
      <w:r w:rsidRPr="002C4D9A">
        <w:rPr>
          <w:rFonts w:ascii="Times New Roman" w:eastAsia="Times New Roman" w:hAnsi="Times New Roman" w:cs="Times New Roman"/>
          <w:bCs/>
          <w:iCs/>
          <w:lang w:val="hr-HR"/>
        </w:rPr>
        <w:t>skora</w:t>
      </w:r>
      <w:r w:rsidRPr="002C4D9A">
        <w:rPr>
          <w:rFonts w:ascii="Times New Roman" w:eastAsia="Times New Roman" w:hAnsi="Times New Roman" w:cs="Times New Roman"/>
          <w:bCs/>
          <w:i/>
          <w:iCs/>
          <w:lang w:val="hr-HR"/>
        </w:rPr>
        <w:t xml:space="preserve"> </w:t>
      </w:r>
      <w:r w:rsidRPr="002C4D9A">
        <w:rPr>
          <w:rFonts w:ascii="Times New Roman" w:eastAsia="Times New Roman" w:hAnsi="Times New Roman" w:cs="Times New Roman"/>
          <w:bCs/>
          <w:lang w:val="hr-HR"/>
        </w:rPr>
        <w:t>8-10 dijagnostikovano  u dutasterid grupi (n=12, 0,5%) u odnosu na placebo grupu (n=1, &lt;0,1%) (p=0,0035). Nema dostupnih podataka o djelovanju dutasterida nakon 4 godine kod muškaraca s rizikom za razvoj karcinoma prostate. Postotak ispitanika s dijagnostikovanim  karcinomom Gleason skora 8-10 je bio postojan kroz vremenska razdoblja ispitivanja (godina 1-2 i godina 3-4) u dutasterid grupi (0,5% u svakom vremenskom razdoblju), dok je u placebo grupi postotak ispitanika s karcinomom Gleason skora 8-10 bio niži tokom Godina 3-4 u odnosu na Godine 1-2 (&lt;0,1% versus 0,5%) (vidjeti dio 4.4). Nije bilo razlike u incidenci karcinoma prostate Gleason skora 7-10 (p=0,81).</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U dodatnom dvogodišnjem ispitivanju u razdoblju praćenja REDUCE ispitivanja nije identifikovan ni jedan novi slučaj karcinoma prostate Gleason skora 8-10.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lastRenderedPageBreak/>
        <w:t xml:space="preserve">U četvorogodišnjem BHP ispitivanju (CombAT) u kom nije protokolom bila predviđena biopsija i gdje su sve dijagnoze karcinoma prostate temeljene na nalazima biopsije na zahtjev, stope karcinoma Gleason skora 8-10 su bile (n=8; 0,5%) za dutasterid, (n=11; 0,7%) za tamsulosin i (n=5; 0,3%) za kombinovanu terapiju.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Četiri različita epidemiološka ispitivanja populacije (od kojih su se dva temeljila na ukupnoj populaciji od 174 895, jedno na populaciji od 13 892 i jedno na populaciji od 38 058 ispitanika) pokazala su da primjena inhibitora 5-alfa reduktaze nije povezana s pojavom karcinoma prostate visoke malignosti, karcinoma prostate ili sa ukupnom smrtnošću.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Odnos između dutasterida i karcinoma prostate visokog stepena maligniteta nije jasan.</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i/>
          <w:iCs/>
          <w:lang w:val="hr-HR"/>
        </w:rPr>
        <w:t xml:space="preserve">Efekti na seksualnu funkciju: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Efekti kombinacije fiksnih doza dutasterida i tamsulosina na seksualnu funkciju ocjenjivali su se u dvostruko slijepom, placebo kontrolisanom ispitivanju sprovedenom kod seksualno aktivnih muškaraca sa BPH-om (n=243 za kombinaciju dutasterida i tamsulosina, n=246 za placebo).</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Nakon 12 mjeseci, opaženo je statistički značajno (p&lt;0,001) veće smanjenje (pogoršanje) rezultata Upitnika o muškom polnom zdravlju (engl. </w:t>
      </w:r>
      <w:r w:rsidRPr="002C4D9A">
        <w:rPr>
          <w:rFonts w:ascii="Times New Roman" w:eastAsia="Times New Roman" w:hAnsi="Times New Roman" w:cs="Times New Roman"/>
          <w:bCs/>
          <w:i/>
          <w:iCs/>
          <w:lang w:val="hr-HR"/>
        </w:rPr>
        <w:t>Men’s Sexual Health Questionnaire</w:t>
      </w:r>
      <w:r w:rsidRPr="002C4D9A">
        <w:rPr>
          <w:rFonts w:ascii="Times New Roman" w:eastAsia="Times New Roman" w:hAnsi="Times New Roman" w:cs="Times New Roman"/>
          <w:bCs/>
          <w:lang w:val="hr-HR"/>
        </w:rPr>
        <w:t xml:space="preserve">, MSHQ) u grupi koja je primala kombinaciju. Smanjenje je uglavnom bilo povezano s pogoršanjem u domenima ejakulacije i ukupnog zadovoljstva, a ne u domenu erekcije. Ovi efekti nijesu uticali na percepciju ispitanika o kombinaciji, koju su ocjenjivali statistički značajno većim stepenom zadovoljstva tokom cijelog ispitivanja u poređenju  sa placebom (p&lt;0,05). U ovom ispitivanju neželjena desjtva su se javljala tokom 12 mjeseci liječenja, a približno polovina ih se povukla u periodu od 6 mjeseci nakon prestanka liječenja.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Poznato je da kombinacija dutasterida i tamsulosina kao i dutasterid u monoterapiji uzrokuju neželjena dejstva na seksualnu funkciju (vidjeti dio 4.8).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Kao što je primijećeno u drugim kliničkim ispitivanjima, uključujući ispitivanja CombAT i REDUCE, incidenca štetnih događaja povezanih sa seksualnom funkcijom smanjuje se tokom vremena s nastavkom liječenja.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bCs/>
        </w:rPr>
      </w:pPr>
      <w:r w:rsidRPr="002C4D9A">
        <w:rPr>
          <w:rFonts w:ascii="Times New Roman" w:eastAsia="Times New Roman" w:hAnsi="Times New Roman" w:cs="Times New Roman"/>
          <w:b/>
          <w:bCs/>
        </w:rPr>
        <w:t xml:space="preserve">5.2. </w:t>
      </w:r>
      <w:r w:rsidRPr="002C4D9A">
        <w:rPr>
          <w:rFonts w:ascii="Times New Roman" w:eastAsia="Times New Roman" w:hAnsi="Times New Roman" w:cs="Times New Roman"/>
          <w:b/>
          <w:bCs/>
        </w:rPr>
        <w:tab/>
        <w:t xml:space="preserve">Farmakokinetički podaci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
          <w:iCs/>
          <w:lang w:val="bs-Latn-BA"/>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
          <w:iCs/>
          <w:lang w:val="bs-Latn-BA"/>
        </w:rPr>
      </w:pPr>
      <w:r w:rsidRPr="002C4D9A">
        <w:rPr>
          <w:rFonts w:ascii="Times New Roman" w:eastAsia="Times New Roman" w:hAnsi="Times New Roman" w:cs="Times New Roman"/>
          <w:bCs/>
          <w:i/>
          <w:iCs/>
          <w:lang w:val="bs-Latn-BA"/>
        </w:rPr>
        <w:t>Resorpcija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Cs/>
          <w:lang w:val="hr-HR"/>
        </w:rPr>
      </w:pPr>
      <w:r w:rsidRPr="002C4D9A">
        <w:rPr>
          <w:rFonts w:ascii="Times New Roman" w:eastAsia="Times New Roman" w:hAnsi="Times New Roman" w:cs="Times New Roman"/>
          <w:bCs/>
          <w:iCs/>
          <w:lang w:val="hr-HR"/>
        </w:rPr>
        <w:t xml:space="preserve">Maksimalna koncentracija dutasterida u serumu nakon oralne primjene pojedinačne doze od 0,5 mg postiže se nakon 1 - 3 sata. Apsolutna bioraspoloživost iznosi oko 60%. Unos hrane ne utiče na bioraspoloživost dutasterida.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
          <w:iCs/>
          <w:lang w:val="bs-Latn-BA"/>
        </w:rPr>
      </w:pPr>
      <w:r w:rsidRPr="002C4D9A">
        <w:rPr>
          <w:rFonts w:ascii="Times New Roman" w:eastAsia="Times New Roman" w:hAnsi="Times New Roman" w:cs="Times New Roman"/>
          <w:bCs/>
          <w:i/>
          <w:iCs/>
          <w:lang w:val="bs-Latn-BA"/>
        </w:rPr>
        <w:t>Distribucija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Cs/>
          <w:lang w:val="hr-HR"/>
        </w:rPr>
      </w:pPr>
      <w:r w:rsidRPr="002C4D9A">
        <w:rPr>
          <w:rFonts w:ascii="Times New Roman" w:eastAsia="Times New Roman" w:hAnsi="Times New Roman" w:cs="Times New Roman"/>
          <w:bCs/>
          <w:iCs/>
          <w:lang w:val="hr-HR"/>
        </w:rPr>
        <w:t xml:space="preserve">Dutasterid ima veliki volumen distribucije (300 to 500 l) i visoku sposobnost vezanja za proteine plazme (&gt;99,5%). Nakon dnevnog doziranja, koncentracije dutasterida u serumu dostižu 65% koncentracije u stanju dinamičke ravnoteže nakon mjesec dana liječenja, a otprilike 90% nakon 3 mjeseca.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Cs/>
          <w:lang w:val="hr-HR"/>
        </w:rPr>
      </w:pPr>
      <w:r w:rsidRPr="002C4D9A">
        <w:rPr>
          <w:rFonts w:ascii="Times New Roman" w:eastAsia="Times New Roman" w:hAnsi="Times New Roman" w:cs="Times New Roman"/>
          <w:bCs/>
          <w:iCs/>
          <w:lang w:val="hr-HR"/>
        </w:rPr>
        <w:t xml:space="preserve">Koncentracije u stanju dinamičke ravnoteže (Css) u serumu od otprilike 40 ng/ml postižu se nakon 6 mjeseci primjene doze od 0,5 mg na dan. Prosječno 11,5% dutasterida iz seruma prelazi u spermu. </w:t>
      </w:r>
    </w:p>
    <w:p w:rsidR="002C4D9A" w:rsidRDefault="002C4D9A" w:rsidP="002C4D9A">
      <w:pPr>
        <w:tabs>
          <w:tab w:val="left" w:pos="540"/>
          <w:tab w:val="left" w:pos="569"/>
        </w:tabs>
        <w:spacing w:after="0" w:line="240" w:lineRule="auto"/>
        <w:jc w:val="both"/>
        <w:rPr>
          <w:rFonts w:ascii="Times New Roman" w:eastAsia="Times New Roman" w:hAnsi="Times New Roman" w:cs="Times New Roman"/>
          <w:bCs/>
          <w:iCs/>
          <w:lang w:val="hr-HR"/>
        </w:rPr>
      </w:pPr>
    </w:p>
    <w:p w:rsidR="00457E62" w:rsidRDefault="00457E62" w:rsidP="002C4D9A">
      <w:pPr>
        <w:tabs>
          <w:tab w:val="left" w:pos="540"/>
          <w:tab w:val="left" w:pos="569"/>
        </w:tabs>
        <w:spacing w:after="0" w:line="240" w:lineRule="auto"/>
        <w:jc w:val="both"/>
        <w:rPr>
          <w:rFonts w:ascii="Times New Roman" w:eastAsia="Times New Roman" w:hAnsi="Times New Roman" w:cs="Times New Roman"/>
          <w:bCs/>
          <w:iCs/>
          <w:lang w:val="hr-HR"/>
        </w:rPr>
      </w:pPr>
    </w:p>
    <w:p w:rsidR="00457E62" w:rsidRPr="002C4D9A" w:rsidRDefault="00457E62" w:rsidP="002C4D9A">
      <w:pPr>
        <w:tabs>
          <w:tab w:val="left" w:pos="540"/>
          <w:tab w:val="left" w:pos="569"/>
        </w:tabs>
        <w:spacing w:after="0" w:line="240" w:lineRule="auto"/>
        <w:jc w:val="both"/>
        <w:rPr>
          <w:rFonts w:ascii="Times New Roman" w:eastAsia="Times New Roman" w:hAnsi="Times New Roman" w:cs="Times New Roman"/>
          <w:bCs/>
          <w:i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
          <w:iCs/>
          <w:lang w:val="hr-HR"/>
        </w:rPr>
      </w:pPr>
      <w:r w:rsidRPr="002C4D9A">
        <w:rPr>
          <w:rFonts w:ascii="Times New Roman" w:eastAsia="Times New Roman" w:hAnsi="Times New Roman" w:cs="Times New Roman"/>
          <w:bCs/>
          <w:i/>
          <w:iCs/>
          <w:lang w:val="hr-HR"/>
        </w:rPr>
        <w:lastRenderedPageBreak/>
        <w:t>Biotransformacija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Cs/>
          <w:lang w:val="hr-HR"/>
        </w:rPr>
      </w:pPr>
      <w:r w:rsidRPr="002C4D9A">
        <w:rPr>
          <w:rFonts w:ascii="Times New Roman" w:eastAsia="Times New Roman" w:hAnsi="Times New Roman" w:cs="Times New Roman"/>
          <w:bCs/>
          <w:iCs/>
          <w:lang w:val="hr-HR"/>
        </w:rPr>
        <w:t xml:space="preserve">Dutasterid se ekstenzivno metaboliše </w:t>
      </w:r>
      <w:r w:rsidRPr="002C4D9A">
        <w:rPr>
          <w:rFonts w:ascii="Times New Roman" w:eastAsia="Times New Roman" w:hAnsi="Times New Roman" w:cs="Times New Roman"/>
          <w:bCs/>
          <w:i/>
          <w:iCs/>
          <w:lang w:val="hr-HR"/>
        </w:rPr>
        <w:t>in vivo</w:t>
      </w:r>
      <w:r w:rsidRPr="002C4D9A">
        <w:rPr>
          <w:rFonts w:ascii="Times New Roman" w:eastAsia="Times New Roman" w:hAnsi="Times New Roman" w:cs="Times New Roman"/>
          <w:bCs/>
          <w:iCs/>
          <w:lang w:val="hr-HR"/>
        </w:rPr>
        <w:t xml:space="preserve">. </w:t>
      </w:r>
      <w:r w:rsidRPr="002C4D9A">
        <w:rPr>
          <w:rFonts w:ascii="Times New Roman" w:eastAsia="Times New Roman" w:hAnsi="Times New Roman" w:cs="Times New Roman"/>
          <w:bCs/>
          <w:i/>
          <w:iCs/>
          <w:lang w:val="hr-HR"/>
        </w:rPr>
        <w:t>In vitro</w:t>
      </w:r>
      <w:r w:rsidRPr="002C4D9A">
        <w:rPr>
          <w:rFonts w:ascii="Times New Roman" w:eastAsia="Times New Roman" w:hAnsi="Times New Roman" w:cs="Times New Roman"/>
          <w:bCs/>
          <w:iCs/>
          <w:lang w:val="hr-HR"/>
        </w:rPr>
        <w:t>, dutasterid se metaboliše pomoću citohroma P450 3A4 i 3A5 u tri monohidroksilna metabolita i jedan dihidroksilni metabolit.</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
          <w:iCs/>
          <w:lang w:val="pt-BR"/>
        </w:rPr>
      </w:pPr>
      <w:r w:rsidRPr="002C4D9A">
        <w:rPr>
          <w:rFonts w:ascii="Times New Roman" w:eastAsia="Times New Roman" w:hAnsi="Times New Roman" w:cs="Times New Roman"/>
          <w:bCs/>
          <w:i/>
          <w:iCs/>
          <w:lang w:val="pt-BR"/>
        </w:rPr>
        <w:t>Eliminacija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Cs/>
          <w:lang w:val="hr-HR"/>
        </w:rPr>
      </w:pPr>
      <w:r w:rsidRPr="002C4D9A">
        <w:rPr>
          <w:rFonts w:ascii="Times New Roman" w:eastAsia="Times New Roman" w:hAnsi="Times New Roman" w:cs="Times New Roman"/>
          <w:bCs/>
          <w:iCs/>
          <w:lang w:val="hr-HR"/>
        </w:rPr>
        <w:t xml:space="preserve">Nakon oralne primjene dutasterida u dozi od 0,5 mg/dan do stanja dinamičke ravnoteže, 1,0% do 15,4% (prosječno 5,4%) primijenjene doze izlučuje se nepromijenjeno u feces. Ostatak se izlučuje u feces u obliku 4 glavna metabolita koji čine 39%, 21%, 7%, i 7% lijeka i  6 manjih metabolita (manje od 5% svaki). Nepromijenjeni dutasterid se nalazi u ljudskom urinu samo u tragovima (manje od 0,1% doze).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Cs/>
          <w:lang w:val="hr-HR"/>
        </w:rPr>
      </w:pPr>
      <w:r w:rsidRPr="002C4D9A">
        <w:rPr>
          <w:rFonts w:ascii="Times New Roman" w:eastAsia="Times New Roman" w:hAnsi="Times New Roman" w:cs="Times New Roman"/>
          <w:bCs/>
          <w:iCs/>
          <w:lang w:val="hr-HR"/>
        </w:rPr>
        <w:t xml:space="preserve">Eliminacija dutasterida zavisi o dozi i može se opisati pomoću 2 paralelna eliminacijska puta, jednog kod kojeg je moguća saturacija za klinički relevantne koncentracije i drugog kod kojeg nije moguća saturacija.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Cs/>
          <w:lang w:val="hr-HR"/>
        </w:rPr>
      </w:pPr>
      <w:r w:rsidRPr="002C4D9A">
        <w:rPr>
          <w:rFonts w:ascii="Times New Roman" w:eastAsia="Times New Roman" w:hAnsi="Times New Roman" w:cs="Times New Roman"/>
          <w:bCs/>
          <w:iCs/>
          <w:lang w:val="hr-HR"/>
        </w:rPr>
        <w:t>Kod niskih koncentracija u serumu (manje od 3 ng/ml), dutasterid se izlučuje brzo pomoću oba eliminacijska puta: jednog koji zavisi o koncentraciji i drugog nezavisnog  od koncentracije. Pojedinačna doza od 5 mg ili manje pokazuje brzi klirens i kratko poluvrijeme eliminacije od 3 do 9 dana.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Cs/>
          <w:lang w:val="hr-HR"/>
        </w:rPr>
      </w:pPr>
      <w:r w:rsidRPr="002C4D9A">
        <w:rPr>
          <w:rFonts w:ascii="Times New Roman" w:eastAsia="Times New Roman" w:hAnsi="Times New Roman" w:cs="Times New Roman"/>
          <w:bCs/>
          <w:iCs/>
          <w:lang w:val="hr-HR"/>
        </w:rPr>
        <w:t>Pri terapijskim koncentracijama, nakon ponovljene doze od 0,5 mg/dan preovladava sporiji, linearni eliminacijski put, a poluvrijeme eliminacije iznosi otprilike 3 - 5 sedmica.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
          <w:iCs/>
          <w:lang w:val="hr-HR"/>
        </w:rPr>
      </w:pPr>
      <w:r w:rsidRPr="002C4D9A">
        <w:rPr>
          <w:rFonts w:ascii="Times New Roman" w:eastAsia="Times New Roman" w:hAnsi="Times New Roman" w:cs="Times New Roman"/>
          <w:bCs/>
          <w:i/>
          <w:iCs/>
          <w:lang w:val="hr-HR"/>
        </w:rPr>
        <w:t>Starije osobe</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Cs/>
          <w:lang w:val="hr-HR"/>
        </w:rPr>
      </w:pPr>
      <w:r w:rsidRPr="002C4D9A">
        <w:rPr>
          <w:rFonts w:ascii="Times New Roman" w:eastAsia="Times New Roman" w:hAnsi="Times New Roman" w:cs="Times New Roman"/>
          <w:bCs/>
          <w:iCs/>
          <w:lang w:val="hr-HR"/>
        </w:rPr>
        <w:t xml:space="preserve">Farmakokinetika dutasterida je procjenjivana kod 36 zdravih muških ispitanika u dobu od 24 do 87 godina nakon primjene pojedinačne doze od 5 mg dutasterida.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Cs/>
          <w:lang w:val="hr-HR"/>
        </w:rPr>
      </w:pPr>
      <w:r w:rsidRPr="002C4D9A">
        <w:rPr>
          <w:rFonts w:ascii="Times New Roman" w:eastAsia="Times New Roman" w:hAnsi="Times New Roman" w:cs="Times New Roman"/>
          <w:bCs/>
          <w:iCs/>
          <w:lang w:val="hr-HR"/>
        </w:rPr>
        <w:t>Nije bilo značajnog uticaja životne dobi na izloženost dutasteridu, međutim poluvrijeme je bilo kraće kod muškaraca mlađih od 50 godina. Poluvrijeme nije bilo statistički različito u poređenju  grupe od 50 - 69 godina sa grupom starijih od 70 godina.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
          <w:i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
          <w:iCs/>
          <w:lang w:val="hr-HR"/>
        </w:rPr>
      </w:pPr>
      <w:r w:rsidRPr="002C4D9A">
        <w:rPr>
          <w:rFonts w:ascii="Times New Roman" w:eastAsia="Times New Roman" w:hAnsi="Times New Roman" w:cs="Times New Roman"/>
          <w:bCs/>
          <w:i/>
          <w:iCs/>
          <w:lang w:val="hr-HR"/>
        </w:rPr>
        <w:t>Oštećenje funkcije bubrega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Cs/>
          <w:lang w:val="hr-HR"/>
        </w:rPr>
      </w:pPr>
      <w:r w:rsidRPr="002C4D9A">
        <w:rPr>
          <w:rFonts w:ascii="Times New Roman" w:eastAsia="Times New Roman" w:hAnsi="Times New Roman" w:cs="Times New Roman"/>
          <w:bCs/>
          <w:iCs/>
          <w:lang w:val="hr-HR"/>
        </w:rPr>
        <w:t xml:space="preserve">Efekat oštećenja funkcije bubrega na farmakokinetiku dutasterida još nije ispitivan. Manje od 0,1% koncentracije u stanju dinamičke ravnoteže pri dozi od 0,5 mg dutasterida je pronađeno u ljudskom urinu, stoga se ne predviđa klinički značajno povećanje koncentracije dutasterida u plazmi pacijenata s oštećenjem funkcije bubrega (vidjeti dio 4.2.).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
          <w:i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
          <w:iCs/>
          <w:lang w:val="hr-HR"/>
        </w:rPr>
      </w:pPr>
      <w:r w:rsidRPr="002C4D9A">
        <w:rPr>
          <w:rFonts w:ascii="Times New Roman" w:eastAsia="Times New Roman" w:hAnsi="Times New Roman" w:cs="Times New Roman"/>
          <w:bCs/>
          <w:i/>
          <w:iCs/>
          <w:lang w:val="hr-HR"/>
        </w:rPr>
        <w:t>Oštećenje funkcije jetre</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iCs/>
          <w:lang w:val="hr-HR"/>
        </w:rPr>
      </w:pPr>
      <w:r w:rsidRPr="002C4D9A">
        <w:rPr>
          <w:rFonts w:ascii="Times New Roman" w:eastAsia="Times New Roman" w:hAnsi="Times New Roman" w:cs="Times New Roman"/>
          <w:bCs/>
          <w:iCs/>
          <w:lang w:val="hr-HR"/>
        </w:rPr>
        <w:t xml:space="preserve">Efekat oštećenja funkcije jetre na farmakokinetiku dutasterida nije ispitan (vidjeti dio 4.3). Budući da se dutasterid eliminiše uglavnom metaboličkim putem, očekuje se da će nivoi dutasterida u plazmi biti povišeni kod ovih pacijenata, a poluvrijeme eliminacije dutasterida produženo (vidjeti dio 4.2 i 4.4).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bCs/>
        </w:rPr>
      </w:pPr>
      <w:r w:rsidRPr="002C4D9A">
        <w:rPr>
          <w:rFonts w:ascii="Times New Roman" w:eastAsia="Times New Roman" w:hAnsi="Times New Roman" w:cs="Times New Roman"/>
          <w:b/>
          <w:bCs/>
        </w:rPr>
        <w:t xml:space="preserve">5.3. </w:t>
      </w:r>
      <w:r w:rsidRPr="002C4D9A">
        <w:rPr>
          <w:rFonts w:ascii="Times New Roman" w:eastAsia="Times New Roman" w:hAnsi="Times New Roman" w:cs="Times New Roman"/>
          <w:b/>
          <w:bCs/>
        </w:rPr>
        <w:tab/>
        <w:t xml:space="preserve">Pretklinički podaci o bezbjednosti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Pretklinički podaci ne ukazuju na poseban rizik za ljude na osnovu konvencionalnih ispitivanja opšte toksičnosti, genotoksičnosti i kancerogenosti.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Ispitivanja reproduktivne toksičnosti kod mužjaka pacova su pokazala smanjenu težinu prostate i sjemenih kesica, smanjenu sekreciju akcesornih genitalnih žlijezda i redukciju pokazatelja fertiliteta (uzrokovanu farmakološkim efektom dutasterida). Klinički značaj ovih nalaza nije poznat.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lastRenderedPageBreak/>
        <w:t xml:space="preserve">Kao i kod ostalih inhibitora 5-alfa reduktaze primijećena je feminizacija muških fetusa kod pacova i zečeva pri primjeni dutasterida tokom gestacijskog perioda. Dutasterid je nađen u krvi ženki pacova  nakon parenja s mužjacima koji su primali dutasterid. Tokom gestacijskog perioda kod primata nije došlo do feminizacije muškog fetusa izloženog krvi koja je sadržavala doze dutasterida veće od onih koje će se vjerovatno pojaviti u ljudskoj spermi. </w:t>
      </w:r>
    </w:p>
    <w:p w:rsidR="00D570DF" w:rsidRPr="002C4D9A" w:rsidRDefault="00D570DF"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 xml:space="preserve">Mala je vjerovatnost štetnog efekta dutasterida iz sperme na muški fetus.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bCs/>
        </w:rPr>
      </w:pPr>
      <w:r w:rsidRPr="002C4D9A">
        <w:rPr>
          <w:rFonts w:ascii="Times New Roman" w:eastAsia="Times New Roman" w:hAnsi="Times New Roman" w:cs="Times New Roman"/>
          <w:b/>
          <w:bCs/>
        </w:rPr>
        <w:t xml:space="preserve">6. </w:t>
      </w:r>
      <w:r w:rsidRPr="002C4D9A">
        <w:rPr>
          <w:rFonts w:ascii="Times New Roman" w:eastAsia="Times New Roman" w:hAnsi="Times New Roman" w:cs="Times New Roman"/>
          <w:b/>
          <w:bCs/>
        </w:rPr>
        <w:tab/>
        <w:t>FARMACEUTSKI PODACI</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bCs/>
        </w:rPr>
      </w:pPr>
      <w:r w:rsidRPr="002C4D9A">
        <w:rPr>
          <w:rFonts w:ascii="Times New Roman" w:eastAsia="Times New Roman" w:hAnsi="Times New Roman" w:cs="Times New Roman"/>
          <w:b/>
          <w:bCs/>
        </w:rPr>
        <w:t xml:space="preserve">6.1. </w:t>
      </w:r>
      <w:r w:rsidRPr="002C4D9A">
        <w:rPr>
          <w:rFonts w:ascii="Times New Roman" w:eastAsia="Times New Roman" w:hAnsi="Times New Roman" w:cs="Times New Roman"/>
          <w:b/>
          <w:bCs/>
        </w:rPr>
        <w:tab/>
        <w:t>Lista pomoćnih supstanci (ekscipijenasa)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rPr>
      </w:pPr>
    </w:p>
    <w:p w:rsidR="002C4D9A" w:rsidRPr="002C4D9A" w:rsidRDefault="002C4D9A" w:rsidP="002C4D9A">
      <w:pPr>
        <w:numPr>
          <w:ilvl w:val="0"/>
          <w:numId w:val="16"/>
        </w:numPr>
        <w:tabs>
          <w:tab w:val="left" w:pos="284"/>
        </w:tabs>
        <w:spacing w:after="0" w:line="240" w:lineRule="auto"/>
        <w:contextualSpacing/>
        <w:jc w:val="both"/>
        <w:rPr>
          <w:rFonts w:ascii="Times New Roman" w:eastAsia="Times New Roman" w:hAnsi="Times New Roman" w:cs="Times New Roman"/>
        </w:rPr>
      </w:pPr>
      <w:r w:rsidRPr="002C4D9A">
        <w:rPr>
          <w:rFonts w:ascii="Times New Roman" w:eastAsia="Times New Roman" w:hAnsi="Times New Roman" w:cs="Times New Roman"/>
        </w:rPr>
        <w:t>Propilen glikol monokaprilat tip II;</w:t>
      </w:r>
    </w:p>
    <w:p w:rsidR="002C4D9A" w:rsidRPr="002C4D9A" w:rsidRDefault="002C4D9A" w:rsidP="002C4D9A">
      <w:pPr>
        <w:numPr>
          <w:ilvl w:val="0"/>
          <w:numId w:val="16"/>
        </w:numPr>
        <w:tabs>
          <w:tab w:val="left" w:pos="284"/>
        </w:tabs>
        <w:spacing w:after="0" w:line="240" w:lineRule="auto"/>
        <w:contextualSpacing/>
        <w:jc w:val="both"/>
        <w:rPr>
          <w:rFonts w:ascii="Times New Roman" w:eastAsia="Times New Roman" w:hAnsi="Times New Roman" w:cs="Times New Roman"/>
        </w:rPr>
      </w:pPr>
      <w:r w:rsidRPr="002C4D9A">
        <w:rPr>
          <w:rFonts w:ascii="Times New Roman" w:eastAsia="Times New Roman" w:hAnsi="Times New Roman" w:cs="Times New Roman"/>
        </w:rPr>
        <w:t>Butilhidroksitoluen (E321).</w:t>
      </w:r>
    </w:p>
    <w:p w:rsidR="002C4D9A" w:rsidRPr="002C4D9A" w:rsidRDefault="002C4D9A" w:rsidP="002C4D9A">
      <w:pPr>
        <w:tabs>
          <w:tab w:val="left" w:pos="284"/>
        </w:tabs>
        <w:spacing w:after="0" w:line="240" w:lineRule="auto"/>
        <w:jc w:val="both"/>
        <w:rPr>
          <w:rFonts w:ascii="Times New Roman" w:eastAsia="Times New Roman" w:hAnsi="Times New Roman" w:cs="Times New Roman"/>
        </w:rPr>
      </w:pPr>
    </w:p>
    <w:p w:rsidR="002C4D9A" w:rsidRPr="002C4D9A" w:rsidRDefault="002C4D9A" w:rsidP="002C4D9A">
      <w:pPr>
        <w:tabs>
          <w:tab w:val="left" w:pos="284"/>
        </w:tabs>
        <w:spacing w:after="0" w:line="240" w:lineRule="auto"/>
        <w:jc w:val="both"/>
        <w:rPr>
          <w:rFonts w:ascii="Times New Roman" w:eastAsia="Times New Roman" w:hAnsi="Times New Roman" w:cs="Times New Roman"/>
        </w:rPr>
      </w:pPr>
      <w:r w:rsidRPr="002C4D9A">
        <w:rPr>
          <w:rFonts w:ascii="Times New Roman" w:eastAsia="Times New Roman" w:hAnsi="Times New Roman" w:cs="Times New Roman"/>
        </w:rPr>
        <w:t xml:space="preserve">Sastav </w:t>
      </w:r>
      <w:r w:rsidRPr="002C4D9A">
        <w:rPr>
          <w:rFonts w:ascii="Times New Roman" w:eastAsia="Times New Roman" w:hAnsi="Times New Roman" w:cs="Times New Roman"/>
          <w:bCs/>
          <w:lang w:val="bs-Latn-BA"/>
        </w:rPr>
        <w:t>meke želatinske kapsule</w:t>
      </w:r>
      <w:r w:rsidRPr="002C4D9A">
        <w:rPr>
          <w:rFonts w:ascii="Times New Roman" w:eastAsia="Times New Roman" w:hAnsi="Times New Roman" w:cs="Times New Roman"/>
        </w:rPr>
        <w:t xml:space="preserve">: </w:t>
      </w:r>
    </w:p>
    <w:p w:rsidR="002C4D9A" w:rsidRPr="002C4D9A" w:rsidRDefault="002C4D9A" w:rsidP="002C4D9A">
      <w:pPr>
        <w:numPr>
          <w:ilvl w:val="0"/>
          <w:numId w:val="17"/>
        </w:numPr>
        <w:tabs>
          <w:tab w:val="left" w:pos="284"/>
        </w:tabs>
        <w:spacing w:after="0" w:line="240" w:lineRule="auto"/>
        <w:contextualSpacing/>
        <w:jc w:val="both"/>
        <w:rPr>
          <w:rFonts w:ascii="Times New Roman" w:eastAsia="Times New Roman" w:hAnsi="Times New Roman" w:cs="Times New Roman"/>
        </w:rPr>
      </w:pPr>
      <w:r w:rsidRPr="002C4D9A">
        <w:rPr>
          <w:rFonts w:ascii="Times New Roman" w:eastAsia="Times New Roman" w:hAnsi="Times New Roman" w:cs="Times New Roman"/>
        </w:rPr>
        <w:t>Želatin;</w:t>
      </w:r>
    </w:p>
    <w:p w:rsidR="002C4D9A" w:rsidRPr="002C4D9A" w:rsidRDefault="002C4D9A" w:rsidP="002C4D9A">
      <w:pPr>
        <w:numPr>
          <w:ilvl w:val="0"/>
          <w:numId w:val="17"/>
        </w:numPr>
        <w:tabs>
          <w:tab w:val="left" w:pos="284"/>
        </w:tabs>
        <w:spacing w:after="0" w:line="240" w:lineRule="auto"/>
        <w:contextualSpacing/>
        <w:jc w:val="both"/>
        <w:rPr>
          <w:rFonts w:ascii="Times New Roman" w:eastAsia="Times New Roman" w:hAnsi="Times New Roman" w:cs="Times New Roman"/>
        </w:rPr>
      </w:pPr>
      <w:r w:rsidRPr="002C4D9A">
        <w:rPr>
          <w:rFonts w:ascii="Times New Roman" w:eastAsia="Times New Roman" w:hAnsi="Times New Roman" w:cs="Times New Roman"/>
        </w:rPr>
        <w:t>Glicerol;</w:t>
      </w:r>
    </w:p>
    <w:p w:rsidR="002C4D9A" w:rsidRPr="002C4D9A" w:rsidRDefault="002C4D9A" w:rsidP="002C4D9A">
      <w:pPr>
        <w:numPr>
          <w:ilvl w:val="0"/>
          <w:numId w:val="17"/>
        </w:numPr>
        <w:tabs>
          <w:tab w:val="left" w:pos="284"/>
        </w:tabs>
        <w:spacing w:after="0" w:line="240" w:lineRule="auto"/>
        <w:contextualSpacing/>
        <w:jc w:val="both"/>
        <w:rPr>
          <w:rFonts w:ascii="Times New Roman" w:eastAsia="Times New Roman" w:hAnsi="Times New Roman" w:cs="Times New Roman"/>
        </w:rPr>
      </w:pPr>
      <w:r w:rsidRPr="002C4D9A">
        <w:rPr>
          <w:rFonts w:ascii="Times New Roman" w:eastAsia="Times New Roman" w:hAnsi="Times New Roman" w:cs="Times New Roman"/>
        </w:rPr>
        <w:t>Titan dioksid (E171).</w:t>
      </w:r>
    </w:p>
    <w:p w:rsidR="002C4D9A" w:rsidRPr="002C4D9A" w:rsidRDefault="002C4D9A" w:rsidP="002C4D9A">
      <w:pPr>
        <w:tabs>
          <w:tab w:val="left" w:pos="284"/>
        </w:tabs>
        <w:spacing w:after="0" w:line="240" w:lineRule="auto"/>
        <w:jc w:val="both"/>
        <w:rPr>
          <w:rFonts w:ascii="Times New Roman" w:eastAsia="Times New Roman" w:hAnsi="Times New Roman" w:cs="Times New Roman"/>
        </w:rPr>
      </w:pPr>
    </w:p>
    <w:p w:rsidR="002C4D9A" w:rsidRPr="002C4D9A" w:rsidRDefault="002C4D9A" w:rsidP="002C4D9A">
      <w:pPr>
        <w:tabs>
          <w:tab w:val="left" w:pos="284"/>
        </w:tabs>
        <w:spacing w:after="0" w:line="240" w:lineRule="auto"/>
        <w:jc w:val="both"/>
        <w:rPr>
          <w:rFonts w:ascii="Times New Roman" w:eastAsia="Times New Roman" w:hAnsi="Times New Roman" w:cs="Times New Roman"/>
          <w:bCs/>
          <w:lang w:val="bs-Latn-BA"/>
        </w:rPr>
      </w:pPr>
      <w:r w:rsidRPr="002C4D9A">
        <w:rPr>
          <w:rFonts w:ascii="Times New Roman" w:eastAsia="Times New Roman" w:hAnsi="Times New Roman" w:cs="Times New Roman"/>
          <w:bCs/>
          <w:lang w:val="bs-Latn-BA"/>
        </w:rPr>
        <w:t>Materijali koji se koriste za lubrikaciju opreme:</w:t>
      </w:r>
    </w:p>
    <w:p w:rsidR="002C4D9A" w:rsidRPr="002C4D9A" w:rsidRDefault="002C4D9A" w:rsidP="002C4D9A">
      <w:pPr>
        <w:numPr>
          <w:ilvl w:val="0"/>
          <w:numId w:val="18"/>
        </w:numPr>
        <w:tabs>
          <w:tab w:val="left" w:pos="284"/>
        </w:tabs>
        <w:spacing w:after="0" w:line="240" w:lineRule="auto"/>
        <w:contextualSpacing/>
        <w:jc w:val="both"/>
        <w:rPr>
          <w:rFonts w:ascii="Times New Roman" w:eastAsia="Times New Roman" w:hAnsi="Times New Roman" w:cs="Times New Roman"/>
        </w:rPr>
      </w:pPr>
      <w:r w:rsidRPr="002C4D9A">
        <w:rPr>
          <w:rFonts w:ascii="Times New Roman" w:eastAsia="Times New Roman" w:hAnsi="Times New Roman" w:cs="Times New Roman"/>
        </w:rPr>
        <w:t>Trigliceridi, srednje dužine lanca;</w:t>
      </w:r>
    </w:p>
    <w:p w:rsidR="002C4D9A" w:rsidRPr="002C4D9A" w:rsidRDefault="002C4D9A" w:rsidP="002C4D9A">
      <w:pPr>
        <w:numPr>
          <w:ilvl w:val="0"/>
          <w:numId w:val="18"/>
        </w:numPr>
        <w:tabs>
          <w:tab w:val="left" w:pos="284"/>
        </w:tabs>
        <w:spacing w:after="0" w:line="240" w:lineRule="auto"/>
        <w:contextualSpacing/>
        <w:jc w:val="both"/>
        <w:rPr>
          <w:rFonts w:ascii="Times New Roman" w:eastAsia="Times New Roman" w:hAnsi="Times New Roman" w:cs="Times New Roman"/>
        </w:rPr>
      </w:pPr>
      <w:r w:rsidRPr="002C4D9A">
        <w:rPr>
          <w:rFonts w:ascii="Times New Roman" w:eastAsia="Times New Roman" w:hAnsi="Times New Roman" w:cs="Times New Roman"/>
        </w:rPr>
        <w:t>Lecitin (soja) (E322).</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bCs/>
        </w:rPr>
      </w:pPr>
      <w:r w:rsidRPr="002C4D9A">
        <w:rPr>
          <w:rFonts w:ascii="Times New Roman" w:eastAsia="Times New Roman" w:hAnsi="Times New Roman" w:cs="Times New Roman"/>
          <w:b/>
          <w:bCs/>
        </w:rPr>
        <w:t xml:space="preserve">6.2. </w:t>
      </w:r>
      <w:r w:rsidRPr="002C4D9A">
        <w:rPr>
          <w:rFonts w:ascii="Times New Roman" w:eastAsia="Times New Roman" w:hAnsi="Times New Roman" w:cs="Times New Roman"/>
          <w:b/>
          <w:bCs/>
        </w:rPr>
        <w:tab/>
        <w:t>Inkompatibilnosti</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fr-F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fr-FR"/>
        </w:rPr>
      </w:pPr>
      <w:r w:rsidRPr="002C4D9A">
        <w:rPr>
          <w:rFonts w:ascii="Times New Roman" w:eastAsia="Times New Roman" w:hAnsi="Times New Roman" w:cs="Times New Roman"/>
          <w:bCs/>
          <w:lang w:val="fr-FR"/>
        </w:rPr>
        <w:t>Nije primjenjivo.</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bCs/>
        </w:rPr>
      </w:pPr>
      <w:r w:rsidRPr="002C4D9A">
        <w:rPr>
          <w:rFonts w:ascii="Times New Roman" w:eastAsia="Times New Roman" w:hAnsi="Times New Roman" w:cs="Times New Roman"/>
          <w:b/>
          <w:bCs/>
        </w:rPr>
        <w:t xml:space="preserve">6.3. </w:t>
      </w:r>
      <w:r w:rsidRPr="002C4D9A">
        <w:rPr>
          <w:rFonts w:ascii="Times New Roman" w:eastAsia="Times New Roman" w:hAnsi="Times New Roman" w:cs="Times New Roman"/>
          <w:b/>
          <w:bCs/>
        </w:rPr>
        <w:tab/>
        <w:t>Rok upotrebe</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bs-Latn-BA"/>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bs-Latn-BA"/>
        </w:rPr>
      </w:pPr>
      <w:r w:rsidRPr="002C4D9A">
        <w:rPr>
          <w:rFonts w:ascii="Times New Roman" w:eastAsia="Times New Roman" w:hAnsi="Times New Roman" w:cs="Times New Roman"/>
          <w:bCs/>
          <w:lang w:val="bs-Latn-BA"/>
        </w:rPr>
        <w:t>24 mjeseca.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bCs/>
        </w:rPr>
      </w:pPr>
      <w:r w:rsidRPr="002C4D9A">
        <w:rPr>
          <w:rFonts w:ascii="Times New Roman" w:eastAsia="Times New Roman" w:hAnsi="Times New Roman" w:cs="Times New Roman"/>
          <w:b/>
          <w:bCs/>
        </w:rPr>
        <w:t xml:space="preserve">6.4. </w:t>
      </w:r>
      <w:r w:rsidRPr="002C4D9A">
        <w:rPr>
          <w:rFonts w:ascii="Times New Roman" w:eastAsia="Times New Roman" w:hAnsi="Times New Roman" w:cs="Times New Roman"/>
          <w:b/>
          <w:bCs/>
        </w:rPr>
        <w:tab/>
        <w:t>Posebne mjere upozorenja pri čuvanju lijeka</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en-GB"/>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en-GB"/>
        </w:rPr>
        <w:t>Čuvati na temperaturi do 30°C, u originalnom pakovanju, zaštićeno od svjetlosti.</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bCs/>
        </w:rPr>
      </w:pPr>
      <w:r w:rsidRPr="002C4D9A">
        <w:rPr>
          <w:rFonts w:ascii="Times New Roman" w:eastAsia="Times New Roman" w:hAnsi="Times New Roman" w:cs="Times New Roman"/>
          <w:b/>
          <w:bCs/>
        </w:rPr>
        <w:t xml:space="preserve">6.5. </w:t>
      </w:r>
      <w:r w:rsidRPr="002C4D9A">
        <w:rPr>
          <w:rFonts w:ascii="Times New Roman" w:eastAsia="Times New Roman" w:hAnsi="Times New Roman" w:cs="Times New Roman"/>
          <w:b/>
          <w:bCs/>
        </w:rPr>
        <w:tab/>
        <w:t xml:space="preserve">Vrsta i sadržaj pakovanja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en-AU"/>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fr-FR"/>
        </w:rPr>
      </w:pPr>
      <w:r w:rsidRPr="002C4D9A">
        <w:rPr>
          <w:rFonts w:ascii="Times New Roman" w:eastAsia="Times New Roman" w:hAnsi="Times New Roman" w:cs="Times New Roman"/>
          <w:bCs/>
          <w:lang w:val="en-AU"/>
        </w:rPr>
        <w:t>Blister pakovanje od termoformirajuće PVC/PE/PVdC folije bez boje i aluminijumske folije (2</w:t>
      </w:r>
      <w:r w:rsidRPr="002C4D9A">
        <w:rPr>
          <w:rFonts w:ascii="Times New Roman" w:eastAsia="Times New Roman" w:hAnsi="Times New Roman" w:cs="Times New Roman"/>
          <w:bCs/>
          <w:lang w:val="fr-FR"/>
        </w:rPr>
        <w:t xml:space="preserve"> blistera sa po 15 kapsula u kutiji).</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bCs/>
        </w:rPr>
      </w:pPr>
      <w:r w:rsidRPr="002C4D9A">
        <w:rPr>
          <w:rFonts w:ascii="Times New Roman" w:eastAsia="Times New Roman" w:hAnsi="Times New Roman" w:cs="Times New Roman"/>
          <w:b/>
          <w:bCs/>
        </w:rPr>
        <w:t xml:space="preserve">6.6. </w:t>
      </w:r>
      <w:r w:rsidRPr="002C4D9A">
        <w:rPr>
          <w:rFonts w:ascii="Times New Roman" w:eastAsia="Times New Roman" w:hAnsi="Times New Roman" w:cs="Times New Roman"/>
          <w:b/>
          <w:bCs/>
        </w:rPr>
        <w:tab/>
      </w:r>
      <w:r w:rsidRPr="002C4D9A">
        <w:rPr>
          <w:rFonts w:ascii="Times New Roman" w:eastAsia="Times New Roman" w:hAnsi="Times New Roman" w:cs="Times New Roman"/>
          <w:b/>
          <w:bCs/>
          <w:color w:val="000000"/>
        </w:rPr>
        <w:t>Posebne mjere opreza pri odlaganju materijala koji treba odbaciti nakon primjene lijeka</w:t>
      </w:r>
      <w:r w:rsidRPr="002C4D9A">
        <w:rPr>
          <w:rFonts w:ascii="Times New Roman" w:eastAsia="Times New Roman" w:hAnsi="Times New Roman" w:cs="Times New Roman"/>
          <w:b/>
          <w:bCs/>
        </w:rPr>
        <w:t xml:space="preserve"> (i druga uputstva za rukovanje lijekom) </w:t>
      </w:r>
    </w:p>
    <w:p w:rsidR="000505E8" w:rsidRDefault="000505E8"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lastRenderedPageBreak/>
        <w:t>Dutasterid se resorbuje preko kože i zato se mora izbjegavati kontakt sa oštećenim kapsulama. Ukoliko je došlo do kontakta sa oštećenom kapsulom, područje kontakta je potrebno odmah isprati sapunom i vodom (vidjeti dio 4.4).</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Svu neiskorišćenu količinu lijeka ili otpadnog materijala nakon njegove upotrebe treba ukloniti u skladu sa važećim propisima.</w:t>
      </w:r>
    </w:p>
    <w:p w:rsid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0505E8" w:rsidRPr="002C4D9A" w:rsidRDefault="000505E8"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bCs/>
        </w:rPr>
      </w:pPr>
      <w:r w:rsidRPr="002C4D9A">
        <w:rPr>
          <w:rFonts w:ascii="Times New Roman" w:eastAsia="Times New Roman" w:hAnsi="Times New Roman" w:cs="Times New Roman"/>
          <w:b/>
          <w:bCs/>
        </w:rPr>
        <w:t xml:space="preserve">7. </w:t>
      </w:r>
      <w:r w:rsidRPr="002C4D9A">
        <w:rPr>
          <w:rFonts w:ascii="Times New Roman" w:eastAsia="Times New Roman" w:hAnsi="Times New Roman" w:cs="Times New Roman"/>
          <w:b/>
          <w:bCs/>
        </w:rPr>
        <w:tab/>
        <w:t xml:space="preserve">NOSILAC DOZVOLE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lang w:val="hr-HR"/>
        </w:rPr>
      </w:pPr>
      <w:r w:rsidRPr="002C4D9A">
        <w:rPr>
          <w:rFonts w:ascii="Times New Roman" w:eastAsia="Times New Roman" w:hAnsi="Times New Roman" w:cs="Times New Roman"/>
          <w:bCs/>
          <w:lang w:val="hr-HR"/>
        </w:rPr>
        <w:t>Bosnalijek d.d. Predstavništvo Crna Gora, Bulevar Svetog Petra Cetinjskog 63, Podgorica, Crna Gora</w:t>
      </w:r>
    </w:p>
    <w:p w:rsidR="002C4D9A" w:rsidRDefault="002C4D9A" w:rsidP="002C4D9A">
      <w:pPr>
        <w:tabs>
          <w:tab w:val="left" w:pos="540"/>
          <w:tab w:val="left" w:pos="569"/>
        </w:tabs>
        <w:spacing w:after="0" w:line="240" w:lineRule="auto"/>
        <w:jc w:val="both"/>
        <w:rPr>
          <w:rFonts w:ascii="Times New Roman" w:eastAsia="Times New Roman" w:hAnsi="Times New Roman" w:cs="Times New Roman"/>
          <w:bCs/>
        </w:rPr>
      </w:pPr>
    </w:p>
    <w:p w:rsidR="000505E8" w:rsidRPr="002C4D9A" w:rsidRDefault="000505E8" w:rsidP="002C4D9A">
      <w:pPr>
        <w:tabs>
          <w:tab w:val="left" w:pos="540"/>
          <w:tab w:val="left" w:pos="569"/>
        </w:tabs>
        <w:spacing w:after="0" w:line="240" w:lineRule="auto"/>
        <w:jc w:val="both"/>
        <w:rPr>
          <w:rFonts w:ascii="Times New Roman" w:eastAsia="Times New Roman" w:hAnsi="Times New Roman" w:cs="Times New Roman"/>
          <w:bCs/>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bCs/>
        </w:rPr>
      </w:pPr>
      <w:r w:rsidRPr="002C4D9A">
        <w:rPr>
          <w:rFonts w:ascii="Times New Roman" w:eastAsia="Times New Roman" w:hAnsi="Times New Roman" w:cs="Times New Roman"/>
          <w:b/>
          <w:bCs/>
        </w:rPr>
        <w:t xml:space="preserve">8. </w:t>
      </w:r>
      <w:r w:rsidRPr="002C4D9A">
        <w:rPr>
          <w:rFonts w:ascii="Times New Roman" w:eastAsia="Times New Roman" w:hAnsi="Times New Roman" w:cs="Times New Roman"/>
          <w:b/>
          <w:bCs/>
        </w:rPr>
        <w:tab/>
        <w:t>BROJ DOZVOLE ZA STAVLJANJE LIJEKA U PROMET</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rPr>
      </w:pPr>
      <w:r w:rsidRPr="002C4D9A">
        <w:rPr>
          <w:rFonts w:ascii="Times New Roman" w:eastAsia="Times New Roman" w:hAnsi="Times New Roman" w:cs="Times New Roman"/>
          <w:bCs/>
        </w:rPr>
        <w:t>Verion</w:t>
      </w:r>
      <w:r w:rsidRPr="002C4D9A">
        <w:rPr>
          <w:rFonts w:ascii="Times New Roman" w:eastAsia="Times New Roman" w:hAnsi="Times New Roman" w:cs="Times New Roman"/>
          <w:bCs/>
          <w:vertAlign w:val="superscript"/>
        </w:rPr>
        <w:t>®</w:t>
      </w:r>
      <w:r w:rsidRPr="002C4D9A">
        <w:rPr>
          <w:rFonts w:ascii="Times New Roman" w:eastAsia="Times New Roman" w:hAnsi="Times New Roman" w:cs="Times New Roman"/>
          <w:bCs/>
        </w:rPr>
        <w:t>, kapsula, meka, 0.5 mg, blister, 30 (2x15) kapsula</w:t>
      </w:r>
      <w:r w:rsidR="00567A5E">
        <w:rPr>
          <w:rFonts w:ascii="Times New Roman" w:eastAsia="Times New Roman" w:hAnsi="Times New Roman" w:cs="Times New Roman"/>
          <w:bCs/>
        </w:rPr>
        <w:t>, mekih</w:t>
      </w:r>
      <w:r w:rsidRPr="002C4D9A">
        <w:rPr>
          <w:rFonts w:ascii="Times New Roman" w:eastAsia="Times New Roman" w:hAnsi="Times New Roman" w:cs="Times New Roman"/>
          <w:bCs/>
        </w:rPr>
        <w:t>:</w:t>
      </w:r>
      <w:r w:rsidR="00115231" w:rsidRPr="00115231">
        <w:t xml:space="preserve"> </w:t>
      </w:r>
      <w:r w:rsidR="00115231" w:rsidRPr="00115231">
        <w:rPr>
          <w:rFonts w:ascii="Times New Roman" w:eastAsia="Times New Roman" w:hAnsi="Times New Roman" w:cs="Times New Roman"/>
          <w:bCs/>
        </w:rPr>
        <w:t>2030/20/624 - 6057</w:t>
      </w:r>
    </w:p>
    <w:p w:rsidR="002C4D9A" w:rsidRDefault="002C4D9A" w:rsidP="002C4D9A">
      <w:pPr>
        <w:tabs>
          <w:tab w:val="left" w:pos="540"/>
          <w:tab w:val="left" w:pos="569"/>
        </w:tabs>
        <w:spacing w:after="0" w:line="240" w:lineRule="auto"/>
        <w:jc w:val="both"/>
        <w:rPr>
          <w:rFonts w:ascii="Times New Roman" w:eastAsia="Times New Roman" w:hAnsi="Times New Roman" w:cs="Times New Roman"/>
          <w:bCs/>
        </w:rPr>
      </w:pPr>
    </w:p>
    <w:p w:rsidR="000505E8" w:rsidRPr="002C4D9A" w:rsidRDefault="000505E8" w:rsidP="002C4D9A">
      <w:pPr>
        <w:tabs>
          <w:tab w:val="left" w:pos="540"/>
          <w:tab w:val="left" w:pos="569"/>
        </w:tabs>
        <w:spacing w:after="0" w:line="240" w:lineRule="auto"/>
        <w:jc w:val="both"/>
        <w:rPr>
          <w:rFonts w:ascii="Times New Roman" w:eastAsia="Times New Roman" w:hAnsi="Times New Roman" w:cs="Times New Roman"/>
          <w:bCs/>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
          <w:bCs/>
        </w:rPr>
      </w:pPr>
      <w:r w:rsidRPr="002C4D9A">
        <w:rPr>
          <w:rFonts w:ascii="Times New Roman" w:eastAsia="Times New Roman" w:hAnsi="Times New Roman" w:cs="Times New Roman"/>
          <w:b/>
          <w:bCs/>
        </w:rPr>
        <w:t xml:space="preserve">9. </w:t>
      </w:r>
      <w:r w:rsidRPr="002C4D9A">
        <w:rPr>
          <w:rFonts w:ascii="Times New Roman" w:eastAsia="Times New Roman" w:hAnsi="Times New Roman" w:cs="Times New Roman"/>
          <w:b/>
          <w:bCs/>
        </w:rPr>
        <w:tab/>
        <w:t>DATUM PRVE DOZVOLE/OBNOVE DOZVOLE ZA STAVLJANJE LIJEKA U PROMET</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rPr>
      </w:pPr>
      <w:r w:rsidRPr="002C4D9A">
        <w:rPr>
          <w:rFonts w:ascii="Times New Roman" w:eastAsia="Times New Roman" w:hAnsi="Times New Roman" w:cs="Times New Roman"/>
          <w:bCs/>
        </w:rPr>
        <w:t>Verion</w:t>
      </w:r>
      <w:r w:rsidRPr="002C4D9A">
        <w:rPr>
          <w:rFonts w:ascii="Times New Roman" w:eastAsia="Times New Roman" w:hAnsi="Times New Roman" w:cs="Times New Roman"/>
          <w:bCs/>
          <w:vertAlign w:val="superscript"/>
        </w:rPr>
        <w:t>®</w:t>
      </w:r>
      <w:r w:rsidRPr="002C4D9A">
        <w:rPr>
          <w:rFonts w:ascii="Times New Roman" w:eastAsia="Times New Roman" w:hAnsi="Times New Roman" w:cs="Times New Roman"/>
          <w:bCs/>
        </w:rPr>
        <w:t>, kapsula, meka, 0.5 mg, blister, 30 (2x15) kapsula</w:t>
      </w:r>
      <w:r w:rsidR="00567A5E">
        <w:rPr>
          <w:rFonts w:ascii="Times New Roman" w:eastAsia="Times New Roman" w:hAnsi="Times New Roman" w:cs="Times New Roman"/>
          <w:bCs/>
        </w:rPr>
        <w:t>, mekih</w:t>
      </w:r>
      <w:bookmarkStart w:id="0" w:name="_GoBack"/>
      <w:bookmarkEnd w:id="0"/>
      <w:r w:rsidRPr="002C4D9A">
        <w:rPr>
          <w:rFonts w:ascii="Times New Roman" w:eastAsia="Times New Roman" w:hAnsi="Times New Roman" w:cs="Times New Roman"/>
          <w:bCs/>
        </w:rPr>
        <w:t>:</w:t>
      </w:r>
      <w:r w:rsidR="00115231" w:rsidRPr="00115231">
        <w:t xml:space="preserve"> </w:t>
      </w:r>
      <w:r w:rsidR="00115231" w:rsidRPr="00115231">
        <w:rPr>
          <w:rFonts w:ascii="Times New Roman" w:eastAsia="Times New Roman" w:hAnsi="Times New Roman" w:cs="Times New Roman"/>
          <w:bCs/>
        </w:rPr>
        <w:t>15.05.2020. godine</w:t>
      </w:r>
    </w:p>
    <w:p w:rsidR="002C4D9A" w:rsidRDefault="002C4D9A" w:rsidP="002C4D9A">
      <w:pPr>
        <w:tabs>
          <w:tab w:val="left" w:pos="540"/>
          <w:tab w:val="left" w:pos="569"/>
        </w:tabs>
        <w:spacing w:after="0" w:line="240" w:lineRule="auto"/>
        <w:jc w:val="both"/>
        <w:rPr>
          <w:rFonts w:ascii="Times New Roman" w:eastAsia="Times New Roman" w:hAnsi="Times New Roman" w:cs="Times New Roman"/>
          <w:bCs/>
        </w:rPr>
      </w:pPr>
    </w:p>
    <w:p w:rsidR="000505E8" w:rsidRPr="002C4D9A" w:rsidRDefault="000505E8" w:rsidP="002C4D9A">
      <w:pPr>
        <w:tabs>
          <w:tab w:val="left" w:pos="540"/>
          <w:tab w:val="left" w:pos="569"/>
        </w:tabs>
        <w:spacing w:after="0" w:line="240" w:lineRule="auto"/>
        <w:jc w:val="both"/>
        <w:rPr>
          <w:rFonts w:ascii="Times New Roman" w:eastAsia="Times New Roman" w:hAnsi="Times New Roman" w:cs="Times New Roman"/>
          <w:bCs/>
        </w:rPr>
      </w:pP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rPr>
      </w:pPr>
      <w:r w:rsidRPr="002C4D9A">
        <w:rPr>
          <w:rFonts w:ascii="Times New Roman" w:eastAsia="Times New Roman" w:hAnsi="Times New Roman" w:cs="Times New Roman"/>
          <w:b/>
          <w:bCs/>
        </w:rPr>
        <w:t xml:space="preserve">10. </w:t>
      </w:r>
      <w:r w:rsidRPr="002C4D9A">
        <w:rPr>
          <w:rFonts w:ascii="Times New Roman" w:eastAsia="Times New Roman" w:hAnsi="Times New Roman" w:cs="Times New Roman"/>
          <w:b/>
          <w:bCs/>
        </w:rPr>
        <w:tab/>
        <w:t xml:space="preserve">DATUM REVIZIJE TEKSTA </w:t>
      </w:r>
    </w:p>
    <w:p w:rsidR="002C4D9A" w:rsidRPr="002C4D9A" w:rsidRDefault="002C4D9A" w:rsidP="002C4D9A">
      <w:pPr>
        <w:tabs>
          <w:tab w:val="left" w:pos="540"/>
          <w:tab w:val="left" w:pos="569"/>
        </w:tabs>
        <w:spacing w:after="0" w:line="240" w:lineRule="auto"/>
        <w:jc w:val="both"/>
        <w:rPr>
          <w:rFonts w:ascii="Times New Roman" w:eastAsia="Times New Roman" w:hAnsi="Times New Roman" w:cs="Times New Roman"/>
          <w:bCs/>
        </w:rPr>
      </w:pPr>
    </w:p>
    <w:p w:rsidR="00DA1FB0" w:rsidRPr="002C4D9A" w:rsidRDefault="000505E8" w:rsidP="002C4D9A">
      <w:pPr>
        <w:spacing w:line="240" w:lineRule="auto"/>
        <w:jc w:val="both"/>
        <w:rPr>
          <w:rFonts w:ascii="Times New Roman" w:hAnsi="Times New Roman" w:cs="Times New Roman"/>
        </w:rPr>
      </w:pPr>
      <w:r>
        <w:rPr>
          <w:rFonts w:ascii="Times New Roman" w:hAnsi="Times New Roman" w:cs="Times New Roman"/>
        </w:rPr>
        <w:t>Maj, 2020. godine</w:t>
      </w:r>
    </w:p>
    <w:sectPr w:rsidR="00DA1FB0" w:rsidRPr="002C4D9A"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30B" w:rsidRDefault="0032330B" w:rsidP="00FF2B5A">
      <w:pPr>
        <w:spacing w:after="0" w:line="240" w:lineRule="auto"/>
      </w:pPr>
      <w:r>
        <w:separator/>
      </w:r>
    </w:p>
  </w:endnote>
  <w:endnote w:type="continuationSeparator" w:id="0">
    <w:p w:rsidR="0032330B" w:rsidRDefault="0032330B"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QLKLG+TimesNewRoman">
    <w:altName w:val="Times New Roman"/>
    <w:panose1 w:val="00000000000000000000"/>
    <w:charset w:val="EE"/>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D9A" w:rsidRPr="00F1527C" w:rsidRDefault="002C4D9A"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2C4D9A" w:rsidRPr="00F1527C" w:rsidRDefault="002C4D9A"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2C4D9A" w:rsidRPr="00F1527C" w:rsidRDefault="002C4D9A"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2C4D9A" w:rsidRPr="00F1527C" w:rsidRDefault="002C4D9A"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2C4D9A" w:rsidRPr="00F1527C" w:rsidRDefault="002C4D9A"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2C4D9A" w:rsidRPr="009318B4" w:rsidRDefault="002C4D9A"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567A5E">
      <w:rPr>
        <w:rFonts w:ascii="Times New Roman" w:eastAsia="Times New Roman" w:hAnsi="Times New Roman" w:cs="Times New Roman"/>
        <w:noProof/>
        <w:sz w:val="20"/>
        <w:szCs w:val="20"/>
        <w:lang w:val="sr-Latn-ME"/>
      </w:rPr>
      <w:t>17</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567A5E">
      <w:rPr>
        <w:rFonts w:ascii="Times New Roman" w:eastAsia="Times New Roman" w:hAnsi="Times New Roman" w:cs="Times New Roman"/>
        <w:noProof/>
        <w:sz w:val="20"/>
        <w:szCs w:val="20"/>
        <w:lang w:val="sr-Latn-ME"/>
      </w:rPr>
      <w:t>17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D9A" w:rsidRPr="00F1527C" w:rsidRDefault="002C4D9A"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2C4D9A" w:rsidRPr="00F1527C" w:rsidRDefault="002C4D9A"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2C4D9A" w:rsidRPr="00F1527C" w:rsidRDefault="002C4D9A"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2C4D9A" w:rsidRPr="00F1527C" w:rsidRDefault="002C4D9A"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2C4D9A" w:rsidRPr="00F1527C" w:rsidRDefault="002C4D9A"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2C4D9A" w:rsidRPr="009318B4" w:rsidRDefault="002C4D9A"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30B" w:rsidRDefault="0032330B" w:rsidP="00FF2B5A">
      <w:pPr>
        <w:spacing w:after="0" w:line="240" w:lineRule="auto"/>
      </w:pPr>
      <w:r>
        <w:separator/>
      </w:r>
    </w:p>
  </w:footnote>
  <w:footnote w:type="continuationSeparator" w:id="0">
    <w:p w:rsidR="0032330B" w:rsidRDefault="0032330B"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D9A" w:rsidRDefault="002C4D9A" w:rsidP="009318B4">
    <w:pPr>
      <w:pStyle w:val="Header"/>
      <w:rPr>
        <w:sz w:val="16"/>
        <w:szCs w:val="16"/>
      </w:rPr>
    </w:pPr>
  </w:p>
  <w:p w:rsidR="002C4D9A" w:rsidRDefault="002C4D9A" w:rsidP="002C4D9A">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2C4D9A" w:rsidRPr="002C4D9A" w:rsidRDefault="002C4D9A" w:rsidP="002C4D9A">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D9A" w:rsidRDefault="002C4D9A" w:rsidP="009318B4">
    <w:pPr>
      <w:pStyle w:val="Header"/>
      <w:rPr>
        <w:sz w:val="16"/>
        <w:szCs w:val="16"/>
      </w:rPr>
    </w:pPr>
  </w:p>
  <w:p w:rsidR="002C4D9A" w:rsidRDefault="002C4D9A"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2C4D9A" w:rsidRDefault="002C4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108E"/>
    <w:multiLevelType w:val="hybridMultilevel"/>
    <w:tmpl w:val="F1CA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FB63505"/>
    <w:multiLevelType w:val="hybridMultilevel"/>
    <w:tmpl w:val="8264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D3847"/>
    <w:multiLevelType w:val="hybridMultilevel"/>
    <w:tmpl w:val="8DAA22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48E1F1C"/>
    <w:multiLevelType w:val="hybridMultilevel"/>
    <w:tmpl w:val="7C02BB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5466D9A"/>
    <w:multiLevelType w:val="hybridMultilevel"/>
    <w:tmpl w:val="03F07B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C96C85"/>
    <w:multiLevelType w:val="hybridMultilevel"/>
    <w:tmpl w:val="12269E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DF7B10"/>
    <w:multiLevelType w:val="hybridMultilevel"/>
    <w:tmpl w:val="F35A7F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
  </w:num>
  <w:num w:numId="4">
    <w:abstractNumId w:val="12"/>
  </w:num>
  <w:num w:numId="5">
    <w:abstractNumId w:val="7"/>
  </w:num>
  <w:num w:numId="6">
    <w:abstractNumId w:val="2"/>
  </w:num>
  <w:num w:numId="7">
    <w:abstractNumId w:val="10"/>
  </w:num>
  <w:num w:numId="8">
    <w:abstractNumId w:val="6"/>
  </w:num>
  <w:num w:numId="9">
    <w:abstractNumId w:val="9"/>
  </w:num>
  <w:num w:numId="10">
    <w:abstractNumId w:val="3"/>
  </w:num>
  <w:num w:numId="11">
    <w:abstractNumId w:val="0"/>
  </w:num>
  <w:num w:numId="12">
    <w:abstractNumId w:val="16"/>
  </w:num>
  <w:num w:numId="13">
    <w:abstractNumId w:val="8"/>
  </w:num>
  <w:num w:numId="14">
    <w:abstractNumId w:val="13"/>
  </w:num>
  <w:num w:numId="15">
    <w:abstractNumId w:val="4"/>
  </w:num>
  <w:num w:numId="16">
    <w:abstractNumId w:val="11"/>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505E8"/>
    <w:rsid w:val="000C49B9"/>
    <w:rsid w:val="00115231"/>
    <w:rsid w:val="00116FE6"/>
    <w:rsid w:val="001A1603"/>
    <w:rsid w:val="002B336F"/>
    <w:rsid w:val="002C4D9A"/>
    <w:rsid w:val="0031146A"/>
    <w:rsid w:val="0032330B"/>
    <w:rsid w:val="00457E62"/>
    <w:rsid w:val="00461135"/>
    <w:rsid w:val="00567A5E"/>
    <w:rsid w:val="00747C4B"/>
    <w:rsid w:val="00805838"/>
    <w:rsid w:val="00883AF2"/>
    <w:rsid w:val="009318B4"/>
    <w:rsid w:val="00934541"/>
    <w:rsid w:val="009F0536"/>
    <w:rsid w:val="00A06058"/>
    <w:rsid w:val="00A86044"/>
    <w:rsid w:val="00AF30B1"/>
    <w:rsid w:val="00B234CE"/>
    <w:rsid w:val="00B34AF2"/>
    <w:rsid w:val="00C4240B"/>
    <w:rsid w:val="00C606D3"/>
    <w:rsid w:val="00CF1D50"/>
    <w:rsid w:val="00D45AFE"/>
    <w:rsid w:val="00D570DF"/>
    <w:rsid w:val="00DA1FB0"/>
    <w:rsid w:val="00E0627A"/>
    <w:rsid w:val="00E11437"/>
    <w:rsid w:val="00EB2A93"/>
    <w:rsid w:val="00F1527C"/>
    <w:rsid w:val="00F94793"/>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63DEF"/>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0536"/>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F0536"/>
    <w:rPr>
      <w:rFonts w:ascii="Arial" w:eastAsia="Times New Roman" w:hAnsi="Arial" w:cs="Arial"/>
      <w:i/>
      <w:iCs/>
      <w:color w:val="999999"/>
      <w:sz w:val="18"/>
      <w:szCs w:val="24"/>
    </w:rPr>
  </w:style>
  <w:style w:type="numbering" w:customStyle="1" w:styleId="NoList1">
    <w:name w:val="No List1"/>
    <w:next w:val="NoList"/>
    <w:semiHidden/>
    <w:rsid w:val="009F0536"/>
  </w:style>
  <w:style w:type="character" w:styleId="PageNumber">
    <w:name w:val="page number"/>
    <w:basedOn w:val="DefaultParagraphFont"/>
    <w:rsid w:val="009F0536"/>
  </w:style>
  <w:style w:type="numbering" w:styleId="111111">
    <w:name w:val="Outline List 2"/>
    <w:basedOn w:val="NoList"/>
    <w:rsid w:val="009F0536"/>
    <w:pPr>
      <w:numPr>
        <w:numId w:val="3"/>
      </w:numPr>
    </w:pPr>
  </w:style>
  <w:style w:type="character" w:styleId="CommentReference">
    <w:name w:val="annotation reference"/>
    <w:semiHidden/>
    <w:rsid w:val="009F0536"/>
    <w:rPr>
      <w:sz w:val="16"/>
      <w:szCs w:val="16"/>
    </w:rPr>
  </w:style>
  <w:style w:type="paragraph" w:styleId="CommentText">
    <w:name w:val="annotation text"/>
    <w:basedOn w:val="Normal"/>
    <w:link w:val="CommentTextChar"/>
    <w:semiHidden/>
    <w:rsid w:val="009F05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F05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F0536"/>
    <w:rPr>
      <w:b/>
      <w:bCs/>
    </w:rPr>
  </w:style>
  <w:style w:type="character" w:customStyle="1" w:styleId="CommentSubjectChar">
    <w:name w:val="Comment Subject Char"/>
    <w:basedOn w:val="CommentTextChar"/>
    <w:link w:val="CommentSubject"/>
    <w:semiHidden/>
    <w:rsid w:val="009F0536"/>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F053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F0536"/>
    <w:rPr>
      <w:rFonts w:ascii="Tahoma" w:eastAsia="Times New Roman" w:hAnsi="Tahoma" w:cs="Tahoma"/>
      <w:sz w:val="16"/>
      <w:szCs w:val="16"/>
    </w:rPr>
  </w:style>
  <w:style w:type="paragraph" w:customStyle="1" w:styleId="Default">
    <w:name w:val="Default"/>
    <w:rsid w:val="009F0536"/>
    <w:pPr>
      <w:widowControl w:val="0"/>
      <w:autoSpaceDE w:val="0"/>
      <w:autoSpaceDN w:val="0"/>
      <w:adjustRightInd w:val="0"/>
      <w:spacing w:after="0" w:line="240" w:lineRule="auto"/>
    </w:pPr>
    <w:rPr>
      <w:rFonts w:ascii="UQLKLG+TimesNewRoman" w:eastAsia="SimSun" w:hAnsi="UQLKLG+TimesNewRoman" w:cs="UQLKLG+TimesNewRoman"/>
      <w:color w:val="000000"/>
      <w:sz w:val="24"/>
      <w:szCs w:val="24"/>
      <w:lang w:eastAsia="zh-CN"/>
    </w:rPr>
  </w:style>
  <w:style w:type="paragraph" w:customStyle="1" w:styleId="CM2">
    <w:name w:val="CM2"/>
    <w:basedOn w:val="Default"/>
    <w:next w:val="Default"/>
    <w:uiPriority w:val="99"/>
    <w:rsid w:val="009F0536"/>
    <w:pPr>
      <w:spacing w:line="276" w:lineRule="atLeast"/>
    </w:pPr>
    <w:rPr>
      <w:rFonts w:cs="Times New Roman"/>
      <w:color w:val="auto"/>
    </w:rPr>
  </w:style>
  <w:style w:type="paragraph" w:customStyle="1" w:styleId="CM7">
    <w:name w:val="CM7"/>
    <w:basedOn w:val="Default"/>
    <w:next w:val="Default"/>
    <w:uiPriority w:val="99"/>
    <w:rsid w:val="009F0536"/>
    <w:pPr>
      <w:spacing w:after="408"/>
    </w:pPr>
    <w:rPr>
      <w:rFonts w:cs="Times New Roman"/>
      <w:color w:val="auto"/>
    </w:rPr>
  </w:style>
  <w:style w:type="paragraph" w:customStyle="1" w:styleId="CM8">
    <w:name w:val="CM8"/>
    <w:basedOn w:val="Default"/>
    <w:next w:val="Default"/>
    <w:uiPriority w:val="99"/>
    <w:rsid w:val="009F0536"/>
    <w:pPr>
      <w:spacing w:after="123"/>
    </w:pPr>
    <w:rPr>
      <w:rFonts w:cs="Times New Roman"/>
      <w:color w:val="auto"/>
    </w:rPr>
  </w:style>
  <w:style w:type="character" w:styleId="Hyperlink">
    <w:name w:val="Hyperlink"/>
    <w:uiPriority w:val="99"/>
    <w:unhideWhenUsed/>
    <w:rsid w:val="009F0536"/>
    <w:rPr>
      <w:color w:val="0563C1"/>
      <w:u w:val="single"/>
    </w:rPr>
  </w:style>
  <w:style w:type="paragraph" w:styleId="NoSpacing">
    <w:name w:val="No Spacing"/>
    <w:uiPriority w:val="1"/>
    <w:qFormat/>
    <w:rsid w:val="009F0536"/>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9F053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F0536"/>
    <w:rPr>
      <w:rFonts w:ascii="Times New Roman" w:eastAsia="Times New Roman" w:hAnsi="Times New Roman" w:cs="Times New Roman"/>
      <w:sz w:val="20"/>
      <w:szCs w:val="20"/>
    </w:rPr>
  </w:style>
  <w:style w:type="character" w:styleId="FootnoteReference">
    <w:name w:val="footnote reference"/>
    <w:rsid w:val="009F0536"/>
    <w:rPr>
      <w:vertAlign w:val="superscript"/>
    </w:rPr>
  </w:style>
  <w:style w:type="numbering" w:customStyle="1" w:styleId="NoList2">
    <w:name w:val="No List2"/>
    <w:next w:val="NoList"/>
    <w:uiPriority w:val="99"/>
    <w:semiHidden/>
    <w:unhideWhenUsed/>
    <w:rsid w:val="002C4D9A"/>
  </w:style>
  <w:style w:type="numbering" w:customStyle="1" w:styleId="1111111">
    <w:name w:val="1 / 1.1 / 1.1.11"/>
    <w:basedOn w:val="NoList"/>
    <w:next w:val="111111"/>
    <w:rsid w:val="002C4D9A"/>
  </w:style>
  <w:style w:type="paragraph" w:styleId="ListParagraph">
    <w:name w:val="List Paragraph"/>
    <w:basedOn w:val="Normal"/>
    <w:uiPriority w:val="34"/>
    <w:qFormat/>
    <w:rsid w:val="002C4D9A"/>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EE1B1-F76F-4067-A25F-92BBD8088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6338</Words>
  <Characters>36129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42383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11</cp:revision>
  <dcterms:created xsi:type="dcterms:W3CDTF">2017-06-23T09:30:00Z</dcterms:created>
  <dcterms:modified xsi:type="dcterms:W3CDTF">2020-05-15T05:32:00Z</dcterms:modified>
</cp:coreProperties>
</file>