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F93" w:rsidRDefault="00F46F93"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Default="009C7025" w:rsidP="00F46F93">
      <w:pPr>
        <w:spacing w:after="0"/>
        <w:rPr>
          <w:rFonts w:ascii="Times New Roman" w:hAnsi="Times New Roman" w:cs="Times New Roman"/>
          <w:color w:val="FF0000"/>
          <w:lang w:val="sr-Latn-CS"/>
        </w:rPr>
      </w:pPr>
    </w:p>
    <w:p w:rsidR="009C7025" w:rsidRPr="00F46F93" w:rsidRDefault="009C7025" w:rsidP="00F46F93">
      <w:pPr>
        <w:spacing w:after="0"/>
        <w:rPr>
          <w:rFonts w:ascii="Times New Roman" w:hAnsi="Times New Roman" w:cs="Times New Roman"/>
          <w:color w:val="FF0000"/>
          <w:lang w:val="sr-Latn-CS"/>
        </w:rPr>
      </w:pPr>
    </w:p>
    <w:tbl>
      <w:tblPr>
        <w:tblW w:w="0" w:type="auto"/>
        <w:jc w:val="center"/>
        <w:tblLayout w:type="fixed"/>
        <w:tblLook w:val="0000" w:firstRow="0" w:lastRow="0" w:firstColumn="0" w:lastColumn="0" w:noHBand="0" w:noVBand="0"/>
      </w:tblPr>
      <w:tblGrid>
        <w:gridCol w:w="2160"/>
        <w:gridCol w:w="7200"/>
      </w:tblGrid>
      <w:tr w:rsidR="00F46F93" w:rsidRPr="00F46F93" w:rsidTr="00726920">
        <w:trPr>
          <w:trHeight w:val="530"/>
          <w:jc w:val="center"/>
        </w:trPr>
        <w:tc>
          <w:tcPr>
            <w:tcW w:w="9360" w:type="dxa"/>
            <w:gridSpan w:val="2"/>
            <w:vAlign w:val="center"/>
          </w:tcPr>
          <w:p w:rsidR="00F46F93" w:rsidRPr="00F46F93" w:rsidRDefault="00F46F93" w:rsidP="00F46F93">
            <w:pPr>
              <w:snapToGrid w:val="0"/>
              <w:spacing w:after="0"/>
              <w:jc w:val="center"/>
              <w:rPr>
                <w:rFonts w:ascii="Times New Roman" w:hAnsi="Times New Roman" w:cs="Times New Roman"/>
                <w:b/>
                <w:bCs/>
                <w:i/>
                <w:iCs/>
                <w:u w:val="single"/>
                <w:lang w:val="sr-Latn-CS"/>
              </w:rPr>
            </w:pPr>
            <w:r w:rsidRPr="00F46F93">
              <w:rPr>
                <w:rFonts w:ascii="Times New Roman" w:hAnsi="Times New Roman" w:cs="Times New Roman"/>
                <w:b/>
                <w:bCs/>
                <w:iCs/>
                <w:u w:val="single"/>
              </w:rPr>
              <w:t>SAŽETAK KARAKTERISTIKA LIJEKA</w:t>
            </w:r>
          </w:p>
        </w:tc>
      </w:tr>
      <w:tr w:rsidR="00F46F93" w:rsidRPr="00F46F93" w:rsidTr="00726920">
        <w:trPr>
          <w:trHeight w:val="1969"/>
          <w:jc w:val="center"/>
        </w:trPr>
        <w:tc>
          <w:tcPr>
            <w:tcW w:w="9360" w:type="dxa"/>
            <w:gridSpan w:val="2"/>
            <w:vAlign w:val="bottom"/>
          </w:tcPr>
          <w:p w:rsidR="00F46F93" w:rsidRPr="00F46F93" w:rsidRDefault="00F46F93" w:rsidP="00F46F93">
            <w:pPr>
              <w:autoSpaceDE w:val="0"/>
              <w:autoSpaceDN w:val="0"/>
              <w:adjustRightInd w:val="0"/>
              <w:spacing w:after="0"/>
              <w:rPr>
                <w:rFonts w:ascii="Times New Roman" w:hAnsi="Times New Roman" w:cs="Times New Roman"/>
                <w:b/>
                <w:bCs/>
                <w:color w:val="FF0000"/>
              </w:rPr>
            </w:pPr>
            <w:r w:rsidRPr="00F46F93">
              <w:rPr>
                <w:rFonts w:ascii="Times New Roman" w:hAnsi="Times New Roman" w:cs="Times New Roman"/>
                <w:b/>
                <w:bCs/>
                <w:color w:val="FF0000"/>
              </w:rPr>
              <w:t xml:space="preserve">                                                            </w:t>
            </w:r>
          </w:p>
          <w:p w:rsidR="00F46F93" w:rsidRPr="00F46F93" w:rsidRDefault="00F46F93" w:rsidP="00F46F93">
            <w:pPr>
              <w:autoSpaceDE w:val="0"/>
              <w:autoSpaceDN w:val="0"/>
              <w:adjustRightInd w:val="0"/>
              <w:spacing w:after="0"/>
              <w:jc w:val="center"/>
              <w:rPr>
                <w:rFonts w:ascii="Times New Roman" w:hAnsi="Times New Roman" w:cs="Times New Roman"/>
                <w:b/>
                <w:bCs/>
              </w:rPr>
            </w:pPr>
            <w:r w:rsidRPr="00F46F93">
              <w:rPr>
                <w:rFonts w:ascii="Times New Roman" w:hAnsi="Times New Roman" w:cs="Times New Roman"/>
                <w:b/>
                <w:bCs/>
              </w:rPr>
              <w:t>Quetra, film tableta, 250 mg</w:t>
            </w:r>
          </w:p>
          <w:p w:rsidR="00F46F93" w:rsidRPr="00F46F93" w:rsidRDefault="00F46F93" w:rsidP="00F46F93">
            <w:pPr>
              <w:autoSpaceDE w:val="0"/>
              <w:autoSpaceDN w:val="0"/>
              <w:adjustRightInd w:val="0"/>
              <w:spacing w:after="0"/>
              <w:jc w:val="center"/>
              <w:rPr>
                <w:rFonts w:ascii="Times New Roman" w:hAnsi="Times New Roman" w:cs="Times New Roman"/>
                <w:bCs/>
              </w:rPr>
            </w:pPr>
            <w:r w:rsidRPr="00F46F93">
              <w:rPr>
                <w:rFonts w:ascii="Times New Roman" w:hAnsi="Times New Roman" w:cs="Times New Roman"/>
                <w:bCs/>
              </w:rPr>
              <w:t>Blister, 60 (6 x 10) film tableta</w:t>
            </w:r>
          </w:p>
          <w:p w:rsidR="00F46F93" w:rsidRPr="00F46F93" w:rsidRDefault="00F46F93" w:rsidP="00F46F93">
            <w:pPr>
              <w:autoSpaceDE w:val="0"/>
              <w:autoSpaceDN w:val="0"/>
              <w:adjustRightInd w:val="0"/>
              <w:spacing w:after="0"/>
              <w:jc w:val="center"/>
              <w:rPr>
                <w:rFonts w:ascii="Times New Roman" w:hAnsi="Times New Roman" w:cs="Times New Roman"/>
                <w:bCs/>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t xml:space="preserve">                                                            Quetra, film tableta, 500 mg </w:t>
            </w:r>
          </w:p>
          <w:p w:rsidR="00F46F93" w:rsidRPr="00F46F93" w:rsidRDefault="00F46F93" w:rsidP="00F46F93">
            <w:pPr>
              <w:autoSpaceDE w:val="0"/>
              <w:autoSpaceDN w:val="0"/>
              <w:adjustRightInd w:val="0"/>
              <w:spacing w:after="0"/>
              <w:jc w:val="center"/>
              <w:rPr>
                <w:rFonts w:ascii="Times New Roman" w:hAnsi="Times New Roman" w:cs="Times New Roman"/>
                <w:bCs/>
              </w:rPr>
            </w:pPr>
            <w:r w:rsidRPr="00F46F93">
              <w:rPr>
                <w:rFonts w:ascii="Times New Roman" w:hAnsi="Times New Roman" w:cs="Times New Roman"/>
                <w:bCs/>
              </w:rPr>
              <w:t>Blister, 60 (6 x 10) film tableta</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t xml:space="preserve">                                                            Quetra, film tableta, 750 mg </w:t>
            </w:r>
          </w:p>
          <w:p w:rsidR="00F46F93" w:rsidRPr="00F46F93" w:rsidRDefault="00F46F93" w:rsidP="00F46F93">
            <w:pPr>
              <w:autoSpaceDE w:val="0"/>
              <w:autoSpaceDN w:val="0"/>
              <w:adjustRightInd w:val="0"/>
              <w:spacing w:after="0"/>
              <w:jc w:val="center"/>
              <w:rPr>
                <w:rFonts w:ascii="Times New Roman" w:hAnsi="Times New Roman" w:cs="Times New Roman"/>
                <w:bCs/>
              </w:rPr>
            </w:pPr>
            <w:r w:rsidRPr="00F46F93">
              <w:rPr>
                <w:rFonts w:ascii="Times New Roman" w:hAnsi="Times New Roman" w:cs="Times New Roman"/>
                <w:bCs/>
              </w:rPr>
              <w:t>Blister, 60 (6 x 10) film tableta</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t xml:space="preserve">                                                            Quetra, film tableta, 1000 mg </w:t>
            </w:r>
          </w:p>
          <w:p w:rsidR="00F46F93" w:rsidRPr="00F46F93" w:rsidRDefault="00F46F93" w:rsidP="00F46F93">
            <w:pPr>
              <w:autoSpaceDE w:val="0"/>
              <w:autoSpaceDN w:val="0"/>
              <w:adjustRightInd w:val="0"/>
              <w:spacing w:after="0"/>
              <w:jc w:val="center"/>
              <w:rPr>
                <w:rFonts w:ascii="Times New Roman" w:hAnsi="Times New Roman" w:cs="Times New Roman"/>
                <w:bCs/>
              </w:rPr>
            </w:pPr>
            <w:r w:rsidRPr="00F46F93">
              <w:rPr>
                <w:rFonts w:ascii="Times New Roman" w:hAnsi="Times New Roman" w:cs="Times New Roman"/>
                <w:bCs/>
              </w:rPr>
              <w:t>Blister, 60 (6 x 10) film tableta</w:t>
            </w:r>
          </w:p>
          <w:p w:rsidR="00F46F93" w:rsidRPr="00F46F93" w:rsidRDefault="00F46F93" w:rsidP="00F46F93">
            <w:pPr>
              <w:snapToGrid w:val="0"/>
              <w:spacing w:after="0"/>
              <w:jc w:val="center"/>
              <w:rPr>
                <w:rFonts w:ascii="Times New Roman" w:hAnsi="Times New Roman" w:cs="Times New Roman"/>
                <w:b/>
                <w:bCs/>
                <w:color w:val="FF0000"/>
                <w:u w:val="single"/>
                <w:lang w:val="sr-Latn-CS"/>
              </w:rPr>
            </w:pPr>
          </w:p>
        </w:tc>
      </w:tr>
      <w:tr w:rsidR="00F46F93" w:rsidRPr="00F46F93" w:rsidTr="00726920">
        <w:trPr>
          <w:trHeight w:val="1225"/>
          <w:jc w:val="center"/>
        </w:trPr>
        <w:tc>
          <w:tcPr>
            <w:tcW w:w="9360" w:type="dxa"/>
            <w:gridSpan w:val="2"/>
          </w:tcPr>
          <w:p w:rsidR="00F46F93" w:rsidRPr="00F46F93" w:rsidRDefault="00F46F93" w:rsidP="00F46F93">
            <w:pPr>
              <w:pStyle w:val="Heading2"/>
              <w:tabs>
                <w:tab w:val="left" w:pos="0"/>
              </w:tabs>
              <w:snapToGrid w:val="0"/>
              <w:spacing w:before="0" w:after="0"/>
              <w:rPr>
                <w:rFonts w:ascii="Times New Roman" w:hAnsi="Times New Roman" w:cs="Times New Roman"/>
                <w:color w:val="FF0000"/>
                <w:sz w:val="22"/>
                <w:szCs w:val="22"/>
                <w:u w:val="single"/>
                <w:lang w:val="sr-Latn-CS"/>
              </w:rPr>
            </w:pPr>
          </w:p>
        </w:tc>
      </w:tr>
      <w:tr w:rsidR="00F46F93" w:rsidRPr="00F46F93" w:rsidTr="00726920">
        <w:trPr>
          <w:jc w:val="center"/>
        </w:trPr>
        <w:tc>
          <w:tcPr>
            <w:tcW w:w="2160" w:type="dxa"/>
            <w:vAlign w:val="bottom"/>
          </w:tcPr>
          <w:p w:rsidR="00F46F93" w:rsidRPr="00F46F93" w:rsidRDefault="00F46F93" w:rsidP="00F46F93">
            <w:pPr>
              <w:snapToGrid w:val="0"/>
              <w:jc w:val="right"/>
              <w:rPr>
                <w:rFonts w:ascii="Times New Roman" w:hAnsi="Times New Roman" w:cs="Times New Roman"/>
                <w:lang w:val="sr-Latn-CS"/>
              </w:rPr>
            </w:pPr>
            <w:r w:rsidRPr="00F46F93">
              <w:rPr>
                <w:rFonts w:ascii="Times New Roman" w:hAnsi="Times New Roman" w:cs="Times New Roman"/>
                <w:lang w:val="sr-Latn-CS"/>
              </w:rPr>
              <w:t>Proizvođač:</w:t>
            </w:r>
          </w:p>
        </w:tc>
        <w:tc>
          <w:tcPr>
            <w:tcW w:w="7200" w:type="dxa"/>
            <w:vAlign w:val="bottom"/>
          </w:tcPr>
          <w:p w:rsidR="00F46F93" w:rsidRPr="00F46F93" w:rsidRDefault="00F46F93" w:rsidP="00F46F93">
            <w:pPr>
              <w:pStyle w:val="Header"/>
              <w:snapToGrid w:val="0"/>
              <w:spacing w:after="160"/>
              <w:rPr>
                <w:rFonts w:ascii="Times New Roman" w:hAnsi="Times New Roman" w:cs="Times New Roman"/>
                <w:b/>
                <w:lang w:val="sr-Latn-CS"/>
              </w:rPr>
            </w:pPr>
            <w:r w:rsidRPr="00F46F93">
              <w:rPr>
                <w:rFonts w:ascii="Times New Roman" w:hAnsi="Times New Roman" w:cs="Times New Roman"/>
                <w:b/>
                <w:lang w:val="sr-Latn-CS"/>
              </w:rPr>
              <w:t>Remedica Ltd</w:t>
            </w:r>
          </w:p>
        </w:tc>
      </w:tr>
      <w:tr w:rsidR="00F46F93" w:rsidRPr="00F46F93" w:rsidTr="00726920">
        <w:trPr>
          <w:jc w:val="center"/>
        </w:trPr>
        <w:tc>
          <w:tcPr>
            <w:tcW w:w="2160" w:type="dxa"/>
            <w:vAlign w:val="bottom"/>
          </w:tcPr>
          <w:p w:rsidR="00F46F93" w:rsidRPr="00F46F93" w:rsidRDefault="00F46F93" w:rsidP="00F46F93">
            <w:pPr>
              <w:snapToGrid w:val="0"/>
              <w:jc w:val="right"/>
              <w:rPr>
                <w:rFonts w:ascii="Times New Roman" w:hAnsi="Times New Roman" w:cs="Times New Roman"/>
                <w:lang w:val="sr-Latn-CS"/>
              </w:rPr>
            </w:pPr>
            <w:r w:rsidRPr="00F46F93">
              <w:rPr>
                <w:rFonts w:ascii="Times New Roman" w:hAnsi="Times New Roman" w:cs="Times New Roman"/>
                <w:lang w:val="sr-Latn-CS"/>
              </w:rPr>
              <w:t>Adresa:</w:t>
            </w:r>
          </w:p>
        </w:tc>
        <w:tc>
          <w:tcPr>
            <w:tcW w:w="7200" w:type="dxa"/>
            <w:vAlign w:val="bottom"/>
          </w:tcPr>
          <w:p w:rsidR="00F46F93" w:rsidRPr="00F46F93" w:rsidRDefault="00CB7FD8" w:rsidP="00CB7FD8">
            <w:pPr>
              <w:pStyle w:val="Header"/>
              <w:snapToGrid w:val="0"/>
              <w:spacing w:after="160"/>
              <w:rPr>
                <w:rFonts w:ascii="Times New Roman" w:hAnsi="Times New Roman" w:cs="Times New Roman"/>
                <w:b/>
                <w:color w:val="FF0000"/>
                <w:lang w:val="sr-Latn-CS"/>
              </w:rPr>
            </w:pPr>
            <w:r>
              <w:rPr>
                <w:rFonts w:ascii="Times New Roman" w:hAnsi="Times New Roman" w:cs="Times New Roman"/>
                <w:b/>
                <w:lang w:val="sr-Latn-CS"/>
              </w:rPr>
              <w:t>Aharnon S</w:t>
            </w:r>
            <w:r w:rsidR="00F46F93" w:rsidRPr="00F46F93">
              <w:rPr>
                <w:rFonts w:ascii="Times New Roman" w:hAnsi="Times New Roman" w:cs="Times New Roman"/>
                <w:b/>
                <w:lang w:val="sr-Latn-CS"/>
              </w:rPr>
              <w:t xml:space="preserve">treet, Limassol Industrial Estate, Limassol, </w:t>
            </w:r>
            <w:r>
              <w:rPr>
                <w:rFonts w:ascii="Times New Roman" w:hAnsi="Times New Roman" w:cs="Times New Roman"/>
                <w:b/>
                <w:lang w:val="sr-Latn-CS"/>
              </w:rPr>
              <w:t xml:space="preserve">3056, </w:t>
            </w:r>
            <w:r w:rsidR="00F46F93" w:rsidRPr="00F46F93">
              <w:rPr>
                <w:rFonts w:ascii="Times New Roman" w:hAnsi="Times New Roman" w:cs="Times New Roman"/>
                <w:b/>
                <w:lang w:val="sr-Latn-CS"/>
              </w:rPr>
              <w:t>Kipar</w:t>
            </w:r>
          </w:p>
        </w:tc>
      </w:tr>
      <w:tr w:rsidR="00F46F93" w:rsidRPr="00F46F93" w:rsidTr="00726920">
        <w:trPr>
          <w:jc w:val="center"/>
        </w:trPr>
        <w:tc>
          <w:tcPr>
            <w:tcW w:w="2160" w:type="dxa"/>
            <w:vAlign w:val="bottom"/>
          </w:tcPr>
          <w:p w:rsidR="00F46F93" w:rsidRPr="00F46F93" w:rsidRDefault="00F46F93" w:rsidP="00F46F93">
            <w:pPr>
              <w:snapToGrid w:val="0"/>
              <w:jc w:val="right"/>
              <w:rPr>
                <w:rFonts w:ascii="Times New Roman" w:hAnsi="Times New Roman" w:cs="Times New Roman"/>
                <w:lang w:val="sr-Latn-CS"/>
              </w:rPr>
            </w:pPr>
            <w:r w:rsidRPr="00F46F93">
              <w:rPr>
                <w:rFonts w:ascii="Times New Roman" w:hAnsi="Times New Roman" w:cs="Times New Roman"/>
                <w:lang w:val="sr-Latn-CS"/>
              </w:rPr>
              <w:t>Podnosilac zahtjeva:</w:t>
            </w:r>
          </w:p>
        </w:tc>
        <w:tc>
          <w:tcPr>
            <w:tcW w:w="7200" w:type="dxa"/>
            <w:vAlign w:val="bottom"/>
          </w:tcPr>
          <w:p w:rsidR="00F46F93" w:rsidRPr="00F46F93" w:rsidRDefault="0008119A" w:rsidP="00F46F93">
            <w:pPr>
              <w:snapToGrid w:val="0"/>
              <w:ind w:left="72" w:hanging="72"/>
              <w:rPr>
                <w:rFonts w:ascii="Times New Roman" w:hAnsi="Times New Roman" w:cs="Times New Roman"/>
                <w:b/>
              </w:rPr>
            </w:pPr>
            <w:r>
              <w:rPr>
                <w:rFonts w:ascii="Times New Roman" w:hAnsi="Times New Roman" w:cs="Times New Roman"/>
                <w:b/>
              </w:rPr>
              <w:t>Pontera</w:t>
            </w:r>
            <w:r w:rsidR="00F46F93" w:rsidRPr="00F46F93">
              <w:rPr>
                <w:rFonts w:ascii="Times New Roman" w:hAnsi="Times New Roman" w:cs="Times New Roman"/>
                <w:b/>
              </w:rPr>
              <w:t xml:space="preserve"> d.o.o.</w:t>
            </w:r>
          </w:p>
        </w:tc>
      </w:tr>
      <w:tr w:rsidR="00F46F93" w:rsidRPr="00F46F93" w:rsidTr="00726920">
        <w:trPr>
          <w:jc w:val="center"/>
        </w:trPr>
        <w:tc>
          <w:tcPr>
            <w:tcW w:w="2160" w:type="dxa"/>
            <w:vAlign w:val="bottom"/>
          </w:tcPr>
          <w:p w:rsidR="00F46F93" w:rsidRPr="00F46F93" w:rsidRDefault="00F46F93" w:rsidP="00F46F93">
            <w:pPr>
              <w:snapToGrid w:val="0"/>
              <w:jc w:val="right"/>
              <w:rPr>
                <w:rFonts w:ascii="Times New Roman" w:hAnsi="Times New Roman" w:cs="Times New Roman"/>
                <w:lang w:val="sr-Latn-CS"/>
              </w:rPr>
            </w:pPr>
            <w:r w:rsidRPr="00F46F93">
              <w:rPr>
                <w:rFonts w:ascii="Times New Roman" w:hAnsi="Times New Roman" w:cs="Times New Roman"/>
                <w:lang w:val="sr-Latn-CS"/>
              </w:rPr>
              <w:t>Adresa:</w:t>
            </w:r>
          </w:p>
        </w:tc>
        <w:tc>
          <w:tcPr>
            <w:tcW w:w="7200" w:type="dxa"/>
            <w:vAlign w:val="bottom"/>
          </w:tcPr>
          <w:p w:rsidR="00F46F93" w:rsidRPr="00F46F93" w:rsidRDefault="0008119A" w:rsidP="00F46F93">
            <w:pPr>
              <w:snapToGrid w:val="0"/>
              <w:ind w:left="72" w:hanging="72"/>
              <w:rPr>
                <w:rFonts w:ascii="Times New Roman" w:hAnsi="Times New Roman" w:cs="Times New Roman"/>
                <w:b/>
              </w:rPr>
            </w:pPr>
            <w:r>
              <w:rPr>
                <w:rFonts w:ascii="Times New Roman" w:hAnsi="Times New Roman" w:cs="Times New Roman"/>
                <w:b/>
              </w:rPr>
              <w:t>Cijevna bb</w:t>
            </w:r>
            <w:r w:rsidR="00F46F93" w:rsidRPr="00F46F93">
              <w:rPr>
                <w:rFonts w:ascii="Times New Roman" w:hAnsi="Times New Roman" w:cs="Times New Roman"/>
                <w:b/>
              </w:rPr>
              <w:t>, 81000 Podgorica, Crna Gora</w:t>
            </w:r>
          </w:p>
        </w:tc>
      </w:tr>
    </w:tbl>
    <w:p w:rsidR="00F46F93" w:rsidRPr="00F46F93" w:rsidRDefault="00F46F93" w:rsidP="00F46F93">
      <w:pPr>
        <w:spacing w:after="0"/>
        <w:rPr>
          <w:rFonts w:ascii="Times New Roman" w:hAnsi="Times New Roman" w:cs="Times New Roman"/>
          <w:b/>
          <w:bCs/>
          <w:color w:val="FF0000"/>
          <w:lang w:val="sr-Latn-CS"/>
        </w:rPr>
      </w:pPr>
      <w:r w:rsidRPr="00F46F93">
        <w:rPr>
          <w:rFonts w:ascii="Times New Roman" w:hAnsi="Times New Roman" w:cs="Times New Roman"/>
          <w:color w:val="FF0000"/>
        </w:rPr>
        <w:br w:type="page"/>
      </w:r>
    </w:p>
    <w:tbl>
      <w:tblPr>
        <w:tblW w:w="10223" w:type="dxa"/>
        <w:tblInd w:w="-35" w:type="dxa"/>
        <w:tblLayout w:type="fixed"/>
        <w:tblLook w:val="0000" w:firstRow="0" w:lastRow="0" w:firstColumn="0" w:lastColumn="0" w:noHBand="0" w:noVBand="0"/>
      </w:tblPr>
      <w:tblGrid>
        <w:gridCol w:w="9953"/>
        <w:gridCol w:w="270"/>
      </w:tblGrid>
      <w:tr w:rsidR="00F46F93" w:rsidRPr="00F46F93" w:rsidTr="00726920">
        <w:trPr>
          <w:trHeight w:val="284"/>
        </w:trPr>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1. NAZIV LIJEKA</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rPr>
          <w:trHeight w:val="525"/>
        </w:trPr>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250 mg film tablete</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500 mg film tablete</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750 mg film tablete</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1000 mg film tablete</w:t>
            </w:r>
          </w:p>
          <w:p w:rsidR="00F46F93" w:rsidRP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Cs/>
                <w:lang w:val="sr-Latn-CS"/>
              </w:rPr>
              <w:t>INN:</w:t>
            </w:r>
            <w:r w:rsidRPr="00F46F93">
              <w:rPr>
                <w:rFonts w:ascii="Times New Roman" w:hAnsi="Times New Roman" w:cs="Times New Roman"/>
              </w:rPr>
              <w:t xml:space="preserve"> levetiracetam.</w:t>
            </w:r>
          </w:p>
          <w:p w:rsid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color w:val="FF0000"/>
                <w:lang w:val="sr-Latn-CS"/>
              </w:rPr>
            </w:pPr>
          </w:p>
        </w:tc>
      </w:tr>
      <w:tr w:rsidR="00F46F93" w:rsidRPr="00F46F93" w:rsidTr="00726920">
        <w:trPr>
          <w:trHeight w:val="405"/>
        </w:trPr>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2. KVALITATIVNI I KVANTITATIVNI SASTAV</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rPr>
          <w:trHeight w:val="1145"/>
        </w:trPr>
        <w:tc>
          <w:tcPr>
            <w:tcW w:w="9953" w:type="dxa"/>
            <w:vAlign w:val="center"/>
          </w:tcPr>
          <w:p w:rsidR="00F46F93" w:rsidRP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250: Jedna film tableta sadrži 250 mg levetiracetama.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500: Jedna film tableta sadrži 500 mg levetiracetama.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7</w:t>
            </w:r>
            <w:r w:rsidR="009C7025">
              <w:rPr>
                <w:rFonts w:ascii="Times New Roman" w:hAnsi="Times New Roman" w:cs="Times New Roman"/>
              </w:rPr>
              <w:t>50: Jedna film tableta sadrži 75</w:t>
            </w:r>
            <w:r w:rsidRPr="00F46F93">
              <w:rPr>
                <w:rFonts w:ascii="Times New Roman" w:hAnsi="Times New Roman" w:cs="Times New Roman"/>
              </w:rPr>
              <w:t>0 mg levetiracetama.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Quetra 1000: Jedna film tableta sadrži 1000 mg levetiracetama.</w:t>
            </w:r>
          </w:p>
          <w:p w:rsidR="00F46F93" w:rsidRDefault="00F46F93" w:rsidP="00F46F93">
            <w:pPr>
              <w:pStyle w:val="Style"/>
              <w:widowControl/>
              <w:rPr>
                <w:sz w:val="22"/>
                <w:szCs w:val="22"/>
                <w:u w:val="single"/>
                <w:lang w:val="sr-Latn-CS"/>
              </w:rPr>
            </w:pPr>
          </w:p>
          <w:p w:rsidR="00F46F93" w:rsidRPr="00F46F93" w:rsidRDefault="00F46F93" w:rsidP="00F46F93">
            <w:pPr>
              <w:pStyle w:val="Style"/>
              <w:widowControl/>
              <w:rPr>
                <w:sz w:val="22"/>
                <w:szCs w:val="22"/>
                <w:lang w:val="sr-Latn-CS"/>
              </w:rPr>
            </w:pPr>
            <w:r w:rsidRPr="00F46F93">
              <w:rPr>
                <w:sz w:val="22"/>
                <w:szCs w:val="22"/>
                <w:u w:val="single"/>
                <w:lang w:val="sr-Latn-CS"/>
              </w:rPr>
              <w:t>Pomoćne supstance sa potvrđenim dejstvom</w:t>
            </w:r>
            <w:r w:rsidRPr="00F46F93">
              <w:rPr>
                <w:sz w:val="22"/>
                <w:szCs w:val="22"/>
                <w:lang w:val="sr-Latn-CS"/>
              </w:rPr>
              <w:t xml:space="preserve">                                                                                                           Quetra 750 mg film tablete sadrže 0.36 mg boje </w:t>
            </w:r>
            <w:r w:rsidRPr="00F46F93">
              <w:rPr>
                <w:i/>
                <w:sz w:val="22"/>
                <w:szCs w:val="22"/>
                <w:lang w:val="sr-Latn-CS"/>
              </w:rPr>
              <w:t>Sunset Yellow Lake</w:t>
            </w:r>
            <w:r w:rsidRPr="00F46F93">
              <w:rPr>
                <w:sz w:val="22"/>
                <w:szCs w:val="22"/>
                <w:lang w:val="sr-Latn-CS"/>
              </w:rPr>
              <w:t xml:space="preserve"> (E110).</w:t>
            </w:r>
          </w:p>
          <w:p w:rsidR="00F46F93" w:rsidRDefault="00F46F93" w:rsidP="00F46F93">
            <w:pPr>
              <w:pStyle w:val="Style"/>
              <w:widowControl/>
              <w:jc w:val="both"/>
              <w:rPr>
                <w:sz w:val="22"/>
                <w:szCs w:val="22"/>
                <w:lang w:val="sr-Latn-CS"/>
              </w:rPr>
            </w:pPr>
          </w:p>
          <w:p w:rsidR="00F46F93" w:rsidRPr="00F46F93" w:rsidRDefault="00F46F93" w:rsidP="00F46F93">
            <w:pPr>
              <w:pStyle w:val="Style"/>
              <w:widowControl/>
              <w:jc w:val="both"/>
              <w:rPr>
                <w:sz w:val="22"/>
                <w:szCs w:val="22"/>
                <w:lang w:val="sr-Latn-CS"/>
              </w:rPr>
            </w:pPr>
            <w:r w:rsidRPr="00F46F93">
              <w:rPr>
                <w:sz w:val="22"/>
                <w:szCs w:val="22"/>
                <w:lang w:val="sr-Latn-CS"/>
              </w:rPr>
              <w:t>Za cjelokupan spisak ekscipijenasa, vidjeti odjeljak 6.1.</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Default="00F46F93" w:rsidP="00F46F93">
            <w:pPr>
              <w:pStyle w:val="Header"/>
              <w:snapToGrid w:val="0"/>
              <w:rPr>
                <w:rFonts w:ascii="Times New Roman" w:hAnsi="Times New Roman" w:cs="Times New Roman"/>
                <w:b/>
                <w:bCs/>
                <w:color w:val="FF0000"/>
                <w:lang w:val="sr-Latn-CS"/>
              </w:rPr>
            </w:pPr>
          </w:p>
          <w:p w:rsidR="00F46F93" w:rsidRPr="00F46F93" w:rsidRDefault="00F46F93" w:rsidP="00F46F93">
            <w:pPr>
              <w:pStyle w:val="Header"/>
              <w:snapToGrid w:val="0"/>
              <w:rPr>
                <w:rFonts w:ascii="Times New Roman" w:hAnsi="Times New Roman" w:cs="Times New Roman"/>
                <w:b/>
                <w:bCs/>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3. FARMACEUTSKI OBLIK</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color w:val="FF0000"/>
                <w:lang w:val="sr-Latn-CS"/>
              </w:rPr>
            </w:pPr>
          </w:p>
        </w:tc>
      </w:tr>
      <w:tr w:rsidR="00F46F93" w:rsidRPr="00F46F93" w:rsidTr="00726920">
        <w:tc>
          <w:tcPr>
            <w:tcW w:w="9953" w:type="dxa"/>
            <w:vAlign w:val="center"/>
          </w:tcPr>
          <w:p w:rsidR="00F46F93" w:rsidRDefault="00F46F93" w:rsidP="00F46F93">
            <w:pPr>
              <w:autoSpaceDE w:val="0"/>
              <w:autoSpaceDN w:val="0"/>
              <w:adjustRightInd w:val="0"/>
              <w:spacing w:after="0"/>
              <w:jc w:val="both"/>
              <w:rPr>
                <w:rFonts w:ascii="Times New Roman" w:hAnsi="Times New Roman" w:cs="Times New Roman"/>
              </w:rPr>
            </w:pPr>
          </w:p>
          <w:p w:rsid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Film tableta.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Quetra 250 mg: Plava, ovalna, film tableta sa podionom crtom na jednoj strani, dimenzija 12</w:t>
            </w:r>
            <w:proofErr w:type="gramStart"/>
            <w:r w:rsidRPr="00F46F93">
              <w:rPr>
                <w:rFonts w:ascii="Times New Roman" w:hAnsi="Times New Roman" w:cs="Times New Roman"/>
              </w:rPr>
              <w:t>,9</w:t>
            </w:r>
            <w:proofErr w:type="gramEnd"/>
            <w:r w:rsidRPr="00F46F93">
              <w:rPr>
                <w:rFonts w:ascii="Times New Roman" w:hAnsi="Times New Roman" w:cs="Times New Roman"/>
              </w:rPr>
              <w:t xml:space="preserve"> x 6,1 mm. Tableta se može podijeliti na jednake polovine.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Quetra 500 mg: Žuta, ovalna, film tableta sa podionom crtom na jednoj strani, dimenzija 16</w:t>
            </w:r>
            <w:proofErr w:type="gramStart"/>
            <w:r w:rsidRPr="00F46F93">
              <w:rPr>
                <w:rFonts w:ascii="Times New Roman" w:hAnsi="Times New Roman" w:cs="Times New Roman"/>
              </w:rPr>
              <w:t>,5</w:t>
            </w:r>
            <w:proofErr w:type="gramEnd"/>
            <w:r w:rsidRPr="00F46F93">
              <w:rPr>
                <w:rFonts w:ascii="Times New Roman" w:hAnsi="Times New Roman" w:cs="Times New Roman"/>
              </w:rPr>
              <w:t xml:space="preserve"> x 7,7 mm.</w:t>
            </w:r>
            <w:r w:rsidRPr="00F46F93">
              <w:rPr>
                <w:rFonts w:ascii="Times New Roman" w:hAnsi="Times New Roman" w:cs="Times New Roman"/>
                <w:color w:val="FF0000"/>
              </w:rPr>
              <w:t xml:space="preserve"> </w:t>
            </w:r>
            <w:r w:rsidRPr="00F46F93">
              <w:rPr>
                <w:rFonts w:ascii="Times New Roman" w:hAnsi="Times New Roman" w:cs="Times New Roman"/>
              </w:rPr>
              <w:t>Tableta se može podijeliti na jednake polovine.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Quetra 750 mg: Narandžasta, ovalna, film tableta sa podionom crtom na jednoj strani, dimenzija 18</w:t>
            </w:r>
            <w:proofErr w:type="gramStart"/>
            <w:r w:rsidRPr="00F46F93">
              <w:rPr>
                <w:rFonts w:ascii="Times New Roman" w:hAnsi="Times New Roman" w:cs="Times New Roman"/>
              </w:rPr>
              <w:t>,8</w:t>
            </w:r>
            <w:proofErr w:type="gramEnd"/>
            <w:r w:rsidRPr="00F46F93">
              <w:rPr>
                <w:rFonts w:ascii="Times New Roman" w:hAnsi="Times New Roman" w:cs="Times New Roman"/>
              </w:rPr>
              <w:t xml:space="preserve"> x 8,9 mm.</w:t>
            </w:r>
            <w:r w:rsidRPr="00F46F93">
              <w:rPr>
                <w:rFonts w:ascii="Times New Roman" w:hAnsi="Times New Roman" w:cs="Times New Roman"/>
                <w:color w:val="FF0000"/>
              </w:rPr>
              <w:t xml:space="preserve"> </w:t>
            </w:r>
            <w:r w:rsidRPr="00F46F93">
              <w:rPr>
                <w:rFonts w:ascii="Times New Roman" w:hAnsi="Times New Roman" w:cs="Times New Roman"/>
              </w:rPr>
              <w:t>Tableta se može podijeliti na jednake polovine.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Quetra 1000 mg: Bijela, ovalna, film tableta sa podionom crtom na jednoj strani, dimenzija 19</w:t>
            </w:r>
            <w:proofErr w:type="gramStart"/>
            <w:r w:rsidRPr="00F46F93">
              <w:rPr>
                <w:rFonts w:ascii="Times New Roman" w:hAnsi="Times New Roman" w:cs="Times New Roman"/>
              </w:rPr>
              <w:t>,2</w:t>
            </w:r>
            <w:proofErr w:type="gramEnd"/>
            <w:r w:rsidRPr="00F46F93">
              <w:rPr>
                <w:rFonts w:ascii="Times New Roman" w:hAnsi="Times New Roman" w:cs="Times New Roman"/>
              </w:rPr>
              <w:t xml:space="preserve"> x 10,2 mm.</w:t>
            </w:r>
            <w:r w:rsidRPr="00F46F93">
              <w:rPr>
                <w:rFonts w:ascii="Times New Roman" w:hAnsi="Times New Roman" w:cs="Times New Roman"/>
                <w:color w:val="FF0000"/>
              </w:rPr>
              <w:t xml:space="preserve"> </w:t>
            </w:r>
            <w:r w:rsidRPr="00F46F93">
              <w:rPr>
                <w:rFonts w:ascii="Times New Roman" w:hAnsi="Times New Roman" w:cs="Times New Roman"/>
              </w:rPr>
              <w:t>Tableta se može podijeliti na jednake polovine.</w:t>
            </w:r>
          </w:p>
          <w:p w:rsidR="00F46F93" w:rsidRDefault="00F46F93" w:rsidP="00F46F93">
            <w:pPr>
              <w:pStyle w:val="Header"/>
              <w:snapToGrid w:val="0"/>
              <w:rPr>
                <w:rFonts w:ascii="Times New Roman" w:hAnsi="Times New Roman" w:cs="Times New Roman"/>
                <w:b/>
                <w:bCs/>
                <w:color w:val="FF0000"/>
                <w:lang w:val="sr-Latn-CS"/>
              </w:rPr>
            </w:pPr>
          </w:p>
          <w:p w:rsidR="00F46F93" w:rsidRPr="00F46F93" w:rsidRDefault="00F46F93" w:rsidP="00F46F93">
            <w:pPr>
              <w:pStyle w:val="Header"/>
              <w:snapToGrid w:val="0"/>
              <w:rPr>
                <w:rFonts w:ascii="Times New Roman" w:hAnsi="Times New Roman" w:cs="Times New Roman"/>
                <w:b/>
                <w:bCs/>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 KLINIČKI PODACI</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4.1. Terapijske indikacije</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rPr>
          <w:trHeight w:val="1145"/>
        </w:trPr>
        <w:tc>
          <w:tcPr>
            <w:tcW w:w="9953" w:type="dxa"/>
            <w:vAlign w:val="center"/>
          </w:tcPr>
          <w:p w:rsidR="00F46F93" w:rsidRPr="00F46F93" w:rsidRDefault="00F46F93" w:rsidP="00F46F93">
            <w:pPr>
              <w:autoSpaceDE w:val="0"/>
              <w:autoSpaceDN w:val="0"/>
              <w:adjustRightInd w:val="0"/>
              <w:spacing w:after="0"/>
              <w:rPr>
                <w:rFonts w:ascii="Times New Roman" w:hAnsi="Times New Roman" w:cs="Times New Roman"/>
                <w:b/>
                <w:bCs/>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Lijek Quetra je indikovan kao monoterapija u liječenju parcijalnih napada sa ili bez sekundarne generalizacije, kod odraslih i adolescenata uzrasta od 16. </w:t>
            </w:r>
            <w:proofErr w:type="gramStart"/>
            <w:r w:rsidRPr="00F46F93">
              <w:rPr>
                <w:rFonts w:ascii="Times New Roman" w:hAnsi="Times New Roman" w:cs="Times New Roman"/>
              </w:rPr>
              <w:t>godine</w:t>
            </w:r>
            <w:proofErr w:type="gramEnd"/>
            <w:r w:rsidRPr="00F46F93">
              <w:rPr>
                <w:rFonts w:ascii="Times New Roman" w:hAnsi="Times New Roman" w:cs="Times New Roman"/>
              </w:rPr>
              <w:t>, sa novodijagnostikovanom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Lijek Quetra je indikovan kao dodatna terapija:</w:t>
            </w:r>
          </w:p>
          <w:p w:rsidR="00F46F93" w:rsidRPr="00F46F93" w:rsidRDefault="00F46F93" w:rsidP="00F46F93">
            <w:pPr>
              <w:numPr>
                <w:ilvl w:val="0"/>
                <w:numId w:val="8"/>
              </w:numPr>
              <w:autoSpaceDE w:val="0"/>
              <w:autoSpaceDN w:val="0"/>
              <w:adjustRightInd w:val="0"/>
              <w:spacing w:after="0" w:line="240" w:lineRule="auto"/>
              <w:jc w:val="both"/>
              <w:rPr>
                <w:rFonts w:ascii="Times New Roman" w:hAnsi="Times New Roman" w:cs="Times New Roman"/>
              </w:rPr>
            </w:pPr>
            <w:proofErr w:type="gramStart"/>
            <w:r w:rsidRPr="00F46F93">
              <w:rPr>
                <w:rFonts w:ascii="Times New Roman" w:hAnsi="Times New Roman" w:cs="Times New Roman"/>
              </w:rPr>
              <w:t>u</w:t>
            </w:r>
            <w:proofErr w:type="gramEnd"/>
            <w:r w:rsidRPr="00F46F93">
              <w:rPr>
                <w:rFonts w:ascii="Times New Roman" w:hAnsi="Times New Roman" w:cs="Times New Roman"/>
              </w:rPr>
              <w:t xml:space="preserve"> liječenju parcijalnih napada sa ili bez sekundarne generalizacije kod odraslih, adolescenata, djece i odojčadi uzrasta od 1. mjeseca koji boluju od epilepsije,</w:t>
            </w:r>
          </w:p>
          <w:p w:rsidR="00F46F93" w:rsidRPr="00F46F93" w:rsidRDefault="00F46F93" w:rsidP="00F46F93">
            <w:pPr>
              <w:numPr>
                <w:ilvl w:val="0"/>
                <w:numId w:val="8"/>
              </w:numPr>
              <w:autoSpaceDE w:val="0"/>
              <w:autoSpaceDN w:val="0"/>
              <w:adjustRightInd w:val="0"/>
              <w:spacing w:after="0" w:line="240" w:lineRule="auto"/>
              <w:jc w:val="both"/>
              <w:rPr>
                <w:rFonts w:ascii="Times New Roman" w:hAnsi="Times New Roman" w:cs="Times New Roman"/>
              </w:rPr>
            </w:pPr>
            <w:proofErr w:type="gramStart"/>
            <w:r w:rsidRPr="00F46F93">
              <w:rPr>
                <w:rFonts w:ascii="Times New Roman" w:hAnsi="Times New Roman" w:cs="Times New Roman"/>
              </w:rPr>
              <w:t>u</w:t>
            </w:r>
            <w:proofErr w:type="gramEnd"/>
            <w:r w:rsidRPr="00F46F93">
              <w:rPr>
                <w:rFonts w:ascii="Times New Roman" w:hAnsi="Times New Roman" w:cs="Times New Roman"/>
              </w:rPr>
              <w:t xml:space="preserve"> liječenju miokloničnih napada kod odraslih i adolescenata uzrasta od 12. godine sa juvenilnom miokloničnom epilepsijom,</w:t>
            </w:r>
          </w:p>
          <w:p w:rsidR="00F46F93" w:rsidRPr="00F46F93" w:rsidRDefault="00F46F93" w:rsidP="00F46F93">
            <w:pPr>
              <w:numPr>
                <w:ilvl w:val="0"/>
                <w:numId w:val="8"/>
              </w:numPr>
              <w:autoSpaceDE w:val="0"/>
              <w:autoSpaceDN w:val="0"/>
              <w:adjustRightInd w:val="0"/>
              <w:spacing w:after="0" w:line="240" w:lineRule="auto"/>
              <w:jc w:val="both"/>
              <w:rPr>
                <w:rFonts w:ascii="Times New Roman" w:hAnsi="Times New Roman" w:cs="Times New Roman"/>
              </w:rPr>
            </w:pPr>
            <w:proofErr w:type="gramStart"/>
            <w:r w:rsidRPr="00F46F93">
              <w:rPr>
                <w:rFonts w:ascii="Times New Roman" w:hAnsi="Times New Roman" w:cs="Times New Roman"/>
              </w:rPr>
              <w:t>u</w:t>
            </w:r>
            <w:proofErr w:type="gramEnd"/>
            <w:r w:rsidRPr="00F46F93">
              <w:rPr>
                <w:rFonts w:ascii="Times New Roman" w:hAnsi="Times New Roman" w:cs="Times New Roman"/>
              </w:rPr>
              <w:t xml:space="preserve"> liječenju primarnih generalizovanih toničko-kloničnih napada kod odraslih i adolescenata uzrasta od 12. </w:t>
            </w:r>
            <w:proofErr w:type="gramStart"/>
            <w:r w:rsidRPr="00F46F93">
              <w:rPr>
                <w:rFonts w:ascii="Times New Roman" w:hAnsi="Times New Roman" w:cs="Times New Roman"/>
              </w:rPr>
              <w:t>godine</w:t>
            </w:r>
            <w:proofErr w:type="gramEnd"/>
            <w:r w:rsidRPr="00F46F93">
              <w:rPr>
                <w:rFonts w:ascii="Times New Roman" w:hAnsi="Times New Roman" w:cs="Times New Roman"/>
              </w:rPr>
              <w:t xml:space="preserve"> sa idiopatskom generalizovanom epilepsijom.</w:t>
            </w:r>
          </w:p>
          <w:p w:rsidR="00F46F93" w:rsidRPr="00F46F93" w:rsidRDefault="00F46F93" w:rsidP="00F46F93">
            <w:pPr>
              <w:autoSpaceDE w:val="0"/>
              <w:autoSpaceDN w:val="0"/>
              <w:adjustRightInd w:val="0"/>
              <w:spacing w:after="0"/>
              <w:ind w:left="780"/>
              <w:jc w:val="both"/>
              <w:rPr>
                <w:rFonts w:ascii="Times New Roman" w:hAnsi="Times New Roman" w:cs="Times New Roman"/>
                <w:color w:val="FF0000"/>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4.2. Doziranje i način primjene</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rPr>
          <w:trHeight w:val="1145"/>
        </w:trPr>
        <w:tc>
          <w:tcPr>
            <w:tcW w:w="9953" w:type="dxa"/>
            <w:vAlign w:val="center"/>
          </w:tcPr>
          <w:p w:rsidR="00F46F93" w:rsidRDefault="00F46F93" w:rsidP="00F46F93">
            <w:pPr>
              <w:autoSpaceDE w:val="0"/>
              <w:autoSpaceDN w:val="0"/>
              <w:adjustRightInd w:val="0"/>
              <w:spacing w:after="0"/>
              <w:jc w:val="both"/>
              <w:rPr>
                <w:rFonts w:ascii="Times New Roman" w:hAnsi="Times New Roman" w:cs="Times New Roman"/>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Doziranje</w:t>
            </w:r>
          </w:p>
          <w:p w:rsidR="00F46F93" w:rsidRPr="00F46F93" w:rsidRDefault="00F46F93" w:rsidP="00F46F93">
            <w:pPr>
              <w:autoSpaceDE w:val="0"/>
              <w:autoSpaceDN w:val="0"/>
              <w:adjustRightInd w:val="0"/>
              <w:spacing w:after="0"/>
              <w:jc w:val="both"/>
              <w:rPr>
                <w:rFonts w:ascii="Times New Roman" w:hAnsi="Times New Roman" w:cs="Times New Roman"/>
                <w:i/>
                <w:iCs/>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Monoterapija kod odraslih i adolescenata uzrasta od 16. godine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Preporučena početna doza je 250 mg dva puta dnevno, koju je nakon dvije nedjelje potrebno povećati na početnu terapijsku dozu od 500 mg dva puta dnevno. Doza se može dalje povećati za po 250 mg dva puta dnevno svake dvije nedjelje, zavisno od kliničkog odgovora. Maksimalna doza je 1500 mg dva puta dnevno.</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Dodatna terapija kod odraslih (≥ 18 godina) i adolescenata (uzrasta od 12 do 17 godina) tjelesne težine 50 kg ili više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Početna terapijska doza je 500 mg dva puta dnevno. Tom dozom se može započeti prvog dana liječenja. Zavisno od kliničkog odgovora i podnošljivosti lijeka, dnevna doza se može povećati do 1500 mg dva puta dnevno. Doza se može povisiti ili smanjiti za po 500 mg dva puta dnevno svake dvije do četiri nedjelje.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Prekid liječenja </w:t>
            </w: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Ako liječenje levetiracetamom treba prekinuti, preporučuje se postepeni prekid (npr. kod odraslih i adolescenata tjelesne težine veće od 50 kg: smanjenje za 500 mg dva puta na dan svake dvije do četiri nedjelje; kod odojčadi starije od 6 mjeseci, djece i adolescenata tjelesne težine manje od 50 kg: smanjenje doze ne smije biti veće od 10 mg/kg dva puta na dan svake dvije nedjelje; kod odojčadi (mlađe od 6 mjeseci): smanjenje doze ne smije biti veće od 7 mg/kg dva puta dnevno svake dvije nedjelje).</w:t>
            </w:r>
            <w:proofErr w:type="gramEnd"/>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Posebne populacije</w:t>
            </w:r>
          </w:p>
          <w:p w:rsidR="00F46F93" w:rsidRPr="00F46F93" w:rsidRDefault="00F46F93" w:rsidP="00F46F93">
            <w:pPr>
              <w:autoSpaceDE w:val="0"/>
              <w:autoSpaceDN w:val="0"/>
              <w:adjustRightInd w:val="0"/>
              <w:spacing w:after="0"/>
              <w:jc w:val="both"/>
              <w:rPr>
                <w:rFonts w:ascii="Times New Roman" w:hAnsi="Times New Roman" w:cs="Times New Roman"/>
                <w:i/>
                <w:iCs/>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Starije osobe (65 godina i stariji)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starijih pacijenata sa oslabljenom funkcijom bubrega preporučuje se prilagođavanje doze (vidjeti "Oštećenje funkcije bubrega" u nastavku).</w:t>
            </w:r>
          </w:p>
          <w:p w:rsidR="00F46F93" w:rsidRPr="00F46F93" w:rsidRDefault="00F46F93" w:rsidP="00F46F93">
            <w:pPr>
              <w:autoSpaceDE w:val="0"/>
              <w:autoSpaceDN w:val="0"/>
              <w:adjustRightInd w:val="0"/>
              <w:spacing w:after="0"/>
              <w:jc w:val="both"/>
              <w:rPr>
                <w:rFonts w:ascii="Times New Roman" w:hAnsi="Times New Roman" w:cs="Times New Roman"/>
                <w:i/>
                <w:iCs/>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Oštećenje funkcije bubrega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Dnevna  doza</w:t>
            </w:r>
            <w:proofErr w:type="gramEnd"/>
            <w:r w:rsidRPr="00F46F93">
              <w:rPr>
                <w:rFonts w:ascii="Times New Roman" w:hAnsi="Times New Roman" w:cs="Times New Roman"/>
              </w:rPr>
              <w:t xml:space="preserve"> se mora odrediti za svakog pacijenta pojedinačno, u skladu sa bubrežnom funkcijom.</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Kod odraslih pacijenata, dozu je potrebno prilagoditi prema priloženoj tabeli.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Kako bi se ova tabela doziranja mogla koristiti, potrebna je procjena klirensa kreatinina (CLcr) u ml/min. CLcr u ml/min može se procijeniti iz serumskog kreatinina (mg/dl) kod odraslih i adolescenata tjelesne težine 50 kg i više, primjenom sljedeće formule: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[ 140-dob (godine) x težina (kg)]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CLcr (ml/min) =              --------------------------------------------    (x 0,85 za žene)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color w:val="FF0000"/>
              </w:rPr>
              <w:t xml:space="preserve">                                             </w:t>
            </w:r>
            <w:r w:rsidRPr="00F46F93">
              <w:rPr>
                <w:rFonts w:ascii="Times New Roman" w:hAnsi="Times New Roman" w:cs="Times New Roman"/>
              </w:rPr>
              <w:t>72 x serumski kreatinin (mg/dl)</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Zatim se klirens kreatinina (CLcr) prilagođava za površinu tijela (PT), na sljedeći način:</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CLcr (ml/min)</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CLcr (ml/min/1,73 m</w:t>
            </w:r>
            <w:r w:rsidRPr="00F46F93">
              <w:rPr>
                <w:rFonts w:ascii="Times New Roman" w:hAnsi="Times New Roman" w:cs="Times New Roman"/>
                <w:vertAlign w:val="superscript"/>
              </w:rPr>
              <w:t>2</w:t>
            </w:r>
            <w:r w:rsidRPr="00F46F93">
              <w:rPr>
                <w:rFonts w:ascii="Times New Roman" w:hAnsi="Times New Roman" w:cs="Times New Roman"/>
              </w:rPr>
              <w:t>) =  ----------------------------- x 1,73</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PT (m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Prilagođavanje doze kod odraslih pacijenata i adolescenata težih od 50 kg sa oštećenom funkcijom bubrega: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7"/>
            </w:tblGrid>
            <w:tr w:rsidR="00F46F93" w:rsidRPr="00F46F93" w:rsidTr="00726920">
              <w:tc>
                <w:tcPr>
                  <w:tcW w:w="995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Grupa                                                Klirens kreatinina                                     Doza i učestalost primjene      </w:t>
                  </w:r>
                </w:p>
                <w:p w:rsidR="00F46F93" w:rsidRPr="00F46F93" w:rsidRDefault="00F46F93" w:rsidP="00F46F93">
                  <w:pPr>
                    <w:tabs>
                      <w:tab w:val="left" w:pos="3600"/>
                    </w:tabs>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(ml/min/1,73 m</w:t>
                  </w:r>
                  <w:r w:rsidRPr="00F46F93">
                    <w:rPr>
                      <w:rFonts w:ascii="Times New Roman" w:hAnsi="Times New Roman" w:cs="Times New Roman"/>
                      <w:vertAlign w:val="superscript"/>
                    </w:rPr>
                    <w:t>2</w:t>
                  </w:r>
                  <w:r w:rsidRPr="00F46F93">
                    <w:rPr>
                      <w:rFonts w:ascii="Times New Roman" w:hAnsi="Times New Roman" w:cs="Times New Roman"/>
                    </w:rPr>
                    <w:t xml:space="preserve">)                                  </w:t>
                  </w:r>
                </w:p>
              </w:tc>
            </w:tr>
            <w:tr w:rsidR="00F46F93" w:rsidRPr="00F46F93" w:rsidTr="00726920">
              <w:tc>
                <w:tcPr>
                  <w:tcW w:w="9957" w:type="dxa"/>
                  <w:shd w:val="clear" w:color="auto" w:fill="auto"/>
                </w:tcPr>
                <w:p w:rsidR="00F46F93" w:rsidRPr="00F46F93" w:rsidRDefault="00F46F93" w:rsidP="00F46F93">
                  <w:pPr>
                    <w:tabs>
                      <w:tab w:val="left" w:pos="3450"/>
                      <w:tab w:val="left" w:pos="7665"/>
                    </w:tabs>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Normalna funkcija</w:t>
                  </w:r>
                  <w:r w:rsidRPr="00F46F93">
                    <w:rPr>
                      <w:rFonts w:ascii="Times New Roman" w:hAnsi="Times New Roman" w:cs="Times New Roman"/>
                    </w:rPr>
                    <w:tab/>
                    <w:t xml:space="preserve">&gt; 80                                              500 do 1500 mg dva puta dnevno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Blago oštećenje</w:t>
                  </w:r>
                  <w:r w:rsidRPr="00F46F93">
                    <w:rPr>
                      <w:rFonts w:ascii="Times New Roman" w:hAnsi="Times New Roman" w:cs="Times New Roman"/>
                    </w:rPr>
                    <w:tab/>
                  </w:r>
                  <w:r w:rsidRPr="00F46F93">
                    <w:rPr>
                      <w:rFonts w:ascii="Times New Roman" w:hAnsi="Times New Roman" w:cs="Times New Roman"/>
                    </w:rPr>
                    <w:tab/>
                    <w:t xml:space="preserve">                        50-79                                           500 do 1000 mg dva puta dnevno</w:t>
                  </w:r>
                </w:p>
                <w:p w:rsidR="00F46F93" w:rsidRPr="00F46F93" w:rsidRDefault="00F46F93" w:rsidP="00F46F93">
                  <w:pPr>
                    <w:tabs>
                      <w:tab w:val="left" w:pos="720"/>
                      <w:tab w:val="left" w:pos="1440"/>
                      <w:tab w:val="left" w:pos="2160"/>
                      <w:tab w:val="left" w:pos="2880"/>
                      <w:tab w:val="left" w:pos="3600"/>
                      <w:tab w:val="left" w:pos="6435"/>
                    </w:tabs>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Umjereno oštećenje</w:t>
                  </w:r>
                  <w:r w:rsidRPr="00F46F93">
                    <w:rPr>
                      <w:rFonts w:ascii="Times New Roman" w:hAnsi="Times New Roman" w:cs="Times New Roman"/>
                    </w:rPr>
                    <w:tab/>
                    <w:t xml:space="preserve">                        30-49                                           250 do 750 mg dva puta dnevno</w:t>
                  </w:r>
                </w:p>
                <w:p w:rsidR="00F46F93" w:rsidRPr="00F46F93" w:rsidRDefault="00F46F93" w:rsidP="00F46F93">
                  <w:pPr>
                    <w:tabs>
                      <w:tab w:val="left" w:pos="6435"/>
                    </w:tabs>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Teško oštećenje                                      &lt; 30                                             250 do 500 mg dva puta dnevno</w:t>
                  </w:r>
                </w:p>
                <w:p w:rsidR="00F46F93" w:rsidRPr="00F46F93" w:rsidRDefault="00F46F93" w:rsidP="00F46F93">
                  <w:pPr>
                    <w:tabs>
                      <w:tab w:val="left" w:pos="6435"/>
                    </w:tabs>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Pacijenti u terminalnoj                              -                                                500 do 1000 mg jednom dnevno</w:t>
                  </w:r>
                  <w:r w:rsidRPr="00F46F93">
                    <w:rPr>
                      <w:rFonts w:ascii="Times New Roman" w:hAnsi="Times New Roman" w:cs="Times New Roman"/>
                      <w:vertAlign w:val="superscript"/>
                    </w:rPr>
                    <w:t>(2)</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fazi bubrežne bolesti na dijalizi </w:t>
                  </w:r>
                  <w:r w:rsidRPr="00F46F93">
                    <w:rPr>
                      <w:rFonts w:ascii="Times New Roman" w:hAnsi="Times New Roman" w:cs="Times New Roman"/>
                      <w:vertAlign w:val="superscript"/>
                    </w:rPr>
                    <w:t>(1)</w:t>
                  </w:r>
                  <w:r w:rsidRPr="00F46F93">
                    <w:rPr>
                      <w:rFonts w:ascii="Times New Roman" w:hAnsi="Times New Roman" w:cs="Times New Roman"/>
                    </w:rPr>
                    <w:t xml:space="preserve">                                                                            </w:t>
                  </w:r>
                </w:p>
              </w:tc>
            </w:tr>
          </w:tbl>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w:t>
            </w:r>
            <w:r w:rsidRPr="00F46F93">
              <w:rPr>
                <w:rFonts w:ascii="Times New Roman" w:hAnsi="Times New Roman" w:cs="Times New Roman"/>
                <w:vertAlign w:val="superscript"/>
              </w:rPr>
              <w:t>(1)</w:t>
            </w:r>
            <w:r w:rsidRPr="00F46F93">
              <w:rPr>
                <w:rFonts w:ascii="Times New Roman" w:hAnsi="Times New Roman" w:cs="Times New Roman"/>
              </w:rPr>
              <w:t xml:space="preserve"> Prvog dana liječenja levetiracetamom preporučuje se udarna doza od 750 </w:t>
            </w:r>
            <w:proofErr w:type="gramStart"/>
            <w:r w:rsidRPr="00F46F93">
              <w:rPr>
                <w:rFonts w:ascii="Times New Roman" w:hAnsi="Times New Roman" w:cs="Times New Roman"/>
              </w:rPr>
              <w:t>mg .</w:t>
            </w:r>
            <w:proofErr w:type="gramEnd"/>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vertAlign w:val="superscript"/>
              </w:rPr>
              <w:t xml:space="preserve"> (2)</w:t>
            </w:r>
            <w:r w:rsidRPr="00F46F93">
              <w:rPr>
                <w:rFonts w:ascii="Times New Roman" w:hAnsi="Times New Roman" w:cs="Times New Roman"/>
              </w:rPr>
              <w:t xml:space="preserve"> Nakon dijalize, preporučuje se dopunska doza od 250 ili 500 mg.</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djece sa oštećenjem funkcije bubrega, potrebno je prilagoditi dozu levetiracetama u odnosu na funkciju bubrega, jer je klirens levetiracetama povezan sa funkcijom bubrega. Ova preporuka se zasniva na ispitivanju kod odraslih pacijenata sa oštećenjem funkcije bubrega.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Klirens kreatinina izražen u ml/min/1,73 m</w:t>
            </w:r>
            <w:r w:rsidRPr="00F46F93">
              <w:rPr>
                <w:rFonts w:ascii="Times New Roman" w:hAnsi="Times New Roman" w:cs="Times New Roman"/>
                <w:vertAlign w:val="superscript"/>
              </w:rPr>
              <w:t>2</w:t>
            </w:r>
            <w:r w:rsidRPr="00F46F93">
              <w:rPr>
                <w:rFonts w:ascii="Times New Roman" w:hAnsi="Times New Roman" w:cs="Times New Roman"/>
              </w:rPr>
              <w:t xml:space="preserve"> može se kod mladih adolescenata, djece i odojčadi procijeniti iz vrijednosti serumskog kreatinina (mg/dl) pomoću sljedeće formule (Schwartz-ova formula):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color w:val="FF0000"/>
              </w:rPr>
              <w:t xml:space="preserve">                                                                   </w:t>
            </w:r>
            <w:r w:rsidRPr="00F46F93">
              <w:rPr>
                <w:rFonts w:ascii="Times New Roman" w:hAnsi="Times New Roman" w:cs="Times New Roman"/>
              </w:rPr>
              <w:t>Visina (cm) x ks</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CLcr (ml/min/1,73 m</w:t>
            </w:r>
            <w:r w:rsidRPr="00F46F93">
              <w:rPr>
                <w:rFonts w:ascii="Times New Roman" w:hAnsi="Times New Roman" w:cs="Times New Roman"/>
                <w:vertAlign w:val="superscript"/>
              </w:rPr>
              <w:t>2</w:t>
            </w:r>
            <w:r w:rsidRPr="00F46F93">
              <w:rPr>
                <w:rFonts w:ascii="Times New Roman" w:hAnsi="Times New Roman" w:cs="Times New Roman"/>
              </w:rPr>
              <w:t>) =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Serumski kreatinin (mg/dl)</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ks</w:t>
            </w:r>
            <w:proofErr w:type="gramEnd"/>
            <w:r w:rsidRPr="00F46F93">
              <w:rPr>
                <w:rFonts w:ascii="Times New Roman" w:hAnsi="Times New Roman" w:cs="Times New Roman"/>
              </w:rPr>
              <w:t xml:space="preserve"> = 0,45 kod terminski rođene odojčadi uzrasta do 1. </w:t>
            </w:r>
            <w:proofErr w:type="gramStart"/>
            <w:r w:rsidRPr="00F46F93">
              <w:rPr>
                <w:rFonts w:ascii="Times New Roman" w:hAnsi="Times New Roman" w:cs="Times New Roman"/>
              </w:rPr>
              <w:t>godine</w:t>
            </w:r>
            <w:proofErr w:type="gramEnd"/>
            <w:r w:rsidRPr="00F46F93">
              <w:rPr>
                <w:rFonts w:ascii="Times New Roman" w:hAnsi="Times New Roman" w:cs="Times New Roman"/>
              </w:rPr>
              <w:t>; ks = 0,55 za djecu u uzrastu do 13 godina i za adolescente ženskog pola; ks = 0,7 za adolescente muškog pola.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Prilagođavanje doze kod odojčadi, djece i adolescenata tjelesne težine manje od 50 kg sa oštećenom bubrežnom funkcijom: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871"/>
              <w:gridCol w:w="2610"/>
              <w:gridCol w:w="2987"/>
            </w:tblGrid>
            <w:tr w:rsidR="00F46F93" w:rsidRPr="00F46F93" w:rsidTr="00726920">
              <w:tc>
                <w:tcPr>
                  <w:tcW w:w="2489" w:type="dxa"/>
                  <w:vMerge w:val="restart"/>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Grupa </w:t>
                  </w:r>
                </w:p>
              </w:tc>
              <w:tc>
                <w:tcPr>
                  <w:tcW w:w="1871" w:type="dxa"/>
                  <w:vMerge w:val="restart"/>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Klirens kreatinina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(ml/min/1,73 m</w:t>
                  </w:r>
                  <w:r w:rsidRPr="00F46F93">
                    <w:rPr>
                      <w:rFonts w:ascii="Times New Roman" w:hAnsi="Times New Roman" w:cs="Times New Roman"/>
                      <w:vertAlign w:val="superscript"/>
                    </w:rPr>
                    <w:t>2</w:t>
                  </w:r>
                  <w:r w:rsidRPr="00F46F93">
                    <w:rPr>
                      <w:rFonts w:ascii="Times New Roman" w:hAnsi="Times New Roman" w:cs="Times New Roman"/>
                    </w:rPr>
                    <w:t>)</w:t>
                  </w:r>
                </w:p>
              </w:tc>
              <w:tc>
                <w:tcPr>
                  <w:tcW w:w="5597" w:type="dxa"/>
                  <w:gridSpan w:val="2"/>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                               Doza i učestalost primjene </w:t>
                  </w:r>
                  <w:r w:rsidRPr="00F46F93">
                    <w:rPr>
                      <w:rFonts w:ascii="Times New Roman" w:hAnsi="Times New Roman" w:cs="Times New Roman"/>
                      <w:vertAlign w:val="superscript"/>
                    </w:rPr>
                    <w:t>(1)</w:t>
                  </w:r>
                </w:p>
                <w:p w:rsidR="00F46F93" w:rsidRPr="00F46F93" w:rsidRDefault="00F46F93" w:rsidP="00F46F93">
                  <w:pPr>
                    <w:autoSpaceDE w:val="0"/>
                    <w:autoSpaceDN w:val="0"/>
                    <w:adjustRightInd w:val="0"/>
                    <w:spacing w:after="0"/>
                    <w:jc w:val="both"/>
                    <w:rPr>
                      <w:rFonts w:ascii="Times New Roman" w:hAnsi="Times New Roman" w:cs="Times New Roman"/>
                    </w:rPr>
                  </w:pPr>
                </w:p>
              </w:tc>
            </w:tr>
            <w:tr w:rsidR="00F46F93" w:rsidRPr="00F46F93" w:rsidTr="00726920">
              <w:tc>
                <w:tcPr>
                  <w:tcW w:w="2489" w:type="dxa"/>
                  <w:vMerge/>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p>
              </w:tc>
              <w:tc>
                <w:tcPr>
                  <w:tcW w:w="1871" w:type="dxa"/>
                  <w:vMerge/>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Odojčad uzrasta od 1 do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manje od 6 mjeseci</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Odojčad uzrasta od 6 do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23 mjeseca, djeca 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adolescenti težine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manje od 50 kg</w:t>
                  </w:r>
                </w:p>
              </w:tc>
            </w:tr>
            <w:tr w:rsidR="00F46F93" w:rsidRPr="00F46F93" w:rsidTr="00726920">
              <w:tc>
                <w:tcPr>
                  <w:tcW w:w="2489"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Normalna funkcija</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1871"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&gt; 80</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7 do 21 mg/kg (0,07 do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0,21 ml/kg) dva puta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dnevno</w:t>
                  </w: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10 do 30 mg/kg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(0,10 do 0,30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dva puta dnevno</w:t>
                  </w:r>
                </w:p>
              </w:tc>
            </w:tr>
            <w:tr w:rsidR="00F46F93" w:rsidRPr="00F46F93" w:rsidTr="00726920">
              <w:tc>
                <w:tcPr>
                  <w:tcW w:w="2489"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Blago oštećenje</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1871"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50-79</w:t>
                  </w: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7 do 14 mg/kg (0,07 do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0,14 ml/kg) dva puta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dnevno</w:t>
                  </w: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10 do 20 mg/kg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(0,10 do 0,20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dva puta dnevno</w:t>
                  </w:r>
                </w:p>
              </w:tc>
            </w:tr>
            <w:tr w:rsidR="00F46F93" w:rsidRPr="00F46F93" w:rsidTr="00726920">
              <w:tc>
                <w:tcPr>
                  <w:tcW w:w="2489"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Umjereno oštećenje</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1871"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30-49</w:t>
                  </w: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3,5 do 10,5 mg/kg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(0,035 do 0,105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dva puta dnevno</w:t>
                  </w: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5 do 15 mg/kg (0,05</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do 0,15 ml/kg) dva puta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dnevno</w:t>
                  </w:r>
                </w:p>
              </w:tc>
            </w:tr>
            <w:tr w:rsidR="00F46F93" w:rsidRPr="00F46F93" w:rsidTr="00726920">
              <w:tc>
                <w:tcPr>
                  <w:tcW w:w="2489"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Teško oštećenje</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1871"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&lt; 30</w:t>
                  </w: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3,5 do 7 mg/kg (0,035</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do 0,07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dva puta dnevno</w:t>
                  </w: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5 do 10 mg/kg (0,05</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do 0,10 ml/kg) dva puta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dnevno</w:t>
                  </w:r>
                </w:p>
              </w:tc>
            </w:tr>
            <w:tr w:rsidR="00F46F93" w:rsidRPr="00F46F93" w:rsidTr="00726920">
              <w:tc>
                <w:tcPr>
                  <w:tcW w:w="2489"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Pacijenti u</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terminalnoj fazi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bubrežne bolesti na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dijalizi</w:t>
                  </w:r>
                </w:p>
              </w:tc>
              <w:tc>
                <w:tcPr>
                  <w:tcW w:w="1871"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w:t>
                  </w:r>
                </w:p>
              </w:tc>
              <w:tc>
                <w:tcPr>
                  <w:tcW w:w="2610"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7 do 14 mg/kg (0,07</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do 0,14 ml/kg) jednom</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dnevno </w:t>
                  </w:r>
                  <w:r w:rsidRPr="00F46F93">
                    <w:rPr>
                      <w:rFonts w:ascii="Times New Roman" w:hAnsi="Times New Roman" w:cs="Times New Roman"/>
                      <w:vertAlign w:val="superscript"/>
                    </w:rPr>
                    <w:t>(2) (4)</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2987" w:type="dxa"/>
                  <w:shd w:val="clear" w:color="auto" w:fill="auto"/>
                </w:tcPr>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10 do 20 mg/kg (0,10</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do 0,20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jednom dnevno </w:t>
                  </w:r>
                  <w:r w:rsidRPr="00F46F93">
                    <w:rPr>
                      <w:rFonts w:ascii="Times New Roman" w:hAnsi="Times New Roman" w:cs="Times New Roman"/>
                      <w:vertAlign w:val="superscript"/>
                    </w:rPr>
                    <w:t>(3) (5)</w:t>
                  </w:r>
                </w:p>
                <w:p w:rsidR="00F46F93" w:rsidRPr="00F46F93" w:rsidRDefault="00F46F93" w:rsidP="00F46F93">
                  <w:pPr>
                    <w:autoSpaceDE w:val="0"/>
                    <w:autoSpaceDN w:val="0"/>
                    <w:adjustRightInd w:val="0"/>
                    <w:spacing w:after="0"/>
                    <w:jc w:val="both"/>
                    <w:rPr>
                      <w:rFonts w:ascii="Times New Roman" w:hAnsi="Times New Roman" w:cs="Times New Roman"/>
                    </w:rPr>
                  </w:pPr>
                </w:p>
              </w:tc>
            </w:tr>
          </w:tbl>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vertAlign w:val="superscript"/>
              </w:rPr>
            </w:pPr>
            <w:r w:rsidRPr="00F46F93">
              <w:rPr>
                <w:rFonts w:ascii="Times New Roman" w:hAnsi="Times New Roman" w:cs="Times New Roman"/>
              </w:rPr>
              <w:t xml:space="preserve"> </w:t>
            </w:r>
            <w:r w:rsidRPr="00F46F93">
              <w:rPr>
                <w:rFonts w:ascii="Times New Roman" w:hAnsi="Times New Roman" w:cs="Times New Roman"/>
                <w:vertAlign w:val="superscript"/>
              </w:rPr>
              <w:t>(1)</w:t>
            </w:r>
            <w:r w:rsidRPr="00F46F93">
              <w:rPr>
                <w:rFonts w:ascii="Times New Roman" w:hAnsi="Times New Roman" w:cs="Times New Roman"/>
              </w:rPr>
              <w:t xml:space="preserve"> Za doze lijeka manje od 250 mg, za doze nedjeljive sa 250 mg, odnosno kada preporučeno doziranje ne može biti postignuto uzimanjem većeg broja tableta i kod pacijenata koji ne mogu da progutaju tablete, treba koristiti oralni rastvor levetiracetama.</w:t>
            </w:r>
            <w:r w:rsidRPr="00F46F93">
              <w:rPr>
                <w:rFonts w:ascii="Times New Roman" w:hAnsi="Times New Roman" w:cs="Times New Roman"/>
                <w:vertAlign w:val="superscript"/>
              </w:rPr>
              <w:t xml:space="preserve">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vertAlign w:val="superscript"/>
              </w:rPr>
              <w:t>(2)</w:t>
            </w:r>
            <w:r w:rsidRPr="00F46F93">
              <w:rPr>
                <w:rFonts w:ascii="Times New Roman" w:hAnsi="Times New Roman" w:cs="Times New Roman"/>
              </w:rPr>
              <w:t xml:space="preserve"> Prvog dana liječenja levetiracetamom preporučuje se udarna doza od 10</w:t>
            </w:r>
            <w:proofErr w:type="gramStart"/>
            <w:r w:rsidRPr="00F46F93">
              <w:rPr>
                <w:rFonts w:ascii="Times New Roman" w:hAnsi="Times New Roman" w:cs="Times New Roman"/>
              </w:rPr>
              <w:t>,5</w:t>
            </w:r>
            <w:proofErr w:type="gramEnd"/>
            <w:r w:rsidRPr="00F46F93">
              <w:rPr>
                <w:rFonts w:ascii="Times New Roman" w:hAnsi="Times New Roman" w:cs="Times New Roman"/>
              </w:rPr>
              <w:t xml:space="preserve"> mg /kg (0,105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vertAlign w:val="superscript"/>
              </w:rPr>
              <w:t>(3)</w:t>
            </w:r>
            <w:r w:rsidRPr="00F46F93">
              <w:rPr>
                <w:rFonts w:ascii="Times New Roman" w:hAnsi="Times New Roman" w:cs="Times New Roman"/>
              </w:rPr>
              <w:t xml:space="preserve"> Prvog dana liječenja levetiracetamom preporučuje se udarna doza od 15 mg /kg (0</w:t>
            </w:r>
            <w:proofErr w:type="gramStart"/>
            <w:r w:rsidRPr="00F46F93">
              <w:rPr>
                <w:rFonts w:ascii="Times New Roman" w:hAnsi="Times New Roman" w:cs="Times New Roman"/>
              </w:rPr>
              <w:t>,15</w:t>
            </w:r>
            <w:proofErr w:type="gramEnd"/>
            <w:r w:rsidRPr="00F46F93">
              <w:rPr>
                <w:rFonts w:ascii="Times New Roman" w:hAnsi="Times New Roman" w:cs="Times New Roman"/>
              </w:rPr>
              <w:t xml:space="preserve">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vertAlign w:val="superscript"/>
              </w:rPr>
              <w:t>(4)</w:t>
            </w:r>
            <w:r w:rsidRPr="00F46F93">
              <w:rPr>
                <w:rFonts w:ascii="Times New Roman" w:hAnsi="Times New Roman" w:cs="Times New Roman"/>
              </w:rPr>
              <w:t xml:space="preserve"> Nakon dijalize, preporučuje se dodatna doza od 3</w:t>
            </w:r>
            <w:proofErr w:type="gramStart"/>
            <w:r w:rsidRPr="00F46F93">
              <w:rPr>
                <w:rFonts w:ascii="Times New Roman" w:hAnsi="Times New Roman" w:cs="Times New Roman"/>
              </w:rPr>
              <w:t>,5</w:t>
            </w:r>
            <w:proofErr w:type="gramEnd"/>
            <w:r w:rsidRPr="00F46F93">
              <w:rPr>
                <w:rFonts w:ascii="Times New Roman" w:hAnsi="Times New Roman" w:cs="Times New Roman"/>
              </w:rPr>
              <w:t xml:space="preserve"> do 7 mg/kg (0,035 do 0,07 ml/kg).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vertAlign w:val="superscript"/>
              </w:rPr>
              <w:t>(5)</w:t>
            </w:r>
            <w:r w:rsidRPr="00F46F93">
              <w:rPr>
                <w:rFonts w:ascii="Times New Roman" w:hAnsi="Times New Roman" w:cs="Times New Roman"/>
              </w:rPr>
              <w:t xml:space="preserve"> Nakon dijalize, preporučuje se dodatna doza od 5 do 10 mg /kg (0</w:t>
            </w:r>
            <w:proofErr w:type="gramStart"/>
            <w:r w:rsidRPr="00F46F93">
              <w:rPr>
                <w:rFonts w:ascii="Times New Roman" w:hAnsi="Times New Roman" w:cs="Times New Roman"/>
              </w:rPr>
              <w:t>,05</w:t>
            </w:r>
            <w:proofErr w:type="gramEnd"/>
            <w:r w:rsidRPr="00F46F93">
              <w:rPr>
                <w:rFonts w:ascii="Times New Roman" w:hAnsi="Times New Roman" w:cs="Times New Roman"/>
              </w:rPr>
              <w:t xml:space="preserve"> do 0,10 ml/kg).</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Oštećenje funkcije jetre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pacijenata sa blagim do umjerenim oštećenjem funkcije jetre, nije potrebno prilagođavanje doze. Kod pacijenata sa teškim oštećenjem funkcije jetre, klirens kreatinina može lažno pokazati niži stepen insuficijencije bubrega. Zbog toga se preporučuje 50 %-tno smanjenje dnevne doze održavanja, kad je klirens kreatinina &lt; 60 ml/min/1,73m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Default="00F46F93" w:rsidP="00F46F93">
            <w:pPr>
              <w:autoSpaceDE w:val="0"/>
              <w:autoSpaceDN w:val="0"/>
              <w:adjustRightInd w:val="0"/>
              <w:spacing w:after="0"/>
              <w:jc w:val="both"/>
              <w:rPr>
                <w:rFonts w:ascii="Times New Roman" w:hAnsi="Times New Roman" w:cs="Times New Roman"/>
                <w:color w:val="FF0000"/>
              </w:rPr>
            </w:pPr>
          </w:p>
          <w:p w:rsid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lastRenderedPageBreak/>
              <w:t>Pedijatrijska populacija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Ljekar treba da propiše najprikladniji farmaceutski oblik, vrstu pakovanja i jačinu, u zavisnosti od uzrasta, tjelesne težine i doze.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odojčadi i djece uzrasta do 6 godina nije prikladna primjena lijeka u obliku tablete. Za primjenu u ovoj populaciji, prikladan oblik lijeka je levetiracetam oralni rastvor. Takođe, raspoložive jačine tableta nisu prikladne za početak liječenja kod djece težine do 25 kg, kod pacijenata koji ne mogu progutati tabletu ili za davanje doza nižih od 250 mg. U svim tim slučajevima, treba koristiti levetiracetam oralni rastvor.</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Monoterapija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Bezbjednost primjene i efikasnost levetiracetama kao monoterapije kod djece i adolescenata uzrasta do 16 godina nije ustanovljena. Nema podataka o primjeni kod djece.</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 xml:space="preserve">Dodatna terapija kod odojčadi uzrasta od 6. </w:t>
            </w:r>
            <w:proofErr w:type="gramStart"/>
            <w:r w:rsidRPr="00F46F93">
              <w:rPr>
                <w:rFonts w:ascii="Times New Roman" w:hAnsi="Times New Roman" w:cs="Times New Roman"/>
                <w:i/>
                <w:iCs/>
              </w:rPr>
              <w:t>do</w:t>
            </w:r>
            <w:proofErr w:type="gramEnd"/>
            <w:r w:rsidRPr="00F46F93">
              <w:rPr>
                <w:rFonts w:ascii="Times New Roman" w:hAnsi="Times New Roman" w:cs="Times New Roman"/>
                <w:i/>
                <w:iCs/>
              </w:rPr>
              <w:t xml:space="preserve"> 23. mjeseca, djece (uzrasta od 2 do 11 godina) i adolescenata (uzrasta od 12 do 17 godina) težine manje od 50 kg</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Oralni rastvor levetiracetama je najprikladnija formulacija za primjenu kod odojčadi i djece mlađe od 6 godina. Kod djece uzrasta od 6 godina i starije, oralni rastvor levetiracetama treba primjenjivati za doze ispod 250mg, doze koje nisu djeljive sa 250 mg, odnosno kada preporučeno doziranje ne može biti postignuto uzimanjem većeg broja tableta i kod pacijenata koji ne mogu da progutaju tablete.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Treba koristiti najnižu efikasnu dozu. Početna terapijska doza za dijete ili adolescenta od 25 kg treba biti 250 mg dva puta dnevno, uz maksimalnu dozu od 750 mg dva puta dnevno. Doziranje kod djece sa tjelesnom masom većom od 50 kg, isto je kao i kod odraslih.</w:t>
            </w:r>
          </w:p>
          <w:p w:rsidR="00F46F93" w:rsidRPr="00F46F93" w:rsidRDefault="00F46F93" w:rsidP="00F46F93">
            <w:pPr>
              <w:autoSpaceDE w:val="0"/>
              <w:autoSpaceDN w:val="0"/>
              <w:adjustRightInd w:val="0"/>
              <w:spacing w:after="0"/>
              <w:jc w:val="both"/>
              <w:rPr>
                <w:rFonts w:ascii="Times New Roman" w:hAnsi="Times New Roman" w:cs="Times New Roman"/>
                <w:i/>
                <w:iCs/>
              </w:rPr>
            </w:pP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i/>
                <w:iCs/>
              </w:rPr>
              <w:t>Dodatna terapija kod odojčadi uzrasta od 1 mjeseca do manje od 6 mjeseci</w:t>
            </w:r>
            <w:r w:rsidRPr="00F46F93">
              <w:rPr>
                <w:rFonts w:ascii="Times New Roman" w:hAnsi="Times New Roman" w:cs="Times New Roman"/>
                <w:color w:val="FF0000"/>
              </w:rPr>
              <w:t xml:space="preserve"> </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Oralni rastvor levetiracetama je formulacija lijeka koja se koristi kod odojčadi. </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Način primjene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Film tablete treba uzimati oralno, progutati sa dovoljnom količinom tečnosti, nezavisno od obroka. Nakon oralne primjene, može se očekivati gorak ukus levetiracetama. Dnevna doza se primjenjuje u obliku dvije jednake doze.</w:t>
            </w:r>
          </w:p>
          <w:p w:rsidR="00F46F93" w:rsidRPr="00F46F93" w:rsidRDefault="00F46F93" w:rsidP="00F46F93">
            <w:pPr>
              <w:autoSpaceDE w:val="0"/>
              <w:autoSpaceDN w:val="0"/>
              <w:adjustRightInd w:val="0"/>
              <w:spacing w:after="0"/>
              <w:jc w:val="both"/>
              <w:rPr>
                <w:rFonts w:ascii="Times New Roman" w:hAnsi="Times New Roman" w:cs="Times New Roman"/>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4.3. Kontraindikacije</w:t>
            </w:r>
          </w:p>
          <w:p w:rsidR="00F46F93" w:rsidRP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Preosjetljivost na aktivnu supstancu ili druge derivate pirolidona, ili na neku od pomoćnih supstanci navedenih u odjeljku 6.</w:t>
            </w:r>
          </w:p>
          <w:p w:rsidR="00F46F93" w:rsidRDefault="00F46F93" w:rsidP="00F46F93">
            <w:pPr>
              <w:autoSpaceDE w:val="0"/>
              <w:autoSpaceDN w:val="0"/>
              <w:adjustRightInd w:val="0"/>
              <w:spacing w:after="0"/>
              <w:rPr>
                <w:rFonts w:ascii="Times New Roman" w:hAnsi="Times New Roman" w:cs="Times New Roman"/>
                <w:b/>
                <w:bCs/>
              </w:rPr>
            </w:pPr>
          </w:p>
          <w:p w:rsidR="00F46F93" w:rsidRDefault="00F46F93" w:rsidP="00F46F93">
            <w:pPr>
              <w:autoSpaceDE w:val="0"/>
              <w:autoSpaceDN w:val="0"/>
              <w:adjustRightInd w:val="0"/>
              <w:spacing w:after="0"/>
              <w:rPr>
                <w:rFonts w:ascii="Times New Roman" w:hAnsi="Times New Roman" w:cs="Times New Roman"/>
                <w:b/>
                <w:bCs/>
              </w:rPr>
            </w:pPr>
          </w:p>
          <w:p w:rsid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lastRenderedPageBreak/>
              <w:t>4.4 Posebna upozorenja i mjere opreza pri upotrebi lijeka</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c>
          <w:tcPr>
            <w:tcW w:w="9953" w:type="dxa"/>
            <w:vAlign w:val="center"/>
          </w:tcPr>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Insuficijencija bubrega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Primjena levetiracetama kod pacijenata sa oštećenom funkcijom bubrega može zahtijevati prilagođavanje doze. Kod pacijenata sa teško oštećenom funkcijom jetre, preporučuje se procjena funkcije bubrega prije određivanja doze (vidjeti odjeljak 4.2).</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Akutna insuficijencija bubrega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Primjena levetiracetama veoma rijetko je bila povezana sa akutnom insuficijencijom bubrega, a može se pojaviti u rasponu od nekoliko dana do nekoliko mjeseci od početka primjene.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Krvna slika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Opisani su rijetki slučajevi smanjenog broja krvnih ćelija (neutropenija, agranulocitoza, leukopenija, trombocitopenija i pancitopenija) koji su povezani sa primjenom levetiracetama, obično na početku liječenja. Preporučuje se da se uradi kompletna krvna slika kod pacijenata koji imaju značajnu slabost, groznicu, ponavljajuće infekcije ili poremećaje koagulacije (vidjeti odjeljak 4.8).</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Samoubistvo</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Kod pacijenata koji su liječeni antiepileptičkim ljekovima (uključujući levetiracetam), prijavljeni su slučajevi samoubistva, pokušaja samoubistva i samoubilačkih ideja i ponašanja. Meta-analiza randomizovanih, placebom kontrolisanih ispitivanja antiepileptičkih ljekova pokazala je malo povećanje rizika od samoubilačkih misli i ponašanja. Mehanizam ovog rizika je nepoznat.</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Zbog toga je kod pacijenata potrebno pratiti znake depresije i/ili samoubilačke ideje i ponašanje i razmotriti odgovarajuće liječenje. Pacijentima (i njihovim starateljima) treba savjetovati da potraže medicinski savjet ako se jave znaci depresije i/ili samoubilačkih ideja ili ponašanja.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Pedijatrijska populacija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Farmaceutski oblik tablete nije prilagođen za primjenu kod odojčadi i djece mlađe od 6 godina.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Raspoloživi podaci o primjeni kod djece nisu pokazali uticaj na rast i pubertet. Međutim, nisu poznati dugotrajni efekti na učenje, inteligenciju, rast, endokrinu funkciju, pubertet i reproduktivnu sposobnost kod djece.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color w:val="000000"/>
                <w:u w:val="single"/>
              </w:rPr>
            </w:pPr>
            <w:r w:rsidRPr="00F46F93">
              <w:rPr>
                <w:rFonts w:ascii="Times New Roman" w:hAnsi="Times New Roman" w:cs="Times New Roman"/>
                <w:color w:val="000000"/>
                <w:u w:val="single"/>
              </w:rPr>
              <w:t>Pomoćne supstance</w:t>
            </w:r>
          </w:p>
          <w:p w:rsidR="00F46F93" w:rsidRPr="00F46F93" w:rsidRDefault="00F46F93" w:rsidP="00F46F93">
            <w:pPr>
              <w:pStyle w:val="Header"/>
              <w:snapToGrid w:val="0"/>
              <w:jc w:val="both"/>
              <w:rPr>
                <w:rFonts w:ascii="Times New Roman" w:hAnsi="Times New Roman" w:cs="Times New Roman"/>
                <w:b/>
                <w:bCs/>
                <w:color w:val="FF0000"/>
                <w:lang w:val="sr-Latn-CS"/>
              </w:rPr>
            </w:pPr>
            <w:r w:rsidRPr="00F46F93">
              <w:rPr>
                <w:rFonts w:ascii="Times New Roman" w:hAnsi="Times New Roman" w:cs="Times New Roman"/>
                <w:color w:val="000000"/>
              </w:rPr>
              <w:t xml:space="preserve">Lijek Quetra 750 mg </w:t>
            </w:r>
            <w:proofErr w:type="gramStart"/>
            <w:r w:rsidRPr="00F46F93">
              <w:rPr>
                <w:rFonts w:ascii="Times New Roman" w:hAnsi="Times New Roman" w:cs="Times New Roman"/>
                <w:color w:val="000000"/>
              </w:rPr>
              <w:t>film  tablete</w:t>
            </w:r>
            <w:proofErr w:type="gramEnd"/>
            <w:r w:rsidRPr="00F46F93">
              <w:rPr>
                <w:rFonts w:ascii="Times New Roman" w:hAnsi="Times New Roman" w:cs="Times New Roman"/>
                <w:color w:val="000000"/>
              </w:rPr>
              <w:t xml:space="preserve"> sadrži boju E110 koja može izazvati alergijske reakcije.</w:t>
            </w:r>
          </w:p>
          <w:p w:rsidR="00F46F93" w:rsidRPr="00F46F93" w:rsidRDefault="00F46F93" w:rsidP="00F46F93">
            <w:pPr>
              <w:pStyle w:val="Header"/>
              <w:snapToGrid w:val="0"/>
              <w:jc w:val="both"/>
              <w:rPr>
                <w:rFonts w:ascii="Times New Roman" w:hAnsi="Times New Roman" w:cs="Times New Roman"/>
                <w:b/>
                <w:bCs/>
                <w:color w:val="FF0000"/>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4.5. Interakcije sa drugim ljekovima i druge vrste interakcija</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eastAsia="he-IL" w:bidi="he-IL"/>
              </w:rPr>
            </w:pPr>
          </w:p>
        </w:tc>
      </w:tr>
      <w:tr w:rsidR="00F46F93" w:rsidRPr="00F46F93" w:rsidTr="00726920">
        <w:trPr>
          <w:trHeight w:val="1145"/>
        </w:trPr>
        <w:tc>
          <w:tcPr>
            <w:tcW w:w="9953" w:type="dxa"/>
            <w:vAlign w:val="center"/>
          </w:tcPr>
          <w:p w:rsidR="00F46F93" w:rsidRDefault="00F46F93" w:rsidP="00F46F93">
            <w:pPr>
              <w:autoSpaceDE w:val="0"/>
              <w:autoSpaceDN w:val="0"/>
              <w:adjustRightInd w:val="0"/>
              <w:spacing w:after="0"/>
              <w:jc w:val="both"/>
              <w:rPr>
                <w:rFonts w:ascii="Times New Roman" w:hAnsi="Times New Roman" w:cs="Times New Roman"/>
                <w:u w:val="single"/>
              </w:rPr>
            </w:pPr>
            <w:bookmarkStart w:id="0" w:name="PREGNANCY"/>
            <w:bookmarkEnd w:id="0"/>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Antiepileptici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Rezultati kliničkih ispitivanja sa odraslim pacijentima prije stavljanja lijeka u promet, pokazuju da levetiracetam nije uticao na serumske koncentracije postojećih antiepileptika (fenitoin, karbamazepin, valproinska kiselina, fenobarbital, lamotrigin, gabapentin i primidon) i da ovi antiepileptici nisu uticali na farmakokinetiku levetiracetama.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Kao ni kod odraslih, tako ni kod pedijatrijskih pacijenata koji su primali do 60 mg/kg/dan levetiracetama, nema dokaza o klinički značajnim interakcijama sa ljekovima.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Na osnovu retrospektivne procjene farmakokinetičkih interakcija kod djece i adolescenata sa epilepsijom (uzrasta od 4 do 17 godina) potvrđeno je da dodatno liječenje oralno primijenjenim levetiracetamom ne utiče na serumske koncentracije u stanju ravnoteže istovremeno primijenjenih karbamazepina i valproata.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Međutim, podaci su pokazali da antiepileptici koji indukuju aktivnost enzima povećavaju klirens levetiracetama kod djece za 20%. Prilagođavanje doze nije potrebno.</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Probenecid</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Probenecid (500 mg četiri puta dnevno), inhibitor bubrežne tubularne sekrecije, inhibira bubrežni klirens glavnog metabolita levetiracetama, ali ne i samog levetiracetama. Koncentracija ovog metabolita ipak ostaje niska.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Metotreksat </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color w:val="000000"/>
              </w:rPr>
              <w:t>Pri istovremenoj primjeni levetiracetama i metotreksata prijavljeno je smanjenje klirensa metotreksata, što uzrokuje povišenu/produženu koncentraciju metotreksata u krvi do potencijalno toksičnih nivoa. Koncentracije metotreksata i levetiracetama u krvi treba pažljivo pratiti kod pacijenata istovremeno liječenih sa ova dva lijeka.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Oralni kontraceptivi i druge farmakokinetičke interakcije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Levetiracetam primijenjen u dozi od 1000 mg dnevno nije uticao na farmakokinetiku oralnih kontraceptiva (etinilestradiola i levonorgestrela); endokrini pokazatelji (luteinizirajući hormon i progesteron) su ostali nepromijenjeni. Levetiracetam u dozi od 2000 mg dnevno nije uticao na farmakokinetiku digoksina i varfarina; protrombinsko vrijeme je ostalo nepromijenjeno. Istovremena primjena levetiracetama sa digoksinom, oralnim kontraceptivima i varfarinom nije uticala na farmakokinetiku levetiracetama.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Laksativi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Postoje izolovane prijave smanjenja efikasnosti levetiracetama kada se osmotski laksativ makrogol istovremeno primjenjivao sa oralnim levetiracetamom. Zbog toga se makrogol ne smije uzimati oralno jedan sat prije i jedan sat nakon uzimanja levetiracetama.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Hrana i alkohol</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Hrana ne utiče na opseg resorpcije levetiracetama, ali blago smanjuje brzinu resorpcije.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Ne postoje podaci o interakciji levetiracetama sa alkoholom.</w:t>
            </w:r>
          </w:p>
          <w:p w:rsidR="00F46F93" w:rsidRPr="00F46F93" w:rsidRDefault="00F46F93" w:rsidP="00F46F93">
            <w:pPr>
              <w:pStyle w:val="Header"/>
              <w:rPr>
                <w:rFonts w:ascii="Times New Roman" w:hAnsi="Times New Roman" w:cs="Times New Roman"/>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4.6. Primjena u periodu trudnoće i dojenja</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b/>
                <w:color w:val="FF0000"/>
                <w:lang w:val="sr-Latn-CS"/>
              </w:rPr>
            </w:pPr>
          </w:p>
        </w:tc>
      </w:tr>
      <w:tr w:rsidR="00F46F93" w:rsidRPr="00F46F93" w:rsidTr="00726920">
        <w:trPr>
          <w:trHeight w:val="1145"/>
        </w:trPr>
        <w:tc>
          <w:tcPr>
            <w:tcW w:w="9953" w:type="dxa"/>
            <w:vAlign w:val="center"/>
          </w:tcPr>
          <w:p w:rsidR="00F46F93" w:rsidRDefault="00F46F93" w:rsidP="00F46F93">
            <w:pPr>
              <w:autoSpaceDE w:val="0"/>
              <w:autoSpaceDN w:val="0"/>
              <w:adjustRightInd w:val="0"/>
              <w:spacing w:after="0"/>
              <w:jc w:val="both"/>
              <w:rPr>
                <w:rFonts w:ascii="Times New Roman" w:hAnsi="Times New Roman" w:cs="Times New Roman"/>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 xml:space="preserve">Žene u reproduktivnom dobu </w:t>
            </w: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color w:val="000000"/>
              </w:rPr>
              <w:t>Potrebno je da se žene u reproduktivnom dobu posavjetuju sa specijalistom. Liječenje levetiracetamom treba razmotriti kada žena planira trudnoću. Kao kod svih antiepileptičnih ljekova, potrebno je izbjegavati iznenadni prekid terapije levetiracetamom, jer to može uzrokovati probojne napade koji bi mogli imati ozbiljne posljedice za ženu i nerođeno dijete. Poželjna je monoterapija kad god je to moguće, jer bi terapija kombinacijama antiepileptika mogla biti povezana sa većim rizikom od kongenitalnih malformacija u odnosu na monoterapiju, u zavisnosti od pridruženih antiepileptika.</w:t>
            </w:r>
          </w:p>
          <w:p w:rsidR="00F46F93" w:rsidRPr="00F46F93" w:rsidRDefault="00F46F93" w:rsidP="00F46F93">
            <w:pPr>
              <w:pStyle w:val="Style"/>
              <w:widowControl/>
              <w:snapToGrid w:val="0"/>
              <w:jc w:val="both"/>
              <w:rPr>
                <w:sz w:val="22"/>
                <w:szCs w:val="22"/>
                <w:u w:val="single"/>
                <w:lang w:val="sr-Latn-CS"/>
              </w:rPr>
            </w:pPr>
            <w:r w:rsidRPr="00F46F93">
              <w:rPr>
                <w:sz w:val="22"/>
                <w:szCs w:val="22"/>
                <w:u w:val="single"/>
                <w:lang w:val="sr-Latn-CS"/>
              </w:rPr>
              <w:lastRenderedPageBreak/>
              <w:t>Trudnoća</w:t>
            </w:r>
          </w:p>
          <w:p w:rsidR="00F46F93" w:rsidRPr="00F46F93" w:rsidRDefault="00F46F93" w:rsidP="00F46F93">
            <w:pPr>
              <w:autoSpaceDE w:val="0"/>
              <w:autoSpaceDN w:val="0"/>
              <w:adjustRightInd w:val="0"/>
              <w:spacing w:after="0"/>
              <w:jc w:val="both"/>
              <w:rPr>
                <w:rFonts w:ascii="Times New Roman" w:hAnsi="Times New Roman" w:cs="Times New Roman"/>
                <w:color w:val="000000"/>
              </w:rPr>
            </w:pPr>
            <w:r w:rsidRPr="00F46F93">
              <w:rPr>
                <w:rFonts w:ascii="Times New Roman" w:hAnsi="Times New Roman" w:cs="Times New Roman"/>
                <w:color w:val="000000"/>
              </w:rPr>
              <w:t xml:space="preserve">Velika količina podataka nakon stavljanja lijeka u promet o trudnicama koje su bile izložene monoterapiji levetiracetamom (više od njih 1800, od kojih je više od 1500 bilo izložene levetiracetamu tokom prvog trimestra trudnoće) ne ukazuje na povećanje rizika za velike kongenitalne malformacije. Dostupni su samo ograničeni podaci o neurološkom razvoju djece izložene monoterapiji levetiracetamom </w:t>
            </w:r>
            <w:r w:rsidRPr="00F46F93">
              <w:rPr>
                <w:rFonts w:ascii="Times New Roman" w:hAnsi="Times New Roman" w:cs="Times New Roman"/>
                <w:i/>
                <w:iCs/>
                <w:color w:val="000000"/>
              </w:rPr>
              <w:t>in utero</w:t>
            </w:r>
            <w:r w:rsidRPr="00F46F93">
              <w:rPr>
                <w:rFonts w:ascii="Times New Roman" w:hAnsi="Times New Roman" w:cs="Times New Roman"/>
                <w:color w:val="000000"/>
              </w:rPr>
              <w:t xml:space="preserve">. Međutim, trenutna epidemiološka ispitivanja (na približno 100 djece) ne ukazuju na povećani rizik od neurorazvojnih poremećaja ili kašnjenja u razvoju. </w:t>
            </w:r>
          </w:p>
          <w:p w:rsidR="00F46F93" w:rsidRPr="00F46F93" w:rsidRDefault="00F46F93" w:rsidP="00F46F93">
            <w:pPr>
              <w:autoSpaceDE w:val="0"/>
              <w:autoSpaceDN w:val="0"/>
              <w:adjustRightInd w:val="0"/>
              <w:spacing w:after="0"/>
              <w:jc w:val="both"/>
              <w:rPr>
                <w:rFonts w:ascii="Times New Roman" w:hAnsi="Times New Roman" w:cs="Times New Roman"/>
                <w:color w:val="000000"/>
              </w:rPr>
            </w:pPr>
            <w:r w:rsidRPr="00F46F93">
              <w:rPr>
                <w:rFonts w:ascii="Times New Roman" w:hAnsi="Times New Roman" w:cs="Times New Roman"/>
                <w:color w:val="000000"/>
              </w:rPr>
              <w:t xml:space="preserve">Levetiracetam se može koristiti u trudnoći ako se nakon pažljive procjene smatra da je to klinički neophodno. U takvom slučaju se preporučuje najniža efektivna doza. </w:t>
            </w:r>
          </w:p>
          <w:p w:rsidR="00F46F93" w:rsidRPr="00F46F93" w:rsidRDefault="00F46F93" w:rsidP="00F46F93">
            <w:pPr>
              <w:autoSpaceDE w:val="0"/>
              <w:autoSpaceDN w:val="0"/>
              <w:adjustRightInd w:val="0"/>
              <w:spacing w:after="0"/>
              <w:jc w:val="both"/>
              <w:rPr>
                <w:rFonts w:ascii="Times New Roman" w:hAnsi="Times New Roman" w:cs="Times New Roman"/>
                <w:color w:val="000000"/>
              </w:rPr>
            </w:pPr>
            <w:r w:rsidRPr="00F46F93">
              <w:rPr>
                <w:rFonts w:ascii="Times New Roman" w:hAnsi="Times New Roman" w:cs="Times New Roman"/>
                <w:color w:val="000000"/>
              </w:rPr>
              <w:t>Fiziološke promjene za vrijeme trudnoće mogu uticati na koncentraciju levetiracetama. Tokom trudnoće su primijećena sniženja koncentracija levetiracetama u plazmi. To smanjenje koncentracije bilo je više izraženo tokom trećeg trimestra (do 60% u odnosu na početnu koncentraciju prije trudnoće)</w:t>
            </w:r>
            <w:proofErr w:type="gramStart"/>
            <w:r w:rsidRPr="00F46F93">
              <w:rPr>
                <w:rFonts w:ascii="Times New Roman" w:hAnsi="Times New Roman" w:cs="Times New Roman"/>
                <w:color w:val="000000"/>
              </w:rPr>
              <w:t>.</w:t>
            </w:r>
            <w:proofErr w:type="gramEnd"/>
            <w:r w:rsidRPr="00F46F93">
              <w:rPr>
                <w:rFonts w:ascii="Times New Roman" w:hAnsi="Times New Roman" w:cs="Times New Roman"/>
                <w:color w:val="000000"/>
              </w:rPr>
              <w:t xml:space="preserve"> Mora se obezbijediti odgovarajuće kliničko praćenje trudnica koje uzimaju levetiracetam.</w:t>
            </w:r>
          </w:p>
          <w:p w:rsidR="00F46F93" w:rsidRPr="00F46F93" w:rsidRDefault="00F46F93" w:rsidP="00F46F93">
            <w:pPr>
              <w:autoSpaceDE w:val="0"/>
              <w:autoSpaceDN w:val="0"/>
              <w:adjustRightInd w:val="0"/>
              <w:spacing w:after="0"/>
              <w:jc w:val="both"/>
              <w:rPr>
                <w:rFonts w:ascii="Times New Roman" w:hAnsi="Times New Roman" w:cs="Times New Roman"/>
                <w:color w:val="00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Dojenje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Levetiracetam se izlučuje u majčino mlijeko kod ljudi, zbog čega se dojenje ne preporučuje. Međutim, ako je liječenje levetiracetamom potrebno tokom dojenja, treba procijeniti odnos koristi i rizika liječenja, uzimajući u obzir važnost dojenja.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Plodnost</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 ispitivanjima na životinjama nije otkriven uticaj na plodnost (vidjeti odjeljak 5.3). Nema raspoloživih kliničkih podataka, a mogući rizik za ljude nije poznat.</w:t>
            </w: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spacing w:val="-8"/>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spacing w:val="-8"/>
                <w:lang w:val="sr-Latn-CS"/>
              </w:rPr>
            </w:pPr>
            <w:r w:rsidRPr="00F46F93">
              <w:rPr>
                <w:rFonts w:ascii="Times New Roman" w:hAnsi="Times New Roman" w:cs="Times New Roman"/>
                <w:b/>
                <w:bCs/>
                <w:spacing w:val="-8"/>
                <w:lang w:val="sr-Latn-CS"/>
              </w:rPr>
              <w:t>4.7. Uticaj na psihofizičke sposobnosti prilikom upravljanja motornim vozilima i rukovanja mašinama</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eastAsia="he-IL" w:bidi="he-IL"/>
              </w:rPr>
            </w:pPr>
          </w:p>
        </w:tc>
      </w:tr>
      <w:tr w:rsidR="00F46F93" w:rsidRPr="00F46F93" w:rsidTr="00726920">
        <w:trPr>
          <w:trHeight w:val="1145"/>
        </w:trPr>
        <w:tc>
          <w:tcPr>
            <w:tcW w:w="9953" w:type="dxa"/>
            <w:vAlign w:val="center"/>
          </w:tcPr>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color w:val="000000"/>
              </w:rPr>
            </w:pPr>
            <w:r w:rsidRPr="00F46F93">
              <w:rPr>
                <w:rFonts w:ascii="Times New Roman" w:hAnsi="Times New Roman" w:cs="Times New Roman"/>
                <w:color w:val="000000"/>
              </w:rPr>
              <w:t xml:space="preserve">Levetiracetam malo ili umjereno utiče na sposobnost upravljanja motornim vozilima i rada sa mašinama. </w:t>
            </w:r>
          </w:p>
          <w:p w:rsidR="00F46F93" w:rsidRPr="00F46F93" w:rsidRDefault="00F46F93" w:rsidP="00F46F93">
            <w:pPr>
              <w:autoSpaceDE w:val="0"/>
              <w:autoSpaceDN w:val="0"/>
              <w:adjustRightInd w:val="0"/>
              <w:spacing w:after="0"/>
              <w:jc w:val="both"/>
              <w:rPr>
                <w:rFonts w:ascii="Times New Roman" w:hAnsi="Times New Roman" w:cs="Times New Roman"/>
                <w:color w:val="000000"/>
              </w:rPr>
            </w:pPr>
            <w:r w:rsidRPr="00F46F93">
              <w:rPr>
                <w:rFonts w:ascii="Times New Roman" w:hAnsi="Times New Roman" w:cs="Times New Roman"/>
                <w:color w:val="000000"/>
              </w:rPr>
              <w:t>Usljed mogućih individualnih razlika u osjetljivosti, kod nekih pacijenata se može javiti somnolencija ili drugi simptomi vezani za centralni nervni sistem, naročito na početku liječenja ili nakon povećanja doze. Zato je kod takvih pacijenata potreban oprez kada obavljaju poslove koji zahtijevaju vještinu, kao što je upravljanje motornim vozilima i rukovanje mašinama. Pacijentima se savjetuje da ne upravljaju motornim vozilima i rukuju mašinama sve dok se ne ustanovi da im sposobnost za obavljanje tih aktivnosti nije narušena.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4.8. Neželjena dejstva</w:t>
            </w:r>
          </w:p>
          <w:p w:rsidR="00F46F93" w:rsidRPr="00F46F93" w:rsidRDefault="00F46F93" w:rsidP="00F46F93">
            <w:pPr>
              <w:autoSpaceDE w:val="0"/>
              <w:autoSpaceDN w:val="0"/>
              <w:adjustRightInd w:val="0"/>
              <w:spacing w:after="0"/>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Sažetak bezbjednosnog profila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r w:rsidRPr="00F46F93">
              <w:rPr>
                <w:rFonts w:ascii="Times New Roman" w:hAnsi="Times New Roman" w:cs="Times New Roman"/>
              </w:rPr>
              <w:t>Najčešće prijavljena neželjena desjtva su bila nazofaringitis, somnolenca, glavobolja, umor i nesvjestica.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Profil neželjenih dejstava opisan u nastavku zasniva se na analizi zbirnih placebom kontrolisanih kliničkih ispitivanja za sve ispitivane indikacije, u kojima </w:t>
            </w:r>
            <w:proofErr w:type="gramStart"/>
            <w:r w:rsidRPr="00F46F93">
              <w:rPr>
                <w:rFonts w:ascii="Times New Roman" w:hAnsi="Times New Roman" w:cs="Times New Roman"/>
              </w:rPr>
              <w:t>je  levetiracetamom</w:t>
            </w:r>
            <w:proofErr w:type="gramEnd"/>
            <w:r w:rsidRPr="00F46F93">
              <w:rPr>
                <w:rFonts w:ascii="Times New Roman" w:hAnsi="Times New Roman" w:cs="Times New Roman"/>
              </w:rPr>
              <w:t xml:space="preserve"> liječeno ukupno 3416 pacijenata.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Ti podaci su dopunjeni podacima iz odgovarajućih nastavaka ispitivanja otvorenog tipa, kao i iskustvima nakon stavljanja lijeka u promet. Bezbjednosni profil levetiracetama uglavnom je sličan u svim </w:t>
            </w:r>
            <w:proofErr w:type="gramStart"/>
            <w:r w:rsidRPr="00F46F93">
              <w:rPr>
                <w:rFonts w:ascii="Times New Roman" w:hAnsi="Times New Roman" w:cs="Times New Roman"/>
              </w:rPr>
              <w:t>uzrastima  (</w:t>
            </w:r>
            <w:proofErr w:type="gramEnd"/>
            <w:r w:rsidRPr="00F46F93">
              <w:rPr>
                <w:rFonts w:ascii="Times New Roman" w:hAnsi="Times New Roman" w:cs="Times New Roman"/>
              </w:rPr>
              <w:t>odrasli i pedijatrijski pacijenti) i u svim odobrenim indikacijama epilepsije.</w:t>
            </w:r>
          </w:p>
          <w:p w:rsid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lastRenderedPageBreak/>
              <w:t>Tabelarni prikaz neželjenih dejstava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Neželjena dejstva  prijavljena u kliničkim ispitivanjima (odrasli, adolescenti, djeca i odojčad &gt; 1 mjeseca) 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iskustva nakon stavljanja lijeka u promet navedena su u sljedećoj tabeli prema organskim sistemima i</w:t>
            </w: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učestalosti</w:t>
            </w:r>
            <w:proofErr w:type="gramEnd"/>
            <w:r w:rsidRPr="00F46F93">
              <w:rPr>
                <w:rFonts w:ascii="Times New Roman" w:hAnsi="Times New Roman" w:cs="Times New Roman"/>
              </w:rPr>
              <w:t xml:space="preserve"> ispoljavanja. Neželjena desjtva su prikazana u padajućem nizu u zavisnosti od ozbiljnosti.  Učestalost ispoljavanja je definisana na sljedeći način: veoma često </w:t>
            </w:r>
            <w:proofErr w:type="gramStart"/>
            <w:r w:rsidRPr="00F46F93">
              <w:rPr>
                <w:rFonts w:ascii="Times New Roman" w:hAnsi="Times New Roman" w:cs="Times New Roman"/>
              </w:rPr>
              <w:t>( ≥</w:t>
            </w:r>
            <w:proofErr w:type="gramEnd"/>
            <w:r w:rsidRPr="00F46F93">
              <w:rPr>
                <w:rFonts w:ascii="Times New Roman" w:hAnsi="Times New Roman" w:cs="Times New Roman"/>
              </w:rPr>
              <w:t xml:space="preserve"> 1/10); često (≥ 1/100 do &lt; 1/10); povremeno (≥ 1/1000 do &lt; 1/100); rijetko (≥ 1/10 000 do &lt; 1/1000) i veoma rijetko ( &lt; 1/10 000).</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944"/>
              <w:gridCol w:w="1944"/>
              <w:gridCol w:w="2038"/>
              <w:gridCol w:w="1852"/>
            </w:tblGrid>
            <w:tr w:rsidR="00F46F93" w:rsidRPr="00F46F93" w:rsidTr="00726920">
              <w:tc>
                <w:tcPr>
                  <w:tcW w:w="1944" w:type="dxa"/>
                  <w:shd w:val="clear" w:color="auto" w:fill="auto"/>
                </w:tcPr>
                <w:p w:rsidR="00F46F93" w:rsidRPr="00F46F93" w:rsidRDefault="00F46F93" w:rsidP="00F46F93">
                  <w:pPr>
                    <w:pStyle w:val="TableParagraph"/>
                    <w:spacing w:line="260" w:lineRule="atLeast"/>
                    <w:ind w:right="136"/>
                    <w:rPr>
                      <w:rFonts w:ascii="Times New Roman" w:hAnsi="Times New Roman"/>
                    </w:rPr>
                  </w:pPr>
                </w:p>
              </w:tc>
              <w:tc>
                <w:tcPr>
                  <w:tcW w:w="7778" w:type="dxa"/>
                  <w:gridSpan w:val="4"/>
                  <w:shd w:val="clear" w:color="auto" w:fill="auto"/>
                </w:tcPr>
                <w:p w:rsidR="00F46F93" w:rsidRPr="00F46F93" w:rsidRDefault="00F46F93" w:rsidP="00F46F93">
                  <w:pPr>
                    <w:pStyle w:val="TableParagraph"/>
                    <w:spacing w:line="237" w:lineRule="exact"/>
                    <w:ind w:left="2830" w:right="2820"/>
                    <w:jc w:val="center"/>
                    <w:rPr>
                      <w:rFonts w:ascii="Times New Roman" w:hAnsi="Times New Roman"/>
                    </w:rPr>
                  </w:pPr>
                </w:p>
              </w:tc>
            </w:tr>
            <w:tr w:rsidR="00F46F93" w:rsidRPr="00F46F93" w:rsidTr="00726920">
              <w:tc>
                <w:tcPr>
                  <w:tcW w:w="1944" w:type="dxa"/>
                  <w:vMerge w:val="restart"/>
                  <w:tcBorders>
                    <w:top w:val="nil"/>
                  </w:tcBorders>
                  <w:shd w:val="clear" w:color="auto" w:fill="auto"/>
                </w:tcPr>
                <w:p w:rsidR="00F46F93" w:rsidRPr="00F46F93" w:rsidRDefault="00F46F93" w:rsidP="00F46F93">
                  <w:pPr>
                    <w:pStyle w:val="TableParagraph"/>
                    <w:rPr>
                      <w:rFonts w:ascii="Times New Roman" w:hAnsi="Times New Roman"/>
                      <w:u w:val="single"/>
                    </w:rPr>
                  </w:pPr>
                </w:p>
                <w:p w:rsidR="00F46F93" w:rsidRPr="00F46F93" w:rsidRDefault="00F46F93" w:rsidP="00F46F93">
                  <w:pPr>
                    <w:pStyle w:val="TableParagraph"/>
                    <w:rPr>
                      <w:rFonts w:ascii="Times New Roman" w:hAnsi="Times New Roman"/>
                    </w:rPr>
                  </w:pPr>
                  <w:r w:rsidRPr="00F46F93">
                    <w:rPr>
                      <w:rFonts w:ascii="Times New Roman" w:hAnsi="Times New Roman"/>
                      <w:u w:val="single"/>
                    </w:rPr>
                    <w:t>MedDRA,</w:t>
                  </w:r>
                </w:p>
                <w:p w:rsidR="00F46F93" w:rsidRPr="00F46F93" w:rsidRDefault="00F46F93" w:rsidP="00F46F93">
                  <w:pPr>
                    <w:spacing w:after="0"/>
                    <w:rPr>
                      <w:rFonts w:ascii="Times New Roman" w:hAnsi="Times New Roman" w:cs="Times New Roman"/>
                    </w:rPr>
                  </w:pPr>
                  <w:r w:rsidRPr="00F46F93">
                    <w:rPr>
                      <w:rFonts w:ascii="Times New Roman" w:hAnsi="Times New Roman" w:cs="Times New Roman"/>
                      <w:w w:val="95"/>
                      <w:u w:val="single"/>
                    </w:rPr>
                    <w:t>klasifikacija</w:t>
                  </w:r>
                  <w:r w:rsidRPr="00F46F93">
                    <w:rPr>
                      <w:rFonts w:ascii="Times New Roman" w:hAnsi="Times New Roman" w:cs="Times New Roman"/>
                      <w:w w:val="95"/>
                    </w:rPr>
                    <w:t xml:space="preserve"> </w:t>
                  </w:r>
                  <w:r w:rsidRPr="00F46F93">
                    <w:rPr>
                      <w:rFonts w:ascii="Times New Roman" w:hAnsi="Times New Roman" w:cs="Times New Roman"/>
                      <w:u w:val="single"/>
                    </w:rPr>
                    <w:t>organskih</w:t>
                  </w:r>
                  <w:r w:rsidRPr="00F46F93">
                    <w:rPr>
                      <w:rFonts w:ascii="Times New Roman" w:hAnsi="Times New Roman" w:cs="Times New Roman"/>
                    </w:rPr>
                    <w:t xml:space="preserve"> </w:t>
                  </w:r>
                  <w:r w:rsidRPr="00F46F93">
                    <w:rPr>
                      <w:rFonts w:ascii="Times New Roman" w:hAnsi="Times New Roman" w:cs="Times New Roman"/>
                      <w:u w:val="single"/>
                    </w:rPr>
                    <w:t>sistema</w:t>
                  </w:r>
                </w:p>
              </w:tc>
              <w:tc>
                <w:tcPr>
                  <w:tcW w:w="7778" w:type="dxa"/>
                  <w:gridSpan w:val="4"/>
                  <w:shd w:val="clear" w:color="auto" w:fill="auto"/>
                </w:tcPr>
                <w:p w:rsidR="00F46F93" w:rsidRPr="00F46F93" w:rsidRDefault="00F46F93" w:rsidP="00F46F93">
                  <w:pPr>
                    <w:spacing w:after="0"/>
                    <w:rPr>
                      <w:rFonts w:ascii="Times New Roman" w:hAnsi="Times New Roman" w:cs="Times New Roman"/>
                    </w:rPr>
                  </w:pPr>
                  <w:r w:rsidRPr="00F46F93">
                    <w:rPr>
                      <w:rFonts w:ascii="Times New Roman" w:hAnsi="Times New Roman" w:cs="Times New Roman"/>
                    </w:rPr>
                    <w:t xml:space="preserve">                                                   Kategorija učestalosti</w:t>
                  </w:r>
                </w:p>
                <w:p w:rsidR="00F46F93" w:rsidRPr="00F46F93" w:rsidRDefault="00F46F93" w:rsidP="00F46F93">
                  <w:pPr>
                    <w:spacing w:after="0"/>
                    <w:rPr>
                      <w:rFonts w:ascii="Times New Roman" w:hAnsi="Times New Roman" w:cs="Times New Roman"/>
                    </w:rPr>
                  </w:pPr>
                </w:p>
              </w:tc>
            </w:tr>
            <w:tr w:rsidR="00F46F93" w:rsidRPr="00F46F93" w:rsidTr="00726920">
              <w:tc>
                <w:tcPr>
                  <w:tcW w:w="1944" w:type="dxa"/>
                  <w:vMerge/>
                  <w:shd w:val="clear" w:color="auto" w:fill="auto"/>
                </w:tcPr>
                <w:p w:rsidR="00F46F93" w:rsidRPr="00F46F93" w:rsidRDefault="00F46F93" w:rsidP="00F46F93">
                  <w:pPr>
                    <w:pStyle w:val="TableParagraph"/>
                    <w:spacing w:line="260" w:lineRule="exact"/>
                    <w:ind w:right="637"/>
                    <w:rPr>
                      <w:rFonts w:ascii="Times New Roman" w:hAnsi="Times New Roman"/>
                      <w:u w:val="single"/>
                    </w:rPr>
                  </w:pPr>
                </w:p>
              </w:tc>
              <w:tc>
                <w:tcPr>
                  <w:tcW w:w="1944" w:type="dxa"/>
                  <w:shd w:val="clear" w:color="auto" w:fill="auto"/>
                </w:tcPr>
                <w:p w:rsidR="00F46F93" w:rsidRPr="00F46F93" w:rsidRDefault="00F46F93" w:rsidP="00F46F93">
                  <w:pPr>
                    <w:pStyle w:val="TableParagraph"/>
                    <w:rPr>
                      <w:rFonts w:ascii="Times New Roman" w:hAnsi="Times New Roman"/>
                      <w:u w:val="single"/>
                    </w:rPr>
                  </w:pPr>
                </w:p>
                <w:p w:rsidR="00F46F93" w:rsidRPr="00F46F93" w:rsidRDefault="00F46F93" w:rsidP="00F46F93">
                  <w:pPr>
                    <w:pStyle w:val="TableParagraph"/>
                    <w:rPr>
                      <w:rFonts w:ascii="Times New Roman" w:hAnsi="Times New Roman"/>
                      <w:u w:val="single"/>
                    </w:rPr>
                  </w:pPr>
                  <w:r w:rsidRPr="00F46F93">
                    <w:rPr>
                      <w:rFonts w:ascii="Times New Roman" w:hAnsi="Times New Roman"/>
                      <w:u w:val="single"/>
                    </w:rPr>
                    <w:t>Veoma često</w:t>
                  </w:r>
                </w:p>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u w:val="single"/>
                    </w:rPr>
                  </w:pPr>
                </w:p>
                <w:p w:rsidR="00F46F93" w:rsidRPr="00F46F93" w:rsidRDefault="00F46F93" w:rsidP="00F46F93">
                  <w:pPr>
                    <w:pStyle w:val="TableParagraph"/>
                    <w:rPr>
                      <w:rFonts w:ascii="Times New Roman" w:hAnsi="Times New Roman"/>
                      <w:u w:val="single"/>
                    </w:rPr>
                  </w:pPr>
                  <w:r w:rsidRPr="00F46F93">
                    <w:rPr>
                      <w:rFonts w:ascii="Times New Roman" w:hAnsi="Times New Roman"/>
                      <w:u w:val="single"/>
                    </w:rPr>
                    <w:t>Često</w:t>
                  </w:r>
                </w:p>
              </w:tc>
              <w:tc>
                <w:tcPr>
                  <w:tcW w:w="2038" w:type="dxa"/>
                  <w:shd w:val="clear" w:color="auto" w:fill="auto"/>
                </w:tcPr>
                <w:p w:rsidR="00F46F93" w:rsidRPr="00F46F93" w:rsidRDefault="00F46F93" w:rsidP="00F46F93">
                  <w:pPr>
                    <w:pStyle w:val="TableParagraph"/>
                    <w:rPr>
                      <w:rFonts w:ascii="Times New Roman" w:hAnsi="Times New Roman"/>
                      <w:u w:val="single"/>
                    </w:rPr>
                  </w:pPr>
                </w:p>
                <w:p w:rsidR="00F46F93" w:rsidRPr="00F46F93" w:rsidRDefault="00F46F93" w:rsidP="00F46F93">
                  <w:pPr>
                    <w:pStyle w:val="TableParagraph"/>
                    <w:rPr>
                      <w:rFonts w:ascii="Times New Roman" w:hAnsi="Times New Roman"/>
                    </w:rPr>
                  </w:pPr>
                  <w:r w:rsidRPr="00F46F93">
                    <w:rPr>
                      <w:rFonts w:ascii="Times New Roman" w:hAnsi="Times New Roman"/>
                      <w:u w:val="single"/>
                    </w:rPr>
                    <w:t>Povremeno</w:t>
                  </w:r>
                </w:p>
              </w:tc>
              <w:tc>
                <w:tcPr>
                  <w:tcW w:w="1852" w:type="dxa"/>
                  <w:shd w:val="clear" w:color="auto" w:fill="auto"/>
                </w:tcPr>
                <w:p w:rsidR="00F46F93" w:rsidRPr="00F46F93" w:rsidRDefault="00F46F93" w:rsidP="00F46F93">
                  <w:pPr>
                    <w:pStyle w:val="TableParagraph"/>
                    <w:rPr>
                      <w:rFonts w:ascii="Times New Roman" w:hAnsi="Times New Roman"/>
                      <w:u w:val="single"/>
                    </w:rPr>
                  </w:pPr>
                </w:p>
                <w:p w:rsidR="00F46F93" w:rsidRPr="00F46F93" w:rsidRDefault="00F46F93" w:rsidP="00F46F93">
                  <w:pPr>
                    <w:pStyle w:val="TableParagraph"/>
                    <w:rPr>
                      <w:rFonts w:ascii="Times New Roman" w:hAnsi="Times New Roman"/>
                    </w:rPr>
                  </w:pPr>
                  <w:r w:rsidRPr="00F46F93">
                    <w:rPr>
                      <w:rFonts w:ascii="Times New Roman" w:hAnsi="Times New Roman"/>
                      <w:u w:val="single"/>
                    </w:rPr>
                    <w:t>Rijetko</w:t>
                  </w:r>
                </w:p>
              </w:tc>
            </w:tr>
            <w:tr w:rsidR="00F46F93" w:rsidRPr="00F46F93" w:rsidTr="00726920">
              <w:tc>
                <w:tcPr>
                  <w:tcW w:w="1944" w:type="dxa"/>
                  <w:shd w:val="clear" w:color="auto" w:fill="auto"/>
                </w:tcPr>
                <w:p w:rsidR="00F46F93" w:rsidRPr="00F46F93" w:rsidRDefault="00F46F93" w:rsidP="00F46F93">
                  <w:pPr>
                    <w:pStyle w:val="TableParagraph"/>
                    <w:spacing w:line="260" w:lineRule="exact"/>
                    <w:ind w:right="637"/>
                    <w:rPr>
                      <w:rFonts w:ascii="Times New Roman" w:hAnsi="Times New Roman"/>
                    </w:rPr>
                  </w:pPr>
                  <w:r w:rsidRPr="00F46F93">
                    <w:rPr>
                      <w:rFonts w:ascii="Times New Roman" w:hAnsi="Times New Roman"/>
                      <w:u w:val="single"/>
                    </w:rPr>
                    <w:t>Infekcije</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w w:val="95"/>
                      <w:u w:val="single"/>
                    </w:rPr>
                    <w:t>infestacije</w:t>
                  </w:r>
                </w:p>
              </w:tc>
              <w:tc>
                <w:tcPr>
                  <w:tcW w:w="1944" w:type="dxa"/>
                  <w:shd w:val="clear" w:color="auto" w:fill="auto"/>
                </w:tcPr>
                <w:p w:rsidR="00F46F93" w:rsidRPr="00F46F93" w:rsidRDefault="00F46F93" w:rsidP="00F46F93">
                  <w:pPr>
                    <w:pStyle w:val="TableParagraph"/>
                    <w:rPr>
                      <w:rFonts w:ascii="Times New Roman" w:hAnsi="Times New Roman"/>
                    </w:rPr>
                  </w:pPr>
                  <w:r w:rsidRPr="00F46F93">
                    <w:rPr>
                      <w:rFonts w:ascii="Times New Roman" w:hAnsi="Times New Roman"/>
                    </w:rPr>
                    <w:t>Nazofaringitis</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rPr>
                      <w:rFonts w:ascii="Times New Roman" w:hAnsi="Times New Roman"/>
                    </w:rPr>
                  </w:pPr>
                  <w:r w:rsidRPr="00F46F93">
                    <w:rPr>
                      <w:rFonts w:ascii="Times New Roman" w:hAnsi="Times New Roman"/>
                    </w:rPr>
                    <w:t>Infekcija</w:t>
                  </w:r>
                </w:p>
              </w:tc>
            </w:tr>
            <w:tr w:rsidR="00F46F93" w:rsidRPr="00F46F93" w:rsidTr="00726920">
              <w:tc>
                <w:tcPr>
                  <w:tcW w:w="1944" w:type="dxa"/>
                  <w:shd w:val="clear" w:color="auto" w:fill="auto"/>
                </w:tcPr>
                <w:p w:rsidR="00F46F93" w:rsidRPr="00F46F93" w:rsidRDefault="00F46F93" w:rsidP="00F46F93">
                  <w:pPr>
                    <w:pStyle w:val="TableParagraph"/>
                    <w:spacing w:line="260" w:lineRule="exact"/>
                    <w:ind w:right="136"/>
                    <w:rPr>
                      <w:rFonts w:ascii="Times New Roman" w:hAnsi="Times New Roman"/>
                    </w:rPr>
                  </w:pPr>
                  <w:r w:rsidRPr="00F46F93">
                    <w:rPr>
                      <w:rFonts w:ascii="Times New Roman" w:hAnsi="Times New Roman"/>
                      <w:u w:val="single"/>
                    </w:rPr>
                    <w:t>Poremećaji krvi</w:t>
                  </w:r>
                  <w:r w:rsidRPr="00F46F93">
                    <w:rPr>
                      <w:rFonts w:ascii="Times New Roman" w:hAnsi="Times New Roman"/>
                    </w:rPr>
                    <w:t xml:space="preserve"> </w:t>
                  </w:r>
                  <w:r w:rsidRPr="00F46F93">
                    <w:rPr>
                      <w:rFonts w:ascii="Times New Roman" w:hAnsi="Times New Roman"/>
                      <w:u w:val="single"/>
                    </w:rPr>
                    <w:t>i limfnog</w:t>
                  </w:r>
                  <w:r w:rsidRPr="00F46F93">
                    <w:rPr>
                      <w:rFonts w:ascii="Times New Roman" w:hAnsi="Times New Roman"/>
                    </w:rPr>
                    <w:t xml:space="preserve"> </w:t>
                  </w:r>
                  <w:r w:rsidRPr="00F46F93">
                    <w:rPr>
                      <w:rFonts w:ascii="Times New Roman" w:hAnsi="Times New Roman"/>
                      <w:u w:val="single"/>
                    </w:rPr>
                    <w:t>sistema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w w:val="95"/>
                    </w:rPr>
                    <w:t xml:space="preserve">Trombocitopenija, </w:t>
                  </w:r>
                  <w:r w:rsidRPr="00F46F93">
                    <w:rPr>
                      <w:rFonts w:ascii="Times New Roman" w:hAnsi="Times New Roman"/>
                    </w:rPr>
                    <w:t>leukopenija</w:t>
                  </w:r>
                </w:p>
              </w:tc>
              <w:tc>
                <w:tcPr>
                  <w:tcW w:w="1852" w:type="dxa"/>
                  <w:shd w:val="clear" w:color="auto" w:fill="auto"/>
                </w:tcPr>
                <w:p w:rsidR="00F46F93" w:rsidRPr="00F46F93" w:rsidRDefault="00F46F93" w:rsidP="00F46F93">
                  <w:pPr>
                    <w:pStyle w:val="TableParagraph"/>
                    <w:spacing w:line="260" w:lineRule="exact"/>
                    <w:ind w:right="233"/>
                    <w:rPr>
                      <w:rFonts w:ascii="Times New Roman" w:hAnsi="Times New Roman"/>
                    </w:rPr>
                  </w:pPr>
                  <w:r w:rsidRPr="00F46F93">
                    <w:rPr>
                      <w:rFonts w:ascii="Times New Roman" w:hAnsi="Times New Roman"/>
                    </w:rPr>
                    <w:t>Pancitopenija, neutropenija, agranulocitoza</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386"/>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imunog</w:t>
                  </w:r>
                  <w:r w:rsidRPr="00F46F93">
                    <w:rPr>
                      <w:rFonts w:ascii="Times New Roman" w:hAnsi="Times New Roman"/>
                    </w:rPr>
                    <w:t xml:space="preserve"> </w:t>
                  </w:r>
                  <w:r w:rsidRPr="00F46F93">
                    <w:rPr>
                      <w:rFonts w:ascii="Times New Roman" w:hAnsi="Times New Roman"/>
                      <w:u w:val="single"/>
                    </w:rPr>
                    <w:t>sistema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spacing w:line="247" w:lineRule="auto"/>
                    <w:ind w:right="226"/>
                    <w:rPr>
                      <w:rFonts w:ascii="Times New Roman" w:hAnsi="Times New Roman"/>
                    </w:rPr>
                  </w:pPr>
                  <w:r w:rsidRPr="00F46F93">
                    <w:rPr>
                      <w:rFonts w:ascii="Times New Roman" w:hAnsi="Times New Roman"/>
                    </w:rPr>
                    <w:t>Reakcija na lijek s eozinofilijom i sistemskim simptomima (DRESS),</w:t>
                  </w:r>
                </w:p>
                <w:p w:rsidR="00F46F93" w:rsidRPr="00F46F93" w:rsidRDefault="00F46F93" w:rsidP="00F46F93">
                  <w:pPr>
                    <w:pStyle w:val="TableParagraph"/>
                    <w:spacing w:line="247" w:lineRule="auto"/>
                    <w:ind w:right="281"/>
                    <w:rPr>
                      <w:rFonts w:ascii="Times New Roman" w:hAnsi="Times New Roman"/>
                    </w:rPr>
                  </w:pPr>
                  <w:r w:rsidRPr="00F46F93">
                    <w:rPr>
                      <w:rFonts w:ascii="Times New Roman" w:hAnsi="Times New Roman"/>
                    </w:rPr>
                    <w:t>preosjetljivost (uključujući angioedem i</w:t>
                  </w:r>
                </w:p>
                <w:p w:rsidR="00F46F93" w:rsidRPr="00F46F93" w:rsidRDefault="00F46F93" w:rsidP="00F46F93">
                  <w:pPr>
                    <w:pStyle w:val="TableParagraph"/>
                    <w:spacing w:line="236" w:lineRule="exact"/>
                    <w:rPr>
                      <w:rFonts w:ascii="Times New Roman" w:hAnsi="Times New Roman"/>
                    </w:rPr>
                  </w:pPr>
                  <w:r w:rsidRPr="00F46F93">
                    <w:rPr>
                      <w:rFonts w:ascii="Times New Roman" w:hAnsi="Times New Roman"/>
                    </w:rPr>
                    <w:t>anafilaksiju)</w:t>
                  </w:r>
                </w:p>
              </w:tc>
            </w:tr>
            <w:tr w:rsidR="00F46F93" w:rsidRPr="00F46F93" w:rsidTr="00726920">
              <w:tc>
                <w:tcPr>
                  <w:tcW w:w="1944" w:type="dxa"/>
                  <w:shd w:val="clear" w:color="auto" w:fill="auto"/>
                </w:tcPr>
                <w:p w:rsidR="00F46F93" w:rsidRPr="00F46F93" w:rsidRDefault="00F46F93" w:rsidP="00F46F93">
                  <w:pPr>
                    <w:pStyle w:val="TableParagraph"/>
                    <w:spacing w:line="260" w:lineRule="exact"/>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metabolizma</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u w:val="single"/>
                    </w:rPr>
                    <w:t>ishrane</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r w:rsidRPr="00F46F93">
                    <w:rPr>
                      <w:rFonts w:ascii="Times New Roman" w:hAnsi="Times New Roman"/>
                    </w:rPr>
                    <w:t>Anoreksija</w:t>
                  </w:r>
                </w:p>
              </w:tc>
              <w:tc>
                <w:tcPr>
                  <w:tcW w:w="2038" w:type="dxa"/>
                  <w:shd w:val="clear" w:color="auto" w:fill="auto"/>
                </w:tcPr>
                <w:p w:rsidR="00F46F93" w:rsidRPr="00F46F93" w:rsidRDefault="00F46F93" w:rsidP="00F46F93">
                  <w:pPr>
                    <w:pStyle w:val="TableParagraph"/>
                    <w:spacing w:line="260" w:lineRule="exact"/>
                    <w:ind w:right="463"/>
                    <w:rPr>
                      <w:rFonts w:ascii="Times New Roman" w:hAnsi="Times New Roman"/>
                    </w:rPr>
                  </w:pPr>
                  <w:r w:rsidRPr="00F46F93">
                    <w:rPr>
                      <w:rFonts w:ascii="Times New Roman" w:hAnsi="Times New Roman"/>
                    </w:rPr>
                    <w:t>Smanjenje tjelesne težine, povećanje tjelesne težine</w:t>
                  </w:r>
                </w:p>
              </w:tc>
              <w:tc>
                <w:tcPr>
                  <w:tcW w:w="1852" w:type="dxa"/>
                  <w:shd w:val="clear" w:color="auto" w:fill="auto"/>
                </w:tcPr>
                <w:p w:rsidR="00F46F93" w:rsidRPr="00F46F93" w:rsidRDefault="00F46F93" w:rsidP="00F46F93">
                  <w:pPr>
                    <w:pStyle w:val="TableParagraph"/>
                    <w:rPr>
                      <w:rFonts w:ascii="Times New Roman" w:hAnsi="Times New Roman"/>
                    </w:rPr>
                  </w:pPr>
                  <w:r w:rsidRPr="00F46F93">
                    <w:rPr>
                      <w:rFonts w:ascii="Times New Roman" w:hAnsi="Times New Roman"/>
                    </w:rPr>
                    <w:t>Hiponatrijemija</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422"/>
                    <w:rPr>
                      <w:rFonts w:ascii="Times New Roman" w:hAnsi="Times New Roman"/>
                    </w:rPr>
                  </w:pPr>
                  <w:r w:rsidRPr="00F46F93">
                    <w:rPr>
                      <w:rFonts w:ascii="Times New Roman" w:hAnsi="Times New Roman"/>
                      <w:u w:val="single"/>
                    </w:rPr>
                    <w:t>Psihijatrijski</w:t>
                  </w:r>
                  <w:r w:rsidRPr="00F46F93">
                    <w:rPr>
                      <w:rFonts w:ascii="Times New Roman" w:hAnsi="Times New Roman"/>
                    </w:rPr>
                    <w:t xml:space="preserve"> </w:t>
                  </w:r>
                  <w:r w:rsidRPr="00F46F93">
                    <w:rPr>
                      <w:rFonts w:ascii="Times New Roman" w:hAnsi="Times New Roman"/>
                      <w:u w:val="single"/>
                    </w:rPr>
                    <w:t>poremećaji</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47" w:lineRule="auto"/>
                    <w:ind w:right="185"/>
                    <w:rPr>
                      <w:rFonts w:ascii="Times New Roman" w:hAnsi="Times New Roman"/>
                    </w:rPr>
                  </w:pPr>
                  <w:r w:rsidRPr="00F46F93">
                    <w:rPr>
                      <w:rFonts w:ascii="Times New Roman" w:hAnsi="Times New Roman"/>
                    </w:rPr>
                    <w:t xml:space="preserve">Depresija, netrpeljivost/ agresivnost, anksioznost, nesanica, </w:t>
                  </w:r>
                  <w:r w:rsidRPr="00F46F93">
                    <w:rPr>
                      <w:rFonts w:ascii="Times New Roman" w:hAnsi="Times New Roman"/>
                      <w:w w:val="95"/>
                    </w:rPr>
                    <w:t>nervoza/razdražljivost</w:t>
                  </w:r>
                </w:p>
              </w:tc>
              <w:tc>
                <w:tcPr>
                  <w:tcW w:w="2038" w:type="dxa"/>
                  <w:shd w:val="clear" w:color="auto" w:fill="auto"/>
                </w:tcPr>
                <w:p w:rsidR="00F46F93" w:rsidRPr="00F46F93" w:rsidRDefault="00F46F93" w:rsidP="00F46F93">
                  <w:pPr>
                    <w:pStyle w:val="TableParagraph"/>
                    <w:spacing w:line="247" w:lineRule="auto"/>
                    <w:ind w:right="84"/>
                    <w:rPr>
                      <w:rFonts w:ascii="Times New Roman" w:hAnsi="Times New Roman"/>
                    </w:rPr>
                  </w:pPr>
                  <w:r w:rsidRPr="00F46F93">
                    <w:rPr>
                      <w:rFonts w:ascii="Times New Roman" w:hAnsi="Times New Roman"/>
                    </w:rPr>
                    <w:t xml:space="preserve">Pokušaj samoubistva, suicidalne misli, psihotični poremećaj, poremećaj ponašanja, halucinacije, bijes, konfuzno stanje, napad panike, labilnost afekta/promjene </w:t>
                  </w:r>
                  <w:r w:rsidRPr="00F46F93">
                    <w:rPr>
                      <w:rFonts w:ascii="Times New Roman" w:hAnsi="Times New Roman"/>
                    </w:rPr>
                    <w:lastRenderedPageBreak/>
                    <w:t>raspoloženja,</w:t>
                  </w:r>
                </w:p>
                <w:p w:rsidR="00F46F93" w:rsidRPr="00F46F93" w:rsidRDefault="00F46F93" w:rsidP="00F46F93">
                  <w:pPr>
                    <w:pStyle w:val="TableParagraph"/>
                    <w:spacing w:line="235" w:lineRule="exact"/>
                    <w:rPr>
                      <w:rFonts w:ascii="Times New Roman" w:hAnsi="Times New Roman"/>
                    </w:rPr>
                  </w:pPr>
                  <w:r w:rsidRPr="00F46F93">
                    <w:rPr>
                      <w:rFonts w:ascii="Times New Roman" w:hAnsi="Times New Roman"/>
                    </w:rPr>
                    <w:t>agitacija</w:t>
                  </w:r>
                </w:p>
              </w:tc>
              <w:tc>
                <w:tcPr>
                  <w:tcW w:w="1852"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rPr>
                    <w:lastRenderedPageBreak/>
                    <w:t xml:space="preserve">Počinjeno </w:t>
                  </w:r>
                  <w:r w:rsidRPr="00F46F93">
                    <w:rPr>
                      <w:rFonts w:ascii="Times New Roman" w:hAnsi="Times New Roman"/>
                      <w:w w:val="95"/>
                    </w:rPr>
                    <w:t xml:space="preserve">samoubistvo, </w:t>
                  </w:r>
                  <w:r w:rsidRPr="00F46F93">
                    <w:rPr>
                      <w:rFonts w:ascii="Times New Roman" w:hAnsi="Times New Roman"/>
                    </w:rPr>
                    <w:t>poremećaj ličnosti, poremećaj mišljenja</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545"/>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nervnog</w:t>
                  </w:r>
                  <w:r w:rsidRPr="00F46F93">
                    <w:rPr>
                      <w:rFonts w:ascii="Times New Roman" w:hAnsi="Times New Roman"/>
                    </w:rPr>
                    <w:t xml:space="preserve"> </w:t>
                  </w:r>
                  <w:r w:rsidRPr="00F46F93">
                    <w:rPr>
                      <w:rFonts w:ascii="Times New Roman" w:hAnsi="Times New Roman"/>
                      <w:u w:val="single"/>
                    </w:rPr>
                    <w:t>sistema</w:t>
                  </w:r>
                </w:p>
              </w:tc>
              <w:tc>
                <w:tcPr>
                  <w:tcW w:w="1944"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w w:val="95"/>
                    </w:rPr>
                    <w:t xml:space="preserve">Somnolencija, </w:t>
                  </w:r>
                  <w:r w:rsidRPr="00F46F93">
                    <w:rPr>
                      <w:rFonts w:ascii="Times New Roman" w:hAnsi="Times New Roman"/>
                    </w:rPr>
                    <w:t>glavobolja</w:t>
                  </w:r>
                </w:p>
              </w:tc>
              <w:tc>
                <w:tcPr>
                  <w:tcW w:w="1944" w:type="dxa"/>
                  <w:shd w:val="clear" w:color="auto" w:fill="auto"/>
                </w:tcPr>
                <w:p w:rsidR="00F46F93" w:rsidRPr="00F46F93" w:rsidRDefault="00F46F93" w:rsidP="00F46F93">
                  <w:pPr>
                    <w:pStyle w:val="TableParagraph"/>
                    <w:spacing w:line="247" w:lineRule="auto"/>
                    <w:ind w:right="163"/>
                    <w:rPr>
                      <w:rFonts w:ascii="Times New Roman" w:hAnsi="Times New Roman"/>
                    </w:rPr>
                  </w:pPr>
                  <w:r w:rsidRPr="00F46F93">
                    <w:rPr>
                      <w:rFonts w:ascii="Times New Roman" w:hAnsi="Times New Roman"/>
                    </w:rPr>
                    <w:t>Konvulzije, poremećaj ravnoteže, nesvjestica, letargija, tremor</w:t>
                  </w:r>
                </w:p>
              </w:tc>
              <w:tc>
                <w:tcPr>
                  <w:tcW w:w="2038" w:type="dxa"/>
                  <w:shd w:val="clear" w:color="auto" w:fill="auto"/>
                </w:tcPr>
                <w:p w:rsidR="00F46F93" w:rsidRPr="00F46F93" w:rsidRDefault="00F46F93" w:rsidP="00F46F93">
                  <w:pPr>
                    <w:pStyle w:val="TableParagraph"/>
                    <w:spacing w:line="260" w:lineRule="exact"/>
                    <w:ind w:right="111"/>
                    <w:rPr>
                      <w:rFonts w:ascii="Times New Roman" w:hAnsi="Times New Roman"/>
                    </w:rPr>
                  </w:pPr>
                  <w:r w:rsidRPr="00F46F93">
                    <w:rPr>
                      <w:rFonts w:ascii="Times New Roman" w:hAnsi="Times New Roman"/>
                    </w:rPr>
                    <w:t>Amnezija, poremećaj pamćenja, poremećaji koordinacije/ataksija, parestezija, smetnje</w:t>
                  </w:r>
                  <w:r w:rsidRPr="00F46F93">
                    <w:rPr>
                      <w:rFonts w:ascii="Times New Roman" w:hAnsi="Times New Roman"/>
                      <w:spacing w:val="-13"/>
                    </w:rPr>
                    <w:t xml:space="preserve"> </w:t>
                  </w:r>
                  <w:r w:rsidRPr="00F46F93">
                    <w:rPr>
                      <w:rFonts w:ascii="Times New Roman" w:hAnsi="Times New Roman"/>
                    </w:rPr>
                    <w:t>u koncentraciji</w:t>
                  </w:r>
                </w:p>
              </w:tc>
              <w:tc>
                <w:tcPr>
                  <w:tcW w:w="1852"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w w:val="95"/>
                    </w:rPr>
                    <w:t xml:space="preserve">Koreoatetoza, </w:t>
                  </w:r>
                  <w:r w:rsidRPr="00F46F93">
                    <w:rPr>
                      <w:rFonts w:ascii="Times New Roman" w:hAnsi="Times New Roman"/>
                    </w:rPr>
                    <w:t>diskinezija, hiperkinezija, poremećaji hodanja</w:t>
                  </w:r>
                </w:p>
              </w:tc>
            </w:tr>
            <w:tr w:rsidR="00F46F93" w:rsidRPr="00F46F93" w:rsidTr="00726920">
              <w:tc>
                <w:tcPr>
                  <w:tcW w:w="1944" w:type="dxa"/>
                  <w:shd w:val="clear" w:color="auto" w:fill="auto"/>
                </w:tcPr>
                <w:p w:rsidR="00F46F93" w:rsidRPr="00F46F93" w:rsidRDefault="00F46F93" w:rsidP="00F46F93">
                  <w:pPr>
                    <w:pStyle w:val="TableParagraph"/>
                    <w:rPr>
                      <w:rFonts w:ascii="Times New Roman" w:hAnsi="Times New Roman"/>
                    </w:rPr>
                  </w:pPr>
                  <w:r w:rsidRPr="00F46F93">
                    <w:rPr>
                      <w:rFonts w:ascii="Times New Roman" w:hAnsi="Times New Roman"/>
                      <w:u w:val="single"/>
                    </w:rPr>
                    <w:t>Poremećaji oka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spacing w:line="260" w:lineRule="exact"/>
                    <w:ind w:right="145"/>
                    <w:rPr>
                      <w:rFonts w:ascii="Times New Roman" w:hAnsi="Times New Roman"/>
                    </w:rPr>
                  </w:pPr>
                  <w:r w:rsidRPr="00F46F93">
                    <w:rPr>
                      <w:rFonts w:ascii="Times New Roman" w:hAnsi="Times New Roman"/>
                    </w:rPr>
                    <w:t>Diplopija, zamagljen vid</w:t>
                  </w:r>
                </w:p>
              </w:tc>
              <w:tc>
                <w:tcPr>
                  <w:tcW w:w="1852" w:type="dxa"/>
                  <w:shd w:val="clear" w:color="auto" w:fill="auto"/>
                </w:tcPr>
                <w:p w:rsidR="00F46F93" w:rsidRPr="00F46F93" w:rsidRDefault="00F46F93" w:rsidP="00F46F93">
                  <w:pPr>
                    <w:pStyle w:val="TableParagraph"/>
                    <w:rPr>
                      <w:rFonts w:ascii="Times New Roman" w:hAnsi="Times New Roman"/>
                    </w:rPr>
                  </w:pPr>
                </w:p>
              </w:tc>
            </w:tr>
            <w:tr w:rsidR="00F46F93" w:rsidRPr="00F46F93" w:rsidTr="00726920">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u w:val="single"/>
                    </w:rPr>
                    <w:t>Poremećaji uha</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i labirinta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Vrtoglavica</w:t>
                  </w: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rPr>
                      <w:rFonts w:ascii="Times New Roman" w:hAnsi="Times New Roman"/>
                    </w:rPr>
                  </w:pP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190"/>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respirator</w:t>
                  </w:r>
                  <w:r w:rsidRPr="00F46F93">
                    <w:rPr>
                      <w:rFonts w:ascii="Times New Roman" w:hAnsi="Times New Roman"/>
                      <w:u w:val="single"/>
                    </w:rPr>
                    <w:t>nog sistema,</w:t>
                  </w:r>
                  <w:r w:rsidRPr="00F46F93">
                    <w:rPr>
                      <w:rFonts w:ascii="Times New Roman" w:hAnsi="Times New Roman"/>
                    </w:rPr>
                    <w:t xml:space="preserve"> </w:t>
                  </w:r>
                  <w:r w:rsidRPr="00F46F93">
                    <w:rPr>
                      <w:rFonts w:ascii="Times New Roman" w:hAnsi="Times New Roman"/>
                      <w:u w:val="single"/>
                    </w:rPr>
                    <w:t>toraksa</w:t>
                  </w:r>
                  <w:r w:rsidRPr="00F46F93">
                    <w:rPr>
                      <w:rFonts w:ascii="Times New Roman" w:hAnsi="Times New Roman"/>
                    </w:rPr>
                    <w:t xml:space="preserve"> </w:t>
                  </w:r>
                  <w:r w:rsidRPr="00F46F93">
                    <w:rPr>
                      <w:rFonts w:ascii="Times New Roman" w:hAnsi="Times New Roman"/>
                      <w:u w:val="single"/>
                    </w:rPr>
                    <w:t>i</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medijastinuma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Kašalj</w:t>
                  </w: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rPr>
                      <w:rFonts w:ascii="Times New Roman" w:hAnsi="Times New Roman"/>
                    </w:rPr>
                  </w:pP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545"/>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gastrointestinalnog</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sistema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47" w:lineRule="auto"/>
                    <w:ind w:right="135"/>
                    <w:rPr>
                      <w:rFonts w:ascii="Times New Roman" w:hAnsi="Times New Roman"/>
                    </w:rPr>
                  </w:pPr>
                  <w:r w:rsidRPr="00F46F93">
                    <w:rPr>
                      <w:rFonts w:ascii="Times New Roman" w:hAnsi="Times New Roman"/>
                    </w:rPr>
                    <w:t>Bol u trbuhu, dijareja, dispepsija,</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rPr>
                    <w:t>povraćanje, mučnina</w:t>
                  </w: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Pankreatitis</w:t>
                  </w:r>
                </w:p>
              </w:tc>
            </w:tr>
            <w:tr w:rsidR="00F46F93" w:rsidRPr="00F46F93" w:rsidTr="00726920">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u w:val="single"/>
                    </w:rPr>
                    <w:t>Poremećaji jetre</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i žuči</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Abnormalni nalazi</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rPr>
                    <w:t>jetrene funkcije</w:t>
                  </w:r>
                </w:p>
              </w:tc>
              <w:tc>
                <w:tcPr>
                  <w:tcW w:w="1852"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Insuficijencija jetre, hepatitis</w:t>
                  </w:r>
                </w:p>
              </w:tc>
            </w:tr>
            <w:tr w:rsidR="00F46F93" w:rsidRPr="00F46F93" w:rsidTr="00726920">
              <w:tc>
                <w:tcPr>
                  <w:tcW w:w="1944"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w w:val="95"/>
                      <w:u w:val="single"/>
                    </w:rPr>
                    <w:t>Poremećaji</w:t>
                  </w:r>
                  <w:r w:rsidRPr="00F46F93">
                    <w:rPr>
                      <w:rFonts w:ascii="Times New Roman" w:hAnsi="Times New Roman"/>
                      <w:w w:val="95"/>
                    </w:rPr>
                    <w:t xml:space="preserve"> </w:t>
                  </w:r>
                  <w:r w:rsidRPr="00F46F93">
                    <w:rPr>
                      <w:rFonts w:ascii="Times New Roman" w:hAnsi="Times New Roman"/>
                      <w:u w:val="single"/>
                    </w:rPr>
                    <w:t>bubrega</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w w:val="95"/>
                      <w:u w:val="single"/>
                    </w:rPr>
                    <w:t>mokraćnog</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sistema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spacing w:line="247" w:lineRule="auto"/>
                    <w:ind w:right="233"/>
                    <w:rPr>
                      <w:rFonts w:ascii="Times New Roman" w:hAnsi="Times New Roman"/>
                    </w:rPr>
                  </w:pPr>
                  <w:r w:rsidRPr="00F46F93">
                    <w:rPr>
                      <w:rFonts w:ascii="Times New Roman" w:hAnsi="Times New Roman"/>
                    </w:rPr>
                    <w:t xml:space="preserve">Akutno </w:t>
                  </w:r>
                  <w:r w:rsidRPr="00F46F93">
                    <w:rPr>
                      <w:rFonts w:ascii="Times New Roman" w:hAnsi="Times New Roman"/>
                      <w:w w:val="95"/>
                    </w:rPr>
                    <w:t xml:space="preserve">oštećenje </w:t>
                  </w:r>
                  <w:r w:rsidRPr="00F46F93">
                    <w:rPr>
                      <w:rFonts w:ascii="Times New Roman" w:hAnsi="Times New Roman"/>
                    </w:rPr>
                    <w:t>bubrega</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124"/>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kože</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u w:val="single"/>
                    </w:rPr>
                    <w:t>potkožnog</w:t>
                  </w:r>
                  <w:r w:rsidRPr="00F46F93">
                    <w:rPr>
                      <w:rFonts w:ascii="Times New Roman" w:hAnsi="Times New Roman"/>
                      <w:spacing w:val="-3"/>
                      <w:u w:val="single"/>
                    </w:rPr>
                    <w:t xml:space="preserve"> </w:t>
                  </w:r>
                  <w:r w:rsidRPr="00F46F93">
                    <w:rPr>
                      <w:rFonts w:ascii="Times New Roman" w:hAnsi="Times New Roman"/>
                      <w:u w:val="single"/>
                    </w:rPr>
                    <w:t>tkiva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Osip</w:t>
                  </w:r>
                </w:p>
              </w:tc>
              <w:tc>
                <w:tcPr>
                  <w:tcW w:w="2038" w:type="dxa"/>
                  <w:shd w:val="clear" w:color="auto" w:fill="auto"/>
                </w:tcPr>
                <w:p w:rsidR="00F46F93" w:rsidRPr="00F46F93" w:rsidRDefault="00F46F93" w:rsidP="00F46F93">
                  <w:pPr>
                    <w:pStyle w:val="TableParagraph"/>
                    <w:spacing w:line="247" w:lineRule="auto"/>
                    <w:rPr>
                      <w:rFonts w:ascii="Times New Roman" w:hAnsi="Times New Roman"/>
                    </w:rPr>
                  </w:pPr>
                  <w:r w:rsidRPr="00F46F93">
                    <w:rPr>
                      <w:rFonts w:ascii="Times New Roman" w:hAnsi="Times New Roman"/>
                    </w:rPr>
                    <w:t>Alopecija, ekcem, pruritis,</w:t>
                  </w:r>
                </w:p>
              </w:tc>
              <w:tc>
                <w:tcPr>
                  <w:tcW w:w="1852" w:type="dxa"/>
                  <w:shd w:val="clear" w:color="auto" w:fill="auto"/>
                </w:tcPr>
                <w:p w:rsidR="00F46F93" w:rsidRPr="00F46F93" w:rsidRDefault="00F46F93" w:rsidP="00F46F93">
                  <w:pPr>
                    <w:pStyle w:val="TableParagraph"/>
                    <w:spacing w:line="247" w:lineRule="auto"/>
                    <w:ind w:right="459"/>
                    <w:rPr>
                      <w:rFonts w:ascii="Times New Roman" w:hAnsi="Times New Roman"/>
                    </w:rPr>
                  </w:pPr>
                  <w:r w:rsidRPr="00F46F93">
                    <w:rPr>
                      <w:rFonts w:ascii="Times New Roman" w:hAnsi="Times New Roman"/>
                    </w:rPr>
                    <w:t xml:space="preserve">Toksična </w:t>
                  </w:r>
                  <w:r w:rsidRPr="00F46F93">
                    <w:rPr>
                      <w:rFonts w:ascii="Times New Roman" w:hAnsi="Times New Roman"/>
                      <w:w w:val="95"/>
                    </w:rPr>
                    <w:t xml:space="preserve">epidermalna </w:t>
                  </w:r>
                  <w:r w:rsidRPr="00F46F93">
                    <w:rPr>
                      <w:rFonts w:ascii="Times New Roman" w:hAnsi="Times New Roman"/>
                    </w:rPr>
                    <w:t>nekroliza, Stevens- Johnsonov sindrom, multiformni</w:t>
                  </w:r>
                </w:p>
                <w:p w:rsidR="00F46F93" w:rsidRPr="00F46F93" w:rsidRDefault="00F46F93" w:rsidP="00F46F93">
                  <w:pPr>
                    <w:pStyle w:val="TableParagraph"/>
                    <w:spacing w:line="241" w:lineRule="exact"/>
                    <w:rPr>
                      <w:rFonts w:ascii="Times New Roman" w:hAnsi="Times New Roman"/>
                    </w:rPr>
                  </w:pPr>
                  <w:r w:rsidRPr="00F46F93">
                    <w:rPr>
                      <w:rFonts w:ascii="Times New Roman" w:hAnsi="Times New Roman"/>
                    </w:rPr>
                    <w:t>Eritem</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565"/>
                    <w:rPr>
                      <w:rFonts w:ascii="Times New Roman" w:hAnsi="Times New Roman"/>
                    </w:rPr>
                  </w:pP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mišićno-</w:t>
                  </w:r>
                  <w:r w:rsidRPr="00F46F93">
                    <w:rPr>
                      <w:rFonts w:ascii="Times New Roman" w:hAnsi="Times New Roman"/>
                    </w:rPr>
                    <w:t xml:space="preserve"> </w:t>
                  </w:r>
                  <w:r w:rsidRPr="00F46F93">
                    <w:rPr>
                      <w:rFonts w:ascii="Times New Roman" w:hAnsi="Times New Roman"/>
                      <w:u w:val="single"/>
                    </w:rPr>
                    <w:t>koštanog</w:t>
                  </w:r>
                  <w:r w:rsidRPr="00F46F93">
                    <w:rPr>
                      <w:rFonts w:ascii="Times New Roman" w:hAnsi="Times New Roman"/>
                    </w:rPr>
                    <w:t xml:space="preserve"> </w:t>
                  </w:r>
                  <w:r w:rsidRPr="00F46F93">
                    <w:rPr>
                      <w:rFonts w:ascii="Times New Roman" w:hAnsi="Times New Roman"/>
                      <w:u w:val="single"/>
                    </w:rPr>
                    <w:t>sistema</w:t>
                  </w:r>
                  <w:r w:rsidRPr="00F46F93">
                    <w:rPr>
                      <w:rFonts w:ascii="Times New Roman" w:hAnsi="Times New Roman"/>
                    </w:rPr>
                    <w:t xml:space="preserve"> </w:t>
                  </w:r>
                  <w:r w:rsidRPr="00F46F93">
                    <w:rPr>
                      <w:rFonts w:ascii="Times New Roman" w:hAnsi="Times New Roman"/>
                      <w:u w:val="single"/>
                    </w:rPr>
                    <w:t>i</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vezivnog tkiva</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spacing w:line="247" w:lineRule="auto"/>
                    <w:ind w:right="560"/>
                    <w:rPr>
                      <w:rFonts w:ascii="Times New Roman" w:hAnsi="Times New Roman"/>
                    </w:rPr>
                  </w:pPr>
                  <w:r w:rsidRPr="00F46F93">
                    <w:rPr>
                      <w:rFonts w:ascii="Times New Roman" w:hAnsi="Times New Roman"/>
                    </w:rPr>
                    <w:t>Mišićna slabost, mijalgija</w:t>
                  </w:r>
                </w:p>
              </w:tc>
              <w:tc>
                <w:tcPr>
                  <w:tcW w:w="1852" w:type="dxa"/>
                  <w:shd w:val="clear" w:color="auto" w:fill="auto"/>
                </w:tcPr>
                <w:p w:rsidR="00F46F93" w:rsidRPr="00F46F93" w:rsidRDefault="00F46F93" w:rsidP="00F46F93">
                  <w:pPr>
                    <w:pStyle w:val="TableParagraph"/>
                    <w:spacing w:line="247" w:lineRule="auto"/>
                    <w:ind w:right="80"/>
                    <w:rPr>
                      <w:rFonts w:ascii="Times New Roman" w:hAnsi="Times New Roman"/>
                    </w:rPr>
                  </w:pPr>
                  <w:r w:rsidRPr="00F46F93">
                    <w:rPr>
                      <w:rFonts w:ascii="Times New Roman" w:hAnsi="Times New Roman"/>
                    </w:rPr>
                    <w:t>Rabdomioliza i povišena kreatin fosfokinaza u krvi*</w:t>
                  </w: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441"/>
                    <w:rPr>
                      <w:rFonts w:ascii="Times New Roman" w:hAnsi="Times New Roman"/>
                    </w:rPr>
                  </w:pPr>
                  <w:r w:rsidRPr="00F46F93">
                    <w:rPr>
                      <w:rFonts w:ascii="Times New Roman" w:hAnsi="Times New Roman"/>
                      <w:u w:val="single"/>
                    </w:rPr>
                    <w:t>Opšti</w:t>
                  </w:r>
                  <w:r w:rsidRPr="00F46F93">
                    <w:rPr>
                      <w:rFonts w:ascii="Times New Roman" w:hAnsi="Times New Roman"/>
                    </w:rPr>
                    <w:t xml:space="preserve"> </w:t>
                  </w:r>
                  <w:r w:rsidRPr="00F46F93">
                    <w:rPr>
                      <w:rFonts w:ascii="Times New Roman" w:hAnsi="Times New Roman"/>
                      <w:u w:val="single"/>
                    </w:rPr>
                    <w:t>poremećaji</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u w:val="single"/>
                    </w:rPr>
                    <w:t>reakcije na</w:t>
                  </w:r>
                </w:p>
                <w:p w:rsidR="00F46F93" w:rsidRDefault="00F46F93" w:rsidP="00F46F93">
                  <w:pPr>
                    <w:pStyle w:val="TableParagraph"/>
                    <w:spacing w:line="242" w:lineRule="exact"/>
                    <w:rPr>
                      <w:rFonts w:ascii="Times New Roman" w:hAnsi="Times New Roman"/>
                      <w:u w:val="single"/>
                    </w:rPr>
                  </w:pPr>
                  <w:r w:rsidRPr="00F46F93">
                    <w:rPr>
                      <w:rFonts w:ascii="Times New Roman" w:hAnsi="Times New Roman"/>
                      <w:u w:val="single"/>
                    </w:rPr>
                    <w:t>mjestu primjene</w:t>
                  </w:r>
                </w:p>
                <w:p w:rsidR="00F46F93" w:rsidRPr="00F46F93" w:rsidRDefault="00F46F93" w:rsidP="00F46F93">
                  <w:pPr>
                    <w:pStyle w:val="TableParagraph"/>
                    <w:spacing w:line="242" w:lineRule="exact"/>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Astenija/umor</w:t>
                  </w:r>
                </w:p>
              </w:tc>
              <w:tc>
                <w:tcPr>
                  <w:tcW w:w="2038" w:type="dxa"/>
                  <w:shd w:val="clear" w:color="auto" w:fill="auto"/>
                </w:tcPr>
                <w:p w:rsidR="00F46F93" w:rsidRPr="00F46F93" w:rsidRDefault="00F46F93" w:rsidP="00F46F93">
                  <w:pPr>
                    <w:pStyle w:val="TableParagraph"/>
                    <w:rPr>
                      <w:rFonts w:ascii="Times New Roman" w:hAnsi="Times New Roman"/>
                    </w:rPr>
                  </w:pPr>
                </w:p>
              </w:tc>
              <w:tc>
                <w:tcPr>
                  <w:tcW w:w="1852" w:type="dxa"/>
                  <w:shd w:val="clear" w:color="auto" w:fill="auto"/>
                </w:tcPr>
                <w:p w:rsidR="00F46F93" w:rsidRPr="00F46F93" w:rsidRDefault="00F46F93" w:rsidP="00F46F93">
                  <w:pPr>
                    <w:pStyle w:val="TableParagraph"/>
                    <w:rPr>
                      <w:rFonts w:ascii="Times New Roman" w:hAnsi="Times New Roman"/>
                    </w:rPr>
                  </w:pPr>
                </w:p>
              </w:tc>
            </w:tr>
            <w:tr w:rsidR="00F46F93" w:rsidRPr="00F46F93" w:rsidTr="00726920">
              <w:tc>
                <w:tcPr>
                  <w:tcW w:w="1944" w:type="dxa"/>
                  <w:shd w:val="clear" w:color="auto" w:fill="auto"/>
                </w:tcPr>
                <w:p w:rsidR="00F46F93" w:rsidRPr="00F46F93" w:rsidRDefault="00F46F93" w:rsidP="00F46F93">
                  <w:pPr>
                    <w:pStyle w:val="TableParagraph"/>
                    <w:spacing w:line="247" w:lineRule="auto"/>
                    <w:ind w:right="386"/>
                    <w:rPr>
                      <w:rFonts w:ascii="Times New Roman" w:hAnsi="Times New Roman"/>
                    </w:rPr>
                  </w:pPr>
                  <w:r w:rsidRPr="00F46F93">
                    <w:rPr>
                      <w:rFonts w:ascii="Times New Roman" w:hAnsi="Times New Roman"/>
                      <w:u w:val="single"/>
                    </w:rPr>
                    <w:lastRenderedPageBreak/>
                    <w:t>Povrede,</w:t>
                  </w:r>
                  <w:r w:rsidRPr="00F46F93">
                    <w:rPr>
                      <w:rFonts w:ascii="Times New Roman" w:hAnsi="Times New Roman"/>
                    </w:rPr>
                    <w:t xml:space="preserve"> </w:t>
                  </w:r>
                  <w:r w:rsidRPr="00F46F93">
                    <w:rPr>
                      <w:rFonts w:ascii="Times New Roman" w:hAnsi="Times New Roman"/>
                      <w:u w:val="single"/>
                    </w:rPr>
                    <w:t>trovanja</w:t>
                  </w:r>
                  <w:r w:rsidRPr="00F46F93">
                    <w:rPr>
                      <w:rFonts w:ascii="Times New Roman" w:hAnsi="Times New Roman"/>
                    </w:rPr>
                    <w:t xml:space="preserve"> </w:t>
                  </w:r>
                  <w:r w:rsidRPr="00F46F93">
                    <w:rPr>
                      <w:rFonts w:ascii="Times New Roman" w:hAnsi="Times New Roman"/>
                      <w:u w:val="single"/>
                    </w:rPr>
                    <w:t>i</w:t>
                  </w:r>
                  <w:r w:rsidRPr="00F46F93">
                    <w:rPr>
                      <w:rFonts w:ascii="Times New Roman" w:hAnsi="Times New Roman"/>
                    </w:rPr>
                    <w:t xml:space="preserve"> </w:t>
                  </w:r>
                  <w:r w:rsidRPr="00F46F93">
                    <w:rPr>
                      <w:rFonts w:ascii="Times New Roman" w:hAnsi="Times New Roman"/>
                      <w:u w:val="single"/>
                    </w:rPr>
                    <w:t>proceduralne</w:t>
                  </w:r>
                </w:p>
                <w:p w:rsidR="00F46F93" w:rsidRPr="00F46F93" w:rsidRDefault="00F46F93" w:rsidP="00F46F93">
                  <w:pPr>
                    <w:pStyle w:val="TableParagraph"/>
                    <w:spacing w:line="242" w:lineRule="exact"/>
                    <w:rPr>
                      <w:rFonts w:ascii="Times New Roman" w:hAnsi="Times New Roman"/>
                    </w:rPr>
                  </w:pPr>
                  <w:r w:rsidRPr="00F46F93">
                    <w:rPr>
                      <w:rFonts w:ascii="Times New Roman" w:hAnsi="Times New Roman"/>
                      <w:u w:val="single"/>
                    </w:rPr>
                    <w:t>komplikacije</w:t>
                  </w:r>
                </w:p>
              </w:tc>
              <w:tc>
                <w:tcPr>
                  <w:tcW w:w="1944" w:type="dxa"/>
                  <w:shd w:val="clear" w:color="auto" w:fill="auto"/>
                </w:tcPr>
                <w:p w:rsidR="00F46F93" w:rsidRPr="00F46F93" w:rsidRDefault="00F46F93" w:rsidP="00F46F93">
                  <w:pPr>
                    <w:pStyle w:val="TableParagraph"/>
                    <w:rPr>
                      <w:rFonts w:ascii="Times New Roman" w:hAnsi="Times New Roman"/>
                    </w:rPr>
                  </w:pPr>
                </w:p>
              </w:tc>
              <w:tc>
                <w:tcPr>
                  <w:tcW w:w="1944" w:type="dxa"/>
                  <w:shd w:val="clear" w:color="auto" w:fill="auto"/>
                </w:tcPr>
                <w:p w:rsidR="00F46F93" w:rsidRPr="00F46F93" w:rsidRDefault="00F46F93" w:rsidP="00F46F93">
                  <w:pPr>
                    <w:pStyle w:val="TableParagraph"/>
                    <w:rPr>
                      <w:rFonts w:ascii="Times New Roman" w:hAnsi="Times New Roman"/>
                    </w:rPr>
                  </w:pPr>
                </w:p>
              </w:tc>
              <w:tc>
                <w:tcPr>
                  <w:tcW w:w="2038" w:type="dxa"/>
                  <w:shd w:val="clear" w:color="auto" w:fill="auto"/>
                </w:tcPr>
                <w:p w:rsidR="00F46F93" w:rsidRPr="00F46F93" w:rsidRDefault="00F46F93" w:rsidP="00F46F93">
                  <w:pPr>
                    <w:pStyle w:val="TableParagraph"/>
                    <w:spacing w:line="251" w:lineRule="exact"/>
                    <w:rPr>
                      <w:rFonts w:ascii="Times New Roman" w:hAnsi="Times New Roman"/>
                    </w:rPr>
                  </w:pPr>
                  <w:r w:rsidRPr="00F46F93">
                    <w:rPr>
                      <w:rFonts w:ascii="Times New Roman" w:hAnsi="Times New Roman"/>
                    </w:rPr>
                    <w:t>Povrede</w:t>
                  </w:r>
                </w:p>
              </w:tc>
              <w:tc>
                <w:tcPr>
                  <w:tcW w:w="1852" w:type="dxa"/>
                  <w:shd w:val="clear" w:color="auto" w:fill="auto"/>
                </w:tcPr>
                <w:p w:rsidR="00F46F93" w:rsidRPr="00F46F93" w:rsidRDefault="00F46F93" w:rsidP="00F46F93">
                  <w:pPr>
                    <w:pStyle w:val="TableParagraph"/>
                    <w:rPr>
                      <w:rFonts w:ascii="Times New Roman" w:hAnsi="Times New Roman"/>
                    </w:rPr>
                  </w:pPr>
                </w:p>
              </w:tc>
            </w:tr>
          </w:tbl>
          <w:p w:rsidR="00F46F93" w:rsidRP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color w:val="000000"/>
              </w:rPr>
            </w:pPr>
            <w:r w:rsidRPr="00F46F93">
              <w:rPr>
                <w:rFonts w:ascii="Times New Roman" w:hAnsi="Times New Roman" w:cs="Times New Roman"/>
                <w:color w:val="000000"/>
              </w:rPr>
              <w:t xml:space="preserve">* Prevalencija je značajno veća kod japanskih pacijenata u poređenju sa pacijentima koji nisu japanskog porijekla. </w:t>
            </w:r>
          </w:p>
          <w:p w:rsidR="00F46F93" w:rsidRPr="00F46F93" w:rsidRDefault="00F46F93" w:rsidP="00F46F93">
            <w:pPr>
              <w:autoSpaceDE w:val="0"/>
              <w:autoSpaceDN w:val="0"/>
              <w:adjustRightInd w:val="0"/>
              <w:spacing w:after="0"/>
              <w:rPr>
                <w:rFonts w:ascii="Times New Roman" w:hAnsi="Times New Roman" w:cs="Times New Roman"/>
                <w:color w:val="00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color w:val="000000"/>
              </w:rPr>
              <w:t>Rijetko su primijećeni slučajevi encefalopatije nakon primjene levetiracetama. Ova neželjena dejstva su se uglavnom pojavljivala na početku liječenja (od nekoliko dana do nekoliko mjeseci) i bila su reverzibilna kada je liječenje prekinuto.</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Opis izdvojenih neželjenih dejstava</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Rizik od anoreksije veći je ako se topiramat primjenjuje istovremeno sa levetiracetamom.</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 nekoliko slučajeva alopecije utvrđen je oporavak nakon što je levetiracetam ukinut. Supresija koštane srži je identifikovana u nekim slučajevima pancitopenije.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Pedijatrijska populacija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Kod pacijenata uzrasta od 1 mjesec do manje od 4 godine, ukupno 190 pacijenata je liječeno levetiracetamom u placebo-kontrolisanim i produženim ispitivanjima otvorenog tipa. Šezdeset (60) od tih pacijenata je </w:t>
            </w:r>
            <w:proofErr w:type="gramStart"/>
            <w:r w:rsidRPr="00F46F93">
              <w:rPr>
                <w:rFonts w:ascii="Times New Roman" w:hAnsi="Times New Roman" w:cs="Times New Roman"/>
              </w:rPr>
              <w:t>liječeno  levetiracetamom</w:t>
            </w:r>
            <w:proofErr w:type="gramEnd"/>
            <w:r w:rsidRPr="00F46F93">
              <w:rPr>
                <w:rFonts w:ascii="Times New Roman" w:hAnsi="Times New Roman" w:cs="Times New Roman"/>
              </w:rPr>
              <w:t xml:space="preserve"> u placebo-kontrolisanim ispitivanjima. Kod pacijenata uzrasta 4 - 16 godina, ukupno 645 pacijenata je liječeno levetiracetamom u placebo-kontrolisanim i produženim ispitivanjima otvorenog tipa.</w:t>
            </w:r>
            <w:r w:rsidRPr="00F46F93">
              <w:rPr>
                <w:rFonts w:ascii="Times New Roman" w:hAnsi="Times New Roman" w:cs="Times New Roman"/>
                <w:color w:val="FF0000"/>
              </w:rPr>
              <w:t xml:space="preserve"> </w:t>
            </w:r>
            <w:r w:rsidRPr="00F46F93">
              <w:rPr>
                <w:rFonts w:ascii="Times New Roman" w:hAnsi="Times New Roman" w:cs="Times New Roman"/>
              </w:rPr>
              <w:t>233 od tih pacijenata liječeno je levetiracetamom u placebo kontrolisanim ispitivanjima. U obje od tih pedijatrijskih starosnih grupa, ovi podaci su dopunjeni iskustvom upotrebe levetiracetama nakon stavljanja u promet.</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Dodatno, </w:t>
            </w:r>
            <w:proofErr w:type="gramStart"/>
            <w:r w:rsidRPr="00F46F93">
              <w:rPr>
                <w:rFonts w:ascii="Times New Roman" w:hAnsi="Times New Roman" w:cs="Times New Roman"/>
              </w:rPr>
              <w:t>101 odojče</w:t>
            </w:r>
            <w:proofErr w:type="gramEnd"/>
            <w:r w:rsidRPr="00F46F93">
              <w:rPr>
                <w:rFonts w:ascii="Times New Roman" w:hAnsi="Times New Roman" w:cs="Times New Roman"/>
              </w:rPr>
              <w:t xml:space="preserve"> mlađe od 12 mjeseci bilo je izloženo lijeku u ispitivanju bezbjednosti primjene lijeka nakon stavljanja lijeka u promet. Nisu utvrđeni novi problemi u vezi sa bezbjednošću primjene levetiracetama kod odojčadi mlađe od 12 mjeseci sa epilepsijom.</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Profil neželjenih reakcija levetiracetama uglavnom je sličan u svim uzrastima i u svim odobrenim indikacijama epilepsije. Rezultati bezbjednosti primjene kod pedijatrijskih pacijenata u placebo kontrolisanim kliničkim ispitivanjima bili su u skladu sa bezbjednosnim profilom levetiracetama kod odraslih, osim za neželjena dejstva vezana za ponašanje i psihijatrijska neželjena dejstva, koja su bila češća kod djece nego kod odraslih. Kod djece i adolescenata uzrasta od 4 do 16 godina, povraćanje (veoma često, 11,2%), agitacija (često, 3,4%), promjene raspoloženja (često, 2,1%), emocionalna nestabilnost (često, 1,7%), agresija (često, 8,2%), abnormalno ponašanje (često, 5,6%) i letargija (često, 3,9%) bili su prijavljeni češće nego u drugim uzrastima ili u cjelokupnom bezbjednosnom profilu. Kod odojčadi i djece uzrasta od 1 mjesec do manje od 4 godine, razdražljivost (veoma često, 11</w:t>
            </w:r>
            <w:proofErr w:type="gramStart"/>
            <w:r w:rsidRPr="00F46F93">
              <w:rPr>
                <w:rFonts w:ascii="Times New Roman" w:hAnsi="Times New Roman" w:cs="Times New Roman"/>
              </w:rPr>
              <w:t>,7</w:t>
            </w:r>
            <w:proofErr w:type="gramEnd"/>
            <w:r w:rsidRPr="00F46F93">
              <w:rPr>
                <w:rFonts w:ascii="Times New Roman" w:hAnsi="Times New Roman" w:cs="Times New Roman"/>
              </w:rPr>
              <w:t>%) i poremećaji koordinacije (često, 3,3%) bili su prijavljeni češće nego u drugim starosnim grupama ili u cjelokupnom bezbjednosnom profilu.</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Dvostruko-slijepo, placebo-kontrolisano pedijatrijsko ispitivanje o bezbjednosti primjene, sa neinferiornim dizajnom, procijenjivalo je kognitivna i neuropsihološka </w:t>
            </w:r>
            <w:proofErr w:type="gramStart"/>
            <w:r w:rsidRPr="00F46F93">
              <w:rPr>
                <w:rFonts w:ascii="Times New Roman" w:hAnsi="Times New Roman" w:cs="Times New Roman"/>
              </w:rPr>
              <w:t>dejstva  levetiracetama</w:t>
            </w:r>
            <w:proofErr w:type="gramEnd"/>
            <w:r w:rsidRPr="00F46F93">
              <w:rPr>
                <w:rFonts w:ascii="Times New Roman" w:hAnsi="Times New Roman" w:cs="Times New Roman"/>
              </w:rPr>
              <w:t xml:space="preserve"> kod djece uzrasta 4 do 16 </w:t>
            </w:r>
            <w:r w:rsidRPr="00F46F93">
              <w:rPr>
                <w:rFonts w:ascii="Times New Roman" w:hAnsi="Times New Roman" w:cs="Times New Roman"/>
              </w:rPr>
              <w:lastRenderedPageBreak/>
              <w:t xml:space="preserve">godina sa parcijalnim napadima. Zaključeno je da se levetiracetam, u populaciji po planu ispitivanja, nije razlikovao od placeba (nije bio inferioran) obzirom na promjene od početnih vrijednosti rezultata testiranja dobijenih ljestvicom Leiter-R Attention and Memory, Memory Screen Composite. Rezultati povezani sa ponašanjem i emocionalnim </w:t>
            </w:r>
            <w:proofErr w:type="gramStart"/>
            <w:r w:rsidRPr="00F46F93">
              <w:rPr>
                <w:rFonts w:ascii="Times New Roman" w:hAnsi="Times New Roman" w:cs="Times New Roman"/>
              </w:rPr>
              <w:t>funkcionisanjem  ukazali</w:t>
            </w:r>
            <w:proofErr w:type="gramEnd"/>
            <w:r w:rsidRPr="00F46F93">
              <w:rPr>
                <w:rFonts w:ascii="Times New Roman" w:hAnsi="Times New Roman" w:cs="Times New Roman"/>
              </w:rPr>
              <w:t xml:space="preserve"> su na pogoršanje u smislu agresivnijeg ponašanja u grupi koja je uzimala levetiracetam, primjenom validiranog instrumenta (CBCL – Achenbach Child Behavior Checklist) na standardizovan i sistematičan način. Međutim, kod ispitanika koji su uzimali levetiracetam tokom dugoročnog ispitivanja praćenja, otvorenog tipa, u prosjeku nije bilo pogoršanja bihevioralnog i emocionalnog funkcionisanja; posebno nije bilo pogoršanja pokazatelja agresivnog ponašanja u odnosu na početno stanje.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spacing w:after="0" w:line="276" w:lineRule="auto"/>
              <w:jc w:val="both"/>
              <w:rPr>
                <w:rFonts w:ascii="Times New Roman" w:eastAsia="Calibri" w:hAnsi="Times New Roman" w:cs="Times New Roman"/>
                <w:u w:val="single"/>
                <w:lang w:val="sr-Latn-RS"/>
              </w:rPr>
            </w:pPr>
            <w:r w:rsidRPr="00F46F93">
              <w:rPr>
                <w:rFonts w:ascii="Times New Roman" w:eastAsia="Calibri" w:hAnsi="Times New Roman" w:cs="Times New Roman"/>
                <w:u w:val="single"/>
                <w:lang w:val="sr-Latn-RS"/>
              </w:rPr>
              <w:t>Prijavljivanje sumnji na neželjena dejstva</w:t>
            </w:r>
          </w:p>
          <w:p w:rsidR="00F46F93" w:rsidRPr="00F46F93" w:rsidRDefault="00F46F93" w:rsidP="00F46F93">
            <w:pPr>
              <w:spacing w:after="0"/>
              <w:jc w:val="both"/>
              <w:rPr>
                <w:rFonts w:ascii="Times New Roman" w:eastAsia="Calibri" w:hAnsi="Times New Roman" w:cs="Times New Roman"/>
                <w:lang w:val="sr-Latn-RS"/>
              </w:rPr>
            </w:pPr>
            <w:r w:rsidRPr="00F46F93">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w:t>
            </w:r>
            <w:r w:rsidRPr="00F46F93">
              <w:rPr>
                <w:rFonts w:ascii="Times New Roman" w:eastAsia="Calibri" w:hAnsi="Times New Roman" w:cs="Times New Roman"/>
                <w:color w:val="FF0000"/>
                <w:lang w:val="sr-Latn-RS"/>
              </w:rPr>
              <w:t xml:space="preserve"> </w:t>
            </w:r>
            <w:r w:rsidRPr="00F46F93">
              <w:rPr>
                <w:rFonts w:ascii="Times New Roman" w:eastAsia="Calibri" w:hAnsi="Times New Roman" w:cs="Times New Roman"/>
                <w:lang w:val="sr-Latn-RS"/>
              </w:rPr>
              <w:t>dejstvo ovog lijeka Agenciji za ljekove i medicinska sredstva Crne Gore (CALIMS):</w:t>
            </w:r>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Agencija za ljekove i medicinska sredstva Crne Gore</w:t>
            </w:r>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Odjeljenje za farmakovigilancu</w:t>
            </w:r>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Bulevar Ivana Crnojevića 64a, 81000 Podgorica</w:t>
            </w:r>
          </w:p>
          <w:p w:rsidR="00F46F93" w:rsidRPr="00F46F93" w:rsidRDefault="00F46F93" w:rsidP="00F46F93">
            <w:pPr>
              <w:pStyle w:val="NoSpacing"/>
              <w:jc w:val="both"/>
              <w:rPr>
                <w:rFonts w:ascii="Times New Roman" w:eastAsia="Calibri" w:hAnsi="Times New Roman"/>
                <w:lang w:val="sr-Latn-RS"/>
              </w:rPr>
            </w:pPr>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tel: +382 (0) 20 310 280</w:t>
            </w:r>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fax: +382 (0) 20 310 581</w:t>
            </w:r>
          </w:p>
          <w:p w:rsidR="00F46F93" w:rsidRPr="00F46F93" w:rsidRDefault="00BB166C" w:rsidP="00F46F93">
            <w:pPr>
              <w:pStyle w:val="NoSpacing"/>
              <w:jc w:val="both"/>
              <w:rPr>
                <w:rFonts w:ascii="Times New Roman" w:eastAsia="Calibri" w:hAnsi="Times New Roman"/>
                <w:lang w:val="sr-Latn-RS"/>
              </w:rPr>
            </w:pPr>
            <w:hyperlink r:id="rId8" w:history="1">
              <w:r w:rsidR="00F46F93" w:rsidRPr="00F46F93">
                <w:rPr>
                  <w:rFonts w:ascii="Times New Roman" w:eastAsia="Calibri" w:hAnsi="Times New Roman"/>
                  <w:u w:val="single"/>
                  <w:lang w:val="sr-Latn-RS"/>
                </w:rPr>
                <w:t>www.calims.me</w:t>
              </w:r>
            </w:hyperlink>
          </w:p>
          <w:p w:rsidR="00F46F93" w:rsidRPr="00F46F93" w:rsidRDefault="00BB166C" w:rsidP="00F46F93">
            <w:pPr>
              <w:pStyle w:val="NoSpacing"/>
              <w:jc w:val="both"/>
              <w:rPr>
                <w:rFonts w:ascii="Times New Roman" w:eastAsia="Calibri" w:hAnsi="Times New Roman"/>
                <w:u w:val="single"/>
                <w:lang w:val="sr-Latn-RS"/>
              </w:rPr>
            </w:pPr>
            <w:hyperlink r:id="rId9" w:history="1">
              <w:r w:rsidR="00F46F93" w:rsidRPr="00F46F93">
                <w:rPr>
                  <w:rFonts w:ascii="Times New Roman" w:eastAsia="Calibri" w:hAnsi="Times New Roman"/>
                  <w:u w:val="single"/>
                  <w:lang w:val="sr-Latn-RS"/>
                </w:rPr>
                <w:t>nezeljenadejstva@calims.me</w:t>
              </w:r>
            </w:hyperlink>
          </w:p>
          <w:p w:rsidR="00F46F93" w:rsidRPr="00F46F93" w:rsidRDefault="00F46F93" w:rsidP="00F46F93">
            <w:pPr>
              <w:pStyle w:val="NoSpacing"/>
              <w:jc w:val="both"/>
              <w:rPr>
                <w:rFonts w:ascii="Times New Roman" w:eastAsia="Calibri" w:hAnsi="Times New Roman"/>
                <w:lang w:val="sr-Latn-RS"/>
              </w:rPr>
            </w:pPr>
            <w:r w:rsidRPr="00F46F93">
              <w:rPr>
                <w:rFonts w:ascii="Times New Roman" w:eastAsia="Calibri" w:hAnsi="Times New Roman"/>
                <w:lang w:val="sr-Latn-RS"/>
              </w:rPr>
              <w:t>putem IS zdravstvene zaštite</w:t>
            </w:r>
          </w:p>
          <w:p w:rsidR="00F46F93" w:rsidRPr="00F46F93" w:rsidRDefault="00F46F93" w:rsidP="00F46F93">
            <w:pPr>
              <w:autoSpaceDE w:val="0"/>
              <w:autoSpaceDN w:val="0"/>
              <w:adjustRightInd w:val="0"/>
              <w:spacing w:after="0"/>
              <w:jc w:val="both"/>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t>4.9 Predoziranje i mjere koje je potrebno preduzeti</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Simptomi</w:t>
            </w:r>
          </w:p>
          <w:p w:rsidR="00F46F93" w:rsidRP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predoziranja levetiracetamom primijećeni su: somnolencija, agitacija, agresija, smanjenje nivoa svijesti, depresija disanja i koma.</w:t>
            </w:r>
          </w:p>
          <w:p w:rsidR="00F46F93" w:rsidRPr="00F46F93" w:rsidRDefault="00F46F93" w:rsidP="00F46F93">
            <w:pPr>
              <w:autoSpaceDE w:val="0"/>
              <w:autoSpaceDN w:val="0"/>
              <w:adjustRightInd w:val="0"/>
              <w:spacing w:after="0"/>
              <w:jc w:val="both"/>
              <w:rPr>
                <w:rFonts w:ascii="Times New Roman" w:hAnsi="Times New Roman" w:cs="Times New Roman"/>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Postupak kod predoziranja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Nakon akutnog predoziranja, želudac se može isprazniti gastričnom lavažom ili izazivanjem povraćanja. Ne postoji specifični antidot za levetiracetam. Liječenje predoziranja je simptomatsko i može uključiti hemodijalizu. Ekstrakcijska efikasnost dijalizatora je 60% za levetiracetam i 74% za njegov primarni metabolit.</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Cs/>
                <w:i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5. FARMAKOLOŠKI PODACI</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Default="00F46F93" w:rsidP="00F46F93">
            <w:pPr>
              <w:pStyle w:val="Header"/>
              <w:snapToGrid w:val="0"/>
              <w:jc w:val="both"/>
              <w:rPr>
                <w:rFonts w:ascii="Times New Roman" w:hAnsi="Times New Roman" w:cs="Times New Roman"/>
                <w:b/>
                <w:bCs/>
                <w:lang w:val="sr-Latn-CS"/>
              </w:rPr>
            </w:pPr>
          </w:p>
          <w:p w:rsidR="00F46F93" w:rsidRPr="00F46F93" w:rsidRDefault="00F46F93" w:rsidP="00F46F93">
            <w:pPr>
              <w:pStyle w:val="Header"/>
              <w:snapToGrid w:val="0"/>
              <w:jc w:val="both"/>
              <w:rPr>
                <w:rFonts w:ascii="Times New Roman" w:hAnsi="Times New Roman" w:cs="Times New Roman"/>
                <w:b/>
                <w:bCs/>
                <w:lang w:val="sr-Latn-CS"/>
              </w:rPr>
            </w:pPr>
            <w:r w:rsidRPr="00F46F93">
              <w:rPr>
                <w:rFonts w:ascii="Times New Roman" w:hAnsi="Times New Roman" w:cs="Times New Roman"/>
                <w:b/>
                <w:bCs/>
                <w:lang w:val="sr-Latn-CS"/>
              </w:rPr>
              <w:t>5.1. Farmakodinamski podaci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Farmakoterapijska grupa: antiepileptici, ostali antiepileptici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ATC kod: N03AX14.</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Aktivna supstanca, levetiracetam, je derivat pirolidona (S-enantiomer α-etil-2-okso-l-pirolidin-acetamida),</w:t>
            </w: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hemijski</w:t>
            </w:r>
            <w:proofErr w:type="gramEnd"/>
            <w:r w:rsidRPr="00F46F93">
              <w:rPr>
                <w:rFonts w:ascii="Times New Roman" w:hAnsi="Times New Roman" w:cs="Times New Roman"/>
              </w:rPr>
              <w:t xml:space="preserve"> različit od postojećih antiepileptičkih aktivnih supstanci.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Mehanizam djelovanja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Mehanizam djelovanja levetiracetama nije u potpunosti razjašnjen. Ispitivanja </w:t>
            </w:r>
            <w:r w:rsidRPr="00F46F93">
              <w:rPr>
                <w:rFonts w:ascii="Times New Roman" w:hAnsi="Times New Roman" w:cs="Times New Roman"/>
                <w:i/>
                <w:iCs/>
              </w:rPr>
              <w:t xml:space="preserve">in vitro </w:t>
            </w:r>
            <w:r w:rsidRPr="00F46F93">
              <w:rPr>
                <w:rFonts w:ascii="Times New Roman" w:hAnsi="Times New Roman" w:cs="Times New Roman"/>
              </w:rPr>
              <w:t xml:space="preserve">i </w:t>
            </w:r>
            <w:r w:rsidRPr="00F46F93">
              <w:rPr>
                <w:rFonts w:ascii="Times New Roman" w:hAnsi="Times New Roman" w:cs="Times New Roman"/>
                <w:i/>
                <w:iCs/>
              </w:rPr>
              <w:t xml:space="preserve">in vivo </w:t>
            </w:r>
            <w:r w:rsidRPr="00F46F93">
              <w:rPr>
                <w:rFonts w:ascii="Times New Roman" w:hAnsi="Times New Roman" w:cs="Times New Roman"/>
              </w:rPr>
              <w:t>pokazuju da levetiracetam ne utiče na osnovna svojstva ćelija i normalnu neurotransmisiju.</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Ispitivanja </w:t>
            </w:r>
            <w:r w:rsidRPr="00F46F93">
              <w:rPr>
                <w:rFonts w:ascii="Times New Roman" w:hAnsi="Times New Roman" w:cs="Times New Roman"/>
                <w:i/>
                <w:iCs/>
              </w:rPr>
              <w:t xml:space="preserve">in vitro </w:t>
            </w:r>
            <w:r w:rsidRPr="00F46F93">
              <w:rPr>
                <w:rFonts w:ascii="Times New Roman" w:hAnsi="Times New Roman" w:cs="Times New Roman"/>
              </w:rPr>
              <w:t>pokazuju da levetiracetam utiče na nivo Ca</w:t>
            </w:r>
            <w:r w:rsidRPr="00F46F93">
              <w:rPr>
                <w:rFonts w:ascii="Times New Roman" w:hAnsi="Times New Roman" w:cs="Times New Roman"/>
                <w:vertAlign w:val="superscript"/>
              </w:rPr>
              <w:t>2+</w:t>
            </w:r>
            <w:r w:rsidRPr="00F46F93">
              <w:rPr>
                <w:rFonts w:ascii="Times New Roman" w:hAnsi="Times New Roman" w:cs="Times New Roman"/>
              </w:rPr>
              <w:t xml:space="preserve"> u neuronima na način da djelimično inhibira N tip protoka Ca</w:t>
            </w:r>
            <w:r w:rsidRPr="00F46F93">
              <w:rPr>
                <w:rFonts w:ascii="Times New Roman" w:hAnsi="Times New Roman" w:cs="Times New Roman"/>
                <w:vertAlign w:val="superscript"/>
              </w:rPr>
              <w:t>2+</w:t>
            </w:r>
            <w:r w:rsidRPr="00F46F93">
              <w:rPr>
                <w:rFonts w:ascii="Times New Roman" w:hAnsi="Times New Roman" w:cs="Times New Roman"/>
              </w:rPr>
              <w:t xml:space="preserve"> i smanjuje otpuštanje Ca</w:t>
            </w:r>
            <w:r w:rsidRPr="00F46F93">
              <w:rPr>
                <w:rFonts w:ascii="Times New Roman" w:hAnsi="Times New Roman" w:cs="Times New Roman"/>
                <w:vertAlign w:val="superscript"/>
              </w:rPr>
              <w:t xml:space="preserve">2+ </w:t>
            </w:r>
            <w:r w:rsidRPr="00F46F93">
              <w:rPr>
                <w:rFonts w:ascii="Times New Roman" w:hAnsi="Times New Roman" w:cs="Times New Roman"/>
              </w:rPr>
              <w:t xml:space="preserve">iz skladišta u neuronima. Takođe, djelimično poništava smanjenje GABA- i glicinom posredovanih protoka, indikovano cinkom i ß-karbolinima. Nadalje, ispitivanja </w:t>
            </w:r>
            <w:r w:rsidRPr="00F46F93">
              <w:rPr>
                <w:rFonts w:ascii="Times New Roman" w:hAnsi="Times New Roman" w:cs="Times New Roman"/>
                <w:i/>
                <w:iCs/>
              </w:rPr>
              <w:t xml:space="preserve">in vitro </w:t>
            </w:r>
            <w:r w:rsidRPr="00F46F93">
              <w:rPr>
                <w:rFonts w:ascii="Times New Roman" w:hAnsi="Times New Roman" w:cs="Times New Roman"/>
              </w:rPr>
              <w:t xml:space="preserve">su pokazala da se levetiracetam veže za specifično mjesto u moždanom tkivu glodara. Vezno mjesto je sinaptički vezikularni protein 2A, za koji se smatra da je uključen u fuziju vezikula i egzocitozu neurotransmitera. Levetiracetam i srodni analozi pokazuju različit afinitet vezivanja za sinaptički vezikularni protein 2A, </w:t>
            </w:r>
            <w:proofErr w:type="gramStart"/>
            <w:r w:rsidRPr="00F46F93">
              <w:rPr>
                <w:rFonts w:ascii="Times New Roman" w:hAnsi="Times New Roman" w:cs="Times New Roman"/>
              </w:rPr>
              <w:t>a to</w:t>
            </w:r>
            <w:proofErr w:type="gramEnd"/>
            <w:r w:rsidRPr="00F46F93">
              <w:rPr>
                <w:rFonts w:ascii="Times New Roman" w:hAnsi="Times New Roman" w:cs="Times New Roman"/>
              </w:rPr>
              <w:t xml:space="preserve"> je, u mišjem modelu audiogene epilepsije, povezano sa potencijalom zaštite od napada. Iz ovog proizilazi da interakcija levetiracetama i sinaptičkog vezikularnog proteina 2A vjerovatno doprinosi antiepileptičkom mehanizmu djelovanja lijeka.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Farmakodinamički efekti</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rPr>
              <w:t>Levetiracetam štiti od napada kod velikog broja životinjskih modela parcijalnih i primarno generalizovanih napada i nema prokonvulzijske efekte. Primarni metabolit je inaktivan. Kod ljudi, njegova aktivnost u stanjima i parcijalne i generalizovane epilepsije (epileptiformno izbijanje/fotoparoksizmalni odgovor) potvrdila je široki spektar farmakološkog profila levetiracetama.</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Klinička efikasnost i bezbjednost</w:t>
            </w:r>
          </w:p>
          <w:p w:rsidR="00F46F93" w:rsidRPr="00F46F93" w:rsidRDefault="00F46F93" w:rsidP="00F46F93">
            <w:pPr>
              <w:autoSpaceDE w:val="0"/>
              <w:autoSpaceDN w:val="0"/>
              <w:adjustRightInd w:val="0"/>
              <w:spacing w:after="0"/>
              <w:jc w:val="both"/>
              <w:rPr>
                <w:rFonts w:ascii="Times New Roman" w:hAnsi="Times New Roman" w:cs="Times New Roman"/>
                <w:i/>
                <w:iCs/>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Dodatno liječenje parcijalnih napada sa ili bez sekundarne generalizacije kod odraslih, adolescenata, djece i odojčadi od navršenog 1. mjeseca života sa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Efikasnost levetiracetama kod odraslih dokazana je u 3 dvostruko slijepa, placebo kontrolisana ispitivanja u kojima su pacijenti tokom liječenja u trajanju od 18 nedjelja primali 1000 mg, 2000 mg ili 3000 mg/dan, podijeljeno u 2 doze. Analizom zbirnih podataka utvrđeno je da je procenat pacijenata kod kojih je postignuto 50%-tno ili veće smanjenje učestalosti parcijalnih napada nedjeljno uz konstantnu dozu (12/14 nedjelja) bio 27,7% kod uzetih 1000 mg, 31,6 % kod uzetih 2000 mg, i 41,3 % kod uzetih 3000 mg levetiracetama, te 12,6 % kod uzimanja placeba.</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Cs/>
                <w:u w:val="single"/>
              </w:rPr>
            </w:pPr>
            <w:r w:rsidRPr="00F46F93">
              <w:rPr>
                <w:rFonts w:ascii="Times New Roman" w:hAnsi="Times New Roman" w:cs="Times New Roman"/>
                <w:iCs/>
                <w:u w:val="single"/>
              </w:rPr>
              <w:t>Pedijatrijska populacija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Kod  pedijatrijskih</w:t>
            </w:r>
            <w:proofErr w:type="gramEnd"/>
            <w:r w:rsidRPr="00F46F93">
              <w:rPr>
                <w:rFonts w:ascii="Times New Roman" w:hAnsi="Times New Roman" w:cs="Times New Roman"/>
              </w:rPr>
              <w:t xml:space="preserve"> pacijenata (uzrasta od 4 do 16 godina) efikasnost levetiracetama utvrđena je u dvostruko slijepom, placebo kontrolisanom ispitivanju koje je uključivalo 198 pacijenata i trajalo 14 nedjelja. U tom ispitivanju, pacijenti su primali konstantnu dozu levetiracetama od 60 mg/kg/dan (doziranje 2 puta dnevno).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44</w:t>
            </w:r>
            <w:proofErr w:type="gramStart"/>
            <w:r w:rsidRPr="00F46F93">
              <w:rPr>
                <w:rFonts w:ascii="Times New Roman" w:hAnsi="Times New Roman" w:cs="Times New Roman"/>
              </w:rPr>
              <w:t>,6</w:t>
            </w:r>
            <w:proofErr w:type="gramEnd"/>
            <w:r w:rsidRPr="00F46F93">
              <w:rPr>
                <w:rFonts w:ascii="Times New Roman" w:hAnsi="Times New Roman" w:cs="Times New Roman"/>
              </w:rPr>
              <w:t>% pacijenata liječenih levetiracetamom i 19,6% pacijenata koji su primali placebo, zapaženo je 50%-tno ili veće smanjenje učestalosti djelimičnih napada nedjeljno u odnosu na početno stanje.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Nastavljeno dugotrajno liječenje pokazalo je da 11,4 % pacijenata nije imalo napade tokom najmanje 6 mjeseci, a njih 7,2 % nije imalo napade tokom najmanje 1 godine.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pedijatrijskih pacijenata (uzrasta od 1 mjesec do 4 godine), efikasnost levetiracetama utvrđena je u dvostruko slijepom, placebo kontrolisanom ispitivanju u koje je uključeno 116 pacijenata, koji su lijek dobijali 5 dana. U tom ispitivanju je pacijentima propisan oralni rastvor u dnevnoj dozi od 20 mg/kg, 25 mg/kg, 40 mg/kg ili 50 mg/kg, prema shemi titriranja u zavisnosti od uzrasta. Doza od 20 mg/kg/dan titrirana je do doze od 40 mg/kg/dan kod odojčadi uzrasta od 1 do 6 mjeseci, a doza od 25 mg/kg/dan titrirana je do doze od 50 mg/kg/dan kod odojčadi i djece uzrasta od 6 mjeseci do 4 godine. Ukupna dnevna doza primjenjivala se dva puta dnevno.</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Primarni pokazatelj efikasnosti bila je stopa odgovora (procenat pacijenata kod kojih je dnevna prosječna učestalost napada smanjena za ≥ 50% u odnosu na početno stanje) procijenjena centralnim pregledanjem 48-satnog video EEG-</w:t>
            </w:r>
            <w:proofErr w:type="gramStart"/>
            <w:r w:rsidRPr="00F46F93">
              <w:rPr>
                <w:rFonts w:ascii="Times New Roman" w:hAnsi="Times New Roman" w:cs="Times New Roman"/>
              </w:rPr>
              <w:t>a</w:t>
            </w:r>
            <w:proofErr w:type="gramEnd"/>
            <w:r w:rsidRPr="00F46F93">
              <w:rPr>
                <w:rFonts w:ascii="Times New Roman" w:hAnsi="Times New Roman" w:cs="Times New Roman"/>
              </w:rPr>
              <w:t xml:space="preserve"> od strane ocjenjivača koji nije znao ko je primao placebo, a ko lijek. Analiza efikasnosti obuhvatila je 109 pacijenata kod kojih je snimljen barem 24-satni video EEG na početku i na kraju perioda procjene. Na liječenje je odgovorilo 43</w:t>
            </w:r>
            <w:proofErr w:type="gramStart"/>
            <w:r w:rsidRPr="00F46F93">
              <w:rPr>
                <w:rFonts w:ascii="Times New Roman" w:hAnsi="Times New Roman" w:cs="Times New Roman"/>
              </w:rPr>
              <w:t>,6</w:t>
            </w:r>
            <w:proofErr w:type="gramEnd"/>
            <w:r w:rsidRPr="00F46F93">
              <w:rPr>
                <w:rFonts w:ascii="Times New Roman" w:hAnsi="Times New Roman" w:cs="Times New Roman"/>
              </w:rPr>
              <w:t>% pacijenata koji su uzimali levetiracetam i 19,6 % onih koji su uzimali placebo. Rezultati su bili konzistentni u svim uzrastnim grupama. Nastavljeno dugotrajno liječenje pokazalo je da 8,6 % pacijenata nije imalo napade tokom najmanje 6 mjeseci, a njih 7,8 % nije imalo napade tokom najmanje 1 godine.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lang w:val="sr-Latn-ME"/>
              </w:rPr>
              <w:t>U placebo-kontrolisanim kliničkim ispitivanjima je bilo uključeno 35 odojčadi mlađe od 1 godine sa parcijalnim napadima. Među njima je samo 13 bilo mlađe od 6 mjeseci.</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Monoterapija u liječenju parcijalnih napada sa ili bez sekundarne generalizacije kod pacijenata od navršene 16. godine s novodijagnostikovanom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Efikasnost levetiracetama kao monoterapije utvrđena je kod paralelnih grupa u dvostruko slijepom poređenju neinferiornosti sa karbamazepinom sa kontrolisanim otpuštanjem (CR) kod 576 pacijenata uzrasta od 16 godina ili starijih sa novo ili nedavno dijagnostikovanom epilepsijom. Pacijenti su morali imati spontane parcijalne napade, ili samo generalizovane tonično-klonične napade. Pacijenti su randomizovani u grupu na karbamazepinu sa kontrolisanim otpuštanjem (CR) 400-1200 mg/dan, ili u grupu na levetiracetamu 1000-3000</w:t>
            </w:r>
            <w:r w:rsidRPr="00F46F93">
              <w:rPr>
                <w:rFonts w:ascii="Times New Roman" w:hAnsi="Times New Roman" w:cs="Times New Roman"/>
                <w:color w:val="FF0000"/>
              </w:rPr>
              <w:t xml:space="preserve"> </w:t>
            </w:r>
            <w:r w:rsidRPr="00F46F93">
              <w:rPr>
                <w:rFonts w:ascii="Times New Roman" w:hAnsi="Times New Roman" w:cs="Times New Roman"/>
              </w:rPr>
              <w:t xml:space="preserve">mg/dan; liječenje je trajalo do 121 nedjelju, zavisno od odgovora.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73</w:t>
            </w:r>
            <w:proofErr w:type="gramStart"/>
            <w:r w:rsidRPr="00F46F93">
              <w:rPr>
                <w:rFonts w:ascii="Times New Roman" w:hAnsi="Times New Roman" w:cs="Times New Roman"/>
              </w:rPr>
              <w:t>,0</w:t>
            </w:r>
            <w:proofErr w:type="gramEnd"/>
            <w:r w:rsidRPr="00F46F93">
              <w:rPr>
                <w:rFonts w:ascii="Times New Roman" w:hAnsi="Times New Roman" w:cs="Times New Roman"/>
              </w:rPr>
              <w:t>% pacijenata liječenih levetiracetamom i 72,8% pacijenata liječenih karbamazepinom sa kontrolisanim otpuštanjem (CR) bilo je 6 mjeseci bez napada; prilagođena apsolutna razlika između liječenja bila je 0,2% (95% CI: -7,8 8,2). Više od polovine ispitanika 12 mjeseci nije imalo napade (56</w:t>
            </w:r>
            <w:proofErr w:type="gramStart"/>
            <w:r w:rsidRPr="00F46F93">
              <w:rPr>
                <w:rFonts w:ascii="Times New Roman" w:hAnsi="Times New Roman" w:cs="Times New Roman"/>
              </w:rPr>
              <w:t>,6</w:t>
            </w:r>
            <w:proofErr w:type="gramEnd"/>
            <w:r w:rsidRPr="00F46F93">
              <w:rPr>
                <w:rFonts w:ascii="Times New Roman" w:hAnsi="Times New Roman" w:cs="Times New Roman"/>
              </w:rPr>
              <w:t>% pacijenata koji su primali levetiracetam i 58,5% pacijenata koji su primali karbamazepin sa kontrolisanim otpuštanjem-CR).</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 ispitivanju koje je bilo odraz kliničke prakse, bilo je moguće izostaviti iz terapije istovremeno primijenjen antiepileptik kod ograničenog broja pacijenata koji su odgovorili na dodatno liječenje levetiracetamom (36 od 69 odraslih pacijenata).</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Dodatno liječenje miokloničnih napada kod odraslih i adolescenata starijih od 12 godina sa juvenilnom miokloničnom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 xml:space="preserve">Efikasnost levetiracetama utvrđena je u dvostruko-slijepom, placebo-kontrolisanom ispitivanju koje je trajalo 16 nedjelja, u koje su bili uključeni pacijenti uzrasta od 12 godina i stariji, sa idiopatskom generalizovanom epilepsijom sa miokloničnim napadima kod različitih sindroma. Većina pacijenata imala je juvenilnu miokloničnu epilepsiju.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Primijenjena je doza levetiracetama od 3000 mg/dan, podijeljena u 2 doze. 58</w:t>
            </w:r>
            <w:proofErr w:type="gramStart"/>
            <w:r w:rsidRPr="00F46F93">
              <w:rPr>
                <w:rFonts w:ascii="Times New Roman" w:hAnsi="Times New Roman" w:cs="Times New Roman"/>
              </w:rPr>
              <w:t>,3</w:t>
            </w:r>
            <w:proofErr w:type="gramEnd"/>
            <w:r w:rsidRPr="00F46F93">
              <w:rPr>
                <w:rFonts w:ascii="Times New Roman" w:hAnsi="Times New Roman" w:cs="Times New Roman"/>
              </w:rPr>
              <w:t xml:space="preserve"> % pacijenata liječenih levetiracetamom i 23,3% pacijenata koji su primali placebo, imalo je barem 50%-tno smanjenje broja dana sa miokloničnim napadima nedjeljno. Sa nastavljenim dugotrajnim liječenjem, 28,6% pacijenata bilo je barem 6 mjeseci bez miokloničnih napada, a 21,0% pacijenata barem 1 godinu bez miokloničnih napada.</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i/>
                <w:iCs/>
              </w:rPr>
              <w:t>Dodatno liječenje primarno generalizovanih tonično-kloničnih napada kod odraslih i adolescenata starijih od 12 godina sa idiopatskom generalizovanom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Efikasnost levetiracetama utvrđena je u 24-nedjeljnom, dvostruko slijepom, placebo-kontrolisanom ispitivanju, koje je uključivalo odrasle, adolescente i ograničeni broj djece koja boluju od idiopatske generalizovane epilepsije sa primarno generalizovanim tonično-kloničnim (PGTC) napadima kod različitih sindroma (juvenilna mioklonična epilepsija, epilepsija sa apsansima dječjeg i juvenilnog uzrasta, ili epilepsija sa grand mal napadima kod buđenja). U ovom ispitivanju, doza levetiracetama bila je 3000 mg/dan kod odraslih i adolescenata, odnosno 60 mg/kg/dan kod djece, podijeljena u 2 doze. Kod 72</w:t>
            </w:r>
            <w:proofErr w:type="gramStart"/>
            <w:r w:rsidRPr="00F46F93">
              <w:rPr>
                <w:rFonts w:ascii="Times New Roman" w:hAnsi="Times New Roman" w:cs="Times New Roman"/>
              </w:rPr>
              <w:t>,2</w:t>
            </w:r>
            <w:proofErr w:type="gramEnd"/>
            <w:r w:rsidRPr="00F46F93">
              <w:rPr>
                <w:rFonts w:ascii="Times New Roman" w:hAnsi="Times New Roman" w:cs="Times New Roman"/>
              </w:rPr>
              <w:t>% pacijenata liječenih levetiracetamom i 45,2% pacijenata koji su primali placebo primijećeno je 50%-tno ili veće smanjenje učestalosti PGTC napada nedjeljno. Sa nastavkom dugotrajnog liječenja, 47,4% pacijenata bilo je bar 6 mjeseci bez tonično-kloničnih napada, a 31,5% bar 1 godinu bez tonično-kloničnih napada.</w:t>
            </w:r>
          </w:p>
          <w:p w:rsidR="00F46F93" w:rsidRPr="00F46F93" w:rsidRDefault="00F46F93" w:rsidP="00F46F93">
            <w:pPr>
              <w:autoSpaceDE w:val="0"/>
              <w:autoSpaceDN w:val="0"/>
              <w:adjustRightInd w:val="0"/>
              <w:spacing w:after="0"/>
              <w:jc w:val="both"/>
              <w:rPr>
                <w:rFonts w:ascii="Times New Roman" w:hAnsi="Times New Roman" w:cs="Times New Roman"/>
                <w:b/>
                <w:bCs/>
                <w:color w:val="FF0000"/>
              </w:rPr>
            </w:pPr>
          </w:p>
          <w:p w:rsidR="00F46F93" w:rsidRPr="00F46F93" w:rsidRDefault="00F46F93" w:rsidP="00F46F93">
            <w:pPr>
              <w:autoSpaceDE w:val="0"/>
              <w:autoSpaceDN w:val="0"/>
              <w:adjustRightInd w:val="0"/>
              <w:spacing w:after="0"/>
              <w:jc w:val="both"/>
              <w:rPr>
                <w:rFonts w:ascii="Times New Roman" w:hAnsi="Times New Roman" w:cs="Times New Roman"/>
                <w:b/>
                <w:bCs/>
              </w:rPr>
            </w:pPr>
            <w:r w:rsidRPr="00F46F93">
              <w:rPr>
                <w:rFonts w:ascii="Times New Roman" w:hAnsi="Times New Roman" w:cs="Times New Roman"/>
                <w:b/>
                <w:bCs/>
              </w:rPr>
              <w:t>5.2 Farmakokinetički podaci</w:t>
            </w:r>
          </w:p>
          <w:p w:rsidR="00F46F93" w:rsidRPr="00F46F93" w:rsidRDefault="00F46F93" w:rsidP="00F46F93">
            <w:pPr>
              <w:autoSpaceDE w:val="0"/>
              <w:autoSpaceDN w:val="0"/>
              <w:adjustRightInd w:val="0"/>
              <w:spacing w:after="0"/>
              <w:jc w:val="both"/>
              <w:rPr>
                <w:rFonts w:ascii="Times New Roman" w:hAnsi="Times New Roman" w:cs="Times New Roman"/>
                <w:b/>
                <w:bCs/>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Levetiracetam je dobro rastvorljiva i permeabilna supstanca. Farmakokinetički profil je linearan, varijabilnost je niska i među različitim pacijentima i za istog pacijenta. Ponovljena primjena ovog lijeka ne dovodi do promjene klirensa. Nema dokaza da postoji značajna varijabilnost vezana za pol, rasu ili cirkadijalni ritam. Uporediv je farmakokinetički profil kod zdravih dobrovoljaca i kod pacijenata sa epilepsijom.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Zbog potpune i linearne resorpcije levetiracetama, na osnovu oralne doze izražene u mg/kg tjelesne težine je moguće predvidjeti nivo lijeka u plazmi. Stoga nije potrebno praćenje nivoa levetiracetama u plazmi.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odraslih i djece postoji značajna povezanost između koncentracija ovog lijeka u salivi i u plazmi (odnos koncentracija u salivi i plazmi je u rasponu od 1 do 1</w:t>
            </w:r>
            <w:proofErr w:type="gramStart"/>
            <w:r w:rsidRPr="00F46F93">
              <w:rPr>
                <w:rFonts w:ascii="Times New Roman" w:hAnsi="Times New Roman" w:cs="Times New Roman"/>
              </w:rPr>
              <w:t>,7</w:t>
            </w:r>
            <w:proofErr w:type="gramEnd"/>
            <w:r w:rsidRPr="00F46F93">
              <w:rPr>
                <w:rFonts w:ascii="Times New Roman" w:hAnsi="Times New Roman" w:cs="Times New Roman"/>
              </w:rPr>
              <w:t xml:space="preserve"> za lijek u obliku oralne tablete i nakon 4 sata od uzimanja lijeka u obliku oralnog rastvora).</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Odrasli i adolescenti</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Resorpcija</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Levetiracetam se brzo resorbuje nakon oralne primjene. Apsolutna oralna bioraspoloživost je blizu 100%. Maksimalna koncentracija u plazmi (C</w:t>
            </w:r>
            <w:r w:rsidRPr="00F46F93">
              <w:rPr>
                <w:rFonts w:ascii="Times New Roman" w:hAnsi="Times New Roman" w:cs="Times New Roman"/>
                <w:vertAlign w:val="subscript"/>
              </w:rPr>
              <w:t>max</w:t>
            </w:r>
            <w:r w:rsidRPr="00F46F93">
              <w:rPr>
                <w:rFonts w:ascii="Times New Roman" w:hAnsi="Times New Roman" w:cs="Times New Roman"/>
              </w:rPr>
              <w:t>) postiže se 1</w:t>
            </w:r>
            <w:proofErr w:type="gramStart"/>
            <w:r w:rsidRPr="00F46F93">
              <w:rPr>
                <w:rFonts w:ascii="Times New Roman" w:hAnsi="Times New Roman" w:cs="Times New Roman"/>
              </w:rPr>
              <w:t>,3</w:t>
            </w:r>
            <w:proofErr w:type="gramEnd"/>
            <w:r w:rsidRPr="00F46F93">
              <w:rPr>
                <w:rFonts w:ascii="Times New Roman" w:hAnsi="Times New Roman" w:cs="Times New Roman"/>
              </w:rPr>
              <w:t xml:space="preserve"> sata nakon uzimanja lijeka. Stanje ravnoteže postiže se nakon dva dana doziranja dva puta dnevno. Maksimalna koncentracija (C</w:t>
            </w:r>
            <w:r w:rsidRPr="00F46F93">
              <w:rPr>
                <w:rFonts w:ascii="Times New Roman" w:hAnsi="Times New Roman" w:cs="Times New Roman"/>
                <w:vertAlign w:val="subscript"/>
              </w:rPr>
              <w:t>max</w:t>
            </w:r>
            <w:r w:rsidRPr="00F46F93">
              <w:rPr>
                <w:rFonts w:ascii="Times New Roman" w:hAnsi="Times New Roman" w:cs="Times New Roman"/>
              </w:rPr>
              <w:t>) je uglavnom 31 μg/ml nakon jedne doze od 1000 mg, i 43 μg/ml nakon ponovljene doze od 1000 mg dva puta dnevno.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Opseg resorpcije ne zavisi od doze, niti se mijenja u prisustvu hrane.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Distribucija</w:t>
            </w:r>
          </w:p>
          <w:p w:rsidR="00F46F93" w:rsidRPr="00F46F93" w:rsidRDefault="00F46F93" w:rsidP="00F46F93">
            <w:pPr>
              <w:autoSpaceDE w:val="0"/>
              <w:autoSpaceDN w:val="0"/>
              <w:adjustRightInd w:val="0"/>
              <w:spacing w:after="0"/>
              <w:jc w:val="both"/>
              <w:rPr>
                <w:rFonts w:ascii="Times New Roman" w:hAnsi="Times New Roman" w:cs="Times New Roman"/>
                <w:color w:val="FF0000"/>
                <w:u w:val="single"/>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Nema podataka o distribuciji ovog lijeka u tkivima kod ljudi.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Ni levetiracetam niti njegov primarni metabolit ne vežu se značajno za proteine plazme (&lt; 10%). Volumen distribucije levetiracetama je približno 0</w:t>
            </w:r>
            <w:proofErr w:type="gramStart"/>
            <w:r w:rsidRPr="00F46F93">
              <w:rPr>
                <w:rFonts w:ascii="Times New Roman" w:hAnsi="Times New Roman" w:cs="Times New Roman"/>
              </w:rPr>
              <w:t>,5</w:t>
            </w:r>
            <w:proofErr w:type="gramEnd"/>
            <w:r w:rsidRPr="00F46F93">
              <w:rPr>
                <w:rFonts w:ascii="Times New Roman" w:hAnsi="Times New Roman" w:cs="Times New Roman"/>
              </w:rPr>
              <w:t xml:space="preserve"> do 0,7 l/kg, što približno odgovara ukupnom volumenu vode u organizmu.</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Biotransformacija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Levetiracetam se kod ljudi ne metaboliše značajno. Glavni metabolički put (24% doze) je enzimska hidroliza acetamidne grupe. Nastajanje primarnog metabolita, ucb L057, ne zavisi od izoformi citohroma jetre P450. Hidroliza acetamidne grupe se odvija u brojnim tkivima, uključujući krvne ćelije. Metabolit ucb L057 je farmakološki neaktivan.</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Takođe su pronađena dva manje zastupljena metabolita. Jedan nastaje hidroksilacijom pirolidonskog prstena (1</w:t>
            </w:r>
            <w:proofErr w:type="gramStart"/>
            <w:r w:rsidRPr="00F46F93">
              <w:rPr>
                <w:rFonts w:ascii="Times New Roman" w:hAnsi="Times New Roman" w:cs="Times New Roman"/>
              </w:rPr>
              <w:t>,6</w:t>
            </w:r>
            <w:proofErr w:type="gramEnd"/>
            <w:r w:rsidRPr="00F46F93">
              <w:rPr>
                <w:rFonts w:ascii="Times New Roman" w:hAnsi="Times New Roman" w:cs="Times New Roman"/>
              </w:rPr>
              <w:t>% doze), a drugi otvaranjem pirolidonskog prstena (0,9% doze). Ostali neidentifikovani metaboliti čine samo 0</w:t>
            </w:r>
            <w:proofErr w:type="gramStart"/>
            <w:r w:rsidRPr="00F46F93">
              <w:rPr>
                <w:rFonts w:ascii="Times New Roman" w:hAnsi="Times New Roman" w:cs="Times New Roman"/>
              </w:rPr>
              <w:t>,6</w:t>
            </w:r>
            <w:proofErr w:type="gramEnd"/>
            <w:r w:rsidRPr="00F46F93">
              <w:rPr>
                <w:rFonts w:ascii="Times New Roman" w:hAnsi="Times New Roman" w:cs="Times New Roman"/>
              </w:rPr>
              <w:t xml:space="preserve">% doze. </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Interkonverzije enantiomera nisu utvrđene </w:t>
            </w:r>
            <w:r w:rsidRPr="00F46F93">
              <w:rPr>
                <w:rFonts w:ascii="Times New Roman" w:hAnsi="Times New Roman" w:cs="Times New Roman"/>
                <w:i/>
                <w:iCs/>
              </w:rPr>
              <w:t xml:space="preserve">in vivo </w:t>
            </w:r>
            <w:r w:rsidRPr="00F46F93">
              <w:rPr>
                <w:rFonts w:ascii="Times New Roman" w:hAnsi="Times New Roman" w:cs="Times New Roman"/>
              </w:rPr>
              <w:t>ni za levetiracetam, niti za njegov glavni metabolit.</w:t>
            </w:r>
          </w:p>
          <w:p w:rsidR="00F46F93" w:rsidRPr="00F46F93" w:rsidRDefault="00F46F93" w:rsidP="00F46F93">
            <w:pPr>
              <w:autoSpaceDE w:val="0"/>
              <w:autoSpaceDN w:val="0"/>
              <w:adjustRightInd w:val="0"/>
              <w:spacing w:after="0"/>
              <w:jc w:val="both"/>
              <w:rPr>
                <w:rFonts w:ascii="Times New Roman" w:hAnsi="Times New Roman" w:cs="Times New Roman"/>
                <w:i/>
                <w:iCs/>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i/>
                <w:iCs/>
              </w:rPr>
              <w:t xml:space="preserve">In vitro </w:t>
            </w:r>
            <w:r w:rsidRPr="00F46F93">
              <w:rPr>
                <w:rFonts w:ascii="Times New Roman" w:hAnsi="Times New Roman" w:cs="Times New Roman"/>
              </w:rPr>
              <w:t xml:space="preserve">je pokazano da levetiracetam i njegov glavni metabolit ne inhibiraju aktivnost izoformi glavnog humanog citohroma jetre P450 (CYP3A4, 2A6, 2C9, 2C19, 2D6, 2E1 i 1A2), glukuronil transferaze (UGT1A1 i UGT1A6) i epoksid hidroksilaze. Levetiracetam ne utiče na glukuronidaciju valproinske kiseline </w:t>
            </w:r>
            <w:r w:rsidRPr="00F46F93">
              <w:rPr>
                <w:rFonts w:ascii="Times New Roman" w:hAnsi="Times New Roman" w:cs="Times New Roman"/>
                <w:i/>
                <w:iCs/>
              </w:rPr>
              <w:t>in vitro.</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U kulturi ljudskih hepatocita, levetiracetam je imao mali uticaj ili nije imao uticaja na CYP1A2, SULT1E1 ili UGT1A1. Levetiracetam je uzrokovao blagu indukciju CYP2B6 i CYP3A4. </w:t>
            </w:r>
            <w:r w:rsidRPr="00F46F93">
              <w:rPr>
                <w:rFonts w:ascii="Times New Roman" w:hAnsi="Times New Roman" w:cs="Times New Roman"/>
                <w:i/>
                <w:iCs/>
              </w:rPr>
              <w:t>In vitro</w:t>
            </w:r>
            <w:r w:rsidRPr="00F46F93">
              <w:rPr>
                <w:rFonts w:ascii="Times New Roman" w:hAnsi="Times New Roman" w:cs="Times New Roman"/>
              </w:rPr>
              <w:t xml:space="preserve"> i </w:t>
            </w:r>
            <w:r w:rsidRPr="00F46F93">
              <w:rPr>
                <w:rFonts w:ascii="Times New Roman" w:hAnsi="Times New Roman" w:cs="Times New Roman"/>
                <w:i/>
                <w:iCs/>
              </w:rPr>
              <w:t xml:space="preserve">in vivo </w:t>
            </w:r>
            <w:r w:rsidRPr="00F46F93">
              <w:rPr>
                <w:rFonts w:ascii="Times New Roman" w:hAnsi="Times New Roman" w:cs="Times New Roman"/>
              </w:rPr>
              <w:t xml:space="preserve">podaci o interakciji sa oralnim kontraceptivima, digoksinom i varfarinom upućuju na to da nije očekivana značajna indukcija enzima </w:t>
            </w:r>
            <w:r w:rsidRPr="00F46F93">
              <w:rPr>
                <w:rFonts w:ascii="Times New Roman" w:hAnsi="Times New Roman" w:cs="Times New Roman"/>
                <w:i/>
                <w:iCs/>
              </w:rPr>
              <w:t xml:space="preserve">in vivo. </w:t>
            </w:r>
            <w:r w:rsidRPr="00F46F93">
              <w:rPr>
                <w:rFonts w:ascii="Times New Roman" w:hAnsi="Times New Roman" w:cs="Times New Roman"/>
              </w:rPr>
              <w:t>Iz toga proizilazi da interakcija levetiracetama sa drugim supstancama, i obrnuto, nije vjerovatna.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Eliminacija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ljudi, poluvrijeme eliminacije u plazmi iznosi 7±1 sat i ne varira u zavisnosti od doze, načina primjene ili ponovljene primjene. Srednja vrijednost ukupnog tjelesnog klirensa iznosi 0</w:t>
            </w:r>
            <w:proofErr w:type="gramStart"/>
            <w:r w:rsidRPr="00F46F93">
              <w:rPr>
                <w:rFonts w:ascii="Times New Roman" w:hAnsi="Times New Roman" w:cs="Times New Roman"/>
              </w:rPr>
              <w:t>,96</w:t>
            </w:r>
            <w:proofErr w:type="gramEnd"/>
            <w:r w:rsidRPr="00F46F93">
              <w:rPr>
                <w:rFonts w:ascii="Times New Roman" w:hAnsi="Times New Roman" w:cs="Times New Roman"/>
              </w:rPr>
              <w:t xml:space="preserve"> ml/min/kg. Glavni put izlučivanja je preko urina, i to 95% doze (približno 93% doze izluči se unutar 48 sati). Samo se 0</w:t>
            </w:r>
            <w:proofErr w:type="gramStart"/>
            <w:r w:rsidRPr="00F46F93">
              <w:rPr>
                <w:rFonts w:ascii="Times New Roman" w:hAnsi="Times New Roman" w:cs="Times New Roman"/>
              </w:rPr>
              <w:t>,3</w:t>
            </w:r>
            <w:proofErr w:type="gramEnd"/>
            <w:r w:rsidRPr="00F46F93">
              <w:rPr>
                <w:rFonts w:ascii="Times New Roman" w:hAnsi="Times New Roman" w:cs="Times New Roman"/>
              </w:rPr>
              <w:t>% doze izlučuje fecesom.</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Kumulativno izlučivanje levetiracetama i njegovog glavnog metabolita urinom iznosi 66% odnosno 24% od doze tokom prvih 48 sati.</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Bubrežni klirens levetiracetama i ucb L057 je 0,6, odnosno 4,2 ml/min/kg, što ukazuje da se levetiracetam izlučuje glomerularnom filtracijom, nakon čega dolazi do tubularne reapsorpcije, te da se glavni metabolit, osim glomerularnom filtracijom, izlučuje i aktivnom tubularnom sekrecijom.</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Eliminacija levetiracetama je u korelaciji sa klirensom kreatinina.</w:t>
            </w: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lastRenderedPageBreak/>
              <w:t>Starije osobe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starijih osoba, poluvrijeme eliminacije je povećano za oko 40% (10 do 11 sati). Uzrok tome je slabljenje funkcije bubrega kod ove populacije (vidjeti odjeljak 4.2).</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Oštećenje funkcije bubrega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Prividni tjelesni klirens levetiracetama i njegovog glavnog metabolita je u korelaciji sa klirensom kreatinina. Zbog toga se preporučuje prilagođavanje dnevne doze održavanja levetiracetama s obzirom na klirens kreatinina kod pacijenata sa umjerenim i teškim oštećenjem funkcije bubrega (vidjeti odjeljak 4.2).</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odraslih pacijenata sa anuričnom terminalnom fazom bolesti bubrega, poluvrijeme eliminacije levetiracetama iznosi približno 25 sati u periodu između dijaliza, odnosno 3</w:t>
            </w:r>
            <w:proofErr w:type="gramStart"/>
            <w:r w:rsidRPr="00F46F93">
              <w:rPr>
                <w:rFonts w:ascii="Times New Roman" w:hAnsi="Times New Roman" w:cs="Times New Roman"/>
              </w:rPr>
              <w:t>,1</w:t>
            </w:r>
            <w:proofErr w:type="gramEnd"/>
            <w:r w:rsidRPr="00F46F93">
              <w:rPr>
                <w:rFonts w:ascii="Times New Roman" w:hAnsi="Times New Roman" w:cs="Times New Roman"/>
              </w:rPr>
              <w:t xml:space="preserve"> sat tokom dijalize.</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Frakcijsko uklanjanje levetiracetama iznosi 51% tokom uobičajene 4-satne dijalize.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Oštećenje funkcije jetre</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osoba sa blagim i umjerenim oštećenjem funkcije jetre, klirens levetiracetama nije bitno promijenjen. Kod većine osoba sa teškim oštećenjem funkcije jetre, klirens levetiracetama je smanjen za više od 50% usljed istovremenog oštećenja funkcije bubrega (vidjeti odjeljak 4.2).</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Pedijatrijska populacija</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Djeca (uzrast od 4 do 12 godina)</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Nakon primjene jedne oralne doze (20 mg/kg) kod djece sa epilepsijom (uzrast od 6 do 12 godina), poluvrijeme eliminacije levetiracetama bio je 6</w:t>
            </w:r>
            <w:proofErr w:type="gramStart"/>
            <w:r w:rsidRPr="00F46F93">
              <w:rPr>
                <w:rFonts w:ascii="Times New Roman" w:hAnsi="Times New Roman" w:cs="Times New Roman"/>
              </w:rPr>
              <w:t>,0</w:t>
            </w:r>
            <w:proofErr w:type="gramEnd"/>
            <w:r w:rsidRPr="00F46F93">
              <w:rPr>
                <w:rFonts w:ascii="Times New Roman" w:hAnsi="Times New Roman" w:cs="Times New Roman"/>
              </w:rPr>
              <w:t xml:space="preserve"> sati. Prividni klirens korigovan za tjelesnu težinu bio je približno 30% veći nego kod odraslih sa epilepsijom.</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Nakon ponovljene primjene oralne doze (20 do 60 mg/kg/dnevno) kod djece sa epilepsijom (uzrast od 4 do 12 godina), levetiracetam se brzo resorbovao. Maksimalna koncentracija u plazmi postignuta je 0</w:t>
            </w:r>
            <w:proofErr w:type="gramStart"/>
            <w:r w:rsidRPr="00F46F93">
              <w:rPr>
                <w:rFonts w:ascii="Times New Roman" w:hAnsi="Times New Roman" w:cs="Times New Roman"/>
              </w:rPr>
              <w:t>,5</w:t>
            </w:r>
            <w:proofErr w:type="gramEnd"/>
            <w:r w:rsidRPr="00F46F93">
              <w:rPr>
                <w:rFonts w:ascii="Times New Roman" w:hAnsi="Times New Roman" w:cs="Times New Roman"/>
              </w:rPr>
              <w:t xml:space="preserve"> do 1,0 sat nakon uzimanja lijeka. Za maksimalne koncentracije u plazmi i površinu ispod krive primijećena su linearna povećanja i povećanja dozno proporcionalna. Poluvrijeme eliminacije iznosilo je oko 5 sati. Prividni tjelesni klirens bio je 1</w:t>
            </w:r>
            <w:proofErr w:type="gramStart"/>
            <w:r w:rsidRPr="00F46F93">
              <w:rPr>
                <w:rFonts w:ascii="Times New Roman" w:hAnsi="Times New Roman" w:cs="Times New Roman"/>
              </w:rPr>
              <w:t>,1</w:t>
            </w:r>
            <w:proofErr w:type="gramEnd"/>
            <w:r w:rsidRPr="00F46F93">
              <w:rPr>
                <w:rFonts w:ascii="Times New Roman" w:hAnsi="Times New Roman" w:cs="Times New Roman"/>
              </w:rPr>
              <w:t xml:space="preserve"> ml/min/kg</w:t>
            </w:r>
            <w:r w:rsidRPr="00F46F93">
              <w:rPr>
                <w:rFonts w:ascii="Times New Roman" w:eastAsia="MS-Mincho"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u w:val="single"/>
              </w:rPr>
            </w:pPr>
            <w:r w:rsidRPr="00F46F93">
              <w:rPr>
                <w:rFonts w:ascii="Times New Roman" w:hAnsi="Times New Roman" w:cs="Times New Roman"/>
                <w:u w:val="single"/>
              </w:rPr>
              <w:t>Odojčad i djeca (uzrast od 1 mjesec do 4 godine)</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Nakon primjene jedne doze (20 mg/kg) 100 mg/ml oralnog rastvora kod djece sa epilepsijom (uzrast od 1 mjesec do 4 godine), levetiracetam se brzo resorbovao, pa su maksimalne koncentracije u plazmi postignute približno 1 sat nakon uzimanja lijeka. Farmakokinetički podaci su pokazali da je poluvrijeme eliminacije bilo kraće (5</w:t>
            </w:r>
            <w:proofErr w:type="gramStart"/>
            <w:r w:rsidRPr="00F46F93">
              <w:rPr>
                <w:rFonts w:ascii="Times New Roman" w:hAnsi="Times New Roman" w:cs="Times New Roman"/>
              </w:rPr>
              <w:t>,3</w:t>
            </w:r>
            <w:proofErr w:type="gramEnd"/>
            <w:r w:rsidRPr="00F46F93">
              <w:rPr>
                <w:rFonts w:ascii="Times New Roman" w:hAnsi="Times New Roman" w:cs="Times New Roman"/>
              </w:rPr>
              <w:t xml:space="preserve"> h) nego kod odraslih (7,2 h), a prividni klirens je bio brži (1,5 ml/min/kg) nego kod odraslih (0,96 ml/min/kg).</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lastRenderedPageBreak/>
              <w:t xml:space="preserve">Farmakokinetička analiza populacije sprovedena kod pacijenata uzrasta od 1 mjesec do 16 godina, pokazala je značajnu korelaciju tjelesne težine sa prividnim klirensom (klirens se povećavao sa porastom tjelesne težine) i sa prividnim volumenom distribucije. Na oba pokazatelja je uticao i uzrast. Taj uticaj je bio izraženiji kod mlađe odojčadi i sa porastom uzrasta je slabio, da bi oko 4. </w:t>
            </w:r>
            <w:proofErr w:type="gramStart"/>
            <w:r w:rsidRPr="00F46F93">
              <w:rPr>
                <w:rFonts w:ascii="Times New Roman" w:hAnsi="Times New Roman" w:cs="Times New Roman"/>
              </w:rPr>
              <w:t>godine</w:t>
            </w:r>
            <w:proofErr w:type="gramEnd"/>
            <w:r w:rsidRPr="00F46F93">
              <w:rPr>
                <w:rFonts w:ascii="Times New Roman" w:hAnsi="Times New Roman" w:cs="Times New Roman"/>
              </w:rPr>
              <w:t xml:space="preserve"> života postao zanemariv.</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U obije farmakokinetičke analize populacije, prividni klirens levetiracetama se povećao za oko 20% kada se lijek davao istovremeno sa antiepileptikom koji indukuje enzime.</w:t>
            </w:r>
          </w:p>
          <w:p w:rsidR="00F46F93" w:rsidRPr="00F46F93" w:rsidRDefault="00F46F93" w:rsidP="00F46F93">
            <w:pPr>
              <w:autoSpaceDE w:val="0"/>
              <w:autoSpaceDN w:val="0"/>
              <w:adjustRightInd w:val="0"/>
              <w:spacing w:after="0"/>
              <w:jc w:val="both"/>
              <w:rPr>
                <w:rFonts w:ascii="Times New Roman" w:hAnsi="Times New Roman" w:cs="Times New Roman"/>
                <w:b/>
                <w:bCs/>
                <w:color w:val="FF0000"/>
              </w:rPr>
            </w:pPr>
          </w:p>
          <w:p w:rsidR="00F46F93" w:rsidRPr="00F46F93" w:rsidRDefault="00F46F93" w:rsidP="00F46F93">
            <w:pPr>
              <w:autoSpaceDE w:val="0"/>
              <w:autoSpaceDN w:val="0"/>
              <w:adjustRightInd w:val="0"/>
              <w:spacing w:after="0"/>
              <w:jc w:val="both"/>
              <w:rPr>
                <w:rFonts w:ascii="Times New Roman" w:hAnsi="Times New Roman" w:cs="Times New Roman"/>
                <w:b/>
                <w:bCs/>
              </w:rPr>
            </w:pPr>
            <w:r w:rsidRPr="00F46F93">
              <w:rPr>
                <w:rFonts w:ascii="Times New Roman" w:hAnsi="Times New Roman" w:cs="Times New Roman"/>
                <w:b/>
                <w:bCs/>
              </w:rPr>
              <w:t>5.3 Pretklinički podaci o bezbjednosti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Pretklinički podaci ne ukazuju na poseban rizik za ljude na osnovu konvencionalnih ispitivanja bezbjednosne</w:t>
            </w:r>
            <w:r w:rsidRPr="00F46F93">
              <w:rPr>
                <w:rFonts w:ascii="Times New Roman" w:hAnsi="Times New Roman" w:cs="Times New Roman"/>
                <w:color w:val="FF0000"/>
              </w:rPr>
              <w:t xml:space="preserve"> </w:t>
            </w:r>
            <w:r w:rsidRPr="00F46F93">
              <w:rPr>
                <w:rFonts w:ascii="Times New Roman" w:hAnsi="Times New Roman" w:cs="Times New Roman"/>
              </w:rPr>
              <w:t xml:space="preserve">farmakologije, genotoksičnosti i kancerogenosti lijeka. </w:t>
            </w:r>
          </w:p>
          <w:p w:rsidR="00F46F93" w:rsidRPr="00F46F93" w:rsidRDefault="00F46F93" w:rsidP="00F46F93">
            <w:pPr>
              <w:autoSpaceDE w:val="0"/>
              <w:autoSpaceDN w:val="0"/>
              <w:adjustRightInd w:val="0"/>
              <w:spacing w:after="0"/>
              <w:jc w:val="both"/>
              <w:rPr>
                <w:rFonts w:ascii="Times New Roman" w:hAnsi="Times New Roman" w:cs="Times New Roman"/>
              </w:rPr>
            </w:pPr>
            <w:proofErr w:type="gramStart"/>
            <w:r w:rsidRPr="00F46F93">
              <w:rPr>
                <w:rFonts w:ascii="Times New Roman" w:hAnsi="Times New Roman" w:cs="Times New Roman"/>
              </w:rPr>
              <w:t>Neželjena dejstva koja nisu primijećena tokom kliničkih ispitivanja, ali koja su primijećena kod pacova i u manjoj mjeri kod miševa izloženih nivoima sličnim nivoima izloženosti kod ljudi i sa mogućim značajem za kliničku primjenu, bila su promjene jetre koje su upućivale na adaptivni odgovor, kao na primjer povećana težina i centrilobularna hipertrofija, masna infiltracija jetre i povećani nivoi  enzima jetre u plazmi.</w:t>
            </w:r>
            <w:proofErr w:type="gramEnd"/>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Kod mužjaka i ženki pacova roditeljske i F1 generacije nisu primijećeni neželjeni efekti na plodnost ili na reproduktivnu sposobnost pri dozama do 1800 mg/kg/dan (6-ostruka vrijednost najviše preporučene doze za ljude (MRHD) izražena na osnovu mg/m</w:t>
            </w:r>
            <w:r w:rsidRPr="00F46F93">
              <w:rPr>
                <w:rFonts w:ascii="Times New Roman" w:hAnsi="Times New Roman" w:cs="Times New Roman"/>
                <w:vertAlign w:val="superscript"/>
              </w:rPr>
              <w:t>2</w:t>
            </w:r>
            <w:r w:rsidRPr="00F46F93">
              <w:rPr>
                <w:rFonts w:ascii="Times New Roman" w:hAnsi="Times New Roman" w:cs="Times New Roman"/>
              </w:rPr>
              <w:t xml:space="preserve"> ili osnovne izloženosti).</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Sprovedene su dvije studije embrio-fetalnog razvoja (</w:t>
            </w:r>
            <w:r w:rsidRPr="00F46F93">
              <w:rPr>
                <w:rFonts w:ascii="Times New Roman" w:hAnsi="Times New Roman" w:cs="Times New Roman"/>
                <w:i/>
              </w:rPr>
              <w:t>embryo-fetal development</w:t>
            </w:r>
            <w:r w:rsidRPr="00F46F93">
              <w:rPr>
                <w:rFonts w:ascii="Times New Roman" w:hAnsi="Times New Roman" w:cs="Times New Roman"/>
              </w:rPr>
              <w:t>, EFD) na pacovima sa dozama od 400, 1200 i 3600 mg/kg/dan. Pri dozi od 3600 mg/kg/dan, samo je u jednom od dva EFD ispitivanja uočeno blago smanjenje fetalne težine povezano sa marginalnim porastom skeletnih varijacija/manjih anomalija. Nije bilo uticaja na smrtnost embriona, niti se povećala pojava malformacija. NOAEL (</w:t>
            </w:r>
            <w:r w:rsidRPr="00F46F93">
              <w:rPr>
                <w:rFonts w:ascii="Times New Roman" w:hAnsi="Times New Roman" w:cs="Times New Roman"/>
                <w:i/>
              </w:rPr>
              <w:t>No Observed Adverse Effect Level</w:t>
            </w:r>
            <w:r w:rsidRPr="00F46F93">
              <w:rPr>
                <w:rFonts w:ascii="Times New Roman" w:hAnsi="Times New Roman" w:cs="Times New Roman"/>
              </w:rPr>
              <w:t>, nivo pri kom se ne uočava nepovoljan efekat) je za gravidne ženke pacova iznosio 3600 mg/kg/dan, a za fetuse 1200 mg/kg/dan (12-ostruka vrijednost najviše preporučene doze za čovjeka izražena u mg/m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Četiri studije embrio-fetalnog razvoja sprovedene su na kunićima sa dozama od 200, 600, 800, 1200 i 1800 mg/kg/dan. Doza od 1800 mg/kg/dan izazvala je značajnu maternalnu toksičnost i smanjenje fetalne težine, što je bilo povezano sa povećanom pojavom fetusa sa kardiovaskularnim/skeletnim anomalijama. NOAEL je za gravidne ženke iznosio &lt; 200 mg/kg/dan, a za fetuse 200 mg/kg/dan (što je jednako MRHD-u, </w:t>
            </w:r>
            <w:r w:rsidRPr="00F46F93">
              <w:rPr>
                <w:rFonts w:ascii="Times New Roman" w:hAnsi="Times New Roman" w:cs="Times New Roman"/>
                <w:i/>
              </w:rPr>
              <w:t>Maximum Recommended Human Dose</w:t>
            </w:r>
            <w:r w:rsidRPr="00F46F93">
              <w:rPr>
                <w:rFonts w:ascii="Times New Roman" w:hAnsi="Times New Roman" w:cs="Times New Roman"/>
              </w:rPr>
              <w:t>, najvećoj preporučenoj dozi za ljude izraženoj u mg/m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Studija peri- i postnatalnog razvoja sprovedena je kod pacova sa dozama levetiracetama od 70, 350 i 1800 mg/kg/dan. NOAEL je iznosio ≥ 1800 mg/kg/dan za F0 ženke, te za preživljavanje, rast i razvoj F1 potomstva do prestanka sa dojenjem (6-ostruka vrijednost najveće preporučene doze za čovjeka izražena u mg/m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color w:val="FF0000"/>
              </w:rPr>
            </w:pPr>
          </w:p>
          <w:p w:rsid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Neonatalne i juvenilne studije na pacovima i psima su pokazale da nema neželjenih dejstava u uobičajenim ciljevima razvoja ili sazrijevanja uz doze do 1800 mg/kg/dan (6-ostruka do 17-ostruka vrijednost najviše preporučene doze za čovjeka izražena u mg/m</w:t>
            </w:r>
            <w:r w:rsidRPr="00F46F93">
              <w:rPr>
                <w:rFonts w:ascii="Times New Roman" w:hAnsi="Times New Roman" w:cs="Times New Roman"/>
                <w:vertAlign w:val="superscript"/>
              </w:rPr>
              <w:t>2</w:t>
            </w:r>
            <w:r w:rsidRPr="00F46F93">
              <w:rPr>
                <w:rFonts w:ascii="Times New Roman" w:hAnsi="Times New Roman" w:cs="Times New Roman"/>
              </w:rPr>
              <w:t>).</w:t>
            </w:r>
          </w:p>
          <w:p w:rsidR="00F46F93" w:rsidRPr="00F46F93" w:rsidRDefault="00F46F93" w:rsidP="00F46F93">
            <w:pPr>
              <w:autoSpaceDE w:val="0"/>
              <w:autoSpaceDN w:val="0"/>
              <w:adjustRightInd w:val="0"/>
              <w:spacing w:after="0"/>
              <w:jc w:val="both"/>
              <w:rPr>
                <w:rFonts w:ascii="Times New Roman" w:hAnsi="Times New Roman" w:cs="Times New Roman"/>
              </w:rPr>
            </w:pPr>
          </w:p>
          <w:p w:rsidR="00F46F93" w:rsidRPr="00F46F93" w:rsidRDefault="00F46F93" w:rsidP="00F46F93">
            <w:pPr>
              <w:pStyle w:val="Header"/>
              <w:snapToGrid w:val="0"/>
              <w:jc w:val="both"/>
              <w:rPr>
                <w:rFonts w:ascii="Times New Roman" w:hAnsi="Times New Roman" w:cs="Times New Roman"/>
                <w:b/>
                <w:bCs/>
                <w:color w:val="FF0000"/>
                <w:lang w:val="sr-Latn-CS"/>
              </w:rPr>
            </w:pPr>
          </w:p>
        </w:tc>
        <w:tc>
          <w:tcPr>
            <w:tcW w:w="270" w:type="dxa"/>
            <w:tcMar>
              <w:left w:w="0" w:type="dxa"/>
              <w:right w:w="0" w:type="dxa"/>
            </w:tcMar>
          </w:tcPr>
          <w:p w:rsidR="00F46F93" w:rsidRPr="00F46F93" w:rsidRDefault="00F46F93" w:rsidP="00F46F93">
            <w:pPr>
              <w:snapToGrid w:val="0"/>
              <w:spacing w:after="0"/>
              <w:jc w:val="both"/>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6. FARMACEUTSKI PODACI</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6.1. Lista pomoćnih supstanci</w:t>
            </w: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rPr>
          <w:trHeight w:val="1145"/>
        </w:trPr>
        <w:tc>
          <w:tcPr>
            <w:tcW w:w="9953" w:type="dxa"/>
            <w:vAlign w:val="center"/>
          </w:tcPr>
          <w:p w:rsidR="00F46F93" w:rsidRDefault="00F46F93" w:rsidP="00F46F93">
            <w:pPr>
              <w:autoSpaceDE w:val="0"/>
              <w:autoSpaceDN w:val="0"/>
              <w:adjustRightInd w:val="0"/>
              <w:spacing w:after="0"/>
              <w:rPr>
                <w:rFonts w:ascii="Times New Roman" w:hAnsi="Times New Roman" w:cs="Times New Roman"/>
                <w:u w:val="single"/>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Jezgra tablete:</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krospovidon (Tip B)</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povidon K30</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silicijum dioksid, koloidni, bezvodni</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magnezijum stearat</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Film omotač tablete 250 mg:</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hipromeloza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makrogol / polietilenglikol 400</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titan dioksid (E171)</w:t>
            </w:r>
          </w:p>
          <w:p w:rsidR="00F46F93" w:rsidRPr="00F46F93" w:rsidRDefault="00F46F93" w:rsidP="00F46F93">
            <w:pPr>
              <w:tabs>
                <w:tab w:val="left" w:pos="1740"/>
              </w:tabs>
              <w:autoSpaceDE w:val="0"/>
              <w:autoSpaceDN w:val="0"/>
              <w:adjustRightInd w:val="0"/>
              <w:spacing w:after="0"/>
              <w:rPr>
                <w:rFonts w:ascii="Times New Roman" w:hAnsi="Times New Roman" w:cs="Times New Roman"/>
              </w:rPr>
            </w:pPr>
            <w:r w:rsidRPr="00F46F93">
              <w:rPr>
                <w:rFonts w:ascii="Times New Roman" w:hAnsi="Times New Roman" w:cs="Times New Roman"/>
              </w:rPr>
              <w:t>talk, prečišćeni</w:t>
            </w:r>
            <w:r w:rsidRPr="00F46F93">
              <w:rPr>
                <w:rFonts w:ascii="Times New Roman" w:hAnsi="Times New Roman" w:cs="Times New Roman"/>
              </w:rPr>
              <w:tab/>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 xml:space="preserve">boja </w:t>
            </w:r>
            <w:r w:rsidRPr="00F46F93">
              <w:rPr>
                <w:rFonts w:ascii="Times New Roman" w:hAnsi="Times New Roman" w:cs="Times New Roman"/>
                <w:i/>
                <w:iCs/>
              </w:rPr>
              <w:t xml:space="preserve">Indigo Carmine Lake </w:t>
            </w:r>
            <w:r w:rsidRPr="00F46F93">
              <w:rPr>
                <w:rFonts w:ascii="Times New Roman" w:hAnsi="Times New Roman" w:cs="Times New Roman"/>
              </w:rPr>
              <w:t>(E132)</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Film omotač tablete 500 mg:</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hipromeloza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makrogol / polietilenglikol 400</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titan dioksid (E171)</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talk, prečišćeni</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gvožđe oksid, žuti (E172)</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Film omotač tablete 750 mg:</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Hipromeloza</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makrogol / polietilenglikol 400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titan dioksid (E171)</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rPr>
              <w:t xml:space="preserve">talk, prečišćeni </w:t>
            </w:r>
          </w:p>
          <w:p w:rsidR="00F46F93" w:rsidRPr="00F46F93" w:rsidRDefault="00F46F93" w:rsidP="00F46F93">
            <w:pPr>
              <w:autoSpaceDE w:val="0"/>
              <w:autoSpaceDN w:val="0"/>
              <w:adjustRightInd w:val="0"/>
              <w:spacing w:after="0"/>
              <w:jc w:val="both"/>
              <w:rPr>
                <w:rFonts w:ascii="Times New Roman" w:hAnsi="Times New Roman" w:cs="Times New Roman"/>
                <w:i/>
                <w:iCs/>
              </w:rPr>
            </w:pPr>
            <w:r w:rsidRPr="00F46F93">
              <w:rPr>
                <w:rFonts w:ascii="Times New Roman" w:hAnsi="Times New Roman" w:cs="Times New Roman"/>
              </w:rPr>
              <w:t xml:space="preserve">boja </w:t>
            </w:r>
            <w:r w:rsidRPr="00F46F93">
              <w:rPr>
                <w:rFonts w:ascii="Times New Roman" w:hAnsi="Times New Roman" w:cs="Times New Roman"/>
                <w:i/>
                <w:iCs/>
              </w:rPr>
              <w:t xml:space="preserve">Sunset Yellow Lake (E110) </w:t>
            </w:r>
          </w:p>
          <w:p w:rsidR="00F46F93" w:rsidRPr="00F46F93" w:rsidRDefault="00F46F93" w:rsidP="00F46F93">
            <w:pPr>
              <w:autoSpaceDE w:val="0"/>
              <w:autoSpaceDN w:val="0"/>
              <w:adjustRightInd w:val="0"/>
              <w:spacing w:after="0"/>
              <w:jc w:val="both"/>
              <w:rPr>
                <w:rFonts w:ascii="Times New Roman" w:hAnsi="Times New Roman" w:cs="Times New Roman"/>
              </w:rPr>
            </w:pPr>
            <w:r w:rsidRPr="00F46F93">
              <w:rPr>
                <w:rFonts w:ascii="Times New Roman" w:hAnsi="Times New Roman" w:cs="Times New Roman"/>
                <w:iCs/>
              </w:rPr>
              <w:t xml:space="preserve">gvožđe oksid, crveni </w:t>
            </w:r>
            <w:r w:rsidRPr="00F46F93">
              <w:rPr>
                <w:rFonts w:ascii="Times New Roman" w:hAnsi="Times New Roman" w:cs="Times New Roman"/>
              </w:rPr>
              <w:t>(E172)</w:t>
            </w:r>
          </w:p>
          <w:p w:rsidR="00F46F93" w:rsidRPr="00F46F93" w:rsidRDefault="00F46F93" w:rsidP="00F46F93">
            <w:pPr>
              <w:autoSpaceDE w:val="0"/>
              <w:autoSpaceDN w:val="0"/>
              <w:adjustRightInd w:val="0"/>
              <w:spacing w:after="0"/>
              <w:rPr>
                <w:rFonts w:ascii="Times New Roman" w:hAnsi="Times New Roman" w:cs="Times New Roman"/>
                <w:color w:val="FF0000"/>
                <w:u w:val="single"/>
              </w:rPr>
            </w:pPr>
          </w:p>
          <w:p w:rsidR="00F46F93" w:rsidRPr="00F46F93" w:rsidRDefault="00F46F93" w:rsidP="00F46F93">
            <w:pPr>
              <w:autoSpaceDE w:val="0"/>
              <w:autoSpaceDN w:val="0"/>
              <w:adjustRightInd w:val="0"/>
              <w:spacing w:after="0"/>
              <w:rPr>
                <w:rFonts w:ascii="Times New Roman" w:hAnsi="Times New Roman" w:cs="Times New Roman"/>
                <w:u w:val="single"/>
              </w:rPr>
            </w:pPr>
            <w:r w:rsidRPr="00F46F93">
              <w:rPr>
                <w:rFonts w:ascii="Times New Roman" w:hAnsi="Times New Roman" w:cs="Times New Roman"/>
                <w:u w:val="single"/>
              </w:rPr>
              <w:t>Film omotač tablete 1000 mg:</w:t>
            </w:r>
          </w:p>
          <w:p w:rsidR="00F46F93" w:rsidRPr="00F46F93" w:rsidRDefault="00F46F93" w:rsidP="00F46F93">
            <w:pPr>
              <w:autoSpaceDE w:val="0"/>
              <w:autoSpaceDN w:val="0"/>
              <w:adjustRightInd w:val="0"/>
              <w:spacing w:after="0"/>
              <w:rPr>
                <w:rFonts w:ascii="Times New Roman" w:hAnsi="Times New Roman" w:cs="Times New Roman"/>
                <w:color w:val="FF0000"/>
              </w:rPr>
            </w:pPr>
            <w:r w:rsidRPr="00F46F93">
              <w:rPr>
                <w:rFonts w:ascii="Times New Roman" w:hAnsi="Times New Roman" w:cs="Times New Roman"/>
              </w:rPr>
              <w:t>hipromeloza</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makrogol / polietilenglikol 400</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titan dioksid (E171)</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talk, prečišćeni</w:t>
            </w:r>
          </w:p>
          <w:p w:rsidR="00F46F93" w:rsidRPr="00F46F93" w:rsidRDefault="00F46F93" w:rsidP="00F46F93">
            <w:pPr>
              <w:autoSpaceDE w:val="0"/>
              <w:autoSpaceDN w:val="0"/>
              <w:adjustRightInd w:val="0"/>
              <w:spacing w:after="0"/>
              <w:rPr>
                <w:rFonts w:ascii="Times New Roman" w:hAnsi="Times New Roman" w:cs="Times New Roman"/>
                <w:color w:val="FF0000"/>
              </w:rPr>
            </w:pPr>
          </w:p>
          <w:p w:rsidR="00F46F93" w:rsidRPr="00F46F93" w:rsidRDefault="00F46F93" w:rsidP="00F46F93">
            <w:pPr>
              <w:autoSpaceDE w:val="0"/>
              <w:autoSpaceDN w:val="0"/>
              <w:adjustRightInd w:val="0"/>
              <w:spacing w:after="0"/>
              <w:rPr>
                <w:rFonts w:ascii="Times New Roman" w:hAnsi="Times New Roman" w:cs="Times New Roman"/>
                <w:b/>
                <w:bCs/>
              </w:rPr>
            </w:pPr>
            <w:r w:rsidRPr="00F46F93">
              <w:rPr>
                <w:rFonts w:ascii="Times New Roman" w:hAnsi="Times New Roman" w:cs="Times New Roman"/>
                <w:b/>
                <w:bCs/>
              </w:rPr>
              <w:t>6.2 Inkompatibilnosti</w:t>
            </w:r>
          </w:p>
          <w:p w:rsidR="00F46F93" w:rsidRP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Nije primjenjivo.</w:t>
            </w:r>
          </w:p>
          <w:p w:rsidR="00F46F93" w:rsidRDefault="00F46F93" w:rsidP="00F46F93">
            <w:pPr>
              <w:autoSpaceDE w:val="0"/>
              <w:autoSpaceDN w:val="0"/>
              <w:adjustRightInd w:val="0"/>
              <w:spacing w:after="0"/>
              <w:rPr>
                <w:rFonts w:ascii="Times New Roman" w:hAnsi="Times New Roman" w:cs="Times New Roman"/>
                <w:color w:val="FF0000"/>
                <w:lang w:val="sr-Latn-CS"/>
              </w:rPr>
            </w:pPr>
          </w:p>
          <w:p w:rsidR="00F46F93" w:rsidRPr="00F46F93" w:rsidRDefault="00F46F93" w:rsidP="00F46F93">
            <w:pPr>
              <w:autoSpaceDE w:val="0"/>
              <w:autoSpaceDN w:val="0"/>
              <w:adjustRightInd w:val="0"/>
              <w:spacing w:after="0"/>
              <w:rPr>
                <w:rFonts w:ascii="Times New Roman" w:hAnsi="Times New Roman" w:cs="Times New Roman"/>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6.3. Rok upotrebe</w:t>
            </w:r>
          </w:p>
          <w:p w:rsidR="00F46F93" w:rsidRDefault="00F46F93" w:rsidP="00F46F93">
            <w:pPr>
              <w:pStyle w:val="Header"/>
              <w:snapToGrid w:val="0"/>
              <w:rPr>
                <w:rFonts w:ascii="Times New Roman" w:hAnsi="Times New Roman" w:cs="Times New Roman"/>
                <w:bCs/>
                <w:lang w:val="sr-Latn-CS"/>
              </w:rPr>
            </w:pPr>
          </w:p>
          <w:p w:rsidR="00F46F93" w:rsidRPr="00F46F93" w:rsidRDefault="00F46F93" w:rsidP="00F46F93">
            <w:pPr>
              <w:pStyle w:val="Header"/>
              <w:snapToGrid w:val="0"/>
              <w:rPr>
                <w:rFonts w:ascii="Times New Roman" w:hAnsi="Times New Roman" w:cs="Times New Roman"/>
                <w:bCs/>
                <w:lang w:val="sr-Latn-CS"/>
              </w:rPr>
            </w:pPr>
            <w:r w:rsidRPr="00F46F93">
              <w:rPr>
                <w:rFonts w:ascii="Times New Roman" w:hAnsi="Times New Roman" w:cs="Times New Roman"/>
                <w:bCs/>
                <w:lang w:val="sr-Latn-CS"/>
              </w:rPr>
              <w:t>3 godine</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color w:val="FF0000"/>
                <w:lang w:val="sr-Latn-CS"/>
              </w:rPr>
            </w:pPr>
          </w:p>
        </w:tc>
      </w:tr>
      <w:tr w:rsidR="00F46F93" w:rsidRPr="00F46F93" w:rsidTr="00726920">
        <w:tc>
          <w:tcPr>
            <w:tcW w:w="9953" w:type="dxa"/>
            <w:vAlign w:val="center"/>
          </w:tcPr>
          <w:p w:rsid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6.4. Posebne mjere upozorenja pri čuvanju lijeka</w:t>
            </w:r>
          </w:p>
          <w:p w:rsid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Lijek ne zahtijeva posebne uslove čuvanja.</w:t>
            </w:r>
          </w:p>
          <w:p w:rsidR="00F46F93" w:rsidRPr="00F46F93" w:rsidRDefault="00F46F93" w:rsidP="00F46F93">
            <w:pPr>
              <w:autoSpaceDE w:val="0"/>
              <w:autoSpaceDN w:val="0"/>
              <w:adjustRightInd w:val="0"/>
              <w:spacing w:after="0"/>
              <w:rPr>
                <w:rFonts w:ascii="Times New Roman" w:hAnsi="Times New Roman" w:cs="Times New Roman"/>
              </w:rPr>
            </w:pP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6.5. Vrsta  i sadržaj pakovanja</w:t>
            </w:r>
          </w:p>
          <w:p w:rsid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 xml:space="preserve">Unutrašnje pakovanje: aluminijum/PVC-PE-PVDC blister sa po 10 film tableta. </w:t>
            </w: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Spoljnje pakovanje: složiva kartonska kutija u kojoj se nalazi 6 blistera sa po 10 film tableta i Uputstvo za pacijenta.</w:t>
            </w:r>
          </w:p>
          <w:p w:rsidR="00F46F93" w:rsidRPr="00F46F93" w:rsidRDefault="00F46F93" w:rsidP="00F46F93">
            <w:pPr>
              <w:autoSpaceDE w:val="0"/>
              <w:autoSpaceDN w:val="0"/>
              <w:adjustRightInd w:val="0"/>
              <w:spacing w:after="0"/>
              <w:rPr>
                <w:rFonts w:ascii="Times New Roman" w:hAnsi="Times New Roman" w:cs="Times New Roman"/>
              </w:rPr>
            </w:pPr>
          </w:p>
        </w:tc>
        <w:tc>
          <w:tcPr>
            <w:tcW w:w="270" w:type="dxa"/>
            <w:tcMar>
              <w:left w:w="0" w:type="dxa"/>
              <w:right w:w="0" w:type="dxa"/>
            </w:tcMar>
          </w:tcPr>
          <w:p w:rsidR="00F46F93" w:rsidRPr="00F46F93" w:rsidRDefault="00F46F93" w:rsidP="00F46F93">
            <w:pPr>
              <w:snapToGrid w:val="0"/>
              <w:spacing w:after="0"/>
              <w:rPr>
                <w:rFonts w:ascii="Times New Roman" w:eastAsia="Arial" w:hAnsi="Times New Roman" w:cs="Times New Roman"/>
                <w:color w:val="FF0000"/>
                <w:lang w:val="sr-Latn-CS"/>
              </w:rPr>
            </w:pPr>
          </w:p>
        </w:tc>
      </w:tr>
      <w:tr w:rsidR="00F46F93" w:rsidRPr="00F46F93" w:rsidTr="00726920">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 xml:space="preserve">6.6. Posebne mjere opreza pri odlaganju materijala koji treba odbaciti nakon primjene lijeka </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color w:val="FF0000"/>
                <w:lang w:val="sr-Latn-CS"/>
              </w:rPr>
            </w:pPr>
          </w:p>
        </w:tc>
      </w:tr>
      <w:tr w:rsidR="00F46F93" w:rsidRPr="00F46F93" w:rsidTr="00726920">
        <w:trPr>
          <w:trHeight w:val="1145"/>
        </w:trPr>
        <w:tc>
          <w:tcPr>
            <w:tcW w:w="9953" w:type="dxa"/>
            <w:vAlign w:val="center"/>
          </w:tcPr>
          <w:p w:rsidR="00F46F93" w:rsidRDefault="00F46F93" w:rsidP="00F46F93">
            <w:pPr>
              <w:autoSpaceDE w:val="0"/>
              <w:autoSpaceDN w:val="0"/>
              <w:adjustRightInd w:val="0"/>
              <w:spacing w:after="0"/>
              <w:rPr>
                <w:rFonts w:ascii="Times New Roman" w:hAnsi="Times New Roman" w:cs="Times New Roman"/>
              </w:rPr>
            </w:pPr>
          </w:p>
          <w:p w:rsidR="00F46F93" w:rsidRPr="00F46F93" w:rsidRDefault="00F46F93" w:rsidP="00F46F93">
            <w:pPr>
              <w:autoSpaceDE w:val="0"/>
              <w:autoSpaceDN w:val="0"/>
              <w:adjustRightInd w:val="0"/>
              <w:spacing w:after="0"/>
              <w:rPr>
                <w:rFonts w:ascii="Times New Roman" w:hAnsi="Times New Roman" w:cs="Times New Roman"/>
              </w:rPr>
            </w:pPr>
            <w:r w:rsidRPr="00F46F93">
              <w:rPr>
                <w:rFonts w:ascii="Times New Roman" w:hAnsi="Times New Roman" w:cs="Times New Roman"/>
              </w:rPr>
              <w:t>Svu neiskorišćenu količinu lijeka ili otpadnog materijala nakon njegove upotrebe treba ukloniti u skladu sa važećim propisima.</w:t>
            </w:r>
          </w:p>
          <w:p w:rsidR="00F46F93" w:rsidRPr="00F46F93" w:rsidRDefault="00F46F93" w:rsidP="00F46F93">
            <w:pPr>
              <w:pStyle w:val="Header"/>
              <w:snapToGrid w:val="0"/>
              <w:rPr>
                <w:rFonts w:ascii="Times New Roman" w:hAnsi="Times New Roman" w:cs="Times New Roman"/>
                <w:color w:val="FF0000"/>
                <w:lang w:val="sr-Latn-CS"/>
              </w:rPr>
            </w:pPr>
          </w:p>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6.7. Režim izdavanja lijeka:</w:t>
            </w:r>
          </w:p>
          <w:p w:rsidR="00F46F93" w:rsidRP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Cs/>
                <w:lang w:val="sr-Latn-CS"/>
              </w:rPr>
            </w:pPr>
            <w:r w:rsidRPr="00F46F93">
              <w:rPr>
                <w:rFonts w:ascii="Times New Roman" w:hAnsi="Times New Roman" w:cs="Times New Roman"/>
                <w:bCs/>
                <w:lang w:val="sr-Latn-CS"/>
              </w:rPr>
              <w:t>Obnovljiv (višekratni) recept.</w:t>
            </w:r>
          </w:p>
          <w:p w:rsidR="00F46F93" w:rsidRDefault="00F46F93" w:rsidP="00F46F93">
            <w:pPr>
              <w:pStyle w:val="Header"/>
              <w:snapToGrid w:val="0"/>
              <w:rPr>
                <w:rFonts w:ascii="Times New Roman" w:hAnsi="Times New Roman" w:cs="Times New Roman"/>
                <w:bCs/>
                <w:color w:val="FF0000"/>
                <w:lang w:val="sr-Latn-CS"/>
              </w:rPr>
            </w:pPr>
          </w:p>
          <w:p w:rsidR="00F46F93" w:rsidRPr="00F46F93" w:rsidRDefault="00F46F93" w:rsidP="00F46F93">
            <w:pPr>
              <w:pStyle w:val="Header"/>
              <w:snapToGrid w:val="0"/>
              <w:rPr>
                <w:rFonts w:ascii="Times New Roman" w:hAnsi="Times New Roman" w:cs="Times New Roman"/>
                <w:bCs/>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 xml:space="preserve">7. NOSILAC DOZVOLE </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color w:val="FF0000"/>
                <w:lang w:val="pl-PL"/>
              </w:rPr>
            </w:pPr>
          </w:p>
        </w:tc>
      </w:tr>
      <w:tr w:rsidR="00F46F93" w:rsidRPr="00F46F93" w:rsidTr="00726920">
        <w:trPr>
          <w:trHeight w:val="779"/>
        </w:trPr>
        <w:tc>
          <w:tcPr>
            <w:tcW w:w="9953" w:type="dxa"/>
            <w:vAlign w:val="center"/>
          </w:tcPr>
          <w:p w:rsidR="00F46F93" w:rsidRPr="00F46F93" w:rsidRDefault="00F46F93" w:rsidP="00F46F93">
            <w:pPr>
              <w:pStyle w:val="Header"/>
              <w:snapToGrid w:val="0"/>
              <w:rPr>
                <w:rFonts w:ascii="Times New Roman" w:hAnsi="Times New Roman" w:cs="Times New Roman"/>
                <w:lang w:val="pl-PL"/>
              </w:rPr>
            </w:pPr>
          </w:p>
          <w:p w:rsidR="00F46F93" w:rsidRPr="00F46F93" w:rsidRDefault="0008119A" w:rsidP="00F46F93">
            <w:pPr>
              <w:pStyle w:val="Header"/>
              <w:snapToGrid w:val="0"/>
              <w:rPr>
                <w:rFonts w:ascii="Times New Roman" w:hAnsi="Times New Roman" w:cs="Times New Roman"/>
                <w:lang w:val="pl-PL"/>
              </w:rPr>
            </w:pPr>
            <w:r>
              <w:rPr>
                <w:rFonts w:ascii="Times New Roman" w:hAnsi="Times New Roman" w:cs="Times New Roman"/>
                <w:lang w:val="pl-PL"/>
              </w:rPr>
              <w:t>Pontera</w:t>
            </w:r>
            <w:r w:rsidR="00F46F93" w:rsidRPr="00F46F93">
              <w:rPr>
                <w:rFonts w:ascii="Times New Roman" w:hAnsi="Times New Roman" w:cs="Times New Roman"/>
                <w:lang w:val="pl-PL"/>
              </w:rPr>
              <w:t xml:space="preserve"> d.o.o.</w:t>
            </w:r>
          </w:p>
          <w:p w:rsidR="00F46F93" w:rsidRPr="00F46F93" w:rsidRDefault="0008119A" w:rsidP="00F46F93">
            <w:pPr>
              <w:pStyle w:val="Header"/>
              <w:rPr>
                <w:rFonts w:ascii="Times New Roman" w:hAnsi="Times New Roman" w:cs="Times New Roman"/>
                <w:lang w:val="pl-PL"/>
              </w:rPr>
            </w:pPr>
            <w:r>
              <w:rPr>
                <w:rFonts w:ascii="Times New Roman" w:hAnsi="Times New Roman" w:cs="Times New Roman"/>
                <w:lang w:val="pl-PL"/>
              </w:rPr>
              <w:t>Cijevna bb</w:t>
            </w:r>
            <w:bookmarkStart w:id="1" w:name="_GoBack"/>
            <w:bookmarkEnd w:id="1"/>
            <w:r w:rsidR="00F46F93" w:rsidRPr="00F46F93">
              <w:rPr>
                <w:rFonts w:ascii="Times New Roman" w:hAnsi="Times New Roman" w:cs="Times New Roman"/>
                <w:lang w:val="pl-PL"/>
              </w:rPr>
              <w:t>, 81000 Podgorica, Crna Gora</w:t>
            </w:r>
          </w:p>
          <w:p w:rsidR="00F46F93" w:rsidRDefault="00F46F93" w:rsidP="00F46F93">
            <w:pPr>
              <w:pStyle w:val="Header"/>
              <w:rPr>
                <w:rFonts w:ascii="Times New Roman" w:hAnsi="Times New Roman" w:cs="Times New Roman"/>
                <w:lang w:val="pl-PL"/>
              </w:rPr>
            </w:pPr>
          </w:p>
          <w:p w:rsidR="00F46F93" w:rsidRPr="00F46F93" w:rsidRDefault="00F46F93" w:rsidP="00F46F93">
            <w:pPr>
              <w:pStyle w:val="Header"/>
              <w:rPr>
                <w:rFonts w:ascii="Times New Roman" w:hAnsi="Times New Roman" w:cs="Times New Roman"/>
                <w:lang w:val="pl-PL"/>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8. BROJ PRVE DOZVOLE/ OBNOVE DOZVOLE</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rPr>
          <w:trHeight w:val="644"/>
        </w:trPr>
        <w:tc>
          <w:tcPr>
            <w:tcW w:w="9953" w:type="dxa"/>
            <w:vAlign w:val="center"/>
          </w:tcPr>
          <w:p w:rsidR="00F46F93" w:rsidRPr="00F46F93" w:rsidRDefault="00F46F93" w:rsidP="00F46F93">
            <w:pPr>
              <w:autoSpaceDE w:val="0"/>
              <w:autoSpaceDN w:val="0"/>
              <w:adjustRightInd w:val="0"/>
              <w:spacing w:after="0"/>
              <w:rPr>
                <w:rFonts w:ascii="Times New Roman" w:hAnsi="Times New Roman" w:cs="Times New Roman"/>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250 mg, blister, 60 (6 x 10) film tableta:</w:t>
            </w:r>
            <w:r w:rsidR="00B5015E">
              <w:rPr>
                <w:rFonts w:ascii="Times New Roman" w:hAnsi="Times New Roman" w:cs="Times New Roman"/>
                <w:bCs/>
              </w:rPr>
              <w:t xml:space="preserve"> </w:t>
            </w:r>
            <w:r w:rsidR="00B5015E" w:rsidRPr="00B5015E">
              <w:rPr>
                <w:rFonts w:ascii="Times New Roman" w:hAnsi="Times New Roman" w:cs="Times New Roman"/>
                <w:bCs/>
              </w:rPr>
              <w:t>2030/18/307 - 955</w:t>
            </w:r>
          </w:p>
          <w:p w:rsidR="00F46F93" w:rsidRPr="00F46F93" w:rsidRDefault="00F46F93" w:rsidP="00F46F93">
            <w:pPr>
              <w:autoSpaceDE w:val="0"/>
              <w:autoSpaceDN w:val="0"/>
              <w:adjustRightInd w:val="0"/>
              <w:spacing w:after="0"/>
              <w:jc w:val="center"/>
              <w:rPr>
                <w:rFonts w:ascii="Times New Roman" w:hAnsi="Times New Roman" w:cs="Times New Roman"/>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500 mg, blister, 60 (6 x 10) film tableta:</w:t>
            </w:r>
            <w:r w:rsidR="00726920">
              <w:rPr>
                <w:rFonts w:ascii="Times New Roman" w:hAnsi="Times New Roman" w:cs="Times New Roman"/>
                <w:bCs/>
              </w:rPr>
              <w:t xml:space="preserve"> </w:t>
            </w:r>
            <w:r w:rsidR="00726920" w:rsidRPr="00726920">
              <w:rPr>
                <w:rFonts w:ascii="Times New Roman" w:hAnsi="Times New Roman" w:cs="Times New Roman"/>
                <w:bCs/>
              </w:rPr>
              <w:t>2030/18/308 - 956</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750 mg, blister, 60 (6 x 10) film tableta:</w:t>
            </w:r>
            <w:r w:rsidR="000A3AEC">
              <w:rPr>
                <w:rFonts w:ascii="Times New Roman" w:hAnsi="Times New Roman" w:cs="Times New Roman"/>
                <w:bCs/>
              </w:rPr>
              <w:t xml:space="preserve"> </w:t>
            </w:r>
            <w:r w:rsidR="000A3AEC" w:rsidRPr="000A3AEC">
              <w:rPr>
                <w:rFonts w:ascii="Times New Roman" w:hAnsi="Times New Roman" w:cs="Times New Roman"/>
                <w:bCs/>
              </w:rPr>
              <w:t>2030/18/309 - 957</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1000 mg, blister, 60 (6 x 10) film tableta:</w:t>
            </w:r>
            <w:r w:rsidR="000A3AEC">
              <w:rPr>
                <w:rFonts w:ascii="Times New Roman" w:hAnsi="Times New Roman" w:cs="Times New Roman"/>
                <w:bCs/>
              </w:rPr>
              <w:t xml:space="preserve"> </w:t>
            </w:r>
            <w:r w:rsidR="000A3AEC" w:rsidRPr="000A3AEC">
              <w:rPr>
                <w:rFonts w:ascii="Times New Roman" w:hAnsi="Times New Roman" w:cs="Times New Roman"/>
                <w:bCs/>
              </w:rPr>
              <w:t>2030/18/310 - 958</w:t>
            </w:r>
          </w:p>
          <w:p w:rsidR="00F46F93" w:rsidRDefault="00F46F93" w:rsidP="00F46F93">
            <w:pPr>
              <w:pStyle w:val="Header"/>
              <w:snapToGrid w:val="0"/>
              <w:rPr>
                <w:rFonts w:ascii="Times New Roman" w:hAnsi="Times New Roman" w:cs="Times New Roman"/>
                <w:b/>
                <w:bCs/>
                <w:color w:val="FF0000"/>
                <w:lang w:val="sr-Latn-CS"/>
              </w:rPr>
            </w:pPr>
          </w:p>
          <w:p w:rsidR="00F46F93" w:rsidRDefault="00F46F93" w:rsidP="00F46F93">
            <w:pPr>
              <w:pStyle w:val="Header"/>
              <w:snapToGrid w:val="0"/>
              <w:rPr>
                <w:rFonts w:ascii="Times New Roman" w:hAnsi="Times New Roman" w:cs="Times New Roman"/>
                <w:b/>
                <w:bCs/>
                <w:color w:val="FF0000"/>
                <w:lang w:val="sr-Latn-CS"/>
              </w:rPr>
            </w:pPr>
          </w:p>
          <w:p w:rsidR="00F46F93" w:rsidRDefault="00F46F93" w:rsidP="00F46F93">
            <w:pPr>
              <w:pStyle w:val="Header"/>
              <w:snapToGrid w:val="0"/>
              <w:rPr>
                <w:rFonts w:ascii="Times New Roman" w:hAnsi="Times New Roman" w:cs="Times New Roman"/>
                <w:b/>
                <w:bCs/>
                <w:color w:val="FF0000"/>
                <w:lang w:val="sr-Latn-CS"/>
              </w:rPr>
            </w:pPr>
          </w:p>
          <w:p w:rsidR="00F46F93" w:rsidRDefault="00F46F93" w:rsidP="00F46F93">
            <w:pPr>
              <w:pStyle w:val="Header"/>
              <w:snapToGrid w:val="0"/>
              <w:rPr>
                <w:rFonts w:ascii="Times New Roman" w:hAnsi="Times New Roman" w:cs="Times New Roman"/>
                <w:b/>
                <w:bCs/>
                <w:color w:val="FF0000"/>
                <w:lang w:val="sr-Latn-CS"/>
              </w:rPr>
            </w:pPr>
          </w:p>
          <w:p w:rsidR="00F46F93" w:rsidRDefault="00F46F93" w:rsidP="00F46F93">
            <w:pPr>
              <w:pStyle w:val="Header"/>
              <w:snapToGrid w:val="0"/>
              <w:rPr>
                <w:rFonts w:ascii="Times New Roman" w:hAnsi="Times New Roman" w:cs="Times New Roman"/>
                <w:b/>
                <w:bCs/>
                <w:color w:val="FF0000"/>
                <w:lang w:val="sr-Latn-CS"/>
              </w:rPr>
            </w:pPr>
          </w:p>
          <w:p w:rsidR="00F46F93" w:rsidRPr="00F46F93" w:rsidRDefault="00F46F93" w:rsidP="00F46F93">
            <w:pPr>
              <w:pStyle w:val="Header"/>
              <w:snapToGrid w:val="0"/>
              <w:rPr>
                <w:rFonts w:ascii="Times New Roman" w:hAnsi="Times New Roman" w:cs="Times New Roman"/>
                <w:b/>
                <w:bCs/>
                <w:color w:val="FF0000"/>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lastRenderedPageBreak/>
              <w:t>9. DATUM PRVE DOZVOLE / DATUM OBNOVE DOZVOLE</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rPr>
          <w:trHeight w:val="644"/>
        </w:trPr>
        <w:tc>
          <w:tcPr>
            <w:tcW w:w="9953" w:type="dxa"/>
            <w:vAlign w:val="center"/>
          </w:tcPr>
          <w:p w:rsidR="00F46F93" w:rsidRP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250 mg, blister, 60 (6 x 10) film tableta:</w:t>
            </w:r>
            <w:r w:rsidR="00B5015E">
              <w:rPr>
                <w:rFonts w:ascii="Times New Roman" w:hAnsi="Times New Roman" w:cs="Times New Roman"/>
                <w:bCs/>
              </w:rPr>
              <w:t xml:space="preserve"> </w:t>
            </w:r>
            <w:r w:rsidR="00B5015E">
              <w:rPr>
                <w:rFonts w:ascii="TimesNewRoman" w:hAnsi="TimesNewRoman" w:cs="TimesNewRoman"/>
              </w:rPr>
              <w:t>15.06.2018. godine</w:t>
            </w:r>
          </w:p>
          <w:p w:rsidR="00F46F93" w:rsidRPr="00F46F93" w:rsidRDefault="00F46F93" w:rsidP="00F46F93">
            <w:pPr>
              <w:autoSpaceDE w:val="0"/>
              <w:autoSpaceDN w:val="0"/>
              <w:adjustRightInd w:val="0"/>
              <w:spacing w:after="0"/>
              <w:jc w:val="center"/>
              <w:rPr>
                <w:rFonts w:ascii="Times New Roman" w:hAnsi="Times New Roman" w:cs="Times New Roman"/>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500 mg, blister, 60 (6 x 10) film tableta:</w:t>
            </w:r>
            <w:r w:rsidR="00B5015E">
              <w:rPr>
                <w:rFonts w:ascii="Times New Roman" w:hAnsi="Times New Roman" w:cs="Times New Roman"/>
                <w:bCs/>
              </w:rPr>
              <w:t xml:space="preserve"> </w:t>
            </w:r>
            <w:r w:rsidR="00B5015E">
              <w:rPr>
                <w:rFonts w:ascii="TimesNewRoman" w:hAnsi="TimesNewRoman" w:cs="TimesNewRoman"/>
              </w:rPr>
              <w:t>15.06.2018. godine</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750 mg, blister, 60 (6 x 10) film tableta:</w:t>
            </w:r>
            <w:r w:rsidR="00B5015E">
              <w:rPr>
                <w:rFonts w:ascii="Times New Roman" w:hAnsi="Times New Roman" w:cs="Times New Roman"/>
                <w:bCs/>
              </w:rPr>
              <w:t xml:space="preserve"> </w:t>
            </w:r>
            <w:r w:rsidR="00B5015E">
              <w:rPr>
                <w:rFonts w:ascii="TimesNewRoman" w:hAnsi="TimesNewRoman" w:cs="TimesNewRoman"/>
              </w:rPr>
              <w:t>15.06.2018. godine</w:t>
            </w:r>
          </w:p>
          <w:p w:rsidR="00F46F93" w:rsidRPr="00F46F93" w:rsidRDefault="00F46F93" w:rsidP="00F46F93">
            <w:pPr>
              <w:autoSpaceDE w:val="0"/>
              <w:autoSpaceDN w:val="0"/>
              <w:adjustRightInd w:val="0"/>
              <w:spacing w:after="0"/>
              <w:rPr>
                <w:rFonts w:ascii="Times New Roman" w:hAnsi="Times New Roman" w:cs="Times New Roman"/>
                <w:b/>
                <w:bCs/>
              </w:rPr>
            </w:pPr>
          </w:p>
          <w:p w:rsidR="00F46F93" w:rsidRPr="00F46F93" w:rsidRDefault="00F46F93" w:rsidP="00F46F93">
            <w:pPr>
              <w:autoSpaceDE w:val="0"/>
              <w:autoSpaceDN w:val="0"/>
              <w:adjustRightInd w:val="0"/>
              <w:spacing w:after="0"/>
              <w:rPr>
                <w:rFonts w:ascii="Times New Roman" w:hAnsi="Times New Roman" w:cs="Times New Roman"/>
                <w:bCs/>
              </w:rPr>
            </w:pPr>
            <w:r w:rsidRPr="00F46F93">
              <w:rPr>
                <w:rFonts w:ascii="Times New Roman" w:hAnsi="Times New Roman" w:cs="Times New Roman"/>
                <w:bCs/>
              </w:rPr>
              <w:t>Quetra, film tableta, 1000 mg, blister, 60 (6 x 10) film tableta:</w:t>
            </w:r>
            <w:r w:rsidR="00B5015E">
              <w:rPr>
                <w:rFonts w:ascii="Times New Roman" w:hAnsi="Times New Roman" w:cs="Times New Roman"/>
                <w:bCs/>
              </w:rPr>
              <w:t xml:space="preserve"> </w:t>
            </w:r>
            <w:r w:rsidR="00B5015E">
              <w:rPr>
                <w:rFonts w:ascii="TimesNewRoman" w:hAnsi="TimesNewRoman" w:cs="TimesNewRoman"/>
              </w:rPr>
              <w:t>15.06.2018. godine</w:t>
            </w:r>
          </w:p>
          <w:p w:rsidR="00F46F93" w:rsidRDefault="00F46F93" w:rsidP="00F46F93">
            <w:pPr>
              <w:pStyle w:val="Header"/>
              <w:snapToGrid w:val="0"/>
              <w:rPr>
                <w:rFonts w:ascii="Times New Roman" w:hAnsi="Times New Roman" w:cs="Times New Roman"/>
                <w:b/>
                <w:bCs/>
                <w:lang w:val="sr-Latn-CS"/>
              </w:rPr>
            </w:pPr>
          </w:p>
          <w:p w:rsidR="00F46F93" w:rsidRPr="00F46F93" w:rsidRDefault="00F46F93" w:rsidP="00F46F93">
            <w:pPr>
              <w:pStyle w:val="Header"/>
              <w:snapToGrid w:val="0"/>
              <w:rPr>
                <w:rFonts w:ascii="Times New Roman" w:hAnsi="Times New Roman" w:cs="Times New Roman"/>
                <w:b/>
                <w:bCs/>
                <w:lang w:val="sr-Latn-CS"/>
              </w:rPr>
            </w:pP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r w:rsidR="00F46F93" w:rsidRPr="00F46F93" w:rsidTr="00726920">
        <w:tc>
          <w:tcPr>
            <w:tcW w:w="9953" w:type="dxa"/>
            <w:shd w:val="clear" w:color="auto" w:fill="E0E0E0"/>
            <w:vAlign w:val="center"/>
          </w:tcPr>
          <w:p w:rsidR="00F46F93" w:rsidRPr="00F46F93" w:rsidRDefault="00F46F93" w:rsidP="00F46F93">
            <w:pPr>
              <w:pStyle w:val="Header"/>
              <w:snapToGrid w:val="0"/>
              <w:rPr>
                <w:rFonts w:ascii="Times New Roman" w:hAnsi="Times New Roman" w:cs="Times New Roman"/>
                <w:b/>
                <w:bCs/>
                <w:lang w:val="sr-Latn-CS"/>
              </w:rPr>
            </w:pPr>
            <w:r w:rsidRPr="00F46F93">
              <w:rPr>
                <w:rFonts w:ascii="Times New Roman" w:hAnsi="Times New Roman" w:cs="Times New Roman"/>
                <w:b/>
                <w:bCs/>
                <w:lang w:val="sr-Latn-CS"/>
              </w:rPr>
              <w:t>10. DATUM POSLEDNJE REVIZIJE TEKSTA SAŽETKA OSNOVNIH KARAKTERISTIKA LIJEKA</w:t>
            </w:r>
          </w:p>
        </w:tc>
        <w:tc>
          <w:tcPr>
            <w:tcW w:w="270" w:type="dxa"/>
            <w:tcMar>
              <w:left w:w="0" w:type="dxa"/>
              <w:right w:w="0" w:type="dxa"/>
            </w:tcMar>
          </w:tcPr>
          <w:p w:rsidR="00F46F93" w:rsidRPr="00F46F93" w:rsidRDefault="00F46F93" w:rsidP="00F46F93">
            <w:pPr>
              <w:snapToGrid w:val="0"/>
              <w:spacing w:after="0"/>
              <w:rPr>
                <w:rFonts w:ascii="Times New Roman" w:hAnsi="Times New Roman" w:cs="Times New Roman"/>
                <w:b/>
                <w:bCs/>
                <w:color w:val="FF0000"/>
                <w:lang w:val="sr-Latn-CS"/>
              </w:rPr>
            </w:pPr>
          </w:p>
        </w:tc>
      </w:tr>
    </w:tbl>
    <w:p w:rsidR="00F46F93" w:rsidRDefault="00F46F93" w:rsidP="00F46F93">
      <w:pPr>
        <w:pStyle w:val="Header"/>
        <w:rPr>
          <w:rFonts w:ascii="Times New Roman" w:hAnsi="Times New Roman" w:cs="Times New Roman"/>
          <w:color w:val="FF0000"/>
        </w:rPr>
      </w:pPr>
    </w:p>
    <w:p w:rsidR="00B5015E" w:rsidRPr="00B5015E" w:rsidRDefault="00B5015E" w:rsidP="00F46F93">
      <w:pPr>
        <w:pStyle w:val="Header"/>
        <w:rPr>
          <w:rFonts w:ascii="Times New Roman" w:hAnsi="Times New Roman" w:cs="Times New Roman"/>
        </w:rPr>
      </w:pPr>
      <w:proofErr w:type="gramStart"/>
      <w:r>
        <w:rPr>
          <w:rFonts w:ascii="Times New Roman" w:hAnsi="Times New Roman" w:cs="Times New Roman"/>
        </w:rPr>
        <w:t>Jun,</w:t>
      </w:r>
      <w:proofErr w:type="gramEnd"/>
      <w:r>
        <w:rPr>
          <w:rFonts w:ascii="Times New Roman" w:hAnsi="Times New Roman" w:cs="Times New Roman"/>
        </w:rPr>
        <w:t xml:space="preserve"> 2018. </w:t>
      </w:r>
      <w:proofErr w:type="gramStart"/>
      <w:r>
        <w:rPr>
          <w:rFonts w:ascii="Times New Roman" w:hAnsi="Times New Roman" w:cs="Times New Roman"/>
        </w:rPr>
        <w:t>godine</w:t>
      </w:r>
      <w:proofErr w:type="gramEnd"/>
    </w:p>
    <w:p w:rsidR="009318B4" w:rsidRPr="00F46F93" w:rsidRDefault="009318B4" w:rsidP="00F46F93">
      <w:pPr>
        <w:spacing w:after="0"/>
        <w:rPr>
          <w:rFonts w:ascii="Times New Roman" w:hAnsi="Times New Roman" w:cs="Times New Roman"/>
        </w:rPr>
      </w:pPr>
    </w:p>
    <w:p w:rsidR="009318B4" w:rsidRPr="00F46F93" w:rsidRDefault="00747C4B" w:rsidP="00F46F93">
      <w:pPr>
        <w:tabs>
          <w:tab w:val="left" w:pos="6150"/>
        </w:tabs>
        <w:spacing w:after="0"/>
        <w:rPr>
          <w:rFonts w:ascii="Times New Roman" w:hAnsi="Times New Roman" w:cs="Times New Roman"/>
        </w:rPr>
      </w:pPr>
      <w:r w:rsidRPr="00F46F93">
        <w:rPr>
          <w:rFonts w:ascii="Times New Roman" w:hAnsi="Times New Roman" w:cs="Times New Roman"/>
        </w:rPr>
        <w:tab/>
      </w:r>
    </w:p>
    <w:p w:rsidR="009318B4" w:rsidRPr="00F46F93" w:rsidRDefault="009318B4"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spacing w:after="0"/>
        <w:rPr>
          <w:rFonts w:ascii="Times New Roman" w:hAnsi="Times New Roman" w:cs="Times New Roman"/>
        </w:rPr>
      </w:pPr>
    </w:p>
    <w:p w:rsidR="00F1527C" w:rsidRPr="00F46F93" w:rsidRDefault="00F1527C" w:rsidP="00F46F93">
      <w:pPr>
        <w:tabs>
          <w:tab w:val="left" w:pos="2751"/>
        </w:tabs>
        <w:spacing w:after="0"/>
        <w:rPr>
          <w:rFonts w:ascii="Times New Roman" w:hAnsi="Times New Roman" w:cs="Times New Roman"/>
        </w:rPr>
      </w:pPr>
    </w:p>
    <w:p w:rsidR="00F1527C" w:rsidRPr="00F46F93" w:rsidRDefault="00F1527C" w:rsidP="00F46F93">
      <w:pPr>
        <w:tabs>
          <w:tab w:val="left" w:pos="2751"/>
        </w:tabs>
        <w:spacing w:after="0"/>
        <w:rPr>
          <w:rFonts w:ascii="Times New Roman" w:hAnsi="Times New Roman" w:cs="Times New Roman"/>
        </w:rPr>
      </w:pPr>
    </w:p>
    <w:p w:rsidR="00F1527C" w:rsidRPr="00F46F93" w:rsidRDefault="00F1527C" w:rsidP="00F46F93">
      <w:pPr>
        <w:tabs>
          <w:tab w:val="left" w:pos="2751"/>
        </w:tabs>
        <w:spacing w:after="0"/>
        <w:rPr>
          <w:rFonts w:ascii="Times New Roman" w:hAnsi="Times New Roman" w:cs="Times New Roman"/>
        </w:rPr>
      </w:pPr>
    </w:p>
    <w:p w:rsidR="009318B4" w:rsidRPr="00F46F93" w:rsidRDefault="00F1527C" w:rsidP="00F46F93">
      <w:pPr>
        <w:tabs>
          <w:tab w:val="left" w:pos="2751"/>
        </w:tabs>
        <w:spacing w:after="0"/>
        <w:rPr>
          <w:rFonts w:ascii="Times New Roman" w:hAnsi="Times New Roman" w:cs="Times New Roman"/>
        </w:rPr>
      </w:pPr>
      <w:r w:rsidRPr="00F46F93">
        <w:rPr>
          <w:rFonts w:ascii="Times New Roman" w:hAnsi="Times New Roman" w:cs="Times New Roman"/>
        </w:rPr>
        <w:tab/>
      </w:r>
    </w:p>
    <w:sectPr w:rsidR="009318B4" w:rsidRPr="00F46F93"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66C" w:rsidRDefault="00BB166C" w:rsidP="00FF2B5A">
      <w:pPr>
        <w:spacing w:after="0" w:line="240" w:lineRule="auto"/>
      </w:pPr>
      <w:r>
        <w:separator/>
      </w:r>
    </w:p>
  </w:endnote>
  <w:endnote w:type="continuationSeparator" w:id="0">
    <w:p w:rsidR="00BB166C" w:rsidRDefault="00BB166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MS-Mincho">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25" w:rsidRPr="00F1527C" w:rsidRDefault="009C7025"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9C7025" w:rsidRPr="00F1527C" w:rsidRDefault="009C7025"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9C7025" w:rsidRPr="00F1527C" w:rsidRDefault="009C702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9C7025" w:rsidRPr="00F1527C" w:rsidRDefault="009C702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C7025" w:rsidRPr="00F1527C" w:rsidRDefault="009C702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C7025" w:rsidRPr="009318B4" w:rsidRDefault="009C702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8119A">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8119A">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25" w:rsidRPr="00F1527C" w:rsidRDefault="009C702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9C7025" w:rsidRPr="00F1527C" w:rsidRDefault="009C702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9C7025" w:rsidRPr="00F1527C" w:rsidRDefault="009C702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9C7025" w:rsidRPr="00F1527C" w:rsidRDefault="009C702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C7025" w:rsidRPr="00F1527C" w:rsidRDefault="009C702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9C7025" w:rsidRPr="009318B4" w:rsidRDefault="009C702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66C" w:rsidRDefault="00BB166C" w:rsidP="00FF2B5A">
      <w:pPr>
        <w:spacing w:after="0" w:line="240" w:lineRule="auto"/>
      </w:pPr>
      <w:r>
        <w:separator/>
      </w:r>
    </w:p>
  </w:footnote>
  <w:footnote w:type="continuationSeparator" w:id="0">
    <w:p w:rsidR="00BB166C" w:rsidRDefault="00BB166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25" w:rsidRDefault="009C7025" w:rsidP="009318B4">
    <w:pPr>
      <w:pStyle w:val="Header"/>
      <w:rPr>
        <w:sz w:val="16"/>
        <w:szCs w:val="16"/>
      </w:rPr>
    </w:pPr>
  </w:p>
  <w:p w:rsidR="009C7025" w:rsidRDefault="009C7025"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C7025" w:rsidRDefault="009C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25" w:rsidRDefault="009C7025" w:rsidP="009318B4">
    <w:pPr>
      <w:pStyle w:val="Header"/>
      <w:rPr>
        <w:sz w:val="16"/>
        <w:szCs w:val="16"/>
      </w:rPr>
    </w:pPr>
  </w:p>
  <w:p w:rsidR="009C7025" w:rsidRDefault="009C7025"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C7025" w:rsidRDefault="009C7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2C1A0001"/>
    <w:lvl w:ilvl="0">
      <w:start w:val="1"/>
      <w:numFmt w:val="bullet"/>
      <w:lvlText w:val=""/>
      <w:lvlJc w:val="left"/>
      <w:pPr>
        <w:ind w:left="786" w:hanging="360"/>
      </w:pPr>
      <w:rPr>
        <w:rFonts w:ascii="Symbol" w:hAnsi="Symbol" w:hint="default"/>
        <w:b w:val="0"/>
        <w:i w:val="0"/>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4F65723"/>
    <w:multiLevelType w:val="hybridMultilevel"/>
    <w:tmpl w:val="79D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42F81"/>
    <w:multiLevelType w:val="hybridMultilevel"/>
    <w:tmpl w:val="EB00E210"/>
    <w:lvl w:ilvl="0" w:tplc="4E22E3C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85504"/>
    <w:multiLevelType w:val="hybridMultilevel"/>
    <w:tmpl w:val="3F2E3A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3"/>
    <w:lvlOverride w:ilvl="0">
      <w:startOverride w:val="1"/>
    </w:lvlOverride>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119A"/>
    <w:rsid w:val="000A3AEC"/>
    <w:rsid w:val="00116FE6"/>
    <w:rsid w:val="00163B5E"/>
    <w:rsid w:val="00461135"/>
    <w:rsid w:val="004C4F5A"/>
    <w:rsid w:val="004C71BC"/>
    <w:rsid w:val="004E30AE"/>
    <w:rsid w:val="00726920"/>
    <w:rsid w:val="00747C4B"/>
    <w:rsid w:val="00883AF2"/>
    <w:rsid w:val="009318B4"/>
    <w:rsid w:val="00934541"/>
    <w:rsid w:val="009C7025"/>
    <w:rsid w:val="00A06058"/>
    <w:rsid w:val="00B234CE"/>
    <w:rsid w:val="00B34AF2"/>
    <w:rsid w:val="00B5015E"/>
    <w:rsid w:val="00BB166C"/>
    <w:rsid w:val="00C4240B"/>
    <w:rsid w:val="00CB7FD8"/>
    <w:rsid w:val="00D45AFE"/>
    <w:rsid w:val="00E0627A"/>
    <w:rsid w:val="00EB2A93"/>
    <w:rsid w:val="00F1527C"/>
    <w:rsid w:val="00F46F9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C170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6F93"/>
    <w:pPr>
      <w:keepNext/>
      <w:tabs>
        <w:tab w:val="num" w:pos="567"/>
      </w:tabs>
      <w:spacing w:before="240" w:after="240" w:line="240" w:lineRule="auto"/>
      <w:jc w:val="both"/>
      <w:outlineLvl w:val="0"/>
    </w:pPr>
    <w:rPr>
      <w:rFonts w:ascii="Times New Roman" w:eastAsia="Times New Roman" w:hAnsi="Times New Roman" w:cs="Times New Roman"/>
      <w:b/>
      <w:caps/>
      <w:sz w:val="24"/>
      <w:szCs w:val="20"/>
      <w:lang w:val="en-GB"/>
    </w:rPr>
  </w:style>
  <w:style w:type="paragraph" w:styleId="Heading2">
    <w:name w:val="heading 2"/>
    <w:basedOn w:val="Normal"/>
    <w:next w:val="Normal"/>
    <w:link w:val="Heading2Char"/>
    <w:qFormat/>
    <w:rsid w:val="00F46F9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46F93"/>
    <w:pPr>
      <w:keepNext/>
      <w:tabs>
        <w:tab w:val="num" w:pos="1985"/>
      </w:tabs>
      <w:spacing w:after="0" w:line="240" w:lineRule="auto"/>
      <w:ind w:left="1985" w:hanging="1985"/>
      <w:jc w:val="both"/>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F46F93"/>
    <w:pPr>
      <w:keepNext/>
      <w:tabs>
        <w:tab w:val="num" w:pos="864"/>
      </w:tabs>
      <w:spacing w:after="0" w:line="240" w:lineRule="auto"/>
      <w:ind w:left="864" w:hanging="864"/>
      <w:jc w:val="both"/>
      <w:outlineLvl w:val="3"/>
    </w:pPr>
    <w:rPr>
      <w:rFonts w:ascii="Times New Roman" w:eastAsia="Times New Roman" w:hAnsi="Times New Roman" w:cs="Times New Roman"/>
      <w:b/>
      <w:sz w:val="24"/>
      <w:szCs w:val="20"/>
      <w:lang w:val="ru-RU"/>
    </w:rPr>
  </w:style>
  <w:style w:type="paragraph" w:styleId="Heading5">
    <w:name w:val="heading 5"/>
    <w:basedOn w:val="Normal"/>
    <w:next w:val="Normal"/>
    <w:link w:val="Heading5Char"/>
    <w:qFormat/>
    <w:rsid w:val="00F46F93"/>
    <w:pPr>
      <w:keepNext/>
      <w:tabs>
        <w:tab w:val="num" w:pos="1008"/>
      </w:tabs>
      <w:spacing w:after="0" w:line="240" w:lineRule="auto"/>
      <w:ind w:left="1008" w:hanging="1008"/>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qFormat/>
    <w:rsid w:val="00F46F93"/>
    <w:pPr>
      <w:tabs>
        <w:tab w:val="num" w:pos="1152"/>
      </w:tabs>
      <w:spacing w:before="240" w:after="60" w:line="240" w:lineRule="auto"/>
      <w:ind w:left="1152" w:hanging="1152"/>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qFormat/>
    <w:rsid w:val="00F46F93"/>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qFormat/>
    <w:rsid w:val="00F46F9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46F93"/>
    <w:pPr>
      <w:tabs>
        <w:tab w:val="num" w:pos="1584"/>
      </w:tabs>
      <w:spacing w:before="240" w:after="60" w:line="240" w:lineRule="auto"/>
      <w:ind w:left="1584" w:hanging="1584"/>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F46F93"/>
    <w:rPr>
      <w:rFonts w:ascii="Times New Roman" w:eastAsia="Times New Roman" w:hAnsi="Times New Roman" w:cs="Times New Roman"/>
      <w:b/>
      <w:caps/>
      <w:sz w:val="24"/>
      <w:szCs w:val="20"/>
      <w:lang w:val="en-GB"/>
    </w:rPr>
  </w:style>
  <w:style w:type="character" w:customStyle="1" w:styleId="Heading2Char">
    <w:name w:val="Heading 2 Char"/>
    <w:basedOn w:val="DefaultParagraphFont"/>
    <w:link w:val="Heading2"/>
    <w:rsid w:val="00F46F93"/>
    <w:rPr>
      <w:rFonts w:ascii="Arial" w:eastAsia="Times New Roman" w:hAnsi="Arial" w:cs="Arial"/>
      <w:b/>
      <w:bCs/>
      <w:i/>
      <w:iCs/>
      <w:sz w:val="28"/>
      <w:szCs w:val="28"/>
    </w:rPr>
  </w:style>
  <w:style w:type="character" w:customStyle="1" w:styleId="Heading3Char">
    <w:name w:val="Heading 3 Char"/>
    <w:basedOn w:val="DefaultParagraphFont"/>
    <w:link w:val="Heading3"/>
    <w:rsid w:val="00F46F9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F46F93"/>
    <w:rPr>
      <w:rFonts w:ascii="Times New Roman" w:eastAsia="Times New Roman" w:hAnsi="Times New Roman" w:cs="Times New Roman"/>
      <w:b/>
      <w:sz w:val="24"/>
      <w:szCs w:val="20"/>
      <w:lang w:val="ru-RU"/>
    </w:rPr>
  </w:style>
  <w:style w:type="character" w:customStyle="1" w:styleId="Heading5Char">
    <w:name w:val="Heading 5 Char"/>
    <w:basedOn w:val="DefaultParagraphFont"/>
    <w:link w:val="Heading5"/>
    <w:rsid w:val="00F46F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F46F93"/>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F46F93"/>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F46F9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46F93"/>
    <w:rPr>
      <w:rFonts w:ascii="Arial" w:eastAsia="Times New Roman" w:hAnsi="Arial" w:cs="Arial"/>
      <w:lang w:val="en-AU"/>
    </w:rPr>
  </w:style>
  <w:style w:type="paragraph" w:styleId="Title">
    <w:name w:val="Title"/>
    <w:basedOn w:val="Normal"/>
    <w:link w:val="TitleChar"/>
    <w:qFormat/>
    <w:rsid w:val="00F46F9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F46F93"/>
    <w:rPr>
      <w:rFonts w:ascii="Times New Roman" w:eastAsia="Times New Roman" w:hAnsi="Times New Roman" w:cs="Times New Roman"/>
      <w:b/>
      <w:sz w:val="24"/>
      <w:szCs w:val="24"/>
    </w:rPr>
  </w:style>
  <w:style w:type="paragraph" w:styleId="EndnoteText">
    <w:name w:val="endnote text"/>
    <w:basedOn w:val="Normal"/>
    <w:link w:val="EndnoteTextChar"/>
    <w:semiHidden/>
    <w:rsid w:val="00F46F93"/>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F46F93"/>
    <w:rPr>
      <w:rFonts w:ascii="TmsRmn 12pt" w:eastAsia="Times New Roman" w:hAnsi="TmsRmn 12pt" w:cs="Times New Roman"/>
      <w:sz w:val="24"/>
      <w:szCs w:val="24"/>
    </w:rPr>
  </w:style>
  <w:style w:type="paragraph" w:styleId="BodyTextIndent2">
    <w:name w:val="Body Text Indent 2"/>
    <w:basedOn w:val="Normal"/>
    <w:link w:val="BodyTextIndent2Char"/>
    <w:rsid w:val="00F46F93"/>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F46F93"/>
    <w:rPr>
      <w:rFonts w:ascii="Times New Roman" w:eastAsia="Times New Roman" w:hAnsi="Times New Roman" w:cs="Times New Roman"/>
      <w:i/>
      <w:sz w:val="24"/>
      <w:szCs w:val="24"/>
    </w:rPr>
  </w:style>
  <w:style w:type="table" w:styleId="TableGrid">
    <w:name w:val="Table Grid"/>
    <w:basedOn w:val="TableNormal"/>
    <w:rsid w:val="00F46F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F46F93"/>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F46F93"/>
  </w:style>
  <w:style w:type="paragraph" w:styleId="BodyText">
    <w:name w:val="Body Text"/>
    <w:basedOn w:val="Normal"/>
    <w:link w:val="BodyTextChar"/>
    <w:qFormat/>
    <w:rsid w:val="00F46F9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46F93"/>
    <w:rPr>
      <w:rFonts w:ascii="Times New Roman" w:eastAsia="Times New Roman" w:hAnsi="Times New Roman" w:cs="Times New Roman"/>
      <w:sz w:val="20"/>
      <w:szCs w:val="20"/>
    </w:rPr>
  </w:style>
  <w:style w:type="paragraph" w:styleId="BodyTextIndent3">
    <w:name w:val="Body Text Indent 3"/>
    <w:basedOn w:val="Normal"/>
    <w:link w:val="BodyTextIndent3Char"/>
    <w:rsid w:val="00F46F9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46F93"/>
    <w:rPr>
      <w:rFonts w:ascii="Times New Roman" w:eastAsia="Times New Roman" w:hAnsi="Times New Roman" w:cs="Times New Roman"/>
      <w:sz w:val="16"/>
      <w:szCs w:val="16"/>
    </w:rPr>
  </w:style>
  <w:style w:type="paragraph" w:styleId="BodyTextIndent">
    <w:name w:val="Body Text Indent"/>
    <w:basedOn w:val="Normal"/>
    <w:link w:val="BodyTextIndentChar"/>
    <w:rsid w:val="00F46F9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46F93"/>
    <w:rPr>
      <w:rFonts w:ascii="Times New Roman" w:eastAsia="Times New Roman" w:hAnsi="Times New Roman" w:cs="Times New Roman"/>
      <w:sz w:val="20"/>
      <w:szCs w:val="20"/>
    </w:rPr>
  </w:style>
  <w:style w:type="character" w:styleId="Strong">
    <w:name w:val="Strong"/>
    <w:qFormat/>
    <w:rsid w:val="00F46F93"/>
    <w:rPr>
      <w:b/>
      <w:bCs w:val="0"/>
    </w:rPr>
  </w:style>
  <w:style w:type="paragraph" w:styleId="BodyText2">
    <w:name w:val="Body Text 2"/>
    <w:basedOn w:val="Normal"/>
    <w:link w:val="BodyText2Char"/>
    <w:rsid w:val="00F46F9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46F93"/>
    <w:rPr>
      <w:rFonts w:ascii="Times New Roman" w:eastAsia="Times New Roman" w:hAnsi="Times New Roman" w:cs="Times New Roman"/>
      <w:sz w:val="20"/>
      <w:szCs w:val="20"/>
    </w:rPr>
  </w:style>
  <w:style w:type="paragraph" w:styleId="NormalWeb">
    <w:name w:val="Normal (Web)"/>
    <w:basedOn w:val="Normal"/>
    <w:rsid w:val="00F46F93"/>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F46F93"/>
    <w:pPr>
      <w:spacing w:after="0" w:line="240" w:lineRule="auto"/>
    </w:pPr>
    <w:rPr>
      <w:rFonts w:ascii="Arial" w:eastAsia="Times New Roman" w:hAnsi="Arial" w:cs="Times New Roman"/>
    </w:rPr>
  </w:style>
  <w:style w:type="character" w:styleId="Emphasis">
    <w:name w:val="Emphasis"/>
    <w:qFormat/>
    <w:rsid w:val="00F46F93"/>
    <w:rPr>
      <w:b/>
      <w:bCs/>
      <w:i w:val="0"/>
      <w:iCs w:val="0"/>
    </w:rPr>
  </w:style>
  <w:style w:type="paragraph" w:customStyle="1" w:styleId="Default">
    <w:name w:val="Default"/>
    <w:rsid w:val="00F46F93"/>
    <w:pPr>
      <w:autoSpaceDE w:val="0"/>
      <w:autoSpaceDN w:val="0"/>
      <w:adjustRightInd w:val="0"/>
      <w:spacing w:after="0" w:line="240" w:lineRule="auto"/>
    </w:pPr>
    <w:rPr>
      <w:rFonts w:ascii="Times New Roman" w:eastAsia="MS Mincho" w:hAnsi="Times New Roman" w:cs="Times New Roman"/>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F46F93"/>
    <w:pPr>
      <w:spacing w:after="0" w:line="240" w:lineRule="auto"/>
    </w:pPr>
    <w:rPr>
      <w:rFonts w:ascii="Arial" w:eastAsia="Univers Condensed" w:hAnsi="Arial" w:cs="Times New Roman"/>
      <w:sz w:val="24"/>
      <w:szCs w:val="20"/>
      <w:lang w:val="en-GB"/>
    </w:rPr>
  </w:style>
  <w:style w:type="paragraph" w:styleId="ListNumber">
    <w:name w:val="List Number"/>
    <w:basedOn w:val="Normal"/>
    <w:rsid w:val="00F46F93"/>
    <w:pPr>
      <w:tabs>
        <w:tab w:val="num" w:pos="360"/>
      </w:tabs>
      <w:spacing w:after="0" w:line="240" w:lineRule="auto"/>
      <w:ind w:left="360" w:hanging="360"/>
    </w:pPr>
    <w:rPr>
      <w:rFonts w:ascii="Arial" w:eastAsia="Times New Roman" w:hAnsi="Arial" w:cs="Times New Roman"/>
      <w:sz w:val="24"/>
      <w:szCs w:val="20"/>
      <w:lang w:val="en-AU"/>
    </w:rPr>
  </w:style>
  <w:style w:type="paragraph" w:styleId="Subtitle">
    <w:name w:val="Subtitle"/>
    <w:basedOn w:val="Normal"/>
    <w:link w:val="SubtitleChar"/>
    <w:qFormat/>
    <w:rsid w:val="00F46F93"/>
    <w:pPr>
      <w:spacing w:after="0" w:line="240" w:lineRule="auto"/>
      <w:jc w:val="center"/>
    </w:pPr>
    <w:rPr>
      <w:rFonts w:ascii="Times New Roman" w:eastAsia="Times New Roman" w:hAnsi="Times New Roman" w:cs="Times New Roman"/>
      <w:b/>
      <w:bCs/>
      <w:sz w:val="24"/>
      <w:szCs w:val="24"/>
      <w:lang w:val="hr-HR"/>
    </w:rPr>
  </w:style>
  <w:style w:type="character" w:customStyle="1" w:styleId="SubtitleChar">
    <w:name w:val="Subtitle Char"/>
    <w:basedOn w:val="DefaultParagraphFont"/>
    <w:link w:val="Subtitle"/>
    <w:rsid w:val="00F46F93"/>
    <w:rPr>
      <w:rFonts w:ascii="Times New Roman" w:eastAsia="Times New Roman" w:hAnsi="Times New Roman" w:cs="Times New Roman"/>
      <w:b/>
      <w:bCs/>
      <w:sz w:val="24"/>
      <w:szCs w:val="24"/>
      <w:lang w:val="hr-HR"/>
    </w:rPr>
  </w:style>
  <w:style w:type="paragraph" w:styleId="ListParagraph">
    <w:name w:val="List Paragraph"/>
    <w:basedOn w:val="Normal"/>
    <w:uiPriority w:val="34"/>
    <w:qFormat/>
    <w:rsid w:val="00F46F93"/>
    <w:pPr>
      <w:tabs>
        <w:tab w:val="left" w:pos="284"/>
      </w:tabs>
      <w:spacing w:after="0" w:line="240" w:lineRule="auto"/>
      <w:ind w:left="720"/>
      <w:jc w:val="both"/>
    </w:pPr>
    <w:rPr>
      <w:rFonts w:ascii="Humanist777" w:eastAsia="Times New Roman" w:hAnsi="Humanist777" w:cs="Times New Roman"/>
      <w:sz w:val="24"/>
      <w:szCs w:val="24"/>
    </w:rPr>
  </w:style>
  <w:style w:type="paragraph" w:styleId="BalloonText">
    <w:name w:val="Balloon Text"/>
    <w:basedOn w:val="Normal"/>
    <w:link w:val="BalloonTextChar"/>
    <w:rsid w:val="00F46F93"/>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F46F93"/>
    <w:rPr>
      <w:rFonts w:ascii="Tahoma" w:eastAsia="Times New Roman" w:hAnsi="Tahoma" w:cs="Tahoma"/>
      <w:sz w:val="16"/>
      <w:szCs w:val="16"/>
    </w:rPr>
  </w:style>
  <w:style w:type="character" w:customStyle="1" w:styleId="CharChar4">
    <w:name w:val="Char Char4"/>
    <w:rsid w:val="00F46F93"/>
    <w:rPr>
      <w:rFonts w:ascii="Humanist777" w:hAnsi="Humanist777"/>
      <w:sz w:val="24"/>
      <w:szCs w:val="24"/>
    </w:rPr>
  </w:style>
  <w:style w:type="paragraph" w:customStyle="1" w:styleId="lstpara1">
    <w:name w:val="lst_para1"/>
    <w:basedOn w:val="Normal"/>
    <w:rsid w:val="00F46F93"/>
    <w:pPr>
      <w:spacing w:after="240" w:line="312" w:lineRule="atLeast"/>
      <w:ind w:left="360"/>
    </w:pPr>
    <w:rPr>
      <w:rFonts w:ascii="Times" w:eastAsia="Times New Roman" w:hAnsi="Times" w:cs="Times New Roman"/>
      <w:sz w:val="24"/>
      <w:szCs w:val="20"/>
      <w:lang w:val="en-GB" w:eastAsia="en-GB"/>
    </w:rPr>
  </w:style>
  <w:style w:type="paragraph" w:styleId="PlainText">
    <w:name w:val="Plain Text"/>
    <w:basedOn w:val="Normal"/>
    <w:link w:val="PlainTextChar"/>
    <w:unhideWhenUsed/>
    <w:rsid w:val="00F46F9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F46F93"/>
    <w:rPr>
      <w:rFonts w:ascii="Consolas" w:eastAsia="Calibri" w:hAnsi="Consolas" w:cs="Times New Roman"/>
      <w:sz w:val="21"/>
      <w:szCs w:val="21"/>
    </w:rPr>
  </w:style>
  <w:style w:type="paragraph" w:customStyle="1" w:styleId="Para0s">
    <w:name w:val="Para:0:s"/>
    <w:basedOn w:val="Normal"/>
    <w:rsid w:val="00F46F93"/>
    <w:pPr>
      <w:spacing w:after="220" w:line="240" w:lineRule="auto"/>
    </w:pPr>
    <w:rPr>
      <w:rFonts w:ascii="Times New Roman" w:eastAsia="Times New Roman" w:hAnsi="Times New Roman" w:cs="Times New Roman"/>
      <w:sz w:val="24"/>
      <w:szCs w:val="20"/>
      <w:lang w:eastAsia="de-DE"/>
    </w:rPr>
  </w:style>
  <w:style w:type="paragraph" w:customStyle="1" w:styleId="ParaKT0sb">
    <w:name w:val="ParaKT:0:sb"/>
    <w:basedOn w:val="Normal"/>
    <w:next w:val="Para0s"/>
    <w:rsid w:val="00F46F93"/>
    <w:pPr>
      <w:keepNext/>
      <w:keepLines/>
      <w:spacing w:after="220" w:line="240" w:lineRule="auto"/>
    </w:pPr>
    <w:rPr>
      <w:rFonts w:ascii="Times New Roman" w:eastAsia="Times New Roman" w:hAnsi="Times New Roman" w:cs="Times New Roman"/>
      <w:b/>
      <w:sz w:val="24"/>
      <w:szCs w:val="20"/>
      <w:lang w:eastAsia="de-DE"/>
    </w:rPr>
  </w:style>
  <w:style w:type="paragraph" w:styleId="BodyText3">
    <w:name w:val="Body Text 3"/>
    <w:basedOn w:val="Normal"/>
    <w:link w:val="BodyText3Char"/>
    <w:rsid w:val="00F46F93"/>
    <w:pPr>
      <w:tabs>
        <w:tab w:val="left" w:pos="284"/>
      </w:tabs>
      <w:spacing w:after="120" w:line="240" w:lineRule="auto"/>
      <w:jc w:val="both"/>
    </w:pPr>
    <w:rPr>
      <w:rFonts w:ascii="Humanist777" w:eastAsia="Times New Roman" w:hAnsi="Humanist777" w:cs="Times New Roman"/>
      <w:sz w:val="16"/>
      <w:szCs w:val="16"/>
    </w:rPr>
  </w:style>
  <w:style w:type="character" w:customStyle="1" w:styleId="BodyText3Char">
    <w:name w:val="Body Text 3 Char"/>
    <w:basedOn w:val="DefaultParagraphFont"/>
    <w:link w:val="BodyText3"/>
    <w:rsid w:val="00F46F93"/>
    <w:rPr>
      <w:rFonts w:ascii="Humanist777" w:eastAsia="Times New Roman" w:hAnsi="Humanist777" w:cs="Times New Roman"/>
      <w:sz w:val="16"/>
      <w:szCs w:val="16"/>
    </w:rPr>
  </w:style>
  <w:style w:type="paragraph" w:customStyle="1" w:styleId="FR1">
    <w:name w:val="FR1"/>
    <w:rsid w:val="00F46F93"/>
    <w:pPr>
      <w:widowControl w:val="0"/>
      <w:autoSpaceDE w:val="0"/>
      <w:autoSpaceDN w:val="0"/>
      <w:adjustRightInd w:val="0"/>
      <w:spacing w:after="0" w:line="320" w:lineRule="auto"/>
      <w:jc w:val="both"/>
    </w:pPr>
    <w:rPr>
      <w:rFonts w:ascii="Times New Roman" w:eastAsia="Times New Roman" w:hAnsi="Times New Roman" w:cs="Times New Roman"/>
      <w:sz w:val="24"/>
      <w:szCs w:val="24"/>
    </w:rPr>
  </w:style>
  <w:style w:type="character" w:customStyle="1" w:styleId="st1">
    <w:name w:val="st1"/>
    <w:basedOn w:val="DefaultParagraphFont"/>
    <w:rsid w:val="00F46F93"/>
  </w:style>
  <w:style w:type="character" w:customStyle="1" w:styleId="CharCharCharCharCharCharChar">
    <w:name w:val="Char Char Char Char Char Char Char"/>
    <w:aliases w:val=" Char Char1 Char Char Char Char, Char Char Char Char Char, Char Char1 Char Char"/>
    <w:rsid w:val="00F46F93"/>
    <w:rPr>
      <w:rFonts w:ascii="Humanist777" w:hAnsi="Humanist777"/>
      <w:sz w:val="24"/>
      <w:szCs w:val="24"/>
      <w:lang w:val="en-US" w:eastAsia="en-US" w:bidi="ar-SA"/>
    </w:rPr>
  </w:style>
  <w:style w:type="character" w:customStyle="1" w:styleId="CharCharChar1">
    <w:name w:val="Char Char Char1"/>
    <w:rsid w:val="00F46F93"/>
    <w:rPr>
      <w:rFonts w:ascii="Humanist777" w:hAnsi="Humanist777"/>
      <w:sz w:val="24"/>
      <w:szCs w:val="24"/>
      <w:lang w:val="en-US" w:eastAsia="en-US" w:bidi="ar-SA"/>
    </w:rPr>
  </w:style>
  <w:style w:type="paragraph" w:customStyle="1" w:styleId="Style">
    <w:name w:val="Style"/>
    <w:rsid w:val="00F46F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ullet0dKT">
    <w:name w:val="Bullet:0:d:KT"/>
    <w:basedOn w:val="Normal"/>
    <w:rsid w:val="00F46F93"/>
    <w:pPr>
      <w:keepNext/>
      <w:keepLines/>
      <w:numPr>
        <w:numId w:val="1"/>
      </w:numPr>
      <w:spacing w:before="40" w:after="220" w:line="240" w:lineRule="auto"/>
      <w:ind w:left="357" w:hanging="357"/>
    </w:pPr>
    <w:rPr>
      <w:rFonts w:ascii="Helvetica" w:eastAsia="Times New Roman" w:hAnsi="Helvetica" w:cs="Times New Roman"/>
      <w:szCs w:val="20"/>
      <w:lang w:eastAsia="de-DE"/>
    </w:rPr>
  </w:style>
  <w:style w:type="paragraph" w:customStyle="1" w:styleId="Text">
    <w:name w:val="Text"/>
    <w:basedOn w:val="Normal"/>
    <w:rsid w:val="00F46F93"/>
    <w:pPr>
      <w:spacing w:before="14" w:after="144" w:line="300" w:lineRule="atLeast"/>
      <w:ind w:left="720" w:right="360" w:hanging="720"/>
    </w:pPr>
    <w:rPr>
      <w:rFonts w:ascii="Times New Roman" w:eastAsia="Times New Roman" w:hAnsi="Times New Roman" w:cs="Times New Roman"/>
      <w:color w:val="000000"/>
      <w:sz w:val="24"/>
      <w:szCs w:val="20"/>
      <w:lang w:val="en-GB"/>
    </w:rPr>
  </w:style>
  <w:style w:type="character" w:customStyle="1" w:styleId="apple-converted-space">
    <w:name w:val="apple-converted-space"/>
    <w:basedOn w:val="DefaultParagraphFont"/>
    <w:rsid w:val="00F46F93"/>
  </w:style>
  <w:style w:type="character" w:styleId="CommentReference">
    <w:name w:val="annotation reference"/>
    <w:rsid w:val="00F46F93"/>
    <w:rPr>
      <w:sz w:val="16"/>
      <w:szCs w:val="16"/>
    </w:rPr>
  </w:style>
  <w:style w:type="paragraph" w:styleId="CommentText">
    <w:name w:val="annotation text"/>
    <w:basedOn w:val="Normal"/>
    <w:link w:val="CommentTextChar"/>
    <w:rsid w:val="00F46F93"/>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rsid w:val="00F46F93"/>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rsid w:val="00F46F93"/>
    <w:rPr>
      <w:b/>
      <w:bCs/>
    </w:rPr>
  </w:style>
  <w:style w:type="character" w:customStyle="1" w:styleId="CommentSubjectChar">
    <w:name w:val="Comment Subject Char"/>
    <w:basedOn w:val="CommentTextChar"/>
    <w:link w:val="CommentSubject"/>
    <w:rsid w:val="00F46F93"/>
    <w:rPr>
      <w:rFonts w:ascii="Humanist777" w:eastAsia="Times New Roman" w:hAnsi="Humanist777" w:cs="Times New Roman"/>
      <w:b/>
      <w:bCs/>
      <w:sz w:val="20"/>
      <w:szCs w:val="20"/>
    </w:rPr>
  </w:style>
  <w:style w:type="character" w:customStyle="1" w:styleId="ft17">
    <w:name w:val="ft17"/>
    <w:rsid w:val="00F46F93"/>
  </w:style>
  <w:style w:type="paragraph" w:customStyle="1" w:styleId="p69">
    <w:name w:val="p69"/>
    <w:basedOn w:val="Normal"/>
    <w:rsid w:val="00F46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F46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rsid w:val="00F46F93"/>
  </w:style>
  <w:style w:type="numbering" w:customStyle="1" w:styleId="NoList1">
    <w:name w:val="No List1"/>
    <w:next w:val="NoList"/>
    <w:semiHidden/>
    <w:unhideWhenUsed/>
    <w:rsid w:val="00F46F93"/>
  </w:style>
  <w:style w:type="character" w:styleId="Hyperlink">
    <w:name w:val="Hyperlink"/>
    <w:rsid w:val="00F46F93"/>
    <w:rPr>
      <w:rFonts w:ascii="Times New Roman" w:hAnsi="Times New Roman"/>
      <w:color w:val="auto"/>
      <w:sz w:val="24"/>
      <w:szCs w:val="24"/>
      <w:u w:val="single"/>
      <w:lang w:val="en-US"/>
    </w:rPr>
  </w:style>
  <w:style w:type="character" w:styleId="FollowedHyperlink">
    <w:name w:val="FollowedHyperlink"/>
    <w:rsid w:val="00F46F93"/>
    <w:rPr>
      <w:color w:val="800080"/>
      <w:u w:val="single"/>
    </w:rPr>
  </w:style>
  <w:style w:type="paragraph" w:styleId="Caption">
    <w:name w:val="caption"/>
    <w:basedOn w:val="Normal"/>
    <w:next w:val="Normal"/>
    <w:qFormat/>
    <w:rsid w:val="00F46F93"/>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F46F93"/>
    <w:pPr>
      <w:tabs>
        <w:tab w:val="clear" w:pos="567"/>
      </w:tabs>
      <w:spacing w:before="0" w:after="0"/>
      <w:jc w:val="left"/>
    </w:pPr>
    <w:rPr>
      <w:caps w:val="0"/>
      <w:sz w:val="22"/>
      <w:u w:val="single"/>
      <w:lang w:val="sl-SI" w:eastAsia="sl-SI"/>
    </w:rPr>
  </w:style>
  <w:style w:type="paragraph" w:styleId="TOC1">
    <w:name w:val="toc 1"/>
    <w:basedOn w:val="Normal"/>
    <w:next w:val="Normal"/>
    <w:autoRedefine/>
    <w:rsid w:val="00F46F93"/>
    <w:pPr>
      <w:spacing w:before="120" w:after="0" w:line="240" w:lineRule="auto"/>
    </w:pPr>
    <w:rPr>
      <w:rFonts w:ascii="Times New Roman" w:eastAsia="Times New Roman" w:hAnsi="Times New Roman" w:cs="Times New Roman"/>
      <w:b/>
      <w:bCs/>
      <w:i/>
      <w:iCs/>
      <w:sz w:val="24"/>
      <w:szCs w:val="28"/>
      <w:lang w:val="sl-SI" w:eastAsia="sl-SI"/>
    </w:rPr>
  </w:style>
  <w:style w:type="paragraph" w:customStyle="1" w:styleId="EMEAEnBodyText">
    <w:name w:val="EMEA En Body Text"/>
    <w:basedOn w:val="Normal"/>
    <w:rsid w:val="00F46F93"/>
    <w:pPr>
      <w:spacing w:before="120" w:after="120" w:line="240" w:lineRule="auto"/>
      <w:jc w:val="both"/>
    </w:pPr>
    <w:rPr>
      <w:rFonts w:ascii="Times New Roman" w:eastAsia="Times New Roman" w:hAnsi="Times New Roman" w:cs="Times New Roman"/>
      <w:szCs w:val="20"/>
    </w:rPr>
  </w:style>
  <w:style w:type="numbering" w:customStyle="1" w:styleId="NoList2">
    <w:name w:val="No List2"/>
    <w:next w:val="NoList"/>
    <w:uiPriority w:val="99"/>
    <w:semiHidden/>
    <w:unhideWhenUsed/>
    <w:rsid w:val="00F46F93"/>
  </w:style>
  <w:style w:type="numbering" w:customStyle="1" w:styleId="NoList3">
    <w:name w:val="No List3"/>
    <w:next w:val="NoList"/>
    <w:uiPriority w:val="99"/>
    <w:semiHidden/>
    <w:unhideWhenUsed/>
    <w:rsid w:val="00F46F93"/>
  </w:style>
  <w:style w:type="table" w:customStyle="1" w:styleId="TableGrid1">
    <w:name w:val="Table Grid1"/>
    <w:basedOn w:val="TableNormal"/>
    <w:next w:val="TableGrid"/>
    <w:rsid w:val="00F46F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1"/>
    <w:rsid w:val="00F46F93"/>
    <w:pPr>
      <w:spacing w:after="170" w:line="280" w:lineRule="atLeast"/>
      <w:jc w:val="both"/>
    </w:pPr>
    <w:rPr>
      <w:rFonts w:ascii="Times New Roman" w:eastAsia="Times New Roman" w:hAnsi="Times New Roman" w:cs="Times New Roman"/>
      <w:sz w:val="24"/>
      <w:szCs w:val="24"/>
      <w:lang w:eastAsia="de-DE"/>
    </w:rPr>
  </w:style>
  <w:style w:type="character" w:customStyle="1" w:styleId="TextTi12Char1">
    <w:name w:val="Text:Ti12 Char1"/>
    <w:link w:val="TextTi12"/>
    <w:rsid w:val="00F46F93"/>
    <w:rPr>
      <w:rFonts w:ascii="Times New Roman" w:eastAsia="Times New Roman" w:hAnsi="Times New Roman" w:cs="Times New Roman"/>
      <w:sz w:val="24"/>
      <w:szCs w:val="24"/>
      <w:lang w:eastAsia="de-DE"/>
    </w:rPr>
  </w:style>
  <w:style w:type="paragraph" w:customStyle="1" w:styleId="TableLeftAlign">
    <w:name w:val="TableLeftAlign"/>
    <w:basedOn w:val="Normal"/>
    <w:rsid w:val="00F46F93"/>
    <w:pPr>
      <w:suppressAutoHyphens/>
      <w:spacing w:before="60" w:after="60" w:line="240" w:lineRule="exact"/>
    </w:pPr>
    <w:rPr>
      <w:rFonts w:ascii="Arial" w:eastAsia="Times New Roman" w:hAnsi="Arial" w:cs="Arial"/>
      <w:snapToGrid w:val="0"/>
      <w:sz w:val="20"/>
      <w:szCs w:val="20"/>
      <w:lang w:val="en-GB" w:eastAsia="hr-HR"/>
    </w:rPr>
  </w:style>
  <w:style w:type="paragraph" w:customStyle="1" w:styleId="TableLeftBold">
    <w:name w:val="TableLeftBold"/>
    <w:basedOn w:val="Normal"/>
    <w:rsid w:val="00F46F93"/>
    <w:pPr>
      <w:suppressAutoHyphens/>
      <w:spacing w:before="60" w:after="60" w:line="240" w:lineRule="exact"/>
    </w:pPr>
    <w:rPr>
      <w:rFonts w:ascii="Arial" w:eastAsia="Times New Roman" w:hAnsi="Arial" w:cs="Arial"/>
      <w:b/>
      <w:bCs/>
      <w:snapToGrid w:val="0"/>
      <w:sz w:val="20"/>
      <w:szCs w:val="20"/>
      <w:lang w:val="en-GB" w:eastAsia="hr-HR"/>
    </w:rPr>
  </w:style>
  <w:style w:type="paragraph" w:customStyle="1" w:styleId="TableParagraph">
    <w:name w:val="Table Paragraph"/>
    <w:basedOn w:val="Normal"/>
    <w:uiPriority w:val="1"/>
    <w:qFormat/>
    <w:rsid w:val="00F46F93"/>
    <w:pPr>
      <w:widowControl w:val="0"/>
      <w:spacing w:after="0" w:line="240" w:lineRule="auto"/>
    </w:pPr>
    <w:rPr>
      <w:rFonts w:ascii="Calibri" w:eastAsia="Calibri" w:hAnsi="Calibri" w:cs="Times New Roman"/>
    </w:rPr>
  </w:style>
  <w:style w:type="character" w:styleId="PlaceholderText">
    <w:name w:val="Placeholder Text"/>
    <w:uiPriority w:val="99"/>
    <w:semiHidden/>
    <w:rsid w:val="00F46F93"/>
    <w:rPr>
      <w:color w:val="808080"/>
    </w:rPr>
  </w:style>
  <w:style w:type="numbering" w:customStyle="1" w:styleId="NoList4">
    <w:name w:val="No List4"/>
    <w:next w:val="NoList"/>
    <w:uiPriority w:val="99"/>
    <w:semiHidden/>
    <w:unhideWhenUsed/>
    <w:rsid w:val="00F46F93"/>
  </w:style>
  <w:style w:type="paragraph" w:styleId="Revision">
    <w:name w:val="Revision"/>
    <w:hidden/>
    <w:uiPriority w:val="99"/>
    <w:semiHidden/>
    <w:rsid w:val="00F46F93"/>
    <w:pPr>
      <w:spacing w:after="0"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46F93"/>
  </w:style>
  <w:style w:type="numbering" w:customStyle="1" w:styleId="NoList6">
    <w:name w:val="No List6"/>
    <w:next w:val="NoList"/>
    <w:uiPriority w:val="99"/>
    <w:semiHidden/>
    <w:unhideWhenUsed/>
    <w:rsid w:val="00F46F93"/>
  </w:style>
  <w:style w:type="numbering" w:customStyle="1" w:styleId="NoList7">
    <w:name w:val="No List7"/>
    <w:next w:val="NoList"/>
    <w:uiPriority w:val="99"/>
    <w:semiHidden/>
    <w:unhideWhenUsed/>
    <w:rsid w:val="00F46F93"/>
  </w:style>
  <w:style w:type="table" w:customStyle="1" w:styleId="TableGrid2">
    <w:name w:val="Table Grid2"/>
    <w:basedOn w:val="TableNormal"/>
    <w:next w:val="TableGrid"/>
    <w:uiPriority w:val="59"/>
    <w:rsid w:val="00F46F9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semiHidden/>
    <w:rsid w:val="00F46F93"/>
  </w:style>
  <w:style w:type="paragraph" w:customStyle="1" w:styleId="CTRFootNote">
    <w:name w:val="CTR:FootNote"/>
    <w:basedOn w:val="Normal"/>
    <w:rsid w:val="00F46F93"/>
    <w:pPr>
      <w:spacing w:after="0" w:line="240" w:lineRule="atLeast"/>
      <w:ind w:left="432" w:hanging="432"/>
    </w:pPr>
    <w:rPr>
      <w:rFonts w:ascii="Times New Roman" w:eastAsia="Times New Roman" w:hAnsi="Times New Roman" w:cs="Times New Roman"/>
      <w:sz w:val="18"/>
      <w:szCs w:val="20"/>
    </w:rPr>
  </w:style>
  <w:style w:type="paragraph" w:customStyle="1" w:styleId="CS-TextinTable10pt">
    <w:name w:val="CS-Text_in_Table:10pt"/>
    <w:basedOn w:val="Normal"/>
    <w:uiPriority w:val="99"/>
    <w:rsid w:val="00F46F93"/>
    <w:pPr>
      <w:keepNext/>
      <w:keepLines/>
      <w:tabs>
        <w:tab w:val="left" w:pos="144"/>
      </w:tabs>
      <w:spacing w:before="120" w:after="120" w:line="240" w:lineRule="auto"/>
    </w:pPr>
    <w:rPr>
      <w:rFonts w:ascii="Times New Roman" w:eastAsia="Times New Roman" w:hAnsi="Times New Roman" w:cs="Times New Roman"/>
      <w:sz w:val="20"/>
      <w:szCs w:val="20"/>
      <w:lang w:val="en-GB" w:eastAsia="de-DE"/>
    </w:rPr>
  </w:style>
  <w:style w:type="character" w:customStyle="1" w:styleId="hps">
    <w:name w:val="hps"/>
    <w:rsid w:val="00F46F93"/>
  </w:style>
  <w:style w:type="character" w:customStyle="1" w:styleId="atn">
    <w:name w:val="atn"/>
    <w:rsid w:val="00F46F93"/>
  </w:style>
  <w:style w:type="paragraph" w:styleId="FootnoteText">
    <w:name w:val="footnote text"/>
    <w:basedOn w:val="Normal"/>
    <w:link w:val="FootnoteTextChar"/>
    <w:rsid w:val="00F46F93"/>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rsid w:val="00F46F93"/>
    <w:rPr>
      <w:rFonts w:ascii="Times New Roman" w:eastAsia="Times New Roman" w:hAnsi="Times New Roman" w:cs="Times New Roman"/>
      <w:sz w:val="20"/>
      <w:szCs w:val="20"/>
      <w:lang w:val="de-DE" w:eastAsia="de-DE"/>
    </w:rPr>
  </w:style>
  <w:style w:type="character" w:customStyle="1" w:styleId="WW8Num2z0">
    <w:name w:val="WW8Num2z0"/>
    <w:rsid w:val="00F46F93"/>
    <w:rPr>
      <w:rFonts w:ascii="Symbol" w:hAnsi="Symbol"/>
    </w:rPr>
  </w:style>
  <w:style w:type="character" w:customStyle="1" w:styleId="WW8Num3z0">
    <w:name w:val="WW8Num3z0"/>
    <w:rsid w:val="00F46F93"/>
    <w:rPr>
      <w:rFonts w:ascii="Symbol" w:hAnsi="Symbol"/>
    </w:rPr>
  </w:style>
  <w:style w:type="character" w:customStyle="1" w:styleId="Absatz-Standardschriftart">
    <w:name w:val="Absatz-Standardschriftart"/>
    <w:rsid w:val="00F46F93"/>
  </w:style>
  <w:style w:type="character" w:customStyle="1" w:styleId="WW-Absatz-Standardschriftart">
    <w:name w:val="WW-Absatz-Standardschriftart"/>
    <w:rsid w:val="00F46F93"/>
  </w:style>
  <w:style w:type="character" w:customStyle="1" w:styleId="WW-DefaultParagraphFont">
    <w:name w:val="WW-Default Paragraph Font"/>
    <w:rsid w:val="00F46F93"/>
  </w:style>
  <w:style w:type="character" w:customStyle="1" w:styleId="WW-Absatz-Standardschriftart1">
    <w:name w:val="WW-Absatz-Standardschriftart1"/>
    <w:rsid w:val="00F46F93"/>
  </w:style>
  <w:style w:type="character" w:customStyle="1" w:styleId="WW-DefaultParagraphFont1">
    <w:name w:val="WW-Default Paragraph Font1"/>
    <w:rsid w:val="00F46F93"/>
  </w:style>
  <w:style w:type="character" w:customStyle="1" w:styleId="WW-DefaultParagraphFont11">
    <w:name w:val="WW-Default Paragraph Font11"/>
    <w:rsid w:val="00F46F93"/>
  </w:style>
  <w:style w:type="character" w:customStyle="1" w:styleId="WW-Absatz-Standardschriftart11">
    <w:name w:val="WW-Absatz-Standardschriftart11"/>
    <w:rsid w:val="00F46F93"/>
  </w:style>
  <w:style w:type="character" w:customStyle="1" w:styleId="WW-DefaultParagraphFont111">
    <w:name w:val="WW-Default Paragraph Font111"/>
    <w:rsid w:val="00F46F93"/>
  </w:style>
  <w:style w:type="character" w:customStyle="1" w:styleId="WW-DefaultParagraphFont1111">
    <w:name w:val="WW-Default Paragraph Font1111"/>
    <w:rsid w:val="00F46F93"/>
  </w:style>
  <w:style w:type="character" w:customStyle="1" w:styleId="WW8Num4z0">
    <w:name w:val="WW8Num4z0"/>
    <w:rsid w:val="00F46F93"/>
    <w:rPr>
      <w:rFonts w:ascii="Times New Roman" w:eastAsia="Batang" w:hAnsi="Times New Roman" w:cs="Times New Roman"/>
    </w:rPr>
  </w:style>
  <w:style w:type="character" w:customStyle="1" w:styleId="WW8Num4z1">
    <w:name w:val="WW8Num4z1"/>
    <w:rsid w:val="00F46F93"/>
    <w:rPr>
      <w:rFonts w:ascii="Courier New" w:hAnsi="Courier New" w:cs="Courier New"/>
    </w:rPr>
  </w:style>
  <w:style w:type="character" w:customStyle="1" w:styleId="WW8Num4z2">
    <w:name w:val="WW8Num4z2"/>
    <w:rsid w:val="00F46F93"/>
    <w:rPr>
      <w:rFonts w:ascii="Wingdings" w:hAnsi="Wingdings"/>
    </w:rPr>
  </w:style>
  <w:style w:type="character" w:customStyle="1" w:styleId="WW8Num4z3">
    <w:name w:val="WW8Num4z3"/>
    <w:rsid w:val="00F46F93"/>
    <w:rPr>
      <w:rFonts w:ascii="Symbol" w:hAnsi="Symbol"/>
    </w:rPr>
  </w:style>
  <w:style w:type="character" w:customStyle="1" w:styleId="WW8Num5z0">
    <w:name w:val="WW8Num5z0"/>
    <w:rsid w:val="00F46F93"/>
    <w:rPr>
      <w:rFonts w:ascii="Symbol" w:hAnsi="Symbol"/>
    </w:rPr>
  </w:style>
  <w:style w:type="character" w:customStyle="1" w:styleId="WW8Num5z1">
    <w:name w:val="WW8Num5z1"/>
    <w:rsid w:val="00F46F93"/>
    <w:rPr>
      <w:rFonts w:ascii="Courier New" w:hAnsi="Courier New" w:cs="Courier New"/>
    </w:rPr>
  </w:style>
  <w:style w:type="character" w:customStyle="1" w:styleId="WW8Num5z2">
    <w:name w:val="WW8Num5z2"/>
    <w:rsid w:val="00F46F93"/>
    <w:rPr>
      <w:rFonts w:ascii="Wingdings" w:hAnsi="Wingdings"/>
    </w:rPr>
  </w:style>
  <w:style w:type="character" w:customStyle="1" w:styleId="WW8Num7z0">
    <w:name w:val="WW8Num7z0"/>
    <w:rsid w:val="00F46F93"/>
    <w:rPr>
      <w:rFonts w:ascii="Symbol" w:hAnsi="Symbol"/>
    </w:rPr>
  </w:style>
  <w:style w:type="character" w:customStyle="1" w:styleId="WW8Num7z1">
    <w:name w:val="WW8Num7z1"/>
    <w:rsid w:val="00F46F93"/>
    <w:rPr>
      <w:rFonts w:ascii="Courier New" w:hAnsi="Courier New" w:cs="Courier New"/>
    </w:rPr>
  </w:style>
  <w:style w:type="character" w:customStyle="1" w:styleId="WW8Num7z2">
    <w:name w:val="WW8Num7z2"/>
    <w:rsid w:val="00F46F93"/>
    <w:rPr>
      <w:rFonts w:ascii="Wingdings" w:hAnsi="Wingdings"/>
    </w:rPr>
  </w:style>
  <w:style w:type="character" w:customStyle="1" w:styleId="WW8Num8z0">
    <w:name w:val="WW8Num8z0"/>
    <w:rsid w:val="00F46F93"/>
    <w:rPr>
      <w:rFonts w:ascii="Wingdings" w:hAnsi="Wingdings"/>
    </w:rPr>
  </w:style>
  <w:style w:type="character" w:customStyle="1" w:styleId="WW8Num8z1">
    <w:name w:val="WW8Num8z1"/>
    <w:rsid w:val="00F46F93"/>
    <w:rPr>
      <w:rFonts w:ascii="Courier New" w:hAnsi="Courier New" w:cs="Courier New"/>
    </w:rPr>
  </w:style>
  <w:style w:type="character" w:customStyle="1" w:styleId="WW8Num8z3">
    <w:name w:val="WW8Num8z3"/>
    <w:rsid w:val="00F46F93"/>
    <w:rPr>
      <w:rFonts w:ascii="Symbol" w:hAnsi="Symbol"/>
    </w:rPr>
  </w:style>
  <w:style w:type="character" w:customStyle="1" w:styleId="WW8Num9z0">
    <w:name w:val="WW8Num9z0"/>
    <w:rsid w:val="00F46F93"/>
    <w:rPr>
      <w:rFonts w:ascii="Symbol" w:hAnsi="Symbol"/>
    </w:rPr>
  </w:style>
  <w:style w:type="character" w:customStyle="1" w:styleId="WW8Num10z0">
    <w:name w:val="WW8Num10z0"/>
    <w:rsid w:val="00F46F93"/>
    <w:rPr>
      <w:rFonts w:ascii="Times New Roman" w:eastAsia="Batang" w:hAnsi="Times New Roman" w:cs="Times New Roman"/>
    </w:rPr>
  </w:style>
  <w:style w:type="character" w:customStyle="1" w:styleId="WW8Num10z1">
    <w:name w:val="WW8Num10z1"/>
    <w:rsid w:val="00F46F93"/>
    <w:rPr>
      <w:rFonts w:ascii="Courier New" w:hAnsi="Courier New" w:cs="Courier New"/>
    </w:rPr>
  </w:style>
  <w:style w:type="character" w:customStyle="1" w:styleId="WW8Num10z2">
    <w:name w:val="WW8Num10z2"/>
    <w:rsid w:val="00F46F93"/>
    <w:rPr>
      <w:rFonts w:ascii="Wingdings" w:hAnsi="Wingdings"/>
    </w:rPr>
  </w:style>
  <w:style w:type="character" w:customStyle="1" w:styleId="WW8Num10z3">
    <w:name w:val="WW8Num10z3"/>
    <w:rsid w:val="00F46F93"/>
    <w:rPr>
      <w:rFonts w:ascii="Symbol" w:hAnsi="Symbol"/>
    </w:rPr>
  </w:style>
  <w:style w:type="character" w:customStyle="1" w:styleId="WW8Num12z0">
    <w:name w:val="WW8Num12z0"/>
    <w:rsid w:val="00F46F93"/>
    <w:rPr>
      <w:rFonts w:ascii="Symbol" w:hAnsi="Symbol"/>
    </w:rPr>
  </w:style>
  <w:style w:type="character" w:customStyle="1" w:styleId="WW8Num13z0">
    <w:name w:val="WW8Num13z0"/>
    <w:rsid w:val="00F46F93"/>
    <w:rPr>
      <w:rFonts w:ascii="Symbol" w:hAnsi="Symbol"/>
    </w:rPr>
  </w:style>
  <w:style w:type="character" w:customStyle="1" w:styleId="WW8Num13z1">
    <w:name w:val="WW8Num13z1"/>
    <w:rsid w:val="00F46F93"/>
    <w:rPr>
      <w:rFonts w:ascii="Courier New" w:hAnsi="Courier New" w:cs="Courier New"/>
    </w:rPr>
  </w:style>
  <w:style w:type="character" w:customStyle="1" w:styleId="WW8Num13z2">
    <w:name w:val="WW8Num13z2"/>
    <w:rsid w:val="00F46F93"/>
    <w:rPr>
      <w:rFonts w:ascii="Wingdings" w:hAnsi="Wingdings"/>
    </w:rPr>
  </w:style>
  <w:style w:type="character" w:customStyle="1" w:styleId="WW8Num14z0">
    <w:name w:val="WW8Num14z0"/>
    <w:rsid w:val="00F46F93"/>
    <w:rPr>
      <w:rFonts w:ascii="Symbol" w:hAnsi="Symbol"/>
    </w:rPr>
  </w:style>
  <w:style w:type="character" w:customStyle="1" w:styleId="WW8Num15z0">
    <w:name w:val="WW8Num15z0"/>
    <w:rsid w:val="00F46F93"/>
    <w:rPr>
      <w:rFonts w:ascii="Symbol" w:hAnsi="Symbol"/>
    </w:rPr>
  </w:style>
  <w:style w:type="character" w:customStyle="1" w:styleId="WW8Num17z0">
    <w:name w:val="WW8Num17z0"/>
    <w:rsid w:val="00F46F93"/>
    <w:rPr>
      <w:rFonts w:ascii="Symbol" w:hAnsi="Symbol"/>
    </w:rPr>
  </w:style>
  <w:style w:type="character" w:customStyle="1" w:styleId="WW8Num19z0">
    <w:name w:val="WW8Num19z0"/>
    <w:rsid w:val="00F46F93"/>
    <w:rPr>
      <w:rFonts w:ascii="Symbol" w:hAnsi="Symbol"/>
    </w:rPr>
  </w:style>
  <w:style w:type="character" w:customStyle="1" w:styleId="WW8Num20z0">
    <w:name w:val="WW8Num20z0"/>
    <w:rsid w:val="00F46F93"/>
    <w:rPr>
      <w:rFonts w:ascii="Times New Roman" w:eastAsia="Batang" w:hAnsi="Times New Roman" w:cs="Times New Roman"/>
    </w:rPr>
  </w:style>
  <w:style w:type="character" w:customStyle="1" w:styleId="WW8Num20z1">
    <w:name w:val="WW8Num20z1"/>
    <w:rsid w:val="00F46F93"/>
    <w:rPr>
      <w:rFonts w:ascii="Courier New" w:hAnsi="Courier New" w:cs="Courier New"/>
    </w:rPr>
  </w:style>
  <w:style w:type="character" w:customStyle="1" w:styleId="WW8Num20z2">
    <w:name w:val="WW8Num20z2"/>
    <w:rsid w:val="00F46F93"/>
    <w:rPr>
      <w:rFonts w:ascii="Wingdings" w:hAnsi="Wingdings"/>
    </w:rPr>
  </w:style>
  <w:style w:type="character" w:customStyle="1" w:styleId="WW8Num20z3">
    <w:name w:val="WW8Num20z3"/>
    <w:rsid w:val="00F46F93"/>
    <w:rPr>
      <w:rFonts w:ascii="Symbol" w:hAnsi="Symbol"/>
    </w:rPr>
  </w:style>
  <w:style w:type="character" w:customStyle="1" w:styleId="WW8Num21z0">
    <w:name w:val="WW8Num21z0"/>
    <w:rsid w:val="00F46F93"/>
    <w:rPr>
      <w:rFonts w:ascii="Symbol" w:hAnsi="Symbol"/>
    </w:rPr>
  </w:style>
  <w:style w:type="character" w:customStyle="1" w:styleId="WW8Num24z0">
    <w:name w:val="WW8Num24z0"/>
    <w:rsid w:val="00F46F93"/>
    <w:rPr>
      <w:rFonts w:ascii="Times New Roman" w:eastAsia="Batang" w:hAnsi="Times New Roman" w:cs="Times New Roman"/>
    </w:rPr>
  </w:style>
  <w:style w:type="character" w:customStyle="1" w:styleId="WW8Num24z1">
    <w:name w:val="WW8Num24z1"/>
    <w:rsid w:val="00F46F93"/>
    <w:rPr>
      <w:rFonts w:ascii="Courier New" w:hAnsi="Courier New" w:cs="Courier New"/>
    </w:rPr>
  </w:style>
  <w:style w:type="character" w:customStyle="1" w:styleId="WW8Num24z2">
    <w:name w:val="WW8Num24z2"/>
    <w:rsid w:val="00F46F93"/>
    <w:rPr>
      <w:rFonts w:ascii="Wingdings" w:hAnsi="Wingdings"/>
    </w:rPr>
  </w:style>
  <w:style w:type="character" w:customStyle="1" w:styleId="WW8Num24z3">
    <w:name w:val="WW8Num24z3"/>
    <w:rsid w:val="00F46F93"/>
    <w:rPr>
      <w:rFonts w:ascii="Symbol" w:hAnsi="Symbol"/>
    </w:rPr>
  </w:style>
  <w:style w:type="character" w:customStyle="1" w:styleId="WW8NumSt7z0">
    <w:name w:val="WW8NumSt7z0"/>
    <w:rsid w:val="00F46F93"/>
    <w:rPr>
      <w:rFonts w:ascii="Symbol" w:hAnsi="Symbol"/>
    </w:rPr>
  </w:style>
  <w:style w:type="character" w:customStyle="1" w:styleId="WW-DefaultParagraphFont11111">
    <w:name w:val="WW-Default Paragraph Font11111"/>
    <w:rsid w:val="00F46F93"/>
  </w:style>
  <w:style w:type="character" w:customStyle="1" w:styleId="CharChar">
    <w:name w:val="Char Char"/>
    <w:rsid w:val="00F46F93"/>
    <w:rPr>
      <w:rFonts w:ascii="Tahoma" w:hAnsi="Tahoma" w:cs="Tahoma"/>
      <w:sz w:val="16"/>
      <w:szCs w:val="16"/>
    </w:rPr>
  </w:style>
  <w:style w:type="paragraph" w:customStyle="1" w:styleId="Heading">
    <w:name w:val="Heading"/>
    <w:basedOn w:val="Normal"/>
    <w:next w:val="BodyText"/>
    <w:rsid w:val="00F46F93"/>
    <w:pPr>
      <w:keepNext/>
      <w:tabs>
        <w:tab w:val="left" w:pos="284"/>
      </w:tabs>
      <w:suppressAutoHyphens/>
      <w:spacing w:before="240" w:after="120" w:line="240" w:lineRule="auto"/>
      <w:jc w:val="both"/>
    </w:pPr>
    <w:rPr>
      <w:rFonts w:ascii="Arial" w:eastAsia="MS Mincho" w:hAnsi="Arial" w:cs="Tahoma"/>
      <w:sz w:val="28"/>
      <w:szCs w:val="28"/>
      <w:lang w:eastAsia="ar-SA"/>
    </w:rPr>
  </w:style>
  <w:style w:type="paragraph" w:styleId="List">
    <w:name w:val="List"/>
    <w:basedOn w:val="BodyText"/>
    <w:rsid w:val="00F46F93"/>
    <w:pPr>
      <w:tabs>
        <w:tab w:val="left" w:pos="284"/>
      </w:tabs>
      <w:suppressAutoHyphens/>
      <w:spacing w:after="0"/>
    </w:pPr>
    <w:rPr>
      <w:rFonts w:cs="Tahoma"/>
      <w:i/>
      <w:sz w:val="22"/>
      <w:lang w:val="en-GB" w:eastAsia="ar-SA"/>
    </w:rPr>
  </w:style>
  <w:style w:type="paragraph" w:customStyle="1" w:styleId="Index">
    <w:name w:val="Index"/>
    <w:basedOn w:val="Normal"/>
    <w:rsid w:val="00F46F93"/>
    <w:pPr>
      <w:suppressLineNumbers/>
      <w:tabs>
        <w:tab w:val="left" w:pos="284"/>
      </w:tabs>
      <w:suppressAutoHyphens/>
      <w:spacing w:after="0" w:line="240" w:lineRule="auto"/>
      <w:jc w:val="both"/>
    </w:pPr>
    <w:rPr>
      <w:rFonts w:ascii="Humanist777" w:eastAsia="Times New Roman" w:hAnsi="Humanist777" w:cs="Tahoma"/>
      <w:sz w:val="24"/>
      <w:szCs w:val="24"/>
      <w:lang w:eastAsia="ar-SA"/>
    </w:rPr>
  </w:style>
  <w:style w:type="paragraph" w:customStyle="1" w:styleId="Smalltext90">
    <w:name w:val="Smalltext9:0"/>
    <w:basedOn w:val="Normal"/>
    <w:rsid w:val="00F46F93"/>
    <w:pPr>
      <w:tabs>
        <w:tab w:val="left" w:pos="284"/>
      </w:tabs>
      <w:suppressAutoHyphens/>
      <w:spacing w:after="0" w:line="240" w:lineRule="auto"/>
    </w:pPr>
    <w:rPr>
      <w:rFonts w:ascii="Times New Roman" w:eastAsia="Times New Roman" w:hAnsi="Times New Roman" w:cs="Times New Roman"/>
      <w:sz w:val="18"/>
      <w:szCs w:val="20"/>
      <w:lang w:eastAsia="ar-SA"/>
    </w:rPr>
  </w:style>
  <w:style w:type="paragraph" w:customStyle="1" w:styleId="1Style">
    <w:name w:val="#1 Style"/>
    <w:rsid w:val="00F46F93"/>
    <w:pPr>
      <w:suppressAutoHyphens/>
      <w:spacing w:after="220" w:line="240" w:lineRule="auto"/>
    </w:pPr>
    <w:rPr>
      <w:rFonts w:ascii="Times New Roman" w:eastAsia="Arial" w:hAnsi="Times New Roman" w:cs="Times New Roman"/>
      <w:sz w:val="24"/>
      <w:szCs w:val="20"/>
      <w:lang w:eastAsia="ar-SA"/>
    </w:rPr>
  </w:style>
  <w:style w:type="paragraph" w:styleId="ListNumber4">
    <w:name w:val="List Number 4"/>
    <w:basedOn w:val="Normal"/>
    <w:rsid w:val="00F46F93"/>
    <w:pPr>
      <w:tabs>
        <w:tab w:val="left" w:pos="284"/>
        <w:tab w:val="left" w:pos="1209"/>
      </w:tabs>
      <w:suppressAutoHyphens/>
      <w:spacing w:after="0" w:line="240" w:lineRule="auto"/>
      <w:ind w:left="1209" w:hanging="360"/>
    </w:pPr>
    <w:rPr>
      <w:rFonts w:ascii="Times New Roman" w:eastAsia="Times New Roman" w:hAnsi="Times New Roman" w:cs="Times New Roman"/>
      <w:szCs w:val="20"/>
      <w:lang w:val="en-GB" w:eastAsia="ar-SA"/>
    </w:rPr>
  </w:style>
  <w:style w:type="paragraph" w:customStyle="1" w:styleId="titolo">
    <w:name w:val="titolo"/>
    <w:basedOn w:val="Normal"/>
    <w:rsid w:val="00F46F93"/>
    <w:pPr>
      <w:tabs>
        <w:tab w:val="left" w:pos="284"/>
        <w:tab w:val="left" w:pos="851"/>
      </w:tabs>
      <w:suppressAutoHyphens/>
      <w:spacing w:after="0" w:line="240" w:lineRule="auto"/>
      <w:ind w:left="357"/>
      <w:jc w:val="center"/>
    </w:pPr>
    <w:rPr>
      <w:rFonts w:ascii="New York" w:eastAsia="Times New Roman" w:hAnsi="New York" w:cs="Times New Roman"/>
      <w:b/>
      <w:szCs w:val="20"/>
      <w:lang w:val="en-GB" w:eastAsia="ar-SA"/>
    </w:rPr>
  </w:style>
  <w:style w:type="paragraph" w:styleId="TOC6">
    <w:name w:val="toc 6"/>
    <w:basedOn w:val="Normal"/>
    <w:next w:val="Normal"/>
    <w:rsid w:val="00F46F93"/>
    <w:pPr>
      <w:tabs>
        <w:tab w:val="left" w:pos="284"/>
      </w:tabs>
      <w:suppressAutoHyphens/>
      <w:spacing w:before="120" w:after="0" w:line="240" w:lineRule="auto"/>
    </w:pPr>
    <w:rPr>
      <w:rFonts w:ascii="Times New Roman" w:eastAsia="Times New Roman" w:hAnsi="Times New Roman" w:cs="Times New Roman"/>
      <w:szCs w:val="20"/>
      <w:lang w:val="en-GB" w:eastAsia="ar-SA"/>
    </w:rPr>
  </w:style>
  <w:style w:type="paragraph" w:customStyle="1" w:styleId="listssp">
    <w:name w:val="list:ssp"/>
    <w:basedOn w:val="Normal"/>
    <w:rsid w:val="00F46F93"/>
    <w:pPr>
      <w:tabs>
        <w:tab w:val="left" w:pos="284"/>
      </w:tabs>
      <w:suppressAutoHyphens/>
      <w:spacing w:after="0" w:line="240" w:lineRule="auto"/>
    </w:pPr>
    <w:rPr>
      <w:rFonts w:ascii="Times New Roman" w:eastAsia="Times New Roman" w:hAnsi="Times New Roman" w:cs="Times New Roman"/>
      <w:sz w:val="24"/>
      <w:szCs w:val="20"/>
      <w:lang w:val="en-GB" w:eastAsia="ar-SA"/>
    </w:rPr>
  </w:style>
  <w:style w:type="paragraph" w:customStyle="1" w:styleId="BodyText21">
    <w:name w:val="Body Text 21"/>
    <w:basedOn w:val="Normal"/>
    <w:rsid w:val="00F46F93"/>
    <w:pPr>
      <w:tabs>
        <w:tab w:val="left" w:pos="284"/>
        <w:tab w:val="left" w:pos="7920"/>
      </w:tabs>
      <w:suppressAutoHyphens/>
      <w:spacing w:after="0" w:line="240" w:lineRule="auto"/>
      <w:ind w:right="-141"/>
    </w:pPr>
    <w:rPr>
      <w:rFonts w:ascii="Times New Roman" w:eastAsia="Times New Roman" w:hAnsi="Times New Roman" w:cs="Times New Roman"/>
      <w:sz w:val="24"/>
      <w:szCs w:val="20"/>
      <w:lang w:val="de-DE" w:eastAsia="ar-SA"/>
    </w:rPr>
  </w:style>
  <w:style w:type="paragraph" w:customStyle="1" w:styleId="Smalltext120">
    <w:name w:val="Smalltext12:0"/>
    <w:basedOn w:val="Normal"/>
    <w:rsid w:val="00F46F93"/>
    <w:pPr>
      <w:tabs>
        <w:tab w:val="left" w:pos="284"/>
      </w:tabs>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Normal"/>
    <w:rsid w:val="00F46F93"/>
    <w:pPr>
      <w:suppressLineNumbers/>
      <w:tabs>
        <w:tab w:val="left" w:pos="284"/>
      </w:tabs>
      <w:suppressAutoHyphens/>
      <w:spacing w:after="0" w:line="240" w:lineRule="auto"/>
      <w:jc w:val="both"/>
    </w:pPr>
    <w:rPr>
      <w:rFonts w:ascii="Humanist777" w:eastAsia="Times New Roman" w:hAnsi="Humanist777" w:cs="Times New Roman"/>
      <w:sz w:val="24"/>
      <w:szCs w:val="24"/>
      <w:lang w:eastAsia="ar-SA"/>
    </w:rPr>
  </w:style>
  <w:style w:type="paragraph" w:customStyle="1" w:styleId="TableHeading">
    <w:name w:val="Table Heading"/>
    <w:basedOn w:val="TableContents"/>
    <w:rsid w:val="00F46F93"/>
    <w:pPr>
      <w:jc w:val="center"/>
    </w:pPr>
    <w:rPr>
      <w:b/>
      <w:bCs/>
    </w:rPr>
  </w:style>
  <w:style w:type="paragraph" w:customStyle="1" w:styleId="Framecontents">
    <w:name w:val="Frame contents"/>
    <w:basedOn w:val="BodyText"/>
    <w:rsid w:val="00F46F93"/>
    <w:pPr>
      <w:tabs>
        <w:tab w:val="left" w:pos="284"/>
      </w:tabs>
      <w:suppressAutoHyphens/>
      <w:spacing w:after="0"/>
    </w:pPr>
    <w:rPr>
      <w:i/>
      <w:sz w:val="22"/>
      <w:lang w:val="en-GB" w:eastAsia="ar-SA"/>
    </w:rPr>
  </w:style>
  <w:style w:type="table" w:styleId="TableGridLight">
    <w:name w:val="Grid Table Light"/>
    <w:basedOn w:val="TableNormal"/>
    <w:uiPriority w:val="40"/>
    <w:rsid w:val="00F46F93"/>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F46F9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0BC4-050F-454B-A9F0-8A8510DC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7160</Words>
  <Characters>40814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13</cp:revision>
  <dcterms:created xsi:type="dcterms:W3CDTF">2017-06-23T08:04:00Z</dcterms:created>
  <dcterms:modified xsi:type="dcterms:W3CDTF">2020-07-24T11:43:00Z</dcterms:modified>
</cp:coreProperties>
</file>