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2160"/>
        <w:gridCol w:w="7200"/>
      </w:tblGrid>
      <w:tr w:rsidR="00FD3E68" w:rsidRPr="00FD3E68" w:rsidTr="00466011">
        <w:trPr>
          <w:trHeight w:val="530"/>
          <w:jc w:val="center"/>
        </w:trPr>
        <w:tc>
          <w:tcPr>
            <w:tcW w:w="9360" w:type="dxa"/>
            <w:gridSpan w:val="2"/>
            <w:vAlign w:val="center"/>
          </w:tcPr>
          <w:p w:rsidR="002C6EA6" w:rsidRPr="00FD3E68" w:rsidRDefault="002C6EA6" w:rsidP="002C6EA6">
            <w:pPr>
              <w:keepNext/>
              <w:tabs>
                <w:tab w:val="left" w:pos="284"/>
              </w:tabs>
              <w:spacing w:after="0" w:line="240" w:lineRule="auto"/>
              <w:jc w:val="center"/>
              <w:outlineLvl w:val="5"/>
              <w:rPr>
                <w:rFonts w:ascii="Times New Roman" w:eastAsia="Times New Roman" w:hAnsi="Times New Roman" w:cs="Times New Roman"/>
                <w:b/>
                <w:bCs/>
                <w:i/>
                <w:iCs/>
                <w:noProof/>
                <w:color w:val="000000" w:themeColor="text1"/>
                <w:u w:val="single"/>
                <w:lang w:val="sr-Latn-ME"/>
              </w:rPr>
            </w:pPr>
          </w:p>
          <w:p w:rsidR="002C6EA6" w:rsidRPr="00FD3E68" w:rsidRDefault="002C6EA6" w:rsidP="002C6EA6">
            <w:pPr>
              <w:keepNext/>
              <w:tabs>
                <w:tab w:val="left" w:pos="284"/>
              </w:tabs>
              <w:spacing w:after="0" w:line="240" w:lineRule="auto"/>
              <w:jc w:val="center"/>
              <w:outlineLvl w:val="5"/>
              <w:rPr>
                <w:rFonts w:ascii="Times New Roman" w:eastAsia="Times New Roman" w:hAnsi="Times New Roman" w:cs="Times New Roman"/>
                <w:b/>
                <w:bCs/>
                <w:i/>
                <w:iCs/>
                <w:noProof/>
                <w:color w:val="000000" w:themeColor="text1"/>
                <w:u w:val="single"/>
                <w:lang w:val="sr-Latn-ME"/>
              </w:rPr>
            </w:pPr>
          </w:p>
          <w:p w:rsidR="002C6EA6" w:rsidRPr="00FD3E68" w:rsidRDefault="002C6EA6" w:rsidP="002C6EA6">
            <w:pPr>
              <w:keepNext/>
              <w:tabs>
                <w:tab w:val="left" w:pos="284"/>
              </w:tabs>
              <w:spacing w:after="0" w:line="240" w:lineRule="auto"/>
              <w:jc w:val="center"/>
              <w:outlineLvl w:val="5"/>
              <w:rPr>
                <w:rFonts w:ascii="Times New Roman" w:eastAsia="Times New Roman" w:hAnsi="Times New Roman" w:cs="Times New Roman"/>
                <w:b/>
                <w:bCs/>
                <w:iCs/>
                <w:noProof/>
                <w:color w:val="000000" w:themeColor="text1"/>
                <w:u w:val="single"/>
                <w:lang w:val="sr-Latn-ME"/>
              </w:rPr>
            </w:pPr>
            <w:r w:rsidRPr="00FD3E68">
              <w:rPr>
                <w:rFonts w:ascii="Times New Roman" w:eastAsia="Times New Roman" w:hAnsi="Times New Roman" w:cs="Times New Roman"/>
                <w:b/>
                <w:bCs/>
                <w:iCs/>
                <w:noProof/>
                <w:color w:val="000000" w:themeColor="text1"/>
                <w:u w:val="single"/>
                <w:lang w:val="sr-Latn-ME"/>
              </w:rPr>
              <w:t>SAŽETAK KARAKTERISTIKA LIJEKA</w:t>
            </w:r>
          </w:p>
        </w:tc>
      </w:tr>
      <w:tr w:rsidR="00FD3E68" w:rsidRPr="00FD3E68" w:rsidTr="00466011">
        <w:trPr>
          <w:trHeight w:val="1969"/>
          <w:jc w:val="center"/>
        </w:trPr>
        <w:tc>
          <w:tcPr>
            <w:tcW w:w="9360" w:type="dxa"/>
            <w:gridSpan w:val="2"/>
            <w:vAlign w:val="bottom"/>
          </w:tcPr>
          <w:p w:rsidR="002C6EA6" w:rsidRPr="00FD3E68" w:rsidRDefault="002C6EA6" w:rsidP="002C6EA6">
            <w:pPr>
              <w:tabs>
                <w:tab w:val="left" w:pos="284"/>
              </w:tabs>
              <w:spacing w:after="40" w:line="240" w:lineRule="auto"/>
              <w:jc w:val="center"/>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 xml:space="preserve">Propranolol Remedica, film tableta, 40 mg, blister </w:t>
            </w:r>
          </w:p>
          <w:p w:rsidR="002C6EA6" w:rsidRPr="00FD3E68" w:rsidRDefault="002C6EA6" w:rsidP="002C6EA6">
            <w:pPr>
              <w:tabs>
                <w:tab w:val="left" w:pos="284"/>
              </w:tabs>
              <w:spacing w:after="40" w:line="240" w:lineRule="auto"/>
              <w:jc w:val="center"/>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50 (5 x 10) film tableta</w:t>
            </w:r>
          </w:p>
          <w:p w:rsidR="002C6EA6" w:rsidRPr="00FD3E68" w:rsidRDefault="002C6EA6" w:rsidP="002C6EA6">
            <w:pPr>
              <w:tabs>
                <w:tab w:val="left" w:pos="284"/>
              </w:tabs>
              <w:spacing w:after="40" w:line="240" w:lineRule="auto"/>
              <w:jc w:val="center"/>
              <w:rPr>
                <w:rFonts w:ascii="Times New Roman" w:eastAsia="Times New Roman" w:hAnsi="Times New Roman" w:cs="Times New Roman"/>
                <w:b/>
                <w:bCs/>
                <w:noProof/>
                <w:color w:val="000000" w:themeColor="text1"/>
                <w:u w:val="single"/>
                <w:lang w:val="sr-Latn-ME"/>
              </w:rPr>
            </w:pPr>
          </w:p>
        </w:tc>
      </w:tr>
      <w:tr w:rsidR="00FD3E68" w:rsidRPr="00FD3E68" w:rsidTr="00466011">
        <w:trPr>
          <w:trHeight w:val="1225"/>
          <w:jc w:val="center"/>
        </w:trPr>
        <w:tc>
          <w:tcPr>
            <w:tcW w:w="9360" w:type="dxa"/>
            <w:gridSpan w:val="2"/>
          </w:tcPr>
          <w:p w:rsidR="002C6EA6" w:rsidRPr="00FD3E68" w:rsidRDefault="002C6EA6" w:rsidP="002C6EA6">
            <w:pPr>
              <w:keepNext/>
              <w:tabs>
                <w:tab w:val="left" w:pos="284"/>
              </w:tabs>
              <w:spacing w:after="0" w:line="240" w:lineRule="auto"/>
              <w:jc w:val="both"/>
              <w:outlineLvl w:val="1"/>
              <w:rPr>
                <w:rFonts w:ascii="Times New Roman" w:eastAsia="Times New Roman" w:hAnsi="Times New Roman" w:cs="Times New Roman"/>
                <w:i/>
                <w:iCs/>
                <w:noProof/>
                <w:color w:val="000000" w:themeColor="text1"/>
                <w:lang w:val="sr-Latn-ME"/>
              </w:rPr>
            </w:pPr>
          </w:p>
        </w:tc>
      </w:tr>
      <w:tr w:rsidR="00FD3E68" w:rsidRPr="00FD3E68" w:rsidTr="00466011">
        <w:trPr>
          <w:jc w:val="center"/>
        </w:trPr>
        <w:tc>
          <w:tcPr>
            <w:tcW w:w="2160" w:type="dxa"/>
            <w:vAlign w:val="bottom"/>
          </w:tcPr>
          <w:p w:rsidR="002C6EA6" w:rsidRPr="00FD3E68" w:rsidRDefault="002C6EA6" w:rsidP="002C6EA6">
            <w:pPr>
              <w:tabs>
                <w:tab w:val="left" w:pos="284"/>
              </w:tabs>
              <w:spacing w:before="200"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Proizvođač:</w:t>
            </w:r>
          </w:p>
        </w:tc>
        <w:tc>
          <w:tcPr>
            <w:tcW w:w="7200" w:type="dxa"/>
            <w:vAlign w:val="bottom"/>
          </w:tcPr>
          <w:p w:rsidR="002C6EA6" w:rsidRPr="00FD3E68" w:rsidRDefault="002C6EA6" w:rsidP="002C6EA6">
            <w:pPr>
              <w:spacing w:before="200" w:after="0" w:line="240" w:lineRule="auto"/>
              <w:ind w:left="72" w:hanging="72"/>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 xml:space="preserve">Remedica Ltd </w:t>
            </w:r>
          </w:p>
        </w:tc>
      </w:tr>
      <w:tr w:rsidR="00FD3E68" w:rsidRPr="00FD3E68" w:rsidTr="00466011">
        <w:trPr>
          <w:jc w:val="center"/>
        </w:trPr>
        <w:tc>
          <w:tcPr>
            <w:tcW w:w="2160" w:type="dxa"/>
            <w:vAlign w:val="bottom"/>
          </w:tcPr>
          <w:p w:rsidR="002C6EA6" w:rsidRPr="00FD3E68" w:rsidRDefault="002C6EA6" w:rsidP="002C6EA6">
            <w:pPr>
              <w:tabs>
                <w:tab w:val="left" w:pos="284"/>
              </w:tabs>
              <w:spacing w:before="200"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Adresa:</w:t>
            </w:r>
          </w:p>
        </w:tc>
        <w:tc>
          <w:tcPr>
            <w:tcW w:w="7200" w:type="dxa"/>
            <w:vAlign w:val="bottom"/>
          </w:tcPr>
          <w:p w:rsidR="002C6EA6" w:rsidRPr="00FD3E68" w:rsidRDefault="002C6EA6" w:rsidP="002C6EA6">
            <w:pPr>
              <w:spacing w:before="200" w:after="0" w:line="240" w:lineRule="auto"/>
              <w:ind w:left="72" w:hanging="72"/>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Limassol Industrial Estate, 3056 Limassol, Kipar</w:t>
            </w:r>
          </w:p>
        </w:tc>
      </w:tr>
      <w:tr w:rsidR="00FD3E68" w:rsidRPr="00FD3E68" w:rsidTr="00466011">
        <w:trPr>
          <w:jc w:val="center"/>
        </w:trPr>
        <w:tc>
          <w:tcPr>
            <w:tcW w:w="2160" w:type="dxa"/>
            <w:vAlign w:val="bottom"/>
          </w:tcPr>
          <w:p w:rsidR="002C6EA6" w:rsidRPr="00FD3E68" w:rsidRDefault="002C6EA6" w:rsidP="002C6EA6">
            <w:pPr>
              <w:tabs>
                <w:tab w:val="left" w:pos="284"/>
              </w:tabs>
              <w:spacing w:before="200"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Podnosilac zahtjeva:</w:t>
            </w:r>
          </w:p>
        </w:tc>
        <w:tc>
          <w:tcPr>
            <w:tcW w:w="7200" w:type="dxa"/>
            <w:vAlign w:val="bottom"/>
          </w:tcPr>
          <w:p w:rsidR="002C6EA6" w:rsidRPr="00FD3E68" w:rsidRDefault="00FB372B" w:rsidP="002C6EA6">
            <w:pPr>
              <w:spacing w:before="200" w:after="0" w:line="240" w:lineRule="auto"/>
              <w:ind w:left="72" w:hanging="72"/>
              <w:jc w:val="both"/>
              <w:rPr>
                <w:rFonts w:ascii="Times New Roman" w:eastAsia="Times New Roman" w:hAnsi="Times New Roman" w:cs="Times New Roman"/>
                <w:b/>
                <w:bCs/>
                <w:noProof/>
                <w:color w:val="000000" w:themeColor="text1"/>
                <w:lang w:val="sr-Latn-ME"/>
              </w:rPr>
            </w:pPr>
            <w:r>
              <w:rPr>
                <w:rFonts w:ascii="Times New Roman" w:eastAsia="Times New Roman" w:hAnsi="Times New Roman" w:cs="Times New Roman"/>
                <w:b/>
                <w:noProof/>
                <w:color w:val="000000" w:themeColor="text1"/>
                <w:lang w:val="sr-Latn-ME"/>
              </w:rPr>
              <w:t>Pontera</w:t>
            </w:r>
            <w:r w:rsidR="002C6EA6" w:rsidRPr="00FD3E68">
              <w:rPr>
                <w:rFonts w:ascii="Times New Roman" w:eastAsia="Times New Roman" w:hAnsi="Times New Roman" w:cs="Times New Roman"/>
                <w:b/>
                <w:noProof/>
                <w:color w:val="000000" w:themeColor="text1"/>
                <w:lang w:val="sr-Latn-ME"/>
              </w:rPr>
              <w:t xml:space="preserve">  d.o.o.</w:t>
            </w:r>
          </w:p>
        </w:tc>
      </w:tr>
      <w:tr w:rsidR="002C6EA6" w:rsidRPr="00FD3E68" w:rsidTr="00466011">
        <w:trPr>
          <w:jc w:val="center"/>
        </w:trPr>
        <w:tc>
          <w:tcPr>
            <w:tcW w:w="2160" w:type="dxa"/>
            <w:vAlign w:val="bottom"/>
          </w:tcPr>
          <w:p w:rsidR="002C6EA6" w:rsidRPr="00FD3E68" w:rsidRDefault="002C6EA6" w:rsidP="002C6EA6">
            <w:pPr>
              <w:tabs>
                <w:tab w:val="left" w:pos="284"/>
              </w:tabs>
              <w:spacing w:before="200"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Adresa:</w:t>
            </w:r>
          </w:p>
        </w:tc>
        <w:tc>
          <w:tcPr>
            <w:tcW w:w="7200" w:type="dxa"/>
            <w:vAlign w:val="bottom"/>
          </w:tcPr>
          <w:p w:rsidR="002C6EA6" w:rsidRPr="00FD3E68" w:rsidRDefault="00FB372B" w:rsidP="002210F7">
            <w:pPr>
              <w:spacing w:before="200" w:after="0" w:line="240" w:lineRule="auto"/>
              <w:ind w:left="72" w:hanging="72"/>
              <w:jc w:val="both"/>
              <w:rPr>
                <w:rFonts w:ascii="Times New Roman" w:eastAsia="Times New Roman" w:hAnsi="Times New Roman" w:cs="Times New Roman"/>
                <w:b/>
                <w:bCs/>
                <w:noProof/>
                <w:color w:val="000000" w:themeColor="text1"/>
                <w:lang w:val="sr-Latn-ME"/>
              </w:rPr>
            </w:pPr>
            <w:r>
              <w:rPr>
                <w:rFonts w:ascii="Times New Roman" w:eastAsia="Times New Roman" w:hAnsi="Times New Roman" w:cs="Times New Roman"/>
                <w:b/>
                <w:noProof/>
                <w:color w:val="000000" w:themeColor="text1"/>
                <w:lang w:val="sr-Latn-ME"/>
              </w:rPr>
              <w:t>Cijevna bb</w:t>
            </w:r>
            <w:r w:rsidR="002C6EA6" w:rsidRPr="00FD3E68">
              <w:rPr>
                <w:rFonts w:ascii="Times New Roman" w:eastAsia="Times New Roman" w:hAnsi="Times New Roman" w:cs="Times New Roman"/>
                <w:b/>
                <w:noProof/>
                <w:color w:val="000000" w:themeColor="text1"/>
                <w:lang w:val="sr-Latn-ME"/>
              </w:rPr>
              <w:t>, 81 000 Podgorica</w:t>
            </w:r>
            <w:r w:rsidR="002210F7">
              <w:rPr>
                <w:rFonts w:ascii="Times New Roman" w:eastAsia="Times New Roman" w:hAnsi="Times New Roman" w:cs="Times New Roman"/>
                <w:b/>
                <w:noProof/>
                <w:color w:val="000000" w:themeColor="text1"/>
                <w:lang w:val="sr-Latn-ME"/>
              </w:rPr>
              <w:t>, Crna Gora</w:t>
            </w:r>
          </w:p>
        </w:tc>
      </w:tr>
    </w:tbl>
    <w:p w:rsidR="009318B4" w:rsidRPr="00FD3E68" w:rsidRDefault="009318B4" w:rsidP="002C6EA6">
      <w:pPr>
        <w:spacing w:after="0" w:line="240" w:lineRule="auto"/>
        <w:rPr>
          <w:rFonts w:ascii="Times New Roman" w:hAnsi="Times New Roman" w:cs="Times New Roman"/>
          <w:color w:val="000000" w:themeColor="text1"/>
        </w:rPr>
      </w:pPr>
    </w:p>
    <w:p w:rsidR="009318B4" w:rsidRPr="00FD3E68" w:rsidRDefault="00747C4B" w:rsidP="002C6EA6">
      <w:pPr>
        <w:tabs>
          <w:tab w:val="left" w:pos="6150"/>
        </w:tabs>
        <w:spacing w:after="0" w:line="240" w:lineRule="auto"/>
        <w:rPr>
          <w:rFonts w:ascii="Times New Roman" w:hAnsi="Times New Roman" w:cs="Times New Roman"/>
          <w:color w:val="000000" w:themeColor="text1"/>
        </w:rPr>
      </w:pPr>
      <w:r w:rsidRPr="00FD3E68">
        <w:rPr>
          <w:rFonts w:ascii="Times New Roman" w:hAnsi="Times New Roman" w:cs="Times New Roman"/>
          <w:color w:val="000000" w:themeColor="text1"/>
        </w:rPr>
        <w:tab/>
      </w:r>
    </w:p>
    <w:p w:rsidR="009318B4" w:rsidRPr="00FD3E68" w:rsidRDefault="009318B4" w:rsidP="007D4B85">
      <w:pPr>
        <w:spacing w:after="0" w:line="240" w:lineRule="auto"/>
        <w:ind w:right="413"/>
        <w:rPr>
          <w:rFonts w:ascii="Times New Roman" w:hAnsi="Times New Roman" w:cs="Times New Roman"/>
          <w:color w:val="000000" w:themeColor="text1"/>
        </w:rPr>
      </w:pPr>
    </w:p>
    <w:p w:rsidR="00F1527C" w:rsidRPr="00FD3E68" w:rsidRDefault="00F1527C" w:rsidP="002C6EA6">
      <w:pPr>
        <w:spacing w:after="0" w:line="240" w:lineRule="auto"/>
        <w:rPr>
          <w:rFonts w:ascii="Times New Roman" w:hAnsi="Times New Roman" w:cs="Times New Roman"/>
          <w:color w:val="000000" w:themeColor="text1"/>
        </w:rPr>
      </w:pPr>
    </w:p>
    <w:p w:rsidR="00F1527C" w:rsidRPr="00FD3E68" w:rsidRDefault="00F1527C" w:rsidP="002C6EA6">
      <w:pPr>
        <w:spacing w:after="0" w:line="240" w:lineRule="auto"/>
        <w:rPr>
          <w:rFonts w:ascii="Times New Roman" w:hAnsi="Times New Roman" w:cs="Times New Roman"/>
          <w:color w:val="000000" w:themeColor="text1"/>
        </w:rPr>
      </w:pPr>
    </w:p>
    <w:p w:rsidR="00F1527C" w:rsidRPr="00FD3E68" w:rsidRDefault="00F1527C" w:rsidP="002C6EA6">
      <w:pPr>
        <w:spacing w:after="0" w:line="240" w:lineRule="auto"/>
        <w:rPr>
          <w:rFonts w:ascii="Times New Roman" w:hAnsi="Times New Roman" w:cs="Times New Roman"/>
          <w:color w:val="000000" w:themeColor="text1"/>
        </w:rPr>
      </w:pPr>
    </w:p>
    <w:p w:rsidR="00F1527C" w:rsidRPr="00FD3E68" w:rsidRDefault="00F1527C" w:rsidP="002C6EA6">
      <w:pPr>
        <w:spacing w:after="0" w:line="240" w:lineRule="auto"/>
        <w:rPr>
          <w:rFonts w:ascii="Times New Roman" w:hAnsi="Times New Roman" w:cs="Times New Roman"/>
          <w:color w:val="000000" w:themeColor="text1"/>
        </w:rPr>
      </w:pPr>
    </w:p>
    <w:p w:rsidR="00F1527C" w:rsidRPr="00FD3E68" w:rsidRDefault="00F1527C" w:rsidP="002C6EA6">
      <w:pPr>
        <w:spacing w:after="0" w:line="240" w:lineRule="auto"/>
        <w:rPr>
          <w:rFonts w:ascii="Times New Roman" w:hAnsi="Times New Roman" w:cs="Times New Roman"/>
          <w:color w:val="000000" w:themeColor="text1"/>
        </w:rPr>
      </w:pPr>
    </w:p>
    <w:p w:rsidR="00F1527C" w:rsidRPr="00FD3E68" w:rsidRDefault="00F1527C" w:rsidP="002C6EA6">
      <w:pPr>
        <w:spacing w:after="0" w:line="240" w:lineRule="auto"/>
        <w:rPr>
          <w:rFonts w:ascii="Times New Roman" w:hAnsi="Times New Roman" w:cs="Times New Roman"/>
          <w:color w:val="000000" w:themeColor="text1"/>
        </w:rPr>
      </w:pPr>
    </w:p>
    <w:p w:rsidR="00F1527C" w:rsidRPr="00FD3E68" w:rsidRDefault="00F1527C" w:rsidP="002C6EA6">
      <w:pPr>
        <w:spacing w:after="0" w:line="240" w:lineRule="auto"/>
        <w:rPr>
          <w:rFonts w:ascii="Times New Roman" w:hAnsi="Times New Roman" w:cs="Times New Roman"/>
          <w:color w:val="000000" w:themeColor="text1"/>
        </w:rPr>
      </w:pPr>
    </w:p>
    <w:p w:rsidR="00F1527C" w:rsidRPr="00FD3E68" w:rsidRDefault="00F1527C" w:rsidP="002C6EA6">
      <w:pPr>
        <w:spacing w:after="0" w:line="240" w:lineRule="auto"/>
        <w:rPr>
          <w:rFonts w:ascii="Times New Roman" w:hAnsi="Times New Roman" w:cs="Times New Roman"/>
          <w:color w:val="000000" w:themeColor="text1"/>
        </w:rPr>
      </w:pPr>
    </w:p>
    <w:p w:rsidR="00F1527C" w:rsidRPr="00FD3E68" w:rsidRDefault="00F1527C" w:rsidP="002C6EA6">
      <w:pPr>
        <w:spacing w:after="0" w:line="240" w:lineRule="auto"/>
        <w:rPr>
          <w:rFonts w:ascii="Times New Roman" w:hAnsi="Times New Roman" w:cs="Times New Roman"/>
          <w:color w:val="000000" w:themeColor="text1"/>
        </w:rPr>
      </w:pPr>
    </w:p>
    <w:p w:rsidR="00F1527C" w:rsidRPr="00FD3E68" w:rsidRDefault="00F1527C" w:rsidP="002C6EA6">
      <w:pPr>
        <w:spacing w:after="0" w:line="240" w:lineRule="auto"/>
        <w:rPr>
          <w:rFonts w:ascii="Times New Roman" w:hAnsi="Times New Roman" w:cs="Times New Roman"/>
          <w:color w:val="000000" w:themeColor="text1"/>
        </w:rPr>
      </w:pPr>
    </w:p>
    <w:p w:rsidR="00F1527C" w:rsidRPr="00FD3E68" w:rsidRDefault="00F1527C" w:rsidP="002C6EA6">
      <w:pPr>
        <w:spacing w:after="0" w:line="240" w:lineRule="auto"/>
        <w:rPr>
          <w:rFonts w:ascii="Times New Roman" w:hAnsi="Times New Roman" w:cs="Times New Roman"/>
          <w:color w:val="000000" w:themeColor="text1"/>
        </w:rPr>
      </w:pPr>
    </w:p>
    <w:p w:rsidR="00F1527C" w:rsidRPr="00FD3E68" w:rsidRDefault="00F1527C" w:rsidP="002C6EA6">
      <w:pPr>
        <w:spacing w:after="0" w:line="240" w:lineRule="auto"/>
        <w:rPr>
          <w:rFonts w:ascii="Times New Roman" w:hAnsi="Times New Roman" w:cs="Times New Roman"/>
          <w:color w:val="000000" w:themeColor="text1"/>
        </w:rPr>
      </w:pPr>
    </w:p>
    <w:p w:rsidR="002C6EA6" w:rsidRPr="00FD3E68" w:rsidRDefault="002C6EA6" w:rsidP="002C6EA6">
      <w:pPr>
        <w:tabs>
          <w:tab w:val="left" w:pos="284"/>
        </w:tabs>
        <w:spacing w:after="0" w:line="240" w:lineRule="auto"/>
        <w:jc w:val="both"/>
        <w:rPr>
          <w:rFonts w:ascii="Times New Roman" w:eastAsia="Times New Roman" w:hAnsi="Times New Roman" w:cs="Times New Roman"/>
          <w:b/>
          <w:bCs/>
          <w:noProof/>
          <w:color w:val="000000" w:themeColor="text1"/>
          <w:lang w:val="sr-Latn-ME"/>
        </w:rPr>
      </w:pPr>
    </w:p>
    <w:p w:rsidR="002C6EA6" w:rsidRPr="00FD3E68" w:rsidRDefault="002C6EA6" w:rsidP="002C6EA6">
      <w:pPr>
        <w:tabs>
          <w:tab w:val="left" w:pos="284"/>
        </w:tabs>
        <w:spacing w:after="0" w:line="240" w:lineRule="auto"/>
        <w:jc w:val="both"/>
        <w:rPr>
          <w:rFonts w:ascii="Times New Roman" w:eastAsia="Times New Roman" w:hAnsi="Times New Roman" w:cs="Times New Roman"/>
          <w:b/>
          <w:bCs/>
          <w:noProof/>
          <w:color w:val="000000" w:themeColor="text1"/>
          <w:lang w:val="sr-Latn-ME"/>
        </w:rPr>
      </w:pPr>
    </w:p>
    <w:p w:rsidR="002C6EA6" w:rsidRPr="00FD3E68" w:rsidRDefault="002C6EA6" w:rsidP="002C6EA6">
      <w:pPr>
        <w:tabs>
          <w:tab w:val="left" w:pos="284"/>
        </w:tabs>
        <w:spacing w:after="0" w:line="240" w:lineRule="auto"/>
        <w:jc w:val="both"/>
        <w:rPr>
          <w:rFonts w:ascii="Times New Roman" w:eastAsia="Times New Roman" w:hAnsi="Times New Roman" w:cs="Times New Roman"/>
          <w:b/>
          <w:bCs/>
          <w:noProof/>
          <w:color w:val="000000" w:themeColor="text1"/>
          <w:lang w:val="sr-Latn-ME"/>
        </w:rPr>
      </w:pPr>
    </w:p>
    <w:p w:rsidR="002C6EA6" w:rsidRPr="00FD3E68" w:rsidRDefault="002C6EA6" w:rsidP="002C6EA6">
      <w:pPr>
        <w:tabs>
          <w:tab w:val="left" w:pos="284"/>
        </w:tabs>
        <w:spacing w:after="0" w:line="240" w:lineRule="auto"/>
        <w:jc w:val="both"/>
        <w:rPr>
          <w:rFonts w:ascii="Times New Roman" w:eastAsia="Times New Roman" w:hAnsi="Times New Roman" w:cs="Times New Roman"/>
          <w:b/>
          <w:bCs/>
          <w:noProof/>
          <w:color w:val="000000" w:themeColor="text1"/>
          <w:lang w:val="sr-Latn-ME"/>
        </w:rPr>
      </w:pPr>
    </w:p>
    <w:p w:rsidR="002C6EA6" w:rsidRPr="00FD3E68" w:rsidRDefault="002C6EA6" w:rsidP="002C6EA6">
      <w:pPr>
        <w:tabs>
          <w:tab w:val="left" w:pos="284"/>
        </w:tabs>
        <w:spacing w:after="0" w:line="240" w:lineRule="auto"/>
        <w:jc w:val="both"/>
        <w:rPr>
          <w:rFonts w:ascii="Times New Roman" w:eastAsia="Times New Roman" w:hAnsi="Times New Roman" w:cs="Times New Roman"/>
          <w:b/>
          <w:bCs/>
          <w:noProof/>
          <w:color w:val="000000" w:themeColor="text1"/>
          <w:lang w:val="sr-Latn-ME"/>
        </w:rPr>
      </w:pPr>
    </w:p>
    <w:p w:rsidR="002C6EA6" w:rsidRPr="00FD3E68" w:rsidRDefault="002C6EA6" w:rsidP="002C6EA6">
      <w:pPr>
        <w:tabs>
          <w:tab w:val="left" w:pos="284"/>
        </w:tabs>
        <w:spacing w:after="0" w:line="240" w:lineRule="auto"/>
        <w:jc w:val="both"/>
        <w:rPr>
          <w:rFonts w:ascii="Times New Roman" w:eastAsia="Times New Roman" w:hAnsi="Times New Roman" w:cs="Times New Roman"/>
          <w:b/>
          <w:bCs/>
          <w:noProof/>
          <w:color w:val="000000" w:themeColor="text1"/>
          <w:lang w:val="sr-Latn-ME"/>
        </w:rPr>
      </w:pPr>
    </w:p>
    <w:p w:rsidR="002C6EA6" w:rsidRPr="00FD3E68" w:rsidRDefault="002C6EA6" w:rsidP="002C6EA6">
      <w:pPr>
        <w:tabs>
          <w:tab w:val="left" w:pos="284"/>
        </w:tabs>
        <w:spacing w:after="0" w:line="240" w:lineRule="auto"/>
        <w:jc w:val="both"/>
        <w:rPr>
          <w:rFonts w:ascii="Times New Roman" w:eastAsia="Times New Roman" w:hAnsi="Times New Roman" w:cs="Times New Roman"/>
          <w:b/>
          <w:bCs/>
          <w:noProof/>
          <w:color w:val="000000" w:themeColor="text1"/>
          <w:lang w:val="sr-Latn-ME"/>
        </w:rPr>
      </w:pPr>
    </w:p>
    <w:p w:rsidR="002C6EA6" w:rsidRPr="00FD3E68" w:rsidRDefault="002C6EA6" w:rsidP="002C6EA6">
      <w:pPr>
        <w:tabs>
          <w:tab w:val="left" w:pos="284"/>
        </w:tabs>
        <w:spacing w:after="0" w:line="240" w:lineRule="auto"/>
        <w:jc w:val="both"/>
        <w:rPr>
          <w:rFonts w:ascii="Times New Roman" w:eastAsia="Times New Roman" w:hAnsi="Times New Roman" w:cs="Times New Roman"/>
          <w:b/>
          <w:bCs/>
          <w:noProof/>
          <w:color w:val="000000" w:themeColor="text1"/>
          <w:lang w:val="sr-Latn-ME"/>
        </w:rPr>
      </w:pPr>
    </w:p>
    <w:p w:rsidR="002C6EA6" w:rsidRPr="00FD3E68" w:rsidRDefault="002C6EA6" w:rsidP="002C6EA6">
      <w:pPr>
        <w:tabs>
          <w:tab w:val="left" w:pos="284"/>
        </w:tabs>
        <w:spacing w:after="0" w:line="240" w:lineRule="auto"/>
        <w:jc w:val="both"/>
        <w:rPr>
          <w:rFonts w:ascii="Times New Roman" w:eastAsia="Times New Roman" w:hAnsi="Times New Roman" w:cs="Times New Roman"/>
          <w:b/>
          <w:bCs/>
          <w:noProof/>
          <w:color w:val="000000" w:themeColor="text1"/>
          <w:lang w:val="sr-Latn-ME"/>
        </w:rPr>
      </w:pPr>
    </w:p>
    <w:tbl>
      <w:tblPr>
        <w:tblW w:w="9498" w:type="dxa"/>
        <w:tblLayout w:type="fixed"/>
        <w:tblLook w:val="0000" w:firstRow="0" w:lastRow="0" w:firstColumn="0" w:lastColumn="0" w:noHBand="0" w:noVBand="0"/>
      </w:tblPr>
      <w:tblGrid>
        <w:gridCol w:w="828"/>
        <w:gridCol w:w="360"/>
        <w:gridCol w:w="1620"/>
        <w:gridCol w:w="6690"/>
      </w:tblGrid>
      <w:tr w:rsidR="00FD3E68" w:rsidRPr="00FD3E68" w:rsidTr="00C42F07">
        <w:trPr>
          <w:trHeight w:val="284"/>
        </w:trPr>
        <w:tc>
          <w:tcPr>
            <w:tcW w:w="9498" w:type="dxa"/>
            <w:gridSpan w:val="4"/>
            <w:shd w:val="clear" w:color="auto" w:fill="E0E0E0"/>
            <w:vAlign w:val="center"/>
          </w:tcPr>
          <w:p w:rsidR="002C6EA6" w:rsidRPr="00FD3E68" w:rsidRDefault="002C6EA6" w:rsidP="00C42F07">
            <w:pPr>
              <w:tabs>
                <w:tab w:val="left" w:pos="284"/>
                <w:tab w:val="left" w:pos="8964"/>
                <w:tab w:val="left" w:pos="9106"/>
                <w:tab w:val="left" w:pos="9531"/>
              </w:tabs>
              <w:spacing w:after="0" w:line="240" w:lineRule="auto"/>
              <w:ind w:right="-249"/>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lastRenderedPageBreak/>
              <w:t>1. NAZIV LIJEKA</w:t>
            </w:r>
          </w:p>
        </w:tc>
      </w:tr>
      <w:tr w:rsidR="00FD3E68" w:rsidRPr="00FD3E68" w:rsidTr="00C42F07">
        <w:trPr>
          <w:trHeight w:val="525"/>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Propranolol Remedica, 40 mg, film tablete</w:t>
            </w:r>
          </w:p>
        </w:tc>
      </w:tr>
      <w:tr w:rsidR="00FD3E68" w:rsidRPr="00FD3E68" w:rsidTr="00C42F07">
        <w:trPr>
          <w:trHeight w:val="338"/>
        </w:trPr>
        <w:tc>
          <w:tcPr>
            <w:tcW w:w="828" w:type="dxa"/>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INN:</w:t>
            </w:r>
          </w:p>
        </w:tc>
        <w:tc>
          <w:tcPr>
            <w:tcW w:w="8670" w:type="dxa"/>
            <w:gridSpan w:val="3"/>
            <w:vAlign w:val="center"/>
          </w:tcPr>
          <w:p w:rsidR="002C6EA6" w:rsidRPr="00FD3E68" w:rsidRDefault="00054DA3" w:rsidP="00C42F07">
            <w:pPr>
              <w:tabs>
                <w:tab w:val="left" w:pos="284"/>
                <w:tab w:val="left" w:pos="8964"/>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P</w:t>
            </w:r>
            <w:r w:rsidR="002C6EA6" w:rsidRPr="00FD3E68">
              <w:rPr>
                <w:rFonts w:ascii="Times New Roman" w:eastAsia="Times New Roman" w:hAnsi="Times New Roman" w:cs="Times New Roman"/>
                <w:b/>
                <w:noProof/>
                <w:color w:val="000000" w:themeColor="text1"/>
                <w:lang w:val="sr-Latn-ME"/>
              </w:rPr>
              <w:t>ropranolol</w:t>
            </w:r>
          </w:p>
          <w:p w:rsidR="00054DA3" w:rsidRPr="00FD3E68" w:rsidRDefault="00054DA3" w:rsidP="00C42F07">
            <w:pPr>
              <w:tabs>
                <w:tab w:val="left" w:pos="284"/>
                <w:tab w:val="left" w:pos="8964"/>
                <w:tab w:val="left" w:pos="9106"/>
              </w:tabs>
              <w:spacing w:after="0" w:line="240" w:lineRule="auto"/>
              <w:jc w:val="both"/>
              <w:rPr>
                <w:rFonts w:ascii="Times New Roman" w:eastAsia="Times New Roman" w:hAnsi="Times New Roman" w:cs="Times New Roman"/>
                <w:b/>
                <w:noProof/>
                <w:color w:val="000000" w:themeColor="text1"/>
                <w:lang w:val="sr-Latn-ME"/>
              </w:rPr>
            </w:pPr>
          </w:p>
          <w:p w:rsidR="00054DA3" w:rsidRPr="00FD3E68" w:rsidRDefault="00054DA3" w:rsidP="00C42F07">
            <w:pPr>
              <w:tabs>
                <w:tab w:val="left" w:pos="284"/>
                <w:tab w:val="left" w:pos="8964"/>
                <w:tab w:val="left" w:pos="9106"/>
              </w:tabs>
              <w:spacing w:after="0" w:line="240" w:lineRule="auto"/>
              <w:jc w:val="both"/>
              <w:rPr>
                <w:rFonts w:ascii="Times New Roman" w:eastAsia="Times New Roman" w:hAnsi="Times New Roman" w:cs="Times New Roman"/>
                <w:b/>
                <w:noProof/>
                <w:color w:val="000000" w:themeColor="text1"/>
                <w:lang w:val="sr-Latn-ME"/>
              </w:rPr>
            </w:pPr>
          </w:p>
        </w:tc>
      </w:tr>
      <w:tr w:rsidR="00FD3E68" w:rsidRPr="00FD3E68" w:rsidTr="00C42F07">
        <w:tc>
          <w:tcPr>
            <w:tcW w:w="9498" w:type="dxa"/>
            <w:gridSpan w:val="4"/>
            <w:shd w:val="clear" w:color="auto" w:fill="E0E0E0"/>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2. KVALITATIVNI I KVANTITATIVNI SASTAV</w:t>
            </w:r>
          </w:p>
        </w:tc>
      </w:tr>
      <w:tr w:rsidR="00FD3E68" w:rsidRPr="00FD3E68" w:rsidTr="00C42F07">
        <w:trPr>
          <w:trHeight w:val="1145"/>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1 film tableta sadrži: 40 mg propranolol hidrohlorida.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Pomoćne supstance: laktoza, monohidrat 85,3 mg; boja Carmoisine lake E122 0,155 mg.</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Za cjelokupan popis pomoćnih supstanci vidjeti odjeljak 6.1.</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054DA3" w:rsidRPr="00FD3E68" w:rsidRDefault="00054DA3"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shd w:val="clear" w:color="auto" w:fill="E0E0E0"/>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3. FARMACEUTSKI OBLIK</w:t>
            </w:r>
          </w:p>
        </w:tc>
      </w:tr>
      <w:tr w:rsidR="00FD3E68" w:rsidRPr="00FD3E68" w:rsidTr="00C42F07">
        <w:trPr>
          <w:trHeight w:val="1145"/>
        </w:trPr>
        <w:tc>
          <w:tcPr>
            <w:tcW w:w="9498" w:type="dxa"/>
            <w:gridSpan w:val="4"/>
            <w:vAlign w:val="center"/>
          </w:tcPr>
          <w:p w:rsidR="00054DA3" w:rsidRPr="00FD3E68" w:rsidRDefault="00054DA3"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Film tableta.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Okrugle film tablete roze boje, sa logom proizvođača Remedica na jednoj strani.</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Tableta se može podijeliti na dva jednaka dijela.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054DA3" w:rsidRPr="00FD3E68" w:rsidRDefault="00054DA3"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shd w:val="clear" w:color="auto" w:fill="E0E0E0"/>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4. KLINIČKI PODACI</w:t>
            </w:r>
          </w:p>
        </w:tc>
      </w:tr>
      <w:tr w:rsidR="00FD3E68" w:rsidRPr="00FD3E68" w:rsidTr="00C42F07">
        <w:tc>
          <w:tcPr>
            <w:tcW w:w="9498" w:type="dxa"/>
            <w:gridSpan w:val="4"/>
            <w:vAlign w:val="center"/>
          </w:tcPr>
          <w:p w:rsidR="00054DA3" w:rsidRPr="00FD3E68" w:rsidRDefault="00054DA3"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4.1. Terapijske indikacije</w:t>
            </w:r>
          </w:p>
        </w:tc>
      </w:tr>
      <w:tr w:rsidR="00FD3E68" w:rsidRPr="00FD3E68" w:rsidTr="00C42F07">
        <w:trPr>
          <w:trHeight w:val="1145"/>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numPr>
                <w:ilvl w:val="0"/>
                <w:numId w:val="20"/>
              </w:num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Kontrola hipertenzije.</w:t>
            </w:r>
          </w:p>
          <w:p w:rsidR="002C6EA6" w:rsidRPr="00FD3E68" w:rsidRDefault="002C6EA6" w:rsidP="00C42F07">
            <w:pPr>
              <w:numPr>
                <w:ilvl w:val="0"/>
                <w:numId w:val="20"/>
              </w:num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Liječenje angine pektoris.</w:t>
            </w:r>
          </w:p>
          <w:p w:rsidR="002C6EA6" w:rsidRPr="00FD3E68" w:rsidRDefault="002C6EA6" w:rsidP="00C42F07">
            <w:pPr>
              <w:numPr>
                <w:ilvl w:val="0"/>
                <w:numId w:val="20"/>
              </w:num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Dugotrajna profilaksa reinfarkta nakon oporavka poslije akutnog infarkta miokarda.</w:t>
            </w:r>
          </w:p>
          <w:p w:rsidR="002C6EA6" w:rsidRPr="00FD3E68" w:rsidRDefault="002C6EA6" w:rsidP="00C42F07">
            <w:pPr>
              <w:numPr>
                <w:ilvl w:val="0"/>
                <w:numId w:val="20"/>
              </w:num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Kontrola većine oblika srčanih aritmija.</w:t>
            </w:r>
          </w:p>
          <w:p w:rsidR="002C6EA6" w:rsidRPr="00FD3E68" w:rsidRDefault="002C6EA6" w:rsidP="00C42F07">
            <w:pPr>
              <w:numPr>
                <w:ilvl w:val="0"/>
                <w:numId w:val="20"/>
              </w:num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Profilaksa migrene.</w:t>
            </w:r>
          </w:p>
          <w:p w:rsidR="002C6EA6" w:rsidRPr="00FD3E68" w:rsidRDefault="002C6EA6" w:rsidP="00C42F07">
            <w:pPr>
              <w:numPr>
                <w:ilvl w:val="0"/>
                <w:numId w:val="20"/>
              </w:num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Liječenje esencijalnog tremora.</w:t>
            </w:r>
          </w:p>
          <w:p w:rsidR="002C6EA6" w:rsidRPr="00FD3E68" w:rsidRDefault="002C6EA6" w:rsidP="00C42F07">
            <w:pPr>
              <w:numPr>
                <w:ilvl w:val="0"/>
                <w:numId w:val="20"/>
              </w:num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Olakšanje situacione anksioznosti i simptoma generalizovanog anksioznog poremećaja, posebno onih somatskog tipa.</w:t>
            </w:r>
          </w:p>
          <w:p w:rsidR="002C6EA6" w:rsidRPr="00FD3E68" w:rsidRDefault="002C6EA6" w:rsidP="00C42F07">
            <w:pPr>
              <w:numPr>
                <w:ilvl w:val="0"/>
                <w:numId w:val="20"/>
              </w:num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Profilaksa krvarenja iz gornjih djelova gastrointestinalnog trakta kod pacijenata sa portnom hipertenzijom i variksima jednjaka.</w:t>
            </w:r>
          </w:p>
          <w:p w:rsidR="002C6EA6" w:rsidRPr="00FD3E68" w:rsidRDefault="002C6EA6" w:rsidP="00C42F07">
            <w:pPr>
              <w:numPr>
                <w:ilvl w:val="0"/>
                <w:numId w:val="20"/>
              </w:num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Pomoćna terapija za liječenje tireotoksikoze i tireotoksičnih kriza.</w:t>
            </w:r>
          </w:p>
          <w:p w:rsidR="002C6EA6" w:rsidRPr="00FD3E68" w:rsidRDefault="002C6EA6" w:rsidP="00C42F07">
            <w:pPr>
              <w:numPr>
                <w:ilvl w:val="0"/>
                <w:numId w:val="20"/>
              </w:num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Liječenje hipertrofične opstruktivne kardiomiopatije.</w:t>
            </w:r>
          </w:p>
          <w:p w:rsidR="002C6EA6" w:rsidRPr="00FD3E68" w:rsidRDefault="002C6EA6" w:rsidP="00C42F07">
            <w:pPr>
              <w:numPr>
                <w:ilvl w:val="0"/>
                <w:numId w:val="20"/>
              </w:num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Liječenje feohromocitoma peri-operativno (sa alfa -blokatorom).</w:t>
            </w:r>
          </w:p>
          <w:p w:rsidR="002C6EA6" w:rsidRPr="00FD3E68" w:rsidRDefault="002C6EA6" w:rsidP="00C42F07">
            <w:pPr>
              <w:tabs>
                <w:tab w:val="left" w:pos="284"/>
                <w:tab w:val="left" w:pos="8964"/>
                <w:tab w:val="left" w:pos="9106"/>
              </w:tabs>
              <w:spacing w:after="0" w:line="240" w:lineRule="auto"/>
              <w:ind w:left="360"/>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4.2. Doziranje i način primjene</w:t>
            </w:r>
          </w:p>
        </w:tc>
      </w:tr>
      <w:tr w:rsidR="00FD3E68" w:rsidRPr="00FD3E68" w:rsidTr="00C42F07">
        <w:trPr>
          <w:trHeight w:val="713"/>
        </w:trPr>
        <w:tc>
          <w:tcPr>
            <w:tcW w:w="9498" w:type="dxa"/>
            <w:gridSpan w:val="4"/>
            <w:vAlign w:val="center"/>
          </w:tcPr>
          <w:p w:rsidR="002C6EA6" w:rsidRPr="00FD3E68" w:rsidRDefault="002C6EA6" w:rsidP="00C42F07">
            <w:pPr>
              <w:tabs>
                <w:tab w:val="center" w:pos="4536"/>
                <w:tab w:val="left" w:pos="8964"/>
                <w:tab w:val="right" w:pos="9072"/>
                <w:tab w:val="left" w:pos="9106"/>
              </w:tabs>
              <w:spacing w:after="0" w:line="240" w:lineRule="auto"/>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u w:val="single"/>
                <w:lang w:val="sr-Latn-ME"/>
              </w:rPr>
            </w:pPr>
            <w:r w:rsidRPr="00FD3E68">
              <w:rPr>
                <w:rFonts w:ascii="Times New Roman" w:eastAsia="Times New Roman" w:hAnsi="Times New Roman" w:cs="Times New Roman"/>
                <w:b/>
                <w:noProof/>
                <w:color w:val="000000" w:themeColor="text1"/>
                <w:u w:val="single"/>
                <w:lang w:val="sr-Latn-ME"/>
              </w:rPr>
              <w:t>Doziranje</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Odrasli</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Hipertenzija</w:t>
            </w:r>
          </w:p>
          <w:p w:rsidR="003C1CD9" w:rsidRPr="00FD3E68" w:rsidRDefault="002C6EA6" w:rsidP="00C42F07">
            <w:pPr>
              <w:tabs>
                <w:tab w:val="center" w:pos="4536"/>
                <w:tab w:val="left" w:pos="8964"/>
                <w:tab w:val="right" w:pos="9072"/>
                <w:tab w:val="left" w:pos="9106"/>
                <w:tab w:val="left" w:pos="9531"/>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lastRenderedPageBreak/>
              <w:t>Početna doza od 80 mg, 2 puta dnevno se može povećavati u nedjeljnim intervalima u zavisnosti od terapijskog odgovora. Uobičajen dozni opseg iznosi 160-3</w:t>
            </w:r>
          </w:p>
          <w:p w:rsidR="002C6EA6" w:rsidRPr="00FD3E68" w:rsidRDefault="002C6EA6" w:rsidP="00C42F07">
            <w:pPr>
              <w:tabs>
                <w:tab w:val="center" w:pos="4536"/>
                <w:tab w:val="left" w:pos="8964"/>
                <w:tab w:val="right" w:pos="9072"/>
                <w:tab w:val="left" w:pos="9106"/>
                <w:tab w:val="left" w:pos="9531"/>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20 mg dnevno. Dodatno sniženje krvnog pritiska se postiže istovremenom primjenom diuretika ili nekog drugog antihipertenzivnog lijeka.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u w:val="single"/>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Angina, migrena i esencijalni tremor</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Početna doza od 40 mg, 2-3 puta dnevno se, u zavisnosti od terapijskog odgovora, može povećavati za 40 mg u nedjeljnim intervalima. </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Adekvatan terapijski odgovor kod migrene i esencijalnog tremora se obično postiže u doznom opsegu od 80 do 160 mg dnevno, a u slučaju angine u doznom opsegu od 120 do 240 mg dnevno.</w:t>
            </w:r>
          </w:p>
          <w:p w:rsidR="002C6EA6" w:rsidRPr="00FD3E68" w:rsidRDefault="002C6EA6" w:rsidP="00C42F07">
            <w:pPr>
              <w:tabs>
                <w:tab w:val="center" w:pos="4536"/>
                <w:tab w:val="left" w:pos="8964"/>
                <w:tab w:val="right" w:pos="9072"/>
                <w:tab w:val="left" w:pos="9106"/>
              </w:tabs>
              <w:spacing w:after="0" w:line="240" w:lineRule="auto"/>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Situaciona anksioznost i generalizovani anksiozni poremećaj</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Doza od 40 mg dnevno može da obezbijedi kratkotrajno olakšanje akutne situacione anksioznosti. Generalizovani anksiozni poremećaj zahtijeva dugotrajno liječenje; obično se adekvatan terapijski odgovor postiže dozom od 40 mg 2 puta dnevno, dok se u pojedinamičnim slučajevima može povećati na 40 mg 3 puta dnevno. Liječenje treba nastaviti u skladu sa terapijskim odgovorom. Pacijente treba pregledati nakon 6 do 12 mjeseci liječenja.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u w:val="single"/>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 xml:space="preserve">Aritmije, tahikardija kod anksioznosti, hipertrofična opstruktivna kardiomiopatija i tireotoksikoza </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Željeni terapijski odgovor se obično postiže u doznom opsegu od 10 do 40 mg, 3-4 puta dnevno.</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 xml:space="preserve">Profilaksa nakon infarkta miokarda </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Liječenje treba započeti između 5. i 21. dana nakon infarkta miokarda. Početna doza iznosi 40 mg, 4 puta dnevno, tokom 2-3 dana, nakon čega se može primijeniti doza od 80 mg, 2 puta dnevno, u cilju poboljšanja komplijanse.</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u w:val="single"/>
                <w:lang w:val="sr-Latn-ME"/>
              </w:rPr>
            </w:pPr>
            <w:r w:rsidRPr="00FD3E68">
              <w:rPr>
                <w:rFonts w:ascii="Times New Roman" w:eastAsia="Times New Roman" w:hAnsi="Times New Roman" w:cs="Times New Roman"/>
                <w:b/>
                <w:noProof/>
                <w:color w:val="000000" w:themeColor="text1"/>
                <w:lang w:val="sr-Latn-ME"/>
              </w:rPr>
              <w:t>Portna hipertenzija</w:t>
            </w:r>
            <w:r w:rsidRPr="00FD3E68">
              <w:rPr>
                <w:rFonts w:ascii="Times New Roman" w:eastAsia="Times New Roman" w:hAnsi="Times New Roman" w:cs="Times New Roman"/>
                <w:noProof/>
                <w:color w:val="000000" w:themeColor="text1"/>
                <w:u w:val="single"/>
                <w:lang w:val="sr-Latn-ME"/>
              </w:rPr>
              <w:t xml:space="preserve"> </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Dozu treba titrirati tako da se postigne smanjenje srčanog ritma u mirovanju za približno 25 %. Početna doza iznosi 40 mg, 2 puta dnevno; može se povećavati na 80 mg, 2 puta dnevno, u zavisnosti od srčane frekvencije. Ukoliko je neophodno, doza se može postepeno povećavati do maksimalne dnevne doze od 160 mg, 2 puta dnevno.</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Feohromocitom</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(propranolol se koristi isključivo istovremeno sa alfa blokatorom) </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Preoperativno: preporučuje se 60 mg dnevno u toku 3 dana.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Neoperabilni maligni tumori: 30 mg dnevno.</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i/>
                <w:noProof/>
                <w:color w:val="000000" w:themeColor="text1"/>
                <w:lang w:val="sr-Latn-ME"/>
              </w:rPr>
            </w:pPr>
            <w:r w:rsidRPr="00FD3E68">
              <w:rPr>
                <w:rFonts w:ascii="Times New Roman" w:eastAsia="Times New Roman" w:hAnsi="Times New Roman" w:cs="Times New Roman"/>
                <w:b/>
                <w:noProof/>
                <w:color w:val="000000" w:themeColor="text1"/>
                <w:lang w:val="sr-Latn-ME"/>
              </w:rPr>
              <w:t>Starije osobe</w:t>
            </w:r>
            <w:r w:rsidRPr="00FD3E68">
              <w:rPr>
                <w:rFonts w:ascii="Times New Roman" w:eastAsia="Times New Roman" w:hAnsi="Times New Roman" w:cs="Times New Roman"/>
                <w:b/>
                <w:i/>
                <w:noProof/>
                <w:color w:val="000000" w:themeColor="text1"/>
                <w:lang w:val="sr-Latn-ME"/>
              </w:rPr>
              <w:t xml:space="preserve"> </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Postoje oprečni podaci o postojanju veze između koncentracije lijeka u krvi i starosne dobi. Propranolol treba sa oprezom primjenjivati kod starijih osoba. Preporučuje se da se terapija započne najmanjom dozom. Optimalnu dozu treba individualno odrediti prema kliničkom odgovoru.</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Pedijatrijska populacija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Aritmije, feohromocitom, tireotoksikoza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Doziranje je individualno i navedene doze služe samo kao smjernica: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Oralno: 0,25 do 0,5 mg/kg tjelesne mase, 3 ili 4 puta dnevno, u zavisnosti od terapijskog odgovora. </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BF3555"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lastRenderedPageBreak/>
              <w:t>Migrena</w:t>
            </w:r>
          </w:p>
          <w:p w:rsidR="002C6EA6" w:rsidRPr="00FD3E68" w:rsidRDefault="002C6EA6" w:rsidP="00C42F07">
            <w:pPr>
              <w:tabs>
                <w:tab w:val="center" w:pos="4536"/>
                <w:tab w:val="left" w:pos="8964"/>
                <w:tab w:val="right" w:pos="9072"/>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Oralno: za djecu mlađu od 12 godina: 20 mg, 2 ili 3 puta dnevno.</w:t>
            </w:r>
          </w:p>
          <w:p w:rsidR="002C6EA6" w:rsidRPr="00FD3E68" w:rsidRDefault="002C6EA6" w:rsidP="00C42F07">
            <w:pPr>
              <w:tabs>
                <w:tab w:val="center" w:pos="4536"/>
                <w:tab w:val="left" w:pos="8964"/>
                <w:tab w:val="right" w:pos="9072"/>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Za djecu stariju od 12 godina: doziranje je kao kod odraslih.</w:t>
            </w:r>
          </w:p>
          <w:p w:rsidR="00BF3555" w:rsidRPr="00FD3E68" w:rsidRDefault="00BF3555" w:rsidP="00C42F07">
            <w:pPr>
              <w:tabs>
                <w:tab w:val="center" w:pos="4536"/>
                <w:tab w:val="left" w:pos="8964"/>
                <w:tab w:val="right" w:pos="9072"/>
                <w:tab w:val="left" w:pos="9106"/>
              </w:tabs>
              <w:spacing w:after="0" w:line="240" w:lineRule="auto"/>
              <w:rPr>
                <w:rFonts w:ascii="Times New Roman" w:eastAsia="Times New Roman" w:hAnsi="Times New Roman" w:cs="Times New Roman"/>
                <w:noProof/>
                <w:color w:val="000000" w:themeColor="text1"/>
                <w:lang w:val="sr-Latn-ME"/>
              </w:rPr>
            </w:pPr>
          </w:p>
          <w:p w:rsidR="002C6EA6" w:rsidRPr="00FD3E68" w:rsidRDefault="002C6EA6" w:rsidP="00C42F07">
            <w:pPr>
              <w:tabs>
                <w:tab w:val="left" w:pos="8964"/>
                <w:tab w:val="left" w:pos="9106"/>
              </w:tabs>
              <w:autoSpaceDE w:val="0"/>
              <w:autoSpaceDN w:val="0"/>
              <w:adjustRightInd w:val="0"/>
              <w:spacing w:after="0" w:line="240" w:lineRule="auto"/>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Tetralogija Falo</w:t>
            </w:r>
          </w:p>
          <w:p w:rsidR="002C6EA6" w:rsidRPr="00FD3E68" w:rsidRDefault="002C6EA6" w:rsidP="00C42F07">
            <w:pPr>
              <w:tabs>
                <w:tab w:val="center" w:pos="4536"/>
                <w:tab w:val="left" w:pos="8964"/>
                <w:tab w:val="right" w:pos="9072"/>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Doza propranolola uglavnom zavisi od smanjenja opstrukcije izlaznog trakta desne komore. Propranolol je takođe koristan za liječenje pridružene aritmije i angine pektoris. Doziranje je individualno i navedene doze služe samo kao smjernica:</w:t>
            </w:r>
          </w:p>
          <w:p w:rsidR="002C6EA6" w:rsidRPr="00FD3E68" w:rsidRDefault="002C6EA6" w:rsidP="00C42F07">
            <w:pPr>
              <w:tabs>
                <w:tab w:val="center" w:pos="4536"/>
                <w:tab w:val="left" w:pos="8964"/>
                <w:tab w:val="right" w:pos="9072"/>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Oralno: do 1 mg/kg, ponovljeno 3 do 4 puta dnevno, u zavisnosti od terapijskog odgovora.</w:t>
            </w:r>
          </w:p>
          <w:p w:rsidR="002C6EA6" w:rsidRPr="00FD3E68" w:rsidRDefault="002C6EA6" w:rsidP="00C42F07">
            <w:pPr>
              <w:tabs>
                <w:tab w:val="center" w:pos="4536"/>
                <w:tab w:val="left" w:pos="8964"/>
                <w:tab w:val="right" w:pos="9072"/>
                <w:tab w:val="left" w:pos="9106"/>
              </w:tabs>
              <w:spacing w:after="0" w:line="240" w:lineRule="auto"/>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Način primjene</w:t>
            </w:r>
          </w:p>
          <w:p w:rsidR="002C6EA6" w:rsidRPr="00FD3E68" w:rsidRDefault="002C6EA6" w:rsidP="00C42F07">
            <w:pPr>
              <w:tabs>
                <w:tab w:val="center" w:pos="4536"/>
                <w:tab w:val="left" w:pos="8964"/>
                <w:tab w:val="right" w:pos="9072"/>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Oralna primjena.</w:t>
            </w:r>
          </w:p>
          <w:p w:rsidR="002C6EA6" w:rsidRPr="00FD3E68" w:rsidRDefault="002C6EA6" w:rsidP="00C42F07">
            <w:pPr>
              <w:tabs>
                <w:tab w:val="center" w:pos="4536"/>
                <w:tab w:val="left" w:pos="8964"/>
                <w:tab w:val="right" w:pos="9072"/>
                <w:tab w:val="left" w:pos="9106"/>
              </w:tabs>
              <w:spacing w:after="0" w:line="240" w:lineRule="auto"/>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lastRenderedPageBreak/>
              <w:t>4.3. Kontraindikacije</w:t>
            </w:r>
          </w:p>
        </w:tc>
      </w:tr>
      <w:tr w:rsidR="00FD3E68" w:rsidRPr="00FD3E68" w:rsidTr="00C42F07">
        <w:trPr>
          <w:trHeight w:val="521"/>
        </w:trPr>
        <w:tc>
          <w:tcPr>
            <w:tcW w:w="9498" w:type="dxa"/>
            <w:gridSpan w:val="4"/>
            <w:vAlign w:val="center"/>
          </w:tcPr>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Hipersenzitivnost na aktivnu ili na bilo koju pomoćnu supstancu navedenu u odjeljku 6.1.</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Propranolol se ne smije koristiti u slučaju postojanja istorije bolesti bronhijalne astme ili bronhospazma.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Efekat bronhospazma se može poništiti primjenom bronhodilatatora (beta 2 agonisti), kao što je salbutamol. Mogu biti neophodne velike doze beta 2 agonista da bi se prevazišla beta blokada, prouzrokovana primjenom propranolola. Dozu treba titrirati u zavisnosti od terapijskog odgovora; treba razmotriti primjenu i intravenskog i inhalacionog oblika bronhodilatatora. Može se razmotriti i primjena intravenskog aminofilina i/ili ipratropijuma (primijenjenog pomoću raspršivača). Glukagon (1-2 mg, intravenski) takođe dovodi do bronhodilatacije kod pacijenata sa astmom.  U težim slučajevima mogu biti potrebni kiseonik ili vještačka ventilacija.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Propranolol, kao i drugi beta blokatori, se ne smije koristiti kod pacijenata koji imaju neko od sljedećih stanja: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numPr>
                <w:ilvl w:val="0"/>
                <w:numId w:val="21"/>
              </w:num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Preosjetljivost na propranolol ili na bilo koju pomoćnu supstancu lijeka</w:t>
            </w:r>
          </w:p>
          <w:p w:rsidR="002C6EA6" w:rsidRPr="00FD3E68" w:rsidRDefault="002C6EA6" w:rsidP="00C42F07">
            <w:pPr>
              <w:numPr>
                <w:ilvl w:val="0"/>
                <w:numId w:val="21"/>
              </w:num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Bradikardija</w:t>
            </w:r>
          </w:p>
          <w:p w:rsidR="002C6EA6" w:rsidRPr="00FD3E68" w:rsidRDefault="002C6EA6" w:rsidP="00C42F07">
            <w:pPr>
              <w:numPr>
                <w:ilvl w:val="0"/>
                <w:numId w:val="21"/>
              </w:num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Kardiogeni šok</w:t>
            </w:r>
          </w:p>
          <w:p w:rsidR="002C6EA6" w:rsidRPr="00FD3E68" w:rsidRDefault="002C6EA6" w:rsidP="00C42F07">
            <w:pPr>
              <w:numPr>
                <w:ilvl w:val="0"/>
                <w:numId w:val="21"/>
              </w:num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Hipotenzija</w:t>
            </w:r>
          </w:p>
          <w:p w:rsidR="002C6EA6" w:rsidRPr="00FD3E68" w:rsidRDefault="002C6EA6" w:rsidP="00C42F07">
            <w:pPr>
              <w:numPr>
                <w:ilvl w:val="0"/>
                <w:numId w:val="21"/>
              </w:num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Metabolička acidoza</w:t>
            </w:r>
          </w:p>
          <w:p w:rsidR="002C6EA6" w:rsidRPr="00FD3E68" w:rsidRDefault="002C6EA6" w:rsidP="00C42F07">
            <w:pPr>
              <w:numPr>
                <w:ilvl w:val="0"/>
                <w:numId w:val="21"/>
              </w:num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Nakon dužeg gladovanja</w:t>
            </w:r>
          </w:p>
          <w:p w:rsidR="002C6EA6" w:rsidRPr="00FD3E68" w:rsidRDefault="002C6EA6" w:rsidP="00C42F07">
            <w:pPr>
              <w:numPr>
                <w:ilvl w:val="0"/>
                <w:numId w:val="21"/>
              </w:num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Težak poremećaj periferne arterijske cirkulacije</w:t>
            </w:r>
          </w:p>
          <w:p w:rsidR="002C6EA6" w:rsidRPr="00FD3E68" w:rsidRDefault="002C6EA6" w:rsidP="00C42F07">
            <w:pPr>
              <w:numPr>
                <w:ilvl w:val="0"/>
                <w:numId w:val="21"/>
              </w:num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AV blok drugog ili trećeg stepena</w:t>
            </w:r>
          </w:p>
          <w:p w:rsidR="002C6EA6" w:rsidRPr="00FD3E68" w:rsidRDefault="002C6EA6" w:rsidP="00C42F07">
            <w:pPr>
              <w:numPr>
                <w:ilvl w:val="0"/>
                <w:numId w:val="21"/>
              </w:num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i/>
                <w:noProof/>
                <w:color w:val="000000" w:themeColor="text1"/>
                <w:lang w:val="sr-Latn-ME"/>
              </w:rPr>
              <w:t xml:space="preserve">Sick sinus </w:t>
            </w:r>
            <w:r w:rsidRPr="00FD3E68">
              <w:rPr>
                <w:rFonts w:ascii="Times New Roman" w:eastAsia="Times New Roman" w:hAnsi="Times New Roman" w:cs="Times New Roman"/>
                <w:noProof/>
                <w:color w:val="000000" w:themeColor="text1"/>
                <w:lang w:val="sr-Latn-ME"/>
              </w:rPr>
              <w:t>sindrom</w:t>
            </w:r>
          </w:p>
          <w:p w:rsidR="002C6EA6" w:rsidRPr="00FD3E68" w:rsidRDefault="002C6EA6" w:rsidP="00C42F07">
            <w:pPr>
              <w:numPr>
                <w:ilvl w:val="0"/>
                <w:numId w:val="21"/>
              </w:num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Neliječen feohromocitom</w:t>
            </w:r>
          </w:p>
          <w:p w:rsidR="002C6EA6" w:rsidRPr="00FD3E68" w:rsidRDefault="002C6EA6" w:rsidP="00C42F07">
            <w:pPr>
              <w:numPr>
                <w:ilvl w:val="0"/>
                <w:numId w:val="21"/>
              </w:num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Nekontrolisana srčana insuficijencija </w:t>
            </w:r>
          </w:p>
          <w:p w:rsidR="002C6EA6" w:rsidRPr="00FD3E68" w:rsidRDefault="002C6EA6" w:rsidP="00C42F07">
            <w:pPr>
              <w:numPr>
                <w:ilvl w:val="0"/>
                <w:numId w:val="21"/>
              </w:num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Prinzmetal-ova angina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Propranolol se ne smije koristiti kod pacijenata koji su skloni hipoglikemiji, npr. nakon dugotrajnog gladovanja, ili kod pacijenata čiji su kompenzatorni mehanizmi ograničeni. Pacijenti sa ograničenim kompenzatornim mehanizmima mogu imati smanjen autonomni i hormonski odgovor na hipoglikemiju, koji uključuje glikogenolizu, glukoneogenezu, i/ili oslabljenu modulaciju sekrecije insulina. Povećan rizik </w:t>
            </w:r>
            <w:r w:rsidRPr="00FD3E68">
              <w:rPr>
                <w:rFonts w:ascii="Times New Roman" w:eastAsia="Times New Roman" w:hAnsi="Times New Roman" w:cs="Times New Roman"/>
                <w:noProof/>
                <w:color w:val="000000" w:themeColor="text1"/>
                <w:lang w:val="sr-Latn-ME"/>
              </w:rPr>
              <w:lastRenderedPageBreak/>
              <w:t>od neadekvatnog odgovora na hipoglikemiju imaju pothranjeni, pacijenti koji su duže vrijeme gladovali, izgladnjeli, pacijenti sa hroničnim oboljenjem jetre, dijabetesom, kao i oni na istovremenoj terapiji ljekovima koji blokiraju puni odgovor na dejstvo kateholamina.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lastRenderedPageBreak/>
              <w:t>4.4. Posebna upozorenja i mjere opreza pri upotrebi lijeka</w:t>
            </w:r>
          </w:p>
        </w:tc>
      </w:tr>
      <w:tr w:rsidR="00FD3E68" w:rsidRPr="00FD3E68" w:rsidTr="00C42F07">
        <w:trPr>
          <w:trHeight w:val="80"/>
        </w:trPr>
        <w:tc>
          <w:tcPr>
            <w:tcW w:w="9498" w:type="dxa"/>
            <w:gridSpan w:val="4"/>
            <w:vAlign w:val="center"/>
          </w:tcPr>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Propranolol, kao i drugi beta blokatori:</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1F1E9D"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w:t>
            </w:r>
            <w:r w:rsidR="002C6EA6" w:rsidRPr="00FD3E68">
              <w:rPr>
                <w:rFonts w:ascii="Times New Roman" w:eastAsia="Times New Roman" w:hAnsi="Times New Roman" w:cs="Times New Roman"/>
                <w:noProof/>
                <w:color w:val="000000" w:themeColor="text1"/>
                <w:lang w:val="sr-Latn-ME"/>
              </w:rPr>
              <w:t>iako je kontraindikovana primjena kod nekontrolisane srčane insuficijencije (vidjeti odjeljak 4.3.), može se koristiti kod pacijenata kod kojih su znaci srčane insuficijencije dobro kontrolisani.</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Neophodan je poseban oprez u slučaju primjene propranolola kod pacijenata sa slabom srčanom rezervom.</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1F1E9D"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w:t>
            </w:r>
            <w:r w:rsidR="002C6EA6" w:rsidRPr="00FD3E68">
              <w:rPr>
                <w:rFonts w:ascii="Times New Roman" w:eastAsia="Times New Roman" w:hAnsi="Times New Roman" w:cs="Times New Roman"/>
                <w:noProof/>
                <w:color w:val="000000" w:themeColor="text1"/>
                <w:lang w:val="sr-Latn-ME"/>
              </w:rPr>
              <w:t>ne treba koristiti u kombinaciji sa blokatorima kalcijumovih kanala sa pozitivnim inotropnim dejstvom (npr. verapamil, diltiazem), jer može doći do potenciranja ovih dejstava, posebno kod pacijenata sa oštećenom ventrikularnom funkcijom ili poremećajem SA ili AV provođenja. Ovo može rezultirati pojavom teške hipotenzije, bradikardije i srčane insuficijencije. β blokatore i blokatore kalcijumovih kanala ne treba primjenjivati intravenski u roku od 48 sati od prekida terapije oralnim β blokatorima ili blokatorima kalcijumovih kanala).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1F1E9D"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w:t>
            </w:r>
            <w:r w:rsidR="002C6EA6" w:rsidRPr="00FD3E68">
              <w:rPr>
                <w:rFonts w:ascii="Times New Roman" w:eastAsia="Times New Roman" w:hAnsi="Times New Roman" w:cs="Times New Roman"/>
                <w:noProof/>
                <w:color w:val="000000" w:themeColor="text1"/>
                <w:lang w:val="sr-Latn-ME"/>
              </w:rPr>
              <w:t>iako je kontraindikovan u slučajevima teških poremećaja periferne arterijske cirkulacije (vidjeti odjeljak 4.3.), propranolol može dovesti i do pogoršanja blažih formi ovih poremećaja.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1F1E9D"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w:t>
            </w:r>
            <w:r w:rsidR="002C6EA6" w:rsidRPr="00FD3E68">
              <w:rPr>
                <w:rFonts w:ascii="Times New Roman" w:eastAsia="Times New Roman" w:hAnsi="Times New Roman" w:cs="Times New Roman"/>
                <w:noProof/>
                <w:color w:val="000000" w:themeColor="text1"/>
                <w:lang w:val="sr-Latn-ME"/>
              </w:rPr>
              <w:t>neophodan je oprez pri davanju propranolola kod pacijenata sa srčanim blokom prvog stepena usljed negativnog dejstva na vrijeme provođenja.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1F1E9D"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w:t>
            </w:r>
            <w:r w:rsidR="002C6EA6" w:rsidRPr="00FD3E68">
              <w:rPr>
                <w:rFonts w:ascii="Times New Roman" w:eastAsia="Times New Roman" w:hAnsi="Times New Roman" w:cs="Times New Roman"/>
                <w:noProof/>
                <w:color w:val="000000" w:themeColor="text1"/>
                <w:lang w:val="sr-Latn-ME"/>
              </w:rPr>
              <w:t>može da modifikuje ili spriječi nastanak znakova i simptoma hipoglikemije (naročito tahikardije). Propranolol povremeno prouzrokuje hipoglikemiju, čak i kod pacijenata koji nemaju dijabetes, npr. novorođenčadi, odojčadi, djece, starijih pacijenata, pacijenata na hemodijalizi ili sa hroničnim oboljenjem jetre ili predoziranih pacijenata. Teška hipoglikemija udružena sa primjenom propranolola rijetko se manifestuje napadima ili komom kod pojedinih pacijenata. Neophodan je oprez kod dijabetičara koji istovremeno primaju propranolol i hipoglikemijsku terapiju. Propranolol može produžiti hipoglikemijski odgovor na dejstvo insulina (vidjeti odjeljak 4.3).</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1F1E9D"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w:t>
            </w:r>
            <w:r w:rsidR="002C6EA6" w:rsidRPr="00FD3E68">
              <w:rPr>
                <w:rFonts w:ascii="Times New Roman" w:eastAsia="Times New Roman" w:hAnsi="Times New Roman" w:cs="Times New Roman"/>
                <w:noProof/>
                <w:color w:val="000000" w:themeColor="text1"/>
                <w:lang w:val="sr-Latn-ME"/>
              </w:rPr>
              <w:t>može da maskira simptome tireotoksikoze.</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1F1E9D"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w:t>
            </w:r>
            <w:r w:rsidR="002C6EA6" w:rsidRPr="00FD3E68">
              <w:rPr>
                <w:rFonts w:ascii="Times New Roman" w:eastAsia="Times New Roman" w:hAnsi="Times New Roman" w:cs="Times New Roman"/>
                <w:noProof/>
                <w:color w:val="000000" w:themeColor="text1"/>
                <w:lang w:val="sr-Latn-ME"/>
              </w:rPr>
              <w:t>ne treba koristiti kod neliječenog feohromocitoma. Međutim, pacijentima sa feohromocitomom se istovremeno može davati α blokator.</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1F1E9D"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w:t>
            </w:r>
            <w:r w:rsidR="002C6EA6" w:rsidRPr="00FD3E68">
              <w:rPr>
                <w:rFonts w:ascii="Times New Roman" w:eastAsia="Times New Roman" w:hAnsi="Times New Roman" w:cs="Times New Roman"/>
                <w:noProof/>
                <w:color w:val="000000" w:themeColor="text1"/>
                <w:lang w:val="sr-Latn-ME"/>
              </w:rPr>
              <w:t>jedno od farmakoloških dejstava propranolola je smanjenje srčane frekvencije. U rijetkim slučajevima, kada pacijent razvije simptome koji se mogu pripisati usporenom srčanom radu, doza se može smanjiti.</w:t>
            </w:r>
          </w:p>
          <w:p w:rsidR="002C6EA6" w:rsidRPr="00FD3E68" w:rsidRDefault="002C6EA6" w:rsidP="00C42F07">
            <w:pPr>
              <w:tabs>
                <w:tab w:val="left" w:pos="8964"/>
                <w:tab w:val="left" w:pos="9106"/>
              </w:tabs>
              <w:autoSpaceDE w:val="0"/>
              <w:autoSpaceDN w:val="0"/>
              <w:adjustRightInd w:val="0"/>
              <w:spacing w:after="0" w:line="240" w:lineRule="auto"/>
              <w:rPr>
                <w:rFonts w:ascii="Times New Roman" w:eastAsia="Times New Roman" w:hAnsi="Times New Roman" w:cs="Times New Roman"/>
                <w:noProof/>
                <w:color w:val="000000" w:themeColor="text1"/>
                <w:lang w:val="sr-Latn-ME"/>
              </w:rPr>
            </w:pPr>
          </w:p>
          <w:p w:rsidR="002C6EA6" w:rsidRPr="00FD3E68" w:rsidRDefault="001F1E9D"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w:t>
            </w:r>
            <w:r w:rsidR="002C6EA6" w:rsidRPr="00FD3E68">
              <w:rPr>
                <w:rFonts w:ascii="Times New Roman" w:eastAsia="Times New Roman" w:hAnsi="Times New Roman" w:cs="Times New Roman"/>
                <w:noProof/>
                <w:color w:val="000000" w:themeColor="text1"/>
                <w:lang w:val="sr-Latn-ME"/>
              </w:rPr>
              <w:t>može dovesti do mnogo ozbiljnije i burnije reakcije na različite alergene prilikom primjene kod pacijenata sa istorijom anafilaktičkih reakcija na te alergene. Uobičajene doze adrenalina koje se koriste za liječenje alergijskih reakcija, mogu biti nedovoljne za liječenje ovih pacijenata.</w:t>
            </w:r>
          </w:p>
          <w:p w:rsidR="002C6EA6" w:rsidRPr="00FD3E68" w:rsidRDefault="002C6EA6" w:rsidP="00C42F07">
            <w:pPr>
              <w:tabs>
                <w:tab w:val="left" w:pos="8964"/>
                <w:tab w:val="left" w:pos="9106"/>
              </w:tabs>
              <w:autoSpaceDE w:val="0"/>
              <w:autoSpaceDN w:val="0"/>
              <w:adjustRightInd w:val="0"/>
              <w:spacing w:after="0" w:line="240" w:lineRule="auto"/>
              <w:rPr>
                <w:rFonts w:ascii="Times New Roman" w:eastAsia="Times New Roman" w:hAnsi="Times New Roman" w:cs="Times New Roman"/>
                <w:noProof/>
                <w:color w:val="000000" w:themeColor="text1"/>
                <w:lang w:val="sr-Latn-ME"/>
              </w:rPr>
            </w:pPr>
          </w:p>
          <w:p w:rsidR="002C6EA6" w:rsidRPr="00FD3E68" w:rsidRDefault="002C6EA6"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lastRenderedPageBreak/>
              <w:t>Treba izbjegavati naglo prekidanje terapije β-blokatorima. Dozu treba postepeno smanjivati u periodu od 7 do 14 dana. Pacijente treba pratiti tokom postepenog prekida terapije, naročito pacijente sa ishemijskom bolešću srca.</w:t>
            </w:r>
          </w:p>
          <w:p w:rsidR="002C6EA6" w:rsidRPr="00FD3E68" w:rsidRDefault="002C6EA6"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Kod pacijenata koji treba da se operišu, odluka o prekidu terapije β-blokatorom treba da se donese najmanje 24 sata prije operacije. Za svakog pacijenta treba da se odredi odnos rizika i koristi od prekida β-blokade.</w:t>
            </w:r>
          </w:p>
          <w:p w:rsidR="002C6EA6" w:rsidRPr="00FD3E68" w:rsidRDefault="002C6EA6"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Pošto poluvrijeme eliminacije može biti produženo kod osoba sa značajnim oštećenjem funkcije jetre ili bubrega, neophodan je oprez prilikom započinjanja liječenja i određivanja početne doze.</w:t>
            </w:r>
          </w:p>
          <w:p w:rsidR="002C6EA6" w:rsidRPr="00FD3E68" w:rsidRDefault="002C6EA6"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Neophodan je oprez u slučaju primjene propranolola kod pacijenata sa dekompenzovanom cirozom jetre (vidjeti odjeljak 4.2).</w:t>
            </w:r>
          </w:p>
          <w:p w:rsidR="002C6EA6" w:rsidRPr="00FD3E68" w:rsidRDefault="002C6EA6"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Kod pacijenata sa portnom hipertenzijom, može doći do pogoršanja funkcije jetre i razvoja hepatične encefalopatije. Postoje izvještaji u kojima se ukazuje na činjenicu da primjena propranolola može povećati rizik od nastanka hepatične encefalopatije (vidjeti odjeljak 4.2).</w:t>
            </w:r>
          </w:p>
          <w:p w:rsidR="002C6EA6" w:rsidRPr="00FD3E68" w:rsidRDefault="002C6EA6" w:rsidP="00C42F07">
            <w:pPr>
              <w:tabs>
                <w:tab w:val="left" w:pos="8964"/>
                <w:tab w:val="left" w:pos="9106"/>
              </w:tabs>
              <w:autoSpaceDE w:val="0"/>
              <w:autoSpaceDN w:val="0"/>
              <w:adjustRightInd w:val="0"/>
              <w:spacing w:after="0" w:line="240" w:lineRule="auto"/>
              <w:rPr>
                <w:rFonts w:ascii="Times New Roman" w:eastAsia="Times New Roman" w:hAnsi="Times New Roman" w:cs="Times New Roman"/>
                <w:noProof/>
                <w:color w:val="000000" w:themeColor="text1"/>
                <w:lang w:val="sr-Latn-ME"/>
              </w:rPr>
            </w:pPr>
          </w:p>
          <w:p w:rsidR="002C6EA6" w:rsidRPr="00FD3E68" w:rsidRDefault="002C6EA6"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i/>
                <w:noProof/>
                <w:color w:val="000000" w:themeColor="text1"/>
                <w:lang w:val="sr-Latn-ME"/>
              </w:rPr>
              <w:t>Uticaj na laboratorijske testove:</w:t>
            </w:r>
            <w:r w:rsidRPr="00FD3E68">
              <w:rPr>
                <w:rFonts w:ascii="Times New Roman" w:eastAsia="Times New Roman" w:hAnsi="Times New Roman" w:cs="Times New Roman"/>
                <w:noProof/>
                <w:color w:val="000000" w:themeColor="text1"/>
                <w:lang w:val="sr-Latn-ME"/>
              </w:rPr>
              <w:t xml:space="preserve"> Propranolol može da utiče na određivanje serumskog bilirubina diazo metodom, i na određivanje kateholamina fluoroscentnom metodom.</w:t>
            </w:r>
          </w:p>
          <w:p w:rsidR="002C6EA6" w:rsidRPr="00FD3E68" w:rsidRDefault="002C6EA6"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8964"/>
                <w:tab w:val="left" w:pos="9106"/>
              </w:tabs>
              <w:autoSpaceDE w:val="0"/>
              <w:autoSpaceDN w:val="0"/>
              <w:adjustRightInd w:val="0"/>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Pacijenti sa rijetkim nasljednim oboljenjem intolerancije na galaktozu, nedostatkom Lapp laktoze ili glukozo-galaktoznom malapsorpcijom, ne smiju koristiti ovaj lijek.</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color w:val="000000" w:themeColor="text1"/>
              </w:rPr>
            </w:pPr>
            <w:r w:rsidRPr="00FD3E68">
              <w:rPr>
                <w:rFonts w:ascii="Times New Roman" w:eastAsia="Times New Roman" w:hAnsi="Times New Roman" w:cs="Times New Roman"/>
                <w:color w:val="000000" w:themeColor="text1"/>
              </w:rPr>
              <w:t>Takođe, lijek Propranolol Remedica sadrži i vještačku boju ('carmoisine' - E.122), pa je moguća pojava reakcija alergijskog tipa.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lastRenderedPageBreak/>
              <w:t>4.5. Interakcije sa drugim ljekovima i druge vrste interakcija</w:t>
            </w:r>
          </w:p>
        </w:tc>
      </w:tr>
      <w:tr w:rsidR="00FD3E68" w:rsidRPr="00FD3E68" w:rsidTr="00C42F07">
        <w:trPr>
          <w:trHeight w:val="719"/>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Propranolol utiče na tahikardiju koja je posljedica hipoglikemije; neophodan je oprez pri istovremenoj upotrebi propranolola i hipoglikemijskih ljekova kod pacijenata sa dijabetesom. Propranolol može produžiti hipoglikemijski odgovor na dejstvo insulina (vidjeti odjeljke 4.3 i 4.4.).</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Istovremena primjena propranolola i rizatriptana može dovesti do povećanja PIK-a i maksimalne koncentracije rizatriptana u plazmi za oko 70-80%, što nastaje zbog inhibicije metabolizma prvog prolaza rizatriptana, odnosno zbog inhibicije monoamooksidaze-A. Ukoliko je neophodna istovremena primjena oba lijeka, preporučuje se doza od 5 mg rizatriptana.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Antiaritmici klase I (npr. dizopramid) i amjodaron mogu imati potencirajući efekat na atrijalno vrijeme provođenja i indukovati negativano inotropno dejstvo.</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Istovremena primjena glikozida digitalisa i beta blokatora može produžiti vrijeme provođenja.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Istovremena primjena beta blokatora i antagonista kalcijumskih kanala sa negativnim inotropnim dejstvom (npr. verapamil i diltiazem) može dovesti do potenciranja tog dejstva, naročito kod pacijenata sa oštećenom funkcijom srčane komore i/ili poremećajima SA ili AV provođenja. Istovemena primjena ovih ljekova može prouzrokovati tešku hipotenziju, bradikardiju i srčanu insuficijenciju. Ni beta blokatore, ni </w:t>
            </w:r>
            <w:r w:rsidRPr="00FD3E68">
              <w:rPr>
                <w:rFonts w:ascii="Times New Roman" w:eastAsia="Times New Roman" w:hAnsi="Times New Roman" w:cs="Times New Roman"/>
                <w:noProof/>
                <w:color w:val="000000" w:themeColor="text1"/>
                <w:lang w:val="sr-Latn-ME"/>
              </w:rPr>
              <w:lastRenderedPageBreak/>
              <w:t>antagoniste kalcijumskih kanala ne treba primjenjivati intravenski u toku 48 sati nakon prekida terapije prethodnim lijekom.</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Istovremena upotreba kalcijumskih antagonista iz grupe dihidropiridina, kao što je nifedipin, može dovesti do hipotenzije i srčane insuficijencije kod pacijenata sa latentnom srčanom insuficijencijom. </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Istovremena primjena simpatikomimetika, npr. adrenalina, može neutralisati dejstvo beta blokatora. Neophodan je oprez prilikom parenteralne primjene preparata koji sadrže adrenalin kod pacijenata koji već uzimaju beta blokatore, jer u rijetkim slučajevima može doći do vazokonstrikcije, hipertenzije i bradikardije. </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Primjena propranolola u toku infuzije lidokaina može dovesti do povećanja koncentracije lidokaina u plazmi za približno 30%. Pacijenti koji već primaju propranolol su skloni povećanju koncentracije lidokaina u odnosu na osobe koje ga ne primaju. Istovremenu primjenu ova dva lijeka treba izbjegavati.</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Istovremena primjena cimetidina ili hidralazina sa propranololom dovodi do povećanja koncentracije propranolola u plazmi; istovremena konzumacija alkohola takođe može dovesti do povećanja koncentracije ovog lijeka u plazmi. </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Beta blokatori mogu pogoršati </w:t>
            </w:r>
            <w:r w:rsidRPr="00FD3E68">
              <w:rPr>
                <w:rFonts w:ascii="Times New Roman" w:eastAsia="Times New Roman" w:hAnsi="Times New Roman" w:cs="Times New Roman"/>
                <w:i/>
                <w:noProof/>
                <w:color w:val="000000" w:themeColor="text1"/>
                <w:lang w:val="sr-Latn-ME"/>
              </w:rPr>
              <w:t>rebound</w:t>
            </w:r>
            <w:r w:rsidRPr="00FD3E68">
              <w:rPr>
                <w:rFonts w:ascii="Times New Roman" w:eastAsia="Times New Roman" w:hAnsi="Times New Roman" w:cs="Times New Roman"/>
                <w:noProof/>
                <w:color w:val="000000" w:themeColor="text1"/>
                <w:lang w:val="sr-Latn-ME"/>
              </w:rPr>
              <w:t xml:space="preserve"> hipertenziju, koja može nastati nakon prekida terapije klonidinom. Ukoliko se ova dva lijeka primjenjuju istovremeno, terapiju beta blokatorom treba prekinuti nekoliko dana prije prekida liječenja klonidinom. Ukoliko se terapija klonidinom zamjenjuje beta blokatorom, onda sa primjenom beta blokatora treba započeti nekoliko dana nakon završetka terapije klonidinom.</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Neophodan je oprez u toku istovremene primjene propranolola i ergotamina, dihidroergotamina ili sličnih ljekova, jer su zabilježeni pojedinačni slučajevi vazospastičnih reakcija.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Istovremena primjena inhibitora sinteze prostaglandina, npr. ibuprofena i indometacina, može dovesti do smanjenja hipotenzivnog dejstva propranolola.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u w:val="single"/>
                <w:lang w:val="sr-Latn-ME"/>
              </w:rPr>
            </w:pPr>
            <w:r w:rsidRPr="00FD3E68">
              <w:rPr>
                <w:rFonts w:ascii="Times New Roman" w:eastAsia="Times New Roman" w:hAnsi="Times New Roman" w:cs="Times New Roman"/>
                <w:noProof/>
                <w:color w:val="000000" w:themeColor="text1"/>
                <w:lang w:val="sr-Latn-ME"/>
              </w:rPr>
              <w:t>Istovremena primjena propranolola i hlorpromazina može povećati koncentraciju oba lijeka u plazmi, što dovodi do potenciranja antipsihotičkog dejstva hlorpromazina i antihipertenzivnog dejstva propranolola.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Neophodan je oprez prilikom primjene anestetika kod pacijenata koji uzimaju propranolol. Ljekar anesteziolog uvijek mora biti obaviješten o primjeni beta blokatora. Izabrani anestetik bi trebalo da ima što je moguće manje negativno inotropno dejstvo. Upotreba beta blokatora sa anesteticima može dovesti do slabljenja refleksne tahikardije i povećati rizik od nastanka hipotenzije. Anestetike sa depresornim dejstvom na miokard treba izbjegavati.</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Rezultati farmakokinetičkih studija pokazuju da izvjesni ljekovi mogu stupiti u interakcije sa propranololom, zbog dejstva na sistemske enzime jetre putem kojih se metabolišu propranolol i ljekovi: kvinidin, propafenon, rifampicin, teofilin, varfarin, tioridazin i dihidropiridinski kalcijumski antagonisti, kao što su nifedipin, nizoldipin, nikardipin, izradipin i lacidipin. S obzirom na činjenicu da koncentracija u krvi bilo kojeg od navedenih ljekova, kao i propranolola, može biti promijenjena, potrebno je prilagoditi dozu na osnovu kliničke procjene (vidjeti gore - interakcije pri istovremenoj primjeni propranolola sa dihidropiridinskim kalcijumskim antagonistima).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lastRenderedPageBreak/>
              <w:t>4.6. Primjena u periodu trudnoće i dojenja</w:t>
            </w:r>
          </w:p>
        </w:tc>
      </w:tr>
      <w:tr w:rsidR="00FD3E68" w:rsidRPr="00FD3E68" w:rsidTr="00C42F07">
        <w:trPr>
          <w:trHeight w:val="533"/>
        </w:trPr>
        <w:tc>
          <w:tcPr>
            <w:tcW w:w="9498" w:type="dxa"/>
            <w:gridSpan w:val="4"/>
            <w:vAlign w:val="center"/>
          </w:tcPr>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Trudnoća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Kao i u slučaju drugih ljekova, propranolol ne treba primjenjivati u toku trudnoće ili dojenja, osim ukoliko je neophodno. Nema podataka o teratogenom dejstvu propranolola. Međutim, beta blokatori smanjuju perfuziju krvi kroz placentu, što može dovesti do intrauterine smrti fetusa, nezrelosti ploda i preranog porođaja. Pored toga, mogu se javiti neželjena dejstva (naročito hipoglikemija i bradikardija kod novorođenčeta i bradikardija kod fetusa). Kod novorođenčeta takođe postoji povećan rizik od razvoja kardiopulmonalnih komplikacija u postnatalnom periodu.</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Dojenje</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Većina beta blokatora, a naročito lipofilni, se izlučuju u majčino mlijeko u različitom obimu. Zato se primjena ovih ljekova ne preporučuje u toku dojenja.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spacing w:val="-8"/>
                <w:lang w:val="sr-Latn-ME"/>
              </w:rPr>
            </w:pPr>
            <w:r w:rsidRPr="00FD3E68">
              <w:rPr>
                <w:rFonts w:ascii="Times New Roman" w:eastAsia="Times New Roman" w:hAnsi="Times New Roman" w:cs="Times New Roman"/>
                <w:b/>
                <w:bCs/>
                <w:noProof/>
                <w:color w:val="000000" w:themeColor="text1"/>
                <w:spacing w:val="-8"/>
                <w:lang w:val="sr-Latn-ME"/>
              </w:rPr>
              <w:t>4.7. Uticaj na psihofizičke sposobnosti prilikom upravljanja motornim vozilima i rukovanja mašinama</w:t>
            </w:r>
          </w:p>
        </w:tc>
      </w:tr>
      <w:tr w:rsidR="00FD3E68" w:rsidRPr="00FD3E68" w:rsidTr="00C42F07">
        <w:trPr>
          <w:trHeight w:val="509"/>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Propranolol nema ili ima zanemarljiv uticaj na sposobnosti prilikom upravljanja motornim vozilom i rukovanja mašinama. Međutim, treba uzeti u obzir da se povremeno mogu javiti vrtoglavica ili umor.</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4.8. Neželjena dejstva</w:t>
            </w:r>
          </w:p>
        </w:tc>
      </w:tr>
      <w:tr w:rsidR="00FD3E68" w:rsidRPr="00FD3E68" w:rsidTr="00C42F07">
        <w:trPr>
          <w:trHeight w:val="593"/>
        </w:trPr>
        <w:tc>
          <w:tcPr>
            <w:tcW w:w="9498" w:type="dxa"/>
            <w:gridSpan w:val="4"/>
            <w:vAlign w:val="center"/>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Propranolol se obično dobro podnosi. Prijavljene neželjene reakcije u kliničkim studijama se obično mogu pripisati farmakološkom dejstvu lijeka.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Prijavljene su sljedeće neželjene reakcije, nabrojane prema sistemu organa.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Kategorije učestalosti neželjenih dejstava su definisane na sljedeći način:</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Veoma često (≥1/10)</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Često (≥ 1/100 i &lt; 1/10)</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Povremeno (≥ 1 000 i &lt; 1/100)</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Rijetko (≥ 1/10 000 i &lt; 1/1 000)</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Veoma rijetko (&lt; 1/10 000)</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Nepoznato - ne može se procijeniti na osnovu raspoloživih podataka.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3252"/>
              <w:gridCol w:w="2830"/>
            </w:tblGrid>
            <w:tr w:rsidR="00FD3E68" w:rsidRPr="00FD3E68" w:rsidTr="00CC4887">
              <w:trPr>
                <w:trHeight w:val="237"/>
              </w:trPr>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Sistem organa</w:t>
                  </w: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Učestalost</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Neželjena dejstva</w:t>
                  </w:r>
                </w:p>
              </w:tc>
            </w:tr>
            <w:tr w:rsidR="00FD3E68" w:rsidRPr="00FD3E68" w:rsidTr="00CC4887">
              <w:trPr>
                <w:trHeight w:val="484"/>
              </w:trPr>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Poremećaji krvi i </w:t>
                  </w:r>
                </w:p>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limfnog sistema</w:t>
                  </w: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Rijetko</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Trombocitopenija</w:t>
                  </w:r>
                </w:p>
              </w:tc>
            </w:tr>
            <w:tr w:rsidR="00FD3E68" w:rsidRPr="00FD3E68" w:rsidTr="00CC4887">
              <w:trPr>
                <w:trHeight w:val="2176"/>
              </w:trPr>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Endokrinološki poremećaji</w:t>
                  </w:r>
                </w:p>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Nepoznato</w:t>
                  </w:r>
                </w:p>
              </w:tc>
              <w:tc>
                <w:tcPr>
                  <w:tcW w:w="2830" w:type="dxa"/>
                  <w:shd w:val="clear" w:color="auto" w:fill="auto"/>
                </w:tcPr>
                <w:p w:rsidR="00980250"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Hipoglikemija kod novorođenčadi, odojčadi, djece, starijih osoba, pacijenata na hemodijalizi, pacijenata koji istovremeno primaju antidijabetičku terapiju, pacijenata koji duže vrijeme gladuju i pacijenata sa hroničnim bolestima jetre, </w:t>
                  </w:r>
                  <w:r w:rsidRPr="00FD3E68">
                    <w:rPr>
                      <w:rFonts w:ascii="Times New Roman" w:eastAsia="Times New Roman" w:hAnsi="Times New Roman" w:cs="Times New Roman"/>
                      <w:noProof/>
                      <w:color w:val="000000" w:themeColor="text1"/>
                      <w:lang w:val="sr-Latn-ME"/>
                    </w:rPr>
                    <w:lastRenderedPageBreak/>
                    <w:t>konvulzije u vezi sa hipoglikemijom</w:t>
                  </w:r>
                </w:p>
              </w:tc>
            </w:tr>
            <w:tr w:rsidR="00FD3E68" w:rsidRPr="00FD3E68" w:rsidTr="00CC4887">
              <w:trPr>
                <w:trHeight w:val="475"/>
              </w:trPr>
              <w:tc>
                <w:tcPr>
                  <w:tcW w:w="3252" w:type="dxa"/>
                  <w:vMerge w:val="restart"/>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Poremećaji nervnog sistema</w:t>
                  </w:r>
                </w:p>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Često</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Poremećaji spavanja, noćne more</w:t>
                  </w:r>
                </w:p>
              </w:tc>
            </w:tr>
            <w:tr w:rsidR="00FD3E68" w:rsidRPr="00FD3E68" w:rsidTr="00CC4887">
              <w:trPr>
                <w:trHeight w:val="969"/>
              </w:trPr>
              <w:tc>
                <w:tcPr>
                  <w:tcW w:w="3252" w:type="dxa"/>
                  <w:vMerge/>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Rijetko</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Halucinacije, psihoze, promjene raspoloženja, konfuzija, gubitak pamćenja, parestezija</w:t>
                  </w:r>
                </w:p>
              </w:tc>
            </w:tr>
            <w:tr w:rsidR="00FD3E68" w:rsidRPr="00FD3E68" w:rsidTr="00CC4887">
              <w:trPr>
                <w:trHeight w:val="731"/>
              </w:trPr>
              <w:tc>
                <w:tcPr>
                  <w:tcW w:w="3252" w:type="dxa"/>
                  <w:vMerge/>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Veoma rijetko</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Izolovani slučajevi </w:t>
                  </w:r>
                  <w:r w:rsidRPr="00FD3E68">
                    <w:rPr>
                      <w:rFonts w:ascii="Times New Roman" w:eastAsia="Times New Roman" w:hAnsi="Times New Roman" w:cs="Times New Roman"/>
                      <w:i/>
                      <w:noProof/>
                      <w:color w:val="000000" w:themeColor="text1"/>
                      <w:lang w:val="sr-Latn-ME"/>
                    </w:rPr>
                    <w:t xml:space="preserve">miastenia gravis like </w:t>
                  </w:r>
                  <w:r w:rsidRPr="00FD3E68">
                    <w:rPr>
                      <w:rFonts w:ascii="Times New Roman" w:eastAsia="Times New Roman" w:hAnsi="Times New Roman" w:cs="Times New Roman"/>
                      <w:noProof/>
                      <w:color w:val="000000" w:themeColor="text1"/>
                      <w:lang w:val="sr-Latn-ME"/>
                    </w:rPr>
                    <w:t>sindroma ili pogoršanje miastenije gravis</w:t>
                  </w:r>
                </w:p>
              </w:tc>
            </w:tr>
            <w:tr w:rsidR="00FD3E68" w:rsidRPr="00FD3E68" w:rsidTr="00CC4887">
              <w:trPr>
                <w:trHeight w:val="484"/>
              </w:trPr>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Poremećaji oka</w:t>
                  </w:r>
                </w:p>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Rijetko</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Suvoća oka, poremećaji vida</w:t>
                  </w:r>
                </w:p>
              </w:tc>
            </w:tr>
            <w:tr w:rsidR="00FD3E68" w:rsidRPr="00FD3E68" w:rsidTr="00CC4887">
              <w:trPr>
                <w:trHeight w:val="722"/>
              </w:trPr>
              <w:tc>
                <w:tcPr>
                  <w:tcW w:w="3252" w:type="dxa"/>
                  <w:shd w:val="clear" w:color="auto" w:fill="auto"/>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Kardiovaskularni poremećaji: </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Često</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Bradikardija, hladni ekstremiteti, Raynaud-ov fenomen</w:t>
                  </w:r>
                </w:p>
              </w:tc>
            </w:tr>
            <w:tr w:rsidR="00FD3E68" w:rsidRPr="00FD3E68" w:rsidTr="00CC4887">
              <w:trPr>
                <w:trHeight w:val="1444"/>
              </w:trPr>
              <w:tc>
                <w:tcPr>
                  <w:tcW w:w="3252" w:type="dxa"/>
                  <w:shd w:val="clear" w:color="auto" w:fill="auto"/>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Rijetko</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Pogoršanje srčane insuficijencije, izazivanje srčanog bloka, posturalna hipotenzija koja može biti u vezi sa sinkopom, pogoršanje intermitentne klaudikacije</w:t>
                  </w:r>
                </w:p>
              </w:tc>
            </w:tr>
            <w:tr w:rsidR="00FD3E68" w:rsidRPr="00FD3E68" w:rsidTr="00CC4887">
              <w:trPr>
                <w:trHeight w:val="1197"/>
              </w:trPr>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Respiratorni, torakalni i medijastinalni poremećaji: </w:t>
                  </w:r>
                </w:p>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Rijetko</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Bronhospazam se može javiti kod osoba sa bronhijalnom astmom ili sa istorijom astmatičnih napada, ponekad sa smrtnim ishodom</w:t>
                  </w:r>
                </w:p>
              </w:tc>
            </w:tr>
            <w:tr w:rsidR="00FD3E68" w:rsidRPr="00FD3E68" w:rsidTr="00CC4887">
              <w:trPr>
                <w:trHeight w:val="484"/>
              </w:trPr>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Gastrointestinalni poremećaji</w:t>
                  </w:r>
                </w:p>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Povremeno</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ind w:right="175"/>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Mučnina, povraćanje, dijareja</w:t>
                  </w:r>
                </w:p>
              </w:tc>
            </w:tr>
            <w:tr w:rsidR="00FD3E68" w:rsidRPr="00FD3E68" w:rsidTr="00CC4887">
              <w:trPr>
                <w:trHeight w:val="959"/>
              </w:trPr>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Poremećaji kože i potkožnog tkiva</w:t>
                  </w:r>
                </w:p>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Rijetko</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Purpura, alopecija, psorijatične kožne reakcije, pogoršanje psorijaze, kožni osip</w:t>
                  </w:r>
                </w:p>
              </w:tc>
            </w:tr>
            <w:tr w:rsidR="00FD3E68" w:rsidRPr="00FD3E68" w:rsidTr="00CC4887">
              <w:trPr>
                <w:trHeight w:val="475"/>
              </w:trPr>
              <w:tc>
                <w:tcPr>
                  <w:tcW w:w="3252" w:type="dxa"/>
                  <w:vMerge w:val="restart"/>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Opšti poremećaji i reakcije na mjestu primjene: </w:t>
                  </w:r>
                </w:p>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Često</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Umor i/ili zamor (često prolaznog karaktera)</w:t>
                  </w:r>
                </w:p>
              </w:tc>
            </w:tr>
            <w:tr w:rsidR="00FD3E68" w:rsidRPr="00FD3E68" w:rsidTr="00CC4887">
              <w:trPr>
                <w:trHeight w:val="256"/>
              </w:trPr>
              <w:tc>
                <w:tcPr>
                  <w:tcW w:w="3252" w:type="dxa"/>
                  <w:vMerge/>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Rijetko</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Vrtoglavica</w:t>
                  </w:r>
                </w:p>
              </w:tc>
            </w:tr>
            <w:tr w:rsidR="00FD3E68" w:rsidRPr="00FD3E68" w:rsidTr="00CC4887">
              <w:trPr>
                <w:trHeight w:val="959"/>
              </w:trPr>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Laboratorijska ispitivanja</w:t>
                  </w:r>
                </w:p>
              </w:tc>
              <w:tc>
                <w:tcPr>
                  <w:tcW w:w="3252"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Veoma rijetko</w:t>
                  </w:r>
                </w:p>
              </w:tc>
              <w:tc>
                <w:tcPr>
                  <w:tcW w:w="2830" w:type="dxa"/>
                  <w:shd w:val="clear" w:color="auto" w:fill="auto"/>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Zabilježeno je povećanje ANA (antinuklearnihantitijela), </w:t>
                  </w:r>
                  <w:r w:rsidRPr="00FD3E68">
                    <w:rPr>
                      <w:rFonts w:ascii="Times New Roman" w:eastAsia="Times New Roman" w:hAnsi="Times New Roman" w:cs="Times New Roman"/>
                      <w:noProof/>
                      <w:color w:val="000000" w:themeColor="text1"/>
                      <w:lang w:val="sr-Latn-ME"/>
                    </w:rPr>
                    <w:lastRenderedPageBreak/>
                    <w:t>međutim klinički značaj ove pojave nije poznat</w:t>
                  </w:r>
                </w:p>
              </w:tc>
            </w:tr>
          </w:tbl>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Neophodno je razmotriti prekid terapije, ukoliko ljekar procijeni da je stanje pacijenta narušeno zbog pojave neke od gore navedenih neželjenih reakcija. Prekid liječenja beta blokatorima mora biti postepen. U rijetkim slučajevima intolerancije, kao što su bradikardija i hipotenzija, primjenu lijeka treba prekinuti i započeti sa liječenjem predoziranja, ukoliko je neophodno.</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8964"/>
                <w:tab w:val="left" w:pos="9106"/>
              </w:tabs>
              <w:spacing w:after="0" w:line="240" w:lineRule="auto"/>
              <w:rPr>
                <w:rFonts w:ascii="Times New Roman" w:eastAsia="Calibri" w:hAnsi="Times New Roman" w:cs="Times New Roman"/>
                <w:color w:val="000000" w:themeColor="text1"/>
                <w:u w:val="single"/>
                <w:lang w:val="sr-Latn-RS"/>
              </w:rPr>
            </w:pPr>
            <w:r w:rsidRPr="00FD3E68">
              <w:rPr>
                <w:rFonts w:ascii="Times New Roman" w:eastAsia="Calibri" w:hAnsi="Times New Roman" w:cs="Times New Roman"/>
                <w:color w:val="000000" w:themeColor="text1"/>
                <w:u w:val="single"/>
                <w:lang w:val="sr-Latn-RS"/>
              </w:rPr>
              <w:t>Prijavljivanje sumnji na neželjena dejstva</w:t>
            </w:r>
          </w:p>
          <w:p w:rsidR="002C6EA6" w:rsidRPr="00FD3E68" w:rsidRDefault="002C6EA6" w:rsidP="00C42F07">
            <w:pPr>
              <w:tabs>
                <w:tab w:val="left" w:pos="8964"/>
                <w:tab w:val="left" w:pos="9106"/>
              </w:tabs>
              <w:spacing w:after="0" w:line="240" w:lineRule="auto"/>
              <w:jc w:val="both"/>
              <w:rPr>
                <w:rFonts w:ascii="Times New Roman" w:eastAsia="Calibri" w:hAnsi="Times New Roman" w:cs="Times New Roman"/>
                <w:color w:val="000000" w:themeColor="text1"/>
                <w:lang w:val="sr-Latn-RS"/>
              </w:rPr>
            </w:pPr>
            <w:r w:rsidRPr="00FD3E68">
              <w:rPr>
                <w:rFonts w:ascii="Times New Roman" w:eastAsia="Calibri" w:hAnsi="Times New Roman" w:cs="Times New Roman"/>
                <w:color w:val="000000" w:themeColor="text1"/>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2C6EA6" w:rsidRPr="00FD3E68" w:rsidRDefault="002C6EA6" w:rsidP="00C42F07">
            <w:pPr>
              <w:tabs>
                <w:tab w:val="left" w:pos="8964"/>
                <w:tab w:val="left" w:pos="9106"/>
              </w:tabs>
              <w:spacing w:after="0" w:line="240" w:lineRule="auto"/>
              <w:jc w:val="both"/>
              <w:rPr>
                <w:rFonts w:ascii="Times New Roman" w:eastAsia="Calibri" w:hAnsi="Times New Roman" w:cs="Times New Roman"/>
                <w:color w:val="000000" w:themeColor="text1"/>
                <w:lang w:val="sr-Latn-RS"/>
              </w:rPr>
            </w:pPr>
            <w:r w:rsidRPr="00FD3E68">
              <w:rPr>
                <w:rFonts w:ascii="Times New Roman" w:eastAsia="Calibri" w:hAnsi="Times New Roman" w:cs="Times New Roman"/>
                <w:color w:val="000000" w:themeColor="text1"/>
                <w:lang w:val="sr-Latn-RS"/>
              </w:rPr>
              <w:t>Agencija za ljekove i medicinska sredstva Crne Gore</w:t>
            </w:r>
          </w:p>
          <w:p w:rsidR="002C6EA6" w:rsidRPr="00FD3E68" w:rsidRDefault="002C6EA6" w:rsidP="00C42F07">
            <w:pPr>
              <w:tabs>
                <w:tab w:val="left" w:pos="8964"/>
                <w:tab w:val="left" w:pos="9106"/>
              </w:tabs>
              <w:spacing w:after="0" w:line="240" w:lineRule="auto"/>
              <w:jc w:val="both"/>
              <w:rPr>
                <w:rFonts w:ascii="Times New Roman" w:eastAsia="Calibri" w:hAnsi="Times New Roman" w:cs="Times New Roman"/>
                <w:color w:val="000000" w:themeColor="text1"/>
                <w:lang w:val="sr-Latn-RS"/>
              </w:rPr>
            </w:pPr>
            <w:r w:rsidRPr="00FD3E68">
              <w:rPr>
                <w:rFonts w:ascii="Times New Roman" w:eastAsia="Calibri" w:hAnsi="Times New Roman" w:cs="Times New Roman"/>
                <w:color w:val="000000" w:themeColor="text1"/>
                <w:lang w:val="sr-Latn-RS"/>
              </w:rPr>
              <w:t>Odjeljenje za farmakovigilancu</w:t>
            </w:r>
          </w:p>
          <w:p w:rsidR="002C6EA6" w:rsidRPr="00FD3E68" w:rsidRDefault="002C6EA6" w:rsidP="00C42F07">
            <w:pPr>
              <w:tabs>
                <w:tab w:val="left" w:pos="8964"/>
                <w:tab w:val="left" w:pos="9106"/>
              </w:tabs>
              <w:spacing w:after="0" w:line="240" w:lineRule="auto"/>
              <w:jc w:val="both"/>
              <w:rPr>
                <w:rFonts w:ascii="Times New Roman" w:eastAsia="Calibri" w:hAnsi="Times New Roman" w:cs="Times New Roman"/>
                <w:color w:val="000000" w:themeColor="text1"/>
                <w:lang w:val="sr-Latn-RS"/>
              </w:rPr>
            </w:pPr>
            <w:r w:rsidRPr="00FD3E68">
              <w:rPr>
                <w:rFonts w:ascii="Times New Roman" w:eastAsia="Calibri" w:hAnsi="Times New Roman" w:cs="Times New Roman"/>
                <w:color w:val="000000" w:themeColor="text1"/>
                <w:lang w:val="sr-Latn-RS"/>
              </w:rPr>
              <w:t>Bulevar Ivana Crnojevića 64a, 81000 Podgorica</w:t>
            </w:r>
          </w:p>
          <w:p w:rsidR="002C6EA6" w:rsidRPr="00FD3E68" w:rsidRDefault="002C6EA6" w:rsidP="00C42F07">
            <w:pPr>
              <w:tabs>
                <w:tab w:val="left" w:pos="8964"/>
                <w:tab w:val="left" w:pos="9106"/>
              </w:tabs>
              <w:spacing w:after="0" w:line="240" w:lineRule="auto"/>
              <w:rPr>
                <w:rFonts w:ascii="Times New Roman" w:eastAsia="Calibri" w:hAnsi="Times New Roman" w:cs="Times New Roman"/>
                <w:color w:val="000000" w:themeColor="text1"/>
                <w:lang w:val="sr-Latn-RS"/>
              </w:rPr>
            </w:pPr>
          </w:p>
          <w:p w:rsidR="002C6EA6" w:rsidRPr="00FD3E68" w:rsidRDefault="002C6EA6" w:rsidP="00C42F07">
            <w:pPr>
              <w:tabs>
                <w:tab w:val="left" w:pos="8964"/>
                <w:tab w:val="left" w:pos="9106"/>
              </w:tabs>
              <w:spacing w:after="0" w:line="240" w:lineRule="auto"/>
              <w:jc w:val="both"/>
              <w:rPr>
                <w:rFonts w:ascii="Times New Roman" w:eastAsia="Calibri" w:hAnsi="Times New Roman" w:cs="Times New Roman"/>
                <w:color w:val="000000" w:themeColor="text1"/>
                <w:lang w:val="sr-Latn-RS"/>
              </w:rPr>
            </w:pPr>
            <w:r w:rsidRPr="00FD3E68">
              <w:rPr>
                <w:rFonts w:ascii="Times New Roman" w:eastAsia="Calibri" w:hAnsi="Times New Roman" w:cs="Times New Roman"/>
                <w:color w:val="000000" w:themeColor="text1"/>
                <w:lang w:val="sr-Latn-RS"/>
              </w:rPr>
              <w:t>tel: +382 (0) 20 310 280</w:t>
            </w:r>
          </w:p>
          <w:p w:rsidR="002C6EA6" w:rsidRPr="00FD3E68" w:rsidRDefault="002C6EA6" w:rsidP="00C42F07">
            <w:pPr>
              <w:tabs>
                <w:tab w:val="left" w:pos="8964"/>
                <w:tab w:val="left" w:pos="9106"/>
              </w:tabs>
              <w:spacing w:after="0" w:line="240" w:lineRule="auto"/>
              <w:jc w:val="both"/>
              <w:rPr>
                <w:rFonts w:ascii="Times New Roman" w:eastAsia="Calibri" w:hAnsi="Times New Roman" w:cs="Times New Roman"/>
                <w:color w:val="000000" w:themeColor="text1"/>
                <w:lang w:val="sr-Latn-RS"/>
              </w:rPr>
            </w:pPr>
            <w:r w:rsidRPr="00FD3E68">
              <w:rPr>
                <w:rFonts w:ascii="Times New Roman" w:eastAsia="Calibri" w:hAnsi="Times New Roman" w:cs="Times New Roman"/>
                <w:color w:val="000000" w:themeColor="text1"/>
                <w:lang w:val="sr-Latn-RS"/>
              </w:rPr>
              <w:t>fax: +382 (0) 20 310 581</w:t>
            </w:r>
          </w:p>
          <w:p w:rsidR="002C6EA6" w:rsidRPr="00FD3E68" w:rsidRDefault="00D74D6F" w:rsidP="00C42F07">
            <w:pPr>
              <w:tabs>
                <w:tab w:val="left" w:pos="8964"/>
                <w:tab w:val="left" w:pos="9106"/>
              </w:tabs>
              <w:spacing w:after="0" w:line="240" w:lineRule="auto"/>
              <w:jc w:val="both"/>
              <w:rPr>
                <w:rFonts w:ascii="Times New Roman" w:eastAsia="Calibri" w:hAnsi="Times New Roman" w:cs="Times New Roman"/>
                <w:color w:val="000000" w:themeColor="text1"/>
                <w:lang w:val="sr-Latn-RS"/>
              </w:rPr>
            </w:pPr>
            <w:hyperlink r:id="rId8" w:history="1">
              <w:r w:rsidR="002C6EA6" w:rsidRPr="00FD3E68">
                <w:rPr>
                  <w:rFonts w:ascii="Times New Roman" w:eastAsia="Calibri" w:hAnsi="Times New Roman" w:cs="Times New Roman"/>
                  <w:color w:val="000000" w:themeColor="text1"/>
                  <w:u w:val="single"/>
                  <w:lang w:val="sr-Latn-RS"/>
                </w:rPr>
                <w:t>www.calims.me</w:t>
              </w:r>
            </w:hyperlink>
          </w:p>
          <w:p w:rsidR="002C6EA6" w:rsidRPr="00FD3E68" w:rsidRDefault="00D74D6F" w:rsidP="00C42F07">
            <w:pPr>
              <w:tabs>
                <w:tab w:val="left" w:pos="8964"/>
                <w:tab w:val="left" w:pos="9106"/>
              </w:tabs>
              <w:spacing w:after="0" w:line="240" w:lineRule="auto"/>
              <w:jc w:val="both"/>
              <w:rPr>
                <w:rFonts w:ascii="Times New Roman" w:eastAsia="Calibri" w:hAnsi="Times New Roman" w:cs="Times New Roman"/>
                <w:color w:val="000000" w:themeColor="text1"/>
                <w:u w:val="single"/>
                <w:lang w:val="sr-Latn-RS"/>
              </w:rPr>
            </w:pPr>
            <w:hyperlink r:id="rId9" w:history="1">
              <w:r w:rsidR="002C6EA6" w:rsidRPr="00FD3E68">
                <w:rPr>
                  <w:rFonts w:ascii="Times New Roman" w:eastAsia="Calibri" w:hAnsi="Times New Roman" w:cs="Times New Roman"/>
                  <w:color w:val="000000" w:themeColor="text1"/>
                  <w:u w:val="single"/>
                  <w:lang w:val="sr-Latn-RS"/>
                </w:rPr>
                <w:t>nezeljenadejstva@calims.me</w:t>
              </w:r>
            </w:hyperlink>
          </w:p>
          <w:p w:rsidR="002C6EA6" w:rsidRPr="00FD3E68" w:rsidRDefault="002C6EA6" w:rsidP="00C42F07">
            <w:pPr>
              <w:tabs>
                <w:tab w:val="left" w:pos="8964"/>
                <w:tab w:val="left" w:pos="9106"/>
              </w:tabs>
              <w:spacing w:after="0" w:line="240" w:lineRule="auto"/>
              <w:jc w:val="both"/>
              <w:rPr>
                <w:rFonts w:ascii="Times New Roman" w:eastAsia="Calibri" w:hAnsi="Times New Roman" w:cs="Times New Roman"/>
                <w:color w:val="000000" w:themeColor="text1"/>
                <w:lang w:val="sr-Latn-RS"/>
              </w:rPr>
            </w:pPr>
            <w:r w:rsidRPr="00FD3E68">
              <w:rPr>
                <w:rFonts w:ascii="Times New Roman" w:eastAsia="Calibri" w:hAnsi="Times New Roman" w:cs="Times New Roman"/>
                <w:color w:val="000000" w:themeColor="text1"/>
                <w:lang w:val="sr-Latn-RS"/>
              </w:rPr>
              <w:t>putem IS zdravstvene zaštite</w:t>
            </w:r>
          </w:p>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lastRenderedPageBreak/>
              <w:t>4.9. Predoziranje i mjere koje je potrebno preduzeti</w:t>
            </w:r>
          </w:p>
        </w:tc>
      </w:tr>
      <w:tr w:rsidR="00FD3E68" w:rsidRPr="00FD3E68" w:rsidTr="00C42F07">
        <w:trPr>
          <w:trHeight w:val="485"/>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Simptomi predoziranja propranololom mogu biti bradikardija, hipotenzija, akutna srčana insuficijencija i bronhospazam.</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Opšte mjere liječenja obuhvataju: pažljiv monitoring pacijenta, liječenje u jedinicama intenzivne njege, gastričnu lavažu, primjenu aktivnog uglja i laksativa u cilju sprječavanja resorpcije preostalog lijeka prisutnog u gastointestinalnom traktu, upotrebu plazme ili zamjene za plazmu za liječenje hipotenzije i šoka.</w:t>
            </w:r>
          </w:p>
          <w:p w:rsidR="002C6EA6" w:rsidRPr="00FD3E68" w:rsidRDefault="002C6EA6" w:rsidP="00C42F07">
            <w:pPr>
              <w:tabs>
                <w:tab w:val="left" w:pos="284"/>
                <w:tab w:val="left" w:pos="8964"/>
                <w:tab w:val="left" w:pos="9106"/>
                <w:tab w:val="left" w:pos="9932"/>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Izražena bradikardija se može liječiti primjenom atropina, 1-2 mg intravenski i/ili ugradnjom pejsmejkera. Ukoliko je neophodno, nakon atropina se može primijeniti glukagon, 10 mg u bolusu intravenski. Dalje, ako je potrebno, bolus injekcija glukagona se može ponoviti ili nastaviti sa primjenom intravenske infuzije glukagona u dozi od 1-10 mg/sat, u zavisnosti od terapijskog odgovora. Ukoliko pacijent ne reaguje na primjenu glukagona ili je on nedostupan, može se primijeniti dobutamin (stimuliše beta adrenoreceptore) u dozi od 2,5-10 mikrograma/kg/minut, u obliku intravenske infuzije. Dobutamin se, zbog svog pozitivnog inotropnog dejstva, može koristiti i za liječenje hipotenzije i akutne srčane insuficijencije. Ukoliko je uzeta velika doza beta blokatora, onda ova doza vjerovatno neće biti dovoljna da neutrališe njihovo dejstvo na miokard. Doza dobutamina se može povećavati sve dok se ne postigne odgovarajući klinički odgovor. </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980250" w:rsidRPr="00FD3E68" w:rsidRDefault="00980250"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shd w:val="clear" w:color="auto" w:fill="E0E0E0"/>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5. FARMAKOLOŠKI PODACI</w:t>
            </w:r>
          </w:p>
        </w:tc>
      </w:tr>
      <w:tr w:rsidR="00FD3E68" w:rsidRPr="00FD3E68" w:rsidTr="00C42F07">
        <w:tc>
          <w:tcPr>
            <w:tcW w:w="9498" w:type="dxa"/>
            <w:gridSpan w:val="4"/>
            <w:vAlign w:val="center"/>
          </w:tcPr>
          <w:p w:rsidR="00980250" w:rsidRPr="00FD3E68" w:rsidRDefault="00980250"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lastRenderedPageBreak/>
              <w:t>5.1. Farmakodinamski podaci</w:t>
            </w:r>
          </w:p>
        </w:tc>
      </w:tr>
      <w:tr w:rsidR="00FD3E68" w:rsidRPr="00FD3E68" w:rsidTr="00C42F07">
        <w:trPr>
          <w:trHeight w:val="576"/>
        </w:trPr>
        <w:tc>
          <w:tcPr>
            <w:tcW w:w="2808" w:type="dxa"/>
            <w:gridSpan w:val="3"/>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lastRenderedPageBreak/>
              <w:t>Farmakoterapijska grupa:</w:t>
            </w:r>
          </w:p>
        </w:tc>
        <w:tc>
          <w:tcPr>
            <w:tcW w:w="6690" w:type="dxa"/>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Blokatori beta adrenergičkih receptora, neselektivni</w:t>
            </w:r>
          </w:p>
        </w:tc>
      </w:tr>
      <w:tr w:rsidR="00FD3E68" w:rsidRPr="00FD3E68" w:rsidTr="00C42F07">
        <w:trPr>
          <w:trHeight w:val="542"/>
        </w:trPr>
        <w:tc>
          <w:tcPr>
            <w:tcW w:w="1188" w:type="dxa"/>
            <w:gridSpan w:val="2"/>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ATC kod:</w:t>
            </w:r>
          </w:p>
        </w:tc>
        <w:tc>
          <w:tcPr>
            <w:tcW w:w="8310" w:type="dxa"/>
            <w:gridSpan w:val="2"/>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C07AA05</w:t>
            </w:r>
          </w:p>
        </w:tc>
      </w:tr>
      <w:tr w:rsidR="00FD3E68" w:rsidRPr="00FD3E68" w:rsidTr="00C42F07">
        <w:trPr>
          <w:trHeight w:val="449"/>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Propranolol je kompetitivni antagonist beta 1 i beta 2 adrenoreceptora. Ne pokazuje agonističko dejstvo na beta-adrenoreceptore. Međutim, pri koncentracijama koje prelaze 1 do 3 mg/l  ponaša se kao stabilizator membrane, iako se ove koncentracije rijetko dostižu u toku oralne primjene lijeka. Kompetitivna blokada beta adrenoreceptora kod čovjeka je dokazana na osnovu pomjeranja krive doza beta-blokatora kao što je izoprenalin – srčana frekvenca u desno.</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Propranolol, kao i drugi beta blokatori, ima negativan inotropni efekat i kontraindikovan je kod nekontrolisane srčane insuficijencije.</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Propranolol je racemska smješa i aktivna forma je S (-) izomera propranolola. Sa izuzetkom inhibicije konverzije tiroksina u trijodotironin, malo je vjerovatno da će bilo koje dodatne pomoćne osobine koje posjeduje R (+) propranolol, u poređenju sa racemskom smješom, dovesti do različitih terapijskih efekata. </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Propranolol je efikasan i dobro se podnosi kod većine etničkih grupa, mada odgovor na lijek može biti slabiji kod crne populacije. </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5.2. Farmakokinetički podaci</w:t>
            </w:r>
          </w:p>
        </w:tc>
      </w:tr>
      <w:tr w:rsidR="00FD3E68" w:rsidRPr="00FD3E68" w:rsidTr="00C42F07">
        <w:trPr>
          <w:trHeight w:val="533"/>
        </w:trPr>
        <w:tc>
          <w:tcPr>
            <w:tcW w:w="9498" w:type="dxa"/>
            <w:gridSpan w:val="4"/>
            <w:vAlign w:val="center"/>
          </w:tcPr>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highlight w:val="red"/>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Nakon intravenske primjene, poluvrijeme eliminacije propranolola je oko 2 sata, i odnos metabolita i matičnog lijeka je manji nego nakon oralne primjene. Naročito 4-hidroksipropranolol nije prisutan nakon intravenske primjene. Propranolol se kompletno resorbuje nakon oralne primjene, i maksimalna koncentracija u plazmi se postiže 1-2 sata nakon oralne upotrebe natašte. Jetrom se eliminiše do 90% oralno unijetog lijeka, sa poluvremenom eliminacije od 3-6 sati. Propranolol se široko i brzo distribuira kroz tijelo, a najveći nivo se javlja u plućima, jetri, bubrezima, mozgu i srcu.</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Propranolol se u velikoj mjeri (80-95%) vezuje za proteine plazme.</w:t>
            </w: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 xml:space="preserve">5.3. Pretklinički podaci o bezbjednosti </w:t>
            </w:r>
          </w:p>
        </w:tc>
      </w:tr>
      <w:tr w:rsidR="00FD3E68" w:rsidRPr="00FD3E68" w:rsidTr="00C42F07">
        <w:trPr>
          <w:trHeight w:val="869"/>
        </w:trPr>
        <w:tc>
          <w:tcPr>
            <w:tcW w:w="9498" w:type="dxa"/>
            <w:gridSpan w:val="4"/>
            <w:vAlign w:val="center"/>
          </w:tcPr>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Propranolol je lijek sa postignutim velikim kliničkim iskustvom. Relevantne informacije za propisivače su dostupne u Sažetku karakteristika lijeka.</w:t>
            </w:r>
          </w:p>
          <w:p w:rsidR="00980250" w:rsidRPr="00FD3E68" w:rsidRDefault="00980250"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980250" w:rsidRPr="00FD3E68" w:rsidRDefault="00980250"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shd w:val="clear" w:color="auto" w:fill="E0E0E0"/>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6. FARMACEUTSKI PODACI</w:t>
            </w: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6.1. Lista pomoćnih supstanci</w:t>
            </w:r>
          </w:p>
        </w:tc>
      </w:tr>
      <w:tr w:rsidR="00FD3E68" w:rsidRPr="00FD3E68" w:rsidTr="00C42F07">
        <w:trPr>
          <w:trHeight w:val="779"/>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u w:val="single"/>
                <w:lang w:val="sr-Latn-ME"/>
              </w:rPr>
            </w:pPr>
            <w:r w:rsidRPr="00FD3E68">
              <w:rPr>
                <w:rFonts w:ascii="Times New Roman" w:eastAsia="Times New Roman" w:hAnsi="Times New Roman" w:cs="Times New Roman"/>
                <w:noProof/>
                <w:color w:val="000000" w:themeColor="text1"/>
                <w:u w:val="single"/>
                <w:lang w:val="sr-Latn-ME"/>
              </w:rPr>
              <w:t>Jezgro</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Celuloza, mikrokristalna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Natrijum skrob glikolat (tip 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Laktoza monohidrat</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Kukuruzni skrob</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lastRenderedPageBreak/>
              <w:t>Povidon</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Silicijum dioksid, koloidni, bezvodni</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Magnezijum stearat</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Talk</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highlight w:val="yellow"/>
                <w:lang w:val="sr-Latn-ME"/>
              </w:rPr>
            </w:pP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u w:val="single"/>
                <w:lang w:val="sr-Latn-ME"/>
              </w:rPr>
            </w:pPr>
            <w:r w:rsidRPr="00FD3E68">
              <w:rPr>
                <w:rFonts w:ascii="Times New Roman" w:eastAsia="Times New Roman" w:hAnsi="Times New Roman" w:cs="Times New Roman"/>
                <w:noProof/>
                <w:color w:val="000000" w:themeColor="text1"/>
                <w:u w:val="single"/>
                <w:lang w:val="sr-Latn-ME"/>
              </w:rPr>
              <w:t>Film omotač</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Hipromeloza</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Polietilenglikol 400</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Titanijum dioksid E171</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Talk</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Karmoizin azorubin aluminium lake E122</w:t>
            </w:r>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Brilijant plava FCF aluminium lake E133</w:t>
            </w:r>
            <w:bookmarkStart w:id="0" w:name="os_autosavelastposition87255"/>
            <w:bookmarkEnd w:id="0"/>
          </w:p>
          <w:p w:rsidR="002C6EA6" w:rsidRPr="00FD3E68" w:rsidRDefault="002C6EA6" w:rsidP="00C42F07">
            <w:pPr>
              <w:tabs>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Gvožđe oksid, crveni (E172)</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lastRenderedPageBreak/>
              <w:t>6.2. Inkompatibilnosti</w:t>
            </w:r>
          </w:p>
        </w:tc>
      </w:tr>
      <w:tr w:rsidR="00FD3E68" w:rsidRPr="00FD3E68" w:rsidTr="00C42F07">
        <w:trPr>
          <w:trHeight w:val="833"/>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Nije primjenljivo.</w:t>
            </w: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6.3. Rok upotrebe</w:t>
            </w:r>
          </w:p>
        </w:tc>
      </w:tr>
      <w:tr w:rsidR="00FD3E68" w:rsidRPr="00FD3E68" w:rsidTr="00C42F07">
        <w:trPr>
          <w:trHeight w:val="644"/>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5 godina</w:t>
            </w:r>
          </w:p>
        </w:tc>
      </w:tr>
      <w:tr w:rsidR="00FD3E68" w:rsidRPr="00FD3E68" w:rsidTr="00C42F07">
        <w:trPr>
          <w:trHeight w:val="338"/>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6.4. Posebne mjere upozorenja pri čuvanju lijeka</w:t>
            </w:r>
          </w:p>
        </w:tc>
      </w:tr>
      <w:tr w:rsidR="00FD3E68" w:rsidRPr="00FD3E68" w:rsidTr="00C42F07">
        <w:trPr>
          <w:trHeight w:val="851"/>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Čuvati na temperaturi nižoj od 25 °C. Čuvati zaštićeno od svjetlosti i vlage. </w:t>
            </w: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6.5. Vrsta i sadržaj pakovanja</w:t>
            </w:r>
          </w:p>
        </w:tc>
      </w:tr>
      <w:tr w:rsidR="00FD3E68" w:rsidRPr="00FD3E68" w:rsidTr="00C42F07">
        <w:trPr>
          <w:trHeight w:val="671"/>
        </w:trPr>
        <w:tc>
          <w:tcPr>
            <w:tcW w:w="9498" w:type="dxa"/>
            <w:gridSpan w:val="4"/>
            <w:vAlign w:val="center"/>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PVC/Al blisteri. Pakovanje sadrži 5 blistera sa po 10 tableta (50 tableta).</w:t>
            </w:r>
          </w:p>
        </w:tc>
      </w:tr>
      <w:tr w:rsidR="00FD3E68" w:rsidRPr="00FD3E68" w:rsidTr="00C42F07">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 xml:space="preserve">6.6. Posebne mjere opreza pri odlaganju materijala koji treba odbaciti nakon primjene lijeka </w:t>
            </w:r>
          </w:p>
        </w:tc>
      </w:tr>
      <w:tr w:rsidR="00FD3E68" w:rsidRPr="00FD3E68" w:rsidTr="00C42F07">
        <w:trPr>
          <w:trHeight w:val="1031"/>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Neupotrijebljeni lijek se uništava u skladu sa važećim propisima.</w:t>
            </w:r>
          </w:p>
        </w:tc>
      </w:tr>
      <w:tr w:rsidR="00FD3E68" w:rsidRPr="00FD3E68" w:rsidTr="00C42F07">
        <w:trPr>
          <w:trHeight w:val="363"/>
        </w:trPr>
        <w:tc>
          <w:tcPr>
            <w:tcW w:w="9498" w:type="dxa"/>
            <w:gridSpan w:val="4"/>
            <w:vAlign w:val="center"/>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b/>
                <w:noProof/>
                <w:color w:val="000000" w:themeColor="text1"/>
                <w:lang w:val="sr-Latn-ME"/>
              </w:rPr>
            </w:pPr>
            <w:r w:rsidRPr="00FD3E68">
              <w:rPr>
                <w:rFonts w:ascii="Times New Roman" w:eastAsia="Times New Roman" w:hAnsi="Times New Roman" w:cs="Times New Roman"/>
                <w:b/>
                <w:noProof/>
                <w:color w:val="000000" w:themeColor="text1"/>
                <w:lang w:val="sr-Latn-ME"/>
              </w:rPr>
              <w:t xml:space="preserve">6.7. Režim izdavanja lijeka </w:t>
            </w:r>
          </w:p>
        </w:tc>
      </w:tr>
      <w:tr w:rsidR="00FD3E68" w:rsidRPr="00FD3E68" w:rsidTr="00C42F07">
        <w:trPr>
          <w:trHeight w:val="856"/>
        </w:trPr>
        <w:tc>
          <w:tcPr>
            <w:tcW w:w="9498" w:type="dxa"/>
            <w:gridSpan w:val="4"/>
            <w:vAlign w:val="center"/>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bCs/>
                <w:noProof/>
                <w:color w:val="000000" w:themeColor="text1"/>
                <w:lang w:val="sr-Latn-ME"/>
              </w:rPr>
              <w:t>Obnovljiv (višekratni) recept.</w:t>
            </w:r>
          </w:p>
        </w:tc>
      </w:tr>
      <w:tr w:rsidR="00FD3E68" w:rsidRPr="00FD3E68" w:rsidTr="00C42F07">
        <w:trPr>
          <w:trHeight w:val="356"/>
        </w:trPr>
        <w:tc>
          <w:tcPr>
            <w:tcW w:w="9498" w:type="dxa"/>
            <w:gridSpan w:val="4"/>
            <w:shd w:val="clear" w:color="auto" w:fill="E0E0E0"/>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 xml:space="preserve">7. NOSILAC DOZVOLE </w:t>
            </w:r>
          </w:p>
        </w:tc>
      </w:tr>
      <w:tr w:rsidR="00FD3E68" w:rsidRPr="00FD3E68" w:rsidTr="00C42F07">
        <w:trPr>
          <w:trHeight w:val="1446"/>
        </w:trPr>
        <w:tc>
          <w:tcPr>
            <w:tcW w:w="9498" w:type="dxa"/>
            <w:gridSpan w:val="4"/>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FB372B" w:rsidP="00C42F07">
            <w:pPr>
              <w:tabs>
                <w:tab w:val="left" w:pos="284"/>
                <w:tab w:val="left" w:pos="8964"/>
                <w:tab w:val="left" w:pos="9106"/>
              </w:tabs>
              <w:snapToGrid w:val="0"/>
              <w:spacing w:after="0" w:line="240" w:lineRule="auto"/>
              <w:jc w:val="both"/>
              <w:rPr>
                <w:rFonts w:ascii="Times New Roman" w:eastAsia="Times New Roman" w:hAnsi="Times New Roman" w:cs="Times New Roman"/>
                <w:noProof/>
                <w:color w:val="000000" w:themeColor="text1"/>
                <w:lang w:val="sr-Latn-ME"/>
              </w:rPr>
            </w:pPr>
            <w:r>
              <w:rPr>
                <w:rFonts w:ascii="Times New Roman" w:eastAsia="Times New Roman" w:hAnsi="Times New Roman" w:cs="Times New Roman"/>
                <w:noProof/>
                <w:color w:val="000000" w:themeColor="text1"/>
                <w:lang w:val="sr-Latn-ME"/>
              </w:rPr>
              <w:t>Pontera</w:t>
            </w:r>
            <w:r w:rsidR="002C6EA6" w:rsidRPr="00FD3E68">
              <w:rPr>
                <w:rFonts w:ascii="Times New Roman" w:eastAsia="Times New Roman" w:hAnsi="Times New Roman" w:cs="Times New Roman"/>
                <w:noProof/>
                <w:color w:val="000000" w:themeColor="text1"/>
                <w:lang w:val="sr-Latn-ME"/>
              </w:rPr>
              <w:t xml:space="preserve"> d.o.o.</w:t>
            </w:r>
          </w:p>
          <w:p w:rsidR="002C6EA6" w:rsidRPr="00FD3E68" w:rsidRDefault="00FB372B"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Pr>
                <w:rFonts w:ascii="Times New Roman" w:eastAsia="Times New Roman" w:hAnsi="Times New Roman" w:cs="Times New Roman"/>
                <w:noProof/>
                <w:color w:val="000000" w:themeColor="text1"/>
                <w:lang w:val="sr-Latn-ME"/>
              </w:rPr>
              <w:t>Cijevna bb</w:t>
            </w:r>
            <w:bookmarkStart w:id="1" w:name="_GoBack"/>
            <w:bookmarkEnd w:id="1"/>
          </w:p>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81000 Podgorica</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 xml:space="preserve">Crna Gora </w:t>
            </w:r>
          </w:p>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p w:rsidR="00980250" w:rsidRPr="00FD3E68" w:rsidRDefault="00980250"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shd w:val="clear" w:color="auto" w:fill="E0E0E0"/>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8. BROJ PRVE DOZVOLE/ OBNOVE DOZVOLE</w:t>
            </w:r>
          </w:p>
        </w:tc>
      </w:tr>
      <w:tr w:rsidR="00FD3E68" w:rsidRPr="00FD3E68" w:rsidTr="00C42F07">
        <w:trPr>
          <w:trHeight w:val="869"/>
        </w:trPr>
        <w:tc>
          <w:tcPr>
            <w:tcW w:w="9498" w:type="dxa"/>
            <w:gridSpan w:val="4"/>
            <w:vAlign w:val="center"/>
          </w:tcPr>
          <w:p w:rsidR="00980250" w:rsidRPr="00FD3E68" w:rsidRDefault="00980250" w:rsidP="00980250">
            <w:pPr>
              <w:tabs>
                <w:tab w:val="left" w:pos="284"/>
              </w:tabs>
              <w:spacing w:after="40" w:line="240" w:lineRule="auto"/>
              <w:rPr>
                <w:rFonts w:ascii="Times New Roman" w:eastAsia="Times New Roman" w:hAnsi="Times New Roman" w:cs="Times New Roman"/>
                <w:bCs/>
                <w:noProof/>
                <w:color w:val="000000" w:themeColor="text1"/>
                <w:lang w:val="sr-Latn-ME"/>
              </w:rPr>
            </w:pPr>
          </w:p>
          <w:p w:rsidR="00980250" w:rsidRPr="00FD3E68" w:rsidRDefault="00980250" w:rsidP="00980250">
            <w:pPr>
              <w:tabs>
                <w:tab w:val="left" w:pos="284"/>
              </w:tabs>
              <w:spacing w:after="40" w:line="240" w:lineRule="auto"/>
              <w:rPr>
                <w:rFonts w:ascii="Times New Roman" w:eastAsia="Times New Roman" w:hAnsi="Times New Roman" w:cs="Times New Roman"/>
                <w:bCs/>
                <w:noProof/>
                <w:color w:val="000000" w:themeColor="text1"/>
                <w:lang w:val="sr-Latn-ME"/>
              </w:rPr>
            </w:pPr>
            <w:r w:rsidRPr="00FD3E68">
              <w:rPr>
                <w:rFonts w:ascii="Times New Roman" w:eastAsia="Times New Roman" w:hAnsi="Times New Roman" w:cs="Times New Roman"/>
                <w:bCs/>
                <w:noProof/>
                <w:color w:val="000000" w:themeColor="text1"/>
                <w:lang w:val="sr-Latn-ME"/>
              </w:rPr>
              <w:t>Propranolol Remedica, film tableta, 40 mg, blister 50 (5 x 10) film tableta</w:t>
            </w:r>
            <w:r w:rsidR="00CA6C80" w:rsidRPr="00FD3E68">
              <w:rPr>
                <w:rFonts w:ascii="Times New Roman" w:eastAsia="Times New Roman" w:hAnsi="Times New Roman" w:cs="Times New Roman"/>
                <w:bCs/>
                <w:noProof/>
                <w:color w:val="000000" w:themeColor="text1"/>
                <w:lang w:val="sr-Latn-ME"/>
              </w:rPr>
              <w:t xml:space="preserve">: </w:t>
            </w:r>
            <w:r w:rsidRPr="00FD3E68">
              <w:rPr>
                <w:rFonts w:ascii="Times New Roman" w:hAnsi="Times New Roman" w:cs="Times New Roman"/>
                <w:bCs/>
                <w:color w:val="000000" w:themeColor="text1"/>
                <w:lang w:val="sr-Latn-ME"/>
              </w:rPr>
              <w:t>2030/17/384 - 941</w:t>
            </w:r>
          </w:p>
          <w:p w:rsidR="002C6EA6" w:rsidRPr="00FD3E68" w:rsidRDefault="002C6EA6" w:rsidP="00C42F07">
            <w:p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980250" w:rsidRPr="00FD3E68" w:rsidRDefault="00980250" w:rsidP="00C42F07">
            <w:p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shd w:val="clear" w:color="auto" w:fill="E0E0E0"/>
            <w:vAlign w:val="center"/>
          </w:tcPr>
          <w:p w:rsidR="002C6EA6" w:rsidRPr="00FD3E68" w:rsidRDefault="002C6EA6" w:rsidP="00C42F07">
            <w:pPr>
              <w:tabs>
                <w:tab w:val="left" w:pos="284"/>
                <w:tab w:val="left" w:pos="8964"/>
                <w:tab w:val="left" w:pos="9106"/>
              </w:tabs>
              <w:spacing w:after="0" w:line="240" w:lineRule="auto"/>
              <w:jc w:val="both"/>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9. DATUM PRVE DOZVOLE/ DATUM OBNOVE DOZVOLE</w:t>
            </w:r>
          </w:p>
        </w:tc>
      </w:tr>
      <w:tr w:rsidR="00FD3E68" w:rsidRPr="00FD3E68" w:rsidTr="00C42F07">
        <w:trPr>
          <w:trHeight w:val="824"/>
        </w:trPr>
        <w:tc>
          <w:tcPr>
            <w:tcW w:w="9498" w:type="dxa"/>
            <w:gridSpan w:val="4"/>
            <w:vAlign w:val="center"/>
          </w:tcPr>
          <w:p w:rsidR="002C6EA6" w:rsidRPr="00FD3E68" w:rsidRDefault="002C6EA6" w:rsidP="00C42F07">
            <w:p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980250" w:rsidP="00C42F07">
            <w:p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bCs/>
                <w:noProof/>
                <w:color w:val="000000" w:themeColor="text1"/>
                <w:lang w:val="sr-Latn-ME"/>
              </w:rPr>
              <w:t>Propranolol Remedica, film tableta, 40 mg, blister 50 (5 x 10) film tableta</w:t>
            </w:r>
            <w:r w:rsidR="00CA6C80" w:rsidRPr="00FD3E68">
              <w:rPr>
                <w:rFonts w:ascii="Times New Roman" w:eastAsia="Times New Roman" w:hAnsi="Times New Roman" w:cs="Times New Roman"/>
                <w:bCs/>
                <w:noProof/>
                <w:color w:val="000000" w:themeColor="text1"/>
                <w:lang w:val="sr-Latn-ME"/>
              </w:rPr>
              <w:t xml:space="preserve">: </w:t>
            </w:r>
            <w:r w:rsidRPr="00FD3E68">
              <w:rPr>
                <w:rFonts w:ascii="Times New Roman" w:hAnsi="Times New Roman" w:cs="Times New Roman"/>
                <w:color w:val="000000" w:themeColor="text1"/>
                <w:lang w:val="sr-Latn-ME"/>
              </w:rPr>
              <w:t>11.10.2017. godine</w:t>
            </w:r>
          </w:p>
          <w:p w:rsidR="002C6EA6" w:rsidRPr="00FD3E68" w:rsidRDefault="002C6EA6" w:rsidP="00C42F07">
            <w:p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p w:rsidR="002C6EA6" w:rsidRPr="00FD3E68" w:rsidRDefault="002C6EA6" w:rsidP="00C42F07">
            <w:pPr>
              <w:tabs>
                <w:tab w:val="left" w:pos="284"/>
                <w:tab w:val="center" w:pos="4536"/>
                <w:tab w:val="left" w:pos="8964"/>
                <w:tab w:val="right" w:pos="9072"/>
                <w:tab w:val="left" w:pos="9106"/>
              </w:tabs>
              <w:spacing w:after="0" w:line="240" w:lineRule="auto"/>
              <w:jc w:val="both"/>
              <w:rPr>
                <w:rFonts w:ascii="Times New Roman" w:eastAsia="Times New Roman" w:hAnsi="Times New Roman" w:cs="Times New Roman"/>
                <w:noProof/>
                <w:color w:val="000000" w:themeColor="text1"/>
                <w:lang w:val="sr-Latn-ME"/>
              </w:rPr>
            </w:pPr>
          </w:p>
        </w:tc>
      </w:tr>
      <w:tr w:rsidR="00FD3E68" w:rsidRPr="00FD3E68" w:rsidTr="00C42F07">
        <w:tc>
          <w:tcPr>
            <w:tcW w:w="9498" w:type="dxa"/>
            <w:gridSpan w:val="4"/>
            <w:shd w:val="clear" w:color="auto" w:fill="E0E0E0"/>
            <w:vAlign w:val="center"/>
          </w:tcPr>
          <w:p w:rsidR="002C6EA6" w:rsidRPr="00FD3E68" w:rsidRDefault="002C6EA6" w:rsidP="00C42F07">
            <w:pPr>
              <w:tabs>
                <w:tab w:val="left" w:pos="284"/>
                <w:tab w:val="left" w:pos="8964"/>
                <w:tab w:val="left" w:pos="9106"/>
              </w:tabs>
              <w:spacing w:after="0" w:line="240" w:lineRule="auto"/>
              <w:rPr>
                <w:rFonts w:ascii="Times New Roman" w:eastAsia="Times New Roman" w:hAnsi="Times New Roman" w:cs="Times New Roman"/>
                <w:b/>
                <w:bCs/>
                <w:noProof/>
                <w:color w:val="000000" w:themeColor="text1"/>
                <w:lang w:val="sr-Latn-ME"/>
              </w:rPr>
            </w:pPr>
            <w:r w:rsidRPr="00FD3E68">
              <w:rPr>
                <w:rFonts w:ascii="Times New Roman" w:eastAsia="Times New Roman" w:hAnsi="Times New Roman" w:cs="Times New Roman"/>
                <w:b/>
                <w:bCs/>
                <w:noProof/>
                <w:color w:val="000000" w:themeColor="text1"/>
                <w:lang w:val="sr-Latn-ME"/>
              </w:rPr>
              <w:t>10. DATUM POSLJEDNJE REVIZIJE TEKSTA SAŽETKA OSNOVNIH  KARAKTERISTIKA LIJEKA</w:t>
            </w:r>
          </w:p>
        </w:tc>
      </w:tr>
      <w:tr w:rsidR="00FD3E68" w:rsidRPr="00FD3E68" w:rsidTr="00C42F07">
        <w:trPr>
          <w:trHeight w:val="824"/>
        </w:trPr>
        <w:tc>
          <w:tcPr>
            <w:tcW w:w="9498" w:type="dxa"/>
            <w:gridSpan w:val="4"/>
            <w:vAlign w:val="center"/>
          </w:tcPr>
          <w:p w:rsidR="002C6EA6" w:rsidRPr="00FD3E68" w:rsidRDefault="00980250" w:rsidP="00C42F07">
            <w:pPr>
              <w:tabs>
                <w:tab w:val="left" w:pos="284"/>
                <w:tab w:val="left" w:pos="8964"/>
                <w:tab w:val="left" w:pos="9106"/>
              </w:tabs>
              <w:spacing w:after="0" w:line="240" w:lineRule="auto"/>
              <w:jc w:val="both"/>
              <w:rPr>
                <w:rFonts w:ascii="Times New Roman" w:eastAsia="Times New Roman" w:hAnsi="Times New Roman" w:cs="Times New Roman"/>
                <w:noProof/>
                <w:color w:val="000000" w:themeColor="text1"/>
                <w:lang w:val="sr-Latn-ME"/>
              </w:rPr>
            </w:pPr>
            <w:r w:rsidRPr="00FD3E68">
              <w:rPr>
                <w:rFonts w:ascii="Times New Roman" w:eastAsia="Times New Roman" w:hAnsi="Times New Roman" w:cs="Times New Roman"/>
                <w:noProof/>
                <w:color w:val="000000" w:themeColor="text1"/>
                <w:lang w:val="sr-Latn-ME"/>
              </w:rPr>
              <w:t>Oktobar, 2017. godine</w:t>
            </w:r>
          </w:p>
        </w:tc>
      </w:tr>
    </w:tbl>
    <w:p w:rsidR="009318B4" w:rsidRPr="00FD3E68" w:rsidRDefault="00F1527C" w:rsidP="002C6EA6">
      <w:pPr>
        <w:tabs>
          <w:tab w:val="left" w:pos="2751"/>
        </w:tabs>
        <w:spacing w:after="0" w:line="240" w:lineRule="auto"/>
        <w:rPr>
          <w:rFonts w:ascii="Times New Roman" w:hAnsi="Times New Roman" w:cs="Times New Roman"/>
          <w:color w:val="000000" w:themeColor="text1"/>
        </w:rPr>
      </w:pPr>
      <w:r w:rsidRPr="00FD3E68">
        <w:rPr>
          <w:rFonts w:ascii="Times New Roman" w:hAnsi="Times New Roman" w:cs="Times New Roman"/>
          <w:color w:val="000000" w:themeColor="text1"/>
        </w:rPr>
        <w:tab/>
      </w:r>
    </w:p>
    <w:sectPr w:rsidR="009318B4" w:rsidRPr="00FD3E68"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D6F" w:rsidRDefault="00D74D6F" w:rsidP="00FF2B5A">
      <w:pPr>
        <w:spacing w:after="0" w:line="240" w:lineRule="auto"/>
      </w:pPr>
      <w:r>
        <w:separator/>
      </w:r>
    </w:p>
  </w:endnote>
  <w:endnote w:type="continuationSeparator" w:id="0">
    <w:p w:rsidR="00D74D6F" w:rsidRDefault="00D74D6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B372B">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B372B">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D6F" w:rsidRDefault="00D74D6F" w:rsidP="00FF2B5A">
      <w:pPr>
        <w:spacing w:after="0" w:line="240" w:lineRule="auto"/>
      </w:pPr>
      <w:r>
        <w:separator/>
      </w:r>
    </w:p>
  </w:footnote>
  <w:footnote w:type="continuationSeparator" w:id="0">
    <w:p w:rsidR="00D74D6F" w:rsidRDefault="00D74D6F"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08A2"/>
    <w:multiLevelType w:val="hybridMultilevel"/>
    <w:tmpl w:val="6FCE958E"/>
    <w:lvl w:ilvl="0" w:tplc="C18A7240">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F2F4134"/>
    <w:multiLevelType w:val="hybridMultilevel"/>
    <w:tmpl w:val="44CEF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A6423"/>
    <w:multiLevelType w:val="multilevel"/>
    <w:tmpl w:val="FFD8C41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F495A"/>
    <w:multiLevelType w:val="hybridMultilevel"/>
    <w:tmpl w:val="8AAC8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45B41"/>
    <w:multiLevelType w:val="hybridMultilevel"/>
    <w:tmpl w:val="FC643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E63540"/>
    <w:multiLevelType w:val="hybridMultilevel"/>
    <w:tmpl w:val="4E86D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787E43"/>
    <w:multiLevelType w:val="hybridMultilevel"/>
    <w:tmpl w:val="5C9403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6813708"/>
    <w:multiLevelType w:val="hybridMultilevel"/>
    <w:tmpl w:val="2E8296CC"/>
    <w:lvl w:ilvl="0" w:tplc="04090001">
      <w:start w:val="1"/>
      <w:numFmt w:val="bullet"/>
      <w:lvlText w:val=""/>
      <w:lvlJc w:val="left"/>
      <w:pPr>
        <w:tabs>
          <w:tab w:val="num" w:pos="720"/>
        </w:tabs>
        <w:ind w:left="720" w:hanging="360"/>
      </w:pPr>
      <w:rPr>
        <w:rFonts w:ascii="Symbol" w:hAnsi="Symbol" w:hint="default"/>
      </w:rPr>
    </w:lvl>
    <w:lvl w:ilvl="1" w:tplc="C4BE3514">
      <w:start w:val="1"/>
      <w:numFmt w:val="bullet"/>
      <w:lvlText w:val=""/>
      <w:lvlJc w:val="left"/>
      <w:pPr>
        <w:tabs>
          <w:tab w:val="num" w:pos="1440"/>
        </w:tabs>
        <w:ind w:left="1440" w:hanging="360"/>
      </w:pPr>
      <w:rPr>
        <w:rFonts w:ascii="Symbol" w:hAnsi="Symbol" w:hint="default"/>
        <w:b w:val="0"/>
        <w:i w:val="0"/>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0A78DD"/>
    <w:multiLevelType w:val="hybridMultilevel"/>
    <w:tmpl w:val="BF92E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C7381F"/>
    <w:multiLevelType w:val="hybridMultilevel"/>
    <w:tmpl w:val="9D02D9D8"/>
    <w:lvl w:ilvl="0" w:tplc="C40C8AF0">
      <w:start w:val="4"/>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42376CFF"/>
    <w:multiLevelType w:val="hybridMultilevel"/>
    <w:tmpl w:val="027A661A"/>
    <w:lvl w:ilvl="0" w:tplc="89B8F0D6">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42A169F5"/>
    <w:multiLevelType w:val="hybridMultilevel"/>
    <w:tmpl w:val="5E101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A359C1"/>
    <w:multiLevelType w:val="hybridMultilevel"/>
    <w:tmpl w:val="FA8C5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6E437A"/>
    <w:multiLevelType w:val="hybridMultilevel"/>
    <w:tmpl w:val="F00EF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B847E5"/>
    <w:multiLevelType w:val="hybridMultilevel"/>
    <w:tmpl w:val="CA7C9EAE"/>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081526"/>
    <w:multiLevelType w:val="hybridMultilevel"/>
    <w:tmpl w:val="E9E0E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2524C"/>
    <w:multiLevelType w:val="hybridMultilevel"/>
    <w:tmpl w:val="FFD8C41C"/>
    <w:lvl w:ilvl="0" w:tplc="2C64522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286E17"/>
    <w:multiLevelType w:val="hybridMultilevel"/>
    <w:tmpl w:val="AE8CE730"/>
    <w:lvl w:ilvl="0" w:tplc="0AA232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913022"/>
    <w:multiLevelType w:val="hybridMultilevel"/>
    <w:tmpl w:val="759EC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EF10AE"/>
    <w:multiLevelType w:val="hybridMultilevel"/>
    <w:tmpl w:val="2D3E1B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A201204"/>
    <w:multiLevelType w:val="hybridMultilevel"/>
    <w:tmpl w:val="8E525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E4E2B"/>
    <w:multiLevelType w:val="hybridMultilevel"/>
    <w:tmpl w:val="24621ED4"/>
    <w:lvl w:ilvl="0" w:tplc="F920C796">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3D25B0"/>
    <w:multiLevelType w:val="hybridMultilevel"/>
    <w:tmpl w:val="2D06C9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E76E0B"/>
    <w:multiLevelType w:val="hybridMultilevel"/>
    <w:tmpl w:val="4EC8B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383C9E"/>
    <w:multiLevelType w:val="hybridMultilevel"/>
    <w:tmpl w:val="74A8B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23"/>
  </w:num>
  <w:num w:numId="4">
    <w:abstractNumId w:val="6"/>
  </w:num>
  <w:num w:numId="5">
    <w:abstractNumId w:val="18"/>
  </w:num>
  <w:num w:numId="6">
    <w:abstractNumId w:val="17"/>
  </w:num>
  <w:num w:numId="7">
    <w:abstractNumId w:val="13"/>
  </w:num>
  <w:num w:numId="8">
    <w:abstractNumId w:val="4"/>
  </w:num>
  <w:num w:numId="9">
    <w:abstractNumId w:val="20"/>
  </w:num>
  <w:num w:numId="10">
    <w:abstractNumId w:val="15"/>
  </w:num>
  <w:num w:numId="11">
    <w:abstractNumId w:val="8"/>
  </w:num>
  <w:num w:numId="12">
    <w:abstractNumId w:val="19"/>
  </w:num>
  <w:num w:numId="13">
    <w:abstractNumId w:val="16"/>
  </w:num>
  <w:num w:numId="14">
    <w:abstractNumId w:val="2"/>
  </w:num>
  <w:num w:numId="15">
    <w:abstractNumId w:val="22"/>
  </w:num>
  <w:num w:numId="16">
    <w:abstractNumId w:val="24"/>
  </w:num>
  <w:num w:numId="17">
    <w:abstractNumId w:val="1"/>
  </w:num>
  <w:num w:numId="18">
    <w:abstractNumId w:val="21"/>
  </w:num>
  <w:num w:numId="19">
    <w:abstractNumId w:val="14"/>
  </w:num>
  <w:num w:numId="20">
    <w:abstractNumId w:val="3"/>
  </w:num>
  <w:num w:numId="21">
    <w:abstractNumId w:val="11"/>
  </w:num>
  <w:num w:numId="22">
    <w:abstractNumId w:val="7"/>
  </w:num>
  <w:num w:numId="23">
    <w:abstractNumId w:val="0"/>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4DA3"/>
    <w:rsid w:val="00065E14"/>
    <w:rsid w:val="00116FE6"/>
    <w:rsid w:val="001D029E"/>
    <w:rsid w:val="001F1E9D"/>
    <w:rsid w:val="002210F7"/>
    <w:rsid w:val="00260991"/>
    <w:rsid w:val="002C6EA6"/>
    <w:rsid w:val="003C1CD9"/>
    <w:rsid w:val="00461135"/>
    <w:rsid w:val="00476763"/>
    <w:rsid w:val="005E786E"/>
    <w:rsid w:val="00747C4B"/>
    <w:rsid w:val="007D4B85"/>
    <w:rsid w:val="00883AF2"/>
    <w:rsid w:val="009318B4"/>
    <w:rsid w:val="00934541"/>
    <w:rsid w:val="00980250"/>
    <w:rsid w:val="00A06058"/>
    <w:rsid w:val="00A168CA"/>
    <w:rsid w:val="00B234CE"/>
    <w:rsid w:val="00B34AF2"/>
    <w:rsid w:val="00BF3555"/>
    <w:rsid w:val="00C4240B"/>
    <w:rsid w:val="00C42F07"/>
    <w:rsid w:val="00CA6C80"/>
    <w:rsid w:val="00CC4887"/>
    <w:rsid w:val="00D45AFE"/>
    <w:rsid w:val="00D74D6F"/>
    <w:rsid w:val="00E0627A"/>
    <w:rsid w:val="00EB2A93"/>
    <w:rsid w:val="00F1527C"/>
    <w:rsid w:val="00FB372B"/>
    <w:rsid w:val="00FD3E6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4C5E3"/>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C6EA6"/>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2C6EA6"/>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2C6EA6"/>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2C6EA6"/>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2C6EA6"/>
    <w:pPr>
      <w:keepNext/>
      <w:tabs>
        <w:tab w:val="left" w:pos="284"/>
      </w:tabs>
      <w:spacing w:after="0" w:line="240" w:lineRule="auto"/>
      <w:jc w:val="both"/>
      <w:outlineLvl w:val="4"/>
    </w:pPr>
    <w:rPr>
      <w:rFonts w:ascii="Times New Roman" w:eastAsia="Times New Roman" w:hAnsi="Times New Roman" w:cs="Times New Roman"/>
      <w:i/>
      <w:iCs/>
      <w:color w:val="FF0000"/>
      <w:szCs w:val="24"/>
    </w:rPr>
  </w:style>
  <w:style w:type="paragraph" w:styleId="Heading6">
    <w:name w:val="heading 6"/>
    <w:basedOn w:val="Normal"/>
    <w:next w:val="Normal"/>
    <w:link w:val="Heading6Char"/>
    <w:qFormat/>
    <w:rsid w:val="002C6EA6"/>
    <w:pPr>
      <w:keepNext/>
      <w:tabs>
        <w:tab w:val="left" w:pos="284"/>
      </w:tabs>
      <w:spacing w:after="0" w:line="240" w:lineRule="auto"/>
      <w:jc w:val="center"/>
      <w:outlineLvl w:val="5"/>
    </w:pPr>
    <w:rPr>
      <w:rFonts w:ascii="Times New Roman" w:eastAsia="Times New Roman" w:hAnsi="Times New Roman" w:cs="Times New Roman"/>
      <w:b/>
      <w:bCs/>
      <w:i/>
      <w:iCs/>
      <w:u w:val="single"/>
    </w:rPr>
  </w:style>
  <w:style w:type="paragraph" w:styleId="Heading7">
    <w:name w:val="heading 7"/>
    <w:basedOn w:val="Normal"/>
    <w:next w:val="Normal"/>
    <w:link w:val="Heading7Char"/>
    <w:qFormat/>
    <w:rsid w:val="002C6EA6"/>
    <w:pPr>
      <w:keepNext/>
      <w:tabs>
        <w:tab w:val="left" w:pos="284"/>
      </w:tabs>
      <w:spacing w:after="0" w:line="240" w:lineRule="auto"/>
      <w:jc w:val="both"/>
      <w:outlineLvl w:val="6"/>
    </w:pPr>
    <w:rPr>
      <w:rFonts w:ascii="Times New Roman" w:eastAsia="Times New Roman" w:hAnsi="Times New Roman" w:cs="Times New Roman"/>
      <w:szCs w:val="24"/>
      <w:u w:val="single"/>
      <w:lang w:val="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2C6EA6"/>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2C6EA6"/>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2C6EA6"/>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2C6EA6"/>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2C6EA6"/>
    <w:rPr>
      <w:rFonts w:ascii="Times New Roman" w:eastAsia="Times New Roman" w:hAnsi="Times New Roman" w:cs="Times New Roman"/>
      <w:i/>
      <w:iCs/>
      <w:color w:val="FF0000"/>
      <w:szCs w:val="24"/>
    </w:rPr>
  </w:style>
  <w:style w:type="character" w:customStyle="1" w:styleId="Heading6Char">
    <w:name w:val="Heading 6 Char"/>
    <w:basedOn w:val="DefaultParagraphFont"/>
    <w:link w:val="Heading6"/>
    <w:rsid w:val="002C6EA6"/>
    <w:rPr>
      <w:rFonts w:ascii="Times New Roman" w:eastAsia="Times New Roman" w:hAnsi="Times New Roman" w:cs="Times New Roman"/>
      <w:b/>
      <w:bCs/>
      <w:i/>
      <w:iCs/>
      <w:u w:val="single"/>
    </w:rPr>
  </w:style>
  <w:style w:type="character" w:customStyle="1" w:styleId="Heading7Char">
    <w:name w:val="Heading 7 Char"/>
    <w:basedOn w:val="DefaultParagraphFont"/>
    <w:link w:val="Heading7"/>
    <w:rsid w:val="002C6EA6"/>
    <w:rPr>
      <w:rFonts w:ascii="Times New Roman" w:eastAsia="Times New Roman" w:hAnsi="Times New Roman" w:cs="Times New Roman"/>
      <w:szCs w:val="24"/>
      <w:u w:val="single"/>
      <w:lang w:val="sr-Latn-BA"/>
    </w:rPr>
  </w:style>
  <w:style w:type="numbering" w:customStyle="1" w:styleId="NoList1">
    <w:name w:val="No List1"/>
    <w:next w:val="NoList"/>
    <w:semiHidden/>
    <w:rsid w:val="002C6EA6"/>
  </w:style>
  <w:style w:type="character" w:styleId="PageNumber">
    <w:name w:val="page number"/>
    <w:basedOn w:val="DefaultParagraphFont"/>
    <w:rsid w:val="002C6EA6"/>
  </w:style>
  <w:style w:type="character" w:styleId="CommentReference">
    <w:name w:val="annotation reference"/>
    <w:semiHidden/>
    <w:rsid w:val="002C6EA6"/>
    <w:rPr>
      <w:sz w:val="16"/>
      <w:szCs w:val="16"/>
    </w:rPr>
  </w:style>
  <w:style w:type="paragraph" w:styleId="CommentText">
    <w:name w:val="annotation text"/>
    <w:basedOn w:val="Normal"/>
    <w:link w:val="CommentTextChar"/>
    <w:semiHidden/>
    <w:rsid w:val="002C6EA6"/>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2C6EA6"/>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2C6EA6"/>
    <w:rPr>
      <w:b/>
      <w:bCs/>
    </w:rPr>
  </w:style>
  <w:style w:type="character" w:customStyle="1" w:styleId="CommentSubjectChar">
    <w:name w:val="Comment Subject Char"/>
    <w:basedOn w:val="CommentTextChar"/>
    <w:link w:val="CommentSubject"/>
    <w:semiHidden/>
    <w:rsid w:val="002C6EA6"/>
    <w:rPr>
      <w:rFonts w:ascii="Humanist777" w:eastAsia="Times New Roman" w:hAnsi="Humanist777" w:cs="Times New Roman"/>
      <w:b/>
      <w:bCs/>
      <w:sz w:val="20"/>
      <w:szCs w:val="20"/>
    </w:rPr>
  </w:style>
  <w:style w:type="paragraph" w:styleId="BalloonText">
    <w:name w:val="Balloon Text"/>
    <w:basedOn w:val="Normal"/>
    <w:link w:val="BalloonTextChar"/>
    <w:semiHidden/>
    <w:rsid w:val="002C6EA6"/>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C6EA6"/>
    <w:rPr>
      <w:rFonts w:ascii="Tahoma" w:eastAsia="Times New Roman" w:hAnsi="Tahoma" w:cs="Tahoma"/>
      <w:sz w:val="16"/>
      <w:szCs w:val="16"/>
    </w:rPr>
  </w:style>
  <w:style w:type="paragraph" w:styleId="BodyText">
    <w:name w:val="Body Text"/>
    <w:basedOn w:val="Normal"/>
    <w:link w:val="BodyTextChar"/>
    <w:rsid w:val="002C6EA6"/>
    <w:pPr>
      <w:tabs>
        <w:tab w:val="left" w:pos="284"/>
      </w:tabs>
      <w:spacing w:after="0" w:line="240" w:lineRule="auto"/>
      <w:jc w:val="both"/>
    </w:pPr>
    <w:rPr>
      <w:rFonts w:ascii="Times New Roman" w:eastAsia="Times New Roman" w:hAnsi="Times New Roman" w:cs="Times New Roman"/>
      <w:color w:val="FF0000"/>
      <w:sz w:val="24"/>
      <w:szCs w:val="24"/>
      <w:lang w:val="sl-SI"/>
    </w:rPr>
  </w:style>
  <w:style w:type="character" w:customStyle="1" w:styleId="BodyTextChar">
    <w:name w:val="Body Text Char"/>
    <w:basedOn w:val="DefaultParagraphFont"/>
    <w:link w:val="BodyText"/>
    <w:rsid w:val="002C6EA6"/>
    <w:rPr>
      <w:rFonts w:ascii="Times New Roman" w:eastAsia="Times New Roman" w:hAnsi="Times New Roman" w:cs="Times New Roman"/>
      <w:color w:val="FF0000"/>
      <w:sz w:val="24"/>
      <w:szCs w:val="24"/>
      <w:lang w:val="sl-SI"/>
    </w:rPr>
  </w:style>
  <w:style w:type="paragraph" w:styleId="BodyText2">
    <w:name w:val="Body Text 2"/>
    <w:basedOn w:val="Normal"/>
    <w:link w:val="BodyText2Char"/>
    <w:rsid w:val="002C6EA6"/>
    <w:pPr>
      <w:tabs>
        <w:tab w:val="left" w:pos="284"/>
      </w:tabs>
      <w:spacing w:after="0" w:line="240" w:lineRule="auto"/>
      <w:jc w:val="both"/>
    </w:pPr>
    <w:rPr>
      <w:rFonts w:ascii="Times New Roman" w:eastAsia="Times New Roman" w:hAnsi="Times New Roman" w:cs="Times New Roman"/>
      <w:color w:val="FF0000"/>
      <w:szCs w:val="24"/>
    </w:rPr>
  </w:style>
  <w:style w:type="character" w:customStyle="1" w:styleId="BodyText2Char">
    <w:name w:val="Body Text 2 Char"/>
    <w:basedOn w:val="DefaultParagraphFont"/>
    <w:link w:val="BodyText2"/>
    <w:rsid w:val="002C6EA6"/>
    <w:rPr>
      <w:rFonts w:ascii="Times New Roman" w:eastAsia="Times New Roman" w:hAnsi="Times New Roman" w:cs="Times New Roman"/>
      <w:color w:val="FF0000"/>
      <w:szCs w:val="24"/>
    </w:rPr>
  </w:style>
  <w:style w:type="paragraph" w:styleId="BodyText3">
    <w:name w:val="Body Text 3"/>
    <w:basedOn w:val="Normal"/>
    <w:link w:val="BodyText3Char"/>
    <w:rsid w:val="002C6EA6"/>
    <w:pPr>
      <w:tabs>
        <w:tab w:val="left" w:pos="284"/>
      </w:tabs>
      <w:spacing w:after="0" w:line="240" w:lineRule="auto"/>
    </w:pPr>
    <w:rPr>
      <w:rFonts w:ascii="Times New Roman" w:eastAsia="Times New Roman" w:hAnsi="Times New Roman" w:cs="Times New Roman"/>
      <w:color w:val="FF0000"/>
      <w:sz w:val="24"/>
      <w:lang w:val="sr-Latn-CS"/>
    </w:rPr>
  </w:style>
  <w:style w:type="character" w:customStyle="1" w:styleId="BodyText3Char">
    <w:name w:val="Body Text 3 Char"/>
    <w:basedOn w:val="DefaultParagraphFont"/>
    <w:link w:val="BodyText3"/>
    <w:rsid w:val="002C6EA6"/>
    <w:rPr>
      <w:rFonts w:ascii="Times New Roman" w:eastAsia="Times New Roman" w:hAnsi="Times New Roman" w:cs="Times New Roman"/>
      <w:color w:val="FF0000"/>
      <w:sz w:val="24"/>
      <w:lang w:val="sr-Latn-CS"/>
    </w:rPr>
  </w:style>
  <w:style w:type="table" w:styleId="TableGrid">
    <w:name w:val="Table Grid"/>
    <w:basedOn w:val="TableNormal"/>
    <w:rsid w:val="002C6EA6"/>
    <w:pPr>
      <w:tabs>
        <w:tab w:val="left" w:pos="284"/>
      </w:tabs>
      <w:spacing w:after="0" w:line="240" w:lineRule="auto"/>
      <w:jc w:val="both"/>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3606-B436-438F-A12E-BD431A82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3690</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13</cp:revision>
  <dcterms:created xsi:type="dcterms:W3CDTF">2017-06-23T08:04:00Z</dcterms:created>
  <dcterms:modified xsi:type="dcterms:W3CDTF">2020-07-24T13:05:00Z</dcterms:modified>
</cp:coreProperties>
</file>