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E46F90" w:rsidRDefault="00F91C7B" w:rsidP="00E46F90">
      <w:pPr>
        <w:jc w:val="center"/>
        <w:rPr>
          <w:b/>
          <w:bCs/>
          <w:i/>
          <w:iCs/>
          <w:sz w:val="22"/>
          <w:szCs w:val="22"/>
          <w:u w:val="single"/>
          <w:lang w:val="sr-Latn-ME"/>
        </w:rPr>
      </w:pPr>
    </w:p>
    <w:p w:rsidR="002510A5" w:rsidRPr="00E46F90" w:rsidRDefault="002510A5" w:rsidP="00E46F90">
      <w:pPr>
        <w:jc w:val="center"/>
        <w:rPr>
          <w:b/>
          <w:bCs/>
          <w:iCs/>
          <w:sz w:val="22"/>
          <w:szCs w:val="22"/>
          <w:u w:val="single"/>
          <w:lang w:val="sr-Latn-ME"/>
        </w:rPr>
      </w:pPr>
      <w:r w:rsidRPr="00E46F90">
        <w:rPr>
          <w:b/>
          <w:bCs/>
          <w:iCs/>
          <w:sz w:val="22"/>
          <w:szCs w:val="22"/>
          <w:u w:val="single"/>
          <w:lang w:val="sr-Latn-ME"/>
        </w:rPr>
        <w:t>SAŽETAK KARAKTERISTIKA LIJEKA</w:t>
      </w:r>
    </w:p>
    <w:p w:rsidR="002510A5" w:rsidRPr="00E46F90" w:rsidRDefault="002510A5" w:rsidP="00E46F90">
      <w:pPr>
        <w:jc w:val="both"/>
        <w:rPr>
          <w:b/>
          <w:bCs/>
          <w:i/>
          <w:iCs/>
          <w:sz w:val="22"/>
          <w:szCs w:val="22"/>
          <w:u w:val="single"/>
          <w:lang w:val="sr-Latn-ME"/>
        </w:rPr>
      </w:pPr>
    </w:p>
    <w:p w:rsidR="00C37FD7" w:rsidRPr="00E46F90" w:rsidRDefault="00C37FD7"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1.</w:t>
      </w:r>
      <w:r w:rsidR="00F5167F" w:rsidRPr="00E46F90">
        <w:rPr>
          <w:b/>
          <w:bCs/>
          <w:sz w:val="22"/>
          <w:szCs w:val="22"/>
          <w:lang w:val="sr-Latn-ME"/>
        </w:rPr>
        <w:tab/>
      </w:r>
      <w:r w:rsidR="002846DB" w:rsidRPr="00E46F90">
        <w:rPr>
          <w:b/>
          <w:bCs/>
          <w:sz w:val="22"/>
          <w:szCs w:val="22"/>
          <w:lang w:val="sr-Latn-ME"/>
        </w:rPr>
        <w:t xml:space="preserve">NAZIV </w:t>
      </w:r>
      <w:r w:rsidRPr="00E46F90">
        <w:rPr>
          <w:b/>
          <w:bCs/>
          <w:sz w:val="22"/>
          <w:szCs w:val="22"/>
          <w:lang w:val="sr-Latn-ME"/>
        </w:rPr>
        <w:t>LIJEKA</w:t>
      </w:r>
    </w:p>
    <w:p w:rsidR="00E46F90" w:rsidRPr="00E46F90" w:rsidRDefault="00E46F90" w:rsidP="00E46F90">
      <w:pPr>
        <w:jc w:val="both"/>
        <w:rPr>
          <w:sz w:val="22"/>
          <w:szCs w:val="22"/>
          <w:lang w:val="sr-Latn-ME"/>
        </w:rPr>
      </w:pPr>
    </w:p>
    <w:p w:rsidR="000D425A" w:rsidRPr="00E46F90" w:rsidRDefault="00AA3193" w:rsidP="00E46F90">
      <w:pPr>
        <w:jc w:val="both"/>
        <w:rPr>
          <w:bCs/>
          <w:sz w:val="22"/>
          <w:szCs w:val="22"/>
          <w:lang w:val="sr-Latn-ME"/>
        </w:rPr>
      </w:pPr>
      <w:r w:rsidRPr="00E46F90">
        <w:rPr>
          <w:bCs/>
          <w:sz w:val="22"/>
          <w:szCs w:val="22"/>
          <w:lang w:val="sr-Latn-ME"/>
        </w:rPr>
        <w:t>Fluomizin</w:t>
      </w:r>
      <w:r w:rsidRPr="00E46F90">
        <w:rPr>
          <w:bCs/>
          <w:sz w:val="22"/>
          <w:szCs w:val="22"/>
          <w:vertAlign w:val="superscript"/>
          <w:lang w:val="sr-Latn-ME"/>
        </w:rPr>
        <w:t>®</w:t>
      </w:r>
      <w:r w:rsidRPr="00E46F90">
        <w:rPr>
          <w:bCs/>
          <w:sz w:val="22"/>
          <w:szCs w:val="22"/>
          <w:lang w:val="sr-Latn-ME"/>
        </w:rPr>
        <w:t xml:space="preserve">, 10 mg, </w:t>
      </w:r>
      <w:r w:rsidR="00EE0C5B" w:rsidRPr="00E46F90">
        <w:rPr>
          <w:bCs/>
          <w:sz w:val="22"/>
          <w:szCs w:val="22"/>
          <w:lang w:val="sr-Latn-ME"/>
        </w:rPr>
        <w:t>vaginalna tableta</w:t>
      </w:r>
    </w:p>
    <w:p w:rsidR="00AA3193" w:rsidRPr="00E46F90" w:rsidRDefault="00AA3193" w:rsidP="00E46F90">
      <w:pPr>
        <w:jc w:val="both"/>
        <w:rPr>
          <w:bCs/>
          <w:sz w:val="22"/>
          <w:szCs w:val="22"/>
          <w:lang w:val="sr-Latn-ME"/>
        </w:rPr>
      </w:pPr>
    </w:p>
    <w:p w:rsidR="006D20A5" w:rsidRPr="00E46F90" w:rsidRDefault="006D20A5" w:rsidP="00E46F90">
      <w:pPr>
        <w:jc w:val="both"/>
        <w:rPr>
          <w:sz w:val="22"/>
          <w:szCs w:val="22"/>
          <w:lang w:val="sr-Latn-ME"/>
        </w:rPr>
      </w:pPr>
      <w:r w:rsidRPr="00E46F90">
        <w:rPr>
          <w:sz w:val="22"/>
          <w:szCs w:val="22"/>
          <w:lang w:val="sr-Latn-ME"/>
        </w:rPr>
        <w:t>INN:</w:t>
      </w:r>
      <w:r w:rsidR="00AA3193" w:rsidRPr="00E46F90">
        <w:rPr>
          <w:sz w:val="22"/>
          <w:szCs w:val="22"/>
          <w:lang w:val="sr-Latn-ME"/>
        </w:rPr>
        <w:t xml:space="preserve"> dekvalinijum</w:t>
      </w:r>
    </w:p>
    <w:p w:rsidR="006D20A5" w:rsidRPr="00E46F90" w:rsidRDefault="006D20A5" w:rsidP="00E46F90">
      <w:pPr>
        <w:jc w:val="both"/>
        <w:rPr>
          <w:bCs/>
          <w:sz w:val="22"/>
          <w:szCs w:val="22"/>
          <w:lang w:val="sr-Latn-ME"/>
        </w:rPr>
      </w:pPr>
    </w:p>
    <w:p w:rsidR="00530BD7" w:rsidRPr="00E46F90" w:rsidRDefault="00530BD7" w:rsidP="00E46F90">
      <w:pPr>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2. </w:t>
      </w:r>
      <w:r w:rsidR="00F5167F" w:rsidRPr="00E46F90">
        <w:rPr>
          <w:b/>
          <w:bCs/>
          <w:sz w:val="22"/>
          <w:szCs w:val="22"/>
          <w:lang w:val="sr-Latn-ME"/>
        </w:rPr>
        <w:tab/>
      </w:r>
      <w:r w:rsidRPr="00E46F90">
        <w:rPr>
          <w:b/>
          <w:bCs/>
          <w:sz w:val="22"/>
          <w:szCs w:val="22"/>
          <w:lang w:val="sr-Latn-ME"/>
        </w:rPr>
        <w:t>KVALITATIVNI I KVANTITATIVNI SASTAV</w:t>
      </w:r>
    </w:p>
    <w:p w:rsidR="005A0B2E" w:rsidRPr="00E46F90" w:rsidRDefault="005A0B2E" w:rsidP="00E46F90">
      <w:pPr>
        <w:jc w:val="both"/>
        <w:rPr>
          <w:sz w:val="22"/>
          <w:szCs w:val="22"/>
          <w:lang w:val="sr-Latn-ME"/>
        </w:rPr>
      </w:pPr>
    </w:p>
    <w:p w:rsidR="00AA3193" w:rsidRPr="00E46F90" w:rsidRDefault="00AA3193" w:rsidP="00E46F90">
      <w:pPr>
        <w:jc w:val="both"/>
        <w:rPr>
          <w:sz w:val="22"/>
          <w:szCs w:val="22"/>
          <w:lang w:val="sr-Latn-ME"/>
        </w:rPr>
      </w:pPr>
      <w:r w:rsidRPr="00E46F90">
        <w:rPr>
          <w:sz w:val="22"/>
          <w:szCs w:val="22"/>
          <w:lang w:val="sr-Latn-ME"/>
        </w:rPr>
        <w:t>Jedna vaginalna tableta sadrži 10 mg dekvalinijum hlorida.</w:t>
      </w:r>
    </w:p>
    <w:p w:rsidR="00AA3193" w:rsidRPr="00E46F90" w:rsidRDefault="00AA3193" w:rsidP="00E46F90">
      <w:pPr>
        <w:jc w:val="both"/>
        <w:rPr>
          <w:sz w:val="22"/>
          <w:szCs w:val="22"/>
          <w:lang w:val="sr-Latn-ME"/>
        </w:rPr>
      </w:pPr>
    </w:p>
    <w:p w:rsidR="0003793F" w:rsidRPr="00E46F90" w:rsidRDefault="0003793F" w:rsidP="00E46F90">
      <w:pPr>
        <w:jc w:val="both"/>
        <w:rPr>
          <w:sz w:val="22"/>
          <w:szCs w:val="22"/>
          <w:lang w:val="sr-Latn-ME"/>
        </w:rPr>
      </w:pPr>
      <w:r w:rsidRPr="00E46F90">
        <w:rPr>
          <w:sz w:val="22"/>
          <w:szCs w:val="22"/>
          <w:lang w:val="sr-Latn-ME"/>
        </w:rPr>
        <w:t>Za spisak svih ekscipijenasa, pogledati dio 6.1.</w:t>
      </w:r>
    </w:p>
    <w:p w:rsidR="0003793F" w:rsidRPr="00E46F90" w:rsidRDefault="0003793F" w:rsidP="00E46F90">
      <w:pPr>
        <w:jc w:val="both"/>
        <w:rPr>
          <w:sz w:val="22"/>
          <w:szCs w:val="22"/>
          <w:lang w:val="sr-Latn-ME"/>
        </w:rPr>
      </w:pPr>
    </w:p>
    <w:p w:rsidR="00C37FD7" w:rsidRPr="00E46F90" w:rsidRDefault="00C37FD7" w:rsidP="00E46F90">
      <w:pPr>
        <w:jc w:val="both"/>
        <w:rPr>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3. </w:t>
      </w:r>
      <w:r w:rsidR="00F5167F" w:rsidRPr="00E46F90">
        <w:rPr>
          <w:b/>
          <w:bCs/>
          <w:sz w:val="22"/>
          <w:szCs w:val="22"/>
          <w:lang w:val="sr-Latn-ME"/>
        </w:rPr>
        <w:tab/>
      </w:r>
      <w:r w:rsidRPr="00E46F90">
        <w:rPr>
          <w:b/>
          <w:bCs/>
          <w:sz w:val="22"/>
          <w:szCs w:val="22"/>
          <w:lang w:val="sr-Latn-ME"/>
        </w:rPr>
        <w:t>FARMACEUTSKI OBLIK</w:t>
      </w:r>
      <w:r w:rsidR="009F2D23" w:rsidRPr="00E46F90">
        <w:rPr>
          <w:b/>
          <w:bCs/>
          <w:sz w:val="22"/>
          <w:szCs w:val="22"/>
          <w:lang w:val="sr-Latn-ME"/>
        </w:rPr>
        <w:t xml:space="preserve"> </w:t>
      </w:r>
    </w:p>
    <w:p w:rsidR="00411B4B" w:rsidRPr="00E46F90" w:rsidRDefault="00411B4B" w:rsidP="00E46F90">
      <w:pPr>
        <w:jc w:val="both"/>
        <w:rPr>
          <w:bCs/>
          <w:sz w:val="22"/>
          <w:szCs w:val="22"/>
          <w:lang w:val="sr-Latn-ME"/>
        </w:rPr>
      </w:pPr>
    </w:p>
    <w:p w:rsidR="00AA3193" w:rsidRPr="00E46F90" w:rsidRDefault="00AA3193" w:rsidP="00E46F90">
      <w:pPr>
        <w:jc w:val="both"/>
        <w:rPr>
          <w:bCs/>
          <w:sz w:val="22"/>
          <w:szCs w:val="22"/>
          <w:lang w:val="sr-Latn-ME"/>
        </w:rPr>
      </w:pPr>
      <w:r w:rsidRPr="00E46F90">
        <w:rPr>
          <w:bCs/>
          <w:sz w:val="22"/>
          <w:szCs w:val="22"/>
          <w:lang w:val="sr-Latn-ME"/>
        </w:rPr>
        <w:t>Vaginalna tableta.</w:t>
      </w:r>
    </w:p>
    <w:p w:rsidR="00E46F90" w:rsidRPr="00E46F90" w:rsidRDefault="00E46F90" w:rsidP="00E46F90">
      <w:pPr>
        <w:jc w:val="both"/>
        <w:rPr>
          <w:bCs/>
          <w:sz w:val="22"/>
          <w:szCs w:val="22"/>
          <w:lang w:val="sr-Latn-ME"/>
        </w:rPr>
      </w:pPr>
    </w:p>
    <w:p w:rsidR="00EC2532" w:rsidRPr="00E46F90" w:rsidRDefault="00AA3193" w:rsidP="00E46F90">
      <w:pPr>
        <w:jc w:val="both"/>
        <w:rPr>
          <w:bCs/>
          <w:sz w:val="22"/>
          <w:szCs w:val="22"/>
          <w:lang w:val="sr-Latn-ME"/>
        </w:rPr>
      </w:pPr>
      <w:r w:rsidRPr="00E46F90">
        <w:rPr>
          <w:bCs/>
          <w:sz w:val="22"/>
          <w:szCs w:val="22"/>
          <w:lang w:val="sr-Latn-ME"/>
        </w:rPr>
        <w:t>Bijele do skoro bijele, ovalne, bikonveksne tablete.</w:t>
      </w:r>
    </w:p>
    <w:p w:rsidR="00AA3193" w:rsidRPr="00E46F90" w:rsidRDefault="00AA3193" w:rsidP="00E46F90">
      <w:pPr>
        <w:jc w:val="both"/>
        <w:rPr>
          <w:bCs/>
          <w:sz w:val="22"/>
          <w:szCs w:val="22"/>
          <w:lang w:val="sr-Latn-ME"/>
        </w:rPr>
      </w:pPr>
    </w:p>
    <w:p w:rsidR="00E46F90" w:rsidRPr="00E46F90" w:rsidRDefault="00E46F90" w:rsidP="00E46F90">
      <w:pPr>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4. </w:t>
      </w:r>
      <w:r w:rsidR="00480FB1" w:rsidRPr="00E46F90">
        <w:rPr>
          <w:b/>
          <w:bCs/>
          <w:sz w:val="22"/>
          <w:szCs w:val="22"/>
          <w:lang w:val="sr-Latn-ME"/>
        </w:rPr>
        <w:tab/>
      </w:r>
      <w:r w:rsidRPr="00E46F90">
        <w:rPr>
          <w:b/>
          <w:bCs/>
          <w:sz w:val="22"/>
          <w:szCs w:val="22"/>
          <w:lang w:val="sr-Latn-ME"/>
        </w:rPr>
        <w:t>KLINIČKI PODACI</w:t>
      </w:r>
    </w:p>
    <w:p w:rsidR="00CD6F02" w:rsidRPr="00E46F90" w:rsidRDefault="00CD6F02"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4.1. </w:t>
      </w:r>
      <w:r w:rsidR="00480FB1" w:rsidRPr="00E46F90">
        <w:rPr>
          <w:b/>
          <w:bCs/>
          <w:sz w:val="22"/>
          <w:szCs w:val="22"/>
          <w:lang w:val="sr-Latn-ME"/>
        </w:rPr>
        <w:tab/>
      </w:r>
      <w:r w:rsidRPr="00E46F90">
        <w:rPr>
          <w:b/>
          <w:bCs/>
          <w:sz w:val="22"/>
          <w:szCs w:val="22"/>
          <w:lang w:val="sr-Latn-ME"/>
        </w:rPr>
        <w:t>Terapijske indikacije</w:t>
      </w:r>
    </w:p>
    <w:p w:rsidR="00411B4B" w:rsidRPr="00E46F90" w:rsidRDefault="00411B4B"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Fluomizin, 10 mg, vaginalne tablete su indikovane za primjenu u liječenju bakterijske vaginoze (vidjeti odjeljak 4.4).</w:t>
      </w: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Neophodno je uzeti u obzir postojeće zvanične vodiče za odgovarajuću upotrebu antibakterijskih ljekova.</w:t>
      </w:r>
    </w:p>
    <w:p w:rsidR="00AA3193" w:rsidRPr="00E46F90" w:rsidRDefault="00AA3193"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4.2. </w:t>
      </w:r>
      <w:r w:rsidR="00480FB1" w:rsidRPr="00E46F90">
        <w:rPr>
          <w:b/>
          <w:bCs/>
          <w:sz w:val="22"/>
          <w:szCs w:val="22"/>
          <w:lang w:val="sr-Latn-ME"/>
        </w:rPr>
        <w:tab/>
      </w:r>
      <w:r w:rsidRPr="00E46F90">
        <w:rPr>
          <w:b/>
          <w:bCs/>
          <w:sz w:val="22"/>
          <w:szCs w:val="22"/>
          <w:lang w:val="sr-Latn-ME"/>
        </w:rPr>
        <w:t>Doziranje i način primjene</w:t>
      </w:r>
    </w:p>
    <w:p w:rsidR="0072020E" w:rsidRPr="00E46F90" w:rsidRDefault="0072020E" w:rsidP="00E46F90">
      <w:pPr>
        <w:tabs>
          <w:tab w:val="left" w:pos="540"/>
          <w:tab w:val="left" w:pos="569"/>
        </w:tabs>
        <w:jc w:val="both"/>
        <w:rPr>
          <w:bCs/>
          <w:sz w:val="22"/>
          <w:szCs w:val="22"/>
          <w:lang w:val="sr-Latn-ME"/>
        </w:rPr>
      </w:pPr>
    </w:p>
    <w:p w:rsidR="00452E9D" w:rsidRPr="00E46F90" w:rsidRDefault="00452E9D" w:rsidP="00E46F90">
      <w:pPr>
        <w:tabs>
          <w:tab w:val="left" w:pos="540"/>
          <w:tab w:val="left" w:pos="569"/>
        </w:tabs>
        <w:jc w:val="both"/>
        <w:rPr>
          <w:bCs/>
          <w:sz w:val="22"/>
          <w:szCs w:val="22"/>
          <w:u w:val="single"/>
          <w:lang w:val="sr-Latn-ME"/>
        </w:rPr>
      </w:pPr>
      <w:r w:rsidRPr="00E46F90">
        <w:rPr>
          <w:bCs/>
          <w:sz w:val="22"/>
          <w:szCs w:val="22"/>
          <w:u w:val="single"/>
          <w:lang w:val="sr-Latn-ME"/>
        </w:rPr>
        <w:t>Doziranje</w:t>
      </w:r>
    </w:p>
    <w:p w:rsidR="00452E9D" w:rsidRPr="00E46F90" w:rsidRDefault="00452E9D" w:rsidP="00E46F90">
      <w:pPr>
        <w:tabs>
          <w:tab w:val="left" w:pos="540"/>
          <w:tab w:val="left" w:pos="569"/>
        </w:tabs>
        <w:jc w:val="both"/>
        <w:rPr>
          <w:bCs/>
          <w:sz w:val="22"/>
          <w:szCs w:val="22"/>
          <w:u w:val="single"/>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 xml:space="preserve">Jedna vaginalna tableta dnevno, u toku 6 dana. </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 xml:space="preserve">Vaginalnu tabletu treba aplikovati duboko u vaginu, uveče prije spavanja. To se najbolje postiže u ležećem položaju, sa blago podignutim koljenima prema grudima. </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Tokom menstrualnog perioda treba prekinuti sa primjenom tableta, a potom nastaviti po završetku menstruacije.</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 xml:space="preserve">Lijek Fluomizin sadrži pomoćne supstance koje se u potpunosti ne rastvaraju u vagini, tako da se preostali dio tablete može povremeno pojaviti na donjem vešu. To nema uticaja na efikasnost lijeka Fluomizin. </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U rijetkim slučajevima kod pretjerane suvoće vagine, moguće je da se vaginalna tableta ne rastvori u potpunosti i izbaci iz vagine kao nepromijenjena tableta. Kao posljedica toga, terapija nije optimalna. Radi prevencije, vaginalne tablete se mogu nakvasiti kapljicom vode prije primjene u veoma suvu vaginu.</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Pacijentkinjama treba preporučiti da upotrebljavaju higijenske ili dnevne uloške. Nema promjene boje donjeg veša.</w:t>
      </w:r>
    </w:p>
    <w:p w:rsidR="00AA3193" w:rsidRPr="00E46F90" w:rsidRDefault="00AA3193" w:rsidP="00E46F90">
      <w:pPr>
        <w:tabs>
          <w:tab w:val="left" w:pos="540"/>
          <w:tab w:val="left" w:pos="569"/>
        </w:tabs>
        <w:jc w:val="both"/>
        <w:rPr>
          <w:bCs/>
          <w:sz w:val="22"/>
          <w:szCs w:val="22"/>
          <w:u w:val="single"/>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Iako se smanjenje sekreta i inflamacije dešava u toku 24 do 72 sata, terapiju treba nastaviti, čak i kada više ne postoji subjektivni osjećaj nelagodnosti (svrab, sekret, neprijatan miris). Primjena terapije u periodu kraćem od 6 dana mogla bi dovesti do recidiva.</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i/>
          <w:sz w:val="22"/>
          <w:szCs w:val="22"/>
          <w:lang w:val="sr-Latn-ME"/>
        </w:rPr>
      </w:pPr>
      <w:r w:rsidRPr="00E46F90">
        <w:rPr>
          <w:bCs/>
          <w:i/>
          <w:sz w:val="22"/>
          <w:szCs w:val="22"/>
          <w:lang w:val="sr-Latn-ME"/>
        </w:rPr>
        <w:t>Žene iznad 55 godina i starije</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 xml:space="preserve">Ne postoji dovoljno podataka o efikasnosti i bezbjednosti dekvalinijuma kod žena iznad 55 godina. </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i/>
          <w:sz w:val="22"/>
          <w:szCs w:val="22"/>
          <w:lang w:val="sr-Latn-ME"/>
        </w:rPr>
      </w:pPr>
      <w:r w:rsidRPr="00E46F90">
        <w:rPr>
          <w:bCs/>
          <w:i/>
          <w:sz w:val="22"/>
          <w:szCs w:val="22"/>
          <w:lang w:val="sr-Latn-ME"/>
        </w:rPr>
        <w:t>Pedijatrijska populacija</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Ne postoji dovoljno podataka o efikasnosti i bezbjednosti dekvalinijuma kod djece mlađe od 18 godina</w:t>
      </w:r>
      <w:r w:rsidR="000D3B78" w:rsidRPr="00E46F90">
        <w:rPr>
          <w:bCs/>
          <w:sz w:val="22"/>
          <w:szCs w:val="22"/>
          <w:lang w:val="sr-Latn-ME"/>
        </w:rPr>
        <w:t>.</w:t>
      </w:r>
    </w:p>
    <w:p w:rsidR="00AA3193" w:rsidRPr="00E46F90" w:rsidRDefault="00AA3193" w:rsidP="00E46F90">
      <w:pPr>
        <w:tabs>
          <w:tab w:val="left" w:pos="540"/>
          <w:tab w:val="left" w:pos="569"/>
        </w:tabs>
        <w:jc w:val="both"/>
        <w:rPr>
          <w:bCs/>
          <w:sz w:val="22"/>
          <w:szCs w:val="22"/>
          <w:u w:val="single"/>
          <w:lang w:val="sr-Latn-ME"/>
        </w:rPr>
      </w:pPr>
    </w:p>
    <w:p w:rsidR="00452E9D" w:rsidRDefault="00452E9D" w:rsidP="00E46F90">
      <w:pPr>
        <w:tabs>
          <w:tab w:val="left" w:pos="540"/>
          <w:tab w:val="left" w:pos="569"/>
        </w:tabs>
        <w:jc w:val="both"/>
        <w:rPr>
          <w:bCs/>
          <w:sz w:val="22"/>
          <w:szCs w:val="22"/>
          <w:u w:val="single"/>
          <w:lang w:val="sr-Latn-ME"/>
        </w:rPr>
      </w:pPr>
      <w:r w:rsidRPr="00E46F90">
        <w:rPr>
          <w:bCs/>
          <w:sz w:val="22"/>
          <w:szCs w:val="22"/>
          <w:u w:val="single"/>
          <w:lang w:val="sr-Latn-ME"/>
        </w:rPr>
        <w:t>Način primjene</w:t>
      </w:r>
    </w:p>
    <w:p w:rsidR="00E46F90" w:rsidRPr="00E46F90" w:rsidRDefault="00E46F90" w:rsidP="00E46F90">
      <w:pPr>
        <w:tabs>
          <w:tab w:val="left" w:pos="540"/>
          <w:tab w:val="left" w:pos="569"/>
        </w:tabs>
        <w:jc w:val="both"/>
        <w:rPr>
          <w:bCs/>
          <w:sz w:val="22"/>
          <w:szCs w:val="22"/>
          <w:u w:val="single"/>
          <w:lang w:val="sr-Latn-ME"/>
        </w:rPr>
      </w:pPr>
    </w:p>
    <w:p w:rsidR="00452E9D" w:rsidRPr="00E46F90" w:rsidRDefault="00AA3193" w:rsidP="00E46F90">
      <w:pPr>
        <w:tabs>
          <w:tab w:val="left" w:pos="540"/>
          <w:tab w:val="left" w:pos="569"/>
        </w:tabs>
        <w:jc w:val="both"/>
        <w:rPr>
          <w:bCs/>
          <w:sz w:val="22"/>
          <w:szCs w:val="22"/>
          <w:lang w:val="sr-Latn-ME"/>
        </w:rPr>
      </w:pPr>
      <w:r w:rsidRPr="00E46F90">
        <w:rPr>
          <w:bCs/>
          <w:sz w:val="22"/>
          <w:szCs w:val="22"/>
          <w:lang w:val="sr-Latn-ME"/>
        </w:rPr>
        <w:t>Za vaginalnu upotrebu.</w:t>
      </w:r>
    </w:p>
    <w:p w:rsidR="00AA3193" w:rsidRPr="00E46F90" w:rsidRDefault="00AA3193"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4.3. </w:t>
      </w:r>
      <w:r w:rsidR="00480FB1" w:rsidRPr="00E46F90">
        <w:rPr>
          <w:b/>
          <w:bCs/>
          <w:sz w:val="22"/>
          <w:szCs w:val="22"/>
          <w:lang w:val="sr-Latn-ME"/>
        </w:rPr>
        <w:tab/>
      </w:r>
      <w:r w:rsidRPr="00E46F90">
        <w:rPr>
          <w:b/>
          <w:bCs/>
          <w:sz w:val="22"/>
          <w:szCs w:val="22"/>
          <w:lang w:val="sr-Latn-ME"/>
        </w:rPr>
        <w:t>Kontraindikacije</w:t>
      </w:r>
    </w:p>
    <w:p w:rsidR="0072020E" w:rsidRPr="00E46F90" w:rsidRDefault="0072020E"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Preosjetljivost na aktivnu supstancu ili na bilo koju od pomoćnih supstanci navedenih u odjeljku 6.1.</w:t>
      </w: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Ulcerativni procesi na vaginalnom epitelu i grliću.</w:t>
      </w: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Lijek Fluomizin ne smiju da primjenjuju devojčice koje nijesu dobile prvu menstruaciju i nijesu postigle polnu zrelost</w:t>
      </w:r>
      <w:r w:rsidR="00095B31" w:rsidRPr="00E46F90">
        <w:rPr>
          <w:bCs/>
          <w:sz w:val="22"/>
          <w:szCs w:val="22"/>
          <w:lang w:val="sr-Latn-ME"/>
        </w:rPr>
        <w:t>.</w:t>
      </w:r>
    </w:p>
    <w:p w:rsidR="00AA3193" w:rsidRPr="00E46F90" w:rsidRDefault="00AA3193"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 xml:space="preserve">4.4. </w:t>
      </w:r>
      <w:r w:rsidR="00480FB1" w:rsidRPr="00E46F90">
        <w:rPr>
          <w:b/>
          <w:bCs/>
          <w:sz w:val="22"/>
          <w:szCs w:val="22"/>
          <w:lang w:val="sr-Latn-ME"/>
        </w:rPr>
        <w:tab/>
      </w:r>
      <w:r w:rsidRPr="00E46F90">
        <w:rPr>
          <w:b/>
          <w:bCs/>
          <w:sz w:val="22"/>
          <w:szCs w:val="22"/>
          <w:lang w:val="sr-Latn-ME"/>
        </w:rPr>
        <w:t>Posebna upozorenja i mjere opreza pri upotrebi lijeka</w:t>
      </w:r>
    </w:p>
    <w:p w:rsidR="0072020E" w:rsidRPr="00E46F90" w:rsidRDefault="0072020E"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Kako bi se smanjila izloženost novorođenčeta dekvalinijumu, vaginalne tablete ne treba primjenjivati 12 sati prije porođaja.</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 xml:space="preserve">Nema dostupnih podataka o efikasnosti i bezbjednosti ponovnog liječenja pacijentkinja koje nijesu reagovale na inicijalnu terapiju ili su imale ponovnu pojavu bolesti odmah nakon inicijalne terapije lijekom Fluomizin. Pacijentkinje treba savjetovati da se obrate svom ljekaru ako se do kraja liječenja simptomi ne povuku ili u slučaju ponovne pojave simptoma. </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Primjena veće dnevne doze ili produženje preporučenog trajanja terapije može povećati rizik od vaginalnih ulceracija.</w:t>
      </w:r>
    </w:p>
    <w:p w:rsidR="00AA3193" w:rsidRPr="00E46F90" w:rsidRDefault="00AA3193" w:rsidP="00E46F90">
      <w:pPr>
        <w:tabs>
          <w:tab w:val="left" w:pos="540"/>
          <w:tab w:val="left" w:pos="569"/>
        </w:tabs>
        <w:jc w:val="both"/>
        <w:rPr>
          <w:bCs/>
          <w:sz w:val="22"/>
          <w:szCs w:val="22"/>
          <w:lang w:val="sr-Latn-ME"/>
        </w:rPr>
      </w:pPr>
    </w:p>
    <w:p w:rsidR="00AA3193" w:rsidRPr="00E46F90" w:rsidRDefault="00AA3193" w:rsidP="00E46F90">
      <w:pPr>
        <w:tabs>
          <w:tab w:val="left" w:pos="540"/>
          <w:tab w:val="left" w:pos="569"/>
        </w:tabs>
        <w:jc w:val="both"/>
        <w:rPr>
          <w:bCs/>
          <w:sz w:val="22"/>
          <w:szCs w:val="22"/>
          <w:lang w:val="sr-Latn-ME"/>
        </w:rPr>
      </w:pPr>
      <w:r w:rsidRPr="00E46F90">
        <w:rPr>
          <w:bCs/>
          <w:sz w:val="22"/>
          <w:szCs w:val="22"/>
          <w:lang w:val="sr-Latn-ME"/>
        </w:rPr>
        <w:t>Nema dostupnih podataka o efikasnosti i bezbjednosti liječenja bakterijske vaginoze kod žena mlađih od 18 godina i starijih od 55 godina.</w:t>
      </w:r>
    </w:p>
    <w:p w:rsidR="00057E35" w:rsidRPr="00E46F90" w:rsidRDefault="00057E35" w:rsidP="00E46F90">
      <w:pPr>
        <w:tabs>
          <w:tab w:val="left" w:pos="540"/>
          <w:tab w:val="left" w:pos="569"/>
        </w:tabs>
        <w:jc w:val="both"/>
        <w:rPr>
          <w:bCs/>
          <w:sz w:val="22"/>
          <w:szCs w:val="22"/>
          <w:lang w:val="sr-Latn-ME"/>
        </w:rPr>
      </w:pPr>
    </w:p>
    <w:p w:rsidR="00411B4B" w:rsidRPr="00E46F90" w:rsidRDefault="00411B4B" w:rsidP="00E46F90">
      <w:pPr>
        <w:tabs>
          <w:tab w:val="left" w:pos="540"/>
          <w:tab w:val="left" w:pos="569"/>
        </w:tabs>
        <w:jc w:val="both"/>
        <w:rPr>
          <w:b/>
          <w:bCs/>
          <w:sz w:val="22"/>
          <w:szCs w:val="22"/>
          <w:lang w:val="sr-Latn-ME"/>
        </w:rPr>
      </w:pPr>
      <w:r w:rsidRPr="00E46F90">
        <w:rPr>
          <w:b/>
          <w:bCs/>
          <w:sz w:val="22"/>
          <w:szCs w:val="22"/>
          <w:lang w:val="sr-Latn-ME"/>
        </w:rPr>
        <w:t>4.5.</w:t>
      </w:r>
      <w:r w:rsidR="000D60CC" w:rsidRPr="00E46F90">
        <w:rPr>
          <w:b/>
          <w:bCs/>
          <w:sz w:val="22"/>
          <w:szCs w:val="22"/>
          <w:lang w:val="sr-Latn-ME"/>
        </w:rPr>
        <w:tab/>
      </w:r>
      <w:r w:rsidRPr="00E46F90">
        <w:rPr>
          <w:b/>
          <w:bCs/>
          <w:sz w:val="22"/>
          <w:szCs w:val="22"/>
          <w:lang w:val="sr-Latn-ME"/>
        </w:rPr>
        <w:t>Interakcije sa drugim ljekovima i druge vrste interakcija</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Anjonske supstance kao što su sapuni, deterdženti i surfaktanti mogu smanjiti antimikrobnu aktivnost dekvalinijuma. Stoga se ne preporučuje istovremena intravaginalna primjena sapuna, spermicida ili vaginalnih kupki (vaginalnih ispiranja).</w:t>
      </w:r>
    </w:p>
    <w:p w:rsidR="00400CF2" w:rsidRPr="00E46F90" w:rsidRDefault="00400CF2"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Fluomizin, 10 mg, vaginalne tablete ne umanjuju funkcionalnost prezervativa od lateksa. Nema podataka o interakciji sa prezervativima koji nijesu od lateksa i drugim intravaginalnim sredstvima kao što su dijafragme. Stoga se ne preporučuje istovremena primjena prezervativa koji nijesu od lateksa i drugih intravaginalnih sredstava najmanje 12 sati nakon liječenja.</w:t>
      </w:r>
    </w:p>
    <w:p w:rsidR="00AA3193" w:rsidRPr="00E46F90" w:rsidRDefault="00AA3193"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sz w:val="22"/>
          <w:szCs w:val="22"/>
          <w:lang w:val="sr-Latn-ME"/>
        </w:rPr>
      </w:pPr>
      <w:r w:rsidRPr="00E46F90">
        <w:rPr>
          <w:b/>
          <w:bCs/>
          <w:sz w:val="22"/>
          <w:szCs w:val="22"/>
          <w:lang w:val="sr-Latn-ME"/>
        </w:rPr>
        <w:t xml:space="preserve">4.6. </w:t>
      </w:r>
      <w:r w:rsidR="00480FB1" w:rsidRPr="00E46F90">
        <w:rPr>
          <w:b/>
          <w:bCs/>
          <w:sz w:val="22"/>
          <w:szCs w:val="22"/>
          <w:lang w:val="sr-Latn-ME"/>
        </w:rPr>
        <w:tab/>
      </w:r>
      <w:r w:rsidR="006D20A5" w:rsidRPr="00E46F90">
        <w:rPr>
          <w:b/>
          <w:sz w:val="22"/>
          <w:szCs w:val="22"/>
          <w:lang w:val="sr-Latn-ME"/>
        </w:rPr>
        <w:t>Plodnost, trudnoća i dojenje</w:t>
      </w:r>
    </w:p>
    <w:p w:rsidR="002031B3" w:rsidRPr="00E46F90" w:rsidRDefault="002031B3" w:rsidP="00E46F90">
      <w:pPr>
        <w:tabs>
          <w:tab w:val="left" w:pos="540"/>
          <w:tab w:val="left" w:pos="569"/>
        </w:tabs>
        <w:jc w:val="both"/>
        <w:rPr>
          <w:sz w:val="22"/>
          <w:szCs w:val="22"/>
          <w:u w:val="single"/>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Trudnoća</w:t>
      </w:r>
    </w:p>
    <w:p w:rsidR="00400CF2" w:rsidRPr="00E46F90" w:rsidRDefault="00400CF2" w:rsidP="00E46F90">
      <w:pPr>
        <w:tabs>
          <w:tab w:val="left" w:pos="284"/>
        </w:tabs>
        <w:jc w:val="both"/>
        <w:rPr>
          <w:sz w:val="22"/>
          <w:szCs w:val="22"/>
          <w:lang w:val="sr-Latn-ME"/>
        </w:rPr>
      </w:pPr>
      <w:r w:rsidRPr="00E46F90">
        <w:rPr>
          <w:sz w:val="22"/>
          <w:szCs w:val="22"/>
          <w:lang w:val="sr-Latn-ME"/>
        </w:rPr>
        <w:t>Ograničeni podaci iz četiri kliničke studije u kojima je učestvovalo 181 trudnica, nijesu zabilježena neželjena dejstva na trudnoću ili fetus/novorođenče. Studije reproduktivne toksičnosti na životinjama nijesu sprovedene zbog očekivane niske sistemske izloženosti dekvalinijumu nakon vaginalne primjene.</w:t>
      </w:r>
    </w:p>
    <w:p w:rsidR="00400CF2" w:rsidRPr="00E46F90" w:rsidRDefault="00400CF2" w:rsidP="00E46F90">
      <w:pPr>
        <w:tabs>
          <w:tab w:val="left" w:pos="284"/>
        </w:tabs>
        <w:jc w:val="both"/>
        <w:rPr>
          <w:sz w:val="22"/>
          <w:szCs w:val="22"/>
          <w:lang w:val="sr-Latn-ME"/>
        </w:rPr>
      </w:pPr>
      <w:r w:rsidRPr="00E46F90">
        <w:rPr>
          <w:sz w:val="22"/>
          <w:szCs w:val="22"/>
          <w:lang w:val="sr-Latn-ME"/>
        </w:rPr>
        <w:lastRenderedPageBreak/>
        <w:t>Lijek Fluomizin treba primjenjivati tokom trudnoće samo ukoliko je od kliničkog značaja.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Dojenje</w:t>
      </w:r>
    </w:p>
    <w:p w:rsidR="00400CF2" w:rsidRPr="00E46F90" w:rsidRDefault="00400CF2" w:rsidP="00E46F90">
      <w:pPr>
        <w:tabs>
          <w:tab w:val="left" w:pos="284"/>
        </w:tabs>
        <w:jc w:val="both"/>
        <w:rPr>
          <w:sz w:val="22"/>
          <w:szCs w:val="22"/>
          <w:lang w:val="sr-Latn-ME"/>
        </w:rPr>
      </w:pPr>
      <w:r w:rsidRPr="00E46F90">
        <w:rPr>
          <w:sz w:val="22"/>
          <w:szCs w:val="22"/>
          <w:lang w:val="sr-Latn-ME"/>
        </w:rPr>
        <w:t>Sistemska izloženost dojilja lijeku Fluomizin je zanemarljiva. Stoga se ne očekuju štetni uticaji na novorođenče/odojče.</w:t>
      </w:r>
    </w:p>
    <w:p w:rsidR="00400CF2" w:rsidRPr="00E46F90" w:rsidRDefault="00400CF2" w:rsidP="00E46F90">
      <w:pPr>
        <w:tabs>
          <w:tab w:val="left" w:pos="284"/>
        </w:tabs>
        <w:jc w:val="both"/>
        <w:rPr>
          <w:sz w:val="22"/>
          <w:szCs w:val="22"/>
          <w:lang w:val="sr-Latn-ME"/>
        </w:rPr>
      </w:pPr>
      <w:r w:rsidRPr="00E46F90">
        <w:rPr>
          <w:sz w:val="22"/>
          <w:szCs w:val="22"/>
          <w:lang w:val="sr-Latn-ME"/>
        </w:rPr>
        <w:t>Lijek Fluomizin se može primjenjivati tokom dojenja ukoliko je od kliničkog značaja.</w:t>
      </w:r>
    </w:p>
    <w:p w:rsidR="00400CF2" w:rsidRPr="00E46F90" w:rsidRDefault="00400CF2" w:rsidP="00E46F90">
      <w:pPr>
        <w:tabs>
          <w:tab w:val="left" w:pos="284"/>
        </w:tabs>
        <w:jc w:val="both"/>
        <w:rPr>
          <w:sz w:val="22"/>
          <w:szCs w:val="22"/>
          <w:lang w:val="sr-Latn-ME"/>
        </w:rPr>
      </w:pPr>
      <w:r w:rsidRPr="00E46F90">
        <w:rPr>
          <w:sz w:val="22"/>
          <w:szCs w:val="22"/>
          <w:lang w:val="sr-Latn-ME"/>
        </w:rPr>
        <w:t>Kako bi se smanjila izloženost novorođenčeta dekvalinijumu, vaginalne tablete ne treba primjenjivati 12 sati prije porođaja.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Plodnost</w:t>
      </w:r>
    </w:p>
    <w:p w:rsidR="00400CF2" w:rsidRPr="00E46F90" w:rsidRDefault="00400CF2" w:rsidP="00E46F90">
      <w:pPr>
        <w:tabs>
          <w:tab w:val="left" w:pos="284"/>
        </w:tabs>
        <w:jc w:val="both"/>
        <w:rPr>
          <w:sz w:val="22"/>
          <w:szCs w:val="22"/>
          <w:lang w:val="sr-Latn-ME"/>
        </w:rPr>
      </w:pPr>
      <w:r w:rsidRPr="00E46F90">
        <w:rPr>
          <w:sz w:val="22"/>
          <w:szCs w:val="22"/>
          <w:lang w:val="sr-Latn-ME"/>
        </w:rPr>
        <w:t>Nijesu sprovedena ispitivanja na životinjama o uticaju na plodnost.</w:t>
      </w:r>
    </w:p>
    <w:p w:rsidR="00227BDB" w:rsidRPr="00E46F90" w:rsidRDefault="00227BDB" w:rsidP="00E46F90">
      <w:pPr>
        <w:tabs>
          <w:tab w:val="left" w:pos="540"/>
          <w:tab w:val="left" w:pos="569"/>
        </w:tabs>
        <w:ind w:left="540" w:hanging="540"/>
        <w:jc w:val="both"/>
        <w:rPr>
          <w:b/>
          <w:bCs/>
          <w:sz w:val="22"/>
          <w:szCs w:val="22"/>
          <w:lang w:val="sr-Latn-ME"/>
        </w:rPr>
      </w:pPr>
    </w:p>
    <w:p w:rsidR="0072020E" w:rsidRPr="00E46F90" w:rsidRDefault="0072020E" w:rsidP="00E46F90">
      <w:pPr>
        <w:tabs>
          <w:tab w:val="left" w:pos="540"/>
          <w:tab w:val="left" w:pos="569"/>
        </w:tabs>
        <w:ind w:left="540" w:hanging="540"/>
        <w:jc w:val="both"/>
        <w:rPr>
          <w:b/>
          <w:bCs/>
          <w:sz w:val="22"/>
          <w:szCs w:val="22"/>
          <w:lang w:val="sr-Latn-ME"/>
        </w:rPr>
      </w:pPr>
      <w:r w:rsidRPr="00E46F90">
        <w:rPr>
          <w:b/>
          <w:bCs/>
          <w:sz w:val="22"/>
          <w:szCs w:val="22"/>
          <w:lang w:val="sr-Latn-ME"/>
        </w:rPr>
        <w:t xml:space="preserve">4.7. </w:t>
      </w:r>
      <w:r w:rsidR="00480FB1" w:rsidRPr="00E46F90">
        <w:rPr>
          <w:b/>
          <w:bCs/>
          <w:sz w:val="22"/>
          <w:szCs w:val="22"/>
          <w:lang w:val="sr-Latn-ME"/>
        </w:rPr>
        <w:tab/>
      </w:r>
      <w:r w:rsidRPr="00E46F90">
        <w:rPr>
          <w:b/>
          <w:bCs/>
          <w:sz w:val="22"/>
          <w:szCs w:val="22"/>
          <w:lang w:val="sr-Latn-ME"/>
        </w:rPr>
        <w:t xml:space="preserve">Uticaj na </w:t>
      </w:r>
      <w:r w:rsidR="002031B3" w:rsidRPr="00E46F90">
        <w:rPr>
          <w:b/>
          <w:bCs/>
          <w:sz w:val="22"/>
          <w:szCs w:val="22"/>
          <w:lang w:val="sr-Latn-ME"/>
        </w:rPr>
        <w:t xml:space="preserve">sposobnost </w:t>
      </w:r>
      <w:r w:rsidR="00F34554" w:rsidRPr="00E46F90">
        <w:rPr>
          <w:b/>
          <w:bCs/>
          <w:sz w:val="22"/>
          <w:szCs w:val="22"/>
          <w:lang w:val="sr-Latn-ME"/>
        </w:rPr>
        <w:t>upravljanja vozili</w:t>
      </w:r>
      <w:r w:rsidRPr="00E46F90">
        <w:rPr>
          <w:b/>
          <w:bCs/>
          <w:sz w:val="22"/>
          <w:szCs w:val="22"/>
          <w:lang w:val="sr-Latn-ME"/>
        </w:rPr>
        <w:t>m</w:t>
      </w:r>
      <w:r w:rsidR="00F34554" w:rsidRPr="00E46F90">
        <w:rPr>
          <w:b/>
          <w:bCs/>
          <w:sz w:val="22"/>
          <w:szCs w:val="22"/>
          <w:lang w:val="sr-Latn-ME"/>
        </w:rPr>
        <w:t>a</w:t>
      </w:r>
      <w:r w:rsidRPr="00E46F90">
        <w:rPr>
          <w:b/>
          <w:bCs/>
          <w:sz w:val="22"/>
          <w:szCs w:val="22"/>
          <w:lang w:val="sr-Latn-ME"/>
        </w:rPr>
        <w:t xml:space="preserve"> i </w:t>
      </w:r>
      <w:r w:rsidR="000D3449" w:rsidRPr="00E46F90">
        <w:rPr>
          <w:b/>
          <w:bCs/>
          <w:sz w:val="22"/>
          <w:szCs w:val="22"/>
          <w:lang w:val="sr-Latn-ME"/>
        </w:rPr>
        <w:t xml:space="preserve">rukovanje </w:t>
      </w:r>
      <w:r w:rsidRPr="00E46F90">
        <w:rPr>
          <w:b/>
          <w:bCs/>
          <w:sz w:val="22"/>
          <w:szCs w:val="22"/>
          <w:lang w:val="sr-Latn-ME"/>
        </w:rPr>
        <w:t>mašinama</w:t>
      </w:r>
    </w:p>
    <w:p w:rsidR="0072020E" w:rsidRPr="00E46F90" w:rsidRDefault="0072020E" w:rsidP="00E46F90">
      <w:pPr>
        <w:tabs>
          <w:tab w:val="left" w:pos="540"/>
          <w:tab w:val="left" w:pos="569"/>
        </w:tabs>
        <w:jc w:val="both"/>
        <w:rPr>
          <w:b/>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Nijesu sprovedene studije o uticaju lijeka na sposobnost upravljanja vozilima i rukovanja mašinama.</w:t>
      </w:r>
    </w:p>
    <w:p w:rsidR="00400CF2" w:rsidRPr="00E46F90" w:rsidRDefault="00400CF2" w:rsidP="00E46F90">
      <w:pPr>
        <w:tabs>
          <w:tab w:val="left" w:pos="540"/>
          <w:tab w:val="left" w:pos="569"/>
        </w:tabs>
        <w:jc w:val="both"/>
        <w:rPr>
          <w:b/>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4.8. </w:t>
      </w:r>
      <w:r w:rsidR="00480FB1" w:rsidRPr="00E46F90">
        <w:rPr>
          <w:b/>
          <w:bCs/>
          <w:sz w:val="22"/>
          <w:szCs w:val="22"/>
          <w:lang w:val="sr-Latn-ME"/>
        </w:rPr>
        <w:tab/>
      </w:r>
      <w:r w:rsidRPr="00E46F90">
        <w:rPr>
          <w:b/>
          <w:bCs/>
          <w:sz w:val="22"/>
          <w:szCs w:val="22"/>
          <w:lang w:val="sr-Latn-ME"/>
        </w:rPr>
        <w:t>Neželjena dejstva</w:t>
      </w:r>
    </w:p>
    <w:p w:rsidR="00400CF2" w:rsidRPr="00E46F90" w:rsidRDefault="00400CF2" w:rsidP="00E46F90">
      <w:pPr>
        <w:tabs>
          <w:tab w:val="left" w:pos="540"/>
          <w:tab w:val="left" w:pos="569"/>
        </w:tabs>
        <w:jc w:val="both"/>
        <w:rPr>
          <w:b/>
          <w:bCs/>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U kliničkim studijama, prijavljena su sljedeća neželjena dejstva koja su moguće ili vjerovatno povezana sa dekvalinijumom.</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U okviru svake grupe učestalosti, neželjena dejstva su navedena od najozbiljni</w:t>
      </w:r>
      <w:r w:rsidR="00C90DEF" w:rsidRPr="00E46F90">
        <w:rPr>
          <w:sz w:val="22"/>
          <w:szCs w:val="22"/>
          <w:lang w:val="sr-Latn-ME"/>
        </w:rPr>
        <w:t>jih</w:t>
      </w:r>
      <w:r w:rsidRPr="00E46F90">
        <w:rPr>
          <w:sz w:val="22"/>
          <w:szCs w:val="22"/>
          <w:lang w:val="sr-Latn-ME"/>
        </w:rPr>
        <w:t xml:space="preserve"> do najblažih.</w:t>
      </w:r>
    </w:p>
    <w:p w:rsidR="00400CF2" w:rsidRPr="00E46F90" w:rsidRDefault="00400CF2" w:rsidP="00E46F90">
      <w:pPr>
        <w:tabs>
          <w:tab w:val="left" w:pos="540"/>
          <w:tab w:val="left" w:pos="569"/>
        </w:tabs>
        <w:jc w:val="both"/>
        <w:rPr>
          <w:b/>
          <w:bCs/>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2552"/>
        <w:gridCol w:w="2409"/>
        <w:gridCol w:w="2410"/>
      </w:tblGrid>
      <w:tr w:rsidR="00400CF2" w:rsidRPr="00E46F90" w:rsidTr="0034281E">
        <w:trPr>
          <w:trHeight w:val="353"/>
        </w:trPr>
        <w:tc>
          <w:tcPr>
            <w:tcW w:w="1946" w:type="dxa"/>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Klasa sistema organa </w:t>
            </w:r>
          </w:p>
        </w:tc>
        <w:tc>
          <w:tcPr>
            <w:tcW w:w="2552" w:type="dxa"/>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Često </w:t>
            </w:r>
          </w:p>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(≥1/100 do &lt;1/10) </w:t>
            </w:r>
          </w:p>
        </w:tc>
        <w:tc>
          <w:tcPr>
            <w:tcW w:w="2409" w:type="dxa"/>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Povremeno</w:t>
            </w:r>
          </w:p>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(≥1/1000 do &lt;1/100) </w:t>
            </w:r>
          </w:p>
        </w:tc>
        <w:tc>
          <w:tcPr>
            <w:tcW w:w="2410" w:type="dxa"/>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Nepoznato (ne može se procijeniti na osnovu dostupnih podataka) </w:t>
            </w:r>
            <w:r w:rsidRPr="00E46F90">
              <w:rPr>
                <w:color w:val="000000"/>
                <w:sz w:val="22"/>
                <w:szCs w:val="22"/>
                <w:vertAlign w:val="superscript"/>
                <w:lang w:val="sr-Latn-ME"/>
              </w:rPr>
              <w:t>1)</w:t>
            </w:r>
          </w:p>
        </w:tc>
      </w:tr>
      <w:tr w:rsidR="00400CF2" w:rsidRPr="00E46F90" w:rsidTr="0034281E">
        <w:trPr>
          <w:trHeight w:val="100"/>
        </w:trPr>
        <w:tc>
          <w:tcPr>
            <w:tcW w:w="9317" w:type="dxa"/>
            <w:gridSpan w:val="4"/>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Infekcije i infestacije</w:t>
            </w:r>
          </w:p>
        </w:tc>
      </w:tr>
      <w:tr w:rsidR="00400CF2" w:rsidRPr="00E46F90" w:rsidTr="0034281E">
        <w:trPr>
          <w:trHeight w:val="100"/>
        </w:trPr>
        <w:tc>
          <w:tcPr>
            <w:tcW w:w="1946" w:type="dxa"/>
          </w:tcPr>
          <w:p w:rsidR="00400CF2" w:rsidRPr="00E46F90" w:rsidRDefault="00400CF2" w:rsidP="00E46F90">
            <w:pPr>
              <w:tabs>
                <w:tab w:val="left" w:pos="284"/>
              </w:tabs>
              <w:autoSpaceDE w:val="0"/>
              <w:autoSpaceDN w:val="0"/>
              <w:adjustRightInd w:val="0"/>
              <w:jc w:val="both"/>
              <w:rPr>
                <w:sz w:val="22"/>
                <w:szCs w:val="22"/>
                <w:lang w:val="sr-Latn-ME"/>
              </w:rPr>
            </w:pPr>
          </w:p>
        </w:tc>
        <w:tc>
          <w:tcPr>
            <w:tcW w:w="2552"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vaginalna kandidijaza</w:t>
            </w:r>
          </w:p>
        </w:tc>
        <w:tc>
          <w:tcPr>
            <w:tcW w:w="2409"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bakterijski vaginitis,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gljivična infekcija kože,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vulvitis,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vulvovaginitis </w:t>
            </w:r>
          </w:p>
        </w:tc>
        <w:tc>
          <w:tcPr>
            <w:tcW w:w="2410"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cistitis </w:t>
            </w:r>
          </w:p>
          <w:p w:rsidR="00400CF2" w:rsidRPr="00E46F90" w:rsidRDefault="00400CF2" w:rsidP="00E46F90">
            <w:pPr>
              <w:tabs>
                <w:tab w:val="left" w:pos="284"/>
              </w:tabs>
              <w:autoSpaceDE w:val="0"/>
              <w:autoSpaceDN w:val="0"/>
              <w:adjustRightInd w:val="0"/>
              <w:jc w:val="both"/>
              <w:rPr>
                <w:color w:val="000000"/>
                <w:sz w:val="22"/>
                <w:szCs w:val="22"/>
                <w:lang w:val="sr-Latn-ME"/>
              </w:rPr>
            </w:pPr>
          </w:p>
        </w:tc>
      </w:tr>
      <w:tr w:rsidR="00400CF2" w:rsidRPr="00E46F90" w:rsidTr="0034281E">
        <w:trPr>
          <w:trHeight w:val="100"/>
        </w:trPr>
        <w:tc>
          <w:tcPr>
            <w:tcW w:w="9317" w:type="dxa"/>
            <w:gridSpan w:val="4"/>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Poremećaji nervnog sistema</w:t>
            </w:r>
          </w:p>
        </w:tc>
      </w:tr>
      <w:tr w:rsidR="00400CF2" w:rsidRPr="00E46F90" w:rsidTr="0034281E">
        <w:trPr>
          <w:trHeight w:val="100"/>
        </w:trPr>
        <w:tc>
          <w:tcPr>
            <w:tcW w:w="1946"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c>
          <w:tcPr>
            <w:tcW w:w="2552"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c>
          <w:tcPr>
            <w:tcW w:w="2409"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glavobolja</w:t>
            </w:r>
          </w:p>
        </w:tc>
        <w:tc>
          <w:tcPr>
            <w:tcW w:w="2410"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r>
      <w:tr w:rsidR="00400CF2" w:rsidRPr="00E46F90" w:rsidTr="0034281E">
        <w:trPr>
          <w:trHeight w:val="100"/>
        </w:trPr>
        <w:tc>
          <w:tcPr>
            <w:tcW w:w="9317" w:type="dxa"/>
            <w:gridSpan w:val="4"/>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Gastrointestinalni poremećaji</w:t>
            </w:r>
          </w:p>
        </w:tc>
      </w:tr>
      <w:tr w:rsidR="00400CF2" w:rsidRPr="00E46F90" w:rsidTr="0034281E">
        <w:trPr>
          <w:trHeight w:val="756"/>
        </w:trPr>
        <w:tc>
          <w:tcPr>
            <w:tcW w:w="1946" w:type="dxa"/>
          </w:tcPr>
          <w:p w:rsidR="00400CF2" w:rsidRPr="00E46F90" w:rsidRDefault="00400CF2" w:rsidP="00E46F90">
            <w:pPr>
              <w:tabs>
                <w:tab w:val="left" w:pos="284"/>
              </w:tabs>
              <w:autoSpaceDE w:val="0"/>
              <w:autoSpaceDN w:val="0"/>
              <w:adjustRightInd w:val="0"/>
              <w:jc w:val="both"/>
              <w:rPr>
                <w:sz w:val="22"/>
                <w:szCs w:val="22"/>
                <w:lang w:val="sr-Latn-ME"/>
              </w:rPr>
            </w:pPr>
          </w:p>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 </w:t>
            </w:r>
          </w:p>
        </w:tc>
        <w:tc>
          <w:tcPr>
            <w:tcW w:w="2552"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c>
          <w:tcPr>
            <w:tcW w:w="2409"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mučnina</w:t>
            </w:r>
          </w:p>
        </w:tc>
        <w:tc>
          <w:tcPr>
            <w:tcW w:w="2410"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r>
      <w:tr w:rsidR="00400CF2" w:rsidRPr="00E46F90" w:rsidTr="0034281E">
        <w:trPr>
          <w:trHeight w:val="100"/>
        </w:trPr>
        <w:tc>
          <w:tcPr>
            <w:tcW w:w="9317" w:type="dxa"/>
            <w:gridSpan w:val="4"/>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Poremećaji reproduktivnog sistema i dojki </w:t>
            </w:r>
          </w:p>
        </w:tc>
      </w:tr>
      <w:tr w:rsidR="00400CF2" w:rsidRPr="00E46F90" w:rsidTr="0034281E">
        <w:trPr>
          <w:trHeight w:val="756"/>
        </w:trPr>
        <w:tc>
          <w:tcPr>
            <w:tcW w:w="1946" w:type="dxa"/>
          </w:tcPr>
          <w:p w:rsidR="00400CF2" w:rsidRPr="00E46F90" w:rsidRDefault="00400CF2" w:rsidP="00E46F90">
            <w:pPr>
              <w:tabs>
                <w:tab w:val="left" w:pos="284"/>
              </w:tabs>
              <w:autoSpaceDE w:val="0"/>
              <w:autoSpaceDN w:val="0"/>
              <w:adjustRightInd w:val="0"/>
              <w:jc w:val="both"/>
              <w:rPr>
                <w:sz w:val="22"/>
                <w:szCs w:val="22"/>
                <w:lang w:val="sr-Latn-ME"/>
              </w:rPr>
            </w:pPr>
          </w:p>
        </w:tc>
        <w:tc>
          <w:tcPr>
            <w:tcW w:w="2552" w:type="dxa"/>
          </w:tcPr>
          <w:p w:rsidR="00400CF2" w:rsidRPr="00E46F90" w:rsidRDefault="00400CF2" w:rsidP="00E46F90">
            <w:pPr>
              <w:numPr>
                <w:ilvl w:val="0"/>
                <w:numId w:val="14"/>
              </w:numPr>
              <w:tabs>
                <w:tab w:val="left" w:pos="284"/>
              </w:tabs>
              <w:autoSpaceDE w:val="0"/>
              <w:autoSpaceDN w:val="0"/>
              <w:adjustRightInd w:val="0"/>
              <w:contextualSpacing/>
              <w:jc w:val="both"/>
              <w:rPr>
                <w:color w:val="000000"/>
                <w:sz w:val="22"/>
                <w:szCs w:val="22"/>
                <w:lang w:val="sr-Latn-ME"/>
              </w:rPr>
            </w:pPr>
            <w:r w:rsidRPr="00E46F90">
              <w:rPr>
                <w:color w:val="000000"/>
                <w:sz w:val="22"/>
                <w:szCs w:val="22"/>
                <w:lang w:val="sr-Latn-ME"/>
              </w:rPr>
              <w:t xml:space="preserve">vaginalni iscjedak, </w:t>
            </w:r>
          </w:p>
          <w:p w:rsidR="00400CF2" w:rsidRPr="00E46F90" w:rsidRDefault="00400CF2" w:rsidP="00E46F90">
            <w:pPr>
              <w:numPr>
                <w:ilvl w:val="0"/>
                <w:numId w:val="14"/>
              </w:numPr>
              <w:tabs>
                <w:tab w:val="left" w:pos="284"/>
              </w:tabs>
              <w:autoSpaceDE w:val="0"/>
              <w:autoSpaceDN w:val="0"/>
              <w:adjustRightInd w:val="0"/>
              <w:contextualSpacing/>
              <w:jc w:val="both"/>
              <w:rPr>
                <w:color w:val="000000"/>
                <w:sz w:val="22"/>
                <w:szCs w:val="22"/>
                <w:lang w:val="sr-Latn-ME"/>
              </w:rPr>
            </w:pPr>
            <w:r w:rsidRPr="00E46F90">
              <w:rPr>
                <w:color w:val="000000"/>
                <w:sz w:val="22"/>
                <w:szCs w:val="22"/>
                <w:lang w:val="sr-Latn-ME"/>
              </w:rPr>
              <w:t>vulvovaginalni pruritus,</w:t>
            </w:r>
          </w:p>
          <w:p w:rsidR="00400CF2" w:rsidRPr="00E46F90" w:rsidRDefault="00400CF2" w:rsidP="00E46F90">
            <w:pPr>
              <w:pStyle w:val="ListParagraph"/>
              <w:numPr>
                <w:ilvl w:val="0"/>
                <w:numId w:val="14"/>
              </w:numPr>
              <w:tabs>
                <w:tab w:val="left" w:pos="284"/>
              </w:tabs>
              <w:autoSpaceDE w:val="0"/>
              <w:autoSpaceDN w:val="0"/>
              <w:adjustRightInd w:val="0"/>
              <w:jc w:val="both"/>
              <w:rPr>
                <w:color w:val="000000"/>
                <w:sz w:val="22"/>
                <w:szCs w:val="22"/>
                <w:lang w:val="sr-Latn-ME"/>
              </w:rPr>
            </w:pPr>
            <w:r w:rsidRPr="00E46F90">
              <w:rPr>
                <w:color w:val="000000"/>
                <w:sz w:val="22"/>
                <w:szCs w:val="22"/>
                <w:lang w:val="sr-Latn-ME"/>
              </w:rPr>
              <w:t xml:space="preserve">vulvovaginalni osjećaj peckanja </w:t>
            </w:r>
          </w:p>
        </w:tc>
        <w:tc>
          <w:tcPr>
            <w:tcW w:w="2409"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vaginalno krvarenje,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bol u vagini </w:t>
            </w:r>
          </w:p>
          <w:p w:rsidR="00400CF2" w:rsidRPr="00E46F90" w:rsidRDefault="00400CF2" w:rsidP="00E46F90">
            <w:pPr>
              <w:tabs>
                <w:tab w:val="left" w:pos="284"/>
              </w:tabs>
              <w:autoSpaceDE w:val="0"/>
              <w:autoSpaceDN w:val="0"/>
              <w:adjustRightInd w:val="0"/>
              <w:contextualSpacing/>
              <w:jc w:val="both"/>
              <w:rPr>
                <w:color w:val="000000"/>
                <w:sz w:val="22"/>
                <w:szCs w:val="22"/>
                <w:lang w:val="sr-Latn-ME"/>
              </w:rPr>
            </w:pPr>
          </w:p>
        </w:tc>
        <w:tc>
          <w:tcPr>
            <w:tcW w:w="2410"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pojava ulceracija i maceracija vaginalnog epitela,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krvarenje iz materice, </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crvenilo, </w:t>
            </w:r>
          </w:p>
          <w:p w:rsidR="00400CF2" w:rsidRPr="00E46F90" w:rsidRDefault="00400CF2" w:rsidP="00E46F90">
            <w:pPr>
              <w:numPr>
                <w:ilvl w:val="0"/>
                <w:numId w:val="12"/>
              </w:numPr>
              <w:tabs>
                <w:tab w:val="left" w:pos="289"/>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 xml:space="preserve">vaginalna suvoća </w:t>
            </w:r>
          </w:p>
        </w:tc>
      </w:tr>
      <w:tr w:rsidR="00400CF2" w:rsidRPr="00E46F90" w:rsidTr="0034281E">
        <w:trPr>
          <w:trHeight w:val="100"/>
        </w:trPr>
        <w:tc>
          <w:tcPr>
            <w:tcW w:w="9317" w:type="dxa"/>
            <w:gridSpan w:val="4"/>
          </w:tcPr>
          <w:p w:rsidR="00400CF2" w:rsidRPr="00E46F90" w:rsidRDefault="00400CF2" w:rsidP="00E46F90">
            <w:pPr>
              <w:tabs>
                <w:tab w:val="left" w:pos="284"/>
              </w:tabs>
              <w:autoSpaceDE w:val="0"/>
              <w:autoSpaceDN w:val="0"/>
              <w:adjustRightInd w:val="0"/>
              <w:jc w:val="both"/>
              <w:rPr>
                <w:color w:val="000000"/>
                <w:sz w:val="22"/>
                <w:szCs w:val="22"/>
                <w:lang w:val="sr-Latn-ME"/>
              </w:rPr>
            </w:pPr>
            <w:r w:rsidRPr="00E46F90">
              <w:rPr>
                <w:color w:val="000000"/>
                <w:sz w:val="22"/>
                <w:szCs w:val="22"/>
                <w:lang w:val="sr-Latn-ME"/>
              </w:rPr>
              <w:t>Opšti poremećaji i reakcije na mjestu primjene</w:t>
            </w:r>
          </w:p>
        </w:tc>
      </w:tr>
      <w:tr w:rsidR="00400CF2" w:rsidRPr="00E46F90" w:rsidTr="0034281E">
        <w:trPr>
          <w:trHeight w:val="740"/>
        </w:trPr>
        <w:tc>
          <w:tcPr>
            <w:tcW w:w="1946" w:type="dxa"/>
          </w:tcPr>
          <w:p w:rsidR="00400CF2" w:rsidRPr="00E46F90" w:rsidRDefault="00400CF2" w:rsidP="00E46F90">
            <w:pPr>
              <w:tabs>
                <w:tab w:val="left" w:pos="284"/>
              </w:tabs>
              <w:autoSpaceDE w:val="0"/>
              <w:autoSpaceDN w:val="0"/>
              <w:adjustRightInd w:val="0"/>
              <w:jc w:val="both"/>
              <w:rPr>
                <w:sz w:val="22"/>
                <w:szCs w:val="22"/>
                <w:lang w:val="sr-Latn-ME"/>
              </w:rPr>
            </w:pPr>
          </w:p>
        </w:tc>
        <w:tc>
          <w:tcPr>
            <w:tcW w:w="2552"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c>
          <w:tcPr>
            <w:tcW w:w="2409" w:type="dxa"/>
          </w:tcPr>
          <w:p w:rsidR="00400CF2" w:rsidRPr="00E46F90" w:rsidRDefault="00400CF2" w:rsidP="00E46F90">
            <w:pPr>
              <w:tabs>
                <w:tab w:val="left" w:pos="284"/>
              </w:tabs>
              <w:autoSpaceDE w:val="0"/>
              <w:autoSpaceDN w:val="0"/>
              <w:adjustRightInd w:val="0"/>
              <w:jc w:val="both"/>
              <w:rPr>
                <w:color w:val="000000"/>
                <w:sz w:val="22"/>
                <w:szCs w:val="22"/>
                <w:lang w:val="sr-Latn-ME"/>
              </w:rPr>
            </w:pPr>
          </w:p>
        </w:tc>
        <w:tc>
          <w:tcPr>
            <w:tcW w:w="2410" w:type="dxa"/>
          </w:tcPr>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alergijske reakcije sa simptomima kao što su urtikarija, eritem, egzantem, oticanje, svrab ili pruritus,</w:t>
            </w:r>
          </w:p>
          <w:p w:rsidR="00400CF2" w:rsidRPr="00E46F90" w:rsidRDefault="00400CF2" w:rsidP="00E46F90">
            <w:pPr>
              <w:numPr>
                <w:ilvl w:val="0"/>
                <w:numId w:val="12"/>
              </w:numPr>
              <w:tabs>
                <w:tab w:val="left" w:pos="284"/>
              </w:tabs>
              <w:autoSpaceDE w:val="0"/>
              <w:autoSpaceDN w:val="0"/>
              <w:adjustRightInd w:val="0"/>
              <w:ind w:left="236" w:hanging="218"/>
              <w:contextualSpacing/>
              <w:jc w:val="both"/>
              <w:rPr>
                <w:color w:val="000000"/>
                <w:sz w:val="22"/>
                <w:szCs w:val="22"/>
                <w:lang w:val="sr-Latn-ME"/>
              </w:rPr>
            </w:pPr>
            <w:r w:rsidRPr="00E46F90">
              <w:rPr>
                <w:color w:val="000000"/>
                <w:sz w:val="22"/>
                <w:szCs w:val="22"/>
                <w:lang w:val="sr-Latn-ME"/>
              </w:rPr>
              <w:t>groznica</w:t>
            </w:r>
          </w:p>
        </w:tc>
      </w:tr>
    </w:tbl>
    <w:p w:rsidR="00400CF2" w:rsidRPr="00E46F90" w:rsidRDefault="00400CF2" w:rsidP="00E46F90">
      <w:pPr>
        <w:tabs>
          <w:tab w:val="left" w:pos="540"/>
          <w:tab w:val="left" w:pos="569"/>
        </w:tabs>
        <w:jc w:val="both"/>
        <w:rPr>
          <w:b/>
          <w:bCs/>
          <w:sz w:val="22"/>
          <w:szCs w:val="22"/>
          <w:lang w:val="sr-Latn-ME"/>
        </w:rPr>
      </w:pPr>
    </w:p>
    <w:p w:rsidR="00400CF2" w:rsidRPr="00E46F90" w:rsidRDefault="00400CF2" w:rsidP="00E46F90">
      <w:pPr>
        <w:pStyle w:val="ListParagraph"/>
        <w:numPr>
          <w:ilvl w:val="0"/>
          <w:numId w:val="13"/>
        </w:numPr>
        <w:tabs>
          <w:tab w:val="left" w:pos="540"/>
          <w:tab w:val="left" w:pos="569"/>
        </w:tabs>
        <w:jc w:val="both"/>
        <w:rPr>
          <w:bCs/>
          <w:sz w:val="22"/>
          <w:szCs w:val="22"/>
          <w:lang w:val="sr-Latn-ME"/>
        </w:rPr>
      </w:pPr>
      <w:r w:rsidRPr="00E46F90">
        <w:rPr>
          <w:bCs/>
          <w:sz w:val="22"/>
          <w:szCs w:val="22"/>
          <w:lang w:val="sr-Latn-ME"/>
        </w:rPr>
        <w:t>Ova neželjena dejstva su prijavljena za vrijeme postmarketinškog praćenja.</w:t>
      </w:r>
    </w:p>
    <w:p w:rsidR="00400CF2" w:rsidRPr="00E46F90" w:rsidRDefault="00400CF2" w:rsidP="00E46F90">
      <w:pPr>
        <w:pStyle w:val="ListParagraph"/>
        <w:tabs>
          <w:tab w:val="left" w:pos="540"/>
          <w:tab w:val="left" w:pos="569"/>
        </w:tabs>
        <w:ind w:left="900"/>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p>
    <w:p w:rsidR="005A23D2" w:rsidRPr="00E46F90" w:rsidRDefault="005A23D2" w:rsidP="00E46F90">
      <w:pPr>
        <w:spacing w:after="200"/>
        <w:jc w:val="both"/>
        <w:rPr>
          <w:rFonts w:eastAsia="Calibri"/>
          <w:sz w:val="22"/>
          <w:szCs w:val="22"/>
          <w:u w:val="single"/>
          <w:lang w:val="sr-Latn-ME"/>
        </w:rPr>
      </w:pPr>
      <w:r w:rsidRPr="00E46F90">
        <w:rPr>
          <w:rFonts w:eastAsia="Calibri"/>
          <w:sz w:val="22"/>
          <w:szCs w:val="22"/>
          <w:u w:val="single"/>
          <w:lang w:val="sr-Latn-ME"/>
        </w:rPr>
        <w:lastRenderedPageBreak/>
        <w:t>Prijavljivanje sumnji na neželjena dejstva</w:t>
      </w:r>
    </w:p>
    <w:p w:rsidR="005A23D2" w:rsidRPr="00E46F90" w:rsidRDefault="005A23D2" w:rsidP="00E46F90">
      <w:pPr>
        <w:spacing w:after="200"/>
        <w:jc w:val="both"/>
        <w:rPr>
          <w:rFonts w:eastAsia="Calibri"/>
          <w:sz w:val="22"/>
          <w:szCs w:val="22"/>
          <w:lang w:val="sr-Latn-ME"/>
        </w:rPr>
      </w:pPr>
      <w:r w:rsidRPr="00E46F90">
        <w:rPr>
          <w:rFonts w:eastAsia="Calibri"/>
          <w:sz w:val="22"/>
          <w:szCs w:val="22"/>
          <w:lang w:val="sr-Latn-ME"/>
        </w:rPr>
        <w:t>Prijavljivanje neželjenih dejstava nakon dobijanja dozvole je od velikog značaja jer obezbjeđuje kont</w:t>
      </w:r>
      <w:r w:rsidR="00EA5765" w:rsidRPr="00E46F90">
        <w:rPr>
          <w:rFonts w:eastAsia="Calibri"/>
          <w:sz w:val="22"/>
          <w:szCs w:val="22"/>
          <w:lang w:val="sr-Latn-ME"/>
        </w:rPr>
        <w:t>inuirano praćenje odnosa korist</w:t>
      </w:r>
      <w:r w:rsidRPr="00E46F90">
        <w:rPr>
          <w:rFonts w:eastAsia="Calibri"/>
          <w:sz w:val="22"/>
          <w:szCs w:val="22"/>
          <w:lang w:val="sr-Latn-ME"/>
        </w:rPr>
        <w:t>/rizik primjene lijeka. Zdravstveni radnici treba da prijave svaku sumnju na neželjeno</w:t>
      </w:r>
      <w:r w:rsidR="009B062A" w:rsidRPr="00E46F90">
        <w:rPr>
          <w:rFonts w:eastAsia="Calibri"/>
          <w:sz w:val="22"/>
          <w:szCs w:val="22"/>
          <w:lang w:val="sr-Latn-ME"/>
        </w:rPr>
        <w:t xml:space="preserve"> </w:t>
      </w:r>
      <w:r w:rsidRPr="00E46F90">
        <w:rPr>
          <w:rFonts w:eastAsia="Calibri"/>
          <w:sz w:val="22"/>
          <w:szCs w:val="22"/>
          <w:lang w:val="sr-Latn-ME"/>
        </w:rPr>
        <w:t>dejstvo ovog lijeka Agenciji za ljekove i medicinska sredstva Crne Gore (CALIMS):</w:t>
      </w:r>
    </w:p>
    <w:p w:rsidR="005A23D2" w:rsidRPr="00E46F90" w:rsidRDefault="005A23D2" w:rsidP="00E46F90">
      <w:pPr>
        <w:pStyle w:val="NoSpacing"/>
        <w:jc w:val="both"/>
        <w:rPr>
          <w:rFonts w:eastAsia="Calibri"/>
          <w:sz w:val="22"/>
          <w:szCs w:val="22"/>
          <w:lang w:val="sr-Latn-ME"/>
        </w:rPr>
      </w:pPr>
      <w:r w:rsidRPr="00E46F90">
        <w:rPr>
          <w:rFonts w:eastAsia="Calibri"/>
          <w:sz w:val="22"/>
          <w:szCs w:val="22"/>
          <w:lang w:val="sr-Latn-ME"/>
        </w:rPr>
        <w:t>Agencija za ljekove i medicinska sredstva Crne Gore</w:t>
      </w:r>
    </w:p>
    <w:p w:rsidR="005A23D2" w:rsidRPr="00E46F90" w:rsidRDefault="005A23D2" w:rsidP="00E46F90">
      <w:pPr>
        <w:pStyle w:val="NoSpacing"/>
        <w:jc w:val="both"/>
        <w:rPr>
          <w:rFonts w:eastAsia="Calibri"/>
          <w:sz w:val="22"/>
          <w:szCs w:val="22"/>
          <w:lang w:val="sr-Latn-ME"/>
        </w:rPr>
      </w:pPr>
      <w:r w:rsidRPr="00E46F90">
        <w:rPr>
          <w:rFonts w:eastAsia="Calibri"/>
          <w:sz w:val="22"/>
          <w:szCs w:val="22"/>
          <w:lang w:val="sr-Latn-ME"/>
        </w:rPr>
        <w:t>Odjeljenje za farmakovigilancu</w:t>
      </w:r>
    </w:p>
    <w:p w:rsidR="00EA5765" w:rsidRPr="00E46F90" w:rsidRDefault="005A23D2" w:rsidP="00E46F90">
      <w:pPr>
        <w:pStyle w:val="NoSpacing"/>
        <w:jc w:val="both"/>
        <w:rPr>
          <w:rFonts w:eastAsia="Calibri"/>
          <w:sz w:val="22"/>
          <w:szCs w:val="22"/>
          <w:lang w:val="sr-Latn-ME"/>
        </w:rPr>
      </w:pPr>
      <w:r w:rsidRPr="00E46F90">
        <w:rPr>
          <w:rFonts w:eastAsia="Calibri"/>
          <w:sz w:val="22"/>
          <w:szCs w:val="22"/>
          <w:lang w:val="sr-Latn-ME"/>
        </w:rPr>
        <w:t>Bulevar Ivana Crnojevića 64a, 81000 Podgorica</w:t>
      </w:r>
    </w:p>
    <w:p w:rsidR="00EA5765" w:rsidRPr="00E46F90" w:rsidRDefault="00EA5765" w:rsidP="00E46F90">
      <w:pPr>
        <w:pStyle w:val="NoSpacing"/>
        <w:jc w:val="both"/>
        <w:rPr>
          <w:rFonts w:eastAsia="Calibri"/>
          <w:sz w:val="22"/>
          <w:szCs w:val="22"/>
          <w:lang w:val="sr-Latn-ME"/>
        </w:rPr>
      </w:pPr>
    </w:p>
    <w:p w:rsidR="005A23D2" w:rsidRPr="00E46F90" w:rsidRDefault="005A23D2" w:rsidP="00E46F90">
      <w:pPr>
        <w:pStyle w:val="NoSpacing"/>
        <w:jc w:val="both"/>
        <w:rPr>
          <w:rFonts w:eastAsia="Calibri"/>
          <w:sz w:val="22"/>
          <w:szCs w:val="22"/>
          <w:lang w:val="sr-Latn-ME"/>
        </w:rPr>
      </w:pPr>
      <w:r w:rsidRPr="00E46F90">
        <w:rPr>
          <w:rFonts w:eastAsia="Calibri"/>
          <w:sz w:val="22"/>
          <w:szCs w:val="22"/>
          <w:lang w:val="sr-Latn-ME"/>
        </w:rPr>
        <w:t>tel: +382 (0) 20 310 280</w:t>
      </w:r>
    </w:p>
    <w:p w:rsidR="00EA5765" w:rsidRPr="00E46F90" w:rsidRDefault="005A23D2" w:rsidP="00E46F90">
      <w:pPr>
        <w:pStyle w:val="NoSpacing"/>
        <w:jc w:val="both"/>
        <w:rPr>
          <w:rFonts w:eastAsia="Calibri"/>
          <w:sz w:val="22"/>
          <w:szCs w:val="22"/>
          <w:lang w:val="sr-Latn-ME"/>
        </w:rPr>
      </w:pPr>
      <w:r w:rsidRPr="00E46F90">
        <w:rPr>
          <w:rFonts w:eastAsia="Calibri"/>
          <w:sz w:val="22"/>
          <w:szCs w:val="22"/>
          <w:lang w:val="sr-Latn-ME"/>
        </w:rPr>
        <w:t>fax:</w:t>
      </w:r>
      <w:r w:rsidR="00EA5765" w:rsidRPr="00E46F90">
        <w:rPr>
          <w:rFonts w:eastAsia="Calibri"/>
          <w:sz w:val="22"/>
          <w:szCs w:val="22"/>
          <w:lang w:val="sr-Latn-ME"/>
        </w:rPr>
        <w:t xml:space="preserve"> </w:t>
      </w:r>
      <w:r w:rsidRPr="00E46F90">
        <w:rPr>
          <w:rFonts w:eastAsia="Calibri"/>
          <w:sz w:val="22"/>
          <w:szCs w:val="22"/>
          <w:lang w:val="sr-Latn-ME"/>
        </w:rPr>
        <w:t>+382 (0) 20 310 581</w:t>
      </w:r>
    </w:p>
    <w:p w:rsidR="005A23D2" w:rsidRPr="00E46F90" w:rsidRDefault="00B75C85" w:rsidP="00E46F90">
      <w:pPr>
        <w:pStyle w:val="NoSpacing"/>
        <w:jc w:val="both"/>
        <w:rPr>
          <w:rFonts w:eastAsia="Calibri"/>
          <w:sz w:val="22"/>
          <w:szCs w:val="22"/>
          <w:lang w:val="sr-Latn-ME"/>
        </w:rPr>
      </w:pPr>
      <w:hyperlink r:id="rId8" w:history="1">
        <w:r w:rsidR="005A23D2" w:rsidRPr="00E46F90">
          <w:rPr>
            <w:rFonts w:eastAsia="Calibri"/>
            <w:color w:val="0000FF"/>
            <w:sz w:val="22"/>
            <w:szCs w:val="22"/>
            <w:u w:val="single"/>
            <w:lang w:val="sr-Latn-ME"/>
          </w:rPr>
          <w:t>www.calims.me</w:t>
        </w:r>
      </w:hyperlink>
    </w:p>
    <w:p w:rsidR="00EA5765" w:rsidRPr="00E46F90" w:rsidRDefault="00B75C85" w:rsidP="00E46F90">
      <w:pPr>
        <w:pStyle w:val="NoSpacing"/>
        <w:jc w:val="both"/>
        <w:rPr>
          <w:rFonts w:eastAsia="Calibri"/>
          <w:color w:val="0000FF"/>
          <w:sz w:val="22"/>
          <w:szCs w:val="22"/>
          <w:u w:val="single"/>
          <w:lang w:val="sr-Latn-ME"/>
        </w:rPr>
      </w:pPr>
      <w:hyperlink r:id="rId9" w:history="1">
        <w:r w:rsidR="005A23D2" w:rsidRPr="00E46F90">
          <w:rPr>
            <w:rFonts w:eastAsia="Calibri"/>
            <w:color w:val="0000FF"/>
            <w:sz w:val="22"/>
            <w:szCs w:val="22"/>
            <w:u w:val="single"/>
            <w:lang w:val="sr-Latn-ME"/>
          </w:rPr>
          <w:t>nezeljenadejstva@calims.me</w:t>
        </w:r>
      </w:hyperlink>
    </w:p>
    <w:p w:rsidR="005A23D2" w:rsidRPr="00E46F90" w:rsidRDefault="005A23D2" w:rsidP="00E46F90">
      <w:pPr>
        <w:pStyle w:val="NoSpacing"/>
        <w:jc w:val="both"/>
        <w:rPr>
          <w:rFonts w:eastAsia="Calibri"/>
          <w:sz w:val="22"/>
          <w:szCs w:val="22"/>
          <w:lang w:val="sr-Latn-ME"/>
        </w:rPr>
      </w:pPr>
      <w:r w:rsidRPr="00E46F90">
        <w:rPr>
          <w:rFonts w:eastAsia="Calibri"/>
          <w:sz w:val="22"/>
          <w:szCs w:val="22"/>
          <w:lang w:val="sr-Latn-ME"/>
        </w:rPr>
        <w:t>putem IS zdravstvene zaštite</w:t>
      </w:r>
    </w:p>
    <w:p w:rsidR="00836B35" w:rsidRPr="00E46F90" w:rsidRDefault="00836B35" w:rsidP="00E46F90">
      <w:pPr>
        <w:tabs>
          <w:tab w:val="left" w:pos="540"/>
          <w:tab w:val="left" w:pos="569"/>
        </w:tabs>
        <w:jc w:val="both"/>
        <w:rPr>
          <w:b/>
          <w:bCs/>
          <w:sz w:val="22"/>
          <w:szCs w:val="22"/>
          <w:lang w:val="sr-Latn-ME"/>
        </w:rPr>
      </w:pPr>
    </w:p>
    <w:p w:rsidR="00CD6F02"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4.9. </w:t>
      </w:r>
      <w:r w:rsidR="00480FB1" w:rsidRPr="00E46F90">
        <w:rPr>
          <w:b/>
          <w:bCs/>
          <w:sz w:val="22"/>
          <w:szCs w:val="22"/>
          <w:lang w:val="sr-Latn-ME"/>
        </w:rPr>
        <w:tab/>
      </w:r>
      <w:r w:rsidRPr="00E46F90">
        <w:rPr>
          <w:b/>
          <w:bCs/>
          <w:sz w:val="22"/>
          <w:szCs w:val="22"/>
          <w:lang w:val="sr-Latn-ME"/>
        </w:rPr>
        <w:t>Predoziranje</w:t>
      </w:r>
      <w:r w:rsidR="002846DB" w:rsidRPr="00E46F90">
        <w:rPr>
          <w:b/>
          <w:bCs/>
          <w:sz w:val="22"/>
          <w:szCs w:val="22"/>
          <w:lang w:val="sr-Latn-ME"/>
        </w:rPr>
        <w:t xml:space="preserve"> </w:t>
      </w:r>
    </w:p>
    <w:p w:rsidR="00CD6F02" w:rsidRPr="00E46F90" w:rsidRDefault="00CD6F02" w:rsidP="00E46F90">
      <w:pPr>
        <w:tabs>
          <w:tab w:val="left" w:pos="540"/>
          <w:tab w:val="left" w:pos="569"/>
        </w:tabs>
        <w:jc w:val="both"/>
        <w:rPr>
          <w:b/>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Nijesu prijavljeni slučajevi predoziranja. Međutim, primjena veće dnevne doze može imati za posljedicu vaginalne ulceracije. U slučaju predoziranja sa štetnim dejstvima, može se sprovesti vaginalna lavaža.</w:t>
      </w:r>
    </w:p>
    <w:p w:rsidR="00227BDB" w:rsidRDefault="00227BDB" w:rsidP="00E46F90">
      <w:pPr>
        <w:tabs>
          <w:tab w:val="left" w:pos="540"/>
          <w:tab w:val="left" w:pos="569"/>
        </w:tabs>
        <w:jc w:val="both"/>
        <w:rPr>
          <w:b/>
          <w:bCs/>
          <w:sz w:val="22"/>
          <w:szCs w:val="22"/>
          <w:lang w:val="sr-Latn-ME"/>
        </w:rPr>
      </w:pPr>
    </w:p>
    <w:p w:rsidR="00915423" w:rsidRPr="00E46F90" w:rsidRDefault="00915423" w:rsidP="00E46F90">
      <w:pPr>
        <w:tabs>
          <w:tab w:val="left" w:pos="540"/>
          <w:tab w:val="left" w:pos="569"/>
        </w:tabs>
        <w:jc w:val="both"/>
        <w:rPr>
          <w:b/>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5. </w:t>
      </w:r>
      <w:r w:rsidR="00480FB1" w:rsidRPr="00E46F90">
        <w:rPr>
          <w:b/>
          <w:bCs/>
          <w:sz w:val="22"/>
          <w:szCs w:val="22"/>
          <w:lang w:val="sr-Latn-ME"/>
        </w:rPr>
        <w:tab/>
      </w:r>
      <w:r w:rsidRPr="00E46F90">
        <w:rPr>
          <w:b/>
          <w:bCs/>
          <w:sz w:val="22"/>
          <w:szCs w:val="22"/>
          <w:lang w:val="sr-Latn-ME"/>
        </w:rPr>
        <w:t>FARMAKOLOŠK</w:t>
      </w:r>
      <w:r w:rsidR="000D425A" w:rsidRPr="00E46F90">
        <w:rPr>
          <w:b/>
          <w:bCs/>
          <w:sz w:val="22"/>
          <w:szCs w:val="22"/>
          <w:lang w:val="sr-Latn-ME"/>
        </w:rPr>
        <w:t>I</w:t>
      </w:r>
      <w:r w:rsidRPr="00E46F90">
        <w:rPr>
          <w:b/>
          <w:bCs/>
          <w:sz w:val="22"/>
          <w:szCs w:val="22"/>
          <w:lang w:val="sr-Latn-ME"/>
        </w:rPr>
        <w:t xml:space="preserve"> PODACI</w:t>
      </w:r>
    </w:p>
    <w:p w:rsidR="0072020E" w:rsidRPr="00E46F90" w:rsidRDefault="0072020E" w:rsidP="00E46F90">
      <w:pPr>
        <w:tabs>
          <w:tab w:val="left" w:pos="540"/>
          <w:tab w:val="left" w:pos="569"/>
        </w:tabs>
        <w:jc w:val="both"/>
        <w:rPr>
          <w:b/>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5.1. </w:t>
      </w:r>
      <w:r w:rsidR="00480FB1" w:rsidRPr="00E46F90">
        <w:rPr>
          <w:b/>
          <w:bCs/>
          <w:sz w:val="22"/>
          <w:szCs w:val="22"/>
          <w:lang w:val="sr-Latn-ME"/>
        </w:rPr>
        <w:tab/>
      </w:r>
      <w:r w:rsidRPr="00E46F90">
        <w:rPr>
          <w:b/>
          <w:bCs/>
          <w:sz w:val="22"/>
          <w:szCs w:val="22"/>
          <w:lang w:val="sr-Latn-ME"/>
        </w:rPr>
        <w:t>Farmakodinamski podaci</w:t>
      </w:r>
      <w:r w:rsidR="003A7059" w:rsidRPr="00E46F90">
        <w:rPr>
          <w:b/>
          <w:bCs/>
          <w:sz w:val="22"/>
          <w:szCs w:val="22"/>
          <w:lang w:val="sr-Latn-ME"/>
        </w:rPr>
        <w:t xml:space="preserve"> </w:t>
      </w:r>
    </w:p>
    <w:p w:rsidR="00F45F77" w:rsidRPr="00E46F90" w:rsidRDefault="00F45F77" w:rsidP="00E46F90">
      <w:pPr>
        <w:tabs>
          <w:tab w:val="left" w:pos="540"/>
          <w:tab w:val="left" w:pos="569"/>
        </w:tabs>
        <w:jc w:val="both"/>
        <w:rPr>
          <w:b/>
          <w:bCs/>
          <w:sz w:val="22"/>
          <w:szCs w:val="22"/>
          <w:lang w:val="sr-Latn-ME"/>
        </w:rPr>
      </w:pPr>
    </w:p>
    <w:p w:rsidR="0072020E" w:rsidRPr="00E46F90" w:rsidRDefault="0072020E" w:rsidP="00E46F90">
      <w:pPr>
        <w:tabs>
          <w:tab w:val="left" w:pos="540"/>
          <w:tab w:val="left" w:pos="569"/>
        </w:tabs>
        <w:jc w:val="both"/>
        <w:rPr>
          <w:bCs/>
          <w:sz w:val="22"/>
          <w:szCs w:val="22"/>
          <w:lang w:val="sr-Latn-ME"/>
        </w:rPr>
      </w:pPr>
      <w:r w:rsidRPr="00E46F90">
        <w:rPr>
          <w:b/>
          <w:bCs/>
          <w:sz w:val="22"/>
          <w:szCs w:val="22"/>
          <w:lang w:val="sr-Latn-ME"/>
        </w:rPr>
        <w:t>Farmakoterapijska grupa:</w:t>
      </w:r>
      <w:r w:rsidR="00400CF2" w:rsidRPr="00E46F90">
        <w:rPr>
          <w:bCs/>
          <w:sz w:val="22"/>
          <w:szCs w:val="22"/>
          <w:lang w:val="sr-Latn-ME"/>
        </w:rPr>
        <w:t xml:space="preserve"> Ginekološki antiinfektivi i antiseptici, derivati hinolina</w:t>
      </w:r>
    </w:p>
    <w:p w:rsidR="0072020E" w:rsidRPr="00E46F90" w:rsidRDefault="0072020E"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Cs/>
          <w:sz w:val="22"/>
          <w:szCs w:val="22"/>
          <w:lang w:val="sr-Latn-ME"/>
        </w:rPr>
      </w:pPr>
      <w:r w:rsidRPr="00E46F90">
        <w:rPr>
          <w:b/>
          <w:bCs/>
          <w:sz w:val="22"/>
          <w:szCs w:val="22"/>
          <w:lang w:val="sr-Latn-ME"/>
        </w:rPr>
        <w:t>ATC kod:</w:t>
      </w:r>
      <w:r w:rsidR="00400CF2" w:rsidRPr="00E46F90">
        <w:rPr>
          <w:bCs/>
          <w:sz w:val="22"/>
          <w:szCs w:val="22"/>
          <w:lang w:val="sr-Latn-ME"/>
        </w:rPr>
        <w:t xml:space="preserve"> G01AC05</w:t>
      </w:r>
    </w:p>
    <w:p w:rsidR="00400CF2" w:rsidRPr="00E46F90" w:rsidRDefault="00400CF2" w:rsidP="00E46F90">
      <w:pPr>
        <w:tabs>
          <w:tab w:val="left" w:pos="540"/>
          <w:tab w:val="left" w:pos="569"/>
        </w:tabs>
        <w:jc w:val="both"/>
        <w:rPr>
          <w:bCs/>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Dekvalinijum</w:t>
      </w:r>
      <w:r w:rsidR="00FF61F1" w:rsidRPr="00E46F90">
        <w:rPr>
          <w:sz w:val="22"/>
          <w:szCs w:val="22"/>
          <w:lang w:val="sr-Latn-ME"/>
        </w:rPr>
        <w:t xml:space="preserve"> </w:t>
      </w:r>
      <w:r w:rsidRPr="00E46F90">
        <w:rPr>
          <w:sz w:val="22"/>
          <w:szCs w:val="22"/>
          <w:lang w:val="sr-Latn-ME"/>
        </w:rPr>
        <w:t>je antiinfektivno i antiseptičko sredstvo koje pripada grupi kvaternernih amonijum jedinjenja.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Mehanizam dejstva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Dekvalinijum je površinski aktivna supstanca. Primarni mehanizam dejstva je povećanje permeabilnosti bakterijske ćelije i naknadni gubitak aktivnosti enzima, što dovodi do ćelijske smrti.</w:t>
      </w:r>
    </w:p>
    <w:p w:rsidR="00400CF2" w:rsidRPr="00E46F90" w:rsidRDefault="00400CF2" w:rsidP="00E46F90">
      <w:pPr>
        <w:tabs>
          <w:tab w:val="left" w:pos="284"/>
        </w:tabs>
        <w:jc w:val="both"/>
        <w:rPr>
          <w:sz w:val="22"/>
          <w:szCs w:val="22"/>
          <w:lang w:val="sr-Latn-ME"/>
        </w:rPr>
      </w:pPr>
      <w:r w:rsidRPr="00E46F90">
        <w:rPr>
          <w:sz w:val="22"/>
          <w:szCs w:val="22"/>
          <w:lang w:val="sr-Latn-ME"/>
        </w:rPr>
        <w:t>Dekvalinijum pokazuje brzu baktericidnu aktivnost.</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Dekvalinijum u vaginalnim tabletama djeluje lokalno unutar vagine.</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Odnos farmakokinetike i farmakodinamike lijeka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Nije utvrđena glavna FK/FD determinanta efikasnosti za lijek Fluomizin. Budući da se baktericidno dejstvo dekvalinijuma javlja u roku od 30 do 60 minuta, maksimalna lokalna koncentracija tokom prvog sata nakon aplikacije smatra se ključnom za efikasnost.</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Mehanizmi rezistencije</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Mehanizmi koji dovode do inherentne rezistencije nekih patogena nijesu poznati. Do sada nijesu zabilježeni mehanizmi stečene rezistencije.</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u w:val="single"/>
          <w:lang w:val="sr-Latn-ME"/>
        </w:rPr>
      </w:pPr>
      <w:r w:rsidRPr="00E46F90">
        <w:rPr>
          <w:sz w:val="22"/>
          <w:szCs w:val="22"/>
          <w:u w:val="single"/>
          <w:lang w:val="sr-Latn-ME"/>
        </w:rPr>
        <w:t>Granične vrijednosti</w:t>
      </w:r>
    </w:p>
    <w:p w:rsidR="00400CF2" w:rsidRPr="00E46F90" w:rsidRDefault="00400CF2" w:rsidP="00E46F90">
      <w:pPr>
        <w:tabs>
          <w:tab w:val="left" w:pos="284"/>
        </w:tabs>
        <w:jc w:val="both"/>
        <w:rPr>
          <w:sz w:val="22"/>
          <w:szCs w:val="22"/>
          <w:lang w:val="sr-Latn-ME"/>
        </w:rPr>
      </w:pPr>
    </w:p>
    <w:p w:rsidR="00915423" w:rsidRDefault="00400CF2" w:rsidP="00E46F90">
      <w:pPr>
        <w:tabs>
          <w:tab w:val="left" w:pos="284"/>
        </w:tabs>
        <w:jc w:val="both"/>
        <w:rPr>
          <w:sz w:val="22"/>
          <w:szCs w:val="22"/>
          <w:lang w:val="sr-Latn-ME"/>
        </w:rPr>
      </w:pPr>
      <w:r w:rsidRPr="00E46F90">
        <w:rPr>
          <w:sz w:val="22"/>
          <w:szCs w:val="22"/>
          <w:lang w:val="sr-Latn-ME"/>
        </w:rPr>
        <w:t>Nijesu dostupne granične vrijednosti za dekvalinijum</w:t>
      </w:r>
      <w:r w:rsidR="00FF61F1" w:rsidRPr="00E46F90">
        <w:rPr>
          <w:sz w:val="22"/>
          <w:szCs w:val="22"/>
          <w:lang w:val="sr-Latn-ME"/>
        </w:rPr>
        <w:t xml:space="preserve"> </w:t>
      </w:r>
      <w:r w:rsidRPr="00E46F90">
        <w:rPr>
          <w:sz w:val="22"/>
          <w:szCs w:val="22"/>
          <w:lang w:val="sr-Latn-ME"/>
        </w:rPr>
        <w:t xml:space="preserve">od strane bilo kog tijela koje donosi preporuke i nije utvrđen odnos između minimalnih inhibitornih koncentracija i kliničke efikasnosti. </w:t>
      </w:r>
    </w:p>
    <w:p w:rsidR="00400CF2" w:rsidRPr="00E46F90" w:rsidRDefault="00400CF2" w:rsidP="00E46F90">
      <w:pPr>
        <w:tabs>
          <w:tab w:val="left" w:pos="284"/>
        </w:tabs>
        <w:jc w:val="both"/>
        <w:rPr>
          <w:sz w:val="22"/>
          <w:szCs w:val="22"/>
          <w:lang w:val="sr-Latn-ME"/>
        </w:rPr>
      </w:pPr>
      <w:r w:rsidRPr="00E46F90">
        <w:rPr>
          <w:sz w:val="22"/>
          <w:szCs w:val="22"/>
          <w:lang w:val="sr-Latn-ME"/>
        </w:rPr>
        <w:lastRenderedPageBreak/>
        <w:t>Stoga, informacije o osjetljivosti koje su navedene u tabeli u nastavku su opisnog karaktera i zasnivaju se na koncentracijama koje se postižu u vagini (vidjeti odjeljak 5.2) i odgovarajućim podacima o minimalnoj inhibitornoj koncentraciji (MIK) patogena.</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Prevalenca stečene rezistencije za određene vrste mikroorganizama može varirati geografski i sa vremenom, pa je poželjno imati lokalne informacije o rezistenciji, naročito kod liječenja teških infekcija. Po potrebi, treba potražiti savjet stručnjaka kada je lokalna prevalenca rezistencije takva da se korist lijeka barem kod nekih vrsta infekcija dovodi u pitanje.</w:t>
      </w:r>
    </w:p>
    <w:p w:rsidR="00400CF2" w:rsidRPr="00E46F90" w:rsidRDefault="00400CF2" w:rsidP="00E46F90">
      <w:pPr>
        <w:tabs>
          <w:tab w:val="left" w:pos="540"/>
          <w:tab w:val="left" w:pos="569"/>
        </w:tabs>
        <w:jc w:val="both"/>
        <w:rPr>
          <w:bCs/>
          <w:sz w:val="22"/>
          <w:szCs w:val="22"/>
          <w:lang w:val="sr-Latn-ME"/>
        </w:rPr>
      </w:pPr>
    </w:p>
    <w:p w:rsidR="00400CF2" w:rsidRPr="00E46F90" w:rsidRDefault="00400CF2" w:rsidP="00E46F90">
      <w:pPr>
        <w:tabs>
          <w:tab w:val="left" w:pos="284"/>
        </w:tabs>
        <w:jc w:val="both"/>
        <w:rPr>
          <w:b/>
          <w:sz w:val="22"/>
          <w:szCs w:val="22"/>
          <w:lang w:val="sr-Latn-ME"/>
        </w:rPr>
      </w:pPr>
      <w:r w:rsidRPr="00E46F90">
        <w:rPr>
          <w:b/>
          <w:sz w:val="22"/>
          <w:szCs w:val="22"/>
          <w:lang w:val="sr-Latn-ME"/>
        </w:rPr>
        <w:t>Uobičajeno osjetljive vrste</w:t>
      </w:r>
    </w:p>
    <w:p w:rsidR="00400CF2" w:rsidRPr="00E46F90" w:rsidRDefault="00400CF2" w:rsidP="00E46F90">
      <w:pPr>
        <w:tabs>
          <w:tab w:val="left" w:pos="284"/>
        </w:tabs>
        <w:jc w:val="both"/>
        <w:rPr>
          <w:b/>
          <w:sz w:val="22"/>
          <w:szCs w:val="22"/>
          <w:lang w:val="sr-Latn-ME"/>
        </w:rPr>
      </w:pPr>
    </w:p>
    <w:p w:rsidR="00400CF2" w:rsidRPr="00E46F90" w:rsidRDefault="00400CF2" w:rsidP="00E46F90">
      <w:pPr>
        <w:tabs>
          <w:tab w:val="left" w:pos="284"/>
        </w:tabs>
        <w:jc w:val="both"/>
        <w:rPr>
          <w:b/>
          <w:i/>
          <w:sz w:val="22"/>
          <w:szCs w:val="22"/>
          <w:lang w:val="sr-Latn-ME"/>
        </w:rPr>
      </w:pPr>
      <w:r w:rsidRPr="00E46F90">
        <w:rPr>
          <w:b/>
          <w:sz w:val="22"/>
          <w:szCs w:val="22"/>
          <w:lang w:val="sr-Latn-ME"/>
        </w:rPr>
        <w:tab/>
      </w:r>
      <w:r w:rsidRPr="00E46F90">
        <w:rPr>
          <w:b/>
          <w:i/>
          <w:sz w:val="22"/>
          <w:szCs w:val="22"/>
          <w:lang w:val="sr-Latn-ME"/>
        </w:rPr>
        <w:t>Aerobne gram-pozitivne bakterije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Enterococcus faecalis</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Lactobacillus </w:t>
      </w:r>
      <w:r w:rsidRPr="00E46F90">
        <w:rPr>
          <w:iCs/>
          <w:sz w:val="22"/>
          <w:szCs w:val="22"/>
          <w:lang w:val="sr-Latn-ME"/>
        </w:rPr>
        <w:t>spp.</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Staphylococcus aureus</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Streptococcus agalactiae </w:t>
      </w:r>
      <w:r w:rsidRPr="00E46F90">
        <w:rPr>
          <w:iCs/>
          <w:sz w:val="22"/>
          <w:szCs w:val="22"/>
          <w:lang w:val="sr-Latn-ME"/>
        </w:rPr>
        <w:t>(streptokoke grupe B)</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Streptococcus pyogenes </w:t>
      </w:r>
      <w:r w:rsidRPr="00E46F90">
        <w:rPr>
          <w:iCs/>
          <w:sz w:val="22"/>
          <w:szCs w:val="22"/>
          <w:lang w:val="sr-Latn-ME"/>
        </w:rPr>
        <w:t>(streptokoke grupe A)</w:t>
      </w:r>
    </w:p>
    <w:p w:rsidR="00400CF2" w:rsidRPr="00E46F90" w:rsidRDefault="00400CF2" w:rsidP="00E46F90">
      <w:pPr>
        <w:tabs>
          <w:tab w:val="left" w:pos="284"/>
        </w:tabs>
        <w:jc w:val="both"/>
        <w:rPr>
          <w:b/>
          <w:i/>
          <w:sz w:val="22"/>
          <w:szCs w:val="22"/>
          <w:lang w:val="sr-Latn-ME"/>
        </w:rPr>
      </w:pPr>
      <w:r w:rsidRPr="00E46F90">
        <w:rPr>
          <w:b/>
          <w:i/>
          <w:sz w:val="22"/>
          <w:szCs w:val="22"/>
          <w:lang w:val="sr-Latn-ME"/>
        </w:rPr>
        <w:tab/>
        <w:t>Aerobne gram-negativne bakterije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Enterobacter </w:t>
      </w:r>
      <w:r w:rsidRPr="00E46F90">
        <w:rPr>
          <w:iCs/>
          <w:sz w:val="22"/>
          <w:szCs w:val="22"/>
          <w:lang w:val="sr-Latn-ME"/>
        </w:rPr>
        <w:t>spp.</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Escherichia coli</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Klebsiella </w:t>
      </w:r>
      <w:r w:rsidRPr="00E46F90">
        <w:rPr>
          <w:iCs/>
          <w:sz w:val="22"/>
          <w:szCs w:val="22"/>
          <w:lang w:val="sr-Latn-ME"/>
        </w:rPr>
        <w:t>spp.</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Pseudomonas </w:t>
      </w:r>
      <w:r w:rsidRPr="00E46F90">
        <w:rPr>
          <w:iCs/>
          <w:sz w:val="22"/>
          <w:szCs w:val="22"/>
          <w:lang w:val="sr-Latn-ME"/>
        </w:rPr>
        <w:t>spp</w:t>
      </w:r>
      <w:r w:rsidRPr="00E46F90">
        <w:rPr>
          <w:i/>
          <w:sz w:val="22"/>
          <w:szCs w:val="22"/>
          <w:lang w:val="sr-Latn-ME"/>
        </w:rPr>
        <w:t>.</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Serratia </w:t>
      </w:r>
      <w:r w:rsidRPr="00E46F90">
        <w:rPr>
          <w:iCs/>
          <w:sz w:val="22"/>
          <w:szCs w:val="22"/>
          <w:lang w:val="sr-Latn-ME"/>
        </w:rPr>
        <w:t>spp.</w:t>
      </w:r>
    </w:p>
    <w:p w:rsidR="00400CF2" w:rsidRPr="00E46F90" w:rsidRDefault="00400CF2" w:rsidP="00E46F90">
      <w:pPr>
        <w:tabs>
          <w:tab w:val="left" w:pos="284"/>
        </w:tabs>
        <w:jc w:val="both"/>
        <w:rPr>
          <w:b/>
          <w:i/>
          <w:sz w:val="22"/>
          <w:szCs w:val="22"/>
          <w:lang w:val="sr-Latn-ME"/>
        </w:rPr>
      </w:pPr>
      <w:r w:rsidRPr="00E46F90">
        <w:rPr>
          <w:b/>
          <w:i/>
          <w:sz w:val="22"/>
          <w:szCs w:val="22"/>
          <w:lang w:val="sr-Latn-ME"/>
        </w:rPr>
        <w:tab/>
        <w:t>Anaerobne bakterije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Atopobium vaginae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Bacteroides </w:t>
      </w:r>
      <w:r w:rsidRPr="00E46F90">
        <w:rPr>
          <w:iCs/>
          <w:sz w:val="22"/>
          <w:szCs w:val="22"/>
          <w:lang w:val="sr-Latn-ME"/>
        </w:rPr>
        <w:t>spp.</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Fusobacteria</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Gardnerella vaginalis</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Prevotella </w:t>
      </w:r>
      <w:r w:rsidRPr="00E46F90">
        <w:rPr>
          <w:iCs/>
          <w:sz w:val="22"/>
          <w:szCs w:val="22"/>
          <w:lang w:val="sr-Latn-ME"/>
        </w:rPr>
        <w:t>spp.</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Peptostreptokoke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Poryphyromonas </w:t>
      </w:r>
      <w:r w:rsidRPr="00E46F90">
        <w:rPr>
          <w:iCs/>
          <w:sz w:val="22"/>
          <w:szCs w:val="22"/>
          <w:lang w:val="sr-Latn-ME"/>
        </w:rPr>
        <w:t>spp.</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b/>
          <w:sz w:val="22"/>
          <w:szCs w:val="22"/>
          <w:lang w:val="sr-Latn-ME"/>
        </w:rPr>
      </w:pPr>
      <w:r w:rsidRPr="00E46F90">
        <w:rPr>
          <w:b/>
          <w:sz w:val="22"/>
          <w:szCs w:val="22"/>
          <w:lang w:val="sr-Latn-ME"/>
        </w:rPr>
        <w:t>Vrste kod kojih stečena rezistencija može predstavljati problem</w:t>
      </w:r>
    </w:p>
    <w:p w:rsidR="00915423" w:rsidRDefault="00915423" w:rsidP="00E46F90">
      <w:pPr>
        <w:tabs>
          <w:tab w:val="left" w:pos="567"/>
        </w:tabs>
        <w:jc w:val="both"/>
        <w:rPr>
          <w:sz w:val="22"/>
          <w:szCs w:val="22"/>
          <w:lang w:val="sr-Latn-ME"/>
        </w:rPr>
      </w:pPr>
    </w:p>
    <w:p w:rsidR="00400CF2" w:rsidRPr="00E46F90" w:rsidRDefault="00400CF2" w:rsidP="00E46F90">
      <w:pPr>
        <w:tabs>
          <w:tab w:val="left" w:pos="567"/>
        </w:tabs>
        <w:jc w:val="both"/>
        <w:rPr>
          <w:sz w:val="22"/>
          <w:szCs w:val="22"/>
          <w:lang w:val="sr-Latn-ME"/>
        </w:rPr>
      </w:pPr>
      <w:r w:rsidRPr="00E46F90">
        <w:rPr>
          <w:sz w:val="22"/>
          <w:szCs w:val="22"/>
          <w:lang w:val="sr-Latn-ME"/>
        </w:rPr>
        <w:t>Nijesu poznate</w:t>
      </w:r>
    </w:p>
    <w:p w:rsidR="00400CF2" w:rsidRPr="00E46F90" w:rsidRDefault="00400CF2" w:rsidP="00E46F90">
      <w:pPr>
        <w:tabs>
          <w:tab w:val="left" w:pos="284"/>
        </w:tabs>
        <w:jc w:val="both"/>
        <w:rPr>
          <w:sz w:val="22"/>
          <w:szCs w:val="22"/>
          <w:lang w:val="sr-Latn-ME"/>
        </w:rPr>
      </w:pPr>
    </w:p>
    <w:p w:rsidR="00400CF2" w:rsidRDefault="00400CF2" w:rsidP="00E46F90">
      <w:pPr>
        <w:tabs>
          <w:tab w:val="left" w:pos="284"/>
        </w:tabs>
        <w:jc w:val="both"/>
        <w:rPr>
          <w:b/>
          <w:sz w:val="22"/>
          <w:szCs w:val="22"/>
          <w:lang w:val="sr-Latn-ME"/>
        </w:rPr>
      </w:pPr>
      <w:r w:rsidRPr="00E46F90">
        <w:rPr>
          <w:b/>
          <w:sz w:val="22"/>
          <w:szCs w:val="22"/>
          <w:lang w:val="sr-Latn-ME"/>
        </w:rPr>
        <w:t>Inherentno rezistentni organizmi</w:t>
      </w:r>
    </w:p>
    <w:p w:rsidR="00915423" w:rsidRPr="00E46F90" w:rsidRDefault="00915423" w:rsidP="00E46F90">
      <w:pPr>
        <w:tabs>
          <w:tab w:val="left" w:pos="284"/>
        </w:tabs>
        <w:jc w:val="both"/>
        <w:rPr>
          <w:b/>
          <w:sz w:val="22"/>
          <w:szCs w:val="22"/>
          <w:lang w:val="sr-Latn-ME"/>
        </w:rPr>
      </w:pPr>
    </w:p>
    <w:p w:rsidR="00400CF2" w:rsidRPr="00E46F90" w:rsidRDefault="00400CF2" w:rsidP="00E46F90">
      <w:pPr>
        <w:tabs>
          <w:tab w:val="left" w:pos="284"/>
        </w:tabs>
        <w:jc w:val="both"/>
        <w:rPr>
          <w:b/>
          <w:i/>
          <w:sz w:val="22"/>
          <w:szCs w:val="22"/>
          <w:lang w:val="sr-Latn-ME"/>
        </w:rPr>
      </w:pPr>
      <w:r w:rsidRPr="00E46F90">
        <w:rPr>
          <w:b/>
          <w:i/>
          <w:sz w:val="22"/>
          <w:szCs w:val="22"/>
          <w:lang w:val="sr-Latn-ME"/>
        </w:rPr>
        <w:tab/>
        <w:t>Gram-negativne bakterije</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 xml:space="preserve">Proteus </w:t>
      </w:r>
      <w:r w:rsidRPr="00E46F90">
        <w:rPr>
          <w:iCs/>
          <w:sz w:val="22"/>
          <w:szCs w:val="22"/>
          <w:lang w:val="sr-Latn-ME"/>
        </w:rPr>
        <w:t>spp.</w:t>
      </w:r>
    </w:p>
    <w:p w:rsidR="00915423" w:rsidRPr="00E46F90" w:rsidRDefault="00400CF2" w:rsidP="00915423">
      <w:pPr>
        <w:tabs>
          <w:tab w:val="left" w:pos="284"/>
        </w:tabs>
        <w:ind w:left="567"/>
        <w:jc w:val="both"/>
        <w:rPr>
          <w:i/>
          <w:sz w:val="22"/>
          <w:szCs w:val="22"/>
          <w:lang w:val="sr-Latn-ME"/>
        </w:rPr>
      </w:pPr>
      <w:r w:rsidRPr="00E46F90">
        <w:rPr>
          <w:i/>
          <w:sz w:val="22"/>
          <w:szCs w:val="22"/>
          <w:lang w:val="sr-Latn-ME"/>
        </w:rPr>
        <w:t>Chlamydia trachomatis</w:t>
      </w:r>
    </w:p>
    <w:p w:rsidR="00400CF2" w:rsidRPr="00E46F90" w:rsidRDefault="00400CF2" w:rsidP="00E46F90">
      <w:pPr>
        <w:tabs>
          <w:tab w:val="left" w:pos="284"/>
        </w:tabs>
        <w:jc w:val="both"/>
        <w:rPr>
          <w:b/>
          <w:i/>
          <w:sz w:val="22"/>
          <w:szCs w:val="22"/>
          <w:lang w:val="sr-Latn-ME"/>
        </w:rPr>
      </w:pPr>
      <w:r w:rsidRPr="00E46F90">
        <w:rPr>
          <w:b/>
          <w:i/>
          <w:sz w:val="22"/>
          <w:szCs w:val="22"/>
          <w:lang w:val="sr-Latn-ME"/>
        </w:rPr>
        <w:tab/>
        <w:t>Drugi mikroorganizmi</w:t>
      </w:r>
    </w:p>
    <w:p w:rsidR="00400CF2" w:rsidRPr="00E46F90" w:rsidRDefault="00400CF2" w:rsidP="00E46F90">
      <w:pPr>
        <w:tabs>
          <w:tab w:val="left" w:pos="284"/>
        </w:tabs>
        <w:ind w:left="567"/>
        <w:jc w:val="both"/>
        <w:rPr>
          <w:i/>
          <w:sz w:val="22"/>
          <w:szCs w:val="22"/>
          <w:lang w:val="sr-Latn-ME"/>
        </w:rPr>
      </w:pPr>
      <w:r w:rsidRPr="00E46F90">
        <w:rPr>
          <w:i/>
          <w:sz w:val="22"/>
          <w:szCs w:val="22"/>
          <w:lang w:val="sr-Latn-ME"/>
        </w:rPr>
        <w:t>Trichomonas vaginalis</w:t>
      </w:r>
    </w:p>
    <w:p w:rsidR="00400CF2" w:rsidRPr="00E46F90" w:rsidRDefault="00400CF2" w:rsidP="00E46F90">
      <w:pPr>
        <w:tabs>
          <w:tab w:val="left" w:pos="284"/>
        </w:tabs>
        <w:jc w:val="both"/>
        <w:rPr>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5.2. </w:t>
      </w:r>
      <w:r w:rsidR="00480FB1" w:rsidRPr="00E46F90">
        <w:rPr>
          <w:b/>
          <w:bCs/>
          <w:sz w:val="22"/>
          <w:szCs w:val="22"/>
          <w:lang w:val="sr-Latn-ME"/>
        </w:rPr>
        <w:tab/>
      </w:r>
      <w:r w:rsidRPr="00E46F90">
        <w:rPr>
          <w:b/>
          <w:bCs/>
          <w:sz w:val="22"/>
          <w:szCs w:val="22"/>
          <w:lang w:val="sr-Latn-ME"/>
        </w:rPr>
        <w:t>Farmakokinetički podaci</w:t>
      </w:r>
      <w:r w:rsidR="003A7059" w:rsidRPr="00E46F90">
        <w:rPr>
          <w:b/>
          <w:bCs/>
          <w:sz w:val="22"/>
          <w:szCs w:val="22"/>
          <w:lang w:val="sr-Latn-ME"/>
        </w:rPr>
        <w:t xml:space="preserve"> </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Nakon rastvaranja Fluomizin, vaginalne tablete (10 mg dekvalinijum</w:t>
      </w:r>
      <w:r w:rsidR="00FF61F1" w:rsidRPr="00E46F90">
        <w:rPr>
          <w:sz w:val="22"/>
          <w:szCs w:val="22"/>
          <w:lang w:val="sr-Latn-ME"/>
        </w:rPr>
        <w:t xml:space="preserve"> </w:t>
      </w:r>
      <w:r w:rsidRPr="00E46F90">
        <w:rPr>
          <w:sz w:val="22"/>
          <w:szCs w:val="22"/>
          <w:lang w:val="sr-Latn-ME"/>
        </w:rPr>
        <w:t>hlorida) u otprilike 2,5 do 5 mL vaginalne tečnosti, koncentracija dekvalinijuma u vaginalnoj tečnosti iznosi 2000 - 4000 mg/L.</w:t>
      </w:r>
    </w:p>
    <w:p w:rsidR="00400CF2" w:rsidRPr="00E46F90" w:rsidRDefault="00400CF2" w:rsidP="00E46F90">
      <w:pPr>
        <w:tabs>
          <w:tab w:val="left" w:pos="284"/>
        </w:tabs>
        <w:jc w:val="both"/>
        <w:rPr>
          <w:sz w:val="22"/>
          <w:szCs w:val="22"/>
          <w:lang w:val="sr-Latn-ME"/>
        </w:rPr>
      </w:pPr>
    </w:p>
    <w:p w:rsidR="00400CF2" w:rsidRPr="00E46F90" w:rsidRDefault="00400CF2" w:rsidP="00E46F90">
      <w:pPr>
        <w:tabs>
          <w:tab w:val="left" w:pos="284"/>
        </w:tabs>
        <w:jc w:val="both"/>
        <w:rPr>
          <w:sz w:val="22"/>
          <w:szCs w:val="22"/>
          <w:lang w:val="sr-Latn-ME"/>
        </w:rPr>
      </w:pPr>
      <w:r w:rsidRPr="00E46F90">
        <w:rPr>
          <w:sz w:val="22"/>
          <w:szCs w:val="22"/>
          <w:lang w:val="sr-Latn-ME"/>
        </w:rPr>
        <w:t>Pretklinički podaci ukazuju na to da se dekvalinijum apsorbuje samo u veoma maloj količini nakon vaginalne aplikacije.</w:t>
      </w:r>
    </w:p>
    <w:p w:rsidR="00400CF2" w:rsidRPr="00E46F90" w:rsidRDefault="00400CF2" w:rsidP="00E46F90">
      <w:pPr>
        <w:tabs>
          <w:tab w:val="left" w:pos="284"/>
        </w:tabs>
        <w:jc w:val="both"/>
        <w:rPr>
          <w:sz w:val="22"/>
          <w:szCs w:val="22"/>
          <w:lang w:val="sr-Latn-ME"/>
        </w:rPr>
      </w:pPr>
      <w:r w:rsidRPr="00E46F90">
        <w:rPr>
          <w:sz w:val="22"/>
          <w:szCs w:val="22"/>
          <w:lang w:val="sr-Latn-ME"/>
        </w:rPr>
        <w:t>Stoga je sistemska izloženost lijeku Fluomizin zanemarljiva i nijesu dostupni dodatni farmakokinetički podaci.</w:t>
      </w:r>
    </w:p>
    <w:p w:rsidR="00400CF2" w:rsidRDefault="00400CF2" w:rsidP="00E46F90">
      <w:pPr>
        <w:tabs>
          <w:tab w:val="left" w:pos="540"/>
          <w:tab w:val="left" w:pos="569"/>
        </w:tabs>
        <w:jc w:val="both"/>
        <w:rPr>
          <w:bCs/>
          <w:sz w:val="22"/>
          <w:szCs w:val="22"/>
          <w:lang w:val="sr-Latn-ME"/>
        </w:rPr>
      </w:pPr>
    </w:p>
    <w:p w:rsidR="00915423" w:rsidRDefault="00915423" w:rsidP="00E46F90">
      <w:pPr>
        <w:tabs>
          <w:tab w:val="left" w:pos="540"/>
          <w:tab w:val="left" w:pos="569"/>
        </w:tabs>
        <w:jc w:val="both"/>
        <w:rPr>
          <w:bCs/>
          <w:sz w:val="22"/>
          <w:szCs w:val="22"/>
          <w:lang w:val="sr-Latn-ME"/>
        </w:rPr>
      </w:pPr>
    </w:p>
    <w:p w:rsidR="00915423" w:rsidRDefault="00915423" w:rsidP="00E46F90">
      <w:pPr>
        <w:tabs>
          <w:tab w:val="left" w:pos="540"/>
          <w:tab w:val="left" w:pos="569"/>
        </w:tabs>
        <w:jc w:val="both"/>
        <w:rPr>
          <w:bCs/>
          <w:sz w:val="22"/>
          <w:szCs w:val="22"/>
          <w:lang w:val="sr-Latn-ME"/>
        </w:rPr>
      </w:pPr>
    </w:p>
    <w:p w:rsidR="00915423" w:rsidRPr="00E46F90" w:rsidRDefault="00915423"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lastRenderedPageBreak/>
        <w:t xml:space="preserve">5.3. </w:t>
      </w:r>
      <w:r w:rsidR="00480FB1" w:rsidRPr="00E46F90">
        <w:rPr>
          <w:b/>
          <w:bCs/>
          <w:sz w:val="22"/>
          <w:szCs w:val="22"/>
          <w:lang w:val="sr-Latn-ME"/>
        </w:rPr>
        <w:tab/>
      </w:r>
      <w:r w:rsidRPr="00E46F90">
        <w:rPr>
          <w:b/>
          <w:bCs/>
          <w:sz w:val="22"/>
          <w:szCs w:val="22"/>
          <w:lang w:val="sr-Latn-ME"/>
        </w:rPr>
        <w:t xml:space="preserve">Pretklinički podaci o bezbjednosti </w:t>
      </w:r>
    </w:p>
    <w:p w:rsidR="00836B35" w:rsidRPr="00E46F90" w:rsidRDefault="00836B35"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Sistemski toksični efekti lijeka Fluomizin su malo vjerovatni zbog zanemarljive sistemske izloženosti dekvalinijumu primijenjenom intravaginalno.</w:t>
      </w: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Ispitivanja in vitro i in vivo sa dekvalinijumom nijesu dala nikakve naznake o potencijalu za izazivanje mutagenosti.</w:t>
      </w: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Nijesu sprovedene studije reproduktivne toksičnosti sa dekvalinijumom.</w:t>
      </w:r>
    </w:p>
    <w:p w:rsidR="00396DFD" w:rsidRPr="00E46F90" w:rsidRDefault="00400CF2" w:rsidP="00E46F90">
      <w:pPr>
        <w:tabs>
          <w:tab w:val="left" w:pos="540"/>
          <w:tab w:val="left" w:pos="569"/>
        </w:tabs>
        <w:jc w:val="both"/>
        <w:rPr>
          <w:bCs/>
          <w:sz w:val="22"/>
          <w:szCs w:val="22"/>
          <w:lang w:val="sr-Latn-ME"/>
        </w:rPr>
      </w:pPr>
      <w:r w:rsidRPr="00E46F90">
        <w:rPr>
          <w:bCs/>
          <w:sz w:val="22"/>
          <w:szCs w:val="22"/>
          <w:lang w:val="sr-Latn-ME"/>
        </w:rPr>
        <w:t>Studija na kunićima pokazala je dobru vaginalnu podnošljivost lijeka Fluomizin.</w:t>
      </w:r>
    </w:p>
    <w:p w:rsidR="00400CF2" w:rsidRDefault="00400CF2" w:rsidP="00E46F90">
      <w:pPr>
        <w:tabs>
          <w:tab w:val="left" w:pos="540"/>
          <w:tab w:val="left" w:pos="569"/>
        </w:tabs>
        <w:jc w:val="both"/>
        <w:rPr>
          <w:bCs/>
          <w:sz w:val="22"/>
          <w:szCs w:val="22"/>
          <w:lang w:val="sr-Latn-ME"/>
        </w:rPr>
      </w:pPr>
    </w:p>
    <w:p w:rsidR="00915423" w:rsidRPr="00E46F90" w:rsidRDefault="00915423"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 </w:t>
      </w:r>
      <w:r w:rsidR="00480FB1" w:rsidRPr="00E46F90">
        <w:rPr>
          <w:b/>
          <w:bCs/>
          <w:sz w:val="22"/>
          <w:szCs w:val="22"/>
          <w:lang w:val="sr-Latn-ME"/>
        </w:rPr>
        <w:tab/>
      </w:r>
      <w:r w:rsidRPr="00E46F90">
        <w:rPr>
          <w:b/>
          <w:bCs/>
          <w:sz w:val="22"/>
          <w:szCs w:val="22"/>
          <w:lang w:val="sr-Latn-ME"/>
        </w:rPr>
        <w:t>FARMACEUTSKI PODACI</w:t>
      </w:r>
    </w:p>
    <w:p w:rsidR="00836B35" w:rsidRPr="00E46F90" w:rsidRDefault="00836B35"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6.1. </w:t>
      </w:r>
      <w:r w:rsidR="00480FB1" w:rsidRPr="00E46F90">
        <w:rPr>
          <w:b/>
          <w:bCs/>
          <w:sz w:val="22"/>
          <w:szCs w:val="22"/>
          <w:lang w:val="sr-Latn-ME"/>
        </w:rPr>
        <w:tab/>
      </w:r>
      <w:r w:rsidRPr="00E46F90">
        <w:rPr>
          <w:b/>
          <w:bCs/>
          <w:sz w:val="22"/>
          <w:szCs w:val="22"/>
          <w:lang w:val="sr-Latn-ME"/>
        </w:rPr>
        <w:t>Lista pomoćnih supstanci</w:t>
      </w:r>
      <w:r w:rsidR="002E0135" w:rsidRPr="00E46F90">
        <w:rPr>
          <w:b/>
          <w:bCs/>
          <w:sz w:val="22"/>
          <w:szCs w:val="22"/>
          <w:lang w:val="sr-Latn-ME"/>
        </w:rPr>
        <w:t xml:space="preserve"> (ekscipijenasa)</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Laktoza, monohidrat</w:t>
      </w: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Celuloza, mikrokristalna</w:t>
      </w: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Magnezijum stearat</w:t>
      </w:r>
    </w:p>
    <w:p w:rsidR="00400CF2" w:rsidRPr="00E46F90" w:rsidRDefault="00400CF2"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6.2. </w:t>
      </w:r>
      <w:r w:rsidR="00480FB1" w:rsidRPr="00E46F90">
        <w:rPr>
          <w:b/>
          <w:bCs/>
          <w:sz w:val="22"/>
          <w:szCs w:val="22"/>
          <w:lang w:val="sr-Latn-ME"/>
        </w:rPr>
        <w:tab/>
      </w:r>
      <w:r w:rsidRPr="00E46F90">
        <w:rPr>
          <w:b/>
          <w:bCs/>
          <w:sz w:val="22"/>
          <w:szCs w:val="22"/>
          <w:lang w:val="sr-Latn-ME"/>
        </w:rPr>
        <w:t>Inkompatibilnost</w:t>
      </w:r>
      <w:r w:rsidR="002846DB" w:rsidRPr="00E46F90">
        <w:rPr>
          <w:b/>
          <w:bCs/>
          <w:sz w:val="22"/>
          <w:szCs w:val="22"/>
          <w:lang w:val="sr-Latn-ME"/>
        </w:rPr>
        <w:t>i</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Lijek Fluomizin je inkompatibilan sa sapunima i drugim anjonskim surfaktantima.</w:t>
      </w:r>
    </w:p>
    <w:p w:rsidR="00400CF2" w:rsidRPr="00E46F90" w:rsidRDefault="00400CF2"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6.3.</w:t>
      </w:r>
      <w:r w:rsidR="00C05DF8" w:rsidRPr="00E46F90">
        <w:rPr>
          <w:b/>
          <w:bCs/>
          <w:sz w:val="22"/>
          <w:szCs w:val="22"/>
          <w:lang w:val="sr-Latn-ME"/>
        </w:rPr>
        <w:t xml:space="preserve"> </w:t>
      </w:r>
      <w:r w:rsidR="00480FB1" w:rsidRPr="00E46F90">
        <w:rPr>
          <w:b/>
          <w:bCs/>
          <w:sz w:val="22"/>
          <w:szCs w:val="22"/>
          <w:lang w:val="sr-Latn-ME"/>
        </w:rPr>
        <w:tab/>
      </w:r>
      <w:r w:rsidRPr="00E46F90">
        <w:rPr>
          <w:b/>
          <w:bCs/>
          <w:sz w:val="22"/>
          <w:szCs w:val="22"/>
          <w:lang w:val="sr-Latn-ME"/>
        </w:rPr>
        <w:t>Rok upotrebe</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3 godine.</w:t>
      </w:r>
    </w:p>
    <w:p w:rsidR="00400CF2" w:rsidRPr="00E46F90" w:rsidRDefault="00400CF2"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6.4. </w:t>
      </w:r>
      <w:r w:rsidR="00480FB1" w:rsidRPr="00E46F90">
        <w:rPr>
          <w:b/>
          <w:bCs/>
          <w:sz w:val="22"/>
          <w:szCs w:val="22"/>
          <w:lang w:val="sr-Latn-ME"/>
        </w:rPr>
        <w:tab/>
      </w:r>
      <w:r w:rsidRPr="00E46F90">
        <w:rPr>
          <w:b/>
          <w:bCs/>
          <w:sz w:val="22"/>
          <w:szCs w:val="22"/>
          <w:lang w:val="sr-Latn-ME"/>
        </w:rPr>
        <w:t>Posebne mjere upozorenja pri čuvanju</w:t>
      </w:r>
      <w:r w:rsidR="00F8570A" w:rsidRPr="00E46F90">
        <w:rPr>
          <w:b/>
          <w:bCs/>
          <w:sz w:val="22"/>
          <w:szCs w:val="22"/>
          <w:lang w:val="sr-Latn-ME"/>
        </w:rPr>
        <w:t xml:space="preserve"> lijeka</w:t>
      </w:r>
    </w:p>
    <w:p w:rsidR="00EC2532" w:rsidRPr="00E46F90" w:rsidRDefault="00EC2532"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Čuvati na temperaturi do 30°C, u originalnom pakovanju.</w:t>
      </w:r>
    </w:p>
    <w:p w:rsidR="00400CF2" w:rsidRPr="00E46F90" w:rsidRDefault="00400CF2"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6.5. </w:t>
      </w:r>
      <w:r w:rsidR="00480FB1" w:rsidRPr="00E46F90">
        <w:rPr>
          <w:b/>
          <w:bCs/>
          <w:sz w:val="22"/>
          <w:szCs w:val="22"/>
          <w:lang w:val="sr-Latn-ME"/>
        </w:rPr>
        <w:tab/>
      </w:r>
      <w:r w:rsidR="002846DB" w:rsidRPr="00E46F90">
        <w:rPr>
          <w:b/>
          <w:bCs/>
          <w:sz w:val="22"/>
          <w:szCs w:val="22"/>
          <w:lang w:val="sr-Latn-ME"/>
        </w:rPr>
        <w:t xml:space="preserve">Vrsta i sadržaj </w:t>
      </w:r>
      <w:r w:rsidR="00F8570A" w:rsidRPr="00E46F90">
        <w:rPr>
          <w:b/>
          <w:bCs/>
          <w:sz w:val="22"/>
          <w:szCs w:val="22"/>
          <w:lang w:val="sr-Latn-ME"/>
        </w:rPr>
        <w:t>pakovanja</w:t>
      </w:r>
      <w:r w:rsidR="00C06864" w:rsidRPr="00E46F90">
        <w:rPr>
          <w:b/>
          <w:bCs/>
          <w:sz w:val="22"/>
          <w:szCs w:val="22"/>
          <w:lang w:val="sr-Latn-ME"/>
        </w:rPr>
        <w:t xml:space="preserve"> </w:t>
      </w:r>
    </w:p>
    <w:p w:rsidR="0072020E" w:rsidRPr="00E46F90" w:rsidRDefault="0072020E" w:rsidP="00E46F90">
      <w:pPr>
        <w:tabs>
          <w:tab w:val="left" w:pos="540"/>
          <w:tab w:val="left" w:pos="569"/>
        </w:tabs>
        <w:jc w:val="both"/>
        <w:rPr>
          <w:bCs/>
          <w:sz w:val="22"/>
          <w:szCs w:val="22"/>
          <w:lang w:val="sr-Latn-ME"/>
        </w:rPr>
      </w:pP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Unutrašnje pakovanje lijeka je PVC/PE/PVdC/aluminijum blister sa 6 vaginalnih tableta.</w:t>
      </w:r>
    </w:p>
    <w:p w:rsidR="00400CF2" w:rsidRPr="00E46F90" w:rsidRDefault="00400CF2" w:rsidP="00E46F90">
      <w:pPr>
        <w:tabs>
          <w:tab w:val="left" w:pos="540"/>
          <w:tab w:val="left" w:pos="569"/>
        </w:tabs>
        <w:jc w:val="both"/>
        <w:rPr>
          <w:bCs/>
          <w:sz w:val="22"/>
          <w:szCs w:val="22"/>
          <w:lang w:val="sr-Latn-ME"/>
        </w:rPr>
      </w:pPr>
      <w:r w:rsidRPr="00E46F90">
        <w:rPr>
          <w:bCs/>
          <w:sz w:val="22"/>
          <w:szCs w:val="22"/>
          <w:lang w:val="sr-Latn-ME"/>
        </w:rPr>
        <w:t>Spoljašnje pakovanje lijeka je složiva kartonska kutija u kojoj se nalazi 1 blister i Uputstvo za lijek.</w:t>
      </w:r>
    </w:p>
    <w:p w:rsidR="00400CF2" w:rsidRPr="00E46F90" w:rsidRDefault="00400CF2" w:rsidP="00E46F90">
      <w:pPr>
        <w:tabs>
          <w:tab w:val="left" w:pos="540"/>
          <w:tab w:val="left" w:pos="569"/>
        </w:tabs>
        <w:jc w:val="both"/>
        <w:rPr>
          <w:bCs/>
          <w:sz w:val="22"/>
          <w:szCs w:val="22"/>
          <w:lang w:val="sr-Latn-ME"/>
        </w:rPr>
      </w:pPr>
    </w:p>
    <w:p w:rsidR="002846DB"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6.6. </w:t>
      </w:r>
      <w:r w:rsidR="00480FB1" w:rsidRPr="00E46F90">
        <w:rPr>
          <w:b/>
          <w:bCs/>
          <w:sz w:val="22"/>
          <w:szCs w:val="22"/>
          <w:lang w:val="sr-Latn-ME"/>
        </w:rPr>
        <w:tab/>
      </w:r>
      <w:r w:rsidRPr="00E46F90">
        <w:rPr>
          <w:b/>
          <w:bCs/>
          <w:color w:val="000000"/>
          <w:sz w:val="22"/>
          <w:szCs w:val="22"/>
          <w:lang w:val="sr-Latn-ME"/>
        </w:rPr>
        <w:t>Posebne mjere opreza pri odlaganju materijala koji treba odbaciti nakon primjene lijeka</w:t>
      </w:r>
      <w:r w:rsidRPr="00E46F90">
        <w:rPr>
          <w:b/>
          <w:bCs/>
          <w:sz w:val="22"/>
          <w:szCs w:val="22"/>
          <w:lang w:val="sr-Latn-ME"/>
        </w:rPr>
        <w:t xml:space="preserve"> </w:t>
      </w:r>
      <w:r w:rsidR="00310F03" w:rsidRPr="00E46F90">
        <w:rPr>
          <w:b/>
          <w:bCs/>
          <w:sz w:val="22"/>
          <w:szCs w:val="22"/>
          <w:lang w:val="sr-Latn-ME"/>
        </w:rPr>
        <w:t>(i druga uputs</w:t>
      </w:r>
      <w:r w:rsidR="004109FA" w:rsidRPr="00E46F90">
        <w:rPr>
          <w:b/>
          <w:bCs/>
          <w:sz w:val="22"/>
          <w:szCs w:val="22"/>
          <w:lang w:val="sr-Latn-ME"/>
        </w:rPr>
        <w:t>t</w:t>
      </w:r>
      <w:r w:rsidR="00310F03" w:rsidRPr="00E46F90">
        <w:rPr>
          <w:b/>
          <w:bCs/>
          <w:sz w:val="22"/>
          <w:szCs w:val="22"/>
          <w:lang w:val="sr-Latn-ME"/>
        </w:rPr>
        <w:t xml:space="preserve">va za rukovanje lijekom) </w:t>
      </w:r>
    </w:p>
    <w:p w:rsidR="00B66A70" w:rsidRPr="00E46F90" w:rsidRDefault="00B66A70" w:rsidP="00E46F90">
      <w:pPr>
        <w:tabs>
          <w:tab w:val="left" w:pos="540"/>
          <w:tab w:val="left" w:pos="569"/>
        </w:tabs>
        <w:jc w:val="both"/>
        <w:rPr>
          <w:b/>
          <w:bCs/>
          <w:sz w:val="22"/>
          <w:szCs w:val="22"/>
          <w:lang w:val="sr-Latn-ME"/>
        </w:rPr>
      </w:pPr>
    </w:p>
    <w:p w:rsidR="0072020E" w:rsidRPr="00E46F90" w:rsidRDefault="00400CF2" w:rsidP="00E46F90">
      <w:pPr>
        <w:tabs>
          <w:tab w:val="left" w:pos="540"/>
          <w:tab w:val="left" w:pos="569"/>
        </w:tabs>
        <w:jc w:val="both"/>
        <w:rPr>
          <w:bCs/>
          <w:sz w:val="22"/>
          <w:szCs w:val="22"/>
          <w:lang w:val="sr-Latn-ME"/>
        </w:rPr>
      </w:pPr>
      <w:r w:rsidRPr="00E46F90">
        <w:rPr>
          <w:bCs/>
          <w:sz w:val="22"/>
          <w:szCs w:val="22"/>
          <w:lang w:val="sr-Latn-ME"/>
        </w:rPr>
        <w:t>Svu neiskorišćenu količinu lijeka ili otpadnog materijala nakon njegove upotrebe treba ukloniti, u skladu sa važećim propisima.</w:t>
      </w:r>
    </w:p>
    <w:p w:rsidR="00400CF2" w:rsidRDefault="00400CF2" w:rsidP="00E46F90">
      <w:pPr>
        <w:tabs>
          <w:tab w:val="left" w:pos="540"/>
          <w:tab w:val="left" w:pos="569"/>
        </w:tabs>
        <w:jc w:val="both"/>
        <w:rPr>
          <w:bCs/>
          <w:sz w:val="22"/>
          <w:szCs w:val="22"/>
          <w:lang w:val="sr-Latn-ME"/>
        </w:rPr>
      </w:pPr>
    </w:p>
    <w:p w:rsidR="00915423" w:rsidRPr="00E46F90" w:rsidRDefault="00915423" w:rsidP="00E46F90">
      <w:pPr>
        <w:tabs>
          <w:tab w:val="left" w:pos="540"/>
          <w:tab w:val="left" w:pos="569"/>
        </w:tabs>
        <w:jc w:val="both"/>
        <w:rPr>
          <w:bCs/>
          <w:sz w:val="22"/>
          <w:szCs w:val="22"/>
          <w:lang w:val="sr-Latn-ME"/>
        </w:rPr>
      </w:pPr>
    </w:p>
    <w:p w:rsidR="00F8570A"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7. </w:t>
      </w:r>
      <w:r w:rsidR="00480FB1" w:rsidRPr="00E46F90">
        <w:rPr>
          <w:b/>
          <w:bCs/>
          <w:sz w:val="22"/>
          <w:szCs w:val="22"/>
          <w:lang w:val="sr-Latn-ME"/>
        </w:rPr>
        <w:tab/>
      </w:r>
      <w:r w:rsidRPr="00E46F90">
        <w:rPr>
          <w:b/>
          <w:bCs/>
          <w:sz w:val="22"/>
          <w:szCs w:val="22"/>
          <w:lang w:val="sr-Latn-ME"/>
        </w:rPr>
        <w:t>NOSILAC DOZVOLE</w:t>
      </w:r>
      <w:r w:rsidR="00483928" w:rsidRPr="00E46F90">
        <w:rPr>
          <w:b/>
          <w:bCs/>
          <w:sz w:val="22"/>
          <w:szCs w:val="22"/>
          <w:lang w:val="sr-Latn-ME"/>
        </w:rPr>
        <w:t xml:space="preserve"> </w:t>
      </w:r>
    </w:p>
    <w:p w:rsidR="00400CF2" w:rsidRPr="00E46F90" w:rsidRDefault="00400CF2" w:rsidP="00E46F90">
      <w:pPr>
        <w:tabs>
          <w:tab w:val="left" w:pos="540"/>
          <w:tab w:val="left" w:pos="569"/>
        </w:tabs>
        <w:jc w:val="both"/>
        <w:rPr>
          <w:b/>
          <w:bCs/>
          <w:sz w:val="22"/>
          <w:szCs w:val="22"/>
          <w:lang w:val="sr-Latn-ME"/>
        </w:rPr>
      </w:pPr>
    </w:p>
    <w:p w:rsidR="00EF0785" w:rsidRPr="00E46F90" w:rsidRDefault="00EF0785" w:rsidP="00E46F90">
      <w:pPr>
        <w:tabs>
          <w:tab w:val="left" w:pos="540"/>
          <w:tab w:val="left" w:pos="569"/>
        </w:tabs>
        <w:jc w:val="both"/>
        <w:rPr>
          <w:bCs/>
          <w:sz w:val="22"/>
          <w:szCs w:val="22"/>
          <w:lang w:val="sr-Latn-ME"/>
        </w:rPr>
      </w:pPr>
      <w:r w:rsidRPr="00E46F90">
        <w:rPr>
          <w:bCs/>
          <w:sz w:val="22"/>
          <w:szCs w:val="22"/>
          <w:lang w:val="sr-Latn-ME"/>
        </w:rPr>
        <w:t>PharmaSwiss - Montenegro</w:t>
      </w:r>
      <w:r w:rsidR="00400CF2" w:rsidRPr="00E46F90">
        <w:rPr>
          <w:bCs/>
          <w:sz w:val="22"/>
          <w:szCs w:val="22"/>
          <w:lang w:val="sr-Latn-ME"/>
        </w:rPr>
        <w:t xml:space="preserve">, </w:t>
      </w:r>
      <w:r w:rsidRPr="00E46F90">
        <w:rPr>
          <w:bCs/>
          <w:sz w:val="22"/>
          <w:szCs w:val="22"/>
          <w:lang w:val="sr-Latn-ME"/>
        </w:rPr>
        <w:t>PharmaSwiss</w:t>
      </w:r>
      <w:r w:rsidR="00400CF2" w:rsidRPr="00E46F90">
        <w:rPr>
          <w:bCs/>
          <w:sz w:val="22"/>
          <w:szCs w:val="22"/>
          <w:lang w:val="sr-Latn-ME"/>
        </w:rPr>
        <w:t xml:space="preserve"> </w:t>
      </w:r>
      <w:r w:rsidRPr="00E46F90">
        <w:rPr>
          <w:bCs/>
          <w:sz w:val="22"/>
          <w:szCs w:val="22"/>
          <w:lang w:val="sr-Latn-ME"/>
        </w:rPr>
        <w:t>doo</w:t>
      </w:r>
      <w:r w:rsidR="00400CF2" w:rsidRPr="00E46F90">
        <w:rPr>
          <w:bCs/>
          <w:sz w:val="22"/>
          <w:szCs w:val="22"/>
          <w:lang w:val="sr-Latn-ME"/>
        </w:rPr>
        <w:t xml:space="preserve"> </w:t>
      </w:r>
      <w:r w:rsidRPr="00E46F90">
        <w:rPr>
          <w:bCs/>
          <w:sz w:val="22"/>
          <w:szCs w:val="22"/>
          <w:lang w:val="sr-Latn-ME"/>
        </w:rPr>
        <w:t>Beograd</w:t>
      </w:r>
      <w:r w:rsidR="00400CF2" w:rsidRPr="00E46F90">
        <w:rPr>
          <w:bCs/>
          <w:sz w:val="22"/>
          <w:szCs w:val="22"/>
          <w:lang w:val="sr-Latn-ME"/>
        </w:rPr>
        <w:t xml:space="preserve">, </w:t>
      </w:r>
      <w:r w:rsidRPr="00E46F90">
        <w:rPr>
          <w:bCs/>
          <w:sz w:val="22"/>
          <w:szCs w:val="22"/>
          <w:lang w:val="sr-Latn-ME"/>
        </w:rPr>
        <w:t>dio stranog društva u Podgorici</w:t>
      </w:r>
      <w:r w:rsidR="00400CF2" w:rsidRPr="00E46F90">
        <w:rPr>
          <w:bCs/>
          <w:sz w:val="22"/>
          <w:szCs w:val="22"/>
          <w:lang w:val="sr-Latn-ME"/>
        </w:rPr>
        <w:t xml:space="preserve"> </w:t>
      </w:r>
    </w:p>
    <w:p w:rsidR="00C61BE0" w:rsidRPr="00E46F90" w:rsidRDefault="00400CF2" w:rsidP="00E46F90">
      <w:pPr>
        <w:tabs>
          <w:tab w:val="left" w:pos="540"/>
          <w:tab w:val="left" w:pos="569"/>
        </w:tabs>
        <w:jc w:val="both"/>
        <w:rPr>
          <w:bCs/>
          <w:sz w:val="22"/>
          <w:szCs w:val="22"/>
          <w:lang w:val="sr-Latn-ME"/>
        </w:rPr>
      </w:pPr>
      <w:r w:rsidRPr="00E46F90">
        <w:rPr>
          <w:bCs/>
          <w:sz w:val="22"/>
          <w:szCs w:val="22"/>
          <w:lang w:val="sr-Latn-ME"/>
        </w:rPr>
        <w:t xml:space="preserve">Rimski trg </w:t>
      </w:r>
      <w:r w:rsidR="00EF0785" w:rsidRPr="00E46F90">
        <w:rPr>
          <w:bCs/>
          <w:sz w:val="22"/>
          <w:szCs w:val="22"/>
          <w:lang w:val="sr-Latn-ME"/>
        </w:rPr>
        <w:t xml:space="preserve">br. </w:t>
      </w:r>
      <w:r w:rsidRPr="00E46F90">
        <w:rPr>
          <w:bCs/>
          <w:sz w:val="22"/>
          <w:szCs w:val="22"/>
          <w:lang w:val="sr-Latn-ME"/>
        </w:rPr>
        <w:t>16, Podgorica</w:t>
      </w:r>
      <w:r w:rsidR="00EF0785" w:rsidRPr="00E46F90">
        <w:rPr>
          <w:bCs/>
          <w:sz w:val="22"/>
          <w:szCs w:val="22"/>
          <w:lang w:val="sr-Latn-ME"/>
        </w:rPr>
        <w:t>, Crna Gora</w:t>
      </w:r>
    </w:p>
    <w:p w:rsidR="00C37FD7" w:rsidRDefault="00C37FD7" w:rsidP="00E46F90">
      <w:pPr>
        <w:tabs>
          <w:tab w:val="left" w:pos="540"/>
          <w:tab w:val="left" w:pos="569"/>
        </w:tabs>
        <w:jc w:val="both"/>
        <w:rPr>
          <w:bCs/>
          <w:sz w:val="22"/>
          <w:szCs w:val="22"/>
          <w:lang w:val="sr-Latn-ME"/>
        </w:rPr>
      </w:pPr>
    </w:p>
    <w:p w:rsidR="00915423" w:rsidRPr="00E46F90" w:rsidRDefault="00915423"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8. </w:t>
      </w:r>
      <w:r w:rsidR="00480FB1" w:rsidRPr="00E46F90">
        <w:rPr>
          <w:b/>
          <w:bCs/>
          <w:sz w:val="22"/>
          <w:szCs w:val="22"/>
          <w:lang w:val="sr-Latn-ME"/>
        </w:rPr>
        <w:tab/>
      </w:r>
      <w:r w:rsidRPr="00E46F90">
        <w:rPr>
          <w:b/>
          <w:bCs/>
          <w:sz w:val="22"/>
          <w:szCs w:val="22"/>
          <w:lang w:val="sr-Latn-ME"/>
        </w:rPr>
        <w:t>BROJ DOZVOLE</w:t>
      </w:r>
      <w:r w:rsidR="008A6D43" w:rsidRPr="00E46F90">
        <w:rPr>
          <w:b/>
          <w:bCs/>
          <w:sz w:val="22"/>
          <w:szCs w:val="22"/>
          <w:lang w:val="sr-Latn-ME"/>
        </w:rPr>
        <w:t xml:space="preserve"> ZA STAVLJANJE LIJEKA U PROMET</w:t>
      </w:r>
    </w:p>
    <w:p w:rsidR="00400CF2" w:rsidRPr="00E46F90" w:rsidRDefault="00400CF2" w:rsidP="00E46F90">
      <w:pPr>
        <w:tabs>
          <w:tab w:val="left" w:pos="540"/>
          <w:tab w:val="left" w:pos="569"/>
        </w:tabs>
        <w:jc w:val="both"/>
        <w:rPr>
          <w:bCs/>
          <w:sz w:val="22"/>
          <w:szCs w:val="22"/>
          <w:lang w:val="sr-Latn-ME"/>
        </w:rPr>
      </w:pPr>
    </w:p>
    <w:p w:rsidR="00977D60" w:rsidRPr="00E46F90" w:rsidRDefault="00977D60" w:rsidP="00E46F90">
      <w:pPr>
        <w:tabs>
          <w:tab w:val="left" w:pos="540"/>
          <w:tab w:val="left" w:pos="569"/>
        </w:tabs>
        <w:jc w:val="both"/>
        <w:rPr>
          <w:bCs/>
          <w:sz w:val="22"/>
          <w:szCs w:val="22"/>
          <w:lang w:val="sr-Latn-ME"/>
        </w:rPr>
      </w:pPr>
      <w:r w:rsidRPr="00E46F90">
        <w:rPr>
          <w:bCs/>
          <w:sz w:val="22"/>
          <w:szCs w:val="22"/>
          <w:lang w:val="sr-Latn-ME"/>
        </w:rPr>
        <w:t>Fluomizin</w:t>
      </w:r>
      <w:r w:rsidRPr="00E46F90">
        <w:rPr>
          <w:bCs/>
          <w:sz w:val="22"/>
          <w:szCs w:val="22"/>
          <w:vertAlign w:val="superscript"/>
          <w:lang w:val="sr-Latn-ME"/>
        </w:rPr>
        <w:t>®</w:t>
      </w:r>
      <w:r w:rsidRPr="00E46F90">
        <w:rPr>
          <w:bCs/>
          <w:sz w:val="22"/>
          <w:szCs w:val="22"/>
          <w:lang w:val="sr-Latn-ME"/>
        </w:rPr>
        <w:t>, vaginalna tableta, 10 mg, blister, 6 (1x6) vaginalnih tableta:</w:t>
      </w:r>
      <w:r w:rsidR="00B5273D" w:rsidRPr="00B5273D">
        <w:t xml:space="preserve"> </w:t>
      </w:r>
      <w:r w:rsidR="00B5273D" w:rsidRPr="00B5273D">
        <w:rPr>
          <w:bCs/>
          <w:sz w:val="22"/>
          <w:szCs w:val="22"/>
          <w:lang w:val="sr-Latn-ME"/>
        </w:rPr>
        <w:t>2030/20/891 - 1110</w:t>
      </w:r>
    </w:p>
    <w:p w:rsidR="00F45F77" w:rsidRDefault="00F45F77" w:rsidP="00E46F90">
      <w:pPr>
        <w:tabs>
          <w:tab w:val="left" w:pos="540"/>
          <w:tab w:val="left" w:pos="569"/>
        </w:tabs>
        <w:jc w:val="both"/>
        <w:rPr>
          <w:bCs/>
          <w:sz w:val="22"/>
          <w:szCs w:val="22"/>
          <w:lang w:val="sr-Latn-ME"/>
        </w:rPr>
      </w:pPr>
    </w:p>
    <w:p w:rsidR="00915423" w:rsidRPr="00E46F90" w:rsidRDefault="00915423" w:rsidP="00E46F90">
      <w:pPr>
        <w:tabs>
          <w:tab w:val="left" w:pos="540"/>
          <w:tab w:val="left" w:pos="569"/>
        </w:tabs>
        <w:jc w:val="both"/>
        <w:rPr>
          <w:bCs/>
          <w:sz w:val="22"/>
          <w:szCs w:val="22"/>
          <w:lang w:val="sr-Latn-ME"/>
        </w:rPr>
      </w:pPr>
    </w:p>
    <w:p w:rsidR="0072020E" w:rsidRPr="00E46F90" w:rsidRDefault="0072020E" w:rsidP="00E46F90">
      <w:pPr>
        <w:tabs>
          <w:tab w:val="left" w:pos="540"/>
          <w:tab w:val="left" w:pos="569"/>
        </w:tabs>
        <w:jc w:val="both"/>
        <w:rPr>
          <w:b/>
          <w:bCs/>
          <w:sz w:val="22"/>
          <w:szCs w:val="22"/>
          <w:lang w:val="sr-Latn-ME"/>
        </w:rPr>
      </w:pPr>
      <w:r w:rsidRPr="00E46F90">
        <w:rPr>
          <w:b/>
          <w:bCs/>
          <w:sz w:val="22"/>
          <w:szCs w:val="22"/>
          <w:lang w:val="sr-Latn-ME"/>
        </w:rPr>
        <w:t xml:space="preserve">9. </w:t>
      </w:r>
      <w:r w:rsidR="00480FB1" w:rsidRPr="00E46F90">
        <w:rPr>
          <w:b/>
          <w:bCs/>
          <w:sz w:val="22"/>
          <w:szCs w:val="22"/>
          <w:lang w:val="sr-Latn-ME"/>
        </w:rPr>
        <w:tab/>
      </w:r>
      <w:r w:rsidRPr="00E46F90">
        <w:rPr>
          <w:b/>
          <w:bCs/>
          <w:sz w:val="22"/>
          <w:szCs w:val="22"/>
          <w:lang w:val="sr-Latn-ME"/>
        </w:rPr>
        <w:t xml:space="preserve">DATUM </w:t>
      </w:r>
      <w:r w:rsidR="00C05DF8" w:rsidRPr="00E46F90">
        <w:rPr>
          <w:b/>
          <w:bCs/>
          <w:sz w:val="22"/>
          <w:szCs w:val="22"/>
          <w:lang w:val="sr-Latn-ME"/>
        </w:rPr>
        <w:t xml:space="preserve">PRVE </w:t>
      </w:r>
      <w:r w:rsidR="008A6D43" w:rsidRPr="00E46F90">
        <w:rPr>
          <w:b/>
          <w:bCs/>
          <w:sz w:val="22"/>
          <w:szCs w:val="22"/>
          <w:lang w:val="sr-Latn-ME"/>
        </w:rPr>
        <w:t>DOZVOLE</w:t>
      </w:r>
      <w:r w:rsidR="00C05DF8" w:rsidRPr="00E46F90">
        <w:rPr>
          <w:b/>
          <w:bCs/>
          <w:sz w:val="22"/>
          <w:szCs w:val="22"/>
          <w:lang w:val="sr-Latn-ME"/>
        </w:rPr>
        <w:t>/OBNOVE DOZVOLE</w:t>
      </w:r>
      <w:r w:rsidR="008A6D43" w:rsidRPr="00E46F90">
        <w:rPr>
          <w:b/>
          <w:bCs/>
          <w:sz w:val="22"/>
          <w:szCs w:val="22"/>
          <w:lang w:val="sr-Latn-ME"/>
        </w:rPr>
        <w:t xml:space="preserve"> ZA STAVLJANJE LIJEKA U PROMET</w:t>
      </w:r>
    </w:p>
    <w:p w:rsidR="0072020E" w:rsidRPr="00E46F90" w:rsidRDefault="0072020E" w:rsidP="00E46F90">
      <w:pPr>
        <w:tabs>
          <w:tab w:val="left" w:pos="540"/>
          <w:tab w:val="left" w:pos="569"/>
        </w:tabs>
        <w:jc w:val="both"/>
        <w:rPr>
          <w:bCs/>
          <w:sz w:val="22"/>
          <w:szCs w:val="22"/>
          <w:lang w:val="sr-Latn-ME"/>
        </w:rPr>
      </w:pPr>
    </w:p>
    <w:p w:rsidR="00977D60" w:rsidRPr="00E46F90" w:rsidRDefault="00977D60" w:rsidP="00E46F90">
      <w:pPr>
        <w:tabs>
          <w:tab w:val="left" w:pos="540"/>
          <w:tab w:val="left" w:pos="569"/>
        </w:tabs>
        <w:jc w:val="both"/>
        <w:rPr>
          <w:bCs/>
          <w:sz w:val="22"/>
          <w:szCs w:val="22"/>
          <w:lang w:val="sr-Latn-ME"/>
        </w:rPr>
      </w:pPr>
      <w:r w:rsidRPr="00E46F90">
        <w:rPr>
          <w:bCs/>
          <w:sz w:val="22"/>
          <w:szCs w:val="22"/>
          <w:lang w:val="sr-Latn-ME"/>
        </w:rPr>
        <w:t>Fluomizin</w:t>
      </w:r>
      <w:r w:rsidRPr="00E46F90">
        <w:rPr>
          <w:bCs/>
          <w:sz w:val="22"/>
          <w:szCs w:val="22"/>
          <w:vertAlign w:val="superscript"/>
          <w:lang w:val="sr-Latn-ME"/>
        </w:rPr>
        <w:t>®</w:t>
      </w:r>
      <w:r w:rsidRPr="00E46F90">
        <w:rPr>
          <w:bCs/>
          <w:sz w:val="22"/>
          <w:szCs w:val="22"/>
          <w:lang w:val="sr-Latn-ME"/>
        </w:rPr>
        <w:t>, vaginalna tableta, 10 mg, blister, 6 (1x6) vaginalnih tableta:</w:t>
      </w:r>
      <w:r w:rsidR="00B5273D">
        <w:rPr>
          <w:bCs/>
          <w:sz w:val="22"/>
          <w:szCs w:val="22"/>
          <w:lang w:val="sr-Latn-ME"/>
        </w:rPr>
        <w:t xml:space="preserve"> 28.08.2020. godine</w:t>
      </w:r>
      <w:bookmarkStart w:id="0" w:name="_GoBack"/>
      <w:bookmarkEnd w:id="0"/>
    </w:p>
    <w:p w:rsidR="00836B35" w:rsidRPr="00E46F90" w:rsidRDefault="00836B35" w:rsidP="00E46F90">
      <w:pPr>
        <w:tabs>
          <w:tab w:val="left" w:pos="540"/>
          <w:tab w:val="left" w:pos="569"/>
        </w:tabs>
        <w:jc w:val="both"/>
        <w:rPr>
          <w:bCs/>
          <w:sz w:val="22"/>
          <w:szCs w:val="22"/>
          <w:lang w:val="sr-Latn-ME"/>
        </w:rPr>
      </w:pPr>
    </w:p>
    <w:p w:rsidR="003F6A59" w:rsidRPr="00E46F90" w:rsidRDefault="0072020E" w:rsidP="00E46F90">
      <w:pPr>
        <w:tabs>
          <w:tab w:val="left" w:pos="540"/>
          <w:tab w:val="left" w:pos="569"/>
        </w:tabs>
        <w:ind w:left="540" w:hanging="540"/>
        <w:jc w:val="both"/>
        <w:rPr>
          <w:bCs/>
          <w:sz w:val="22"/>
          <w:szCs w:val="22"/>
          <w:lang w:val="sr-Latn-ME"/>
        </w:rPr>
      </w:pPr>
      <w:r w:rsidRPr="00E46F90">
        <w:rPr>
          <w:b/>
          <w:bCs/>
          <w:sz w:val="22"/>
          <w:szCs w:val="22"/>
          <w:lang w:val="sr-Latn-ME"/>
        </w:rPr>
        <w:t xml:space="preserve">10. </w:t>
      </w:r>
      <w:r w:rsidR="00480FB1" w:rsidRPr="00E46F90">
        <w:rPr>
          <w:b/>
          <w:bCs/>
          <w:sz w:val="22"/>
          <w:szCs w:val="22"/>
          <w:lang w:val="sr-Latn-ME"/>
        </w:rPr>
        <w:tab/>
      </w:r>
      <w:r w:rsidR="002846DB" w:rsidRPr="00E46F90">
        <w:rPr>
          <w:b/>
          <w:bCs/>
          <w:sz w:val="22"/>
          <w:szCs w:val="22"/>
          <w:lang w:val="sr-Latn-ME"/>
        </w:rPr>
        <w:t>D</w:t>
      </w:r>
      <w:r w:rsidR="00EC2532" w:rsidRPr="00E46F90">
        <w:rPr>
          <w:b/>
          <w:bCs/>
          <w:sz w:val="22"/>
          <w:szCs w:val="22"/>
          <w:lang w:val="sr-Latn-ME"/>
        </w:rPr>
        <w:t xml:space="preserve">ATUM REVIZIJE TEKSTA </w:t>
      </w:r>
    </w:p>
    <w:p w:rsidR="003F6A59" w:rsidRPr="00E46F90" w:rsidRDefault="003F6A59" w:rsidP="00E46F90">
      <w:pPr>
        <w:tabs>
          <w:tab w:val="left" w:pos="540"/>
          <w:tab w:val="left" w:pos="569"/>
        </w:tabs>
        <w:jc w:val="both"/>
        <w:rPr>
          <w:bCs/>
          <w:sz w:val="22"/>
          <w:szCs w:val="22"/>
          <w:lang w:val="sr-Latn-ME"/>
        </w:rPr>
      </w:pPr>
    </w:p>
    <w:p w:rsidR="003F6A59" w:rsidRPr="00E46F90" w:rsidRDefault="00915423" w:rsidP="00E46F90">
      <w:pPr>
        <w:jc w:val="both"/>
        <w:rPr>
          <w:sz w:val="22"/>
          <w:szCs w:val="22"/>
          <w:lang w:val="sr-Latn-ME"/>
        </w:rPr>
      </w:pPr>
      <w:r>
        <w:rPr>
          <w:sz w:val="22"/>
          <w:szCs w:val="22"/>
          <w:lang w:val="sr-Latn-ME"/>
        </w:rPr>
        <w:t>Avgust, 2020. godine</w:t>
      </w:r>
    </w:p>
    <w:sectPr w:rsidR="003F6A59" w:rsidRPr="00E46F90"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85" w:rsidRDefault="00B75C85">
      <w:r>
        <w:separator/>
      </w:r>
    </w:p>
  </w:endnote>
  <w:endnote w:type="continuationSeparator" w:id="0">
    <w:p w:rsidR="00B75C85" w:rsidRDefault="00B7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5273D">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5273D">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85" w:rsidRDefault="00B75C85">
      <w:r>
        <w:separator/>
      </w:r>
    </w:p>
  </w:footnote>
  <w:footnote w:type="continuationSeparator" w:id="0">
    <w:p w:rsidR="00B75C85" w:rsidRDefault="00B75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7D42CE"/>
    <w:multiLevelType w:val="hybridMultilevel"/>
    <w:tmpl w:val="02A4B83C"/>
    <w:lvl w:ilvl="0" w:tplc="77544EA0">
      <w:start w:val="1"/>
      <w:numFmt w:val="decimal"/>
      <w:lvlText w:val="%1)"/>
      <w:lvlJc w:val="left"/>
      <w:pPr>
        <w:ind w:left="900" w:hanging="540"/>
      </w:pPr>
      <w:rPr>
        <w:rFonts w:hint="default"/>
        <w:vertAlign w:val="superscrip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7585354"/>
    <w:multiLevelType w:val="hybridMultilevel"/>
    <w:tmpl w:val="0194C930"/>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3004E6"/>
    <w:multiLevelType w:val="hybridMultilevel"/>
    <w:tmpl w:val="D668DA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1"/>
  </w:num>
  <w:num w:numId="5">
    <w:abstractNumId w:val="6"/>
  </w:num>
  <w:num w:numId="6">
    <w:abstractNumId w:val="1"/>
  </w:num>
  <w:num w:numId="7">
    <w:abstractNumId w:val="10"/>
  </w:num>
  <w:num w:numId="8">
    <w:abstractNumId w:val="5"/>
  </w:num>
  <w:num w:numId="9">
    <w:abstractNumId w:val="8"/>
  </w:num>
  <w:num w:numId="10">
    <w:abstractNumId w:val="13"/>
  </w:num>
  <w:num w:numId="11">
    <w:abstractNumId w:val="7"/>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82D"/>
    <w:rsid w:val="00036FA0"/>
    <w:rsid w:val="0003793F"/>
    <w:rsid w:val="00057E35"/>
    <w:rsid w:val="00076726"/>
    <w:rsid w:val="00080303"/>
    <w:rsid w:val="00087156"/>
    <w:rsid w:val="00095B31"/>
    <w:rsid w:val="000A3F58"/>
    <w:rsid w:val="000D2343"/>
    <w:rsid w:val="000D3449"/>
    <w:rsid w:val="000D3B78"/>
    <w:rsid w:val="000D425A"/>
    <w:rsid w:val="000D60CC"/>
    <w:rsid w:val="000E2084"/>
    <w:rsid w:val="000E6F55"/>
    <w:rsid w:val="000F77FA"/>
    <w:rsid w:val="00107BF7"/>
    <w:rsid w:val="001120BD"/>
    <w:rsid w:val="00126F53"/>
    <w:rsid w:val="0014766D"/>
    <w:rsid w:val="001536CC"/>
    <w:rsid w:val="001A3FBA"/>
    <w:rsid w:val="001A5518"/>
    <w:rsid w:val="001B1C6A"/>
    <w:rsid w:val="001B7C38"/>
    <w:rsid w:val="001C1263"/>
    <w:rsid w:val="001C1417"/>
    <w:rsid w:val="001E390B"/>
    <w:rsid w:val="001F42FB"/>
    <w:rsid w:val="001F719A"/>
    <w:rsid w:val="002031B3"/>
    <w:rsid w:val="00215931"/>
    <w:rsid w:val="00227BDB"/>
    <w:rsid w:val="00234CB1"/>
    <w:rsid w:val="002352F8"/>
    <w:rsid w:val="002510A5"/>
    <w:rsid w:val="00254A0A"/>
    <w:rsid w:val="00266046"/>
    <w:rsid w:val="002846DB"/>
    <w:rsid w:val="00284CCD"/>
    <w:rsid w:val="002C6637"/>
    <w:rsid w:val="002E0135"/>
    <w:rsid w:val="002E37A5"/>
    <w:rsid w:val="00310F03"/>
    <w:rsid w:val="003247D2"/>
    <w:rsid w:val="003445C1"/>
    <w:rsid w:val="00355B61"/>
    <w:rsid w:val="00362686"/>
    <w:rsid w:val="003638EC"/>
    <w:rsid w:val="00371510"/>
    <w:rsid w:val="00396DFD"/>
    <w:rsid w:val="003A7059"/>
    <w:rsid w:val="003B7A36"/>
    <w:rsid w:val="003C17AB"/>
    <w:rsid w:val="003C7823"/>
    <w:rsid w:val="003E1DCC"/>
    <w:rsid w:val="003F6A59"/>
    <w:rsid w:val="00400CF2"/>
    <w:rsid w:val="004065C8"/>
    <w:rsid w:val="004109FA"/>
    <w:rsid w:val="00411B4B"/>
    <w:rsid w:val="00415BEE"/>
    <w:rsid w:val="00427F85"/>
    <w:rsid w:val="00436F42"/>
    <w:rsid w:val="004378B4"/>
    <w:rsid w:val="00451314"/>
    <w:rsid w:val="00452E9D"/>
    <w:rsid w:val="004534C7"/>
    <w:rsid w:val="004671AA"/>
    <w:rsid w:val="00480FB1"/>
    <w:rsid w:val="00483928"/>
    <w:rsid w:val="004D6103"/>
    <w:rsid w:val="004E3BCE"/>
    <w:rsid w:val="004F0E97"/>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602457"/>
    <w:rsid w:val="00646BD1"/>
    <w:rsid w:val="006561C2"/>
    <w:rsid w:val="00671CB3"/>
    <w:rsid w:val="00674BAF"/>
    <w:rsid w:val="006816DD"/>
    <w:rsid w:val="00682200"/>
    <w:rsid w:val="00692BF6"/>
    <w:rsid w:val="006A1497"/>
    <w:rsid w:val="006B0BD1"/>
    <w:rsid w:val="006B15CF"/>
    <w:rsid w:val="006D20A5"/>
    <w:rsid w:val="006D37BF"/>
    <w:rsid w:val="00702E22"/>
    <w:rsid w:val="0072020E"/>
    <w:rsid w:val="00786071"/>
    <w:rsid w:val="007A3ECB"/>
    <w:rsid w:val="00824AB9"/>
    <w:rsid w:val="00836B35"/>
    <w:rsid w:val="00843BDE"/>
    <w:rsid w:val="0089705C"/>
    <w:rsid w:val="008A6D43"/>
    <w:rsid w:val="008B491E"/>
    <w:rsid w:val="008C1A28"/>
    <w:rsid w:val="008C2E98"/>
    <w:rsid w:val="008E49BD"/>
    <w:rsid w:val="008E53E9"/>
    <w:rsid w:val="008E5771"/>
    <w:rsid w:val="008F4ACF"/>
    <w:rsid w:val="00915423"/>
    <w:rsid w:val="00940B9B"/>
    <w:rsid w:val="00944A47"/>
    <w:rsid w:val="0095676E"/>
    <w:rsid w:val="00956983"/>
    <w:rsid w:val="00963CF0"/>
    <w:rsid w:val="00964BB1"/>
    <w:rsid w:val="009775D9"/>
    <w:rsid w:val="00977D60"/>
    <w:rsid w:val="00997175"/>
    <w:rsid w:val="009A1847"/>
    <w:rsid w:val="009B062A"/>
    <w:rsid w:val="009C0AE7"/>
    <w:rsid w:val="009E7C6F"/>
    <w:rsid w:val="009F1793"/>
    <w:rsid w:val="009F2D23"/>
    <w:rsid w:val="00A01D69"/>
    <w:rsid w:val="00A02335"/>
    <w:rsid w:val="00A349DA"/>
    <w:rsid w:val="00A46C9A"/>
    <w:rsid w:val="00A619F3"/>
    <w:rsid w:val="00A62A73"/>
    <w:rsid w:val="00A63672"/>
    <w:rsid w:val="00A87FF6"/>
    <w:rsid w:val="00AA0A3B"/>
    <w:rsid w:val="00AA2763"/>
    <w:rsid w:val="00AA3193"/>
    <w:rsid w:val="00AA33B6"/>
    <w:rsid w:val="00AB50CA"/>
    <w:rsid w:val="00AB6D64"/>
    <w:rsid w:val="00AC53CE"/>
    <w:rsid w:val="00AD2193"/>
    <w:rsid w:val="00AF2AC7"/>
    <w:rsid w:val="00AF74CE"/>
    <w:rsid w:val="00B0119C"/>
    <w:rsid w:val="00B208DB"/>
    <w:rsid w:val="00B23F69"/>
    <w:rsid w:val="00B5273D"/>
    <w:rsid w:val="00B60619"/>
    <w:rsid w:val="00B66A70"/>
    <w:rsid w:val="00B67366"/>
    <w:rsid w:val="00B75C85"/>
    <w:rsid w:val="00B80EE1"/>
    <w:rsid w:val="00B84135"/>
    <w:rsid w:val="00C04038"/>
    <w:rsid w:val="00C04D34"/>
    <w:rsid w:val="00C05DF8"/>
    <w:rsid w:val="00C06864"/>
    <w:rsid w:val="00C10F54"/>
    <w:rsid w:val="00C23D8D"/>
    <w:rsid w:val="00C33964"/>
    <w:rsid w:val="00C37AA3"/>
    <w:rsid w:val="00C37FD7"/>
    <w:rsid w:val="00C43419"/>
    <w:rsid w:val="00C44CF3"/>
    <w:rsid w:val="00C61BE0"/>
    <w:rsid w:val="00C70B0E"/>
    <w:rsid w:val="00C773CA"/>
    <w:rsid w:val="00C83785"/>
    <w:rsid w:val="00C90DEF"/>
    <w:rsid w:val="00C94C0D"/>
    <w:rsid w:val="00CA1FEB"/>
    <w:rsid w:val="00CD4F85"/>
    <w:rsid w:val="00CD6F02"/>
    <w:rsid w:val="00CE246D"/>
    <w:rsid w:val="00CF07A0"/>
    <w:rsid w:val="00CF3E03"/>
    <w:rsid w:val="00D0082A"/>
    <w:rsid w:val="00D21455"/>
    <w:rsid w:val="00D4498F"/>
    <w:rsid w:val="00D47634"/>
    <w:rsid w:val="00D709B3"/>
    <w:rsid w:val="00D9438D"/>
    <w:rsid w:val="00DA2ED6"/>
    <w:rsid w:val="00DB76B8"/>
    <w:rsid w:val="00DC2EA1"/>
    <w:rsid w:val="00DD6AAF"/>
    <w:rsid w:val="00DE3F5C"/>
    <w:rsid w:val="00DF1D20"/>
    <w:rsid w:val="00E21324"/>
    <w:rsid w:val="00E246B9"/>
    <w:rsid w:val="00E31FEA"/>
    <w:rsid w:val="00E45169"/>
    <w:rsid w:val="00E46F90"/>
    <w:rsid w:val="00E47787"/>
    <w:rsid w:val="00E51C30"/>
    <w:rsid w:val="00E64180"/>
    <w:rsid w:val="00E74AEE"/>
    <w:rsid w:val="00E868E5"/>
    <w:rsid w:val="00E9237A"/>
    <w:rsid w:val="00E939FA"/>
    <w:rsid w:val="00EA5765"/>
    <w:rsid w:val="00EA75AF"/>
    <w:rsid w:val="00EC2532"/>
    <w:rsid w:val="00ED7812"/>
    <w:rsid w:val="00EE0C5B"/>
    <w:rsid w:val="00EF0785"/>
    <w:rsid w:val="00EF3B86"/>
    <w:rsid w:val="00F317E9"/>
    <w:rsid w:val="00F34554"/>
    <w:rsid w:val="00F45F77"/>
    <w:rsid w:val="00F5167F"/>
    <w:rsid w:val="00F52258"/>
    <w:rsid w:val="00F8570A"/>
    <w:rsid w:val="00F91C7B"/>
    <w:rsid w:val="00FF5F82"/>
    <w:rsid w:val="00FF61F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83A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400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736C-B1D7-4E9E-9ABF-919B4484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11934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4</cp:revision>
  <dcterms:created xsi:type="dcterms:W3CDTF">2020-08-27T10:01:00Z</dcterms:created>
  <dcterms:modified xsi:type="dcterms:W3CDTF">2020-08-28T05:15:00Z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