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7B" w:rsidRPr="00F82C16" w:rsidRDefault="00F91C7B" w:rsidP="00F82C16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2510A5" w:rsidRPr="00F82C16" w:rsidRDefault="002510A5" w:rsidP="00F82C16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F82C16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F82C16" w:rsidRDefault="002510A5" w:rsidP="00F82C16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3C17AB" w:rsidRPr="00F82C16" w:rsidRDefault="003C17AB" w:rsidP="00F82C16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:rsidR="00411B4B" w:rsidRPr="00F82C16" w:rsidRDefault="00411B4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>1.</w:t>
      </w:r>
      <w:r w:rsidR="00F5167F" w:rsidRPr="00F82C16">
        <w:rPr>
          <w:b/>
          <w:bCs/>
          <w:sz w:val="22"/>
          <w:szCs w:val="22"/>
          <w:lang w:val="sr-Latn-ME"/>
        </w:rPr>
        <w:tab/>
      </w:r>
      <w:r w:rsidR="002846DB" w:rsidRPr="00F82C16">
        <w:rPr>
          <w:b/>
          <w:bCs/>
          <w:sz w:val="22"/>
          <w:szCs w:val="22"/>
          <w:lang w:val="sr-Latn-ME"/>
        </w:rPr>
        <w:t xml:space="preserve">NAZIV </w:t>
      </w:r>
      <w:r w:rsidRPr="00F82C16">
        <w:rPr>
          <w:b/>
          <w:bCs/>
          <w:sz w:val="22"/>
          <w:szCs w:val="22"/>
          <w:lang w:val="sr-Latn-ME"/>
        </w:rPr>
        <w:t>LIJEKA</w:t>
      </w:r>
    </w:p>
    <w:p w:rsidR="00EC2532" w:rsidRPr="00F82C16" w:rsidRDefault="00EC2532" w:rsidP="00F82C16">
      <w:pPr>
        <w:rPr>
          <w:sz w:val="22"/>
          <w:szCs w:val="22"/>
          <w:lang w:val="sr-Latn-ME"/>
        </w:rPr>
      </w:pPr>
    </w:p>
    <w:p w:rsidR="00C57196" w:rsidRPr="00F82C16" w:rsidRDefault="00C57196" w:rsidP="00F82C16">
      <w:pPr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Viset, 0,5 mg/ml, kapi za oči, rastvor</w:t>
      </w:r>
    </w:p>
    <w:p w:rsidR="006223D7" w:rsidRDefault="006223D7" w:rsidP="00F82C16">
      <w:pPr>
        <w:rPr>
          <w:sz w:val="22"/>
          <w:szCs w:val="22"/>
          <w:lang w:val="sr-Latn-ME"/>
        </w:rPr>
      </w:pPr>
    </w:p>
    <w:p w:rsidR="006D20A5" w:rsidRPr="00F82C16" w:rsidRDefault="006D20A5" w:rsidP="00F82C16">
      <w:pPr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INN:</w:t>
      </w:r>
      <w:r w:rsidR="00C57196" w:rsidRPr="00F82C16">
        <w:rPr>
          <w:sz w:val="22"/>
          <w:szCs w:val="22"/>
          <w:lang w:val="sr-Latn-ME"/>
        </w:rPr>
        <w:t xml:space="preserve"> tetrizolin</w:t>
      </w:r>
    </w:p>
    <w:p w:rsidR="006D20A5" w:rsidRPr="00F82C16" w:rsidRDefault="006D20A5" w:rsidP="00F82C16">
      <w:pPr>
        <w:rPr>
          <w:bCs/>
          <w:sz w:val="22"/>
          <w:szCs w:val="22"/>
          <w:lang w:val="sr-Latn-ME"/>
        </w:rPr>
      </w:pPr>
    </w:p>
    <w:p w:rsidR="00530BD7" w:rsidRPr="00F82C16" w:rsidRDefault="00530BD7" w:rsidP="00F82C16">
      <w:pPr>
        <w:rPr>
          <w:bCs/>
          <w:sz w:val="22"/>
          <w:szCs w:val="22"/>
          <w:lang w:val="sr-Latn-ME"/>
        </w:rPr>
      </w:pPr>
    </w:p>
    <w:p w:rsidR="00411B4B" w:rsidRPr="00F82C16" w:rsidRDefault="00411B4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2. </w:t>
      </w:r>
      <w:r w:rsidR="00F5167F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KVALITATIVNI I KVANTITATIVNI SASTAV</w:t>
      </w:r>
    </w:p>
    <w:p w:rsidR="005A0B2E" w:rsidRPr="00F82C16" w:rsidRDefault="005A0B2E" w:rsidP="00F82C16">
      <w:pPr>
        <w:rPr>
          <w:sz w:val="22"/>
          <w:szCs w:val="22"/>
          <w:lang w:val="sr-Latn-ME"/>
        </w:rPr>
      </w:pPr>
    </w:p>
    <w:p w:rsidR="00C57196" w:rsidRPr="00F82C16" w:rsidRDefault="00C57196" w:rsidP="00F82C16">
      <w:pPr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Jedan ml Viset kapi za oči, rastvor</w:t>
      </w:r>
      <w:r w:rsidR="00E13AFB" w:rsidRPr="00F82C16">
        <w:rPr>
          <w:sz w:val="22"/>
          <w:szCs w:val="22"/>
          <w:lang w:val="sr-Latn-ME"/>
        </w:rPr>
        <w:t>a</w:t>
      </w:r>
      <w:r w:rsidRPr="00F82C16">
        <w:rPr>
          <w:sz w:val="22"/>
          <w:szCs w:val="22"/>
          <w:lang w:val="sr-Latn-ME"/>
        </w:rPr>
        <w:t xml:space="preserve"> sadrži 0,5 mg tetrizolin </w:t>
      </w:r>
      <w:r w:rsidR="00E022F3" w:rsidRPr="00F82C16">
        <w:rPr>
          <w:sz w:val="22"/>
          <w:szCs w:val="22"/>
          <w:lang w:val="sr-Latn-ME"/>
        </w:rPr>
        <w:t>hidro</w:t>
      </w:r>
      <w:r w:rsidRPr="00F82C16">
        <w:rPr>
          <w:sz w:val="22"/>
          <w:szCs w:val="22"/>
          <w:lang w:val="sr-Latn-ME"/>
        </w:rPr>
        <w:t>hlorida.</w:t>
      </w:r>
    </w:p>
    <w:p w:rsidR="006223D7" w:rsidRDefault="006223D7" w:rsidP="00F82C16">
      <w:pPr>
        <w:rPr>
          <w:sz w:val="22"/>
          <w:szCs w:val="22"/>
          <w:lang w:val="sr-Latn-ME"/>
        </w:rPr>
      </w:pPr>
    </w:p>
    <w:p w:rsidR="0003793F" w:rsidRPr="00F82C16" w:rsidRDefault="0003793F" w:rsidP="00F82C16">
      <w:pPr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Za spisak svih ekscipijenasa, pogledati dio 6.1.</w:t>
      </w:r>
    </w:p>
    <w:p w:rsidR="0003793F" w:rsidRPr="00F82C16" w:rsidRDefault="0003793F" w:rsidP="00F82C16">
      <w:pPr>
        <w:rPr>
          <w:sz w:val="22"/>
          <w:szCs w:val="22"/>
          <w:lang w:val="sr-Latn-ME"/>
        </w:rPr>
      </w:pPr>
    </w:p>
    <w:p w:rsidR="00C37FD7" w:rsidRPr="00F82C16" w:rsidRDefault="00C37FD7" w:rsidP="00F82C16">
      <w:pPr>
        <w:rPr>
          <w:sz w:val="22"/>
          <w:szCs w:val="22"/>
          <w:lang w:val="sr-Latn-ME"/>
        </w:rPr>
      </w:pPr>
    </w:p>
    <w:p w:rsidR="00411B4B" w:rsidRPr="00F82C16" w:rsidRDefault="00411B4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3. </w:t>
      </w:r>
      <w:r w:rsidR="00F5167F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FARMACEUTSKI OBLIK</w:t>
      </w:r>
      <w:r w:rsidR="009F2D23" w:rsidRPr="00F82C16">
        <w:rPr>
          <w:b/>
          <w:bCs/>
          <w:sz w:val="22"/>
          <w:szCs w:val="22"/>
          <w:lang w:val="sr-Latn-ME"/>
        </w:rPr>
        <w:t xml:space="preserve"> </w:t>
      </w:r>
    </w:p>
    <w:p w:rsidR="00411B4B" w:rsidRPr="00F82C16" w:rsidRDefault="00411B4B" w:rsidP="00F82C16">
      <w:pPr>
        <w:rPr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Kapi za oči, rastvor.</w:t>
      </w:r>
    </w:p>
    <w:p w:rsidR="006223D7" w:rsidRDefault="006223D7" w:rsidP="00F82C16">
      <w:pPr>
        <w:rPr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Bistar, bezbojan rastvor</w:t>
      </w:r>
      <w:r w:rsidR="009D2B30" w:rsidRPr="00F82C16">
        <w:rPr>
          <w:bCs/>
          <w:sz w:val="22"/>
          <w:szCs w:val="22"/>
          <w:lang w:val="sr-Latn-ME"/>
        </w:rPr>
        <w:t xml:space="preserve"> (pH 6,2 – 6,5; osmolalnost 0,265 – 0,306 osmol/kg)</w:t>
      </w:r>
      <w:r w:rsidRPr="00F82C16">
        <w:rPr>
          <w:bCs/>
          <w:sz w:val="22"/>
          <w:szCs w:val="22"/>
          <w:lang w:val="sr-Latn-ME"/>
        </w:rPr>
        <w:t>.</w:t>
      </w:r>
    </w:p>
    <w:p w:rsidR="00EC2532" w:rsidRDefault="00EC2532" w:rsidP="00F82C16">
      <w:pPr>
        <w:rPr>
          <w:bCs/>
          <w:sz w:val="22"/>
          <w:szCs w:val="22"/>
          <w:lang w:val="sr-Latn-ME"/>
        </w:rPr>
      </w:pPr>
    </w:p>
    <w:p w:rsidR="006223D7" w:rsidRPr="00F82C16" w:rsidRDefault="006223D7" w:rsidP="00F82C16">
      <w:pPr>
        <w:rPr>
          <w:bCs/>
          <w:sz w:val="22"/>
          <w:szCs w:val="22"/>
          <w:lang w:val="sr-Latn-ME"/>
        </w:rPr>
      </w:pPr>
    </w:p>
    <w:p w:rsidR="00411B4B" w:rsidRPr="00F82C16" w:rsidRDefault="00411B4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4.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KLINIČKI PODACI</w:t>
      </w:r>
    </w:p>
    <w:p w:rsidR="00CD6F02" w:rsidRPr="00F82C16" w:rsidRDefault="00CD6F02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F82C16" w:rsidRDefault="00411B4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4.1.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Terapijske indikacije</w:t>
      </w:r>
    </w:p>
    <w:p w:rsidR="00411B4B" w:rsidRPr="00F82C16" w:rsidRDefault="00411B4B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 xml:space="preserve">Za </w:t>
      </w:r>
      <w:r w:rsidR="00671FA5" w:rsidRPr="00F82C16">
        <w:rPr>
          <w:bCs/>
          <w:sz w:val="22"/>
          <w:szCs w:val="22"/>
          <w:lang w:val="sr-Latn-ME"/>
        </w:rPr>
        <w:t xml:space="preserve">privremenu </w:t>
      </w:r>
      <w:r w:rsidRPr="00F82C16">
        <w:rPr>
          <w:bCs/>
          <w:sz w:val="22"/>
          <w:szCs w:val="22"/>
          <w:lang w:val="sr-Latn-ME"/>
        </w:rPr>
        <w:t>dekongestiju sluznice oka kod pacijenata sa iritacijom oka, neinfektivne prirode</w:t>
      </w:r>
      <w:r w:rsidR="00CA4375" w:rsidRPr="00F82C16">
        <w:rPr>
          <w:bCs/>
          <w:sz w:val="22"/>
          <w:szCs w:val="22"/>
          <w:lang w:val="sr-Latn-ME"/>
        </w:rPr>
        <w:t>,</w:t>
      </w:r>
      <w:r w:rsidRPr="00F82C16">
        <w:rPr>
          <w:bCs/>
          <w:sz w:val="22"/>
          <w:szCs w:val="22"/>
          <w:lang w:val="sr-Latn-ME"/>
        </w:rPr>
        <w:t xml:space="preserve"> koja može nastati usljed djelovanja npr.</w:t>
      </w:r>
      <w:r w:rsidR="00CA4375" w:rsidRPr="00F82C16">
        <w:rPr>
          <w:bCs/>
          <w:sz w:val="22"/>
          <w:szCs w:val="22"/>
          <w:lang w:val="sr-Latn-ME"/>
        </w:rPr>
        <w:t xml:space="preserve"> </w:t>
      </w:r>
      <w:r w:rsidRPr="00F82C16">
        <w:rPr>
          <w:bCs/>
          <w:sz w:val="22"/>
          <w:szCs w:val="22"/>
          <w:lang w:val="sr-Latn-ME"/>
        </w:rPr>
        <w:t>dima, prašin</w:t>
      </w:r>
      <w:r w:rsidR="00671FA5" w:rsidRPr="00F82C16">
        <w:rPr>
          <w:bCs/>
          <w:sz w:val="22"/>
          <w:szCs w:val="22"/>
          <w:lang w:val="sr-Latn-ME"/>
        </w:rPr>
        <w:t>e, vjetra, hlorisane vode ili</w:t>
      </w:r>
      <w:r w:rsidRPr="00F82C16">
        <w:rPr>
          <w:bCs/>
          <w:sz w:val="22"/>
          <w:szCs w:val="22"/>
          <w:lang w:val="sr-Latn-ME"/>
        </w:rPr>
        <w:t xml:space="preserve"> sv</w:t>
      </w:r>
      <w:r w:rsidR="00E13AFB" w:rsidRPr="00F82C16">
        <w:rPr>
          <w:bCs/>
          <w:sz w:val="22"/>
          <w:szCs w:val="22"/>
          <w:lang w:val="sr-Latn-ME"/>
        </w:rPr>
        <w:t>i</w:t>
      </w:r>
      <w:r w:rsidRPr="00F82C16">
        <w:rPr>
          <w:bCs/>
          <w:sz w:val="22"/>
          <w:szCs w:val="22"/>
          <w:lang w:val="sr-Latn-ME"/>
        </w:rPr>
        <w:t>jetla.</w:t>
      </w:r>
    </w:p>
    <w:p w:rsidR="00C57196" w:rsidRPr="00F82C16" w:rsidRDefault="00C57196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F82C16" w:rsidRDefault="00411B4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4.2.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Doziranje i način primjene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52E9D" w:rsidRPr="00F82C16" w:rsidRDefault="00452E9D" w:rsidP="00F82C16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F82C16">
        <w:rPr>
          <w:bCs/>
          <w:sz w:val="22"/>
          <w:szCs w:val="22"/>
          <w:u w:val="single"/>
          <w:lang w:val="sr-Latn-ME"/>
        </w:rPr>
        <w:t>Doziranje</w:t>
      </w:r>
    </w:p>
    <w:p w:rsidR="00452E9D" w:rsidRPr="00F82C16" w:rsidRDefault="00452E9D" w:rsidP="00F82C16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F82C16">
        <w:rPr>
          <w:bCs/>
          <w:i/>
          <w:iCs/>
          <w:sz w:val="22"/>
          <w:szCs w:val="22"/>
          <w:lang w:val="sr-Latn-ME"/>
        </w:rPr>
        <w:t>Odrasli i adolescenti stariji od 12 godina</w:t>
      </w: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  <w:r w:rsidRPr="00F82C16">
        <w:rPr>
          <w:bCs/>
          <w:iCs/>
          <w:sz w:val="22"/>
          <w:szCs w:val="22"/>
          <w:lang w:val="sr-Latn-ME"/>
        </w:rPr>
        <w:t>Ako nije dr</w:t>
      </w:r>
      <w:r w:rsidR="00671FA5" w:rsidRPr="00F82C16">
        <w:rPr>
          <w:bCs/>
          <w:iCs/>
          <w:sz w:val="22"/>
          <w:szCs w:val="22"/>
          <w:lang w:val="sr-Latn-ME"/>
        </w:rPr>
        <w:t xml:space="preserve">ugačije propisano, ukapati 1 do 2 </w:t>
      </w:r>
      <w:r w:rsidRPr="00F82C16">
        <w:rPr>
          <w:bCs/>
          <w:iCs/>
          <w:sz w:val="22"/>
          <w:szCs w:val="22"/>
          <w:lang w:val="sr-Latn-ME"/>
        </w:rPr>
        <w:t>kap</w:t>
      </w:r>
      <w:r w:rsidR="00671FA5" w:rsidRPr="00F82C16">
        <w:rPr>
          <w:bCs/>
          <w:iCs/>
          <w:sz w:val="22"/>
          <w:szCs w:val="22"/>
          <w:lang w:val="sr-Latn-ME"/>
        </w:rPr>
        <w:t>i</w:t>
      </w:r>
      <w:r w:rsidRPr="00F82C16">
        <w:rPr>
          <w:bCs/>
          <w:iCs/>
          <w:sz w:val="22"/>
          <w:szCs w:val="22"/>
          <w:lang w:val="sr-Latn-ME"/>
        </w:rPr>
        <w:t xml:space="preserve"> u svako oboljelo oko 2 do 3 puta na dan</w:t>
      </w:r>
      <w:r w:rsidR="00671FA5" w:rsidRPr="00F82C16">
        <w:rPr>
          <w:bCs/>
          <w:iCs/>
          <w:sz w:val="22"/>
          <w:szCs w:val="22"/>
          <w:lang w:val="sr-Latn-ME"/>
        </w:rPr>
        <w:t xml:space="preserve"> pažljivim pritiskanjem plastične bočice</w:t>
      </w:r>
      <w:r w:rsidRPr="00F82C16">
        <w:rPr>
          <w:bCs/>
          <w:iCs/>
          <w:sz w:val="22"/>
          <w:szCs w:val="22"/>
          <w:lang w:val="sr-Latn-ME"/>
        </w:rPr>
        <w:t>.</w:t>
      </w: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F82C16">
        <w:rPr>
          <w:bCs/>
          <w:i/>
          <w:iCs/>
          <w:sz w:val="22"/>
          <w:szCs w:val="22"/>
          <w:lang w:val="sr-Latn-ME"/>
        </w:rPr>
        <w:t xml:space="preserve">Djeca </w:t>
      </w:r>
      <w:r w:rsidR="00CA4375" w:rsidRPr="00F82C16">
        <w:rPr>
          <w:bCs/>
          <w:i/>
          <w:iCs/>
          <w:sz w:val="22"/>
          <w:szCs w:val="22"/>
          <w:lang w:val="sr-Latn-ME"/>
        </w:rPr>
        <w:t xml:space="preserve">uzrasta </w:t>
      </w:r>
      <w:r w:rsidRPr="00F82C16">
        <w:rPr>
          <w:bCs/>
          <w:i/>
          <w:iCs/>
          <w:sz w:val="22"/>
          <w:szCs w:val="22"/>
          <w:lang w:val="sr-Latn-ME"/>
        </w:rPr>
        <w:t>između 2 i 12 godina</w:t>
      </w: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  <w:r w:rsidRPr="00F82C16">
        <w:rPr>
          <w:bCs/>
          <w:iCs/>
          <w:sz w:val="22"/>
          <w:szCs w:val="22"/>
          <w:lang w:val="sr-Latn-ME"/>
        </w:rPr>
        <w:t xml:space="preserve">Primjena ovog lijeka kod djece </w:t>
      </w:r>
      <w:r w:rsidR="00CA4375" w:rsidRPr="00F82C16">
        <w:rPr>
          <w:bCs/>
          <w:iCs/>
          <w:sz w:val="22"/>
          <w:szCs w:val="22"/>
          <w:lang w:val="sr-Latn-ME"/>
        </w:rPr>
        <w:t xml:space="preserve">uzrasta </w:t>
      </w:r>
      <w:r w:rsidRPr="00F82C16">
        <w:rPr>
          <w:bCs/>
          <w:iCs/>
          <w:sz w:val="22"/>
          <w:szCs w:val="22"/>
          <w:lang w:val="sr-Latn-ME"/>
        </w:rPr>
        <w:t>između 2 i 12 godina vrši se samo pod nadzorom ljekara.</w:t>
      </w: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</w:p>
    <w:p w:rsidR="00C57196" w:rsidRPr="00F82C16" w:rsidRDefault="00CA4375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  <w:r w:rsidRPr="00F82C16">
        <w:rPr>
          <w:bCs/>
          <w:iCs/>
          <w:sz w:val="22"/>
          <w:szCs w:val="22"/>
          <w:lang w:val="sr-Latn-ME"/>
        </w:rPr>
        <w:t xml:space="preserve">Lijek </w:t>
      </w:r>
      <w:r w:rsidR="00C57196" w:rsidRPr="00F82C16">
        <w:rPr>
          <w:bCs/>
          <w:iCs/>
          <w:sz w:val="22"/>
          <w:szCs w:val="22"/>
          <w:lang w:val="sr-Latn-ME"/>
        </w:rPr>
        <w:t>Viset je kontraindikovan kod djece mlađe od 2 godine (vidjeti dio 4.3).</w:t>
      </w: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</w:p>
    <w:p w:rsidR="00452E9D" w:rsidRPr="00F82C16" w:rsidRDefault="00452E9D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2C16">
        <w:rPr>
          <w:bCs/>
          <w:sz w:val="22"/>
          <w:szCs w:val="22"/>
          <w:u w:val="single"/>
          <w:lang w:val="sr-Latn-ME"/>
        </w:rPr>
        <w:t>Način primjene</w:t>
      </w:r>
    </w:p>
    <w:p w:rsidR="00452E9D" w:rsidRPr="00F82C16" w:rsidRDefault="00452E9D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7196" w:rsidRDefault="00C57196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  <w:r w:rsidRPr="00F82C16">
        <w:rPr>
          <w:bCs/>
          <w:iCs/>
          <w:sz w:val="22"/>
          <w:szCs w:val="22"/>
          <w:lang w:val="sr-Latn-ME"/>
        </w:rPr>
        <w:t>Okularno.</w:t>
      </w:r>
    </w:p>
    <w:p w:rsidR="006223D7" w:rsidRPr="00F82C16" w:rsidRDefault="006223D7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  <w:r w:rsidRPr="00F82C16">
        <w:rPr>
          <w:bCs/>
          <w:iCs/>
          <w:sz w:val="22"/>
          <w:szCs w:val="22"/>
          <w:lang w:val="sr-Latn-ME"/>
        </w:rPr>
        <w:t>Primjena lijeka duža od 72 sata dozvoljena je samo pod nadzorom ljekara.</w:t>
      </w: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F82C16">
        <w:rPr>
          <w:sz w:val="22"/>
          <w:szCs w:val="22"/>
          <w:u w:val="single"/>
          <w:lang w:val="sr-Latn-ME"/>
        </w:rPr>
        <w:t>Informacija za osobe koje nose kontaktna sočiva</w:t>
      </w: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Ukoliko postoji oboljenje oka, kontaktna sočiva se ne smiju nositi.</w:t>
      </w:r>
    </w:p>
    <w:p w:rsidR="00671FA5" w:rsidRPr="00F82C16" w:rsidRDefault="00671FA5" w:rsidP="00F82C16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bookmarkStart w:id="0" w:name="_Hlk533090535"/>
      <w:r w:rsidRPr="00F82C16">
        <w:rPr>
          <w:sz w:val="22"/>
          <w:szCs w:val="22"/>
          <w:lang w:val="sr-Latn-ME"/>
        </w:rPr>
        <w:t>Izbjegavajte kontakt s</w:t>
      </w:r>
      <w:r w:rsidR="00CB15FB" w:rsidRPr="00F82C16">
        <w:rPr>
          <w:sz w:val="22"/>
          <w:szCs w:val="22"/>
          <w:lang w:val="sr-Latn-ME"/>
        </w:rPr>
        <w:t>a</w:t>
      </w:r>
      <w:r w:rsidRPr="00F82C16">
        <w:rPr>
          <w:sz w:val="22"/>
          <w:szCs w:val="22"/>
          <w:lang w:val="sr-Latn-ME"/>
        </w:rPr>
        <w:t xml:space="preserve"> mekim kontaktnim sočivima. Uklonite kontaktna sočiva prije primjene lijeka i pričekajte najmanje 15 minuta prije ponovnog stavljanja.</w:t>
      </w:r>
    </w:p>
    <w:bookmarkEnd w:id="0"/>
    <w:p w:rsidR="00C57196" w:rsidRPr="00F82C16" w:rsidRDefault="00C57196" w:rsidP="00F82C16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r-Latn-ME"/>
        </w:rPr>
      </w:pPr>
    </w:p>
    <w:p w:rsidR="006223D7" w:rsidRDefault="006223D7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eastAsia="hr-HR"/>
        </w:rPr>
      </w:pPr>
    </w:p>
    <w:p w:rsidR="00C5719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eastAsia="hr-HR"/>
        </w:rPr>
      </w:pPr>
      <w:r w:rsidRPr="00F82C16">
        <w:rPr>
          <w:bCs/>
          <w:sz w:val="22"/>
          <w:szCs w:val="22"/>
          <w:lang w:val="sr-Latn-ME" w:eastAsia="hr-HR"/>
        </w:rPr>
        <w:lastRenderedPageBreak/>
        <w:t>Uputstvo za upotrebu lijeka:</w:t>
      </w:r>
    </w:p>
    <w:p w:rsidR="006223D7" w:rsidRPr="00F82C16" w:rsidRDefault="006223D7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eastAsia="hr-HR"/>
        </w:rPr>
      </w:pP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F82C16">
        <w:rPr>
          <w:noProof/>
          <w:sz w:val="22"/>
          <w:szCs w:val="22"/>
        </w:rPr>
        <w:drawing>
          <wp:inline distT="0" distB="0" distL="0" distR="0" wp14:anchorId="062130CA" wp14:editId="4259694F">
            <wp:extent cx="1456690" cy="25520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196" w:rsidRPr="00F82C16" w:rsidRDefault="00C57196" w:rsidP="00F82C1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hr-HR"/>
        </w:rPr>
      </w:pPr>
    </w:p>
    <w:p w:rsidR="00C57196" w:rsidRPr="00F82C16" w:rsidRDefault="00C57196" w:rsidP="00F82C16">
      <w:pPr>
        <w:numPr>
          <w:ilvl w:val="0"/>
          <w:numId w:val="12"/>
        </w:numPr>
        <w:tabs>
          <w:tab w:val="center" w:pos="709"/>
          <w:tab w:val="right" w:pos="8640"/>
        </w:tabs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Operite ruke.</w:t>
      </w:r>
    </w:p>
    <w:p w:rsidR="00C57196" w:rsidRPr="00F82C16" w:rsidRDefault="00C57196" w:rsidP="00F82C16">
      <w:pPr>
        <w:numPr>
          <w:ilvl w:val="0"/>
          <w:numId w:val="12"/>
        </w:numPr>
        <w:tabs>
          <w:tab w:val="center" w:pos="709"/>
          <w:tab w:val="right" w:pos="8640"/>
        </w:tabs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Skinite zaštitni poklopac s bočice (slika 1).</w:t>
      </w:r>
    </w:p>
    <w:p w:rsidR="00C57196" w:rsidRPr="00F82C16" w:rsidRDefault="00C57196" w:rsidP="00F82C16">
      <w:pPr>
        <w:numPr>
          <w:ilvl w:val="0"/>
          <w:numId w:val="12"/>
        </w:numPr>
        <w:tabs>
          <w:tab w:val="center" w:pos="709"/>
          <w:tab w:val="right" w:pos="8640"/>
        </w:tabs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Obuhvatite rukom bočicu (slika 2).</w:t>
      </w:r>
    </w:p>
    <w:p w:rsidR="00C57196" w:rsidRPr="00F82C16" w:rsidRDefault="00C57196" w:rsidP="00F82C16">
      <w:pPr>
        <w:numPr>
          <w:ilvl w:val="0"/>
          <w:numId w:val="12"/>
        </w:numPr>
        <w:tabs>
          <w:tab w:val="center" w:pos="709"/>
          <w:tab w:val="right" w:pos="8640"/>
        </w:tabs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Okrenite bočicu naopako i aktivirajte pumpicu dok se ne pojavi prva kap (slika 3).</w:t>
      </w:r>
    </w:p>
    <w:p w:rsidR="00C57196" w:rsidRPr="00F82C16" w:rsidRDefault="00C57196" w:rsidP="00F82C16">
      <w:pPr>
        <w:tabs>
          <w:tab w:val="center" w:pos="709"/>
          <w:tab w:val="center" w:pos="4320"/>
          <w:tab w:val="right" w:pos="8640"/>
        </w:tabs>
        <w:ind w:left="720"/>
        <w:jc w:val="both"/>
        <w:rPr>
          <w:b/>
          <w:sz w:val="22"/>
          <w:szCs w:val="22"/>
          <w:lang w:val="sr-Latn-ME"/>
        </w:rPr>
      </w:pPr>
      <w:r w:rsidRPr="00F82C16">
        <w:rPr>
          <w:b/>
          <w:sz w:val="22"/>
          <w:szCs w:val="22"/>
          <w:lang w:val="sr-Latn-ME"/>
        </w:rPr>
        <w:t>Prije prve primjene potrebno je, nakon što se pojavila prva kap, odbaciti još najmanje 5 kapi. Prije svake sljedeće primjene potrebno je odbaciti 2 kapi. Ako lijek nije primjenjivan više od 15 dana, potrebno je prije primjene odbaciti 5 kapi.</w:t>
      </w:r>
    </w:p>
    <w:p w:rsidR="00C57196" w:rsidRPr="00F82C16" w:rsidRDefault="00C57196" w:rsidP="00F82C16">
      <w:pPr>
        <w:numPr>
          <w:ilvl w:val="0"/>
          <w:numId w:val="12"/>
        </w:numPr>
        <w:tabs>
          <w:tab w:val="center" w:pos="709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Nagnite glavu unazad i blago povucite donji kapak naniže, tako da se formira kesica između oka i donjeg kapka. Držeći bočicu naopako</w:t>
      </w:r>
      <w:r w:rsidR="00CA4375" w:rsidRPr="00F82C16">
        <w:rPr>
          <w:sz w:val="22"/>
          <w:szCs w:val="22"/>
          <w:lang w:val="sr-Latn-ME"/>
        </w:rPr>
        <w:t>,</w:t>
      </w:r>
      <w:r w:rsidRPr="00F82C16">
        <w:rPr>
          <w:sz w:val="22"/>
          <w:szCs w:val="22"/>
          <w:lang w:val="sr-Latn-ME"/>
        </w:rPr>
        <w:t xml:space="preserve"> pritiskom pumpice ukapajte jednu kap u oko (slika 4).</w:t>
      </w:r>
    </w:p>
    <w:p w:rsidR="00C57196" w:rsidRPr="00F82C16" w:rsidRDefault="00C57196" w:rsidP="00F82C16">
      <w:pPr>
        <w:tabs>
          <w:tab w:val="center" w:pos="709"/>
          <w:tab w:val="center" w:pos="4320"/>
          <w:tab w:val="right" w:pos="8640"/>
        </w:tabs>
        <w:ind w:left="720"/>
        <w:jc w:val="both"/>
        <w:rPr>
          <w:b/>
          <w:sz w:val="22"/>
          <w:szCs w:val="22"/>
          <w:lang w:val="sr-Latn-ME"/>
        </w:rPr>
      </w:pPr>
      <w:r w:rsidRPr="00F82C16">
        <w:rPr>
          <w:b/>
          <w:sz w:val="22"/>
          <w:szCs w:val="22"/>
          <w:lang w:val="sr-Latn-ME"/>
        </w:rPr>
        <w:t>Nemojte ništa dodirivati vrhom kapaljke, kako bi se izbjegla kontaminacija rastvora.</w:t>
      </w:r>
    </w:p>
    <w:p w:rsidR="00C57196" w:rsidRPr="00F82C16" w:rsidRDefault="00C57196" w:rsidP="00F82C16">
      <w:pPr>
        <w:numPr>
          <w:ilvl w:val="0"/>
          <w:numId w:val="12"/>
        </w:numPr>
        <w:tabs>
          <w:tab w:val="center" w:pos="709"/>
          <w:tab w:val="right" w:pos="8640"/>
        </w:tabs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Odmah nakon primjene kapi, lagano prstom pritisnite ugao oka uz nos ili zatvorite oči na 1-2 minuta. To pomaže da se spriječi ulazak lijeka u ostatak tijela.</w:t>
      </w:r>
    </w:p>
    <w:p w:rsidR="00C57196" w:rsidRPr="00F82C16" w:rsidRDefault="00C57196" w:rsidP="00F82C16">
      <w:pPr>
        <w:numPr>
          <w:ilvl w:val="0"/>
          <w:numId w:val="12"/>
        </w:numPr>
        <w:tabs>
          <w:tab w:val="center" w:pos="709"/>
          <w:tab w:val="right" w:pos="8640"/>
        </w:tabs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Ako primjenjujete lijek i na drugo oko, ponovite korake 5. i 6.</w:t>
      </w:r>
    </w:p>
    <w:p w:rsidR="00C57196" w:rsidRPr="00F82C16" w:rsidRDefault="00C57196" w:rsidP="00F82C16">
      <w:pPr>
        <w:numPr>
          <w:ilvl w:val="0"/>
          <w:numId w:val="12"/>
        </w:numPr>
        <w:tabs>
          <w:tab w:val="center" w:pos="709"/>
          <w:tab w:val="right" w:pos="8640"/>
        </w:tabs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Bočicu zatvorite zaštitnim poklopcem odmah nakon primjene.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F82C16" w:rsidRDefault="00411B4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4.3.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Kontraindikacije</w:t>
      </w:r>
    </w:p>
    <w:p w:rsidR="00C57196" w:rsidRPr="00F82C16" w:rsidRDefault="00C57196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57196" w:rsidRPr="00F82C16" w:rsidRDefault="00CA4375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 xml:space="preserve">Lijek </w:t>
      </w:r>
      <w:r w:rsidR="00C57196" w:rsidRPr="00F82C16">
        <w:rPr>
          <w:bCs/>
          <w:sz w:val="22"/>
          <w:szCs w:val="22"/>
          <w:lang w:val="sr-Latn-ME"/>
        </w:rPr>
        <w:t>Viset 0,5 mg/ml kapi za oči, rastvor se ne smije primjenjivati kod pacijenata: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 xml:space="preserve">sa preosjetljivošću na tetrizolin ili </w:t>
      </w:r>
      <w:r w:rsidR="00CA4375" w:rsidRPr="00F82C16">
        <w:rPr>
          <w:bCs/>
          <w:sz w:val="22"/>
          <w:szCs w:val="22"/>
          <w:lang w:val="sr-Latn-ME"/>
        </w:rPr>
        <w:t xml:space="preserve">na </w:t>
      </w:r>
      <w:r w:rsidRPr="00F82C16">
        <w:rPr>
          <w:bCs/>
          <w:sz w:val="22"/>
          <w:szCs w:val="22"/>
          <w:lang w:val="sr-Latn-ME"/>
        </w:rPr>
        <w:t>bilo koju od pomoćnih supstanci navedenih u odjeljku 6.1</w:t>
      </w:r>
      <w:r w:rsidR="00CA4375" w:rsidRPr="00F82C16">
        <w:rPr>
          <w:bCs/>
          <w:sz w:val="22"/>
          <w:szCs w:val="22"/>
          <w:lang w:val="sr-Latn-ME"/>
        </w:rPr>
        <w:t>,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sa glaukomom zatvorenog ugla</w:t>
      </w:r>
      <w:r w:rsidR="00CA4375" w:rsidRPr="00F82C16">
        <w:rPr>
          <w:bCs/>
          <w:sz w:val="22"/>
          <w:szCs w:val="22"/>
          <w:lang w:val="sr-Latn-ME"/>
        </w:rPr>
        <w:t>,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sa teškim kardiovaskularnim bolestima (npr. koronarna bolest srca, hipertenzija)</w:t>
      </w:r>
      <w:r w:rsidR="00CA4375" w:rsidRPr="00F82C16">
        <w:rPr>
          <w:bCs/>
          <w:sz w:val="22"/>
          <w:szCs w:val="22"/>
          <w:lang w:val="sr-Latn-ME"/>
        </w:rPr>
        <w:t>,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sa feohromocitomom</w:t>
      </w:r>
      <w:r w:rsidR="00CA4375" w:rsidRPr="00F82C16">
        <w:rPr>
          <w:bCs/>
          <w:sz w:val="22"/>
          <w:szCs w:val="22"/>
          <w:lang w:val="sr-Latn-ME"/>
        </w:rPr>
        <w:t>,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sa hiperplazijom prostate</w:t>
      </w:r>
      <w:r w:rsidR="00CA4375" w:rsidRPr="00F82C16">
        <w:rPr>
          <w:bCs/>
          <w:sz w:val="22"/>
          <w:szCs w:val="22"/>
          <w:lang w:val="sr-Latn-ME"/>
        </w:rPr>
        <w:t>,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sa poremećajima metabolizma (npr. hipertireoza, dijabetes, porfirija)</w:t>
      </w:r>
      <w:r w:rsidR="00CA4375" w:rsidRPr="00F82C16">
        <w:rPr>
          <w:bCs/>
          <w:sz w:val="22"/>
          <w:szCs w:val="22"/>
          <w:lang w:val="sr-Latn-ME"/>
        </w:rPr>
        <w:t>,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na terapiji inhibitorima monoaminooksidaze (MAO inhibitori)</w:t>
      </w:r>
      <w:r w:rsidR="00671FA5" w:rsidRPr="00F82C16">
        <w:rPr>
          <w:bCs/>
          <w:sz w:val="22"/>
          <w:szCs w:val="22"/>
          <w:lang w:val="sr-Latn-ME"/>
        </w:rPr>
        <w:t xml:space="preserve"> </w:t>
      </w:r>
      <w:r w:rsidRPr="00F82C16">
        <w:rPr>
          <w:bCs/>
          <w:sz w:val="22"/>
          <w:szCs w:val="22"/>
          <w:lang w:val="sr-Latn-ME"/>
        </w:rPr>
        <w:t>ili drugim ljekovima koji mogu povisiti krvni pritisak (vidjeti dio 4.5)</w:t>
      </w:r>
      <w:r w:rsidR="00CA4375" w:rsidRPr="00F82C16">
        <w:rPr>
          <w:bCs/>
          <w:sz w:val="22"/>
          <w:szCs w:val="22"/>
          <w:lang w:val="sr-Latn-ME"/>
        </w:rPr>
        <w:t>,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kod djece mlađe od 2 godine.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F82C16" w:rsidRDefault="00411B4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4.4.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Osim primjene kod glaukoma zatvorenog ugla, kada je kontraindikovana, primjena lijeka Viset kod pacijenata sa drugim vrstama glaukoma je dozvoljena samo uz poseban oprez i medicinski nadzor.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 xml:space="preserve">Primjena ovog lijeka se ne preporučuje kod pacijenata sa </w:t>
      </w:r>
      <w:r w:rsidRPr="00F82C16">
        <w:rPr>
          <w:bCs/>
          <w:i/>
          <w:sz w:val="22"/>
          <w:szCs w:val="22"/>
          <w:lang w:val="sr-Latn-ME"/>
        </w:rPr>
        <w:t>rhinitis sicca</w:t>
      </w:r>
      <w:r w:rsidRPr="00F82C16">
        <w:rPr>
          <w:bCs/>
          <w:sz w:val="22"/>
          <w:szCs w:val="22"/>
          <w:lang w:val="sr-Latn-ME"/>
        </w:rPr>
        <w:t xml:space="preserve"> i </w:t>
      </w:r>
      <w:r w:rsidRPr="00F82C16">
        <w:rPr>
          <w:bCs/>
          <w:i/>
          <w:sz w:val="22"/>
          <w:szCs w:val="22"/>
          <w:lang w:val="sr-Latn-ME"/>
        </w:rPr>
        <w:t>keratoconjuctivitios sicca</w:t>
      </w:r>
      <w:r w:rsidRPr="00F82C16">
        <w:rPr>
          <w:bCs/>
          <w:sz w:val="22"/>
          <w:szCs w:val="22"/>
          <w:lang w:val="sr-Latn-ME"/>
        </w:rPr>
        <w:t>.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Pacijenti koji koriste lijek Viset moraju biti upoznati sa činjenicom da je zapaljenje ili crvenilo očiju često znak ozbiljne bolesti oka i da zbog toga treba da zatraže savjet oftalmologa.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7196" w:rsidRPr="00F82C16" w:rsidRDefault="00CA4375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lastRenderedPageBreak/>
        <w:t xml:space="preserve">Lijek </w:t>
      </w:r>
      <w:r w:rsidR="00C57196" w:rsidRPr="00F82C16">
        <w:rPr>
          <w:bCs/>
          <w:sz w:val="22"/>
          <w:szCs w:val="22"/>
          <w:lang w:val="sr-Latn-ME"/>
        </w:rPr>
        <w:t>Viset treba primjenjivati samo za manje iritacije oka. Ako nema poboljšanja u roku od 48 sati, ili ako iritacija i crvenilo i dalje traju, ili se pogoršavaju, treba prekinuti primjenu ovih kapi i potražiti savjet ljekara.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Iritacija ili crvenilo, nastali uslj</w:t>
      </w:r>
      <w:r w:rsidR="00251E7C" w:rsidRPr="00F82C16">
        <w:rPr>
          <w:bCs/>
          <w:sz w:val="22"/>
          <w:szCs w:val="22"/>
          <w:lang w:val="sr-Latn-ME"/>
        </w:rPr>
        <w:t>ed ozbiljne bolesti oka kao što je infekcija</w:t>
      </w:r>
      <w:r w:rsidRPr="00F82C16">
        <w:rPr>
          <w:bCs/>
          <w:sz w:val="22"/>
          <w:szCs w:val="22"/>
          <w:lang w:val="sr-Latn-ME"/>
        </w:rPr>
        <w:t xml:space="preserve">, </w:t>
      </w:r>
      <w:r w:rsidR="00CB15FB" w:rsidRPr="00F82C16">
        <w:rPr>
          <w:bCs/>
          <w:sz w:val="22"/>
          <w:szCs w:val="22"/>
          <w:lang w:val="sr-Latn-ME"/>
        </w:rPr>
        <w:t xml:space="preserve">usljed </w:t>
      </w:r>
      <w:r w:rsidRPr="00F82C16">
        <w:rPr>
          <w:bCs/>
          <w:sz w:val="22"/>
          <w:szCs w:val="22"/>
          <w:lang w:val="sr-Latn-ME"/>
        </w:rPr>
        <w:t>stranog tijela u oku ili hemijsko</w:t>
      </w:r>
      <w:r w:rsidR="00CA4375" w:rsidRPr="00F82C16">
        <w:rPr>
          <w:bCs/>
          <w:sz w:val="22"/>
          <w:szCs w:val="22"/>
          <w:lang w:val="sr-Latn-ME"/>
        </w:rPr>
        <w:t>g</w:t>
      </w:r>
      <w:r w:rsidRPr="00F82C16">
        <w:rPr>
          <w:bCs/>
          <w:sz w:val="22"/>
          <w:szCs w:val="22"/>
          <w:lang w:val="sr-Latn-ME"/>
        </w:rPr>
        <w:t xml:space="preserve"> </w:t>
      </w:r>
      <w:r w:rsidR="00CA4375" w:rsidRPr="00F82C16">
        <w:rPr>
          <w:bCs/>
          <w:sz w:val="22"/>
          <w:szCs w:val="22"/>
          <w:lang w:val="sr-Latn-ME"/>
        </w:rPr>
        <w:t xml:space="preserve">oštećenja </w:t>
      </w:r>
      <w:r w:rsidRPr="00F82C16">
        <w:rPr>
          <w:bCs/>
          <w:sz w:val="22"/>
          <w:szCs w:val="22"/>
          <w:lang w:val="sr-Latn-ME"/>
        </w:rPr>
        <w:t>rožnjače</w:t>
      </w:r>
      <w:r w:rsidR="00CA4375" w:rsidRPr="00F82C16">
        <w:rPr>
          <w:bCs/>
          <w:sz w:val="22"/>
          <w:szCs w:val="22"/>
          <w:lang w:val="sr-Latn-ME"/>
        </w:rPr>
        <w:t>,</w:t>
      </w:r>
      <w:r w:rsidRPr="00F82C16">
        <w:rPr>
          <w:bCs/>
          <w:sz w:val="22"/>
          <w:szCs w:val="22"/>
          <w:lang w:val="sr-Latn-ME"/>
        </w:rPr>
        <w:t xml:space="preserve"> zahtijevaju hitan savjet ljekara.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51E7C" w:rsidRPr="00F82C16" w:rsidRDefault="00251E7C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Z</w:t>
      </w:r>
      <w:r w:rsidR="00285DE4" w:rsidRPr="00F82C16">
        <w:rPr>
          <w:bCs/>
          <w:sz w:val="22"/>
          <w:szCs w:val="22"/>
          <w:lang w:val="sr-Latn-ME"/>
        </w:rPr>
        <w:t>j</w:t>
      </w:r>
      <w:r w:rsidRPr="00F82C16">
        <w:rPr>
          <w:bCs/>
          <w:sz w:val="22"/>
          <w:szCs w:val="22"/>
          <w:lang w:val="sr-Latn-ME"/>
        </w:rPr>
        <w:t xml:space="preserve">enice oka se mogu privremeno povećati tokom upotrebe ovog lijeka. 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 xml:space="preserve">U slučaju pojave snažnog bola u oku, glavobolje, gubitka vida, pojave mrlja u vidnom polju, jakog, akutnog ili jednostranog crvenila očiju, osjećaja </w:t>
      </w:r>
      <w:r w:rsidR="00CA4375" w:rsidRPr="00F82C16">
        <w:rPr>
          <w:bCs/>
          <w:sz w:val="22"/>
          <w:szCs w:val="22"/>
          <w:lang w:val="sr-Latn-ME"/>
        </w:rPr>
        <w:t xml:space="preserve">bola </w:t>
      </w:r>
      <w:r w:rsidRPr="00F82C16">
        <w:rPr>
          <w:bCs/>
          <w:sz w:val="22"/>
          <w:szCs w:val="22"/>
          <w:lang w:val="sr-Latn-ME"/>
        </w:rPr>
        <w:t xml:space="preserve">prilikom izlaganja svjetlosti ili pojave dvostrukih slika, treba odmah </w:t>
      </w:r>
      <w:r w:rsidR="00251E7C" w:rsidRPr="00F82C16">
        <w:rPr>
          <w:bCs/>
          <w:sz w:val="22"/>
          <w:szCs w:val="22"/>
          <w:lang w:val="sr-Latn-ME"/>
        </w:rPr>
        <w:t xml:space="preserve">prekinuti upotrebu ovog lijeka i </w:t>
      </w:r>
      <w:r w:rsidRPr="00F82C16">
        <w:rPr>
          <w:bCs/>
          <w:sz w:val="22"/>
          <w:szCs w:val="22"/>
          <w:lang w:val="sr-Latn-ME"/>
        </w:rPr>
        <w:t>zatražiti savjet ljekara.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Kod posljedica produžene i nepravilne primj</w:t>
      </w:r>
      <w:r w:rsidR="00251E7C" w:rsidRPr="00F82C16">
        <w:rPr>
          <w:bCs/>
          <w:sz w:val="22"/>
          <w:szCs w:val="22"/>
          <w:lang w:val="sr-Latn-ME"/>
        </w:rPr>
        <w:t>ene viš</w:t>
      </w:r>
      <w:r w:rsidRPr="00F82C16">
        <w:rPr>
          <w:bCs/>
          <w:sz w:val="22"/>
          <w:szCs w:val="22"/>
          <w:lang w:val="sr-Latn-ME"/>
        </w:rPr>
        <w:t>ih doza od preporučenih</w:t>
      </w:r>
      <w:r w:rsidR="00251E7C" w:rsidRPr="00F82C16">
        <w:rPr>
          <w:bCs/>
          <w:sz w:val="22"/>
          <w:szCs w:val="22"/>
          <w:lang w:val="sr-Latn-ME"/>
        </w:rPr>
        <w:t xml:space="preserve"> </w:t>
      </w:r>
      <w:r w:rsidRPr="00F82C16">
        <w:rPr>
          <w:bCs/>
          <w:sz w:val="22"/>
          <w:szCs w:val="22"/>
          <w:lang w:val="sr-Latn-ME"/>
        </w:rPr>
        <w:t>može se pojaviti reaktivna hiperemija (crvenilo) konjuktive oka i sluzokože nosa (</w:t>
      </w:r>
      <w:r w:rsidRPr="00F82C16">
        <w:rPr>
          <w:bCs/>
          <w:i/>
          <w:sz w:val="22"/>
          <w:szCs w:val="22"/>
          <w:lang w:val="sr-Latn-ME"/>
        </w:rPr>
        <w:t>rhinitis medicamentosa</w:t>
      </w:r>
      <w:r w:rsidRPr="00F82C16">
        <w:rPr>
          <w:bCs/>
          <w:sz w:val="22"/>
          <w:szCs w:val="22"/>
          <w:lang w:val="sr-Latn-ME"/>
        </w:rPr>
        <w:t xml:space="preserve">). 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7196" w:rsidRPr="00F82C16" w:rsidRDefault="00EF7FDB" w:rsidP="00F82C1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Lijek se ne smije koristiti, ukoliko rastvor promijeni boju ili postane zamućen.</w:t>
      </w:r>
    </w:p>
    <w:p w:rsidR="00EF7FDB" w:rsidRPr="00F82C16" w:rsidRDefault="00EF7FDB" w:rsidP="00F82C1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057E35" w:rsidRPr="00F82C16" w:rsidRDefault="00057E35" w:rsidP="00F82C1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82C16">
        <w:rPr>
          <w:sz w:val="22"/>
          <w:szCs w:val="22"/>
          <w:u w:val="single"/>
          <w:lang w:val="sr-Latn-ME"/>
        </w:rPr>
        <w:t>Pedijatrijska populacija</w:t>
      </w: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Primjena kod djece, kao i primjena većih doza je dozvoljena samo pod medicinskim nadzorom.</w:t>
      </w:r>
    </w:p>
    <w:p w:rsidR="00057E35" w:rsidRPr="00F82C16" w:rsidRDefault="00057E35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F82C16" w:rsidRDefault="00411B4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>4.5.</w:t>
      </w:r>
      <w:r w:rsidR="000D60CC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Istovremena primjena ovog lijeka sa inhibitorima MAO (tranilcipromin) i</w:t>
      </w:r>
      <w:r w:rsidR="00EF7FDB" w:rsidRPr="00F82C16">
        <w:rPr>
          <w:bCs/>
          <w:sz w:val="22"/>
          <w:szCs w:val="22"/>
          <w:lang w:val="sr-Latn-ME"/>
        </w:rPr>
        <w:t>li</w:t>
      </w:r>
      <w:r w:rsidRPr="00F82C16">
        <w:rPr>
          <w:bCs/>
          <w:sz w:val="22"/>
          <w:szCs w:val="22"/>
          <w:lang w:val="sr-Latn-ME"/>
        </w:rPr>
        <w:t xml:space="preserve"> tricikličnim antidepresivima (TCA), kao i ljekovima koji povećavaju krvni pritisak</w:t>
      </w:r>
      <w:r w:rsidR="00CA4375" w:rsidRPr="00F82C16">
        <w:rPr>
          <w:bCs/>
          <w:sz w:val="22"/>
          <w:szCs w:val="22"/>
          <w:lang w:val="sr-Latn-ME"/>
        </w:rPr>
        <w:t>,</w:t>
      </w:r>
      <w:r w:rsidRPr="00F82C16">
        <w:rPr>
          <w:bCs/>
          <w:sz w:val="22"/>
          <w:szCs w:val="22"/>
          <w:lang w:val="sr-Latn-ME"/>
        </w:rPr>
        <w:t xml:space="preserve"> može pojačati njegova vazokonstriktorn</w:t>
      </w:r>
      <w:r w:rsidR="00EF7FDB" w:rsidRPr="00F82C16">
        <w:rPr>
          <w:bCs/>
          <w:sz w:val="22"/>
          <w:szCs w:val="22"/>
          <w:lang w:val="sr-Latn-ME"/>
        </w:rPr>
        <w:t xml:space="preserve">a dejstva i povećati </w:t>
      </w:r>
      <w:r w:rsidRPr="00F82C16">
        <w:rPr>
          <w:bCs/>
          <w:sz w:val="22"/>
          <w:szCs w:val="22"/>
          <w:lang w:val="sr-Latn-ME"/>
        </w:rPr>
        <w:t>krvni pritisak, tako da ove kombinacije treba izbjegavati.</w:t>
      </w:r>
    </w:p>
    <w:p w:rsidR="00C57196" w:rsidRPr="00F82C16" w:rsidRDefault="00C57196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4.6.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="006D20A5" w:rsidRPr="00F82C16">
        <w:rPr>
          <w:b/>
          <w:sz w:val="22"/>
          <w:szCs w:val="22"/>
          <w:lang w:val="sr-Latn-ME"/>
        </w:rPr>
        <w:t>Plodnost, trudnoća i dojenje</w:t>
      </w:r>
    </w:p>
    <w:p w:rsidR="002031B3" w:rsidRPr="00F82C16" w:rsidRDefault="002031B3" w:rsidP="00F82C1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 xml:space="preserve">Nisu dostupni podaci o </w:t>
      </w:r>
      <w:r w:rsidR="00EF7FDB" w:rsidRPr="00F82C16">
        <w:rPr>
          <w:bCs/>
          <w:sz w:val="22"/>
          <w:szCs w:val="22"/>
          <w:lang w:val="sr-Latn-ME"/>
        </w:rPr>
        <w:t xml:space="preserve">prolasku lijeka kroz posteljicu, odnosno nije poznato da li se tetrizolin izlučuje u majčino mlijeko. </w:t>
      </w:r>
      <w:r w:rsidRPr="00F82C16">
        <w:rPr>
          <w:bCs/>
          <w:sz w:val="22"/>
          <w:szCs w:val="22"/>
          <w:lang w:val="sr-Latn-ME"/>
        </w:rPr>
        <w:t xml:space="preserve">Primjenu lijeka u trudnoći </w:t>
      </w:r>
      <w:r w:rsidR="00EF7FDB" w:rsidRPr="00F82C16">
        <w:rPr>
          <w:bCs/>
          <w:sz w:val="22"/>
          <w:szCs w:val="22"/>
          <w:lang w:val="sr-Latn-ME"/>
        </w:rPr>
        <w:t xml:space="preserve">i tokom dojenja </w:t>
      </w:r>
      <w:r w:rsidRPr="00F82C16">
        <w:rPr>
          <w:bCs/>
          <w:sz w:val="22"/>
          <w:szCs w:val="22"/>
          <w:lang w:val="sr-Latn-ME"/>
        </w:rPr>
        <w:t>treba izbjegavati</w:t>
      </w:r>
      <w:r w:rsidR="00CA4375" w:rsidRPr="00F82C16">
        <w:rPr>
          <w:bCs/>
          <w:sz w:val="22"/>
          <w:szCs w:val="22"/>
          <w:lang w:val="sr-Latn-ME"/>
        </w:rPr>
        <w:t>,</w:t>
      </w:r>
      <w:r w:rsidRPr="00F82C16">
        <w:rPr>
          <w:bCs/>
          <w:sz w:val="22"/>
          <w:szCs w:val="22"/>
          <w:lang w:val="sr-Latn-ME"/>
        </w:rPr>
        <w:t xml:space="preserve"> zbog mogućih sistemskih neželjenih dejstava.</w:t>
      </w:r>
      <w:r w:rsidR="00871F2D" w:rsidRPr="00F82C16">
        <w:rPr>
          <w:bCs/>
          <w:sz w:val="22"/>
          <w:szCs w:val="22"/>
          <w:lang w:val="sr-Latn-ME"/>
        </w:rPr>
        <w:t xml:space="preserve"> </w:t>
      </w:r>
      <w:r w:rsidR="00871F2D" w:rsidRPr="00F82C16">
        <w:rPr>
          <w:sz w:val="22"/>
          <w:szCs w:val="22"/>
          <w:lang w:val="sr-Latn-ME"/>
        </w:rPr>
        <w:t>Trudnice i dojilje se trebaju savjetovati s ljekarom prije upotrebe ovog lijeka.</w:t>
      </w:r>
    </w:p>
    <w:p w:rsidR="00227BDB" w:rsidRPr="00F82C16" w:rsidRDefault="00227BDB" w:rsidP="00F82C16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4.7.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 xml:space="preserve">Uticaj na </w:t>
      </w:r>
      <w:r w:rsidR="002031B3" w:rsidRPr="00F82C16">
        <w:rPr>
          <w:b/>
          <w:bCs/>
          <w:sz w:val="22"/>
          <w:szCs w:val="22"/>
          <w:lang w:val="sr-Latn-ME"/>
        </w:rPr>
        <w:t xml:space="preserve">sposobnost </w:t>
      </w:r>
      <w:r w:rsidR="00F34554" w:rsidRPr="00F82C16">
        <w:rPr>
          <w:b/>
          <w:bCs/>
          <w:sz w:val="22"/>
          <w:szCs w:val="22"/>
          <w:lang w:val="sr-Latn-ME"/>
        </w:rPr>
        <w:t>upravljanja vozili</w:t>
      </w:r>
      <w:r w:rsidRPr="00F82C16">
        <w:rPr>
          <w:b/>
          <w:bCs/>
          <w:sz w:val="22"/>
          <w:szCs w:val="22"/>
          <w:lang w:val="sr-Latn-ME"/>
        </w:rPr>
        <w:t>m</w:t>
      </w:r>
      <w:r w:rsidR="00F34554" w:rsidRPr="00F82C16">
        <w:rPr>
          <w:b/>
          <w:bCs/>
          <w:sz w:val="22"/>
          <w:szCs w:val="22"/>
          <w:lang w:val="sr-Latn-ME"/>
        </w:rPr>
        <w:t>a</w:t>
      </w:r>
      <w:r w:rsidRPr="00F82C16">
        <w:rPr>
          <w:b/>
          <w:bCs/>
          <w:sz w:val="22"/>
          <w:szCs w:val="22"/>
          <w:lang w:val="sr-Latn-ME"/>
        </w:rPr>
        <w:t xml:space="preserve"> i </w:t>
      </w:r>
      <w:r w:rsidR="000D3449" w:rsidRPr="00F82C16">
        <w:rPr>
          <w:b/>
          <w:bCs/>
          <w:sz w:val="22"/>
          <w:szCs w:val="22"/>
          <w:lang w:val="sr-Latn-ME"/>
        </w:rPr>
        <w:t xml:space="preserve">rukovanje </w:t>
      </w:r>
      <w:r w:rsidRPr="00F82C16">
        <w:rPr>
          <w:b/>
          <w:bCs/>
          <w:sz w:val="22"/>
          <w:szCs w:val="22"/>
          <w:lang w:val="sr-Latn-ME"/>
        </w:rPr>
        <w:t>mašinama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Sposobnost upravljanja motornim vozilima i rukovanja mašinama može biti smanjena nakon primjene ovog lijeka usljed pojave zamućenja vida ili zaslijepljenosti sv</w:t>
      </w:r>
      <w:r w:rsidR="00285DE4" w:rsidRPr="00F82C16">
        <w:rPr>
          <w:bCs/>
          <w:sz w:val="22"/>
          <w:szCs w:val="22"/>
          <w:lang w:val="sr-Latn-ME"/>
        </w:rPr>
        <w:t>i</w:t>
      </w:r>
      <w:r w:rsidRPr="00F82C16">
        <w:rPr>
          <w:bCs/>
          <w:sz w:val="22"/>
          <w:szCs w:val="22"/>
          <w:lang w:val="sr-Latn-ME"/>
        </w:rPr>
        <w:t>jetlom (posljedica midrijaze).</w:t>
      </w:r>
    </w:p>
    <w:p w:rsidR="00C57196" w:rsidRPr="00F82C16" w:rsidRDefault="00C57196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4.8.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Neželjena dejstva</w:t>
      </w:r>
    </w:p>
    <w:p w:rsidR="00E022F3" w:rsidRPr="00F82C16" w:rsidRDefault="00E022F3" w:rsidP="00F82C1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</w:p>
    <w:p w:rsidR="00C57196" w:rsidRPr="00F82C16" w:rsidRDefault="00BA76D6" w:rsidP="00F82C1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F82C16">
        <w:rPr>
          <w:rFonts w:eastAsia="TimesNewRoman"/>
          <w:sz w:val="22"/>
          <w:szCs w:val="22"/>
          <w:lang w:val="sr-Latn-ME"/>
        </w:rPr>
        <w:t>N</w:t>
      </w:r>
      <w:r w:rsidR="00C57196" w:rsidRPr="00F82C16">
        <w:rPr>
          <w:rFonts w:eastAsia="TimesNewRoman"/>
          <w:sz w:val="22"/>
          <w:szCs w:val="22"/>
          <w:lang w:val="sr-Latn-ME"/>
        </w:rPr>
        <w:t>eželjen</w:t>
      </w:r>
      <w:r w:rsidRPr="00F82C16">
        <w:rPr>
          <w:rFonts w:eastAsia="TimesNewRoman"/>
          <w:sz w:val="22"/>
          <w:szCs w:val="22"/>
          <w:lang w:val="sr-Latn-ME"/>
        </w:rPr>
        <w:t>a</w:t>
      </w:r>
      <w:r w:rsidR="00C57196" w:rsidRPr="00F82C16">
        <w:rPr>
          <w:rFonts w:eastAsia="TimesNewRoman"/>
          <w:sz w:val="22"/>
          <w:szCs w:val="22"/>
          <w:lang w:val="sr-Latn-ME"/>
        </w:rPr>
        <w:t xml:space="preserve"> dejstva </w:t>
      </w:r>
      <w:r w:rsidRPr="00F82C16">
        <w:rPr>
          <w:rFonts w:eastAsia="TimesNewRoman"/>
          <w:sz w:val="22"/>
          <w:szCs w:val="22"/>
          <w:lang w:val="sr-Latn-ME"/>
        </w:rPr>
        <w:t>su razvrstana</w:t>
      </w:r>
      <w:r w:rsidR="00C57196" w:rsidRPr="00F82C16">
        <w:rPr>
          <w:rFonts w:eastAsia="TimesNewRoman"/>
          <w:sz w:val="22"/>
          <w:szCs w:val="22"/>
          <w:lang w:val="sr-Latn-ME"/>
        </w:rPr>
        <w:t xml:space="preserve"> na osnovu sljedećih kategorija učestalosti:</w:t>
      </w:r>
    </w:p>
    <w:p w:rsidR="00C57196" w:rsidRPr="00F82C16" w:rsidRDefault="00C57196" w:rsidP="00F82C1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F82C16">
        <w:rPr>
          <w:rFonts w:eastAsia="TimesNewRoman"/>
          <w:sz w:val="22"/>
          <w:szCs w:val="22"/>
          <w:lang w:val="sr-Latn-ME"/>
        </w:rPr>
        <w:t>Veoma često (≥1/10)</w:t>
      </w:r>
    </w:p>
    <w:p w:rsidR="00C57196" w:rsidRPr="00F82C16" w:rsidRDefault="00C57196" w:rsidP="00F82C1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F82C16">
        <w:rPr>
          <w:rFonts w:eastAsia="TimesNewRoman"/>
          <w:sz w:val="22"/>
          <w:szCs w:val="22"/>
          <w:lang w:val="sr-Latn-ME"/>
        </w:rPr>
        <w:t xml:space="preserve">Često (≥1/100 do &lt;1/10) </w:t>
      </w:r>
    </w:p>
    <w:p w:rsidR="00C57196" w:rsidRPr="00F82C16" w:rsidRDefault="00C57196" w:rsidP="00F82C1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F82C16">
        <w:rPr>
          <w:rFonts w:eastAsia="TimesNewRoman"/>
          <w:sz w:val="22"/>
          <w:szCs w:val="22"/>
          <w:lang w:val="sr-Latn-ME"/>
        </w:rPr>
        <w:t>Povremeno (≥1/1000 do &lt;1/100)</w:t>
      </w:r>
    </w:p>
    <w:p w:rsidR="00C57196" w:rsidRPr="00F82C16" w:rsidRDefault="00C57196" w:rsidP="00F82C1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F82C16">
        <w:rPr>
          <w:rFonts w:eastAsia="TimesNewRoman"/>
          <w:sz w:val="22"/>
          <w:szCs w:val="22"/>
          <w:lang w:val="sr-Latn-ME"/>
        </w:rPr>
        <w:t>Rijetko (≥1/10000 do &lt;1/1000)</w:t>
      </w:r>
    </w:p>
    <w:p w:rsidR="00C57196" w:rsidRPr="00F82C16" w:rsidRDefault="00C57196" w:rsidP="00F82C1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/>
        </w:rPr>
      </w:pPr>
      <w:r w:rsidRPr="00F82C16">
        <w:rPr>
          <w:rFonts w:eastAsia="TimesNewRoman"/>
          <w:sz w:val="22"/>
          <w:szCs w:val="22"/>
          <w:lang w:val="sr-Latn-ME"/>
        </w:rPr>
        <w:t xml:space="preserve">Veoma rijetko (&lt;1/10000) </w:t>
      </w:r>
    </w:p>
    <w:p w:rsidR="00C57196" w:rsidRPr="00F82C16" w:rsidRDefault="00C57196" w:rsidP="00F82C16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/>
        </w:rPr>
      </w:pPr>
      <w:r w:rsidRPr="00F82C16">
        <w:rPr>
          <w:rFonts w:eastAsia="TimesNewRoman"/>
          <w:sz w:val="22"/>
          <w:szCs w:val="22"/>
          <w:lang w:val="sr-Latn-ME"/>
        </w:rPr>
        <w:t>Nepoznato (ne može se procijeniti na osnovu dostupnih podataka)</w:t>
      </w:r>
      <w:r w:rsidR="00D56577" w:rsidRPr="00F82C16">
        <w:rPr>
          <w:rFonts w:eastAsia="TimesNewRoman"/>
          <w:sz w:val="22"/>
          <w:szCs w:val="22"/>
          <w:lang w:val="sr-Latn-ME"/>
        </w:rPr>
        <w:t>.</w:t>
      </w:r>
    </w:p>
    <w:p w:rsidR="00C57196" w:rsidRPr="00F82C16" w:rsidRDefault="00C57196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296"/>
      </w:tblGrid>
      <w:tr w:rsidR="00C57196" w:rsidRPr="00F82C16" w:rsidTr="00F079B7">
        <w:tc>
          <w:tcPr>
            <w:tcW w:w="2694" w:type="dxa"/>
            <w:vMerge w:val="restart"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jc w:val="both"/>
              <w:rPr>
                <w:b/>
                <w:sz w:val="22"/>
                <w:szCs w:val="22"/>
                <w:lang w:val="sr-Latn-ME"/>
              </w:rPr>
            </w:pPr>
            <w:r w:rsidRPr="00F82C16">
              <w:rPr>
                <w:b/>
                <w:sz w:val="22"/>
                <w:szCs w:val="22"/>
                <w:lang w:val="sr-Latn-ME"/>
              </w:rPr>
              <w:t>Poremećaji oka</w:t>
            </w:r>
          </w:p>
          <w:p w:rsidR="00C57196" w:rsidRPr="00F82C16" w:rsidRDefault="00C57196" w:rsidP="00F82C16">
            <w:pPr>
              <w:spacing w:before="240" w:after="24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78" w:type="dxa"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jc w:val="both"/>
              <w:rPr>
                <w:sz w:val="22"/>
                <w:szCs w:val="22"/>
                <w:lang w:val="sr-Latn-ME"/>
              </w:rPr>
            </w:pPr>
            <w:r w:rsidRPr="00F82C16">
              <w:rPr>
                <w:b/>
                <w:sz w:val="22"/>
                <w:szCs w:val="22"/>
                <w:lang w:val="sr-Latn-ME"/>
              </w:rPr>
              <w:t>rijetko</w:t>
            </w:r>
            <w:r w:rsidRPr="00F82C16">
              <w:rPr>
                <w:sz w:val="22"/>
                <w:szCs w:val="22"/>
                <w:lang w:val="sr-Latn-ME"/>
              </w:rPr>
              <w:t>: midrijaza</w:t>
            </w:r>
          </w:p>
        </w:tc>
      </w:tr>
      <w:tr w:rsidR="00C57196" w:rsidRPr="00F82C16" w:rsidTr="00F079B7">
        <w:trPr>
          <w:trHeight w:val="791"/>
        </w:trPr>
        <w:tc>
          <w:tcPr>
            <w:tcW w:w="2694" w:type="dxa"/>
            <w:vMerge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78" w:type="dxa"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rPr>
                <w:sz w:val="22"/>
                <w:szCs w:val="22"/>
                <w:lang w:val="sr-Latn-ME"/>
              </w:rPr>
            </w:pPr>
            <w:r w:rsidRPr="00F82C16">
              <w:rPr>
                <w:b/>
                <w:sz w:val="22"/>
                <w:szCs w:val="22"/>
                <w:lang w:val="sr-Latn-ME"/>
              </w:rPr>
              <w:t>veoma rijetko</w:t>
            </w:r>
            <w:r w:rsidRPr="00F82C16">
              <w:rPr>
                <w:sz w:val="22"/>
                <w:szCs w:val="22"/>
                <w:lang w:val="sr-Latn-ME"/>
              </w:rPr>
              <w:t>:</w:t>
            </w:r>
            <w:r w:rsidR="009641D7" w:rsidRPr="00F82C16">
              <w:rPr>
                <w:sz w:val="22"/>
                <w:szCs w:val="22"/>
                <w:lang w:val="sr-Latn-ME"/>
              </w:rPr>
              <w:t xml:space="preserve"> </w:t>
            </w:r>
            <w:r w:rsidRPr="00F82C16">
              <w:rPr>
                <w:sz w:val="22"/>
                <w:szCs w:val="22"/>
                <w:lang w:val="sr-Latn-ME"/>
              </w:rPr>
              <w:t>keratinizacija epitela (kseroza) konju</w:t>
            </w:r>
            <w:r w:rsidR="00BF4D19" w:rsidRPr="00F82C16">
              <w:rPr>
                <w:sz w:val="22"/>
                <w:szCs w:val="22"/>
                <w:lang w:val="sr-Latn-ME"/>
              </w:rPr>
              <w:t>n</w:t>
            </w:r>
            <w:r w:rsidRPr="00F82C16">
              <w:rPr>
                <w:sz w:val="22"/>
                <w:szCs w:val="22"/>
                <w:lang w:val="sr-Latn-ME"/>
              </w:rPr>
              <w:t>ktive sa okluzijom suznih kanala i epiforom (suzne oči) nakon duže primjene tetrizolina</w:t>
            </w:r>
          </w:p>
        </w:tc>
      </w:tr>
      <w:tr w:rsidR="00C57196" w:rsidRPr="00F82C16" w:rsidTr="00F079B7">
        <w:tc>
          <w:tcPr>
            <w:tcW w:w="2694" w:type="dxa"/>
            <w:vMerge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78" w:type="dxa"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jc w:val="both"/>
              <w:rPr>
                <w:b/>
                <w:sz w:val="22"/>
                <w:szCs w:val="22"/>
                <w:lang w:val="sr-Latn-ME"/>
              </w:rPr>
            </w:pPr>
            <w:r w:rsidRPr="00F82C16">
              <w:rPr>
                <w:b/>
                <w:sz w:val="22"/>
                <w:szCs w:val="22"/>
                <w:lang w:val="sr-Latn-ME"/>
              </w:rPr>
              <w:t xml:space="preserve">nepoznato: </w:t>
            </w:r>
            <w:r w:rsidRPr="00F82C16">
              <w:rPr>
                <w:sz w:val="22"/>
                <w:szCs w:val="22"/>
                <w:lang w:val="sr-Latn-ME"/>
              </w:rPr>
              <w:t>iritacija konjunktive, zamućen vid</w:t>
            </w:r>
          </w:p>
        </w:tc>
      </w:tr>
      <w:tr w:rsidR="00C57196" w:rsidRPr="00F82C16" w:rsidTr="00F079B7">
        <w:tc>
          <w:tcPr>
            <w:tcW w:w="2694" w:type="dxa"/>
            <w:vMerge w:val="restart"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rPr>
                <w:b/>
                <w:sz w:val="22"/>
                <w:szCs w:val="22"/>
                <w:lang w:val="sr-Latn-ME"/>
              </w:rPr>
            </w:pPr>
            <w:r w:rsidRPr="00F82C16">
              <w:rPr>
                <w:b/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6378" w:type="dxa"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jc w:val="both"/>
              <w:rPr>
                <w:sz w:val="22"/>
                <w:szCs w:val="22"/>
                <w:lang w:val="sr-Latn-ME"/>
              </w:rPr>
            </w:pPr>
            <w:r w:rsidRPr="00F82C16">
              <w:rPr>
                <w:b/>
                <w:sz w:val="22"/>
                <w:szCs w:val="22"/>
                <w:lang w:val="sr-Latn-ME"/>
              </w:rPr>
              <w:t>često</w:t>
            </w:r>
            <w:r w:rsidRPr="00F82C16">
              <w:rPr>
                <w:sz w:val="22"/>
                <w:szCs w:val="22"/>
                <w:lang w:val="sr-Latn-ME"/>
              </w:rPr>
              <w:t>: reaktivna hiperemija, pečenje sluzokože oka, suvoća sluzokože oka, sistemski efekti (npr. palpitacije, glavobolja, tremor, slabost, znojenje, pov</w:t>
            </w:r>
            <w:r w:rsidR="005D305B" w:rsidRPr="00F82C16">
              <w:rPr>
                <w:sz w:val="22"/>
                <w:szCs w:val="22"/>
                <w:lang w:val="sr-Latn-ME"/>
              </w:rPr>
              <w:t>iše</w:t>
            </w:r>
            <w:r w:rsidRPr="00F82C16">
              <w:rPr>
                <w:sz w:val="22"/>
                <w:szCs w:val="22"/>
                <w:lang w:val="sr-Latn-ME"/>
              </w:rPr>
              <w:t>n krvni pritisak, povišena srčana frekvencija)</w:t>
            </w:r>
          </w:p>
        </w:tc>
      </w:tr>
      <w:tr w:rsidR="00C57196" w:rsidRPr="00F82C16" w:rsidTr="00F079B7">
        <w:tc>
          <w:tcPr>
            <w:tcW w:w="2694" w:type="dxa"/>
            <w:vMerge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rPr>
                <w:b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6378" w:type="dxa"/>
            <w:shd w:val="clear" w:color="auto" w:fill="auto"/>
          </w:tcPr>
          <w:p w:rsidR="00C57196" w:rsidRPr="00F82C16" w:rsidRDefault="00C57196" w:rsidP="00F82C16">
            <w:pPr>
              <w:spacing w:before="240" w:after="240"/>
              <w:jc w:val="both"/>
              <w:rPr>
                <w:sz w:val="22"/>
                <w:szCs w:val="22"/>
                <w:lang w:val="sr-Latn-ME"/>
              </w:rPr>
            </w:pPr>
            <w:r w:rsidRPr="00F82C16">
              <w:rPr>
                <w:b/>
                <w:sz w:val="22"/>
                <w:szCs w:val="22"/>
                <w:lang w:val="sr-Latn-ME"/>
              </w:rPr>
              <w:t xml:space="preserve">nepoznato: </w:t>
            </w:r>
            <w:r w:rsidR="00871F2D" w:rsidRPr="00F82C16">
              <w:rPr>
                <w:sz w:val="22"/>
                <w:szCs w:val="22"/>
                <w:lang w:val="sr-Latn-ME"/>
              </w:rPr>
              <w:t>okularno i periokularno žarenje</w:t>
            </w:r>
            <w:r w:rsidRPr="00F82C16">
              <w:rPr>
                <w:sz w:val="22"/>
                <w:szCs w:val="22"/>
                <w:lang w:val="sr-Latn-ME"/>
              </w:rPr>
              <w:t>, eritem, iritacija, edem, bol i pruritus</w:t>
            </w:r>
          </w:p>
        </w:tc>
      </w:tr>
    </w:tbl>
    <w:p w:rsidR="00C57196" w:rsidRPr="00F82C16" w:rsidRDefault="00C57196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57196" w:rsidRPr="00F82C16" w:rsidRDefault="00C57196" w:rsidP="00F82C16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F82C16">
        <w:rPr>
          <w:bCs/>
          <w:i/>
          <w:sz w:val="22"/>
          <w:szCs w:val="22"/>
          <w:lang w:val="sr-Latn-ME"/>
        </w:rPr>
        <w:t>Pedijatrijska populacija</w:t>
      </w:r>
    </w:p>
    <w:p w:rsidR="00C57196" w:rsidRPr="00F82C16" w:rsidRDefault="00871F2D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 xml:space="preserve">Posebno je izražen rizik, naročito kod </w:t>
      </w:r>
      <w:r w:rsidR="00E022F3" w:rsidRPr="00F82C16">
        <w:rPr>
          <w:bCs/>
          <w:sz w:val="22"/>
          <w:szCs w:val="22"/>
          <w:lang w:val="sr-Latn-ME"/>
        </w:rPr>
        <w:t>odojčadi</w:t>
      </w:r>
      <w:r w:rsidRPr="00F82C16">
        <w:rPr>
          <w:bCs/>
          <w:sz w:val="22"/>
          <w:szCs w:val="22"/>
          <w:lang w:val="sr-Latn-ME"/>
        </w:rPr>
        <w:t xml:space="preserve"> i male djece</w:t>
      </w:r>
      <w:r w:rsidR="00C57196" w:rsidRPr="00F82C16">
        <w:rPr>
          <w:bCs/>
          <w:sz w:val="22"/>
          <w:szCs w:val="22"/>
          <w:lang w:val="sr-Latn-ME"/>
        </w:rPr>
        <w:t xml:space="preserve">, od simptoma predoziranja usljed </w:t>
      </w:r>
      <w:r w:rsidRPr="00F82C16">
        <w:rPr>
          <w:bCs/>
          <w:sz w:val="22"/>
          <w:szCs w:val="22"/>
          <w:lang w:val="sr-Latn-ME"/>
        </w:rPr>
        <w:t xml:space="preserve">resorpcije, odnosno kao posljedice </w:t>
      </w:r>
      <w:r w:rsidR="00C57196" w:rsidRPr="00F82C16">
        <w:rPr>
          <w:bCs/>
          <w:sz w:val="22"/>
          <w:szCs w:val="22"/>
          <w:lang w:val="sr-Latn-ME"/>
        </w:rPr>
        <w:t xml:space="preserve">gutanja lijeka. Glavni simptomi </w:t>
      </w:r>
      <w:r w:rsidRPr="00F82C16">
        <w:rPr>
          <w:bCs/>
          <w:sz w:val="22"/>
          <w:szCs w:val="22"/>
          <w:lang w:val="sr-Latn-ME"/>
        </w:rPr>
        <w:t>se ogledaju kroz poremećaje</w:t>
      </w:r>
      <w:r w:rsidR="00C57196" w:rsidRPr="00F82C16">
        <w:rPr>
          <w:bCs/>
          <w:sz w:val="22"/>
          <w:szCs w:val="22"/>
          <w:lang w:val="sr-Latn-ME"/>
        </w:rPr>
        <w:t xml:space="preserve"> centralnog nervnog sistema (CNS), kao što su povećanje krvnog pritiska, aritmije, tahik</w:t>
      </w:r>
      <w:r w:rsidRPr="00F82C16">
        <w:rPr>
          <w:bCs/>
          <w:sz w:val="22"/>
          <w:szCs w:val="22"/>
          <w:lang w:val="sr-Latn-ME"/>
        </w:rPr>
        <w:t>ardija, tahiaritmije, ali</w:t>
      </w:r>
      <w:r w:rsidR="00C57196" w:rsidRPr="00F82C16">
        <w:rPr>
          <w:bCs/>
          <w:sz w:val="22"/>
          <w:szCs w:val="22"/>
          <w:lang w:val="sr-Latn-ME"/>
        </w:rPr>
        <w:t xml:space="preserve"> i reaktivn</w:t>
      </w:r>
      <w:r w:rsidRPr="00F82C16">
        <w:rPr>
          <w:bCs/>
          <w:sz w:val="22"/>
          <w:szCs w:val="22"/>
          <w:lang w:val="sr-Latn-ME"/>
        </w:rPr>
        <w:t>e bradikardije</w:t>
      </w:r>
      <w:r w:rsidR="00C57196" w:rsidRPr="00F82C16">
        <w:rPr>
          <w:bCs/>
          <w:sz w:val="22"/>
          <w:szCs w:val="22"/>
          <w:lang w:val="sr-Latn-ME"/>
        </w:rPr>
        <w:t>.</w:t>
      </w:r>
    </w:p>
    <w:p w:rsidR="00C57196" w:rsidRPr="00F82C16" w:rsidRDefault="00C57196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5A23D2" w:rsidRPr="00F82C16" w:rsidRDefault="005A23D2" w:rsidP="00F82C16">
      <w:pPr>
        <w:spacing w:after="200"/>
        <w:rPr>
          <w:rFonts w:eastAsia="Calibri"/>
          <w:sz w:val="22"/>
          <w:szCs w:val="22"/>
          <w:u w:val="single"/>
          <w:lang w:val="sr-Latn-ME"/>
        </w:rPr>
      </w:pPr>
      <w:r w:rsidRPr="00F82C16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5A23D2" w:rsidRPr="00F82C16" w:rsidRDefault="005A23D2" w:rsidP="00F82C16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F82C16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F82C16">
        <w:rPr>
          <w:rFonts w:eastAsia="Calibri"/>
          <w:sz w:val="22"/>
          <w:szCs w:val="22"/>
          <w:lang w:val="sr-Latn-ME"/>
        </w:rPr>
        <w:t>inuirano praćenje odnosa korist</w:t>
      </w:r>
      <w:r w:rsidRPr="00F82C16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F82C16">
        <w:rPr>
          <w:rFonts w:eastAsia="Calibri"/>
          <w:sz w:val="22"/>
          <w:szCs w:val="22"/>
          <w:lang w:val="sr-Latn-ME"/>
        </w:rPr>
        <w:t xml:space="preserve"> </w:t>
      </w:r>
      <w:r w:rsidRPr="00F82C16">
        <w:rPr>
          <w:rFonts w:eastAsia="Calibri"/>
          <w:sz w:val="22"/>
          <w:szCs w:val="22"/>
          <w:lang w:val="sr-Latn-ME"/>
        </w:rPr>
        <w:t>dejstvo ovog lijeka Agenciji za ljekove i medicinska sredstva Crne Gore (CALIMS):</w:t>
      </w:r>
    </w:p>
    <w:p w:rsidR="005A23D2" w:rsidRPr="00F82C16" w:rsidRDefault="005A23D2" w:rsidP="00F82C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2C16">
        <w:rPr>
          <w:rFonts w:eastAsia="Calibri"/>
          <w:sz w:val="22"/>
          <w:szCs w:val="22"/>
          <w:lang w:val="sr-Latn-ME"/>
        </w:rPr>
        <w:t>Agencija za ljekove i medicinska sredstva Crne Gore</w:t>
      </w:r>
    </w:p>
    <w:p w:rsidR="005A23D2" w:rsidRPr="00F82C16" w:rsidRDefault="005A23D2" w:rsidP="00F82C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2C16">
        <w:rPr>
          <w:rFonts w:eastAsia="Calibri"/>
          <w:sz w:val="22"/>
          <w:szCs w:val="22"/>
          <w:lang w:val="sr-Latn-ME"/>
        </w:rPr>
        <w:t>Odjeljenje za farmakovigilancu</w:t>
      </w:r>
    </w:p>
    <w:p w:rsidR="00EA5765" w:rsidRPr="00F82C16" w:rsidRDefault="005A23D2" w:rsidP="00F82C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2C16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EA5765" w:rsidRPr="00F82C16" w:rsidRDefault="00EA5765" w:rsidP="00F82C16">
      <w:pPr>
        <w:pStyle w:val="NoSpacing"/>
        <w:rPr>
          <w:rFonts w:eastAsia="Calibri"/>
          <w:sz w:val="22"/>
          <w:szCs w:val="22"/>
          <w:lang w:val="sr-Latn-ME"/>
        </w:rPr>
      </w:pPr>
    </w:p>
    <w:p w:rsidR="005A23D2" w:rsidRPr="00F82C16" w:rsidRDefault="005A23D2" w:rsidP="00F82C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2C16">
        <w:rPr>
          <w:rFonts w:eastAsia="Calibri"/>
          <w:sz w:val="22"/>
          <w:szCs w:val="22"/>
          <w:lang w:val="sr-Latn-ME"/>
        </w:rPr>
        <w:t>tel: +382 (0) 20 310 280</w:t>
      </w:r>
    </w:p>
    <w:p w:rsidR="00EA5765" w:rsidRPr="00F82C16" w:rsidRDefault="005A23D2" w:rsidP="00F82C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2C16">
        <w:rPr>
          <w:rFonts w:eastAsia="Calibri"/>
          <w:sz w:val="22"/>
          <w:szCs w:val="22"/>
          <w:lang w:val="sr-Latn-ME"/>
        </w:rPr>
        <w:t>fax:</w:t>
      </w:r>
      <w:r w:rsidR="00EA5765" w:rsidRPr="00F82C16">
        <w:rPr>
          <w:rFonts w:eastAsia="Calibri"/>
          <w:sz w:val="22"/>
          <w:szCs w:val="22"/>
          <w:lang w:val="sr-Latn-ME"/>
        </w:rPr>
        <w:t xml:space="preserve"> </w:t>
      </w:r>
      <w:r w:rsidRPr="00F82C16">
        <w:rPr>
          <w:rFonts w:eastAsia="Calibri"/>
          <w:sz w:val="22"/>
          <w:szCs w:val="22"/>
          <w:lang w:val="sr-Latn-ME"/>
        </w:rPr>
        <w:t>+382 (0) 20 310 581</w:t>
      </w:r>
    </w:p>
    <w:p w:rsidR="005A23D2" w:rsidRPr="00F82C16" w:rsidRDefault="000151DC" w:rsidP="00F82C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5A23D2" w:rsidRPr="00F82C16">
          <w:rPr>
            <w:rFonts w:eastAsia="Calibri"/>
            <w:color w:val="0000FF"/>
            <w:sz w:val="22"/>
            <w:szCs w:val="22"/>
            <w:u w:val="single"/>
            <w:lang w:val="sr-Latn-ME"/>
          </w:rPr>
          <w:t>www.calims.me</w:t>
        </w:r>
      </w:hyperlink>
    </w:p>
    <w:p w:rsidR="00EA5765" w:rsidRPr="00F82C16" w:rsidRDefault="000151DC" w:rsidP="00F82C1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0" w:history="1">
        <w:r w:rsidR="005A23D2" w:rsidRPr="00F82C16">
          <w:rPr>
            <w:rFonts w:eastAsia="Calibri"/>
            <w:color w:val="0000FF"/>
            <w:sz w:val="22"/>
            <w:szCs w:val="22"/>
            <w:u w:val="single"/>
            <w:lang w:val="sr-Latn-ME"/>
          </w:rPr>
          <w:t>nezeljenadejstva@calims.me</w:t>
        </w:r>
      </w:hyperlink>
    </w:p>
    <w:p w:rsidR="005A23D2" w:rsidRPr="00F82C16" w:rsidRDefault="005A23D2" w:rsidP="00F82C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2C16">
        <w:rPr>
          <w:rFonts w:eastAsia="Calibri"/>
          <w:sz w:val="22"/>
          <w:szCs w:val="22"/>
          <w:lang w:val="sr-Latn-ME"/>
        </w:rPr>
        <w:t>putem IS zdravstvene zaštite</w:t>
      </w:r>
    </w:p>
    <w:p w:rsidR="00836B35" w:rsidRPr="00F82C16" w:rsidRDefault="00836B35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D6F02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4.9.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Predoziranje</w:t>
      </w:r>
      <w:r w:rsidR="002846DB" w:rsidRPr="00F82C16">
        <w:rPr>
          <w:b/>
          <w:bCs/>
          <w:sz w:val="22"/>
          <w:szCs w:val="22"/>
          <w:lang w:val="sr-Latn-ME"/>
        </w:rPr>
        <w:t xml:space="preserve"> </w:t>
      </w:r>
    </w:p>
    <w:p w:rsidR="00CD6F02" w:rsidRPr="00F82C16" w:rsidRDefault="00CD6F02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Prekomjerna sistemska resorpcija alfa simpatikomimetika imidazolske strukture može dovesti do depresije centralnog nervnog sistema. Ovu činjenicu posebno treba imati na umu kada su u pitanju djeca.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Simptomi predoziranja su midrijaza, cijanoz</w:t>
      </w:r>
      <w:r w:rsidR="00871F2D" w:rsidRPr="00F82C16">
        <w:rPr>
          <w:bCs/>
          <w:sz w:val="22"/>
          <w:szCs w:val="22"/>
          <w:lang w:val="sr-Latn-ME"/>
        </w:rPr>
        <w:t>a, povišena temperatura</w:t>
      </w:r>
      <w:r w:rsidRPr="00F82C16">
        <w:rPr>
          <w:bCs/>
          <w:sz w:val="22"/>
          <w:szCs w:val="22"/>
          <w:lang w:val="sr-Latn-ME"/>
        </w:rPr>
        <w:t xml:space="preserve">, konvulzije (grčevi), </w:t>
      </w:r>
      <w:r w:rsidR="00871F2D" w:rsidRPr="00F82C16">
        <w:rPr>
          <w:bCs/>
          <w:sz w:val="22"/>
          <w:szCs w:val="22"/>
          <w:lang w:val="sr-Latn-ME"/>
        </w:rPr>
        <w:t>tahikardija, srčana aritmija</w:t>
      </w:r>
      <w:r w:rsidRPr="00F82C16">
        <w:rPr>
          <w:bCs/>
          <w:sz w:val="22"/>
          <w:szCs w:val="22"/>
          <w:lang w:val="sr-Latn-ME"/>
        </w:rPr>
        <w:t>, zastoj rada srca, hipertenzija, edem pluća, respiratorni i mentalni poremećaji.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Takođe, u određenim situacijam</w:t>
      </w:r>
      <w:r w:rsidR="00871F2D" w:rsidRPr="00F82C16">
        <w:rPr>
          <w:bCs/>
          <w:sz w:val="22"/>
          <w:szCs w:val="22"/>
          <w:lang w:val="sr-Latn-ME"/>
        </w:rPr>
        <w:t>a, moguća je inhibicija funkcije</w:t>
      </w:r>
      <w:r w:rsidRPr="00F82C16">
        <w:rPr>
          <w:bCs/>
          <w:sz w:val="22"/>
          <w:szCs w:val="22"/>
          <w:lang w:val="sr-Latn-ME"/>
        </w:rPr>
        <w:t xml:space="preserve"> centralnog nervnog sistema praćena</w:t>
      </w:r>
      <w:r w:rsidR="009D2B30" w:rsidRPr="00F82C16">
        <w:rPr>
          <w:bCs/>
          <w:sz w:val="22"/>
          <w:szCs w:val="22"/>
          <w:lang w:val="sr-Latn-ME"/>
        </w:rPr>
        <w:t xml:space="preserve"> </w:t>
      </w:r>
      <w:r w:rsidR="006F6F0D" w:rsidRPr="00F82C16">
        <w:rPr>
          <w:bCs/>
          <w:sz w:val="22"/>
          <w:szCs w:val="22"/>
          <w:lang w:val="sr-Latn-ME"/>
        </w:rPr>
        <w:t>simptomima pospanosti, smanjenjem</w:t>
      </w:r>
      <w:r w:rsidRPr="00F82C16">
        <w:rPr>
          <w:bCs/>
          <w:sz w:val="22"/>
          <w:szCs w:val="22"/>
          <w:lang w:val="sr-Latn-ME"/>
        </w:rPr>
        <w:t xml:space="preserve"> tjelesne temperature, bradikardijom, izraženom hipotenzijom koja može dovesti do stanja šoka, apneje i kome.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Posebno postoji rizik od pojave simptoma predoziranja usljed resorpcije, odnosno kao posljedica gutanja lijeka, pri čemu se mogu javiti oboljenja centralnog nervnog sistema, depresija respiracije i cirkulatorni kolaps.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Već doza od 0,01 mg tetrizolina/kg tjelesne mase mora se smatrati toksičnom dozom.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6F6F0D" w:rsidRPr="00F82C16" w:rsidRDefault="006F6F0D" w:rsidP="00F82C16">
      <w:pPr>
        <w:pStyle w:val="Default"/>
        <w:jc w:val="both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Zabilježeni su slučajevi slučajne ingestije kod djece koji su doveli do hospitalizacije, stoga je potrebno posebno obratiti pažnju prilikom čuvanja ovog lijeka. Držati van dohvata djece. U slučaju gutanja lijeka</w:t>
      </w:r>
      <w:r w:rsidR="009943C2" w:rsidRPr="00F82C16">
        <w:rPr>
          <w:sz w:val="22"/>
          <w:szCs w:val="22"/>
          <w:lang w:val="sr-Latn-ME"/>
        </w:rPr>
        <w:t>,</w:t>
      </w:r>
      <w:r w:rsidRPr="00F82C16">
        <w:rPr>
          <w:sz w:val="22"/>
          <w:szCs w:val="22"/>
          <w:lang w:val="sr-Latn-ME"/>
        </w:rPr>
        <w:t xml:space="preserve"> treba odmah tražiti ljekarsku pomoć.</w:t>
      </w:r>
    </w:p>
    <w:p w:rsidR="006F6F0D" w:rsidRPr="00F82C16" w:rsidRDefault="006F6F0D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2C16">
        <w:rPr>
          <w:bCs/>
          <w:sz w:val="22"/>
          <w:szCs w:val="22"/>
          <w:u w:val="single"/>
          <w:lang w:val="sr-Latn-ME"/>
        </w:rPr>
        <w:lastRenderedPageBreak/>
        <w:t>Terapijske mjere u slučaju predoziranja:</w:t>
      </w:r>
    </w:p>
    <w:p w:rsidR="006223D7" w:rsidRPr="00F82C16" w:rsidRDefault="006223D7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6F6F0D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Primjena medicinskog uglja, ispiranje želuca, primjena kiseonika, snižavanje tjelesne temperature i</w:t>
      </w:r>
      <w:r w:rsidR="009D2B30" w:rsidRPr="00F82C16">
        <w:rPr>
          <w:bCs/>
          <w:sz w:val="22"/>
          <w:szCs w:val="22"/>
          <w:lang w:val="sr-Latn-ME"/>
        </w:rPr>
        <w:t xml:space="preserve"> </w:t>
      </w:r>
      <w:r w:rsidRPr="00F82C16">
        <w:rPr>
          <w:bCs/>
          <w:sz w:val="22"/>
          <w:szCs w:val="22"/>
          <w:lang w:val="sr-Latn-ME"/>
        </w:rPr>
        <w:t xml:space="preserve">antikonvulzivna terapija. 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Vazopresori su kontraindikovani kod pacijenata sa hipotenzijom. Ukoliko se pojave antiholinergički simptomi, treba da se primijeni</w:t>
      </w:r>
      <w:r w:rsidR="006F6F0D" w:rsidRPr="00F82C16">
        <w:rPr>
          <w:bCs/>
          <w:sz w:val="22"/>
          <w:szCs w:val="22"/>
          <w:lang w:val="sr-Latn-ME"/>
        </w:rPr>
        <w:t xml:space="preserve"> antidot (npr. fizostigmin)</w:t>
      </w:r>
      <w:r w:rsidRPr="00F82C16">
        <w:rPr>
          <w:bCs/>
          <w:sz w:val="22"/>
          <w:szCs w:val="22"/>
          <w:lang w:val="sr-Latn-ME"/>
        </w:rPr>
        <w:t>.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227BDB" w:rsidRPr="00F82C16" w:rsidRDefault="00227BDB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5.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FARMAKOLOŠK</w:t>
      </w:r>
      <w:r w:rsidR="000D425A" w:rsidRPr="00F82C16">
        <w:rPr>
          <w:b/>
          <w:bCs/>
          <w:sz w:val="22"/>
          <w:szCs w:val="22"/>
          <w:lang w:val="sr-Latn-ME"/>
        </w:rPr>
        <w:t>I</w:t>
      </w:r>
      <w:r w:rsidRPr="00F82C16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5.1.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Farmakodinamski podaci</w:t>
      </w:r>
      <w:r w:rsidR="003A7059" w:rsidRPr="00F82C16">
        <w:rPr>
          <w:b/>
          <w:bCs/>
          <w:sz w:val="22"/>
          <w:szCs w:val="22"/>
          <w:lang w:val="sr-Latn-ME"/>
        </w:rPr>
        <w:t xml:space="preserve"> </w:t>
      </w:r>
    </w:p>
    <w:p w:rsidR="00F45F77" w:rsidRPr="00F82C16" w:rsidRDefault="00F45F77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Farmakoterapijska grupa: Adrenomimetici koji se koriste kao dekongestivi.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ATC kod: S01GA02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Tetrizolin je simpatikomimetik koji direktno stimuliše alfa-adrenergičke receptore simpatičkog nervnog sistema. Na beta-adrenergičke receptore djeluje minimalno ili uopšte ne djeluje. Kao simpatikomimemetik, posjeduje vazokonstriktorna i dekongestivna svojstva.</w:t>
      </w:r>
    </w:p>
    <w:p w:rsidR="002E37A5" w:rsidRPr="00F82C16" w:rsidRDefault="002E37A5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5.2.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Farmakokinetički podaci</w:t>
      </w:r>
      <w:r w:rsidR="003A7059" w:rsidRPr="00F82C16">
        <w:rPr>
          <w:b/>
          <w:bCs/>
          <w:sz w:val="22"/>
          <w:szCs w:val="22"/>
          <w:lang w:val="sr-Latn-ME"/>
        </w:rPr>
        <w:t xml:space="preserve"> 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Vazokonstriktorno i dekongestivno djelovanje tetrizolina počinje nekoliko minuta nakon topikalne primjene i traje 4 do 8 sati.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Ne može se isključiti sistemska resorpcija nakon lokalne primjene kod pacijenata sa oštećenom sluzokožom i epitelom.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 xml:space="preserve">Tokom kliničkog ispitivanja sprovedenog na 10 zdravih dobrovoljaca, tetrizolin je nakon terapijske primjene u oko bio prisutan i u serumu i u urinu </w:t>
      </w:r>
      <w:r w:rsidR="000B68F1" w:rsidRPr="00F82C16">
        <w:rPr>
          <w:bCs/>
          <w:sz w:val="22"/>
          <w:szCs w:val="22"/>
          <w:lang w:val="sr-Latn-ME"/>
        </w:rPr>
        <w:t xml:space="preserve">u </w:t>
      </w:r>
      <w:r w:rsidRPr="00F82C16">
        <w:rPr>
          <w:bCs/>
          <w:sz w:val="22"/>
          <w:szCs w:val="22"/>
          <w:lang w:val="sr-Latn-ME"/>
        </w:rPr>
        <w:t xml:space="preserve">detektabilnim koncentracijama. Prosječno polu-vrijeme eliminacije tetrizolina u serumu je </w:t>
      </w:r>
      <w:r w:rsidR="000B68F1" w:rsidRPr="00F82C16">
        <w:rPr>
          <w:bCs/>
          <w:sz w:val="22"/>
          <w:szCs w:val="22"/>
          <w:lang w:val="sr-Latn-ME"/>
        </w:rPr>
        <w:t>bilo</w:t>
      </w:r>
      <w:r w:rsidRPr="00F82C16">
        <w:rPr>
          <w:bCs/>
          <w:sz w:val="22"/>
          <w:szCs w:val="22"/>
          <w:lang w:val="sr-Latn-ME"/>
        </w:rPr>
        <w:t>, približno, 6 sati. Sistemska resorpcija je varirala među ispitanicima, sa maksimalnim koncentracijama u serumu u rasponu od 0,068 do 0,380 ng/ml. U 24. satu nakon primjene, svi ispitanici su imali detektabilne koncentracije tetrizolina u urinu.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5.3.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836B35" w:rsidRPr="00F82C16" w:rsidRDefault="00836B35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2C16">
        <w:rPr>
          <w:bCs/>
          <w:sz w:val="22"/>
          <w:szCs w:val="22"/>
          <w:u w:val="single"/>
          <w:lang w:val="sr-Latn-ME"/>
        </w:rPr>
        <w:t>Lokalna toksičnost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Primjena puferizovanog (pH 5,5) rastvora tetrizolina (0,25% i 0,5%) dva puta na dan, tokom pet uzastopnih dana</w:t>
      </w:r>
      <w:r w:rsidR="000B68F1" w:rsidRPr="00F82C16">
        <w:rPr>
          <w:bCs/>
          <w:sz w:val="22"/>
          <w:szCs w:val="22"/>
          <w:lang w:val="sr-Latn-ME"/>
        </w:rPr>
        <w:t>,</w:t>
      </w:r>
      <w:r w:rsidRPr="00F82C16">
        <w:rPr>
          <w:bCs/>
          <w:sz w:val="22"/>
          <w:szCs w:val="22"/>
          <w:lang w:val="sr-Latn-ME"/>
        </w:rPr>
        <w:t xml:space="preserve"> nije izazvala nadraženost oka kod kunića.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2C16">
        <w:rPr>
          <w:bCs/>
          <w:sz w:val="22"/>
          <w:szCs w:val="22"/>
          <w:u w:val="single"/>
          <w:lang w:val="sr-Latn-ME"/>
        </w:rPr>
        <w:t>Akutna toksičnost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Akutna LD</w:t>
      </w:r>
      <w:r w:rsidRPr="00F82C16">
        <w:rPr>
          <w:bCs/>
          <w:sz w:val="22"/>
          <w:szCs w:val="22"/>
          <w:vertAlign w:val="subscript"/>
          <w:lang w:val="sr-Latn-ME"/>
        </w:rPr>
        <w:t>50</w:t>
      </w:r>
      <w:r w:rsidRPr="00F82C16">
        <w:rPr>
          <w:bCs/>
          <w:sz w:val="22"/>
          <w:szCs w:val="22"/>
          <w:lang w:val="sr-Latn-ME"/>
        </w:rPr>
        <w:t xml:space="preserve"> tetrizolina poslije oralne primjene kod miševa iznosila je 420 mg/kg, a kod pacova</w:t>
      </w:r>
      <w:r w:rsidR="000B68F1" w:rsidRPr="00F82C16">
        <w:rPr>
          <w:bCs/>
          <w:sz w:val="22"/>
          <w:szCs w:val="22"/>
          <w:lang w:val="sr-Latn-ME"/>
        </w:rPr>
        <w:t xml:space="preserve"> </w:t>
      </w:r>
      <w:r w:rsidRPr="00F82C16">
        <w:rPr>
          <w:bCs/>
          <w:sz w:val="22"/>
          <w:szCs w:val="22"/>
          <w:lang w:val="sr-Latn-ME"/>
        </w:rPr>
        <w:t>785 mg/kg.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2C16">
        <w:rPr>
          <w:bCs/>
          <w:sz w:val="22"/>
          <w:szCs w:val="22"/>
          <w:u w:val="single"/>
          <w:lang w:val="sr-Latn-ME"/>
        </w:rPr>
        <w:t>Hronična toksičnost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Kod pacova, poslije nekoliko nedjelja oralne primjene tetrizolina u dozama od 10 do 30 mg/kg tjelesne mase, nije bilo toksičnih efekata izazvanih tetrizolinom.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 xml:space="preserve">Kod </w:t>
      </w:r>
      <w:r w:rsidRPr="00F82C16">
        <w:rPr>
          <w:bCs/>
          <w:i/>
          <w:sz w:val="22"/>
          <w:szCs w:val="22"/>
          <w:lang w:val="sr-Latn-ME"/>
        </w:rPr>
        <w:t>rhesus</w:t>
      </w:r>
      <w:r w:rsidRPr="00F82C16">
        <w:rPr>
          <w:bCs/>
          <w:sz w:val="22"/>
          <w:szCs w:val="22"/>
          <w:lang w:val="sr-Latn-ME"/>
        </w:rPr>
        <w:t xml:space="preserve"> majmuna, poslije intravenske primjene tetrizolina u dozama od 5 do 10 mg/kg tjelesne mase tokom 120 dana</w:t>
      </w:r>
      <w:r w:rsidR="000B68F1" w:rsidRPr="00F82C16">
        <w:rPr>
          <w:bCs/>
          <w:sz w:val="22"/>
          <w:szCs w:val="22"/>
          <w:lang w:val="sr-Latn-ME"/>
        </w:rPr>
        <w:t>,</w:t>
      </w:r>
      <w:r w:rsidRPr="00F82C16">
        <w:rPr>
          <w:bCs/>
          <w:sz w:val="22"/>
          <w:szCs w:val="22"/>
          <w:lang w:val="sr-Latn-ME"/>
        </w:rPr>
        <w:t xml:space="preserve"> i poslije oralne primjene u dozama od 5 do 10 mg/kg tjelesne mase tokom 32 nedjelje</w:t>
      </w:r>
      <w:r w:rsidR="000B68F1" w:rsidRPr="00F82C16">
        <w:rPr>
          <w:bCs/>
          <w:sz w:val="22"/>
          <w:szCs w:val="22"/>
          <w:lang w:val="sr-Latn-ME"/>
        </w:rPr>
        <w:t>,</w:t>
      </w:r>
      <w:r w:rsidRPr="00F82C16">
        <w:rPr>
          <w:bCs/>
          <w:sz w:val="22"/>
          <w:szCs w:val="22"/>
          <w:lang w:val="sr-Latn-ME"/>
        </w:rPr>
        <w:t xml:space="preserve"> opisani su dugotrajna sedacija i </w:t>
      </w:r>
      <w:r w:rsidR="000B68F1" w:rsidRPr="00F82C16">
        <w:rPr>
          <w:bCs/>
          <w:sz w:val="22"/>
          <w:szCs w:val="22"/>
          <w:lang w:val="sr-Latn-ME"/>
        </w:rPr>
        <w:t>spavanje</w:t>
      </w:r>
      <w:r w:rsidRPr="00F82C16">
        <w:rPr>
          <w:bCs/>
          <w:sz w:val="22"/>
          <w:szCs w:val="22"/>
          <w:lang w:val="sr-Latn-ME"/>
        </w:rPr>
        <w:t>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2C16">
        <w:rPr>
          <w:bCs/>
          <w:sz w:val="22"/>
          <w:szCs w:val="22"/>
          <w:u w:val="single"/>
          <w:lang w:val="sr-Latn-ME"/>
        </w:rPr>
        <w:t>Mutageni i teratogeni potencijal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Nisu dostupni rezultati ispitivanja studije mutagenosti i karcinogenosti.</w:t>
      </w: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2C16">
        <w:rPr>
          <w:bCs/>
          <w:sz w:val="22"/>
          <w:szCs w:val="22"/>
          <w:u w:val="single"/>
          <w:lang w:val="sr-Latn-ME"/>
        </w:rPr>
        <w:t>Reproduktivna toksičnost</w:t>
      </w:r>
    </w:p>
    <w:p w:rsidR="00E15671" w:rsidRPr="00F82C16" w:rsidRDefault="00CB15FB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Reproduktivno-toksikološka svojstva tetrizolina nisu</w:t>
      </w:r>
      <w:r w:rsidR="00E15671" w:rsidRPr="00F82C16">
        <w:rPr>
          <w:bCs/>
          <w:sz w:val="22"/>
          <w:szCs w:val="22"/>
          <w:lang w:val="sr-Latn-ME"/>
        </w:rPr>
        <w:t xml:space="preserve"> ispitivana.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FARMACEUTSKI PODACI</w:t>
      </w:r>
    </w:p>
    <w:p w:rsidR="00836B35" w:rsidRPr="00F82C16" w:rsidRDefault="00836B35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6.1.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Lista pomoćnih supstanci</w:t>
      </w:r>
      <w:r w:rsidR="002E0135" w:rsidRPr="00F82C16">
        <w:rPr>
          <w:b/>
          <w:bCs/>
          <w:sz w:val="22"/>
          <w:szCs w:val="22"/>
          <w:lang w:val="sr-Latn-ME"/>
        </w:rPr>
        <w:t xml:space="preserve"> (ekscipijenasa)</w:t>
      </w:r>
    </w:p>
    <w:p w:rsidR="006223D7" w:rsidRPr="00F82C16" w:rsidRDefault="006223D7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natrijum hlorid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borna kis</w:t>
      </w:r>
      <w:r w:rsidR="00ED1E60" w:rsidRPr="00F82C16">
        <w:rPr>
          <w:bCs/>
          <w:sz w:val="22"/>
          <w:szCs w:val="22"/>
          <w:lang w:val="sr-Latn-ME"/>
        </w:rPr>
        <w:t>j</w:t>
      </w:r>
      <w:r w:rsidRPr="00F82C16">
        <w:rPr>
          <w:bCs/>
          <w:sz w:val="22"/>
          <w:szCs w:val="22"/>
          <w:lang w:val="sr-Latn-ME"/>
        </w:rPr>
        <w:t>elina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natrijum tetraborat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-</w:t>
      </w:r>
      <w:r w:rsidRPr="00F82C16">
        <w:rPr>
          <w:bCs/>
          <w:sz w:val="22"/>
          <w:szCs w:val="22"/>
          <w:lang w:val="sr-Latn-ME"/>
        </w:rPr>
        <w:tab/>
        <w:t>voda, prečišćena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6.2.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Inkompatibilnost</w:t>
      </w:r>
      <w:r w:rsidR="002846DB" w:rsidRPr="00F82C16">
        <w:rPr>
          <w:b/>
          <w:bCs/>
          <w:sz w:val="22"/>
          <w:szCs w:val="22"/>
          <w:lang w:val="sr-Latn-ME"/>
        </w:rPr>
        <w:t>i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Nije primjenjivo.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>6.3.</w:t>
      </w:r>
      <w:r w:rsidR="00C05DF8" w:rsidRPr="00F82C16">
        <w:rPr>
          <w:b/>
          <w:bCs/>
          <w:sz w:val="22"/>
          <w:szCs w:val="22"/>
          <w:lang w:val="sr-Latn-ME"/>
        </w:rPr>
        <w:t xml:space="preserve">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Rok upotrebe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jc w:val="both"/>
        <w:outlineLvl w:val="0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30 mjeseci.</w:t>
      </w:r>
    </w:p>
    <w:p w:rsidR="00E15671" w:rsidRPr="00F82C16" w:rsidRDefault="00E15671" w:rsidP="00F82C16">
      <w:pPr>
        <w:jc w:val="both"/>
        <w:outlineLvl w:val="0"/>
        <w:rPr>
          <w:sz w:val="22"/>
          <w:szCs w:val="22"/>
          <w:lang w:val="sr-Latn-ME"/>
        </w:rPr>
      </w:pPr>
      <w:r w:rsidRPr="00F82C16">
        <w:rPr>
          <w:sz w:val="22"/>
          <w:szCs w:val="22"/>
          <w:lang w:val="sr-Latn-ME"/>
        </w:rPr>
        <w:t>Nakon prvog otvaranja, rok upotrebe je 28 dana. Nakon prvog otvaranja čuvati na temperaturi ispod 30°C.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6.4.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F82C16">
        <w:rPr>
          <w:b/>
          <w:bCs/>
          <w:sz w:val="22"/>
          <w:szCs w:val="22"/>
          <w:lang w:val="sr-Latn-ME"/>
        </w:rPr>
        <w:t xml:space="preserve"> lijeka</w:t>
      </w:r>
    </w:p>
    <w:p w:rsidR="00EC2532" w:rsidRPr="00F82C16" w:rsidRDefault="00EC2532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Čuvati na temperaturi ispod 30°C.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Uslove čuvanja nakon prvog otvaranja lijeka vidjeti u dijelu 6.3.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6.5.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="002846DB" w:rsidRPr="00F82C16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F82C16">
        <w:rPr>
          <w:b/>
          <w:bCs/>
          <w:sz w:val="22"/>
          <w:szCs w:val="22"/>
          <w:lang w:val="sr-Latn-ME"/>
        </w:rPr>
        <w:t>pakovanja</w:t>
      </w:r>
      <w:r w:rsidR="00C06864" w:rsidRPr="00F82C16">
        <w:rPr>
          <w:b/>
          <w:bCs/>
          <w:sz w:val="22"/>
          <w:szCs w:val="22"/>
          <w:lang w:val="sr-Latn-ME"/>
        </w:rPr>
        <w:t xml:space="preserve"> 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 xml:space="preserve">10 ml rastvora u bijeloj plastičnoj (HDPE) bočici (od 10 ml) sa 3K </w:t>
      </w:r>
      <w:r w:rsidR="00ED1E60" w:rsidRPr="00F82C16">
        <w:rPr>
          <w:bCs/>
          <w:sz w:val="22"/>
          <w:szCs w:val="22"/>
          <w:lang w:val="sr-Latn-ME"/>
        </w:rPr>
        <w:t xml:space="preserve">pumpicom za </w:t>
      </w:r>
      <w:r w:rsidRPr="00F82C16">
        <w:rPr>
          <w:bCs/>
          <w:sz w:val="22"/>
          <w:szCs w:val="22"/>
          <w:lang w:val="sr-Latn-ME"/>
        </w:rPr>
        <w:t>kapa</w:t>
      </w:r>
      <w:r w:rsidR="00ED1E60" w:rsidRPr="00F82C16">
        <w:rPr>
          <w:bCs/>
          <w:sz w:val="22"/>
          <w:szCs w:val="22"/>
          <w:lang w:val="sr-Latn-ME"/>
        </w:rPr>
        <w:t>nje</w:t>
      </w:r>
      <w:r w:rsidRPr="00F82C16">
        <w:rPr>
          <w:bCs/>
          <w:sz w:val="22"/>
          <w:szCs w:val="22"/>
          <w:lang w:val="sr-Latn-ME"/>
        </w:rPr>
        <w:t xml:space="preserve"> (PP, HDPE, LDPE), zaštitnim poklopcem (HDPE) i crvenim aplikatorom (PP), 1 bočica u kutiji.</w:t>
      </w: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846DB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6.6.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F82C16">
        <w:rPr>
          <w:b/>
          <w:bCs/>
          <w:sz w:val="22"/>
          <w:szCs w:val="22"/>
          <w:lang w:val="sr-Latn-ME"/>
        </w:rPr>
        <w:t xml:space="preserve"> </w:t>
      </w:r>
      <w:r w:rsidR="00310F03" w:rsidRPr="00F82C16">
        <w:rPr>
          <w:b/>
          <w:bCs/>
          <w:sz w:val="22"/>
          <w:szCs w:val="22"/>
          <w:lang w:val="sr-Latn-ME"/>
        </w:rPr>
        <w:t>(i druga uputs</w:t>
      </w:r>
      <w:r w:rsidR="004109FA" w:rsidRPr="00F82C16">
        <w:rPr>
          <w:b/>
          <w:bCs/>
          <w:sz w:val="22"/>
          <w:szCs w:val="22"/>
          <w:lang w:val="sr-Latn-ME"/>
        </w:rPr>
        <w:t>t</w:t>
      </w:r>
      <w:r w:rsidR="00310F03" w:rsidRPr="00F82C16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B66A70" w:rsidRPr="00F82C16" w:rsidRDefault="00B66A70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Neupotrijebljeni lijek se uništava u skladu sa važećim propisima.</w:t>
      </w:r>
    </w:p>
    <w:p w:rsidR="0072020E" w:rsidRPr="00F82C16" w:rsidRDefault="00E15671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Napomena: Svu neiskorišćenu količinu lijeka ili otpadnog materijala nakon njegove upotrebe treba ukloniti, u skladu sa važećim propisima.</w:t>
      </w:r>
    </w:p>
    <w:p w:rsidR="009D2B30" w:rsidRDefault="009D2B30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6223D7" w:rsidRPr="00F82C16" w:rsidRDefault="006223D7" w:rsidP="00F82C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8570A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7.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NOSILAC DOZVOLE</w:t>
      </w:r>
      <w:r w:rsidR="00483928" w:rsidRPr="00F82C16">
        <w:rPr>
          <w:b/>
          <w:bCs/>
          <w:sz w:val="22"/>
          <w:szCs w:val="22"/>
          <w:lang w:val="sr-Latn-ME"/>
        </w:rPr>
        <w:t xml:space="preserve"> </w:t>
      </w:r>
    </w:p>
    <w:p w:rsidR="00C61BE0" w:rsidRPr="00F82C16" w:rsidRDefault="00C61BE0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Farmont M.P. d.o.o.</w:t>
      </w:r>
    </w:p>
    <w:p w:rsidR="00C37FD7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Kosić, Stari put bb, Danilovgrad, Crna Gora</w:t>
      </w:r>
    </w:p>
    <w:p w:rsidR="00E15671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6223D7" w:rsidRPr="00F82C16" w:rsidRDefault="006223D7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8.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>BROJ DOZVOLE</w:t>
      </w:r>
      <w:r w:rsidR="008A6D43" w:rsidRPr="00F82C16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Viset, kapi za oči, rastvor, 0,5 mg/ml, bočica</w:t>
      </w:r>
      <w:r w:rsidR="00285DE4" w:rsidRPr="00F82C16">
        <w:rPr>
          <w:bCs/>
          <w:sz w:val="22"/>
          <w:szCs w:val="22"/>
          <w:lang w:val="sr-Latn-ME"/>
        </w:rPr>
        <w:t>, plastična, 1x10 ml</w:t>
      </w:r>
      <w:r w:rsidR="009D2B30" w:rsidRPr="00F82C16">
        <w:rPr>
          <w:bCs/>
          <w:sz w:val="22"/>
          <w:szCs w:val="22"/>
          <w:lang w:val="sr-Latn-ME"/>
        </w:rPr>
        <w:t>:</w:t>
      </w:r>
      <w:r w:rsidR="00862DBC" w:rsidRPr="00862DBC">
        <w:t xml:space="preserve"> </w:t>
      </w:r>
      <w:r w:rsidR="00862DBC" w:rsidRPr="00862DBC">
        <w:rPr>
          <w:bCs/>
          <w:sz w:val="22"/>
          <w:szCs w:val="22"/>
          <w:lang w:val="sr-Latn-ME"/>
        </w:rPr>
        <w:t>2030/20/1022 - 4739</w:t>
      </w:r>
    </w:p>
    <w:p w:rsidR="00F45F77" w:rsidRDefault="00F45F77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6223D7" w:rsidRPr="00F82C16" w:rsidRDefault="006223D7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F82C16" w:rsidRDefault="0072020E" w:rsidP="00F82C1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9.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Pr="00F82C16">
        <w:rPr>
          <w:b/>
          <w:bCs/>
          <w:sz w:val="22"/>
          <w:szCs w:val="22"/>
          <w:lang w:val="sr-Latn-ME"/>
        </w:rPr>
        <w:t xml:space="preserve">DATUM </w:t>
      </w:r>
      <w:r w:rsidR="00C05DF8" w:rsidRPr="00F82C16">
        <w:rPr>
          <w:b/>
          <w:bCs/>
          <w:sz w:val="22"/>
          <w:szCs w:val="22"/>
          <w:lang w:val="sr-Latn-ME"/>
        </w:rPr>
        <w:t xml:space="preserve">PRVE </w:t>
      </w:r>
      <w:r w:rsidR="008A6D43" w:rsidRPr="00F82C16">
        <w:rPr>
          <w:b/>
          <w:bCs/>
          <w:sz w:val="22"/>
          <w:szCs w:val="22"/>
          <w:lang w:val="sr-Latn-ME"/>
        </w:rPr>
        <w:t>DOZVOLE</w:t>
      </w:r>
      <w:r w:rsidR="00C05DF8" w:rsidRPr="00F82C16">
        <w:rPr>
          <w:b/>
          <w:bCs/>
          <w:sz w:val="22"/>
          <w:szCs w:val="22"/>
          <w:lang w:val="sr-Latn-ME"/>
        </w:rPr>
        <w:t>/OBNOVE DOZVOLE</w:t>
      </w:r>
      <w:r w:rsidR="008A6D43" w:rsidRPr="00F82C16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F82C16" w:rsidRDefault="0072020E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E15671" w:rsidRPr="00F82C16" w:rsidRDefault="00E15671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2C16">
        <w:rPr>
          <w:bCs/>
          <w:sz w:val="22"/>
          <w:szCs w:val="22"/>
          <w:lang w:val="sr-Latn-ME"/>
        </w:rPr>
        <w:t>Viset, kapi za oči, rastvor, 0,5 mg/ml, bočica</w:t>
      </w:r>
      <w:r w:rsidR="00285DE4" w:rsidRPr="00F82C16">
        <w:rPr>
          <w:bCs/>
          <w:sz w:val="22"/>
          <w:szCs w:val="22"/>
          <w:lang w:val="sr-Latn-ME"/>
        </w:rPr>
        <w:t>, plastična, 1x10 ml</w:t>
      </w:r>
      <w:r w:rsidR="009D2B30" w:rsidRPr="00F82C16">
        <w:rPr>
          <w:bCs/>
          <w:sz w:val="22"/>
          <w:szCs w:val="22"/>
          <w:lang w:val="sr-Latn-ME"/>
        </w:rPr>
        <w:t>:</w:t>
      </w:r>
      <w:r w:rsidR="00862DBC" w:rsidRPr="00862DBC">
        <w:t xml:space="preserve"> </w:t>
      </w:r>
      <w:r w:rsidR="00862DBC" w:rsidRPr="00862DBC">
        <w:rPr>
          <w:bCs/>
          <w:sz w:val="22"/>
          <w:szCs w:val="22"/>
          <w:lang w:val="sr-Latn-ME"/>
        </w:rPr>
        <w:t>16.10.2020. godine</w:t>
      </w:r>
      <w:bookmarkStart w:id="1" w:name="_GoBack"/>
      <w:bookmarkEnd w:id="1"/>
    </w:p>
    <w:p w:rsidR="00836B35" w:rsidRDefault="00836B35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6223D7" w:rsidRPr="00F82C16" w:rsidRDefault="006223D7" w:rsidP="00F82C1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Default="0072020E" w:rsidP="00F82C16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F82C16">
        <w:rPr>
          <w:b/>
          <w:bCs/>
          <w:sz w:val="22"/>
          <w:szCs w:val="22"/>
          <w:lang w:val="sr-Latn-ME"/>
        </w:rPr>
        <w:t xml:space="preserve">10. </w:t>
      </w:r>
      <w:r w:rsidR="00480FB1" w:rsidRPr="00F82C16">
        <w:rPr>
          <w:b/>
          <w:bCs/>
          <w:sz w:val="22"/>
          <w:szCs w:val="22"/>
          <w:lang w:val="sr-Latn-ME"/>
        </w:rPr>
        <w:tab/>
      </w:r>
      <w:r w:rsidR="002846DB" w:rsidRPr="00F82C16">
        <w:rPr>
          <w:b/>
          <w:bCs/>
          <w:sz w:val="22"/>
          <w:szCs w:val="22"/>
          <w:lang w:val="sr-Latn-ME"/>
        </w:rPr>
        <w:t>D</w:t>
      </w:r>
      <w:r w:rsidR="00EC2532" w:rsidRPr="00F82C16">
        <w:rPr>
          <w:b/>
          <w:bCs/>
          <w:sz w:val="22"/>
          <w:szCs w:val="22"/>
          <w:lang w:val="sr-Latn-ME"/>
        </w:rPr>
        <w:t xml:space="preserve">ATUM REVIZIJE TEKSTA </w:t>
      </w:r>
    </w:p>
    <w:p w:rsidR="006223D7" w:rsidRDefault="006223D7" w:rsidP="00F82C16">
      <w:pPr>
        <w:tabs>
          <w:tab w:val="left" w:pos="540"/>
          <w:tab w:val="left" w:pos="569"/>
        </w:tabs>
        <w:ind w:left="540" w:hanging="540"/>
        <w:rPr>
          <w:sz w:val="22"/>
          <w:szCs w:val="22"/>
          <w:lang w:val="sr-Latn-ME"/>
        </w:rPr>
      </w:pPr>
    </w:p>
    <w:p w:rsidR="006223D7" w:rsidRPr="00F82C16" w:rsidRDefault="006223D7" w:rsidP="00F82C16">
      <w:pPr>
        <w:tabs>
          <w:tab w:val="left" w:pos="540"/>
          <w:tab w:val="left" w:pos="569"/>
        </w:tabs>
        <w:ind w:left="540" w:hanging="540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Oktobar, 2020. godine</w:t>
      </w:r>
    </w:p>
    <w:sectPr w:rsidR="006223D7" w:rsidRPr="00F82C16" w:rsidSect="00EF3B86">
      <w:footerReference w:type="default" r:id="rId11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DC" w:rsidRDefault="000151DC">
      <w:r>
        <w:separator/>
      </w:r>
    </w:p>
  </w:endnote>
  <w:endnote w:type="continuationSeparator" w:id="0">
    <w:p w:rsidR="000151DC" w:rsidRDefault="0001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62DB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62DB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DC" w:rsidRDefault="000151DC">
      <w:r>
        <w:separator/>
      </w:r>
    </w:p>
  </w:footnote>
  <w:footnote w:type="continuationSeparator" w:id="0">
    <w:p w:rsidR="000151DC" w:rsidRDefault="0001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5.6pt;height:13.6pt;visibility:visible" o:bullet="t">
        <v:imagedata r:id="rId1" o:title="BT_1000x858px"/>
      </v:shape>
    </w:pict>
  </w:numPicBullet>
  <w:abstractNum w:abstractNumId="0" w15:restartNumberingAfterBreak="0">
    <w:nsid w:val="035F7191"/>
    <w:multiLevelType w:val="hybridMultilevel"/>
    <w:tmpl w:val="33BC1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51DC"/>
    <w:rsid w:val="000176CA"/>
    <w:rsid w:val="00036FA0"/>
    <w:rsid w:val="0003793F"/>
    <w:rsid w:val="00057E35"/>
    <w:rsid w:val="000744AC"/>
    <w:rsid w:val="00076726"/>
    <w:rsid w:val="00080303"/>
    <w:rsid w:val="000A3F58"/>
    <w:rsid w:val="000B68F1"/>
    <w:rsid w:val="000D2343"/>
    <w:rsid w:val="000D3449"/>
    <w:rsid w:val="000D425A"/>
    <w:rsid w:val="000D60CC"/>
    <w:rsid w:val="000E2084"/>
    <w:rsid w:val="000E6F55"/>
    <w:rsid w:val="000F77FA"/>
    <w:rsid w:val="00101D61"/>
    <w:rsid w:val="00107BF7"/>
    <w:rsid w:val="00124C53"/>
    <w:rsid w:val="00126F53"/>
    <w:rsid w:val="00135500"/>
    <w:rsid w:val="0014766D"/>
    <w:rsid w:val="001536CC"/>
    <w:rsid w:val="00184C7E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7BDB"/>
    <w:rsid w:val="00234CB1"/>
    <w:rsid w:val="002352F8"/>
    <w:rsid w:val="002510A5"/>
    <w:rsid w:val="00251E7C"/>
    <w:rsid w:val="00254A0A"/>
    <w:rsid w:val="00266046"/>
    <w:rsid w:val="002846DB"/>
    <w:rsid w:val="00284CCD"/>
    <w:rsid w:val="00285DE4"/>
    <w:rsid w:val="002863E9"/>
    <w:rsid w:val="002A3808"/>
    <w:rsid w:val="002C6637"/>
    <w:rsid w:val="002E0135"/>
    <w:rsid w:val="002E37A5"/>
    <w:rsid w:val="00310F03"/>
    <w:rsid w:val="003247D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6A59"/>
    <w:rsid w:val="004065C8"/>
    <w:rsid w:val="004109FA"/>
    <w:rsid w:val="00411B4B"/>
    <w:rsid w:val="00415BEE"/>
    <w:rsid w:val="00424832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D6103"/>
    <w:rsid w:val="004E3BCE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D305B"/>
    <w:rsid w:val="005D63E2"/>
    <w:rsid w:val="005E2E0B"/>
    <w:rsid w:val="005E7A7D"/>
    <w:rsid w:val="00602457"/>
    <w:rsid w:val="006223D7"/>
    <w:rsid w:val="00641722"/>
    <w:rsid w:val="00646BD1"/>
    <w:rsid w:val="006561C2"/>
    <w:rsid w:val="00671CB3"/>
    <w:rsid w:val="00671FA5"/>
    <w:rsid w:val="00674BAF"/>
    <w:rsid w:val="00682200"/>
    <w:rsid w:val="00692BF6"/>
    <w:rsid w:val="006A1497"/>
    <w:rsid w:val="006B0BD1"/>
    <w:rsid w:val="006C02ED"/>
    <w:rsid w:val="006D20A5"/>
    <w:rsid w:val="006D37BF"/>
    <w:rsid w:val="006F6F0D"/>
    <w:rsid w:val="00702E22"/>
    <w:rsid w:val="0072020E"/>
    <w:rsid w:val="00786071"/>
    <w:rsid w:val="007A3ECB"/>
    <w:rsid w:val="007B3E40"/>
    <w:rsid w:val="007B77CB"/>
    <w:rsid w:val="00823DEB"/>
    <w:rsid w:val="00824AB9"/>
    <w:rsid w:val="00836B35"/>
    <w:rsid w:val="00843BDE"/>
    <w:rsid w:val="00862DBC"/>
    <w:rsid w:val="00871F2D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40B9B"/>
    <w:rsid w:val="0095676E"/>
    <w:rsid w:val="00956983"/>
    <w:rsid w:val="00963CF0"/>
    <w:rsid w:val="009641D7"/>
    <w:rsid w:val="00964BB1"/>
    <w:rsid w:val="009775D9"/>
    <w:rsid w:val="009943C2"/>
    <w:rsid w:val="00997175"/>
    <w:rsid w:val="009A1847"/>
    <w:rsid w:val="009B062A"/>
    <w:rsid w:val="009D2B30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A76D6"/>
    <w:rsid w:val="00BF4D19"/>
    <w:rsid w:val="00C008E0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57196"/>
    <w:rsid w:val="00C61BE0"/>
    <w:rsid w:val="00C70B0E"/>
    <w:rsid w:val="00C773CA"/>
    <w:rsid w:val="00C83785"/>
    <w:rsid w:val="00C94C0D"/>
    <w:rsid w:val="00CA1FEB"/>
    <w:rsid w:val="00CA4375"/>
    <w:rsid w:val="00CB15FB"/>
    <w:rsid w:val="00CD4F85"/>
    <w:rsid w:val="00CD6F02"/>
    <w:rsid w:val="00CE246D"/>
    <w:rsid w:val="00CF07A0"/>
    <w:rsid w:val="00CF3E03"/>
    <w:rsid w:val="00D0082A"/>
    <w:rsid w:val="00D14E3D"/>
    <w:rsid w:val="00D21455"/>
    <w:rsid w:val="00D21840"/>
    <w:rsid w:val="00D47634"/>
    <w:rsid w:val="00D56577"/>
    <w:rsid w:val="00D709B3"/>
    <w:rsid w:val="00DA2ED6"/>
    <w:rsid w:val="00DB76B8"/>
    <w:rsid w:val="00DC2EA1"/>
    <w:rsid w:val="00DD6AAF"/>
    <w:rsid w:val="00DE3F5C"/>
    <w:rsid w:val="00DE66D5"/>
    <w:rsid w:val="00DF1D20"/>
    <w:rsid w:val="00E022F3"/>
    <w:rsid w:val="00E13AFB"/>
    <w:rsid w:val="00E15671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1E60"/>
    <w:rsid w:val="00ED7812"/>
    <w:rsid w:val="00EE18C9"/>
    <w:rsid w:val="00EF3B86"/>
    <w:rsid w:val="00EF7FDB"/>
    <w:rsid w:val="00F317E9"/>
    <w:rsid w:val="00F34554"/>
    <w:rsid w:val="00F45F77"/>
    <w:rsid w:val="00F5167F"/>
    <w:rsid w:val="00F52258"/>
    <w:rsid w:val="00F82C16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F05197-E663-4FF2-9CD2-3243F531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customStyle="1" w:styleId="Default">
    <w:name w:val="Default"/>
    <w:rsid w:val="006F6F0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2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alims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lims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A2E7-A21F-471D-A8A2-0CFBFF73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12768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creator>tatjana.bankovic</dc:creator>
  <cp:lastModifiedBy>Gordana Boljević</cp:lastModifiedBy>
  <cp:revision>6</cp:revision>
  <dcterms:created xsi:type="dcterms:W3CDTF">2020-10-15T10:19:00Z</dcterms:created>
  <dcterms:modified xsi:type="dcterms:W3CDTF">2020-10-15T11:37:00Z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