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C11A" w14:textId="77777777" w:rsidR="00F91C7B" w:rsidRPr="00E659A7" w:rsidRDefault="00F91C7B" w:rsidP="00E659A7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025C11B" w14:textId="77777777" w:rsidR="002510A5" w:rsidRPr="00E659A7" w:rsidRDefault="002510A5" w:rsidP="0028004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659A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025C11C" w14:textId="77777777" w:rsidR="002510A5" w:rsidRPr="00E659A7" w:rsidRDefault="002510A5" w:rsidP="00E659A7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923A2AD" w14:textId="77777777" w:rsidR="00280046" w:rsidRDefault="00280046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5C121" w14:textId="0A31F228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>1.</w:t>
      </w:r>
      <w:r w:rsidR="00F5167F" w:rsidRPr="00E659A7">
        <w:rPr>
          <w:b/>
          <w:bCs/>
          <w:sz w:val="22"/>
          <w:szCs w:val="22"/>
          <w:lang w:val="sr-Latn-ME"/>
        </w:rPr>
        <w:tab/>
      </w:r>
      <w:r w:rsidR="002846DB" w:rsidRPr="00E659A7">
        <w:rPr>
          <w:b/>
          <w:bCs/>
          <w:sz w:val="22"/>
          <w:szCs w:val="22"/>
          <w:lang w:val="sr-Latn-ME"/>
        </w:rPr>
        <w:t xml:space="preserve">NAZIV </w:t>
      </w:r>
      <w:r w:rsidRPr="00E659A7">
        <w:rPr>
          <w:b/>
          <w:bCs/>
          <w:sz w:val="22"/>
          <w:szCs w:val="22"/>
          <w:lang w:val="sr-Latn-ME"/>
        </w:rPr>
        <w:t>LIJEKA</w:t>
      </w:r>
    </w:p>
    <w:p w14:paraId="7025C122" w14:textId="77777777" w:rsidR="00EC2532" w:rsidRPr="00E659A7" w:rsidRDefault="00EC2532" w:rsidP="00E659A7">
      <w:pPr>
        <w:jc w:val="both"/>
        <w:rPr>
          <w:sz w:val="22"/>
          <w:szCs w:val="22"/>
          <w:lang w:val="sr-Latn-ME"/>
        </w:rPr>
      </w:pPr>
    </w:p>
    <w:p w14:paraId="226B9407" w14:textId="225563EF" w:rsidR="0050594B" w:rsidRPr="00E659A7" w:rsidRDefault="0050594B" w:rsidP="00E659A7">
      <w:pPr>
        <w:widowControl w:val="0"/>
        <w:autoSpaceDE w:val="0"/>
        <w:autoSpaceDN w:val="0"/>
        <w:jc w:val="both"/>
        <w:rPr>
          <w:bCs/>
          <w:noProof/>
          <w:sz w:val="22"/>
          <w:szCs w:val="22"/>
          <w:lang w:val="sr-Latn-ME"/>
        </w:rPr>
      </w:pPr>
      <w:r w:rsidRPr="00E659A7">
        <w:rPr>
          <w:bCs/>
          <w:noProof/>
          <w:sz w:val="22"/>
          <w:szCs w:val="22"/>
          <w:lang w:val="sr-Latn-ME"/>
        </w:rPr>
        <w:t>Dexilant</w:t>
      </w:r>
      <w:r w:rsidRPr="00E659A7">
        <w:rPr>
          <w:bCs/>
          <w:noProof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noProof/>
          <w:sz w:val="22"/>
          <w:szCs w:val="22"/>
          <w:lang w:val="sr-Latn-ME"/>
        </w:rPr>
        <w:t xml:space="preserve">, 30 mg, </w:t>
      </w:r>
      <w:r w:rsidR="00C801DD" w:rsidRPr="00E659A7">
        <w:rPr>
          <w:bCs/>
          <w:noProof/>
          <w:sz w:val="22"/>
          <w:szCs w:val="22"/>
          <w:lang w:val="sr-Latn-ME"/>
        </w:rPr>
        <w:t xml:space="preserve">kapsula </w:t>
      </w:r>
      <w:r w:rsidRPr="00E659A7">
        <w:rPr>
          <w:bCs/>
          <w:noProof/>
          <w:sz w:val="22"/>
          <w:szCs w:val="22"/>
          <w:lang w:val="sr-Latn-ME"/>
        </w:rPr>
        <w:t xml:space="preserve">sa modifikovanim oslobađanjem, </w:t>
      </w:r>
      <w:r w:rsidR="00C801DD" w:rsidRPr="00E659A7">
        <w:rPr>
          <w:bCs/>
          <w:noProof/>
          <w:sz w:val="22"/>
          <w:szCs w:val="22"/>
          <w:lang w:val="sr-Latn-ME"/>
        </w:rPr>
        <w:t>tvrda</w:t>
      </w:r>
    </w:p>
    <w:p w14:paraId="141AA630" w14:textId="0DE1CE96" w:rsidR="0050594B" w:rsidRPr="00E659A7" w:rsidRDefault="0050594B" w:rsidP="00E659A7">
      <w:pPr>
        <w:widowControl w:val="0"/>
        <w:autoSpaceDE w:val="0"/>
        <w:autoSpaceDN w:val="0"/>
        <w:jc w:val="both"/>
        <w:rPr>
          <w:bCs/>
          <w:noProof/>
          <w:sz w:val="22"/>
          <w:szCs w:val="22"/>
          <w:lang w:val="sr-Latn-ME"/>
        </w:rPr>
      </w:pPr>
      <w:r w:rsidRPr="00E659A7">
        <w:rPr>
          <w:bCs/>
          <w:noProof/>
          <w:sz w:val="22"/>
          <w:szCs w:val="22"/>
          <w:lang w:val="sr-Latn-ME"/>
        </w:rPr>
        <w:t>Dexilant</w:t>
      </w:r>
      <w:r w:rsidRPr="00E659A7">
        <w:rPr>
          <w:bCs/>
          <w:noProof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noProof/>
          <w:sz w:val="22"/>
          <w:szCs w:val="22"/>
          <w:lang w:val="sr-Latn-ME"/>
        </w:rPr>
        <w:t xml:space="preserve">, 60 mg, </w:t>
      </w:r>
      <w:r w:rsidR="00C801DD" w:rsidRPr="00E659A7">
        <w:rPr>
          <w:bCs/>
          <w:noProof/>
          <w:sz w:val="22"/>
          <w:szCs w:val="22"/>
          <w:lang w:val="sr-Latn-ME"/>
        </w:rPr>
        <w:t xml:space="preserve">kapsula </w:t>
      </w:r>
      <w:r w:rsidRPr="00E659A7">
        <w:rPr>
          <w:bCs/>
          <w:noProof/>
          <w:sz w:val="22"/>
          <w:szCs w:val="22"/>
          <w:lang w:val="sr-Latn-ME"/>
        </w:rPr>
        <w:t xml:space="preserve">sa modifikovanim oslobađanjem, </w:t>
      </w:r>
      <w:r w:rsidR="00C801DD" w:rsidRPr="00E659A7">
        <w:rPr>
          <w:bCs/>
          <w:noProof/>
          <w:sz w:val="22"/>
          <w:szCs w:val="22"/>
          <w:lang w:val="sr-Latn-ME"/>
        </w:rPr>
        <w:t>tvrda</w:t>
      </w:r>
    </w:p>
    <w:p w14:paraId="7025C124" w14:textId="77777777" w:rsidR="000D425A" w:rsidRPr="00E659A7" w:rsidRDefault="000D425A" w:rsidP="00E659A7">
      <w:pPr>
        <w:jc w:val="both"/>
        <w:rPr>
          <w:bCs/>
          <w:sz w:val="22"/>
          <w:szCs w:val="22"/>
          <w:lang w:val="sr-Latn-ME"/>
        </w:rPr>
      </w:pPr>
    </w:p>
    <w:p w14:paraId="7025C125" w14:textId="1CAC663D" w:rsidR="006D20A5" w:rsidRPr="00E659A7" w:rsidRDefault="006D20A5" w:rsidP="00E659A7">
      <w:pPr>
        <w:jc w:val="both"/>
        <w:rPr>
          <w:sz w:val="22"/>
          <w:szCs w:val="22"/>
          <w:lang w:val="sr-Latn-ME"/>
        </w:rPr>
      </w:pPr>
      <w:r w:rsidRPr="00E659A7">
        <w:rPr>
          <w:sz w:val="22"/>
          <w:szCs w:val="22"/>
          <w:lang w:val="sr-Latn-ME"/>
        </w:rPr>
        <w:t>INN:</w:t>
      </w:r>
      <w:r w:rsidR="0050594B" w:rsidRPr="00E659A7">
        <w:rPr>
          <w:sz w:val="22"/>
          <w:szCs w:val="22"/>
          <w:lang w:val="sr-Latn-ME"/>
        </w:rPr>
        <w:t xml:space="preserve"> </w:t>
      </w:r>
      <w:r w:rsidR="0050594B" w:rsidRPr="00E659A7">
        <w:rPr>
          <w:noProof/>
          <w:sz w:val="22"/>
          <w:szCs w:val="22"/>
          <w:lang w:val="sr-Latn-ME"/>
        </w:rPr>
        <w:t>dekslansoprazol</w:t>
      </w:r>
    </w:p>
    <w:p w14:paraId="7025C127" w14:textId="117ED08B" w:rsidR="00530BD7" w:rsidRDefault="00530BD7" w:rsidP="00E659A7">
      <w:pPr>
        <w:jc w:val="both"/>
        <w:rPr>
          <w:bCs/>
          <w:sz w:val="22"/>
          <w:szCs w:val="22"/>
          <w:lang w:val="sr-Latn-ME"/>
        </w:rPr>
      </w:pPr>
    </w:p>
    <w:p w14:paraId="49131294" w14:textId="77777777" w:rsidR="00280046" w:rsidRPr="00E659A7" w:rsidRDefault="00280046" w:rsidP="00E659A7">
      <w:pPr>
        <w:jc w:val="both"/>
        <w:rPr>
          <w:bCs/>
          <w:sz w:val="22"/>
          <w:szCs w:val="22"/>
          <w:lang w:val="sr-Latn-ME"/>
        </w:rPr>
      </w:pPr>
    </w:p>
    <w:p w14:paraId="7025C128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2. </w:t>
      </w:r>
      <w:r w:rsidR="00F5167F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KVALITATIVNI I KVANTITATIVNI SASTAV</w:t>
      </w:r>
    </w:p>
    <w:p w14:paraId="7025C129" w14:textId="14BE1C4F" w:rsidR="005A0B2E" w:rsidRPr="00E659A7" w:rsidRDefault="005A0B2E" w:rsidP="00E659A7">
      <w:pPr>
        <w:jc w:val="both"/>
        <w:rPr>
          <w:sz w:val="22"/>
          <w:szCs w:val="22"/>
          <w:lang w:val="sr-Latn-ME"/>
        </w:rPr>
      </w:pPr>
    </w:p>
    <w:p w14:paraId="4D250ADB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Svaka kapsula sa modifikovanim oslobađanjem, tvrda sadrži 30 mg dekslansoprazola.</w:t>
      </w:r>
    </w:p>
    <w:p w14:paraId="211E6155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Svaka kapsula sa modifikovanim oslobađanjem, tvrda sadrži 60 mg dekslansoprazola.</w:t>
      </w:r>
    </w:p>
    <w:p w14:paraId="2588B154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</w:p>
    <w:p w14:paraId="0807A6E1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Pomoćne supstance sa potvrđenim dejstvom</w:t>
      </w:r>
      <w:r w:rsidRPr="00E659A7">
        <w:rPr>
          <w:noProof/>
          <w:sz w:val="22"/>
          <w:szCs w:val="22"/>
          <w:lang w:val="sr-Latn-ME"/>
        </w:rPr>
        <w:t>:</w:t>
      </w:r>
    </w:p>
    <w:p w14:paraId="2899C488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Svaka kapsula sa modifikovanim oslobađanjem, tvrda od 30 mg sadrži 68 mg saharoze.</w:t>
      </w:r>
    </w:p>
    <w:p w14:paraId="2E155120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Svaka kapsula sa modifikovanim oslobađanjem, tvrda od 60 mg sadrži 76 mg saharoze.</w:t>
      </w:r>
    </w:p>
    <w:p w14:paraId="1EBE70F9" w14:textId="77777777" w:rsidR="0050594B" w:rsidRPr="00E659A7" w:rsidRDefault="0050594B" w:rsidP="00E659A7">
      <w:pPr>
        <w:jc w:val="both"/>
        <w:rPr>
          <w:sz w:val="22"/>
          <w:szCs w:val="22"/>
          <w:lang w:val="sr-Latn-ME"/>
        </w:rPr>
      </w:pPr>
    </w:p>
    <w:p w14:paraId="7025C12A" w14:textId="77777777" w:rsidR="0003793F" w:rsidRPr="00E659A7" w:rsidRDefault="0003793F" w:rsidP="00E659A7">
      <w:pPr>
        <w:jc w:val="both"/>
        <w:rPr>
          <w:sz w:val="22"/>
          <w:szCs w:val="22"/>
          <w:lang w:val="sr-Latn-ME"/>
        </w:rPr>
      </w:pPr>
      <w:r w:rsidRPr="00E659A7">
        <w:rPr>
          <w:sz w:val="22"/>
          <w:szCs w:val="22"/>
          <w:lang w:val="sr-Latn-ME"/>
        </w:rPr>
        <w:t>Za spisak svih ekscipijenasa, pogledati dio 6.1.</w:t>
      </w:r>
    </w:p>
    <w:p w14:paraId="7025C12C" w14:textId="495CECB9" w:rsidR="00C37FD7" w:rsidRDefault="00C37FD7" w:rsidP="00E659A7">
      <w:pPr>
        <w:jc w:val="both"/>
        <w:rPr>
          <w:sz w:val="22"/>
          <w:szCs w:val="22"/>
          <w:lang w:val="sr-Latn-ME"/>
        </w:rPr>
      </w:pPr>
    </w:p>
    <w:p w14:paraId="0CF24CCD" w14:textId="77777777" w:rsidR="00280046" w:rsidRPr="00E659A7" w:rsidRDefault="00280046" w:rsidP="00E659A7">
      <w:pPr>
        <w:jc w:val="both"/>
        <w:rPr>
          <w:sz w:val="22"/>
          <w:szCs w:val="22"/>
          <w:lang w:val="sr-Latn-ME"/>
        </w:rPr>
      </w:pPr>
    </w:p>
    <w:p w14:paraId="7025C12D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3. </w:t>
      </w:r>
      <w:r w:rsidR="00F5167F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FARMACEUTSKI OBLIK</w:t>
      </w:r>
      <w:r w:rsidR="009F2D23" w:rsidRPr="00E659A7">
        <w:rPr>
          <w:b/>
          <w:bCs/>
          <w:sz w:val="22"/>
          <w:szCs w:val="22"/>
          <w:lang w:val="sr-Latn-ME"/>
        </w:rPr>
        <w:t xml:space="preserve"> </w:t>
      </w:r>
    </w:p>
    <w:p w14:paraId="2A13339A" w14:textId="7B2DC81A" w:rsidR="0050594B" w:rsidRPr="00E659A7" w:rsidRDefault="00C801DD" w:rsidP="00E659A7">
      <w:pPr>
        <w:pStyle w:val="NASLOV123"/>
        <w:jc w:val="both"/>
        <w:rPr>
          <w:b w:val="0"/>
          <w:lang w:val="sr-Latn-ME"/>
        </w:rPr>
      </w:pPr>
      <w:r w:rsidRPr="00E659A7">
        <w:rPr>
          <w:b w:val="0"/>
          <w:lang w:val="sr-Latn-ME"/>
        </w:rPr>
        <w:t xml:space="preserve">Kapsula </w:t>
      </w:r>
      <w:r w:rsidR="0050594B" w:rsidRPr="00E659A7">
        <w:rPr>
          <w:b w:val="0"/>
          <w:lang w:val="sr-Latn-ME"/>
        </w:rPr>
        <w:t xml:space="preserve">sa modifikovanim oslobađanjem, </w:t>
      </w:r>
      <w:r w:rsidRPr="00E659A7">
        <w:rPr>
          <w:b w:val="0"/>
          <w:lang w:val="sr-Latn-ME"/>
        </w:rPr>
        <w:t>tvrda</w:t>
      </w:r>
      <w:r w:rsidR="0050594B" w:rsidRPr="00E659A7">
        <w:rPr>
          <w:b w:val="0"/>
          <w:lang w:val="sr-Latn-ME"/>
        </w:rPr>
        <w:t>.</w:t>
      </w:r>
    </w:p>
    <w:p w14:paraId="3DAF63B3" w14:textId="2C3A5DFD" w:rsidR="0050594B" w:rsidRPr="00E659A7" w:rsidRDefault="0050594B" w:rsidP="00E659A7">
      <w:pPr>
        <w:pStyle w:val="NASLOV123"/>
        <w:contextualSpacing/>
        <w:jc w:val="both"/>
        <w:rPr>
          <w:b w:val="0"/>
          <w:i/>
          <w:lang w:val="sr-Latn-ME"/>
        </w:rPr>
      </w:pPr>
      <w:r w:rsidRPr="00E659A7">
        <w:rPr>
          <w:b w:val="0"/>
          <w:i/>
          <w:lang w:val="sr-Latn-ME"/>
        </w:rPr>
        <w:t xml:space="preserve">Dexilant, </w:t>
      </w:r>
      <w:r w:rsidR="00C801DD" w:rsidRPr="00E659A7">
        <w:rPr>
          <w:b w:val="0"/>
          <w:i/>
          <w:lang w:val="sr-Latn-ME"/>
        </w:rPr>
        <w:t xml:space="preserve">kapsula </w:t>
      </w:r>
      <w:r w:rsidRPr="00E659A7">
        <w:rPr>
          <w:b w:val="0"/>
          <w:i/>
          <w:lang w:val="sr-Latn-ME"/>
        </w:rPr>
        <w:t xml:space="preserve">sa modifikovanim oslobađanjem, </w:t>
      </w:r>
      <w:r w:rsidR="00C801DD" w:rsidRPr="00E659A7">
        <w:rPr>
          <w:b w:val="0"/>
          <w:i/>
          <w:lang w:val="sr-Latn-ME"/>
        </w:rPr>
        <w:t>tvrda</w:t>
      </w:r>
      <w:r w:rsidRPr="00E659A7">
        <w:rPr>
          <w:b w:val="0"/>
          <w:i/>
          <w:lang w:val="sr-Latn-ME"/>
        </w:rPr>
        <w:t>, 30 mg:</w:t>
      </w:r>
    </w:p>
    <w:p w14:paraId="0C90B22E" w14:textId="685A3B07" w:rsidR="0050594B" w:rsidRPr="00E659A7" w:rsidRDefault="0050594B" w:rsidP="00E659A7">
      <w:pPr>
        <w:pStyle w:val="NASLOV123"/>
        <w:contextualSpacing/>
        <w:jc w:val="both"/>
        <w:rPr>
          <w:b w:val="0"/>
          <w:lang w:val="sr-Latn-ME"/>
        </w:rPr>
      </w:pPr>
      <w:r w:rsidRPr="00E659A7">
        <w:rPr>
          <w:b w:val="0"/>
          <w:lang w:val="sr-Latn-ME"/>
        </w:rPr>
        <w:t xml:space="preserve">Kapsule sa plavom neprovidnom kapom sa odštampanom oznakom "TAP" tamno sive boje i sivim  neprovidnim </w:t>
      </w:r>
      <w:r w:rsidR="00A363D2" w:rsidRPr="00E659A7">
        <w:rPr>
          <w:b w:val="0"/>
          <w:lang w:val="sr-Latn-ME"/>
        </w:rPr>
        <w:t>tijelom</w:t>
      </w:r>
      <w:r w:rsidRPr="00E659A7">
        <w:rPr>
          <w:b w:val="0"/>
          <w:lang w:val="sr-Latn-ME"/>
        </w:rPr>
        <w:t xml:space="preserve"> sa odštampanom oznakom "30" tamno sive boje, punjene </w:t>
      </w:r>
      <w:r w:rsidR="00A363D2" w:rsidRPr="00E659A7">
        <w:rPr>
          <w:b w:val="0"/>
          <w:lang w:val="sr-Latn-ME"/>
        </w:rPr>
        <w:t>bijelim</w:t>
      </w:r>
      <w:r w:rsidRPr="00E659A7">
        <w:rPr>
          <w:b w:val="0"/>
          <w:lang w:val="sr-Latn-ME"/>
        </w:rPr>
        <w:t xml:space="preserve"> do skoro </w:t>
      </w:r>
      <w:r w:rsidR="00A363D2" w:rsidRPr="00E659A7">
        <w:rPr>
          <w:b w:val="0"/>
          <w:lang w:val="sr-Latn-ME"/>
        </w:rPr>
        <w:t>bijelim</w:t>
      </w:r>
      <w:r w:rsidRPr="00E659A7">
        <w:rPr>
          <w:b w:val="0"/>
          <w:lang w:val="sr-Latn-ME"/>
        </w:rPr>
        <w:t xml:space="preserve"> granulama.</w:t>
      </w:r>
    </w:p>
    <w:p w14:paraId="7A0F28BC" w14:textId="77777777" w:rsidR="00280046" w:rsidRDefault="00280046" w:rsidP="00E659A7">
      <w:pPr>
        <w:pStyle w:val="NASLOV123"/>
        <w:contextualSpacing/>
        <w:jc w:val="both"/>
        <w:rPr>
          <w:b w:val="0"/>
          <w:i/>
          <w:lang w:val="sr-Latn-ME"/>
        </w:rPr>
      </w:pPr>
    </w:p>
    <w:p w14:paraId="5B8B1D4B" w14:textId="5264A4B2" w:rsidR="0050594B" w:rsidRPr="00E659A7" w:rsidRDefault="0050594B" w:rsidP="00280046">
      <w:pPr>
        <w:pStyle w:val="NASLOV123"/>
        <w:spacing w:before="0" w:after="0"/>
        <w:contextualSpacing/>
        <w:jc w:val="both"/>
        <w:rPr>
          <w:b w:val="0"/>
          <w:i/>
          <w:lang w:val="sr-Latn-ME"/>
        </w:rPr>
      </w:pPr>
      <w:r w:rsidRPr="00E659A7">
        <w:rPr>
          <w:b w:val="0"/>
          <w:i/>
          <w:lang w:val="sr-Latn-ME"/>
        </w:rPr>
        <w:t>Dexilant, kapsul</w:t>
      </w:r>
      <w:r w:rsidR="00C801DD" w:rsidRPr="00E659A7">
        <w:rPr>
          <w:b w:val="0"/>
          <w:i/>
          <w:lang w:val="sr-Latn-ME"/>
        </w:rPr>
        <w:t>a</w:t>
      </w:r>
      <w:r w:rsidRPr="00E659A7">
        <w:rPr>
          <w:b w:val="0"/>
          <w:i/>
          <w:lang w:val="sr-Latn-ME"/>
        </w:rPr>
        <w:t xml:space="preserve"> sa modifikovanim oslobađanjem, </w:t>
      </w:r>
      <w:r w:rsidR="00C801DD" w:rsidRPr="00E659A7">
        <w:rPr>
          <w:b w:val="0"/>
          <w:i/>
          <w:lang w:val="sr-Latn-ME"/>
        </w:rPr>
        <w:t>tvrda</w:t>
      </w:r>
      <w:r w:rsidRPr="00E659A7">
        <w:rPr>
          <w:b w:val="0"/>
          <w:i/>
          <w:lang w:val="sr-Latn-ME"/>
        </w:rPr>
        <w:t>, 60 mg:</w:t>
      </w:r>
    </w:p>
    <w:p w14:paraId="02EFB5AB" w14:textId="06DAA37F" w:rsidR="0050594B" w:rsidRDefault="0050594B" w:rsidP="00280046">
      <w:pPr>
        <w:pStyle w:val="NASLOV123"/>
        <w:spacing w:before="0" w:after="0"/>
        <w:contextualSpacing/>
        <w:jc w:val="both"/>
        <w:rPr>
          <w:b w:val="0"/>
          <w:lang w:val="sr-Latn-ME"/>
        </w:rPr>
      </w:pPr>
      <w:r w:rsidRPr="00E659A7">
        <w:rPr>
          <w:b w:val="0"/>
          <w:lang w:val="sr-Latn-ME"/>
        </w:rPr>
        <w:t xml:space="preserve">Kapsule sa plavom neprovidnom kapom sa odštampanom oznakom "TAP" tamno sive boje i plavim neprovidnim </w:t>
      </w:r>
      <w:r w:rsidR="00A363D2" w:rsidRPr="00E659A7">
        <w:rPr>
          <w:b w:val="0"/>
          <w:lang w:val="sr-Latn-ME"/>
        </w:rPr>
        <w:t>tijelom</w:t>
      </w:r>
      <w:r w:rsidRPr="00E659A7">
        <w:rPr>
          <w:b w:val="0"/>
          <w:lang w:val="sr-Latn-ME"/>
        </w:rPr>
        <w:t xml:space="preserve"> sa odštampanom oznakom "60" tamno sive boje, punjene b</w:t>
      </w:r>
      <w:r w:rsidR="00A363D2" w:rsidRPr="00E659A7">
        <w:rPr>
          <w:b w:val="0"/>
          <w:lang w:val="sr-Latn-ME"/>
        </w:rPr>
        <w:t>ij</w:t>
      </w:r>
      <w:r w:rsidRPr="00E659A7">
        <w:rPr>
          <w:b w:val="0"/>
          <w:lang w:val="sr-Latn-ME"/>
        </w:rPr>
        <w:t xml:space="preserve">elim do skoro </w:t>
      </w:r>
      <w:r w:rsidR="00A363D2" w:rsidRPr="00E659A7">
        <w:rPr>
          <w:b w:val="0"/>
          <w:lang w:val="sr-Latn-ME"/>
        </w:rPr>
        <w:t>bijelim</w:t>
      </w:r>
      <w:r w:rsidRPr="00E659A7">
        <w:rPr>
          <w:b w:val="0"/>
          <w:lang w:val="sr-Latn-ME"/>
        </w:rPr>
        <w:t xml:space="preserve"> granulama.</w:t>
      </w:r>
    </w:p>
    <w:p w14:paraId="0CBEE594" w14:textId="14B3DE4D" w:rsidR="00280046" w:rsidRDefault="00280046" w:rsidP="00280046">
      <w:pPr>
        <w:pStyle w:val="NASLOV123"/>
        <w:spacing w:before="0" w:after="0"/>
        <w:contextualSpacing/>
        <w:jc w:val="both"/>
        <w:rPr>
          <w:b w:val="0"/>
          <w:lang w:val="sr-Latn-ME"/>
        </w:rPr>
      </w:pPr>
    </w:p>
    <w:p w14:paraId="5363F0A3" w14:textId="77777777" w:rsidR="00280046" w:rsidRPr="00E659A7" w:rsidRDefault="00280046" w:rsidP="00280046">
      <w:pPr>
        <w:pStyle w:val="NASLOV123"/>
        <w:spacing w:before="0" w:after="0"/>
        <w:contextualSpacing/>
        <w:jc w:val="both"/>
        <w:rPr>
          <w:b w:val="0"/>
          <w:lang w:val="sr-Latn-ME"/>
        </w:rPr>
      </w:pPr>
    </w:p>
    <w:p w14:paraId="7025C130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KLINIČKI PODACI</w:t>
      </w:r>
    </w:p>
    <w:p w14:paraId="7025C131" w14:textId="77777777" w:rsidR="00CD6F02" w:rsidRPr="00E659A7" w:rsidRDefault="00CD6F0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32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4.1.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Terapijske indikacije</w:t>
      </w:r>
    </w:p>
    <w:p w14:paraId="417424F7" w14:textId="77777777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17ECAF" w14:textId="6667D33C" w:rsidR="0050594B" w:rsidRPr="00E659A7" w:rsidRDefault="00052E59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 xml:space="preserve">Lijek </w:t>
      </w:r>
      <w:r w:rsidR="0050594B" w:rsidRPr="00E659A7">
        <w:rPr>
          <w:bCs/>
          <w:sz w:val="22"/>
          <w:szCs w:val="22"/>
          <w:lang w:val="sr-Latn-ME"/>
        </w:rPr>
        <w:t>Dexilant je indikovan kod odraslih pacijenata i adolescenata uzrasta od 12 do 17 godina za:</w:t>
      </w:r>
    </w:p>
    <w:p w14:paraId="03DFD99C" w14:textId="127F4D96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•</w:t>
      </w:r>
      <w:r w:rsidRPr="00E659A7">
        <w:rPr>
          <w:bCs/>
          <w:sz w:val="22"/>
          <w:szCs w:val="22"/>
          <w:lang w:val="sr-Latn-ME"/>
        </w:rPr>
        <w:tab/>
      </w:r>
      <w:r w:rsidR="00A363D2" w:rsidRPr="00E659A7">
        <w:rPr>
          <w:bCs/>
          <w:sz w:val="22"/>
          <w:szCs w:val="22"/>
          <w:lang w:val="sr-Latn-ME"/>
        </w:rPr>
        <w:t>Liječenje</w:t>
      </w:r>
      <w:r w:rsidRPr="00E659A7">
        <w:rPr>
          <w:bCs/>
          <w:sz w:val="22"/>
          <w:szCs w:val="22"/>
          <w:lang w:val="sr-Latn-ME"/>
        </w:rPr>
        <w:t xml:space="preserve"> erozivnog refluksnog ezofagitisa</w:t>
      </w:r>
    </w:p>
    <w:p w14:paraId="3DABD5AB" w14:textId="04C7522D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•</w:t>
      </w:r>
      <w:r w:rsidRPr="00E659A7">
        <w:rPr>
          <w:bCs/>
          <w:sz w:val="22"/>
          <w:szCs w:val="22"/>
          <w:lang w:val="sr-Latn-ME"/>
        </w:rPr>
        <w:tab/>
        <w:t xml:space="preserve">Terapiju održavanja </w:t>
      </w:r>
      <w:r w:rsidR="00A363D2" w:rsidRPr="00E659A7">
        <w:rPr>
          <w:bCs/>
          <w:sz w:val="22"/>
          <w:szCs w:val="22"/>
          <w:lang w:val="sr-Latn-ME"/>
        </w:rPr>
        <w:t>izliječen</w:t>
      </w:r>
      <w:r w:rsidRPr="00E659A7">
        <w:rPr>
          <w:bCs/>
          <w:sz w:val="22"/>
          <w:szCs w:val="22"/>
          <w:lang w:val="sr-Latn-ME"/>
        </w:rPr>
        <w:t xml:space="preserve">og erozivnog refluksnog ezofagitisa i prevenciju ponovnog javljanja gorušice </w:t>
      </w:r>
    </w:p>
    <w:p w14:paraId="0430CA1B" w14:textId="07D3ACBE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•</w:t>
      </w:r>
      <w:r w:rsidRPr="00E659A7">
        <w:rPr>
          <w:bCs/>
          <w:sz w:val="22"/>
          <w:szCs w:val="22"/>
          <w:lang w:val="sr-Latn-ME"/>
        </w:rPr>
        <w:tab/>
        <w:t xml:space="preserve">Kratkotrajno </w:t>
      </w:r>
      <w:r w:rsidR="00A363D2" w:rsidRPr="00E659A7">
        <w:rPr>
          <w:bCs/>
          <w:sz w:val="22"/>
          <w:szCs w:val="22"/>
          <w:lang w:val="sr-Latn-ME"/>
        </w:rPr>
        <w:t>liječenje</w:t>
      </w:r>
      <w:r w:rsidRPr="00E659A7">
        <w:rPr>
          <w:bCs/>
          <w:sz w:val="22"/>
          <w:szCs w:val="22"/>
          <w:lang w:val="sr-Latn-ME"/>
        </w:rPr>
        <w:t xml:space="preserve"> gorušice i regurgitacije kis</w:t>
      </w:r>
      <w:r w:rsidR="002B6026" w:rsidRPr="00E659A7">
        <w:rPr>
          <w:bCs/>
          <w:sz w:val="22"/>
          <w:szCs w:val="22"/>
          <w:lang w:val="sr-Latn-ME"/>
        </w:rPr>
        <w:t>j</w:t>
      </w:r>
      <w:r w:rsidRPr="00E659A7">
        <w:rPr>
          <w:bCs/>
          <w:sz w:val="22"/>
          <w:szCs w:val="22"/>
          <w:lang w:val="sr-Latn-ME"/>
        </w:rPr>
        <w:t>eline povezanih sa simptomatskom neerozivnom gastro-ezofagealnom refluksnom bolešću (GERB)</w:t>
      </w:r>
    </w:p>
    <w:p w14:paraId="7025C133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34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4.2.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Doziranje i način primjene</w:t>
      </w:r>
    </w:p>
    <w:p w14:paraId="7025C135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36" w14:textId="1585B46C" w:rsidR="00452E9D" w:rsidRPr="00E659A7" w:rsidRDefault="00452E9D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659A7">
        <w:rPr>
          <w:bCs/>
          <w:sz w:val="22"/>
          <w:szCs w:val="22"/>
          <w:u w:val="single"/>
          <w:lang w:val="sr-Latn-ME"/>
        </w:rPr>
        <w:t>Doziranje</w:t>
      </w:r>
    </w:p>
    <w:p w14:paraId="45675CAA" w14:textId="77777777" w:rsidR="00052E59" w:rsidRPr="00E659A7" w:rsidRDefault="00052E59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42F34CB" w14:textId="77777777" w:rsidR="00280046" w:rsidRDefault="00280046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189744A1" w14:textId="77777777" w:rsidR="00280046" w:rsidRDefault="00280046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7F62ED88" w14:textId="77777777" w:rsidR="00280046" w:rsidRDefault="00280046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3A17A47D" w14:textId="3D5BA202" w:rsidR="0050594B" w:rsidRPr="00E659A7" w:rsidRDefault="00A363D2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lastRenderedPageBreak/>
        <w:t>Liječenje</w:t>
      </w:r>
      <w:r w:rsidR="0050594B" w:rsidRPr="00E659A7">
        <w:rPr>
          <w:noProof/>
          <w:sz w:val="22"/>
          <w:szCs w:val="22"/>
          <w:u w:val="single"/>
          <w:lang w:val="sr-Latn-ME"/>
        </w:rPr>
        <w:t xml:space="preserve"> erozivnog refluksnog ezofagitisa</w:t>
      </w:r>
    </w:p>
    <w:p w14:paraId="380E1099" w14:textId="3E1F4219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 xml:space="preserve">Odrasli i adolescenti uzrasta od 12 do 17 godina - </w:t>
      </w:r>
      <w:r w:rsidRPr="00E659A7">
        <w:rPr>
          <w:noProof/>
          <w:sz w:val="22"/>
          <w:szCs w:val="22"/>
          <w:lang w:val="sr-Latn-ME"/>
        </w:rPr>
        <w:t xml:space="preserve">Preporučena doza je 60 mg jednom dnevno u trajanju od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. Kod pacijenata kod kojih nakon tog vremena ne dođe do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, </w:t>
      </w:r>
      <w:r w:rsidR="00A363D2" w:rsidRPr="00E659A7">
        <w:rPr>
          <w:noProof/>
          <w:sz w:val="22"/>
          <w:szCs w:val="22"/>
          <w:lang w:val="sr-Latn-ME"/>
        </w:rPr>
        <w:t>liječenje</w:t>
      </w:r>
      <w:r w:rsidRPr="00E659A7">
        <w:rPr>
          <w:noProof/>
          <w:sz w:val="22"/>
          <w:szCs w:val="22"/>
          <w:lang w:val="sr-Latn-ME"/>
        </w:rPr>
        <w:t xml:space="preserve"> istom dozom se može nastaviti još dodatne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>.</w:t>
      </w:r>
    </w:p>
    <w:p w14:paraId="0E9F9879" w14:textId="77777777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</w:p>
    <w:p w14:paraId="37C325BE" w14:textId="60D041D0" w:rsidR="00DC52C6" w:rsidRPr="00E659A7" w:rsidRDefault="0050594B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 xml:space="preserve">Održavanje </w:t>
      </w:r>
      <w:r w:rsidR="00A363D2" w:rsidRPr="00E659A7">
        <w:rPr>
          <w:noProof/>
          <w:sz w:val="22"/>
          <w:szCs w:val="22"/>
          <w:u w:val="single"/>
          <w:lang w:val="sr-Latn-ME"/>
        </w:rPr>
        <w:t>izliječen</w:t>
      </w:r>
      <w:r w:rsidRPr="00E659A7">
        <w:rPr>
          <w:noProof/>
          <w:sz w:val="22"/>
          <w:szCs w:val="22"/>
          <w:u w:val="single"/>
          <w:lang w:val="sr-Latn-ME"/>
        </w:rPr>
        <w:t>og erozivnog refluksnog ezofagitisa i prevencija ponovnog javljanja gorušice</w:t>
      </w:r>
    </w:p>
    <w:p w14:paraId="415AF724" w14:textId="73E3AAFC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 xml:space="preserve">Odrasli - </w:t>
      </w:r>
      <w:r w:rsidRPr="00E659A7">
        <w:rPr>
          <w:noProof/>
          <w:sz w:val="22"/>
          <w:szCs w:val="22"/>
          <w:lang w:val="sr-Latn-ME"/>
        </w:rPr>
        <w:t xml:space="preserve">Preporučena doza je 30 mg jednom dnevno u trajanju do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 xml:space="preserve"> kod pacijenata kod kojih je potrebna produžena supresija lučenja kis</w:t>
      </w:r>
      <w:r w:rsidR="002B6026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eline.</w:t>
      </w:r>
    </w:p>
    <w:p w14:paraId="59C7F38C" w14:textId="12784414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 xml:space="preserve">Adolescenti uzrasta od 12 do 17 godina – </w:t>
      </w:r>
      <w:r w:rsidRPr="00E659A7">
        <w:rPr>
          <w:noProof/>
          <w:sz w:val="22"/>
          <w:szCs w:val="22"/>
          <w:lang w:val="sr-Latn-ME"/>
        </w:rPr>
        <w:t>Preporučena doza je 30 mg jednom dnevno. Postojeći dokazi ne podržavaju poseban vremenski period trajanja ter</w:t>
      </w:r>
      <w:r w:rsidR="00A363D2" w:rsidRPr="00E659A7">
        <w:rPr>
          <w:noProof/>
          <w:sz w:val="22"/>
          <w:szCs w:val="22"/>
          <w:lang w:val="sr-Latn-ME"/>
        </w:rPr>
        <w:t>a</w:t>
      </w:r>
      <w:r w:rsidRPr="00E659A7">
        <w:rPr>
          <w:noProof/>
          <w:sz w:val="22"/>
          <w:szCs w:val="22"/>
          <w:lang w:val="sr-Latn-ME"/>
        </w:rPr>
        <w:t>pije. Odluku o dužini trajanja terapije bi trebalo da donese l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ekar od slučaja do slučaja.</w:t>
      </w:r>
    </w:p>
    <w:p w14:paraId="66D72909" w14:textId="77777777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</w:p>
    <w:p w14:paraId="674E1CAD" w14:textId="77777777" w:rsidR="0050594B" w:rsidRPr="00E659A7" w:rsidRDefault="0050594B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Simptomatska neerozivna gastro-ezofagealna refluksna bolest (GERB)</w:t>
      </w:r>
    </w:p>
    <w:p w14:paraId="3AAF13F5" w14:textId="010DAE3E" w:rsidR="0050594B" w:rsidRPr="00E659A7" w:rsidRDefault="0050594B" w:rsidP="00E659A7">
      <w:pPr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 xml:space="preserve">Odrasli i adolescenti uzrasta od 12 do 17 godina - </w:t>
      </w:r>
      <w:r w:rsidRPr="00E659A7">
        <w:rPr>
          <w:noProof/>
          <w:sz w:val="22"/>
          <w:szCs w:val="22"/>
          <w:lang w:val="sr-Latn-ME"/>
        </w:rPr>
        <w:t xml:space="preserve">Preporučena doza je 30 mg jednom dnevno u trajanju do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>.</w:t>
      </w:r>
    </w:p>
    <w:p w14:paraId="699D6230" w14:textId="77777777" w:rsidR="0050594B" w:rsidRPr="00E659A7" w:rsidRDefault="0050594B" w:rsidP="00E659A7">
      <w:pPr>
        <w:spacing w:before="100" w:beforeAutospacing="1" w:after="100" w:afterAutospacing="1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55CCB084" w14:textId="77777777" w:rsidR="0050594B" w:rsidRPr="00E659A7" w:rsidRDefault="0050594B" w:rsidP="00E659A7">
      <w:pPr>
        <w:spacing w:before="100" w:beforeAutospacing="1" w:after="100" w:afterAutospacing="1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Posebne populacije</w:t>
      </w:r>
    </w:p>
    <w:p w14:paraId="289C9311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19C2C839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Stariji pacijenti</w:t>
      </w:r>
    </w:p>
    <w:p w14:paraId="6087EC66" w14:textId="4719CF0F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Zbog smanjenog klirensa dekslansoprazola kod starijih pacijenata može biti potrebno prilagođavanje doze na osnovu individualnih potreba. Dnevna doza od 60 mg ne treba da bude prekoračena kod starijih pacijenata, osim u slučaju jasnih kliničkih indikacija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A363D2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5.2).</w:t>
      </w:r>
    </w:p>
    <w:p w14:paraId="59850003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5E5E4FB3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Oštećenje funkcije bubrega</w:t>
      </w:r>
    </w:p>
    <w:p w14:paraId="63247359" w14:textId="7CB46355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Kod pacijenata sa oštećenjem funkcije bubrega nije potrebno prilagođavanje doze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A363D2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5.2).</w:t>
      </w:r>
    </w:p>
    <w:p w14:paraId="0869F7B3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645043C0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Oštećenje funkcije jetre</w:t>
      </w:r>
    </w:p>
    <w:p w14:paraId="7643FFA7" w14:textId="672C11FA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Kod pacijenata sa blagim oštećenjem funkcije jetre nije potrebno prilagođavanje doze.</w:t>
      </w:r>
      <w:r w:rsidR="00DC52C6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Pacijenti sa um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erenim oštećenjem funkcije jetre treba da budu pod stalnim nadzorom, uz prim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enu maksimalne dnevne doze od 30 mg. Ni</w:t>
      </w:r>
      <w:r w:rsidR="00DC52C6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sprovedene studije na pacijentima sa teškim oštećenjem funkcije jetre (vid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eti d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elove 4.4 i 5.2), pa se prim</w:t>
      </w:r>
      <w:r w:rsidR="00A363D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ena dekslansoprazola kod ove grupe pacijenata ne preporučuje.</w:t>
      </w:r>
    </w:p>
    <w:p w14:paraId="29B3A0E1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6B2FB146" w14:textId="77777777" w:rsidR="0050594B" w:rsidRPr="00E659A7" w:rsidRDefault="0050594B" w:rsidP="00E659A7">
      <w:pPr>
        <w:spacing w:before="100" w:before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Pedijatrijska populacija</w:t>
      </w:r>
    </w:p>
    <w:p w14:paraId="1FB0CCF5" w14:textId="77777777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</w:p>
    <w:p w14:paraId="5CB396AA" w14:textId="77777777" w:rsidR="0050594B" w:rsidRPr="00E659A7" w:rsidRDefault="0050594B" w:rsidP="00E659A7">
      <w:pPr>
        <w:spacing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Adolescenti uzrasta od 12 do 17 godina</w:t>
      </w:r>
    </w:p>
    <w:p w14:paraId="70A7D26B" w14:textId="77777777" w:rsidR="0050594B" w:rsidRPr="00E659A7" w:rsidRDefault="0050594B" w:rsidP="00E659A7">
      <w:pPr>
        <w:contextualSpacing/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71404AD4" w14:textId="79116B7B" w:rsidR="0050594B" w:rsidRPr="00E659A7" w:rsidRDefault="00A363D2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Liječenje</w:t>
      </w:r>
      <w:r w:rsidR="0050594B" w:rsidRPr="00E659A7">
        <w:rPr>
          <w:noProof/>
          <w:sz w:val="22"/>
          <w:szCs w:val="22"/>
          <w:u w:val="single"/>
          <w:lang w:val="sr-Latn-ME"/>
        </w:rPr>
        <w:t xml:space="preserve"> erozivnog refluksnog ezofagitisa</w:t>
      </w:r>
    </w:p>
    <w:p w14:paraId="4A839FE0" w14:textId="17F6990D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Doziranje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kod adolescenata uzrasta od 12 do 17 godina je isto kao i za odrasle.</w:t>
      </w:r>
    </w:p>
    <w:p w14:paraId="36992DC4" w14:textId="77777777" w:rsidR="0050594B" w:rsidRPr="00E659A7" w:rsidRDefault="0050594B" w:rsidP="00E659A7">
      <w:pPr>
        <w:contextualSpacing/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2D7D866E" w14:textId="45DD9A5F" w:rsidR="0050594B" w:rsidRPr="00E659A7" w:rsidRDefault="0050594B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 xml:space="preserve">Održavanje </w:t>
      </w:r>
      <w:r w:rsidR="00A363D2" w:rsidRPr="00E659A7">
        <w:rPr>
          <w:noProof/>
          <w:sz w:val="22"/>
          <w:szCs w:val="22"/>
          <w:u w:val="single"/>
          <w:lang w:val="sr-Latn-ME"/>
        </w:rPr>
        <w:t>izliječen</w:t>
      </w:r>
      <w:r w:rsidRPr="00E659A7">
        <w:rPr>
          <w:noProof/>
          <w:sz w:val="22"/>
          <w:szCs w:val="22"/>
          <w:u w:val="single"/>
          <w:lang w:val="sr-Latn-ME"/>
        </w:rPr>
        <w:t>og erozivnog refluksnog ezofagitisa i prevencija ponovnog javljanja gorušice</w:t>
      </w:r>
    </w:p>
    <w:p w14:paraId="439AF5B7" w14:textId="233BFE17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Doza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kod adolescenata uzrasta od 12 do 17 godina je ista kao i za odrasle.</w:t>
      </w:r>
    </w:p>
    <w:p w14:paraId="2AD13976" w14:textId="77777777" w:rsidR="0050594B" w:rsidRPr="00E659A7" w:rsidRDefault="0050594B" w:rsidP="00E659A7">
      <w:pPr>
        <w:contextualSpacing/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37961E63" w14:textId="77777777" w:rsidR="0050594B" w:rsidRPr="00E659A7" w:rsidRDefault="0050594B" w:rsidP="00E659A7">
      <w:pPr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Simptomatska neerozivna gastro-ezofagealna refluksna bolest (GERB)</w:t>
      </w:r>
    </w:p>
    <w:p w14:paraId="1518907D" w14:textId="4C9E76BF" w:rsidR="0050594B" w:rsidRPr="00E659A7" w:rsidRDefault="0050594B" w:rsidP="00E659A7">
      <w:pPr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Doziranje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kod adolescenata uzrasta od 12 do 17 godina je isto kao i za odrasle.</w:t>
      </w:r>
    </w:p>
    <w:p w14:paraId="6A6BBAB0" w14:textId="77777777" w:rsidR="0050594B" w:rsidRPr="00E659A7" w:rsidRDefault="0050594B" w:rsidP="00E659A7">
      <w:pPr>
        <w:spacing w:before="100" w:beforeAutospacing="1"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41E5E361" w14:textId="2617E4C2" w:rsidR="0050594B" w:rsidRDefault="0050594B" w:rsidP="00E659A7">
      <w:pPr>
        <w:spacing w:before="100" w:beforeAutospacing="1"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</w:t>
      </w:r>
      <w:r w:rsidR="00617447" w:rsidRPr="00E659A7">
        <w:rPr>
          <w:i/>
          <w:noProof/>
          <w:sz w:val="22"/>
          <w:szCs w:val="22"/>
          <w:lang w:val="sr-Latn-ME"/>
        </w:rPr>
        <w:t>j</w:t>
      </w:r>
      <w:r w:rsidRPr="00E659A7">
        <w:rPr>
          <w:i/>
          <w:noProof/>
          <w:sz w:val="22"/>
          <w:szCs w:val="22"/>
          <w:lang w:val="sr-Latn-ME"/>
        </w:rPr>
        <w:t>eca ispod 12 godina starosti</w:t>
      </w:r>
    </w:p>
    <w:p w14:paraId="7DAFAF87" w14:textId="77777777" w:rsidR="008360EF" w:rsidRPr="00E659A7" w:rsidRDefault="008360EF" w:rsidP="00E659A7">
      <w:pPr>
        <w:spacing w:before="100" w:beforeAutospacing="1"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2B50DA3B" w14:textId="3EC28C49" w:rsidR="0050594B" w:rsidRPr="00E659A7" w:rsidRDefault="0050594B" w:rsidP="00E659A7">
      <w:pPr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Bezb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ednost i efikasnost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ene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kod </w:t>
      </w:r>
      <w:r w:rsidR="00617447" w:rsidRPr="00E659A7">
        <w:rPr>
          <w:noProof/>
          <w:sz w:val="22"/>
          <w:szCs w:val="22"/>
          <w:lang w:val="sr-Latn-ME"/>
        </w:rPr>
        <w:t>djece</w:t>
      </w:r>
      <w:r w:rsidRPr="00E659A7">
        <w:rPr>
          <w:noProof/>
          <w:sz w:val="22"/>
          <w:szCs w:val="22"/>
          <w:lang w:val="sr-Latn-ME"/>
        </w:rPr>
        <w:t xml:space="preserve"> ispod 12 godina starosti ni</w:t>
      </w:r>
      <w:r w:rsidR="00DC52C6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utvrđene. Podaci ni</w:t>
      </w:r>
      <w:r w:rsidR="00DC52C6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dostupni.</w:t>
      </w:r>
    </w:p>
    <w:p w14:paraId="7025C137" w14:textId="77777777" w:rsidR="00452E9D" w:rsidRPr="00E659A7" w:rsidRDefault="00452E9D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025C138" w14:textId="77777777" w:rsidR="00452E9D" w:rsidRPr="00E659A7" w:rsidRDefault="00452E9D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659A7">
        <w:rPr>
          <w:bCs/>
          <w:sz w:val="22"/>
          <w:szCs w:val="22"/>
          <w:u w:val="single"/>
          <w:lang w:val="sr-Latn-ME"/>
        </w:rPr>
        <w:t>Način primjene</w:t>
      </w:r>
    </w:p>
    <w:p w14:paraId="504D16CC" w14:textId="658F047C" w:rsidR="0050594B" w:rsidRPr="00E659A7" w:rsidRDefault="0050594B" w:rsidP="00E659A7">
      <w:pPr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je nam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enjen za oralnu upotrebu.</w:t>
      </w:r>
    </w:p>
    <w:p w14:paraId="38707D6E" w14:textId="77777777" w:rsidR="0050594B" w:rsidRPr="00E659A7" w:rsidRDefault="0050594B" w:rsidP="00E659A7">
      <w:pPr>
        <w:spacing w:after="240"/>
        <w:contextualSpacing/>
        <w:jc w:val="both"/>
        <w:rPr>
          <w:noProof/>
          <w:sz w:val="22"/>
          <w:szCs w:val="22"/>
          <w:lang w:val="sr-Latn-ME"/>
        </w:rPr>
      </w:pPr>
    </w:p>
    <w:p w14:paraId="4E88BF53" w14:textId="24A512E0" w:rsidR="0050594B" w:rsidRPr="00E659A7" w:rsidRDefault="0050594B" w:rsidP="00E659A7">
      <w:pPr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Kapsule treba progutati c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ele sa dovoljnom količinom tečnosti. Mogu da se uzimaju sa ili bez hrane (vid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eti d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5.2).</w:t>
      </w:r>
    </w:p>
    <w:p w14:paraId="6F20AF3D" w14:textId="77777777" w:rsidR="0050594B" w:rsidRPr="00E659A7" w:rsidRDefault="0050594B" w:rsidP="00E659A7">
      <w:pPr>
        <w:spacing w:after="240"/>
        <w:contextualSpacing/>
        <w:jc w:val="both"/>
        <w:rPr>
          <w:noProof/>
          <w:sz w:val="22"/>
          <w:szCs w:val="22"/>
          <w:lang w:val="sr-Latn-ME"/>
        </w:rPr>
      </w:pPr>
    </w:p>
    <w:p w14:paraId="53EF9A11" w14:textId="10468065" w:rsidR="0050594B" w:rsidRPr="00E659A7" w:rsidRDefault="0050594B" w:rsidP="00E659A7">
      <w:pPr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lastRenderedPageBreak/>
        <w:t>Kapsule se mogu otvoriti, a granule iz kapsule pom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ešati sa 1 kašikom soka od jabuke. 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ešavinu prim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eniti odmah nakon pripreme.</w:t>
      </w:r>
    </w:p>
    <w:p w14:paraId="29F64F06" w14:textId="77777777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</w:p>
    <w:p w14:paraId="694272A4" w14:textId="77777777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Granule ne treba žvakati.</w:t>
      </w:r>
    </w:p>
    <w:p w14:paraId="7025C139" w14:textId="77777777" w:rsidR="00452E9D" w:rsidRPr="00E659A7" w:rsidRDefault="00452E9D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3A" w14:textId="2BD15F52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4.3.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Kontraindikacije</w:t>
      </w:r>
    </w:p>
    <w:p w14:paraId="1A429912" w14:textId="77777777" w:rsidR="000C3D9B" w:rsidRPr="00E659A7" w:rsidRDefault="000C3D9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15048D" w14:textId="6569B4CA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Preos</w:t>
      </w:r>
      <w:r w:rsidR="00617447" w:rsidRPr="00E659A7">
        <w:rPr>
          <w:bCs/>
          <w:sz w:val="22"/>
          <w:szCs w:val="22"/>
          <w:lang w:val="sr-Latn-ME"/>
        </w:rPr>
        <w:t>j</w:t>
      </w:r>
      <w:r w:rsidRPr="00E659A7">
        <w:rPr>
          <w:bCs/>
          <w:sz w:val="22"/>
          <w:szCs w:val="22"/>
          <w:lang w:val="sr-Latn-ME"/>
        </w:rPr>
        <w:t>etljivost na aktivnu supstancu ili bilo koju od pomoćnih supstanci navedenih u d</w:t>
      </w:r>
      <w:r w:rsidR="00617447" w:rsidRPr="00E659A7">
        <w:rPr>
          <w:bCs/>
          <w:sz w:val="22"/>
          <w:szCs w:val="22"/>
          <w:lang w:val="sr-Latn-ME"/>
        </w:rPr>
        <w:t>ij</w:t>
      </w:r>
      <w:r w:rsidRPr="00E659A7">
        <w:rPr>
          <w:bCs/>
          <w:sz w:val="22"/>
          <w:szCs w:val="22"/>
          <w:lang w:val="sr-Latn-ME"/>
        </w:rPr>
        <w:t>elu 6.1.</w:t>
      </w:r>
    </w:p>
    <w:p w14:paraId="7025C13B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3C" w14:textId="77777777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4.4.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C7E36ED" w14:textId="5BB3D465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Prilikom upotrebe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neophodno je isključiti mogućnost postojanja malignog gastričnog tumora jer dekslansoprazol može da maskira simptome i odloži pravovremeno dijagnostikovanje.</w:t>
      </w:r>
    </w:p>
    <w:p w14:paraId="410E03A8" w14:textId="0DFA5DAE" w:rsidR="0050594B" w:rsidRPr="00E659A7" w:rsidRDefault="0050594B" w:rsidP="00E659A7">
      <w:pPr>
        <w:spacing w:before="100" w:beforeAutospacing="1" w:after="100" w:afterAutospacing="1"/>
        <w:jc w:val="both"/>
        <w:rPr>
          <w:sz w:val="22"/>
          <w:szCs w:val="22"/>
          <w:lang w:val="sr-Latn-ME"/>
        </w:rPr>
      </w:pPr>
      <w:r w:rsidRPr="00E659A7">
        <w:rPr>
          <w:sz w:val="22"/>
          <w:szCs w:val="22"/>
          <w:lang w:val="sr-Latn-ME"/>
        </w:rPr>
        <w:t>Ne preporučuje se istovremena prim</w:t>
      </w:r>
      <w:r w:rsidR="00617447" w:rsidRPr="00E659A7">
        <w:rPr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ena dekslansoprazola i inhibitora HIV proteaze čija je resorpcija zavisna od pH želudačnog sadržaja, kao što je atazanavir ili nelfinavir, a usl</w:t>
      </w:r>
      <w:r w:rsidR="00617447" w:rsidRPr="00E659A7">
        <w:rPr>
          <w:sz w:val="22"/>
          <w:szCs w:val="22"/>
          <w:lang w:val="sr-Latn-ME"/>
        </w:rPr>
        <w:t>ij</w:t>
      </w:r>
      <w:r w:rsidRPr="00E659A7">
        <w:rPr>
          <w:sz w:val="22"/>
          <w:szCs w:val="22"/>
          <w:lang w:val="sr-Latn-ME"/>
        </w:rPr>
        <w:t>ed značajnog smanjenja bioraspoloživosti (</w:t>
      </w:r>
      <w:r w:rsidR="00617447" w:rsidRPr="00E659A7">
        <w:rPr>
          <w:sz w:val="22"/>
          <w:szCs w:val="22"/>
          <w:lang w:val="sr-Latn-ME"/>
        </w:rPr>
        <w:t>vidjeti</w:t>
      </w:r>
      <w:r w:rsidRPr="00E659A7">
        <w:rPr>
          <w:sz w:val="22"/>
          <w:szCs w:val="22"/>
          <w:lang w:val="sr-Latn-ME"/>
        </w:rPr>
        <w:t xml:space="preserve"> </w:t>
      </w:r>
      <w:r w:rsidR="00B51051" w:rsidRPr="00E659A7">
        <w:rPr>
          <w:sz w:val="22"/>
          <w:szCs w:val="22"/>
          <w:lang w:val="sr-Latn-ME"/>
        </w:rPr>
        <w:t>dio</w:t>
      </w:r>
      <w:r w:rsidRPr="00E659A7">
        <w:rPr>
          <w:sz w:val="22"/>
          <w:szCs w:val="22"/>
          <w:lang w:val="sr-Latn-ME"/>
        </w:rPr>
        <w:t xml:space="preserve"> 4.5).</w:t>
      </w:r>
    </w:p>
    <w:p w14:paraId="51AF0AB0" w14:textId="76CB5D80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Dekslansoprazol treba oprezno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enjivati kod pacijenata sa um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erenim oštećenjem funkcije jetre. Dekslansoprazol se ne preporučuje pacijentima sa teškim oštećenjem funkcije jetre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elove 4.2 i 5.2).</w:t>
      </w:r>
    </w:p>
    <w:p w14:paraId="4339E6CB" w14:textId="66175CC8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Smanjen aciditet želuca iz bilo kog razloga, uključujući i 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elovanje inhibitora protonske pumpe (IPP) poput dekslansoprazola, povećava broj bakterija normalno prisutnih u gastrointestinalnom traktu. </w:t>
      </w:r>
      <w:r w:rsidR="00A363D2" w:rsidRPr="00E659A7">
        <w:rPr>
          <w:noProof/>
          <w:sz w:val="22"/>
          <w:szCs w:val="22"/>
          <w:lang w:val="sr-Latn-ME"/>
        </w:rPr>
        <w:t>Liječenje</w:t>
      </w:r>
      <w:r w:rsidRPr="00E659A7">
        <w:rPr>
          <w:noProof/>
          <w:sz w:val="22"/>
          <w:szCs w:val="22"/>
          <w:lang w:val="sr-Latn-ME"/>
        </w:rPr>
        <w:t xml:space="preserve"> inhibitorima protonske pumpe može u manjoj m</w:t>
      </w:r>
      <w:r w:rsidR="000C3D9B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eri da poveća rizik od gastrointestinalnih infekcija poput infekcija bakterijama iz rodova </w:t>
      </w:r>
      <w:r w:rsidRPr="00E659A7">
        <w:rPr>
          <w:i/>
          <w:noProof/>
          <w:sz w:val="22"/>
          <w:szCs w:val="22"/>
          <w:lang w:val="sr-Latn-ME"/>
        </w:rPr>
        <w:t>Salmonella</w:t>
      </w:r>
      <w:r w:rsidRPr="00E659A7">
        <w:rPr>
          <w:noProof/>
          <w:sz w:val="22"/>
          <w:szCs w:val="22"/>
          <w:lang w:val="sr-Latn-ME"/>
        </w:rPr>
        <w:t xml:space="preserve">, </w:t>
      </w:r>
      <w:r w:rsidRPr="00E659A7">
        <w:rPr>
          <w:i/>
          <w:noProof/>
          <w:sz w:val="22"/>
          <w:szCs w:val="22"/>
          <w:lang w:val="sr-Latn-ME"/>
        </w:rPr>
        <w:t>Campylobacter</w:t>
      </w:r>
      <w:r w:rsidRPr="00E659A7">
        <w:rPr>
          <w:noProof/>
          <w:sz w:val="22"/>
          <w:szCs w:val="22"/>
          <w:lang w:val="sr-Latn-ME"/>
        </w:rPr>
        <w:t xml:space="preserve"> i </w:t>
      </w:r>
      <w:r w:rsidRPr="00E659A7">
        <w:rPr>
          <w:i/>
          <w:noProof/>
          <w:sz w:val="22"/>
          <w:szCs w:val="22"/>
          <w:lang w:val="sr-Latn-ME"/>
        </w:rPr>
        <w:t>Clostridium difficile</w:t>
      </w:r>
      <w:r w:rsidRPr="00E659A7">
        <w:rPr>
          <w:noProof/>
          <w:sz w:val="22"/>
          <w:szCs w:val="22"/>
          <w:lang w:val="sr-Latn-ME"/>
        </w:rPr>
        <w:t xml:space="preserve">. </w:t>
      </w:r>
    </w:p>
    <w:p w14:paraId="1F57BFF5" w14:textId="46850487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Zbog ograničenih podataka o bezb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ednosti kod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ene duže od godinu dana, neophodna je redovna revizija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ečenja i temeljna proc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ena odnosa koristi i rizika kod ovih pacijenata.</w:t>
      </w:r>
    </w:p>
    <w:p w14:paraId="046BD50D" w14:textId="20BA9471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Kod pacijenata koji su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ečeni 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ekovima IPP poput dekslansoprazola u trajanju od najmanje tri 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eseca, a u većem broju slučajeva u trajanju od godinu dana, prijavljeni su slučajevi teške hipomagnez</w:t>
      </w:r>
      <w:r w:rsidR="000C3D9B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emije. U takvim slučajevima moguća je pojava težih simptoma poput umora, delirijuma, konvulzija, vrtoglavice i ventrikularne aritmije, koji se mogu javiti podmuklo, pa ih je moguće pre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>. Kod većine</w:t>
      </w:r>
      <w:r w:rsidR="000C3D9B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ovih pacijenata, hipomagnez</w:t>
      </w:r>
      <w:r w:rsidR="000C3D9B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emija se poboljšava nakon nadoknađivanja izgubljenog magnezijuma i prekida terapije IPP. Kod pacijenata kod kojih se očekuje produženo </w:t>
      </w:r>
      <w:r w:rsidR="00A363D2" w:rsidRPr="00E659A7">
        <w:rPr>
          <w:noProof/>
          <w:sz w:val="22"/>
          <w:szCs w:val="22"/>
          <w:lang w:val="sr-Latn-ME"/>
        </w:rPr>
        <w:t>liječenje</w:t>
      </w:r>
      <w:r w:rsidRPr="00E659A7">
        <w:rPr>
          <w:noProof/>
          <w:sz w:val="22"/>
          <w:szCs w:val="22"/>
          <w:lang w:val="sr-Latn-ME"/>
        </w:rPr>
        <w:t xml:space="preserve"> ili kod pacijenata koji uzimaju IPP sa digoksinom ili drugim 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ekovima koji mogu izazvati hipomagnez</w:t>
      </w:r>
      <w:r w:rsidR="000C3D9B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emiju (npr. diuretici), potrebno je odrediti nivoe magnezijuma pr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početka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ečenja sa IPP, kao i  periodično tokom terapije.</w:t>
      </w:r>
    </w:p>
    <w:p w14:paraId="37D90C4B" w14:textId="77777777" w:rsidR="0050594B" w:rsidRPr="00E659A7" w:rsidRDefault="0050594B" w:rsidP="00E659A7">
      <w:pPr>
        <w:contextualSpacing/>
        <w:jc w:val="both"/>
        <w:rPr>
          <w:sz w:val="22"/>
          <w:szCs w:val="22"/>
          <w:u w:val="single"/>
          <w:lang w:val="sr-Latn-ME"/>
        </w:rPr>
      </w:pPr>
      <w:r w:rsidRPr="00E659A7">
        <w:rPr>
          <w:sz w:val="22"/>
          <w:szCs w:val="22"/>
          <w:u w:val="single"/>
          <w:lang w:val="sr-Latn-ME"/>
        </w:rPr>
        <w:t>Uticaj na resorpciju vitamina B12</w:t>
      </w:r>
    </w:p>
    <w:p w14:paraId="3381CDD6" w14:textId="30DD66C1" w:rsidR="002B6026" w:rsidRPr="00E659A7" w:rsidRDefault="0050594B" w:rsidP="00E659A7">
      <w:pPr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Dekslansoprazol, kao i svi 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ekovi koji blokiraju sekreciju želudačne kiseline, mogu smanjiti resorpciju vitamina B-12 (cijanokobalamin) </w:t>
      </w:r>
      <w:r w:rsidRPr="00E659A7">
        <w:rPr>
          <w:sz w:val="22"/>
          <w:szCs w:val="22"/>
          <w:lang w:val="sr-Latn-ME"/>
        </w:rPr>
        <w:t>usl</w:t>
      </w:r>
      <w:r w:rsidR="000C3D9B" w:rsidRPr="00E659A7">
        <w:rPr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ed hipo- ili ahlorhidrije. Ovo treba imati u vidu kod pacijenata sa niskim rezervama ili faktorima rizika za smanjenu resorpciju vitamina B-12, koji su na dugotrajnoj terapiji ili kada se kod njih prim</w:t>
      </w:r>
      <w:r w:rsidR="00281987" w:rsidRPr="00E659A7">
        <w:rPr>
          <w:sz w:val="22"/>
          <w:szCs w:val="22"/>
          <w:lang w:val="sr-Latn-ME"/>
        </w:rPr>
        <w:t>i</w:t>
      </w:r>
      <w:r w:rsidR="00617447" w:rsidRPr="00E659A7">
        <w:rPr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ete posl</w:t>
      </w:r>
      <w:r w:rsidR="00617447" w:rsidRPr="00E659A7">
        <w:rPr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edični klinički simptomi smanjene resorpcije vitamina B-12.</w:t>
      </w:r>
    </w:p>
    <w:p w14:paraId="124CFB7C" w14:textId="77777777" w:rsidR="0050594B" w:rsidRPr="00E659A7" w:rsidRDefault="0050594B" w:rsidP="00E659A7">
      <w:pPr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</w:p>
    <w:p w14:paraId="2E588563" w14:textId="3F030426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Kod pacijenata koji uzimaju lansoprazol r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etko su prijavljeni slučajevi kolitisa. Slični efekti se mogu očekivati i sa dekslansoprazolom. Zbog toga je, u slučajevima teške i/ili učestale dijareje, potrebno razmotriti prekid terapije.</w:t>
      </w:r>
    </w:p>
    <w:p w14:paraId="1501E96E" w14:textId="14E7F58B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Inhibitori protonske pumpe, posebno u visokim dozama i tokom dugotrajne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(duže od godinu dana), </w:t>
      </w:r>
      <w:r w:rsidR="00617447" w:rsidRPr="00E659A7">
        <w:rPr>
          <w:noProof/>
          <w:sz w:val="22"/>
          <w:szCs w:val="22"/>
          <w:lang w:val="sr-Latn-ME"/>
        </w:rPr>
        <w:t>umjereno</w:t>
      </w:r>
      <w:r w:rsidRPr="00E659A7">
        <w:rPr>
          <w:noProof/>
          <w:sz w:val="22"/>
          <w:szCs w:val="22"/>
          <w:lang w:val="sr-Latn-ME"/>
        </w:rPr>
        <w:t xml:space="preserve"> povećavaju rizik od frakture kuka, ručnog zgloba i kičme, pretežno kod starijih pacijenata ili ako su prisutni drugi faktora rizika. Opservacione studije upućuju na zaključak da inhibitori protonske pumpe mogu da povećaju ukupni rizik od fraktura za 10–40%. Ovom riziku 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elimično doprinose i drugi faktori rizika. Pacijenti kod kojih postoji rizik od osteoporoze moraju se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ečiti u </w:t>
      </w:r>
      <w:r w:rsidRPr="00E659A7">
        <w:rPr>
          <w:noProof/>
          <w:sz w:val="22"/>
          <w:szCs w:val="22"/>
          <w:lang w:val="sr-Latn-ME"/>
        </w:rPr>
        <w:lastRenderedPageBreak/>
        <w:t>skladu sa važećim kliničkim sm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ernicama i potrebno im je obezb</w:t>
      </w:r>
      <w:r w:rsidR="00281987" w:rsidRPr="00E659A7">
        <w:rPr>
          <w:noProof/>
          <w:sz w:val="22"/>
          <w:szCs w:val="22"/>
          <w:lang w:val="sr-Latn-ME"/>
        </w:rPr>
        <w:t>i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editi adekvatan unos vitamina D i kalcijuma.</w:t>
      </w:r>
    </w:p>
    <w:p w14:paraId="0564D8DD" w14:textId="2129C593" w:rsidR="0050594B" w:rsidRPr="00E659A7" w:rsidRDefault="0050594B" w:rsidP="00E659A7">
      <w:pPr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Kada se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enjuje istovremeno sa IPP, prijavljeni su slučajevi povećanja nivoa metotreksata kod nekih pacijenata.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visokih doza metotreksata, potrebno je razmotriti privremeni prekid terapije dekslansoprazolom.</w:t>
      </w:r>
    </w:p>
    <w:p w14:paraId="08E036BC" w14:textId="59F8FEFE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 Dexilant sadrži saharozu. Pacijenti sa </w:t>
      </w:r>
      <w:r w:rsidR="00617447" w:rsidRPr="00E659A7">
        <w:rPr>
          <w:noProof/>
          <w:sz w:val="22"/>
          <w:szCs w:val="22"/>
          <w:lang w:val="sr-Latn-ME"/>
        </w:rPr>
        <w:t>rijetkim</w:t>
      </w:r>
      <w:r w:rsidRPr="00E659A7">
        <w:rPr>
          <w:noProof/>
          <w:sz w:val="22"/>
          <w:szCs w:val="22"/>
          <w:lang w:val="sr-Latn-ME"/>
        </w:rPr>
        <w:t xml:space="preserve"> nasl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ednim oboljenjem intolerancije na fruktozu, glukozno-galaktoznom malapsorpcijom ili nedostatkom saharoza-izomaltaze, ne sm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ju koristiti ovaj l</w:t>
      </w:r>
      <w:r w:rsidR="00617447" w:rsidRPr="00E659A7">
        <w:rPr>
          <w:noProof/>
          <w:sz w:val="22"/>
          <w:szCs w:val="22"/>
          <w:lang w:val="sr-Latn-ME"/>
        </w:rPr>
        <w:t>ijj</w:t>
      </w:r>
      <w:r w:rsidRPr="00E659A7">
        <w:rPr>
          <w:noProof/>
          <w:sz w:val="22"/>
          <w:szCs w:val="22"/>
          <w:lang w:val="sr-Latn-ME"/>
        </w:rPr>
        <w:t>ek.</w:t>
      </w:r>
    </w:p>
    <w:p w14:paraId="1CA0705D" w14:textId="77777777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2035DC0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Subakutni kožni lupus eritematodes (SCLE)</w:t>
      </w:r>
    </w:p>
    <w:p w14:paraId="663070E7" w14:textId="77777777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</w:p>
    <w:p w14:paraId="6B684C2B" w14:textId="06658DCC" w:rsidR="0050594B" w:rsidRPr="00E659A7" w:rsidRDefault="0061744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Primjena</w:t>
      </w:r>
      <w:r w:rsidR="0050594B" w:rsidRPr="00E659A7">
        <w:rPr>
          <w:noProof/>
          <w:sz w:val="22"/>
          <w:szCs w:val="22"/>
          <w:lang w:val="sr-Latn-ME"/>
        </w:rPr>
        <w:t xml:space="preserve"> inhibitora protonske pumpe je povezana sa vrlo nefrekventnom pojavom slučajeva SCLE. Ukoliko se pojave lezije, posebno na </w:t>
      </w:r>
      <w:r w:rsidRPr="00E659A7">
        <w:rPr>
          <w:noProof/>
          <w:sz w:val="22"/>
          <w:szCs w:val="22"/>
          <w:lang w:val="sr-Latn-ME"/>
        </w:rPr>
        <w:t>mjestima</w:t>
      </w:r>
      <w:r w:rsidR="0050594B" w:rsidRPr="00E659A7">
        <w:rPr>
          <w:noProof/>
          <w:sz w:val="22"/>
          <w:szCs w:val="22"/>
          <w:lang w:val="sr-Latn-ME"/>
        </w:rPr>
        <w:t xml:space="preserve"> koja su izložena suncu, i ukoliko su povezane sa pojavom artralgije, pacijentu je potrebno odmah ukazati medicinsku pomoć i </w:t>
      </w:r>
      <w:r w:rsidRPr="00E659A7">
        <w:rPr>
          <w:noProof/>
          <w:sz w:val="22"/>
          <w:szCs w:val="22"/>
          <w:lang w:val="sr-Latn-ME"/>
        </w:rPr>
        <w:t>ljekar</w:t>
      </w:r>
      <w:r w:rsidR="0050594B" w:rsidRPr="00E659A7">
        <w:rPr>
          <w:noProof/>
          <w:sz w:val="22"/>
          <w:szCs w:val="22"/>
          <w:lang w:val="sr-Latn-ME"/>
        </w:rPr>
        <w:t xml:space="preserve"> bi trebalo da prekine terapiju </w:t>
      </w:r>
      <w:r w:rsidRPr="00E659A7">
        <w:rPr>
          <w:noProof/>
          <w:sz w:val="22"/>
          <w:szCs w:val="22"/>
          <w:lang w:val="sr-Latn-ME"/>
        </w:rPr>
        <w:t>lijekom</w:t>
      </w:r>
      <w:r w:rsidR="0050594B" w:rsidRPr="00E659A7">
        <w:rPr>
          <w:noProof/>
          <w:sz w:val="22"/>
          <w:szCs w:val="22"/>
          <w:lang w:val="sr-Latn-ME"/>
        </w:rPr>
        <w:t xml:space="preserve"> Dexilant. Pojava SCLE pri prethodnoj </w:t>
      </w:r>
      <w:r w:rsidRPr="00E659A7">
        <w:rPr>
          <w:noProof/>
          <w:sz w:val="22"/>
          <w:szCs w:val="22"/>
          <w:lang w:val="sr-Latn-ME"/>
        </w:rPr>
        <w:t>primjeni</w:t>
      </w:r>
      <w:r w:rsidR="0050594B" w:rsidRPr="00E659A7">
        <w:rPr>
          <w:noProof/>
          <w:sz w:val="22"/>
          <w:szCs w:val="22"/>
          <w:lang w:val="sr-Latn-ME"/>
        </w:rPr>
        <w:t xml:space="preserve"> inhibitora protonske pumpe može povećati rizik od pojave SCLE sa sl</w:t>
      </w:r>
      <w:r w:rsidRPr="00E659A7">
        <w:rPr>
          <w:noProof/>
          <w:sz w:val="22"/>
          <w:szCs w:val="22"/>
          <w:lang w:val="sr-Latn-ME"/>
        </w:rPr>
        <w:t>j</w:t>
      </w:r>
      <w:r w:rsidR="0050594B" w:rsidRPr="00E659A7">
        <w:rPr>
          <w:noProof/>
          <w:sz w:val="22"/>
          <w:szCs w:val="22"/>
          <w:lang w:val="sr-Latn-ME"/>
        </w:rPr>
        <w:t>edećom prim</w:t>
      </w:r>
      <w:r w:rsidRPr="00E659A7">
        <w:rPr>
          <w:noProof/>
          <w:sz w:val="22"/>
          <w:szCs w:val="22"/>
          <w:lang w:val="sr-Latn-ME"/>
        </w:rPr>
        <w:t>j</w:t>
      </w:r>
      <w:r w:rsidR="0050594B" w:rsidRPr="00E659A7">
        <w:rPr>
          <w:noProof/>
          <w:sz w:val="22"/>
          <w:szCs w:val="22"/>
          <w:lang w:val="sr-Latn-ME"/>
        </w:rPr>
        <w:t>enom inhibitora protonske pumpe.</w:t>
      </w:r>
    </w:p>
    <w:p w14:paraId="1B3F104C" w14:textId="77777777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D61050E" w14:textId="77777777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Interferencija sa laboratorijskim testovima</w:t>
      </w:r>
    </w:p>
    <w:p w14:paraId="6E0BD4EE" w14:textId="77777777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6F4AF69" w14:textId="168345F0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Povišen nivo </w:t>
      </w:r>
      <w:r w:rsidRPr="00E659A7">
        <w:rPr>
          <w:i/>
          <w:noProof/>
          <w:sz w:val="22"/>
          <w:szCs w:val="22"/>
          <w:lang w:val="sr-Latn-ME"/>
        </w:rPr>
        <w:t>Chromogranin A</w:t>
      </w:r>
      <w:r w:rsidRPr="00E659A7">
        <w:rPr>
          <w:noProof/>
          <w:sz w:val="22"/>
          <w:szCs w:val="22"/>
          <w:lang w:val="sr-Latn-ME"/>
        </w:rPr>
        <w:t xml:space="preserve"> (CgA) može interferirati sa testovima za otkrivanje neuroendokrinih tumora. Kako bi se izb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egla ova interferencija, porebno je prekinuti terapiju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najmanje 5 dana pr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erenja CgA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od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eljak 5.1). Ukoliko se nakon inicijalnog m</w:t>
      </w:r>
      <w:r w:rsidR="00C87601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erenja, nivoi CgA i gastrina ne vrate na referentne vr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ednosti, potrebno je ponoviti 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erenje 14 dana nakon obustavljanja terapije inhibitorom protonske pumpe.</w:t>
      </w:r>
    </w:p>
    <w:p w14:paraId="7025C13D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40" w14:textId="6E22AB85" w:rsidR="00411B4B" w:rsidRPr="00E659A7" w:rsidRDefault="00411B4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>4.5.</w:t>
      </w:r>
      <w:r w:rsidR="000D60CC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31AEECC" w14:textId="77777777" w:rsidR="00C87601" w:rsidRPr="00E659A7" w:rsidRDefault="00C87601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F167A4" w14:textId="7777777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Studije interakcija su sprovedene samo na odraslima</w:t>
      </w:r>
    </w:p>
    <w:p w14:paraId="4321CB74" w14:textId="7777777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028708EC" w14:textId="2EE66F07" w:rsidR="0050594B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 xml:space="preserve">Uticaj drugih </w:t>
      </w:r>
      <w:r w:rsidR="00993A3A" w:rsidRPr="00E659A7">
        <w:rPr>
          <w:noProof/>
          <w:sz w:val="22"/>
          <w:szCs w:val="22"/>
          <w:u w:val="single"/>
          <w:lang w:val="sr-Latn-ME"/>
        </w:rPr>
        <w:t>ljekova</w:t>
      </w:r>
      <w:r w:rsidRPr="00E659A7">
        <w:rPr>
          <w:noProof/>
          <w:sz w:val="22"/>
          <w:szCs w:val="22"/>
          <w:u w:val="single"/>
          <w:lang w:val="sr-Latn-ME"/>
        </w:rPr>
        <w:t xml:space="preserve"> na d</w:t>
      </w:r>
      <w:r w:rsidR="00617447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elovanje dekslansoprazola</w:t>
      </w:r>
    </w:p>
    <w:p w14:paraId="593E23E0" w14:textId="77777777" w:rsidR="008360EF" w:rsidRPr="00E659A7" w:rsidRDefault="008360EF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116DE8CE" w14:textId="7777777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Pokazano je da su u metabolizam dekslansoprazola uključeni enzimi CYP2C19 i CYP3A4.</w:t>
      </w:r>
    </w:p>
    <w:p w14:paraId="4088DA9D" w14:textId="77777777" w:rsidR="0050594B" w:rsidRPr="00E659A7" w:rsidRDefault="0050594B" w:rsidP="00E659A7">
      <w:pPr>
        <w:autoSpaceDE w:val="0"/>
        <w:autoSpaceDN w:val="0"/>
        <w:adjustRightInd w:val="0"/>
        <w:contextualSpacing/>
        <w:jc w:val="both"/>
        <w:rPr>
          <w:i/>
          <w:noProof/>
          <w:sz w:val="22"/>
          <w:szCs w:val="22"/>
          <w:u w:val="single"/>
          <w:lang w:val="sr-Latn-ME"/>
        </w:rPr>
      </w:pPr>
    </w:p>
    <w:p w14:paraId="5D379738" w14:textId="3EC78C7B" w:rsidR="0050594B" w:rsidRPr="00E659A7" w:rsidRDefault="0050594B" w:rsidP="00E659A7">
      <w:pPr>
        <w:autoSpaceDE w:val="0"/>
        <w:autoSpaceDN w:val="0"/>
        <w:adjustRightInd w:val="0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</w:t>
      </w:r>
      <w:r w:rsidR="00617447" w:rsidRPr="00E659A7">
        <w:rPr>
          <w:i/>
          <w:noProof/>
          <w:sz w:val="22"/>
          <w:szCs w:val="22"/>
          <w:lang w:val="sr-Latn-ME"/>
        </w:rPr>
        <w:t>j</w:t>
      </w:r>
      <w:r w:rsidRPr="00E659A7">
        <w:rPr>
          <w:i/>
          <w:noProof/>
          <w:sz w:val="22"/>
          <w:szCs w:val="22"/>
          <w:lang w:val="sr-Latn-ME"/>
        </w:rPr>
        <w:t>ekovi koji inhibiraju enzim CYP2C19</w:t>
      </w:r>
    </w:p>
    <w:p w14:paraId="38B1258C" w14:textId="2806B616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Inhibitori enzima CYP2C19 (kao što je fluvoksamin) će v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erovatno povećati sistemsku izloženost d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elovanju dekslansoprazola.</w:t>
      </w:r>
    </w:p>
    <w:p w14:paraId="7EFA3C67" w14:textId="77777777" w:rsidR="0050594B" w:rsidRPr="00E659A7" w:rsidRDefault="0050594B" w:rsidP="00E659A7">
      <w:pPr>
        <w:autoSpaceDE w:val="0"/>
        <w:autoSpaceDN w:val="0"/>
        <w:adjustRightInd w:val="0"/>
        <w:contextualSpacing/>
        <w:jc w:val="both"/>
        <w:rPr>
          <w:i/>
          <w:noProof/>
          <w:sz w:val="22"/>
          <w:szCs w:val="22"/>
          <w:u w:val="single"/>
          <w:lang w:val="sr-Latn-ME"/>
        </w:rPr>
      </w:pPr>
    </w:p>
    <w:p w14:paraId="60EC45BC" w14:textId="2484276F" w:rsidR="0050594B" w:rsidRPr="00E659A7" w:rsidRDefault="0050594B" w:rsidP="00E659A7">
      <w:pPr>
        <w:autoSpaceDE w:val="0"/>
        <w:autoSpaceDN w:val="0"/>
        <w:adjustRightInd w:val="0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</w:t>
      </w:r>
      <w:r w:rsidR="00617447" w:rsidRPr="00E659A7">
        <w:rPr>
          <w:i/>
          <w:noProof/>
          <w:sz w:val="22"/>
          <w:szCs w:val="22"/>
          <w:lang w:val="sr-Latn-ME"/>
        </w:rPr>
        <w:t>j</w:t>
      </w:r>
      <w:r w:rsidRPr="00E659A7">
        <w:rPr>
          <w:i/>
          <w:noProof/>
          <w:sz w:val="22"/>
          <w:szCs w:val="22"/>
          <w:lang w:val="sr-Latn-ME"/>
        </w:rPr>
        <w:t>ekovi koji indukuju CYP2C19 i CYP3A4</w:t>
      </w:r>
    </w:p>
    <w:p w14:paraId="633C231F" w14:textId="7777777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Induktori enzima CYP2C19 i CYP3A4, poput rifampicina i kantariona (</w:t>
      </w:r>
      <w:r w:rsidRPr="00E659A7">
        <w:rPr>
          <w:i/>
          <w:noProof/>
          <w:sz w:val="22"/>
          <w:szCs w:val="22"/>
          <w:lang w:val="sr-Latn-ME"/>
        </w:rPr>
        <w:t>Hypericum perforatum</w:t>
      </w:r>
      <w:r w:rsidRPr="00E659A7">
        <w:rPr>
          <w:noProof/>
          <w:sz w:val="22"/>
          <w:szCs w:val="22"/>
          <w:lang w:val="sr-Latn-ME"/>
        </w:rPr>
        <w:t>), mogu da smanje koncentraciju dekslansoprazola u plazmi.</w:t>
      </w:r>
    </w:p>
    <w:p w14:paraId="151C56B3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/>
        </w:rPr>
      </w:pPr>
    </w:p>
    <w:p w14:paraId="7B36BCDB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Drugi</w:t>
      </w:r>
    </w:p>
    <w:p w14:paraId="7DF827B9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3418E250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Sukralfat/antacidi</w:t>
      </w:r>
    </w:p>
    <w:p w14:paraId="39AEE583" w14:textId="7CE9A510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Sukralfat/antacidi mogu da umanje bioraspoloživost dekslansoprazola. Zbog toga, dekslansoprazol treba uzimati najmanje 1 sat nakon uzimanja ovih 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ekova.</w:t>
      </w:r>
    </w:p>
    <w:p w14:paraId="05A7B340" w14:textId="58E885DF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Uticaj dekslansoprazola na d</w:t>
      </w:r>
      <w:r w:rsidR="00B51051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elovanje drugih l</w:t>
      </w:r>
      <w:r w:rsidR="00617447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ekova</w:t>
      </w:r>
    </w:p>
    <w:p w14:paraId="0D945DDE" w14:textId="26757E13" w:rsidR="0050594B" w:rsidRPr="00E659A7" w:rsidRDefault="00617447" w:rsidP="00E659A7">
      <w:pPr>
        <w:autoSpaceDE w:val="0"/>
        <w:autoSpaceDN w:val="0"/>
        <w:adjustRightInd w:val="0"/>
        <w:spacing w:after="240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Ljekovi</w:t>
      </w:r>
      <w:r w:rsidR="0050594B" w:rsidRPr="00E659A7">
        <w:rPr>
          <w:i/>
          <w:noProof/>
          <w:sz w:val="22"/>
          <w:szCs w:val="22"/>
          <w:lang w:val="sr-Latn-ME"/>
        </w:rPr>
        <w:t xml:space="preserve"> čija resorpcija zavisi od pH </w:t>
      </w:r>
      <w:r w:rsidRPr="00E659A7">
        <w:rPr>
          <w:i/>
          <w:noProof/>
          <w:sz w:val="22"/>
          <w:szCs w:val="22"/>
          <w:lang w:val="sr-Latn-ME"/>
        </w:rPr>
        <w:t>vrijednost</w:t>
      </w:r>
      <w:r w:rsidR="0050594B" w:rsidRPr="00E659A7">
        <w:rPr>
          <w:i/>
          <w:noProof/>
          <w:sz w:val="22"/>
          <w:szCs w:val="22"/>
          <w:lang w:val="sr-Latn-ME"/>
        </w:rPr>
        <w:t>i</w:t>
      </w:r>
    </w:p>
    <w:p w14:paraId="0FE1C94B" w14:textId="34A1497C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Dekslansoprazol može da utiče na resorpciju </w:t>
      </w:r>
      <w:r w:rsidR="00617447" w:rsidRPr="00E659A7">
        <w:rPr>
          <w:noProof/>
          <w:sz w:val="22"/>
          <w:szCs w:val="22"/>
          <w:lang w:val="sr-Latn-ME"/>
        </w:rPr>
        <w:t>ljekova</w:t>
      </w:r>
      <w:r w:rsidRPr="00E659A7">
        <w:rPr>
          <w:noProof/>
          <w:sz w:val="22"/>
          <w:szCs w:val="22"/>
          <w:lang w:val="sr-Latn-ME"/>
        </w:rPr>
        <w:t xml:space="preserve"> kojima je želudačni pH kritični faktor bioraspoloživosti.</w:t>
      </w:r>
    </w:p>
    <w:p w14:paraId="75BF2550" w14:textId="77777777" w:rsidR="008360EF" w:rsidRDefault="008360EF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63F40C33" w14:textId="74C99DFF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lastRenderedPageBreak/>
        <w:t>Inhibitori HIV proteaze</w:t>
      </w:r>
    </w:p>
    <w:p w14:paraId="2484E515" w14:textId="0193CCB5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sz w:val="22"/>
          <w:szCs w:val="22"/>
          <w:lang w:val="sr-Latn-ME"/>
        </w:rPr>
        <w:t xml:space="preserve">Ne preporučuje se istovremena </w:t>
      </w:r>
      <w:r w:rsidR="00617447" w:rsidRPr="00E659A7">
        <w:rPr>
          <w:sz w:val="22"/>
          <w:szCs w:val="22"/>
          <w:lang w:val="sr-Latn-ME"/>
        </w:rPr>
        <w:t>primjena</w:t>
      </w:r>
      <w:r w:rsidRPr="00E659A7">
        <w:rPr>
          <w:sz w:val="22"/>
          <w:szCs w:val="22"/>
          <w:lang w:val="sr-Latn-ME"/>
        </w:rPr>
        <w:t xml:space="preserve"> dekslansoprazola i inhibitora HIV proteaze čija je resorpcija zavisna od pH želudačnog sadržaja, kao što je atazanavir ili nelfinavir, a usl</w:t>
      </w:r>
      <w:r w:rsidR="00617447" w:rsidRPr="00E659A7">
        <w:rPr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ed značajnog smanjenja bioraspoloživosti (</w:t>
      </w:r>
      <w:r w:rsidR="00617447" w:rsidRPr="00E659A7">
        <w:rPr>
          <w:sz w:val="22"/>
          <w:szCs w:val="22"/>
          <w:lang w:val="sr-Latn-ME"/>
        </w:rPr>
        <w:t>vidjeti</w:t>
      </w:r>
      <w:r w:rsidRPr="00E659A7">
        <w:rPr>
          <w:sz w:val="22"/>
          <w:szCs w:val="22"/>
          <w:lang w:val="sr-Latn-ME"/>
        </w:rPr>
        <w:t xml:space="preserve"> </w:t>
      </w:r>
      <w:r w:rsidR="00B51051" w:rsidRPr="00E659A7">
        <w:rPr>
          <w:sz w:val="22"/>
          <w:szCs w:val="22"/>
          <w:lang w:val="sr-Latn-ME"/>
        </w:rPr>
        <w:t>dio</w:t>
      </w:r>
      <w:r w:rsidRPr="00E659A7">
        <w:rPr>
          <w:sz w:val="22"/>
          <w:szCs w:val="22"/>
          <w:lang w:val="sr-Latn-ME"/>
        </w:rPr>
        <w:t xml:space="preserve"> 4.4).</w:t>
      </w:r>
    </w:p>
    <w:p w14:paraId="19552754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Ketokonazol, itrakonazol i erlotinib</w:t>
      </w:r>
    </w:p>
    <w:p w14:paraId="72D28D0A" w14:textId="669A67C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Želudačna kis</w:t>
      </w:r>
      <w:r w:rsidR="009E6906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elina posp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ešuje resorpciju ketokonazola, itrakonazola i erlotiniba iz gastrointestinalnog trakta. Upotreba dekslansoprazola može da ima za posl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edicu supterapijske koncentracije ketokonazola, itrakonazola i erlotiniba, pa iz tog razloga treba izb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egavati istovremenu upotrebu. </w:t>
      </w:r>
    </w:p>
    <w:p w14:paraId="1279BC6F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Digoksin</w:t>
      </w:r>
    </w:p>
    <w:p w14:paraId="633EB548" w14:textId="34548AC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Istovremena upotreba dekslansoprazola i digoksina može da poveća nivoe digoksina u plazmi. Nivoe digoksina u plazmi iz tog razloga treba kontolisati i, ukoliko je potrebno, prilagoditi dozu digoksina prilikom uvođenja i nakon prekida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ečenja dekslansoprazolom.</w:t>
      </w:r>
    </w:p>
    <w:p w14:paraId="77BD6584" w14:textId="18BDE063" w:rsidR="0050594B" w:rsidRPr="00E659A7" w:rsidRDefault="00617447" w:rsidP="00E659A7">
      <w:pPr>
        <w:autoSpaceDE w:val="0"/>
        <w:autoSpaceDN w:val="0"/>
        <w:adjustRightInd w:val="0"/>
        <w:spacing w:after="240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Ljekovi</w:t>
      </w:r>
      <w:r w:rsidR="0050594B" w:rsidRPr="00E659A7">
        <w:rPr>
          <w:i/>
          <w:noProof/>
          <w:sz w:val="22"/>
          <w:szCs w:val="22"/>
          <w:lang w:val="sr-Latn-ME"/>
        </w:rPr>
        <w:t xml:space="preserve"> koji se metabolišu d</w:t>
      </w:r>
      <w:r w:rsidR="00C06DE9" w:rsidRPr="00E659A7">
        <w:rPr>
          <w:i/>
          <w:noProof/>
          <w:sz w:val="22"/>
          <w:szCs w:val="22"/>
          <w:lang w:val="sr-Latn-ME"/>
        </w:rPr>
        <w:t>j</w:t>
      </w:r>
      <w:r w:rsidR="0050594B" w:rsidRPr="00E659A7">
        <w:rPr>
          <w:i/>
          <w:noProof/>
          <w:sz w:val="22"/>
          <w:szCs w:val="22"/>
          <w:lang w:val="sr-Latn-ME"/>
        </w:rPr>
        <w:t>elovanjem enzima P450</w:t>
      </w:r>
    </w:p>
    <w:p w14:paraId="37EC7B67" w14:textId="74DF61CF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Rezultati </w:t>
      </w:r>
      <w:r w:rsidRPr="00E659A7">
        <w:rPr>
          <w:i/>
          <w:noProof/>
          <w:sz w:val="22"/>
          <w:szCs w:val="22"/>
          <w:lang w:val="sr-Latn-ME"/>
        </w:rPr>
        <w:t>in vitro</w:t>
      </w:r>
      <w:r w:rsidRPr="00E659A7">
        <w:rPr>
          <w:noProof/>
          <w:sz w:val="22"/>
          <w:szCs w:val="22"/>
          <w:lang w:val="sr-Latn-ME"/>
        </w:rPr>
        <w:t xml:space="preserve"> studija ukazuju da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 Dexilant ne utiče na CYP izoforme 1A1, 1A2, 2A6, 2B6, 2C8, 2C9, 2D6, 2E1 i 3A4. Zato se ne očekuju klinički značajne interakcije sa </w:t>
      </w:r>
      <w:r w:rsidR="00617447" w:rsidRPr="00E659A7">
        <w:rPr>
          <w:noProof/>
          <w:sz w:val="22"/>
          <w:szCs w:val="22"/>
          <w:lang w:val="sr-Latn-ME"/>
        </w:rPr>
        <w:t>ljekovi</w:t>
      </w:r>
      <w:r w:rsidRPr="00E659A7">
        <w:rPr>
          <w:noProof/>
          <w:sz w:val="22"/>
          <w:szCs w:val="22"/>
          <w:lang w:val="sr-Latn-ME"/>
        </w:rPr>
        <w:t>ma koji se metabolišu d</w:t>
      </w:r>
      <w:r w:rsidR="00C06DE9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elovanjem enzima CYP sistema. Takođe, rezultati </w:t>
      </w:r>
      <w:r w:rsidRPr="00E659A7">
        <w:rPr>
          <w:i/>
          <w:noProof/>
          <w:sz w:val="22"/>
          <w:szCs w:val="22"/>
          <w:lang w:val="sr-Latn-ME"/>
        </w:rPr>
        <w:t>in vivo</w:t>
      </w:r>
      <w:r w:rsidRPr="00E659A7">
        <w:rPr>
          <w:noProof/>
          <w:sz w:val="22"/>
          <w:szCs w:val="22"/>
          <w:lang w:val="sr-Latn-ME"/>
        </w:rPr>
        <w:t xml:space="preserve"> studija su pokazali da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Dexilant nije imao uticaja na farmakokinetiku istovremeno prim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enjenog fenitoina (supstrat za CYP2C9) ili teofilina (supstrat za CYP1A2).  CYP1A2 genotip dobrovoljaca nije određivan u studijama interakcija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sa teofilinom. Iako su rezultati </w:t>
      </w:r>
      <w:r w:rsidRPr="00E659A7">
        <w:rPr>
          <w:i/>
          <w:noProof/>
          <w:sz w:val="22"/>
          <w:szCs w:val="22"/>
          <w:lang w:val="sr-Latn-ME"/>
        </w:rPr>
        <w:t>in vitro</w:t>
      </w:r>
      <w:r w:rsidRPr="00E659A7">
        <w:rPr>
          <w:noProof/>
          <w:sz w:val="22"/>
          <w:szCs w:val="22"/>
          <w:lang w:val="sr-Latn-ME"/>
        </w:rPr>
        <w:t xml:space="preserve"> studija pokazali da </w:t>
      </w:r>
      <w:r w:rsidR="00C06DE9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ima potencijal inhibicije enzima CYP2C19, rezultati </w:t>
      </w:r>
      <w:r w:rsidRPr="00E659A7">
        <w:rPr>
          <w:i/>
          <w:noProof/>
          <w:sz w:val="22"/>
          <w:szCs w:val="22"/>
          <w:lang w:val="sr-Latn-ME"/>
        </w:rPr>
        <w:t>in vivo</w:t>
      </w:r>
      <w:r w:rsidRPr="00E659A7">
        <w:rPr>
          <w:noProof/>
          <w:sz w:val="22"/>
          <w:szCs w:val="22"/>
          <w:lang w:val="sr-Latn-ME"/>
        </w:rPr>
        <w:t xml:space="preserve"> studija interakcija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eka, posebno kod  snažnih i um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erenih CYP2C19 metabolizera, pokazali su da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Dexilant ne utiče na farmakokinetiku diazepama (supstrat za CYP2C19).</w:t>
      </w:r>
    </w:p>
    <w:p w14:paraId="06470167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Takrolimus</w:t>
      </w:r>
    </w:p>
    <w:p w14:paraId="6D0D7DDE" w14:textId="3EB84792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Istovremena upotreba dekslansoprazola može da poveća koncentracije takrolimusa u plazmi (supstrat za CYP3A i P-glikoprotein, P-gp), posebno kod pacijenata podvrgnutih transplantaciji, koji su um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ereni ili slabi CYP2C19 metabolizeri. Preporučuje se praćenje koncentracija takrolimusa u plazmi prilikom uvođenja ili nakon prekida istovremene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dekslansoprazola.</w:t>
      </w:r>
    </w:p>
    <w:p w14:paraId="39A2A95B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Varfarin</w:t>
      </w:r>
    </w:p>
    <w:p w14:paraId="3047DDB4" w14:textId="3ABFF5F6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studiji u kojoj se istovremeno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enjivao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 Dexilant i varfarin, nije uočena značajna razlika u farmakokinetici varfarina niti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INR (internacionalni normalizovani odnos), u poređenju sa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enom varfarina sa placebom. Međutim, prijavljeni su slučajevi povišenih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i INR i protrombinskog vremena kod pacijenata koji su istovremeno primali IPP i varfarin. Kod pacijenata na uporednoj terapiji IPP i varfarinom možda će biti potrebno da se prati povećanje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INR i protrombinsko vr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eme, posebno kada se započinje ili završava istovremena </w:t>
      </w:r>
      <w:r w:rsidR="00617447" w:rsidRPr="00E659A7">
        <w:rPr>
          <w:noProof/>
          <w:sz w:val="22"/>
          <w:szCs w:val="22"/>
          <w:lang w:val="sr-Latn-ME"/>
        </w:rPr>
        <w:t>primjena</w:t>
      </w:r>
      <w:r w:rsidRPr="00E659A7">
        <w:rPr>
          <w:noProof/>
          <w:sz w:val="22"/>
          <w:szCs w:val="22"/>
          <w:lang w:val="sr-Latn-ME"/>
        </w:rPr>
        <w:t>.</w:t>
      </w:r>
    </w:p>
    <w:p w14:paraId="50110D78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Klopidogrel</w:t>
      </w:r>
    </w:p>
    <w:p w14:paraId="393E8E95" w14:textId="22B18ABD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Rezultati jedne studije istovremene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dekslansoprazola (60</w:t>
      </w:r>
      <w:r w:rsidR="0001782E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 xml:space="preserve">mg jednom dnevno) i klopidogrela 75 mg na zdravim dobrovoljcima ukazuju na smanjenu izloženost aktivnom metabolitu klopidogrela (približno 9% smanjenje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i PIK i 27% smanjenje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C</w:t>
      </w:r>
      <w:r w:rsidRPr="00E659A7">
        <w:rPr>
          <w:noProof/>
          <w:sz w:val="22"/>
          <w:szCs w:val="22"/>
          <w:vertAlign w:val="subscript"/>
          <w:lang w:val="sr-Latn-ME"/>
        </w:rPr>
        <w:t>max</w:t>
      </w:r>
      <w:r w:rsidRPr="00E659A7">
        <w:rPr>
          <w:noProof/>
          <w:sz w:val="22"/>
          <w:szCs w:val="22"/>
          <w:lang w:val="sr-Latn-ME"/>
        </w:rPr>
        <w:t xml:space="preserve">). Istovremena </w:t>
      </w:r>
      <w:r w:rsidR="00617447" w:rsidRPr="00E659A7">
        <w:rPr>
          <w:noProof/>
          <w:sz w:val="22"/>
          <w:szCs w:val="22"/>
          <w:lang w:val="sr-Latn-ME"/>
        </w:rPr>
        <w:t>primjena</w:t>
      </w:r>
      <w:r w:rsidRPr="00E659A7">
        <w:rPr>
          <w:noProof/>
          <w:sz w:val="22"/>
          <w:szCs w:val="22"/>
          <w:lang w:val="sr-Latn-ME"/>
        </w:rPr>
        <w:t xml:space="preserve"> dekslansoprazola nije imala klinički značajan efekat na farmakodinamiku klopidogrela. Nije potrebno prilagođavanje doze klopidogrela kada se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enjuje istovremeno sa preporučenom dozom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Dexilant.</w:t>
      </w:r>
    </w:p>
    <w:p w14:paraId="2FF0C9BD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Metotreksat</w:t>
      </w:r>
    </w:p>
    <w:p w14:paraId="0FD86DE0" w14:textId="726C463F" w:rsidR="009E6906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Studije slučaja, objavljene studije populacione farmakokinetike i retrospektivne analize upućuju da istovremena </w:t>
      </w:r>
      <w:r w:rsidR="00617447" w:rsidRPr="00E659A7">
        <w:rPr>
          <w:noProof/>
          <w:sz w:val="22"/>
          <w:szCs w:val="22"/>
          <w:lang w:val="sr-Latn-ME"/>
        </w:rPr>
        <w:t>primjena</w:t>
      </w:r>
      <w:r w:rsidRPr="00E659A7">
        <w:rPr>
          <w:noProof/>
          <w:sz w:val="22"/>
          <w:szCs w:val="22"/>
          <w:lang w:val="sr-Latn-ME"/>
        </w:rPr>
        <w:t xml:space="preserve"> IPP i metotreksata (prvenstveno u visokim dozama; 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uputstvo za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metotreksat) može da povisi nivoe i produži zadržavanje metotreksata i/ili njegovog metabolita hidroksimetotreksata u serumu, što može voditi ka toksičnosti metotreksatom. Usl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 toga, kada je neophodno </w:t>
      </w:r>
      <w:r w:rsidR="00617447" w:rsidRPr="00E659A7">
        <w:rPr>
          <w:noProof/>
          <w:sz w:val="22"/>
          <w:szCs w:val="22"/>
          <w:lang w:val="sr-Latn-ME"/>
        </w:rPr>
        <w:t>prim</w:t>
      </w:r>
      <w:r w:rsidR="009E6906" w:rsidRPr="00E659A7">
        <w:rPr>
          <w:noProof/>
          <w:sz w:val="22"/>
          <w:szCs w:val="22"/>
          <w:lang w:val="sr-Latn-ME"/>
        </w:rPr>
        <w:t>i</w:t>
      </w:r>
      <w:r w:rsidR="00617447" w:rsidRPr="00E659A7">
        <w:rPr>
          <w:noProof/>
          <w:sz w:val="22"/>
          <w:szCs w:val="22"/>
          <w:lang w:val="sr-Latn-ME"/>
        </w:rPr>
        <w:t>jeni</w:t>
      </w:r>
      <w:r w:rsidRPr="00E659A7">
        <w:rPr>
          <w:noProof/>
          <w:sz w:val="22"/>
          <w:szCs w:val="22"/>
          <w:lang w:val="sr-Latn-ME"/>
        </w:rPr>
        <w:t xml:space="preserve">ti visoke doze metotreksata, potrebno je uzeti u obzir privremen prestanak terapije </w:t>
      </w:r>
      <w:r w:rsidRPr="00E659A7">
        <w:rPr>
          <w:noProof/>
          <w:sz w:val="22"/>
          <w:szCs w:val="22"/>
          <w:lang w:val="sr-Latn-ME"/>
        </w:rPr>
        <w:lastRenderedPageBreak/>
        <w:t xml:space="preserve">dekslansoprazolom. Međutim, formalne studije interakcija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metotreksata u visokim dozama istovremeno sa IPP ni</w:t>
      </w:r>
      <w:r w:rsidR="00514DA1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sprovedene.</w:t>
      </w:r>
    </w:p>
    <w:p w14:paraId="45D762E0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/>
        </w:rPr>
      </w:pPr>
    </w:p>
    <w:p w14:paraId="0256EF10" w14:textId="39AF27D1" w:rsidR="0050594B" w:rsidRPr="00E659A7" w:rsidRDefault="00617447" w:rsidP="00E659A7">
      <w:pPr>
        <w:autoSpaceDE w:val="0"/>
        <w:autoSpaceDN w:val="0"/>
        <w:adjustRightInd w:val="0"/>
        <w:spacing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Ljekovi</w:t>
      </w:r>
      <w:r w:rsidR="0050594B" w:rsidRPr="00E659A7">
        <w:rPr>
          <w:i/>
          <w:noProof/>
          <w:sz w:val="22"/>
          <w:szCs w:val="22"/>
          <w:lang w:val="sr-Latn-ME"/>
        </w:rPr>
        <w:t xml:space="preserve"> koji se transportuju preko P-glikoproteina</w:t>
      </w:r>
    </w:p>
    <w:p w14:paraId="5C1DDBA7" w14:textId="0365F2FC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Uočeno je da lansoprazol inhibira transportni protein P-gp, </w:t>
      </w:r>
      <w:r w:rsidRPr="00E659A7">
        <w:rPr>
          <w:i/>
          <w:noProof/>
          <w:sz w:val="22"/>
          <w:szCs w:val="22"/>
          <w:lang w:val="sr-Latn-ME"/>
        </w:rPr>
        <w:t>in vitro</w:t>
      </w:r>
      <w:r w:rsidRPr="00E659A7">
        <w:rPr>
          <w:noProof/>
          <w:sz w:val="22"/>
          <w:szCs w:val="22"/>
          <w:lang w:val="sr-Latn-ME"/>
        </w:rPr>
        <w:t xml:space="preserve">. Sličan efekat može da se očekuje i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dekslansoprazola. Klinički značaj ove inhibicije nije poznat.</w:t>
      </w:r>
    </w:p>
    <w:p w14:paraId="00808146" w14:textId="7F41BB5B" w:rsidR="0050594B" w:rsidRPr="00E659A7" w:rsidRDefault="0050594B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Drugi</w:t>
      </w:r>
      <w:r w:rsidR="00514DA1" w:rsidRPr="00E659A7">
        <w:rPr>
          <w:i/>
          <w:noProof/>
          <w:sz w:val="22"/>
          <w:szCs w:val="22"/>
          <w:lang w:val="sr-Latn-ME"/>
        </w:rPr>
        <w:t xml:space="preserve"> ljekovi</w:t>
      </w:r>
    </w:p>
    <w:p w14:paraId="2FB9D7FC" w14:textId="77777777" w:rsidR="00514DA1" w:rsidRPr="00E659A7" w:rsidRDefault="00514DA1" w:rsidP="00E659A7">
      <w:pPr>
        <w:autoSpaceDE w:val="0"/>
        <w:autoSpaceDN w:val="0"/>
        <w:adjustRightInd w:val="0"/>
        <w:spacing w:after="100" w:afterAutospacing="1"/>
        <w:contextualSpacing/>
        <w:jc w:val="both"/>
        <w:rPr>
          <w:i/>
          <w:noProof/>
          <w:sz w:val="22"/>
          <w:szCs w:val="22"/>
          <w:lang w:val="sr-Latn-ME"/>
        </w:rPr>
      </w:pPr>
    </w:p>
    <w:p w14:paraId="7025C141" w14:textId="291EE7AB" w:rsidR="0072020E" w:rsidRPr="00E659A7" w:rsidRDefault="0050594B" w:rsidP="00E659A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Ni</w:t>
      </w:r>
      <w:r w:rsidR="00514DA1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 xml:space="preserve">su pokazane klinički značajne interakcije dekslansoprazola i nesteroidnih anti-inflamatornih </w:t>
      </w:r>
      <w:r w:rsidR="00617447" w:rsidRPr="00E659A7">
        <w:rPr>
          <w:noProof/>
          <w:sz w:val="22"/>
          <w:szCs w:val="22"/>
          <w:lang w:val="sr-Latn-ME"/>
        </w:rPr>
        <w:t>ljekova</w:t>
      </w:r>
      <w:r w:rsidRPr="00E659A7">
        <w:rPr>
          <w:noProof/>
          <w:sz w:val="22"/>
          <w:szCs w:val="22"/>
          <w:lang w:val="sr-Latn-ME"/>
        </w:rPr>
        <w:t xml:space="preserve"> (NSAIL), mada formalne studije interakcije ni</w:t>
      </w:r>
      <w:r w:rsidR="00514DA1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sprovedene.</w:t>
      </w:r>
    </w:p>
    <w:p w14:paraId="53951FD2" w14:textId="77777777" w:rsidR="0050594B" w:rsidRPr="00E659A7" w:rsidRDefault="0050594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42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4.6.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="006D20A5" w:rsidRPr="00E659A7">
        <w:rPr>
          <w:b/>
          <w:sz w:val="22"/>
          <w:szCs w:val="22"/>
          <w:lang w:val="sr-Latn-ME"/>
        </w:rPr>
        <w:t>Plodnost, trudnoća i dojenje</w:t>
      </w:r>
    </w:p>
    <w:p w14:paraId="7025C143" w14:textId="77777777" w:rsidR="002031B3" w:rsidRPr="00E659A7" w:rsidRDefault="002031B3" w:rsidP="00E659A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025C144" w14:textId="77777777" w:rsidR="002031B3" w:rsidRPr="00E659A7" w:rsidRDefault="002031B3" w:rsidP="00E659A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659A7">
        <w:rPr>
          <w:sz w:val="22"/>
          <w:szCs w:val="22"/>
          <w:u w:val="single"/>
          <w:lang w:val="sr-Latn-ME"/>
        </w:rPr>
        <w:t>Plodnost</w:t>
      </w:r>
    </w:p>
    <w:p w14:paraId="49F65B90" w14:textId="215B27F5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U studijama na životinjama nema dokaza o smanjenju plodnosti 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lansoprazola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 xml:space="preserve">o 5.3). Slični rezultati se mogu očekivati i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dekslansoprazola.</w:t>
      </w:r>
    </w:p>
    <w:p w14:paraId="7025C145" w14:textId="77777777" w:rsidR="002031B3" w:rsidRPr="00E659A7" w:rsidRDefault="002031B3" w:rsidP="00E659A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025C146" w14:textId="77777777" w:rsidR="007A3ECB" w:rsidRPr="00E659A7" w:rsidRDefault="007A3ECB" w:rsidP="00E659A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659A7">
        <w:rPr>
          <w:sz w:val="22"/>
          <w:szCs w:val="22"/>
          <w:u w:val="single"/>
          <w:lang w:val="sr-Latn-ME"/>
        </w:rPr>
        <w:t>Trudnoća</w:t>
      </w:r>
    </w:p>
    <w:p w14:paraId="15929274" w14:textId="6EF5BF94" w:rsidR="0050594B" w:rsidRPr="00E659A7" w:rsidRDefault="0050594B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Dostupni su ograničeni podaci o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dekslansoprazola kod trudnica. Studije na životinjama ne upućuju na direktna ili indirektna neželjena dejstva u odnosu na reproduktivnu toksičnost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5.3). Kao 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era opreza, preporučuje se izb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egavanje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tokom trudnoće.</w:t>
      </w:r>
    </w:p>
    <w:p w14:paraId="7025C147" w14:textId="77777777" w:rsidR="002031B3" w:rsidRPr="00E659A7" w:rsidRDefault="002031B3" w:rsidP="00E659A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025C148" w14:textId="77777777" w:rsidR="0072020E" w:rsidRPr="00E659A7" w:rsidRDefault="007A3ECB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sz w:val="22"/>
          <w:szCs w:val="22"/>
          <w:u w:val="single"/>
          <w:lang w:val="sr-Latn-ME"/>
        </w:rPr>
        <w:t xml:space="preserve">Dojenje </w:t>
      </w:r>
    </w:p>
    <w:p w14:paraId="7C622FAF" w14:textId="38C00FE5" w:rsidR="0050594B" w:rsidRPr="00E659A7" w:rsidRDefault="0050594B" w:rsidP="00E659A7">
      <w:pPr>
        <w:widowControl w:val="0"/>
        <w:autoSpaceDE w:val="0"/>
        <w:autoSpaceDN w:val="0"/>
        <w:adjustRightInd w:val="0"/>
        <w:spacing w:before="7"/>
        <w:ind w:right="67"/>
        <w:jc w:val="both"/>
        <w:rPr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Nije poznato da li se dekslansoprazol izlučuje u majčino ml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eko kod ljudi. </w:t>
      </w:r>
      <w:r w:rsidRPr="00E659A7">
        <w:rPr>
          <w:sz w:val="22"/>
          <w:szCs w:val="22"/>
          <w:lang w:val="sr-Latn-ME"/>
        </w:rPr>
        <w:t>St</w:t>
      </w:r>
      <w:r w:rsidRPr="00E659A7">
        <w:rPr>
          <w:spacing w:val="2"/>
          <w:sz w:val="22"/>
          <w:szCs w:val="22"/>
          <w:lang w:val="sr-Latn-ME"/>
        </w:rPr>
        <w:t>u</w:t>
      </w:r>
      <w:r w:rsidRPr="00E659A7">
        <w:rPr>
          <w:sz w:val="22"/>
          <w:szCs w:val="22"/>
          <w:lang w:val="sr-Latn-ME"/>
        </w:rPr>
        <w:t>d</w:t>
      </w:r>
      <w:r w:rsidRPr="00E659A7">
        <w:rPr>
          <w:spacing w:val="-2"/>
          <w:sz w:val="22"/>
          <w:szCs w:val="22"/>
          <w:lang w:val="sr-Latn-ME"/>
        </w:rPr>
        <w:t>i</w:t>
      </w:r>
      <w:r w:rsidRPr="00E659A7">
        <w:rPr>
          <w:spacing w:val="2"/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</w:t>
      </w:r>
      <w:r w:rsidRPr="00E659A7">
        <w:rPr>
          <w:spacing w:val="17"/>
          <w:sz w:val="22"/>
          <w:szCs w:val="22"/>
          <w:lang w:val="sr-Latn-ME"/>
        </w:rPr>
        <w:t xml:space="preserve"> </w:t>
      </w:r>
      <w:r w:rsidRPr="00E659A7">
        <w:rPr>
          <w:sz w:val="22"/>
          <w:szCs w:val="22"/>
          <w:lang w:val="sr-Latn-ME"/>
        </w:rPr>
        <w:t>na</w:t>
      </w:r>
      <w:r w:rsidRPr="00E659A7">
        <w:rPr>
          <w:spacing w:val="6"/>
          <w:sz w:val="22"/>
          <w:szCs w:val="22"/>
          <w:lang w:val="sr-Latn-ME"/>
        </w:rPr>
        <w:t xml:space="preserve"> </w:t>
      </w:r>
      <w:r w:rsidRPr="00E659A7">
        <w:rPr>
          <w:spacing w:val="-1"/>
          <w:sz w:val="22"/>
          <w:szCs w:val="22"/>
          <w:lang w:val="sr-Latn-ME"/>
        </w:rPr>
        <w:t>ž</w:t>
      </w:r>
      <w:r w:rsidRPr="00E659A7">
        <w:rPr>
          <w:sz w:val="22"/>
          <w:szCs w:val="22"/>
          <w:lang w:val="sr-Latn-ME"/>
        </w:rPr>
        <w:t>ivot</w:t>
      </w:r>
      <w:r w:rsidRPr="00E659A7">
        <w:rPr>
          <w:spacing w:val="2"/>
          <w:sz w:val="22"/>
          <w:szCs w:val="22"/>
          <w:lang w:val="sr-Latn-ME"/>
        </w:rPr>
        <w:t>i</w:t>
      </w:r>
      <w:r w:rsidRPr="00E659A7">
        <w:rPr>
          <w:sz w:val="22"/>
          <w:szCs w:val="22"/>
          <w:lang w:val="sr-Latn-ME"/>
        </w:rPr>
        <w:t>n</w:t>
      </w:r>
      <w:r w:rsidRPr="00E659A7">
        <w:rPr>
          <w:spacing w:val="2"/>
          <w:sz w:val="22"/>
          <w:szCs w:val="22"/>
          <w:lang w:val="sr-Latn-ME"/>
        </w:rPr>
        <w:t>j</w:t>
      </w:r>
      <w:r w:rsidRPr="00E659A7">
        <w:rPr>
          <w:spacing w:val="-3"/>
          <w:sz w:val="22"/>
          <w:szCs w:val="22"/>
          <w:lang w:val="sr-Latn-ME"/>
        </w:rPr>
        <w:t>a</w:t>
      </w:r>
      <w:r w:rsidRPr="00E659A7">
        <w:rPr>
          <w:sz w:val="22"/>
          <w:szCs w:val="22"/>
          <w:lang w:val="sr-Latn-ME"/>
        </w:rPr>
        <w:t>ma</w:t>
      </w:r>
      <w:r w:rsidRPr="00E659A7">
        <w:rPr>
          <w:spacing w:val="30"/>
          <w:sz w:val="22"/>
          <w:szCs w:val="22"/>
          <w:lang w:val="sr-Latn-ME"/>
        </w:rPr>
        <w:t xml:space="preserve"> </w:t>
      </w:r>
      <w:r w:rsidRPr="00E659A7">
        <w:rPr>
          <w:spacing w:val="-1"/>
          <w:sz w:val="22"/>
          <w:szCs w:val="22"/>
          <w:lang w:val="sr-Latn-ME"/>
        </w:rPr>
        <w:t>s</w:t>
      </w:r>
      <w:r w:rsidRPr="00E659A7">
        <w:rPr>
          <w:sz w:val="22"/>
          <w:szCs w:val="22"/>
          <w:lang w:val="sr-Latn-ME"/>
        </w:rPr>
        <w:t>u</w:t>
      </w:r>
      <w:r w:rsidRPr="00E659A7">
        <w:rPr>
          <w:spacing w:val="7"/>
          <w:sz w:val="22"/>
          <w:szCs w:val="22"/>
          <w:lang w:val="sr-Latn-ME"/>
        </w:rPr>
        <w:t xml:space="preserve"> </w:t>
      </w:r>
      <w:r w:rsidRPr="00E659A7">
        <w:rPr>
          <w:sz w:val="22"/>
          <w:szCs w:val="22"/>
          <w:lang w:val="sr-Latn-ME"/>
        </w:rPr>
        <w:t>pok</w:t>
      </w:r>
      <w:r w:rsidRPr="00E659A7">
        <w:rPr>
          <w:spacing w:val="-1"/>
          <w:sz w:val="22"/>
          <w:szCs w:val="22"/>
          <w:lang w:val="sr-Latn-ME"/>
        </w:rPr>
        <w:t>a</w:t>
      </w:r>
      <w:r w:rsidRPr="00E659A7">
        <w:rPr>
          <w:spacing w:val="2"/>
          <w:sz w:val="22"/>
          <w:szCs w:val="22"/>
          <w:lang w:val="sr-Latn-ME"/>
        </w:rPr>
        <w:t>z</w:t>
      </w:r>
      <w:r w:rsidRPr="00E659A7">
        <w:rPr>
          <w:spacing w:val="-3"/>
          <w:sz w:val="22"/>
          <w:szCs w:val="22"/>
          <w:lang w:val="sr-Latn-ME"/>
        </w:rPr>
        <w:t>a</w:t>
      </w:r>
      <w:r w:rsidRPr="00E659A7">
        <w:rPr>
          <w:spacing w:val="2"/>
          <w:sz w:val="22"/>
          <w:szCs w:val="22"/>
          <w:lang w:val="sr-Latn-ME"/>
        </w:rPr>
        <w:t>l</w:t>
      </w:r>
      <w:r w:rsidRPr="00E659A7">
        <w:rPr>
          <w:sz w:val="22"/>
          <w:szCs w:val="22"/>
          <w:lang w:val="sr-Latn-ME"/>
        </w:rPr>
        <w:t>e</w:t>
      </w:r>
      <w:r w:rsidRPr="00E659A7">
        <w:rPr>
          <w:spacing w:val="21"/>
          <w:sz w:val="22"/>
          <w:szCs w:val="22"/>
          <w:lang w:val="sr-Latn-ME"/>
        </w:rPr>
        <w:t xml:space="preserve"> </w:t>
      </w:r>
      <w:r w:rsidRPr="00E659A7">
        <w:rPr>
          <w:spacing w:val="2"/>
          <w:sz w:val="22"/>
          <w:szCs w:val="22"/>
          <w:lang w:val="sr-Latn-ME"/>
        </w:rPr>
        <w:t>d</w:t>
      </w:r>
      <w:r w:rsidRPr="00E659A7">
        <w:rPr>
          <w:sz w:val="22"/>
          <w:szCs w:val="22"/>
          <w:lang w:val="sr-Latn-ME"/>
        </w:rPr>
        <w:t>a</w:t>
      </w:r>
      <w:r w:rsidRPr="00E659A7">
        <w:rPr>
          <w:spacing w:val="6"/>
          <w:sz w:val="22"/>
          <w:szCs w:val="22"/>
          <w:lang w:val="sr-Latn-ME"/>
        </w:rPr>
        <w:t xml:space="preserve"> </w:t>
      </w:r>
      <w:r w:rsidRPr="00E659A7">
        <w:rPr>
          <w:spacing w:val="1"/>
          <w:sz w:val="22"/>
          <w:szCs w:val="22"/>
          <w:lang w:val="sr-Latn-ME"/>
        </w:rPr>
        <w:t>s</w:t>
      </w:r>
      <w:r w:rsidRPr="00E659A7">
        <w:rPr>
          <w:sz w:val="22"/>
          <w:szCs w:val="22"/>
          <w:lang w:val="sr-Latn-ME"/>
        </w:rPr>
        <w:t>e</w:t>
      </w:r>
      <w:r w:rsidRPr="00E659A7">
        <w:rPr>
          <w:spacing w:val="5"/>
          <w:sz w:val="22"/>
          <w:szCs w:val="22"/>
          <w:lang w:val="sr-Latn-ME"/>
        </w:rPr>
        <w:t xml:space="preserve"> </w:t>
      </w:r>
      <w:r w:rsidRPr="00E659A7">
        <w:rPr>
          <w:spacing w:val="2"/>
          <w:w w:val="103"/>
          <w:sz w:val="22"/>
          <w:szCs w:val="22"/>
          <w:lang w:val="sr-Latn-ME"/>
        </w:rPr>
        <w:t>l</w:t>
      </w:r>
      <w:r w:rsidRPr="00E659A7">
        <w:rPr>
          <w:spacing w:val="-3"/>
          <w:w w:val="103"/>
          <w:sz w:val="22"/>
          <w:szCs w:val="22"/>
          <w:lang w:val="sr-Latn-ME"/>
        </w:rPr>
        <w:t>a</w:t>
      </w:r>
      <w:r w:rsidRPr="00E659A7">
        <w:rPr>
          <w:spacing w:val="2"/>
          <w:w w:val="103"/>
          <w:sz w:val="22"/>
          <w:szCs w:val="22"/>
          <w:lang w:val="sr-Latn-ME"/>
        </w:rPr>
        <w:t>n</w:t>
      </w:r>
      <w:r w:rsidRPr="00E659A7">
        <w:rPr>
          <w:spacing w:val="-1"/>
          <w:w w:val="103"/>
          <w:sz w:val="22"/>
          <w:szCs w:val="22"/>
          <w:lang w:val="sr-Latn-ME"/>
        </w:rPr>
        <w:t>s</w:t>
      </w:r>
      <w:r w:rsidRPr="00E659A7">
        <w:rPr>
          <w:w w:val="103"/>
          <w:sz w:val="22"/>
          <w:szCs w:val="22"/>
          <w:lang w:val="sr-Latn-ME"/>
        </w:rPr>
        <w:t>op</w:t>
      </w:r>
      <w:r w:rsidRPr="00E659A7">
        <w:rPr>
          <w:spacing w:val="1"/>
          <w:w w:val="103"/>
          <w:sz w:val="22"/>
          <w:szCs w:val="22"/>
          <w:lang w:val="sr-Latn-ME"/>
        </w:rPr>
        <w:t>r</w:t>
      </w:r>
      <w:r w:rsidRPr="00E659A7">
        <w:rPr>
          <w:spacing w:val="2"/>
          <w:w w:val="103"/>
          <w:sz w:val="22"/>
          <w:szCs w:val="22"/>
          <w:lang w:val="sr-Latn-ME"/>
        </w:rPr>
        <w:t>a</w:t>
      </w:r>
      <w:r w:rsidRPr="00E659A7">
        <w:rPr>
          <w:spacing w:val="-3"/>
          <w:w w:val="103"/>
          <w:sz w:val="22"/>
          <w:szCs w:val="22"/>
          <w:lang w:val="sr-Latn-ME"/>
        </w:rPr>
        <w:t>z</w:t>
      </w:r>
      <w:r w:rsidRPr="00E659A7">
        <w:rPr>
          <w:spacing w:val="2"/>
          <w:w w:val="103"/>
          <w:sz w:val="22"/>
          <w:szCs w:val="22"/>
          <w:lang w:val="sr-Latn-ME"/>
        </w:rPr>
        <w:t>o</w:t>
      </w:r>
      <w:r w:rsidRPr="00E659A7">
        <w:rPr>
          <w:w w:val="103"/>
          <w:sz w:val="22"/>
          <w:szCs w:val="22"/>
          <w:lang w:val="sr-Latn-ME"/>
        </w:rPr>
        <w:t xml:space="preserve">l </w:t>
      </w:r>
      <w:r w:rsidRPr="00E659A7">
        <w:rPr>
          <w:sz w:val="22"/>
          <w:szCs w:val="22"/>
          <w:lang w:val="sr-Latn-ME"/>
        </w:rPr>
        <w:t>i</w:t>
      </w:r>
      <w:r w:rsidRPr="00E659A7">
        <w:rPr>
          <w:spacing w:val="-1"/>
          <w:sz w:val="22"/>
          <w:szCs w:val="22"/>
          <w:lang w:val="sr-Latn-ME"/>
        </w:rPr>
        <w:t>z</w:t>
      </w:r>
      <w:r w:rsidRPr="00E659A7">
        <w:rPr>
          <w:sz w:val="22"/>
          <w:szCs w:val="22"/>
          <w:lang w:val="sr-Latn-ME"/>
        </w:rPr>
        <w:t>lu</w:t>
      </w:r>
      <w:r w:rsidRPr="00E659A7">
        <w:rPr>
          <w:spacing w:val="-1"/>
          <w:sz w:val="22"/>
          <w:szCs w:val="22"/>
          <w:lang w:val="sr-Latn-ME"/>
        </w:rPr>
        <w:t>č</w:t>
      </w:r>
      <w:r w:rsidRPr="00E659A7">
        <w:rPr>
          <w:sz w:val="22"/>
          <w:szCs w:val="22"/>
          <w:lang w:val="sr-Latn-ME"/>
        </w:rPr>
        <w:t>u</w:t>
      </w:r>
      <w:r w:rsidRPr="00E659A7">
        <w:rPr>
          <w:spacing w:val="2"/>
          <w:sz w:val="22"/>
          <w:szCs w:val="22"/>
          <w:lang w:val="sr-Latn-ME"/>
        </w:rPr>
        <w:t>j</w:t>
      </w:r>
      <w:r w:rsidRPr="00E659A7">
        <w:rPr>
          <w:sz w:val="22"/>
          <w:szCs w:val="22"/>
          <w:lang w:val="sr-Latn-ME"/>
        </w:rPr>
        <w:t>e</w:t>
      </w:r>
      <w:r w:rsidRPr="00E659A7">
        <w:rPr>
          <w:spacing w:val="19"/>
          <w:sz w:val="22"/>
          <w:szCs w:val="22"/>
          <w:lang w:val="sr-Latn-ME"/>
        </w:rPr>
        <w:t xml:space="preserve"> </w:t>
      </w:r>
      <w:r w:rsidRPr="00E659A7">
        <w:rPr>
          <w:sz w:val="22"/>
          <w:szCs w:val="22"/>
          <w:lang w:val="sr-Latn-ME"/>
        </w:rPr>
        <w:t>u</w:t>
      </w:r>
      <w:r w:rsidRPr="00E659A7">
        <w:rPr>
          <w:spacing w:val="5"/>
          <w:sz w:val="22"/>
          <w:szCs w:val="22"/>
          <w:lang w:val="sr-Latn-ME"/>
        </w:rPr>
        <w:t xml:space="preserve"> </w:t>
      </w:r>
      <w:r w:rsidRPr="00E659A7">
        <w:rPr>
          <w:w w:val="103"/>
          <w:sz w:val="22"/>
          <w:szCs w:val="22"/>
          <w:lang w:val="sr-Latn-ME"/>
        </w:rPr>
        <w:t>ml</w:t>
      </w:r>
      <w:r w:rsidR="00617447" w:rsidRPr="00E659A7">
        <w:rPr>
          <w:w w:val="103"/>
          <w:sz w:val="22"/>
          <w:szCs w:val="22"/>
          <w:lang w:val="sr-Latn-ME"/>
        </w:rPr>
        <w:t>ij</w:t>
      </w:r>
      <w:r w:rsidRPr="00E659A7">
        <w:rPr>
          <w:spacing w:val="-1"/>
          <w:w w:val="103"/>
          <w:sz w:val="22"/>
          <w:szCs w:val="22"/>
          <w:lang w:val="sr-Latn-ME"/>
        </w:rPr>
        <w:t>e</w:t>
      </w:r>
      <w:r w:rsidRPr="00E659A7">
        <w:rPr>
          <w:w w:val="103"/>
          <w:sz w:val="22"/>
          <w:szCs w:val="22"/>
          <w:lang w:val="sr-Latn-ME"/>
        </w:rPr>
        <w:t>ko.</w:t>
      </w:r>
    </w:p>
    <w:p w14:paraId="7025C149" w14:textId="77777777" w:rsidR="00227BDB" w:rsidRPr="00E659A7" w:rsidRDefault="00227BDB" w:rsidP="00E659A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025C14A" w14:textId="6AAA1AB8" w:rsidR="0072020E" w:rsidRPr="00E659A7" w:rsidRDefault="0072020E" w:rsidP="00E659A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4.7.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 xml:space="preserve">Uticaj na </w:t>
      </w:r>
      <w:r w:rsidR="002031B3" w:rsidRPr="00E659A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E659A7">
        <w:rPr>
          <w:b/>
          <w:bCs/>
          <w:sz w:val="22"/>
          <w:szCs w:val="22"/>
          <w:lang w:val="sr-Latn-ME"/>
        </w:rPr>
        <w:t>upravljanja vozili</w:t>
      </w:r>
      <w:r w:rsidRPr="00E659A7">
        <w:rPr>
          <w:b/>
          <w:bCs/>
          <w:sz w:val="22"/>
          <w:szCs w:val="22"/>
          <w:lang w:val="sr-Latn-ME"/>
        </w:rPr>
        <w:t>m</w:t>
      </w:r>
      <w:r w:rsidR="00F34554" w:rsidRPr="00E659A7">
        <w:rPr>
          <w:b/>
          <w:bCs/>
          <w:sz w:val="22"/>
          <w:szCs w:val="22"/>
          <w:lang w:val="sr-Latn-ME"/>
        </w:rPr>
        <w:t>a</w:t>
      </w:r>
      <w:r w:rsidRPr="00E659A7">
        <w:rPr>
          <w:b/>
          <w:bCs/>
          <w:sz w:val="22"/>
          <w:szCs w:val="22"/>
          <w:lang w:val="sr-Latn-ME"/>
        </w:rPr>
        <w:t xml:space="preserve"> i </w:t>
      </w:r>
      <w:r w:rsidR="000D3449" w:rsidRPr="00E659A7">
        <w:rPr>
          <w:b/>
          <w:bCs/>
          <w:sz w:val="22"/>
          <w:szCs w:val="22"/>
          <w:lang w:val="sr-Latn-ME"/>
        </w:rPr>
        <w:t xml:space="preserve">rukovanje </w:t>
      </w:r>
      <w:r w:rsidRPr="00E659A7">
        <w:rPr>
          <w:b/>
          <w:bCs/>
          <w:sz w:val="22"/>
          <w:szCs w:val="22"/>
          <w:lang w:val="sr-Latn-ME"/>
        </w:rPr>
        <w:t>mašinama</w:t>
      </w:r>
    </w:p>
    <w:p w14:paraId="1AD00430" w14:textId="77777777" w:rsidR="00514DA1" w:rsidRPr="00E659A7" w:rsidRDefault="00514DA1" w:rsidP="00E659A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415E0E0" w14:textId="0412E5DF" w:rsidR="0050594B" w:rsidRPr="00E659A7" w:rsidRDefault="0050594B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Mogu se javiti neželjena dejstva poput ošamućenosti, vrtoglavice, poremećaja vida i pospanosti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4.8). U tim slučajevima sposobnost reagovanja može biti smanjena.</w:t>
      </w:r>
    </w:p>
    <w:p w14:paraId="7025C14B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5C14C" w14:textId="3DF84EE3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4.8.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Neželjena dejstva</w:t>
      </w:r>
    </w:p>
    <w:p w14:paraId="79F738B9" w14:textId="77777777" w:rsidR="00C801DD" w:rsidRPr="00E659A7" w:rsidRDefault="00C801DD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478FC5" w14:textId="05C07662" w:rsidR="00A10376" w:rsidRPr="00E659A7" w:rsidRDefault="0050594B" w:rsidP="00E659A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Sažetak bezb</w:t>
      </w:r>
      <w:r w:rsidR="00617447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ednosnog profila</w:t>
      </w:r>
    </w:p>
    <w:p w14:paraId="1A8A858F" w14:textId="16268E2C" w:rsidR="0050594B" w:rsidRDefault="0050594B" w:rsidP="00E659A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Bezb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ednost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u dozama od 30, 60 ili 90 mg je proc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enjivana u kliničkim studijama kod pacijenata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ečenih u periodu do 1 godine. Neželjene reakcije povezane sa prim</w:t>
      </w:r>
      <w:r w:rsidR="00976EFB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enom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Dexilant, prim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ećene u ovim kliničkim studijama, su bile uglavnom blage ili um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erene, sa ukupnom incidencom sličnom kao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placeba i lansoprazola. Najčešće prijavljivane neželjene reakcije su bile dijareja, abdominalni bol, glavobolja, mučnina, abdominalna nelagodnost, nadutost i konstipacija. Incidenca ovih neželjenih reakcija je nezavisna u odnosu na pol, starost ili rasu.</w:t>
      </w:r>
    </w:p>
    <w:p w14:paraId="6028EBCC" w14:textId="77777777" w:rsidR="008360EF" w:rsidRPr="00E659A7" w:rsidRDefault="008360EF" w:rsidP="00E659A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noProof/>
          <w:sz w:val="22"/>
          <w:szCs w:val="22"/>
          <w:lang w:val="sr-Latn-ME"/>
        </w:rPr>
      </w:pPr>
    </w:p>
    <w:p w14:paraId="6019F1B6" w14:textId="3E098489" w:rsidR="0050594B" w:rsidRDefault="0050594B" w:rsidP="008360EF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Tabelarni spisak neželjenih reakcija</w:t>
      </w:r>
    </w:p>
    <w:p w14:paraId="0E2E3E29" w14:textId="77777777" w:rsidR="008360EF" w:rsidRPr="00E659A7" w:rsidRDefault="008360EF" w:rsidP="008360EF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</w:p>
    <w:p w14:paraId="5E5ACAC7" w14:textId="64FD8719" w:rsidR="0050594B" w:rsidRDefault="0050594B" w:rsidP="00E659A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Neželjene reakcije prilikom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(30 mg, 60 mg ili 90 mg) uočene u kliničkim studijama, kao i nakon stavljanja l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u promet, navedene su prema MedDRA terminologiji, prema organskim sistemima i učestalosti. Učestalost se definiše na sl</w:t>
      </w:r>
      <w:r w:rsidR="0061744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edeći način: </w:t>
      </w:r>
      <w:r w:rsidRPr="00E659A7">
        <w:rPr>
          <w:sz w:val="22"/>
          <w:szCs w:val="22"/>
          <w:lang w:val="sr-Latn-ME"/>
        </w:rPr>
        <w:t>veoma čest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(≥ 1/10); čest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(≥ 1/100 do &lt; 1/10); povremen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(≥ 1/1000 do &lt; 1/100); r</w:t>
      </w:r>
      <w:r w:rsidR="00617447" w:rsidRPr="00E659A7">
        <w:rPr>
          <w:sz w:val="22"/>
          <w:szCs w:val="22"/>
          <w:lang w:val="sr-Latn-ME"/>
        </w:rPr>
        <w:t>ij</w:t>
      </w:r>
      <w:r w:rsidRPr="00E659A7">
        <w:rPr>
          <w:sz w:val="22"/>
          <w:szCs w:val="22"/>
          <w:lang w:val="sr-Latn-ME"/>
        </w:rPr>
        <w:t>etk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(≥ 1/10000 do &lt; 1/1000); veoma r</w:t>
      </w:r>
      <w:r w:rsidR="00617447" w:rsidRPr="00E659A7">
        <w:rPr>
          <w:sz w:val="22"/>
          <w:szCs w:val="22"/>
          <w:lang w:val="sr-Latn-ME"/>
        </w:rPr>
        <w:t>ij</w:t>
      </w:r>
      <w:r w:rsidRPr="00E659A7">
        <w:rPr>
          <w:sz w:val="22"/>
          <w:szCs w:val="22"/>
          <w:lang w:val="sr-Latn-ME"/>
        </w:rPr>
        <w:t>etk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(&lt; 1/10000); nepoznat</w:t>
      </w:r>
      <w:r w:rsidR="001A0023" w:rsidRPr="00E659A7">
        <w:rPr>
          <w:sz w:val="22"/>
          <w:szCs w:val="22"/>
          <w:lang w:val="sr-Latn-ME"/>
        </w:rPr>
        <w:t>o</w:t>
      </w:r>
      <w:r w:rsidRPr="00E659A7">
        <w:rPr>
          <w:sz w:val="22"/>
          <w:szCs w:val="22"/>
          <w:lang w:val="sr-Latn-ME"/>
        </w:rPr>
        <w:t xml:space="preserve"> (</w:t>
      </w:r>
      <w:r w:rsidR="00323A05" w:rsidRPr="00E659A7">
        <w:rPr>
          <w:sz w:val="22"/>
          <w:szCs w:val="22"/>
          <w:lang w:val="sr-Latn-ME"/>
        </w:rPr>
        <w:t xml:space="preserve">učestalost se </w:t>
      </w:r>
      <w:r w:rsidRPr="00E659A7">
        <w:rPr>
          <w:sz w:val="22"/>
          <w:szCs w:val="22"/>
          <w:lang w:val="sr-Latn-ME"/>
        </w:rPr>
        <w:t>ne može  proc</w:t>
      </w:r>
      <w:r w:rsidR="00617447" w:rsidRPr="00E659A7">
        <w:rPr>
          <w:sz w:val="22"/>
          <w:szCs w:val="22"/>
          <w:lang w:val="sr-Latn-ME"/>
        </w:rPr>
        <w:t>ij</w:t>
      </w:r>
      <w:r w:rsidRPr="00E659A7">
        <w:rPr>
          <w:sz w:val="22"/>
          <w:szCs w:val="22"/>
          <w:lang w:val="sr-Latn-ME"/>
        </w:rPr>
        <w:t>eniti na osnovu dostupnih podataka). Neželjene reakcije su prikazane prema opadajućoj ozbiljnosti u okviru svake grupe učestalosti.</w:t>
      </w:r>
    </w:p>
    <w:p w14:paraId="6D34C749" w14:textId="5829C2C4" w:rsidR="008360EF" w:rsidRDefault="008360EF" w:rsidP="00E659A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521B331" w14:textId="550C1DDC" w:rsidR="008360EF" w:rsidRDefault="008360EF" w:rsidP="00E659A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CE25883" w14:textId="43EC67B7" w:rsidR="008360EF" w:rsidRDefault="008360EF" w:rsidP="00E659A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F53BC68" w14:textId="77777777" w:rsidR="008360EF" w:rsidRPr="00E659A7" w:rsidRDefault="008360EF" w:rsidP="00E659A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C221134" w14:textId="77777777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sr-Latn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06"/>
        <w:gridCol w:w="1607"/>
        <w:gridCol w:w="1352"/>
        <w:gridCol w:w="2268"/>
      </w:tblGrid>
      <w:tr w:rsidR="0050594B" w:rsidRPr="00E659A7" w14:paraId="7C9EE6E6" w14:textId="77777777" w:rsidTr="00F644E2">
        <w:trPr>
          <w:trHeight w:val="45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1FADAB9" w14:textId="77777777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lastRenderedPageBreak/>
              <w:t>Sistem organa</w:t>
            </w:r>
          </w:p>
        </w:tc>
        <w:tc>
          <w:tcPr>
            <w:tcW w:w="1606" w:type="dxa"/>
            <w:shd w:val="clear" w:color="auto" w:fill="BFBFBF"/>
            <w:vAlign w:val="center"/>
          </w:tcPr>
          <w:p w14:paraId="2FA5B516" w14:textId="28368384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Čest</w:t>
            </w:r>
            <w:r w:rsidR="001A0023"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1607" w:type="dxa"/>
            <w:shd w:val="clear" w:color="auto" w:fill="BFBFBF"/>
            <w:vAlign w:val="center"/>
          </w:tcPr>
          <w:p w14:paraId="0320EA95" w14:textId="4E601893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Povremen</w:t>
            </w:r>
            <w:r w:rsidR="001A0023"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1352" w:type="dxa"/>
            <w:shd w:val="clear" w:color="auto" w:fill="BFBFBF"/>
            <w:vAlign w:val="center"/>
          </w:tcPr>
          <w:p w14:paraId="20D40496" w14:textId="579B8D07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R</w:t>
            </w:r>
            <w:r w:rsidR="00617447"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ij</w:t>
            </w: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etk</w:t>
            </w:r>
            <w:r w:rsidR="001A0023"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0C0B9A7" w14:textId="057E2647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Nepoznat</w:t>
            </w:r>
            <w:r w:rsidR="001A0023" w:rsidRPr="00E659A7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</w:t>
            </w:r>
          </w:p>
        </w:tc>
      </w:tr>
      <w:tr w:rsidR="0050594B" w:rsidRPr="00E659A7" w14:paraId="71AEFFDC" w14:textId="77777777" w:rsidTr="00F644E2">
        <w:tc>
          <w:tcPr>
            <w:tcW w:w="2376" w:type="dxa"/>
            <w:shd w:val="clear" w:color="auto" w:fill="auto"/>
          </w:tcPr>
          <w:p w14:paraId="770CFE56" w14:textId="538F3860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 krvi i limfnog sistema</w:t>
            </w:r>
          </w:p>
        </w:tc>
        <w:tc>
          <w:tcPr>
            <w:tcW w:w="1606" w:type="dxa"/>
            <w:shd w:val="clear" w:color="auto" w:fill="auto"/>
          </w:tcPr>
          <w:p w14:paraId="48862D7E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5E8C052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3CAF775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32826FA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Autoimuna hemolitička anemija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1,2</w:t>
            </w:r>
          </w:p>
          <w:p w14:paraId="5102C0E5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Idiopatska trombocitopenijska purpura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33496EDD" w14:textId="77777777" w:rsidTr="00F644E2">
        <w:tc>
          <w:tcPr>
            <w:tcW w:w="2376" w:type="dxa"/>
            <w:shd w:val="clear" w:color="auto" w:fill="auto"/>
          </w:tcPr>
          <w:p w14:paraId="619A7FA0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Imunološki poremećaji</w:t>
            </w:r>
          </w:p>
        </w:tc>
        <w:tc>
          <w:tcPr>
            <w:tcW w:w="1606" w:type="dxa"/>
            <w:shd w:val="clear" w:color="auto" w:fill="auto"/>
          </w:tcPr>
          <w:p w14:paraId="7F1EFBC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62AD2B20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285C48F6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7767D324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Anafilaktička reakcija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651BFABF" w14:textId="39F99613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Preos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j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etljivost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1,2</w:t>
            </w:r>
          </w:p>
          <w:p w14:paraId="7D6F5629" w14:textId="4DC22F75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Anafilaktički šok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3238DDF0" w14:textId="77777777" w:rsidTr="00F644E2">
        <w:tc>
          <w:tcPr>
            <w:tcW w:w="2376" w:type="dxa"/>
            <w:shd w:val="clear" w:color="auto" w:fill="auto"/>
          </w:tcPr>
          <w:p w14:paraId="232ED374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606" w:type="dxa"/>
            <w:shd w:val="clear" w:color="auto" w:fill="auto"/>
          </w:tcPr>
          <w:p w14:paraId="5672C156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0B6FE2E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5E615A0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57C81776" w14:textId="5FD6C476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Hipomagnezemija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(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vidjeti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d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 4.4 Posebna upozorenja i m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j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ere opreza pri upotrebi l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ij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eka)</w:t>
            </w:r>
          </w:p>
        </w:tc>
      </w:tr>
      <w:tr w:rsidR="0050594B" w:rsidRPr="00E659A7" w14:paraId="503548C5" w14:textId="77777777" w:rsidTr="00F644E2">
        <w:tc>
          <w:tcPr>
            <w:tcW w:w="2376" w:type="dxa"/>
            <w:shd w:val="clear" w:color="auto" w:fill="auto"/>
          </w:tcPr>
          <w:p w14:paraId="4AA7126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mišićno-skeletnog, vezivnog i koštanog tkiva</w:t>
            </w:r>
          </w:p>
        </w:tc>
        <w:tc>
          <w:tcPr>
            <w:tcW w:w="1606" w:type="dxa"/>
            <w:shd w:val="clear" w:color="auto" w:fill="auto"/>
          </w:tcPr>
          <w:p w14:paraId="06791D6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6F69F685" w14:textId="09FC63D3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Fraktura kuka, ručnog zgloba ili kičme (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vidjeti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d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 4.4)</w:t>
            </w:r>
          </w:p>
        </w:tc>
        <w:tc>
          <w:tcPr>
            <w:tcW w:w="1352" w:type="dxa"/>
            <w:shd w:val="clear" w:color="auto" w:fill="auto"/>
          </w:tcPr>
          <w:p w14:paraId="4F23410E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16838FEE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  <w:tr w:rsidR="0050594B" w:rsidRPr="00E659A7" w14:paraId="37A51ED9" w14:textId="77777777" w:rsidTr="00F644E2">
        <w:tc>
          <w:tcPr>
            <w:tcW w:w="2376" w:type="dxa"/>
            <w:shd w:val="clear" w:color="auto" w:fill="auto"/>
          </w:tcPr>
          <w:p w14:paraId="273586F5" w14:textId="387298C3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 bubrega i urinarnog sistem</w:t>
            </w:r>
          </w:p>
        </w:tc>
        <w:tc>
          <w:tcPr>
            <w:tcW w:w="1606" w:type="dxa"/>
            <w:shd w:val="clear" w:color="auto" w:fill="auto"/>
          </w:tcPr>
          <w:p w14:paraId="4B87333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1CC52A30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52F03F6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65BDA66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akutni intersticijalni nefritis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07CC7466" w14:textId="77777777" w:rsidTr="00F644E2">
        <w:tc>
          <w:tcPr>
            <w:tcW w:w="2376" w:type="dxa"/>
            <w:shd w:val="clear" w:color="auto" w:fill="auto"/>
          </w:tcPr>
          <w:p w14:paraId="549D407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606" w:type="dxa"/>
            <w:shd w:val="clear" w:color="auto" w:fill="auto"/>
          </w:tcPr>
          <w:p w14:paraId="2FBF5366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59EF4A0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Nesanica</w:t>
            </w:r>
          </w:p>
          <w:p w14:paraId="4BF8679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Depresija</w:t>
            </w:r>
          </w:p>
        </w:tc>
        <w:tc>
          <w:tcPr>
            <w:tcW w:w="1352" w:type="dxa"/>
            <w:shd w:val="clear" w:color="auto" w:fill="auto"/>
          </w:tcPr>
          <w:p w14:paraId="13AB7675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Čulne halucinacije</w:t>
            </w:r>
          </w:p>
        </w:tc>
        <w:tc>
          <w:tcPr>
            <w:tcW w:w="2268" w:type="dxa"/>
            <w:shd w:val="clear" w:color="auto" w:fill="auto"/>
          </w:tcPr>
          <w:p w14:paraId="33EC357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Vizuelne halucinacije</w:t>
            </w:r>
          </w:p>
        </w:tc>
      </w:tr>
      <w:tr w:rsidR="0050594B" w:rsidRPr="00E659A7" w14:paraId="1F1EB9DF" w14:textId="77777777" w:rsidTr="00F644E2">
        <w:tc>
          <w:tcPr>
            <w:tcW w:w="2376" w:type="dxa"/>
            <w:shd w:val="clear" w:color="auto" w:fill="auto"/>
          </w:tcPr>
          <w:p w14:paraId="499A0FD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606" w:type="dxa"/>
            <w:shd w:val="clear" w:color="auto" w:fill="auto"/>
          </w:tcPr>
          <w:p w14:paraId="365DCFEB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607" w:type="dxa"/>
            <w:shd w:val="clear" w:color="auto" w:fill="auto"/>
          </w:tcPr>
          <w:p w14:paraId="47FE420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Ošamućenost</w:t>
            </w:r>
          </w:p>
          <w:p w14:paraId="0038410B" w14:textId="7B624B1F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</w:t>
            </w:r>
            <w:r w:rsidR="00323A05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e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mećaji ukusa</w:t>
            </w:r>
          </w:p>
        </w:tc>
        <w:tc>
          <w:tcPr>
            <w:tcW w:w="1352" w:type="dxa"/>
            <w:shd w:val="clear" w:color="auto" w:fill="auto"/>
          </w:tcPr>
          <w:p w14:paraId="0923FA7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Konvulzije</w:t>
            </w:r>
          </w:p>
          <w:p w14:paraId="444BAAC7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Parestezija</w:t>
            </w:r>
          </w:p>
        </w:tc>
        <w:tc>
          <w:tcPr>
            <w:tcW w:w="2268" w:type="dxa"/>
            <w:shd w:val="clear" w:color="auto" w:fill="auto"/>
          </w:tcPr>
          <w:p w14:paraId="25E36176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  <w:tr w:rsidR="0050594B" w:rsidRPr="00E659A7" w14:paraId="2444889D" w14:textId="77777777" w:rsidTr="00F644E2">
        <w:tc>
          <w:tcPr>
            <w:tcW w:w="2376" w:type="dxa"/>
            <w:shd w:val="clear" w:color="auto" w:fill="auto"/>
          </w:tcPr>
          <w:p w14:paraId="78CD56DB" w14:textId="4D870620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</w:t>
            </w:r>
            <w:r w:rsidR="00323A05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oka</w:t>
            </w:r>
          </w:p>
        </w:tc>
        <w:tc>
          <w:tcPr>
            <w:tcW w:w="1606" w:type="dxa"/>
            <w:shd w:val="clear" w:color="auto" w:fill="auto"/>
          </w:tcPr>
          <w:p w14:paraId="788A0E4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6352002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5BDD7E1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Vizualni poremećaji</w:t>
            </w:r>
          </w:p>
        </w:tc>
        <w:tc>
          <w:tcPr>
            <w:tcW w:w="2268" w:type="dxa"/>
            <w:shd w:val="clear" w:color="auto" w:fill="auto"/>
          </w:tcPr>
          <w:p w14:paraId="5B3BE81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Zamućen vid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4A83E92B" w14:textId="77777777" w:rsidTr="00F644E2">
        <w:tc>
          <w:tcPr>
            <w:tcW w:w="2376" w:type="dxa"/>
            <w:shd w:val="clear" w:color="auto" w:fill="auto"/>
          </w:tcPr>
          <w:p w14:paraId="7439ADF9" w14:textId="5002C706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uha i centra za ravnotežu</w:t>
            </w:r>
          </w:p>
        </w:tc>
        <w:tc>
          <w:tcPr>
            <w:tcW w:w="1606" w:type="dxa"/>
            <w:shd w:val="clear" w:color="auto" w:fill="auto"/>
          </w:tcPr>
          <w:p w14:paraId="63D4197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5AE2261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352" w:type="dxa"/>
            <w:shd w:val="clear" w:color="auto" w:fill="auto"/>
          </w:tcPr>
          <w:p w14:paraId="30DB8F0E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Vertigo</w:t>
            </w:r>
          </w:p>
        </w:tc>
        <w:tc>
          <w:tcPr>
            <w:tcW w:w="2268" w:type="dxa"/>
            <w:shd w:val="clear" w:color="auto" w:fill="auto"/>
          </w:tcPr>
          <w:p w14:paraId="720BD1FE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Gluvoća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03649042" w14:textId="77777777" w:rsidTr="00F644E2">
        <w:tc>
          <w:tcPr>
            <w:tcW w:w="2376" w:type="dxa"/>
            <w:shd w:val="clear" w:color="auto" w:fill="auto"/>
          </w:tcPr>
          <w:p w14:paraId="4195060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606" w:type="dxa"/>
            <w:shd w:val="clear" w:color="auto" w:fill="auto"/>
          </w:tcPr>
          <w:p w14:paraId="0D158B4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0E8D980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Hipertenzija</w:t>
            </w:r>
          </w:p>
          <w:p w14:paraId="690E584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Valunzi</w:t>
            </w:r>
          </w:p>
        </w:tc>
        <w:tc>
          <w:tcPr>
            <w:tcW w:w="1352" w:type="dxa"/>
            <w:shd w:val="clear" w:color="auto" w:fill="auto"/>
          </w:tcPr>
          <w:p w14:paraId="665E634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4E147F4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  <w:tr w:rsidR="0050594B" w:rsidRPr="00E659A7" w14:paraId="0C76A5E5" w14:textId="77777777" w:rsidTr="00F644E2">
        <w:tc>
          <w:tcPr>
            <w:tcW w:w="2376" w:type="dxa"/>
            <w:shd w:val="clear" w:color="auto" w:fill="auto"/>
          </w:tcPr>
          <w:p w14:paraId="43FEDAF0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606" w:type="dxa"/>
            <w:shd w:val="clear" w:color="auto" w:fill="auto"/>
          </w:tcPr>
          <w:p w14:paraId="2322146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6D75D735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Kašalj</w:t>
            </w:r>
          </w:p>
        </w:tc>
        <w:tc>
          <w:tcPr>
            <w:tcW w:w="1352" w:type="dxa"/>
            <w:shd w:val="clear" w:color="auto" w:fill="auto"/>
          </w:tcPr>
          <w:p w14:paraId="5CCE0F01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682271D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  <w:tr w:rsidR="0050594B" w:rsidRPr="00E659A7" w14:paraId="6980443E" w14:textId="77777777" w:rsidTr="00F644E2">
        <w:tc>
          <w:tcPr>
            <w:tcW w:w="2376" w:type="dxa"/>
            <w:shd w:val="clear" w:color="auto" w:fill="auto"/>
          </w:tcPr>
          <w:p w14:paraId="3EC6F2A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606" w:type="dxa"/>
            <w:shd w:val="clear" w:color="auto" w:fill="auto"/>
          </w:tcPr>
          <w:p w14:paraId="715877F7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Dijareja</w:t>
            </w:r>
          </w:p>
          <w:p w14:paraId="69FF238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Abdominalni bol</w:t>
            </w:r>
          </w:p>
          <w:p w14:paraId="7C0217E7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Mučnina</w:t>
            </w:r>
          </w:p>
          <w:p w14:paraId="775BE569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Abdominalna nelagodnost</w:t>
            </w:r>
          </w:p>
          <w:p w14:paraId="1B7CEDF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Nadutost</w:t>
            </w:r>
          </w:p>
          <w:p w14:paraId="22C1400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Konstipacija</w:t>
            </w:r>
          </w:p>
          <w:p w14:paraId="6AC2CBBF" w14:textId="691058A9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Polipi fundusnih žl</w:t>
            </w:r>
            <w:r w:rsidR="000511B0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ij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ezda (benigni)</w:t>
            </w:r>
          </w:p>
        </w:tc>
        <w:tc>
          <w:tcPr>
            <w:tcW w:w="1607" w:type="dxa"/>
            <w:shd w:val="clear" w:color="auto" w:fill="auto"/>
          </w:tcPr>
          <w:p w14:paraId="4E0F51D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Povraćanje</w:t>
            </w:r>
          </w:p>
          <w:p w14:paraId="3CC3EE8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Suva usta</w:t>
            </w:r>
          </w:p>
        </w:tc>
        <w:tc>
          <w:tcPr>
            <w:tcW w:w="1352" w:type="dxa"/>
            <w:shd w:val="clear" w:color="auto" w:fill="auto"/>
          </w:tcPr>
          <w:p w14:paraId="43A1FB05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Kandidijaza</w:t>
            </w:r>
          </w:p>
        </w:tc>
        <w:tc>
          <w:tcPr>
            <w:tcW w:w="2268" w:type="dxa"/>
            <w:shd w:val="clear" w:color="auto" w:fill="auto"/>
          </w:tcPr>
          <w:p w14:paraId="3827CA14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  <w:tr w:rsidR="0050594B" w:rsidRPr="00E659A7" w14:paraId="0D95A102" w14:textId="77777777" w:rsidTr="00F644E2">
        <w:tc>
          <w:tcPr>
            <w:tcW w:w="2376" w:type="dxa"/>
            <w:shd w:val="clear" w:color="auto" w:fill="auto"/>
          </w:tcPr>
          <w:p w14:paraId="78C6FCB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606" w:type="dxa"/>
            <w:shd w:val="clear" w:color="auto" w:fill="auto"/>
          </w:tcPr>
          <w:p w14:paraId="04D95ABD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217AB3F1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Poremećeni funkcionalni testovi jetre</w:t>
            </w:r>
          </w:p>
        </w:tc>
        <w:tc>
          <w:tcPr>
            <w:tcW w:w="1352" w:type="dxa"/>
            <w:shd w:val="clear" w:color="auto" w:fill="auto"/>
          </w:tcPr>
          <w:p w14:paraId="7B55EFA0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2AD6CD7B" w14:textId="2FA241D0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Hepatitis izazvan 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lijekom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5244F822" w14:textId="77777777" w:rsidTr="00F644E2">
        <w:trPr>
          <w:trHeight w:val="454"/>
        </w:trPr>
        <w:tc>
          <w:tcPr>
            <w:tcW w:w="2376" w:type="dxa"/>
            <w:shd w:val="clear" w:color="auto" w:fill="auto"/>
          </w:tcPr>
          <w:p w14:paraId="404E7B7B" w14:textId="159A2360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 kože i potkožnog tkiva</w:t>
            </w:r>
          </w:p>
        </w:tc>
        <w:tc>
          <w:tcPr>
            <w:tcW w:w="1606" w:type="dxa"/>
            <w:shd w:val="clear" w:color="auto" w:fill="auto"/>
          </w:tcPr>
          <w:p w14:paraId="1DE3E88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4B5CBB37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Koprivnjača</w:t>
            </w:r>
          </w:p>
          <w:p w14:paraId="3F8718F4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Svrab</w:t>
            </w:r>
          </w:p>
          <w:p w14:paraId="3CD518AA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1352" w:type="dxa"/>
            <w:shd w:val="clear" w:color="auto" w:fill="auto"/>
          </w:tcPr>
          <w:p w14:paraId="56200B4C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265E3EC6" w14:textId="77228113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Subakutni kožni lupus eritematodes (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vidjeti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d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i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o 4.4)</w:t>
            </w:r>
          </w:p>
          <w:p w14:paraId="089AF57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i/>
                <w:noProof/>
                <w:sz w:val="22"/>
                <w:szCs w:val="22"/>
                <w:lang w:val="sr-Latn-ME"/>
              </w:rPr>
              <w:t>Steven-Johnson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 sindrom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3BC6BCC7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Toksična epidermalna nekroliza</w:t>
            </w:r>
            <w:r w:rsidRPr="00E659A7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0594B" w:rsidRPr="00E659A7" w14:paraId="5371703C" w14:textId="77777777" w:rsidTr="00F644E2">
        <w:tc>
          <w:tcPr>
            <w:tcW w:w="2376" w:type="dxa"/>
            <w:shd w:val="clear" w:color="auto" w:fill="auto"/>
          </w:tcPr>
          <w:p w14:paraId="3AF00206" w14:textId="01BEA77F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lastRenderedPageBreak/>
              <w:t>Opšti poremećaji i reakcije na m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j</w:t>
            </w: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estu </w:t>
            </w:r>
            <w:r w:rsidR="00617447"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1606" w:type="dxa"/>
            <w:shd w:val="clear" w:color="auto" w:fill="auto"/>
          </w:tcPr>
          <w:p w14:paraId="248A7992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607" w:type="dxa"/>
            <w:shd w:val="clear" w:color="auto" w:fill="auto"/>
          </w:tcPr>
          <w:p w14:paraId="6F66A443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Astenija</w:t>
            </w:r>
          </w:p>
          <w:p w14:paraId="4FB89074" w14:textId="77777777" w:rsidR="0050594B" w:rsidRPr="00E659A7" w:rsidRDefault="0050594B" w:rsidP="00F644E2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E659A7">
              <w:rPr>
                <w:rFonts w:eastAsia="Calibri"/>
                <w:noProof/>
                <w:sz w:val="22"/>
                <w:szCs w:val="22"/>
                <w:lang w:val="sr-Latn-ME"/>
              </w:rPr>
              <w:t>Poremećaji apetita</w:t>
            </w:r>
          </w:p>
        </w:tc>
        <w:tc>
          <w:tcPr>
            <w:tcW w:w="1352" w:type="dxa"/>
            <w:shd w:val="clear" w:color="auto" w:fill="auto"/>
          </w:tcPr>
          <w:p w14:paraId="768AA48E" w14:textId="77777777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14:paraId="3FD7C370" w14:textId="77777777" w:rsidR="0050594B" w:rsidRPr="00E659A7" w:rsidRDefault="0050594B" w:rsidP="00E659A7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</w:tr>
    </w:tbl>
    <w:p w14:paraId="41EB91C0" w14:textId="6685CE65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vertAlign w:val="superscript"/>
          <w:lang w:val="sr-Latn-ME"/>
        </w:rPr>
        <w:t>1</w:t>
      </w:r>
      <w:r w:rsidRPr="00E659A7">
        <w:rPr>
          <w:noProof/>
          <w:sz w:val="22"/>
          <w:szCs w:val="22"/>
          <w:lang w:val="sr-Latn-ME"/>
        </w:rPr>
        <w:t xml:space="preserve"> 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617447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„Opis pojedinih neželjenih reakcija“</w:t>
      </w:r>
    </w:p>
    <w:p w14:paraId="0543586E" w14:textId="1819E713" w:rsidR="0050594B" w:rsidRPr="00E659A7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vertAlign w:val="superscript"/>
          <w:lang w:val="sr-Latn-ME"/>
        </w:rPr>
        <w:t>2</w:t>
      </w:r>
      <w:r w:rsidRPr="00E659A7">
        <w:rPr>
          <w:noProof/>
          <w:sz w:val="22"/>
          <w:szCs w:val="22"/>
          <w:lang w:val="sr-Latn-ME"/>
        </w:rPr>
        <w:t xml:space="preserve"> neželjene reakcije koje su uočene nakon stavljanja dekslansoprazola u promet (kako su ove neželjene reakcije prijavljene dobrovoljno od strane populacije neodređene veličine, učestalost nije moguće proc</w:t>
      </w:r>
      <w:r w:rsidR="0061744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eniti iz raspoloživih podataka)</w:t>
      </w:r>
    </w:p>
    <w:p w14:paraId="03A43A19" w14:textId="77777777" w:rsidR="0050594B" w:rsidRPr="00E659A7" w:rsidRDefault="0050594B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Opis pojedinih neželjenih reakcija</w:t>
      </w:r>
    </w:p>
    <w:p w14:paraId="4E558528" w14:textId="77777777" w:rsidR="0050594B" w:rsidRPr="00E659A7" w:rsidRDefault="0050594B" w:rsidP="00E659A7">
      <w:pPr>
        <w:autoSpaceDE w:val="0"/>
        <w:autoSpaceDN w:val="0"/>
        <w:adjustRightInd w:val="0"/>
        <w:spacing w:before="100" w:before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Dijareja i abdominalni bol</w:t>
      </w:r>
    </w:p>
    <w:p w14:paraId="41E23296" w14:textId="6CA58937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fazi 3 kliničkih studija, najčešće prijavljivana neželjena reakcija je bila dijareja (isključujući infektivnu dijareju), i u većini slučajeva se nije radilo o ozbiljnoj neželjenoj reakciji. Ukupno, mali broj dobrovoljaca (2,4%) je pr</w:t>
      </w:r>
      <w:r w:rsidR="00312842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evremeno prekinuo terapiju dekslansoprazolom zbog pojave neželjene reakcije. Najčešće neželjene reakcije (≥ 0,5%) koje su uzrokovale pr</w:t>
      </w:r>
      <w:r w:rsidR="00312842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evremeni prekid terapije su bile dijareja, gastrointestinalni i abdominalni bolovi. Inicijalna pojava dijareje i abdominalnog bola je bila nezavisna od dužine trajanja terapije, i u većini slučajeva se radilo o slučajevima blagih ili </w:t>
      </w:r>
      <w:r w:rsidR="00617447" w:rsidRPr="00E659A7">
        <w:rPr>
          <w:noProof/>
          <w:sz w:val="22"/>
          <w:szCs w:val="22"/>
          <w:lang w:val="sr-Latn-ME"/>
        </w:rPr>
        <w:t>umjereno</w:t>
      </w:r>
      <w:r w:rsidRPr="00E659A7">
        <w:rPr>
          <w:noProof/>
          <w:sz w:val="22"/>
          <w:szCs w:val="22"/>
          <w:lang w:val="sr-Latn-ME"/>
        </w:rPr>
        <w:t xml:space="preserve"> teških događaja. Dozna zavisnost incidence neželjenih događaja dekslansoprazola nije uočena.</w:t>
      </w:r>
    </w:p>
    <w:p w14:paraId="1DBB8347" w14:textId="34D0AC43" w:rsidR="0050594B" w:rsidRPr="00E659A7" w:rsidRDefault="0050594B" w:rsidP="00E659A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Preos</w:t>
      </w:r>
      <w:r w:rsidR="007C7088" w:rsidRPr="00E659A7">
        <w:rPr>
          <w:i/>
          <w:noProof/>
          <w:sz w:val="22"/>
          <w:szCs w:val="22"/>
          <w:lang w:val="sr-Latn-ME"/>
        </w:rPr>
        <w:t>j</w:t>
      </w:r>
      <w:r w:rsidRPr="00E659A7">
        <w:rPr>
          <w:i/>
          <w:noProof/>
          <w:sz w:val="22"/>
          <w:szCs w:val="22"/>
          <w:lang w:val="sr-Latn-ME"/>
        </w:rPr>
        <w:t>etljivost</w:t>
      </w:r>
    </w:p>
    <w:p w14:paraId="3DA80C04" w14:textId="241B8EAF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Slučajevi ozbiljnih reakcija preos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etljivosti prijavljivani su nakon stavljanja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u promet. Reakcije preos</w:t>
      </w:r>
      <w:r w:rsidR="0031284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etljivosti su češće prijavljivane kod ženskih pacijenata (74%). Većina slučajeva ozbiljnih reakcija preos</w:t>
      </w:r>
      <w:r w:rsidR="00312842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etljivosti je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ečena steroidima i/ili antihistaminicima i prekidom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eka. Kod malog broja pacijenata prijavljeni su ozbiljni slučajevi </w:t>
      </w:r>
      <w:r w:rsidRPr="00E659A7">
        <w:rPr>
          <w:i/>
          <w:noProof/>
          <w:sz w:val="22"/>
          <w:szCs w:val="22"/>
          <w:lang w:val="sr-Latn-ME"/>
        </w:rPr>
        <w:t>Stevens-Johnson</w:t>
      </w:r>
      <w:r w:rsidRPr="00E659A7">
        <w:rPr>
          <w:noProof/>
          <w:sz w:val="22"/>
          <w:szCs w:val="22"/>
          <w:lang w:val="sr-Latn-ME"/>
        </w:rPr>
        <w:t>-ovog sindroma (SJS) i toksične epidermalne nekroze (TEN).</w:t>
      </w:r>
    </w:p>
    <w:p w14:paraId="72E1CB65" w14:textId="77777777" w:rsidR="0050594B" w:rsidRPr="00E659A7" w:rsidRDefault="0050594B" w:rsidP="00E659A7">
      <w:pPr>
        <w:autoSpaceDE w:val="0"/>
        <w:autoSpaceDN w:val="0"/>
        <w:adjustRightInd w:val="0"/>
        <w:spacing w:before="100" w:before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Hemolitička anemija</w:t>
      </w:r>
    </w:p>
    <w:p w14:paraId="5B44C8A4" w14:textId="49D8B026" w:rsidR="0050594B" w:rsidRPr="00E659A7" w:rsidRDefault="0050594B" w:rsidP="00E659A7">
      <w:pPr>
        <w:autoSpaceDE w:val="0"/>
        <w:autoSpaceDN w:val="0"/>
        <w:adjustRightInd w:val="0"/>
        <w:spacing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Nakon stavljanja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u promet, nekoliko težih slučajeva hemolitičke anemije prijavljeno je kod pacijenata koji su primali 60 mg dekslansoprazola dnevno, u trajanju od 4 do 7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>.</w:t>
      </w:r>
    </w:p>
    <w:p w14:paraId="78D22B98" w14:textId="090D9FA1" w:rsidR="0050594B" w:rsidRDefault="0050594B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Pedijatrijska populacija</w:t>
      </w:r>
    </w:p>
    <w:p w14:paraId="6AB18D85" w14:textId="77777777" w:rsidR="00F644E2" w:rsidRPr="00E659A7" w:rsidRDefault="00F644E2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</w:p>
    <w:p w14:paraId="31DF5544" w14:textId="57095344" w:rsidR="0050594B" w:rsidRPr="00E659A7" w:rsidRDefault="007C7088" w:rsidP="00E659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Bezbjednosni</w:t>
      </w:r>
      <w:r w:rsidR="0050594B" w:rsidRPr="00E659A7">
        <w:rPr>
          <w:noProof/>
          <w:sz w:val="22"/>
          <w:szCs w:val="22"/>
          <w:lang w:val="sr-Latn-ME"/>
        </w:rPr>
        <w:t xml:space="preserve"> profil l</w:t>
      </w:r>
      <w:r w:rsidRPr="00E659A7">
        <w:rPr>
          <w:noProof/>
          <w:sz w:val="22"/>
          <w:szCs w:val="22"/>
          <w:lang w:val="sr-Latn-ME"/>
        </w:rPr>
        <w:t>ij</w:t>
      </w:r>
      <w:r w:rsidR="0050594B" w:rsidRPr="00E659A7">
        <w:rPr>
          <w:noProof/>
          <w:sz w:val="22"/>
          <w:szCs w:val="22"/>
          <w:lang w:val="sr-Latn-ME"/>
        </w:rPr>
        <w:t xml:space="preserve">eka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="0050594B" w:rsidRPr="00E659A7">
        <w:rPr>
          <w:noProof/>
          <w:sz w:val="22"/>
          <w:szCs w:val="22"/>
          <w:lang w:val="sr-Latn-ME"/>
        </w:rPr>
        <w:t xml:space="preserve"> l</w:t>
      </w:r>
      <w:r w:rsidRPr="00E659A7">
        <w:rPr>
          <w:noProof/>
          <w:sz w:val="22"/>
          <w:szCs w:val="22"/>
          <w:lang w:val="sr-Latn-ME"/>
        </w:rPr>
        <w:t>ij</w:t>
      </w:r>
      <w:r w:rsidR="0050594B" w:rsidRPr="00E659A7">
        <w:rPr>
          <w:noProof/>
          <w:sz w:val="22"/>
          <w:szCs w:val="22"/>
          <w:lang w:val="sr-Latn-ME"/>
        </w:rPr>
        <w:t>eka kod adolescenata uzrasta od 12 do 17 godina je i</w:t>
      </w:r>
      <w:r w:rsidRPr="00E659A7">
        <w:rPr>
          <w:noProof/>
          <w:sz w:val="22"/>
          <w:szCs w:val="22"/>
          <w:lang w:val="sr-Latn-ME"/>
        </w:rPr>
        <w:t>s</w:t>
      </w:r>
      <w:r w:rsidR="0050594B" w:rsidRPr="00E659A7">
        <w:rPr>
          <w:noProof/>
          <w:sz w:val="22"/>
          <w:szCs w:val="22"/>
          <w:lang w:val="sr-Latn-ME"/>
        </w:rPr>
        <w:t xml:space="preserve">ti kao kod odraslih. U kliničkim studijama sprovedenim na 166 </w:t>
      </w:r>
      <w:r w:rsidR="00A10376" w:rsidRPr="00E659A7">
        <w:rPr>
          <w:noProof/>
          <w:sz w:val="22"/>
          <w:szCs w:val="22"/>
          <w:lang w:val="sr-Latn-ME"/>
        </w:rPr>
        <w:t>pacijenata</w:t>
      </w:r>
      <w:r w:rsidR="0050594B" w:rsidRPr="00E659A7">
        <w:rPr>
          <w:noProof/>
          <w:sz w:val="22"/>
          <w:szCs w:val="22"/>
          <w:lang w:val="sr-Latn-ME"/>
        </w:rPr>
        <w:t xml:space="preserve"> adolescentnog uzrasta, jedina neželjena reakcija koja je evidentirana kod više od jednog </w:t>
      </w:r>
      <w:r w:rsidR="00A10376" w:rsidRPr="00E659A7">
        <w:rPr>
          <w:noProof/>
          <w:sz w:val="22"/>
          <w:szCs w:val="22"/>
          <w:lang w:val="sr-Latn-ME"/>
        </w:rPr>
        <w:t>pacijenta</w:t>
      </w:r>
      <w:r w:rsidR="0050594B" w:rsidRPr="00E659A7">
        <w:rPr>
          <w:noProof/>
          <w:sz w:val="22"/>
          <w:szCs w:val="22"/>
          <w:lang w:val="sr-Latn-ME"/>
        </w:rPr>
        <w:t xml:space="preserve"> je bio abdominalni bol. Dodatne neželjene reakcije koje su se pojavile svaka posebno kod jednog pacijenta su dijareja, urtikarija, os</w:t>
      </w:r>
      <w:r w:rsidRPr="00E659A7">
        <w:rPr>
          <w:noProof/>
          <w:sz w:val="22"/>
          <w:szCs w:val="22"/>
          <w:lang w:val="sr-Latn-ME"/>
        </w:rPr>
        <w:t>j</w:t>
      </w:r>
      <w:r w:rsidR="0050594B" w:rsidRPr="00E659A7">
        <w:rPr>
          <w:noProof/>
          <w:sz w:val="22"/>
          <w:szCs w:val="22"/>
          <w:lang w:val="sr-Latn-ME"/>
        </w:rPr>
        <w:t>ećaj suvoće usta i glavobolja.</w:t>
      </w:r>
    </w:p>
    <w:p w14:paraId="241E8671" w14:textId="77777777" w:rsidR="0050594B" w:rsidRPr="00E659A7" w:rsidRDefault="0050594B" w:rsidP="00F644E2">
      <w:pPr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7025C14D" w14:textId="5EA61272" w:rsidR="005A23D2" w:rsidRPr="00E659A7" w:rsidRDefault="005A23D2" w:rsidP="00E659A7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E659A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025C14E" w14:textId="77777777" w:rsidR="005A23D2" w:rsidRPr="00E659A7" w:rsidRDefault="005A23D2" w:rsidP="00E659A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E659A7">
        <w:rPr>
          <w:rFonts w:eastAsia="Calibri"/>
          <w:sz w:val="22"/>
          <w:szCs w:val="22"/>
          <w:lang w:val="sr-Latn-ME"/>
        </w:rPr>
        <w:t>inuirano praćenje odnosa korist</w:t>
      </w:r>
      <w:r w:rsidRPr="00E659A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E659A7">
        <w:rPr>
          <w:rFonts w:eastAsia="Calibri"/>
          <w:sz w:val="22"/>
          <w:szCs w:val="22"/>
          <w:lang w:val="sr-Latn-ME"/>
        </w:rPr>
        <w:t xml:space="preserve"> </w:t>
      </w:r>
      <w:r w:rsidRPr="00E659A7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7025C14F" w14:textId="77777777" w:rsidR="005A23D2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14:paraId="7025C150" w14:textId="77777777" w:rsidR="005A23D2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Odjeljenje za farmakovigilancu</w:t>
      </w:r>
    </w:p>
    <w:p w14:paraId="7025C151" w14:textId="77777777" w:rsidR="00EA5765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025C152" w14:textId="77777777" w:rsidR="00EA5765" w:rsidRPr="00E659A7" w:rsidRDefault="00EA5765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025C153" w14:textId="77777777" w:rsidR="005A23D2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tel: +382 (0) 20 310 280</w:t>
      </w:r>
    </w:p>
    <w:p w14:paraId="7025C154" w14:textId="77777777" w:rsidR="00EA5765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fax:</w:t>
      </w:r>
      <w:r w:rsidR="00EA5765" w:rsidRPr="00E659A7">
        <w:rPr>
          <w:rFonts w:eastAsia="Calibri"/>
          <w:sz w:val="22"/>
          <w:szCs w:val="22"/>
          <w:lang w:val="sr-Latn-ME"/>
        </w:rPr>
        <w:t xml:space="preserve"> </w:t>
      </w:r>
      <w:r w:rsidRPr="00E659A7">
        <w:rPr>
          <w:rFonts w:eastAsia="Calibri"/>
          <w:sz w:val="22"/>
          <w:szCs w:val="22"/>
          <w:lang w:val="sr-Latn-ME"/>
        </w:rPr>
        <w:t>+382 (0) 20 310 581</w:t>
      </w:r>
    </w:p>
    <w:p w14:paraId="7025C155" w14:textId="77777777" w:rsidR="005A23D2" w:rsidRPr="00E659A7" w:rsidRDefault="009E3CEC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E659A7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14:paraId="7025C156" w14:textId="77777777" w:rsidR="00EA5765" w:rsidRPr="00E659A7" w:rsidRDefault="009E3CEC" w:rsidP="00E659A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E659A7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14:paraId="7025C157" w14:textId="77777777" w:rsidR="005A23D2" w:rsidRPr="00E659A7" w:rsidRDefault="005A23D2" w:rsidP="00E659A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659A7">
        <w:rPr>
          <w:rFonts w:eastAsia="Calibri"/>
          <w:sz w:val="22"/>
          <w:szCs w:val="22"/>
          <w:lang w:val="sr-Latn-ME"/>
        </w:rPr>
        <w:t>putem IS zdravstvene zaštite</w:t>
      </w:r>
    </w:p>
    <w:p w14:paraId="7025C158" w14:textId="7FFC92A1" w:rsidR="00836B35" w:rsidRDefault="00836B35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92351C" w14:textId="07343F71" w:rsidR="00F644E2" w:rsidRDefault="00F644E2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7276D6" w14:textId="77777777" w:rsidR="00F644E2" w:rsidRPr="00E659A7" w:rsidRDefault="00F644E2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5C159" w14:textId="607904F6" w:rsidR="00CD6F02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Predoziranje</w:t>
      </w:r>
      <w:r w:rsidR="002846DB" w:rsidRPr="00E659A7">
        <w:rPr>
          <w:b/>
          <w:bCs/>
          <w:sz w:val="22"/>
          <w:szCs w:val="22"/>
          <w:lang w:val="sr-Latn-ME"/>
        </w:rPr>
        <w:t xml:space="preserve"> </w:t>
      </w:r>
    </w:p>
    <w:p w14:paraId="1DC0395F" w14:textId="77777777" w:rsidR="00EE5A17" w:rsidRPr="00E659A7" w:rsidRDefault="00EE5A17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136056" w14:textId="71515E9C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Efekti predoziranja dekslansoprazolom kod ljudi ni</w:t>
      </w:r>
      <w:r w:rsidR="00DB3EB0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poznati (iako je akutna toksičnost v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erovatno niska), pa se stoga ne mogu dati uputstva za terapiju predoziranja. </w:t>
      </w:r>
    </w:p>
    <w:p w14:paraId="596397E9" w14:textId="77777777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</w:p>
    <w:p w14:paraId="5CC7A939" w14:textId="792E24FD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Slučajevi značajnog predoziranja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ni</w:t>
      </w:r>
      <w:r w:rsidR="00DB3EB0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prijavljeni. Višestruke doze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od 120 mg, kao i pojedinačna doza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od 300 mg ni</w:t>
      </w:r>
      <w:r w:rsidR="00DB3EB0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 xml:space="preserve">su rezultovali smrću, niti ozbiljnim neželjenim događajima. Hipertenzija kao teška neželjena reakcija prijavljena je nakon terapije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u dozi od 60 mg, dva puta dnevno. Neželjene reakcije nakon terapije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u dozi od 60 mg dva puta dnevno, koje se ne mogu klasifikovati kao ozbiljne uključuju valunge (nalete vrućine), kontuzije, orofaringealni bol i gubitak mase.</w:t>
      </w:r>
    </w:p>
    <w:p w14:paraId="72B3D8E7" w14:textId="77777777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</w:p>
    <w:p w14:paraId="78951704" w14:textId="4806B495" w:rsidR="0050594B" w:rsidRPr="00E659A7" w:rsidRDefault="0050594B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slučaju sumnje na predoziranje, pacijenta treba pažljivo pratiti. Dekslansoprazol se ne eliminiše hemodijalizom u značajnoj m</w:t>
      </w:r>
      <w:r w:rsidR="00DB3EB0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eri. Ukoliko je neophodno, preporučuje se ispiranje želuca, aktivni ugalj i simptomatska terapija.</w:t>
      </w:r>
    </w:p>
    <w:p w14:paraId="7025C15B" w14:textId="267BB1C1" w:rsidR="00227BDB" w:rsidRDefault="00227BDB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5F1007" w14:textId="77777777" w:rsidR="00F644E2" w:rsidRPr="00E659A7" w:rsidRDefault="00F644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5C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5.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FARMAKOLOŠK</w:t>
      </w:r>
      <w:r w:rsidR="000D425A" w:rsidRPr="00E659A7">
        <w:rPr>
          <w:b/>
          <w:bCs/>
          <w:sz w:val="22"/>
          <w:szCs w:val="22"/>
          <w:lang w:val="sr-Latn-ME"/>
        </w:rPr>
        <w:t>I</w:t>
      </w:r>
      <w:r w:rsidRPr="00E659A7">
        <w:rPr>
          <w:b/>
          <w:bCs/>
          <w:sz w:val="22"/>
          <w:szCs w:val="22"/>
          <w:lang w:val="sr-Latn-ME"/>
        </w:rPr>
        <w:t xml:space="preserve"> PODACI</w:t>
      </w:r>
    </w:p>
    <w:p w14:paraId="7025C15D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5C15E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5.1.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Farmakodinamski podaci</w:t>
      </w:r>
      <w:r w:rsidR="003A7059" w:rsidRPr="00E659A7">
        <w:rPr>
          <w:b/>
          <w:bCs/>
          <w:sz w:val="22"/>
          <w:szCs w:val="22"/>
          <w:lang w:val="sr-Latn-ME"/>
        </w:rPr>
        <w:t xml:space="preserve"> </w:t>
      </w:r>
    </w:p>
    <w:p w14:paraId="7025C15F" w14:textId="77777777" w:rsidR="00F45F77" w:rsidRPr="00E659A7" w:rsidRDefault="00F45F77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5C160" w14:textId="3DB73A0E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>Farmakoterapijska grupa:</w:t>
      </w:r>
      <w:r w:rsidR="00BA74C7" w:rsidRPr="00E659A7">
        <w:rPr>
          <w:bCs/>
          <w:sz w:val="22"/>
          <w:szCs w:val="22"/>
          <w:lang w:val="sr-Latn-ME"/>
        </w:rPr>
        <w:t xml:space="preserve"> </w:t>
      </w:r>
      <w:r w:rsidR="00617447" w:rsidRPr="00E659A7">
        <w:rPr>
          <w:sz w:val="22"/>
          <w:szCs w:val="22"/>
          <w:lang w:val="sr-Latn-ME"/>
        </w:rPr>
        <w:t>Ljekovi</w:t>
      </w:r>
      <w:r w:rsidR="00BA74C7" w:rsidRPr="00E659A7">
        <w:rPr>
          <w:sz w:val="22"/>
          <w:szCs w:val="22"/>
          <w:lang w:val="sr-Latn-ME"/>
        </w:rPr>
        <w:t xml:space="preserve"> za poremećaje aciditeta, inhibitori protonske pumpe</w:t>
      </w:r>
    </w:p>
    <w:p w14:paraId="7025C161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2" w14:textId="1639C934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>ATC kod:</w:t>
      </w:r>
      <w:r w:rsidR="00BA74C7" w:rsidRPr="00E659A7">
        <w:rPr>
          <w:bCs/>
          <w:sz w:val="22"/>
          <w:szCs w:val="22"/>
          <w:lang w:val="sr-Latn-ME"/>
        </w:rPr>
        <w:t xml:space="preserve"> A02BC06</w:t>
      </w:r>
    </w:p>
    <w:p w14:paraId="36A2298E" w14:textId="1547FBD6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Mehanizam d</w:t>
      </w:r>
      <w:r w:rsidR="007C7088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elovanja</w:t>
      </w:r>
    </w:p>
    <w:p w14:paraId="0621083A" w14:textId="5E377135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Dekslansoprazol je R-enantiomer lansoprazola.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eluje kao inhibitor protonske pumpe (IPP) u želucu. Dekslansoprazol inhibira posl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ednju fazu stvaranja želudačne kis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eline inhibicijom H</w:t>
      </w:r>
      <w:r w:rsidRPr="00E659A7">
        <w:rPr>
          <w:noProof/>
          <w:sz w:val="22"/>
          <w:szCs w:val="22"/>
          <w:vertAlign w:val="superscript"/>
          <w:lang w:val="sr-Latn-ME"/>
        </w:rPr>
        <w:t>+</w:t>
      </w:r>
      <w:r w:rsidRPr="00E659A7">
        <w:rPr>
          <w:noProof/>
          <w:sz w:val="22"/>
          <w:szCs w:val="22"/>
          <w:lang w:val="sr-Latn-ME"/>
        </w:rPr>
        <w:t>/K</w:t>
      </w:r>
      <w:r w:rsidRPr="00E659A7">
        <w:rPr>
          <w:noProof/>
          <w:sz w:val="22"/>
          <w:szCs w:val="22"/>
          <w:vertAlign w:val="superscript"/>
          <w:lang w:val="sr-Latn-ME"/>
        </w:rPr>
        <w:t>+</w:t>
      </w:r>
      <w:r w:rsidRPr="00E659A7">
        <w:rPr>
          <w:noProof/>
          <w:sz w:val="22"/>
          <w:szCs w:val="22"/>
          <w:lang w:val="sr-Latn-ME"/>
        </w:rPr>
        <w:t xml:space="preserve"> ATP-aze u parijetalnim ćelijama želuca. Inhibicija je dozno zavisna i reverzibilna, a dejstvo se ispoljava i na bazalno i na stimulisano lučenje želudačne kis</w:t>
      </w:r>
      <w:r w:rsidR="00DB3EB0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eline. Dekslansoprazol se koncentriše u parijetalnim ćelijama i aktivira se u kis</w:t>
      </w:r>
      <w:r w:rsidR="00DB3EB0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eloj sredini, reagujući sa sulfhidrilnom grupom H</w:t>
      </w:r>
      <w:r w:rsidRPr="00E659A7">
        <w:rPr>
          <w:noProof/>
          <w:sz w:val="22"/>
          <w:szCs w:val="22"/>
          <w:vertAlign w:val="superscript"/>
          <w:lang w:val="sr-Latn-ME"/>
        </w:rPr>
        <w:t>+</w:t>
      </w:r>
      <w:r w:rsidRPr="00E659A7">
        <w:rPr>
          <w:noProof/>
          <w:sz w:val="22"/>
          <w:szCs w:val="22"/>
          <w:lang w:val="sr-Latn-ME"/>
        </w:rPr>
        <w:t>/K</w:t>
      </w:r>
      <w:r w:rsidRPr="00E659A7">
        <w:rPr>
          <w:noProof/>
          <w:sz w:val="22"/>
          <w:szCs w:val="22"/>
          <w:vertAlign w:val="superscript"/>
          <w:lang w:val="sr-Latn-ME"/>
        </w:rPr>
        <w:t>+</w:t>
      </w:r>
      <w:r w:rsidRPr="00E659A7">
        <w:rPr>
          <w:noProof/>
          <w:sz w:val="22"/>
          <w:szCs w:val="22"/>
          <w:lang w:val="sr-Latn-ME"/>
        </w:rPr>
        <w:t xml:space="preserve"> ATP-aze, što ima za rezultat inhibiciju enzimske aktivnosti.</w:t>
      </w:r>
    </w:p>
    <w:p w14:paraId="3C45522B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Farmakodinamsko dejstvo</w:t>
      </w:r>
    </w:p>
    <w:p w14:paraId="4A6DFED5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Antisekretorna aktivnost</w:t>
      </w:r>
    </w:p>
    <w:p w14:paraId="78D60898" w14:textId="1BCC2C99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Antisekretorna aktivnost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je ispitivana kod zdravih dobrovoljaca, koji su uzimali 60 mg dekslansoprazola ili 30 mg lansoprazola jed</w:t>
      </w:r>
      <w:r w:rsidR="00DB3EB0" w:rsidRPr="00E659A7">
        <w:rPr>
          <w:noProof/>
          <w:sz w:val="22"/>
          <w:szCs w:val="22"/>
          <w:lang w:val="sr-Latn-ME"/>
        </w:rPr>
        <w:t>nom</w:t>
      </w:r>
      <w:r w:rsidRPr="00E659A7">
        <w:rPr>
          <w:noProof/>
          <w:sz w:val="22"/>
          <w:szCs w:val="22"/>
          <w:lang w:val="sr-Latn-ME"/>
        </w:rPr>
        <w:t xml:space="preserve"> dnevno tokom 5 dana.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ečna intragastrična pH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je iznosila približno 4.55 nakon uzimanja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Dexilant, odnosno 4.13 nakon uzimanja lansoprazola.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ečno vr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eme tokom jednog dana, u kojem 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intragastrične pH održavana iznad 4, izraženo procentualno, iznosilo je 71% (odnosno 17h) nakon uzimanja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Dexilant, u odnosu na 60% (14h) nakon uzimanja lansoprazola.</w:t>
      </w:r>
    </w:p>
    <w:p w14:paraId="4614998B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Dejstvo na nivo gastrina u serumu</w:t>
      </w:r>
    </w:p>
    <w:p w14:paraId="1F5339BF" w14:textId="55B6E378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Dejstvo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na koncentraciju gastrina u serumu je proc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enjivano kod pacijenata uključenih u kliničko ispitivanje u trajanju do 12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 xml:space="preserve">. Srednje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i koncentracije gastrina natašte povećale su se iznad bazalnog nivoa tokom terapije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od 30 mg i 60 mg. Kod pacijenata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ečenih duže od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>, srednja koncentracija gastrina u serumu povećala se tokom približno prva 3 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eseca terapije i zadržala se na istom nivou do kraja terapije. Srednja koncentracija gastrina u serumu vratila se na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pr</w:t>
      </w:r>
      <w:r w:rsidR="00DB3EB0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 terapije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u toku jednog 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eseca nakon prekida terapije.</w:t>
      </w:r>
    </w:p>
    <w:p w14:paraId="56DB1C77" w14:textId="3680422B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Tokom terapije antisekretornim medicinskim proizvodima, nivo gastrina u serumu se povećava kao odgovor na smanjenu sekreciju gastične kis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eline. Takođe, nivo CgA se povećava usl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ed smanjenja </w:t>
      </w:r>
      <w:r w:rsidRPr="00E659A7">
        <w:rPr>
          <w:noProof/>
          <w:sz w:val="22"/>
          <w:szCs w:val="22"/>
          <w:lang w:val="sr-Latn-ME"/>
        </w:rPr>
        <w:lastRenderedPageBreak/>
        <w:t>gastrične kis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elosti. Povišeni nivo CgA može interferisati sa laboratorijskim pretragama neuroendokrinih tumora.</w:t>
      </w:r>
    </w:p>
    <w:p w14:paraId="2EDFF765" w14:textId="4A907A52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Dostupni, publikovani podaci sugerišu da terapiju inhibitorima protonske pumpe treba prekinuti između 5 dana i 2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erenja CgA nivoa. Ovo će omogućiti nivoima CgA koji su moguće lažno povećani nakon terpije IPP, da se vrate na referentne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i.</w:t>
      </w:r>
    </w:p>
    <w:p w14:paraId="6122A253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Dejstvo na enterohromafin-slične ćelije (</w:t>
      </w:r>
      <w:r w:rsidRPr="00E659A7">
        <w:rPr>
          <w:noProof/>
          <w:sz w:val="22"/>
          <w:szCs w:val="22"/>
          <w:lang w:val="sr-Latn-ME"/>
        </w:rPr>
        <w:t xml:space="preserve">eng. </w:t>
      </w:r>
      <w:r w:rsidRPr="00E659A7">
        <w:rPr>
          <w:i/>
          <w:noProof/>
          <w:sz w:val="22"/>
          <w:szCs w:val="22"/>
          <w:lang w:val="sr-Latn-ME"/>
        </w:rPr>
        <w:t xml:space="preserve">enterocromaffin-like, ECL) </w:t>
      </w:r>
    </w:p>
    <w:p w14:paraId="08BA32AE" w14:textId="633DB29B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Nije bilo izv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eštaja o hiperplaziji ECL ćelija u uzorcima biopsije želuca uzetih od pacijenata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ečenih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 Dexilant od 30 mg, 60 mg ili 90 mg, u trajanju do 12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>.</w:t>
      </w:r>
    </w:p>
    <w:p w14:paraId="6A36FF98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Dejstvo na srčanu repolarizaciju</w:t>
      </w:r>
    </w:p>
    <w:p w14:paraId="5AF867DF" w14:textId="15279B36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Potencijalno dejstvo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na produženje QT/QTc intervala je proc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enjivano u studiji sprovedenoj na zdravim, odraslim ispitanicima. </w:t>
      </w:r>
      <w:r w:rsidR="00DB3EB0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u dozi od 90 mg ili 300 mg u odnosu na placebo nije odložio srčanu repolarizaciju. Pozitivna kontrola (moksifloksacin) izazvala je statistički značajno duže vr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eme maksimalnog i srednjeg QT/QTc intervala u odnosu na placebo.</w:t>
      </w:r>
    </w:p>
    <w:p w14:paraId="06B5C74F" w14:textId="0F90B9D4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Klinička efikasnost i bezb</w:t>
      </w:r>
      <w:r w:rsidR="007C7088" w:rsidRPr="00E659A7">
        <w:rPr>
          <w:noProof/>
          <w:sz w:val="22"/>
          <w:szCs w:val="22"/>
          <w:u w:val="single"/>
          <w:lang w:val="sr-Latn-ME"/>
        </w:rPr>
        <w:t>j</w:t>
      </w:r>
      <w:r w:rsidRPr="00E659A7">
        <w:rPr>
          <w:noProof/>
          <w:sz w:val="22"/>
          <w:szCs w:val="22"/>
          <w:u w:val="single"/>
          <w:lang w:val="sr-Latn-ME"/>
        </w:rPr>
        <w:t>ednost</w:t>
      </w:r>
    </w:p>
    <w:p w14:paraId="06ABC764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Terapija erozivnog refluksnog ezofagitisa</w:t>
      </w:r>
    </w:p>
    <w:p w14:paraId="070D08D2" w14:textId="63475016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Dv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multicentrične, dvostruko sl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epe, aktivno kontrolisane, randomizovane studije u trajanju od 8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elja, sprovedene su na pacijentima sa endoskopski potvrđenim erozivnim refluksnim ezofagitisom. Težina bolesti je klasifikovana prema LACG sistemu (eng. </w:t>
      </w:r>
      <w:r w:rsidRPr="00E659A7">
        <w:rPr>
          <w:i/>
          <w:noProof/>
          <w:sz w:val="22"/>
          <w:szCs w:val="22"/>
          <w:lang w:val="sr-Latn-ME"/>
        </w:rPr>
        <w:t>Los Angeles Classification Grading System</w:t>
      </w:r>
      <w:r w:rsidRPr="00E659A7">
        <w:rPr>
          <w:noProof/>
          <w:sz w:val="22"/>
          <w:szCs w:val="22"/>
          <w:lang w:val="sr-Latn-ME"/>
        </w:rPr>
        <w:t>, sa stepenom A – D). Pacijenti su nasumično pod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eljeni u jednu od sl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edeće tri grupe: </w:t>
      </w:r>
      <w:r w:rsidR="00DB3EB0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u dozi od 60 mg dnevno, </w:t>
      </w:r>
      <w:r w:rsidR="00DB3EB0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u dozi od 90 mg dnevno ili lansoprazol u dozi od 30 mg dnevno. U ispitivanju je učestvovalo ukupno 4092 pacijenta, uzrasta između 18 i 90 godina (pros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ečna starost 48 godina), od kojih su 54% činili muškarci. Na osnovu navedenog sistema klasifikacije,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terapije 71% pacijenata je imalo stepen težine A i B (blagi erozivni refluksni ezofagitis), dok je 29% pacijenata imalo stepen težine C i D (um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 do teški erozivni refluksni ezofagitis).</w:t>
      </w:r>
    </w:p>
    <w:p w14:paraId="1A180A54" w14:textId="537401B8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Procenat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>ih pacijenata utvrđen analitičkom metodom uz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enu tabela mortaliteta, nakon 8-ned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eljne terapije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od 60 mg je iznosio 92,3% do 93,1%, u odnosu na 86,1% do 91,5% pacijenata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>ih nakon 8-ned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eljne terapije (primarno) lansoprazolom od 30 mg. Ob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 studije su pokazale da dekslansoprazol nije inferiorniji u odnosu na lansoprazol. Statistička superiornost nije ustanovljena korišćenjem </w:t>
      </w:r>
      <w:r w:rsidRPr="00E659A7">
        <w:rPr>
          <w:i/>
          <w:noProof/>
          <w:sz w:val="22"/>
          <w:szCs w:val="22"/>
          <w:lang w:val="sr-Latn-ME"/>
        </w:rPr>
        <w:t>log-rank</w:t>
      </w:r>
      <w:r w:rsidRPr="00E659A7">
        <w:rPr>
          <w:noProof/>
          <w:sz w:val="22"/>
          <w:szCs w:val="22"/>
          <w:lang w:val="sr-Latn-ME"/>
        </w:rPr>
        <w:t xml:space="preserve"> testova.</w:t>
      </w:r>
    </w:p>
    <w:p w14:paraId="2750E82C" w14:textId="02D7BBB5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Nakon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 terapije (sekundarno), stopa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 prema metodi tabela mortaliteta iznosila je 77,0% do 80,1%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60 mg, u odnosu na 76,5% do 77,0%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lansoprazola od 30 mg.</w:t>
      </w:r>
    </w:p>
    <w:p w14:paraId="65E7A78A" w14:textId="67C31DEF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Stopa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  u 8.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elji u prvoj studiji, prema metodi tabela mortaliteta, kod pacijenata sa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erenim do teškim erozivnim (sekundarnim) refluksnim ezofagitisom, iznosila je 88,9%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60 mg, odnosno 74,5%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lansoprazola od 30 mg. Razlika je bila statistički značajna (p=0,011). U drugoj studiji, stopa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 prema metodi tabela mortaliteta u 8.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elji iznosila je 87,6%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60 mg, odnosno 87,7%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lansoprazola od 30 mg, što ukazuje da nije postojala statistički značajna razlika.</w:t>
      </w:r>
    </w:p>
    <w:p w14:paraId="031344E2" w14:textId="1DA5356F" w:rsidR="00BA74C7" w:rsidRDefault="0084431C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Lijek </w:t>
      </w:r>
      <w:r w:rsidR="00BA74C7" w:rsidRPr="00E659A7">
        <w:rPr>
          <w:noProof/>
          <w:sz w:val="22"/>
          <w:szCs w:val="22"/>
          <w:lang w:val="sr-Latn-ME"/>
        </w:rPr>
        <w:t xml:space="preserve">Dexilant u dozi od 90 mg je takođe ispitivan i utvrđeno je da ne pruža dodatne kliničke koristi u odnosu na </w:t>
      </w:r>
      <w:r w:rsidRPr="00E659A7">
        <w:rPr>
          <w:noProof/>
          <w:sz w:val="22"/>
          <w:szCs w:val="22"/>
          <w:lang w:val="sr-Latn-ME"/>
        </w:rPr>
        <w:t xml:space="preserve">lijek </w:t>
      </w:r>
      <w:r w:rsidR="00BA74C7" w:rsidRPr="00E659A7">
        <w:rPr>
          <w:noProof/>
          <w:sz w:val="22"/>
          <w:szCs w:val="22"/>
          <w:lang w:val="sr-Latn-ME"/>
        </w:rPr>
        <w:t>Dexilant u dozi od 60 mg.</w:t>
      </w:r>
    </w:p>
    <w:p w14:paraId="65FFAC3A" w14:textId="372A2EDA" w:rsidR="00F644E2" w:rsidRDefault="00F644E2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</w:p>
    <w:p w14:paraId="685439D5" w14:textId="77777777" w:rsidR="00F644E2" w:rsidRPr="00E659A7" w:rsidRDefault="00F644E2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</w:p>
    <w:p w14:paraId="15464D39" w14:textId="75CA5EB6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lastRenderedPageBreak/>
        <w:t xml:space="preserve">Održavanje </w:t>
      </w:r>
      <w:r w:rsidR="00A363D2" w:rsidRPr="00E659A7">
        <w:rPr>
          <w:i/>
          <w:noProof/>
          <w:sz w:val="22"/>
          <w:szCs w:val="22"/>
          <w:lang w:val="sr-Latn-ME"/>
        </w:rPr>
        <w:t>izliječen</w:t>
      </w:r>
      <w:r w:rsidRPr="00E659A7">
        <w:rPr>
          <w:i/>
          <w:noProof/>
          <w:sz w:val="22"/>
          <w:szCs w:val="22"/>
          <w:lang w:val="sr-Latn-ME"/>
        </w:rPr>
        <w:t>og erozivnog refluksnog ezofagitisa</w:t>
      </w:r>
    </w:p>
    <w:p w14:paraId="450D4340" w14:textId="5E571F29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Multicentrična, dvostruko sl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epa, placebom kontrolisana, randomizovana studija sprovedena je na pacijentima koji su usp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ešno prošli studiju erozivnog refluksnog ezofagitisa i kod kojih je endoskopski potvrđeno iz</w:t>
      </w:r>
      <w:r w:rsidR="00A363D2" w:rsidRPr="00E659A7">
        <w:rPr>
          <w:noProof/>
          <w:sz w:val="22"/>
          <w:szCs w:val="22"/>
          <w:lang w:val="sr-Latn-ME"/>
        </w:rPr>
        <w:t>lječenje</w:t>
      </w:r>
      <w:r w:rsidRPr="00E659A7">
        <w:rPr>
          <w:noProof/>
          <w:sz w:val="22"/>
          <w:szCs w:val="22"/>
          <w:lang w:val="sr-Latn-ME"/>
        </w:rPr>
        <w:t xml:space="preserve"> erozivnog refluksnog ezofagitisa. Održavanje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 xml:space="preserve">og erozivnog refluksnog ezofagitisa i poboljšanje simptoma tokom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 xml:space="preserve"> proc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enjivano je za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Dexilant u dozi od 30 mg ili 60 mg jednom dnevno, u odnosu na placebo. Ukupno 445 pacijenata je bilo uključeno u studiju, uzrasta između 18 i 85 godina (pros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ečna starost 49 godina), od čega su 52% činile žene.</w:t>
      </w:r>
    </w:p>
    <w:p w14:paraId="28D9B9EE" w14:textId="30D980D5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Prema analitičkoj metodi tabela mortaliteta,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od 30 mg i od 60 mg pokazao je statistički značajno veće stope održavanja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 xml:space="preserve">og erozivnog refluksnog ezofagitisa (74,9%, odnosno 82,5%) u odnosu na placebo (27,2%) nakon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 xml:space="preserve"> (p&lt;0,00001).</w:t>
      </w:r>
    </w:p>
    <w:p w14:paraId="43BEA478" w14:textId="0FCE402C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Kod pacijenta sa težim oblikom erozivnog refluksnog ezofagitisa (stepen težine C ili D) pr</w:t>
      </w:r>
      <w:r w:rsidR="0084431C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ečenja, nakon uzimanja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30 mg i 60 mg takođe je postignuta statistički značajno veća stopa održavanja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 xml:space="preserve">og erozivnog refluksnog ezofagitisa u odnosu na placebo nakon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>,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enom analitičke metode tabela mortaliteta.</w:t>
      </w:r>
    </w:p>
    <w:p w14:paraId="03B8749A" w14:textId="222613E4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enom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u dozi od 30 mg i 60 mg postiže se statistički značajno veća stopa (p&lt;0,00001) ublažavanja gorušice tokom trajanja studije. Srednji procenat dana u toku 24 sata sa izostankom gorušice, tokom trajanja studije iznosio je 96,1%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30 mg, 90,9%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60 mg, u odnosu na 28,6%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placeba. Srednji procenat broja noći bez gorušice iznosio je 98,9%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30 mg, 96,2%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60 mg, u odnosu na 71,7% pri </w:t>
      </w:r>
      <w:r w:rsidR="00617447" w:rsidRPr="00E659A7">
        <w:rPr>
          <w:noProof/>
          <w:sz w:val="22"/>
          <w:szCs w:val="22"/>
          <w:lang w:val="sr-Latn-ME"/>
        </w:rPr>
        <w:t>primjeni</w:t>
      </w:r>
      <w:r w:rsidRPr="00E659A7">
        <w:rPr>
          <w:noProof/>
          <w:sz w:val="22"/>
          <w:szCs w:val="22"/>
          <w:lang w:val="sr-Latn-ME"/>
        </w:rPr>
        <w:t xml:space="preserve"> placeba.</w:t>
      </w:r>
    </w:p>
    <w:p w14:paraId="565DE5BA" w14:textId="4F53410F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drugoj studiji (N=451), gd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 su ispitivana dejstva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od  60 mg i 90 mg, u odnosu na placebo, Dexilant od 60 mg pokazao je slične rezultate kao u prvoj, u vezi sa održavanjem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 xml:space="preserve">og erozivnog refluksnog ezofagitisa i ublažavanjem gorušice. </w:t>
      </w:r>
      <w:r w:rsidR="00953C71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u dozi od 90 mg nije pokazao dodatne kliničke prednosti u odnosu na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od 60 mg.</w:t>
      </w:r>
    </w:p>
    <w:p w14:paraId="6B42E9BC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Simptomatski neerozivni GERB</w:t>
      </w:r>
    </w:p>
    <w:p w14:paraId="010DB0FC" w14:textId="663DEE7A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Multicentrična, dvostruko sl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epa, placebom kontrolisana, randomizovana studija, u trajanju od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,  sprovedena je na pacijentima kod kojih je dijagnoza GERB postavljena primarno na osnovu prisutnih simptoma. Ovi pacijenti su identifikovali gorušicu kao primarni simptom, prisutan unazad 6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 xml:space="preserve"> ili duže, koji se javio u najmanje 4 od 7 dana neposredno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randomizacije i endoskopijom potvrđeno odsustvo ezofagealnih erozija. Međutim, na osnovu ovih kriterijuma nije bilo moguće isključiti pacijente kod kojih simptomi ni</w:t>
      </w:r>
      <w:r w:rsidR="0084431C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bili vezani za želudačnu kis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elinu. Pacijenti su randomizovani u jednu od sl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edeće 3 grupe: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u dozi od 30 mg dnevno,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u dozi od 60 mg dnevno ili placebo. Ukupno 947 pacijenata je bilo uključeno u studiju, uzrasta od 18 do 86 godina (pros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ečna starost 48 godina), od čega su 71% činile žene.</w:t>
      </w:r>
    </w:p>
    <w:p w14:paraId="054B6561" w14:textId="55898A7B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Terapija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u dozi od 30 mg proc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enjena praćenjem svakodnevno, tokom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, je pokazala statistički značajno veći procenat dana bez gorušice (olakšanje u toku 24 h), kao i noći bez gorušice (54,9%, odnosno 80,8%) u odnosu na placebo (18,5%, odnosno 51,7%). Veći procenat pacijenata koji su upotrebljavali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30 mg je imao periode dana bez gorušice u toku 24 h u poređenju sa placebo grupom, tokom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 terapije. 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od 60 mg je takođe ispitivan, ali nije pokazao dodatnu kliničku korist u odnosu na</w:t>
      </w:r>
      <w:r w:rsidR="0084431C" w:rsidRPr="00E659A7">
        <w:rPr>
          <w:noProof/>
          <w:sz w:val="22"/>
          <w:szCs w:val="22"/>
          <w:lang w:val="sr-Latn-ME"/>
        </w:rPr>
        <w:t xml:space="preserve"> lijek</w:t>
      </w:r>
      <w:r w:rsidRPr="00E659A7">
        <w:rPr>
          <w:noProof/>
          <w:sz w:val="22"/>
          <w:szCs w:val="22"/>
          <w:lang w:val="sr-Latn-ME"/>
        </w:rPr>
        <w:t xml:space="preserve"> Dexilant od 30 mg.</w:t>
      </w:r>
    </w:p>
    <w:p w14:paraId="387CE5B3" w14:textId="47F3BC22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Druga multicentrična, dvostruko </w:t>
      </w:r>
      <w:r w:rsidR="007C7088" w:rsidRPr="00E659A7">
        <w:rPr>
          <w:noProof/>
          <w:sz w:val="22"/>
          <w:szCs w:val="22"/>
          <w:lang w:val="sr-Latn-ME"/>
        </w:rPr>
        <w:t>slijep</w:t>
      </w:r>
      <w:r w:rsidRPr="00E659A7">
        <w:rPr>
          <w:noProof/>
          <w:sz w:val="22"/>
          <w:szCs w:val="22"/>
          <w:lang w:val="sr-Latn-ME"/>
        </w:rPr>
        <w:t xml:space="preserve">a, placebom kontrolisana, randomizovana studija, u trajanju od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>, sprovedena je na pacijentima sa istorijom noćne gorušice, kao i poremećaja spavanja povezanih sa GERB-om tokom najmanje 3 od 7 noći neposredno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 randomizacije. Pacijenti su randomizovani u 2 grupe: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u dozi od 30 mg ili placebo jed</w:t>
      </w:r>
      <w:r w:rsidR="0084431C" w:rsidRPr="00E659A7">
        <w:rPr>
          <w:noProof/>
          <w:sz w:val="22"/>
          <w:szCs w:val="22"/>
          <w:lang w:val="sr-Latn-ME"/>
        </w:rPr>
        <w:t xml:space="preserve">nom </w:t>
      </w:r>
      <w:r w:rsidRPr="00E659A7">
        <w:rPr>
          <w:noProof/>
          <w:sz w:val="22"/>
          <w:szCs w:val="22"/>
          <w:lang w:val="sr-Latn-ME"/>
        </w:rPr>
        <w:t>dnevno. Ukupno 305 pacijenata je bilo uključeno u studiju, uzrasta od 18 do 66 godina (pros</w:t>
      </w:r>
      <w:r w:rsidR="0084431C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ečna starost 45 godina), od čega su 69,3% bile žene. Nakon terapije, u grupi koja je primala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 xml:space="preserve">Dexilant od 30 mg došlo je do statistički značajnog </w:t>
      </w:r>
      <w:r w:rsidRPr="00E659A7">
        <w:rPr>
          <w:noProof/>
          <w:sz w:val="22"/>
          <w:szCs w:val="22"/>
          <w:lang w:val="sr-Latn-ME"/>
        </w:rPr>
        <w:lastRenderedPageBreak/>
        <w:t>povećanja procenta noći bez gorušice (73,1%) u odnosu na placebo (35,7%), 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ereno svakodnevno, tokom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>.</w:t>
      </w:r>
    </w:p>
    <w:p w14:paraId="2A84D07D" w14:textId="5BB0BAF9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Treća multicentrična, </w:t>
      </w:r>
      <w:r w:rsidR="007C7088" w:rsidRPr="00E659A7">
        <w:rPr>
          <w:noProof/>
          <w:sz w:val="22"/>
          <w:szCs w:val="22"/>
          <w:lang w:val="sr-Latn-ME"/>
        </w:rPr>
        <w:t>slijep</w:t>
      </w:r>
      <w:r w:rsidRPr="00E659A7">
        <w:rPr>
          <w:noProof/>
          <w:sz w:val="22"/>
          <w:szCs w:val="22"/>
          <w:lang w:val="sr-Latn-ME"/>
        </w:rPr>
        <w:t xml:space="preserve">a studija sprovedena je na 178 pacijenata sa istorijom simptomatskog GERB-a. Kod pacijenata uključenih u studiju simptomi GERB-a su bili dobro kontrolisani tokom test perioda nekim drugim IPP osim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Dexilant, koji su primali dva puta dnevno. Tim pacijentima  je um</w:t>
      </w:r>
      <w:r w:rsidR="0084431C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esto drugog IPP uključen </w:t>
      </w:r>
      <w:r w:rsidR="0084431C" w:rsidRPr="00E659A7">
        <w:rPr>
          <w:noProof/>
          <w:sz w:val="22"/>
          <w:szCs w:val="22"/>
          <w:lang w:val="sr-Latn-ME"/>
        </w:rPr>
        <w:t xml:space="preserve">lijek </w:t>
      </w:r>
      <w:r w:rsidRPr="00E659A7">
        <w:rPr>
          <w:noProof/>
          <w:sz w:val="22"/>
          <w:szCs w:val="22"/>
          <w:lang w:val="sr-Latn-ME"/>
        </w:rPr>
        <w:t>Dexilant od 30 mg (ujutru) i placebo (uveče), u trajanju od 6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elja. Dobra kontrola simptoma GERB-a definisana je kao pojava ≤ 1 epizode gorušice pros</w:t>
      </w:r>
      <w:r w:rsidR="009B73E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ečno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eljno, tokom posl</w:t>
      </w:r>
      <w:r w:rsidR="009B73E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ednje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>, što se odnosilo i na test period od 6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elja, kao i na period terapije. Ukupno 142 pacijenta su bila uključena u studiju. Njihov uzrast je bio između 22 i 90 godina (pros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ečna starost 53 godine), od čega su 56% bile žene. Nakon prom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ene terapije sa režima dv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doze IPP dnevno na režim jedne doze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30 mg dnevno, kod 88% pacijenata gorušica je i dalje bila pod kontrolom.</w:t>
      </w:r>
    </w:p>
    <w:p w14:paraId="443F1870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Pedijatrijska populacija</w:t>
      </w:r>
    </w:p>
    <w:p w14:paraId="43995009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BA050D1" w14:textId="69582C82" w:rsidR="00BA74C7" w:rsidRPr="00E659A7" w:rsidRDefault="00A363D2" w:rsidP="00E659A7">
      <w:pPr>
        <w:pStyle w:val="Header"/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Liječenje</w:t>
      </w:r>
      <w:r w:rsidR="00BA74C7" w:rsidRPr="00E659A7">
        <w:rPr>
          <w:i/>
          <w:noProof/>
          <w:sz w:val="22"/>
          <w:szCs w:val="22"/>
          <w:lang w:val="sr-Latn-ME"/>
        </w:rPr>
        <w:t xml:space="preserve"> erozivnog refluksnog ezofagitisa, održavanje </w:t>
      </w:r>
      <w:r w:rsidRPr="00E659A7">
        <w:rPr>
          <w:i/>
          <w:noProof/>
          <w:sz w:val="22"/>
          <w:szCs w:val="22"/>
          <w:lang w:val="sr-Latn-ME"/>
        </w:rPr>
        <w:t>izliječen</w:t>
      </w:r>
      <w:r w:rsidR="00BA74C7" w:rsidRPr="00E659A7">
        <w:rPr>
          <w:i/>
          <w:noProof/>
          <w:sz w:val="22"/>
          <w:szCs w:val="22"/>
          <w:lang w:val="sr-Latn-ME"/>
        </w:rPr>
        <w:t>og erozivnog refluksnog ezofagitisa i olakšanje gorušice</w:t>
      </w:r>
    </w:p>
    <w:p w14:paraId="0049632E" w14:textId="6C853C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Sprovedena je multicentrična, 24-ned</w:t>
      </w:r>
      <w:r w:rsidR="009B73E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eljna studija na 62 adolescenta sa dokumentovanom istorijom GERB u trajanju od najmanje 3 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eseca i endoskopski dokazanim erozivnim refluksnim ezofagitisom koji su bili </w:t>
      </w:r>
      <w:r w:rsidR="007C7088" w:rsidRPr="00E659A7">
        <w:rPr>
          <w:noProof/>
          <w:sz w:val="22"/>
          <w:szCs w:val="22"/>
          <w:lang w:val="sr-Latn-ME"/>
        </w:rPr>
        <w:t>liječeni</w:t>
      </w:r>
      <w:r w:rsidRPr="00E659A7">
        <w:rPr>
          <w:noProof/>
          <w:sz w:val="22"/>
          <w:szCs w:val="22"/>
          <w:lang w:val="sr-Latn-ME"/>
        </w:rPr>
        <w:t xml:space="preserve">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60 mg jednom dnevno, tokom 8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elja kako bi se proc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enila bezb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ednost i efikasnost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eka. Bolesnici koji su uključeni u studiju su bili uzrasta od 12 do 17 godina starosti (srednja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15 godina) i 61% su bili muškog pola. Na osnovu </w:t>
      </w:r>
      <w:r w:rsidRPr="00E659A7">
        <w:rPr>
          <w:i/>
          <w:noProof/>
          <w:sz w:val="22"/>
          <w:szCs w:val="22"/>
          <w:lang w:val="sr-Latn-ME"/>
        </w:rPr>
        <w:t>Los Angeles Classification Grading Scale</w:t>
      </w:r>
      <w:r w:rsidRPr="00E659A7">
        <w:rPr>
          <w:noProof/>
          <w:sz w:val="22"/>
          <w:szCs w:val="22"/>
          <w:lang w:val="sr-Latn-ME"/>
        </w:rPr>
        <w:t xml:space="preserve"> 96,8% bolesnika sa erozivnim refluksnim ezofagitisom su imali blagi erozivni refluksni ezofagitis (gradus A i B), a 3,2% njih su imali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 do teški oblik erozivnog refluksnog ezofagitisa (gradus C i D)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l</w:t>
      </w:r>
      <w:r w:rsidR="009B73E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ečenja. Kod adolescentnih bolesnika stopa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 erozivnog refluksnog ezofagitisa je iznosila 87,9% tokom 8 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elja terapije, što je isto kao i kod odraslih bolesnika.</w:t>
      </w:r>
    </w:p>
    <w:p w14:paraId="1A6E9BED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060A021" w14:textId="111EC9E6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Nakon 8-ned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eljnog inicijalnog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ečenja, pacijenti sa endoskopski potvrđenim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>im erozivnim refluksnim ezofagitisom su randomizovani kako bi primili ili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 Dexilant 30 mg ili placebo, jednom dnevno tokom dodatnih 16 </w:t>
      </w:r>
      <w:r w:rsidR="007C7088" w:rsidRPr="00E659A7">
        <w:rPr>
          <w:noProof/>
          <w:sz w:val="22"/>
          <w:szCs w:val="22"/>
          <w:lang w:val="sr-Latn-ME"/>
        </w:rPr>
        <w:t>nedjelja</w:t>
      </w:r>
      <w:r w:rsidRPr="00E659A7">
        <w:rPr>
          <w:noProof/>
          <w:sz w:val="22"/>
          <w:szCs w:val="22"/>
          <w:lang w:val="sr-Latn-ME"/>
        </w:rPr>
        <w:t xml:space="preserve">. Osamdesetdva odsto bolesnika </w:t>
      </w:r>
      <w:r w:rsidR="007C7088" w:rsidRPr="00E659A7">
        <w:rPr>
          <w:noProof/>
          <w:sz w:val="22"/>
          <w:szCs w:val="22"/>
          <w:lang w:val="sr-Latn-ME"/>
        </w:rPr>
        <w:t>liječeni</w:t>
      </w:r>
      <w:r w:rsidRPr="00E659A7">
        <w:rPr>
          <w:noProof/>
          <w:sz w:val="22"/>
          <w:szCs w:val="22"/>
          <w:lang w:val="sr-Latn-ME"/>
        </w:rPr>
        <w:t>h sa 30 mg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su ostali </w:t>
      </w:r>
      <w:r w:rsidR="00A363D2" w:rsidRPr="00E659A7">
        <w:rPr>
          <w:noProof/>
          <w:sz w:val="22"/>
          <w:szCs w:val="22"/>
          <w:lang w:val="sr-Latn-ME"/>
        </w:rPr>
        <w:t>izliječen</w:t>
      </w:r>
      <w:r w:rsidRPr="00E659A7">
        <w:rPr>
          <w:noProof/>
          <w:sz w:val="22"/>
          <w:szCs w:val="22"/>
          <w:lang w:val="sr-Latn-ME"/>
        </w:rPr>
        <w:t xml:space="preserve">i tokom 4 </w:t>
      </w:r>
      <w:r w:rsidR="007C7088" w:rsidRPr="00E659A7">
        <w:rPr>
          <w:noProof/>
          <w:sz w:val="22"/>
          <w:szCs w:val="22"/>
          <w:lang w:val="sr-Latn-ME"/>
        </w:rPr>
        <w:t>mjeseca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9B73E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ečenja, što je potvrđeno endoskopski, u poređenju sa 58% </w:t>
      </w:r>
      <w:r w:rsidR="007C7088" w:rsidRPr="00E659A7">
        <w:rPr>
          <w:noProof/>
          <w:sz w:val="22"/>
          <w:szCs w:val="22"/>
          <w:lang w:val="sr-Latn-ME"/>
        </w:rPr>
        <w:t>liječeni</w:t>
      </w:r>
      <w:r w:rsidRPr="00E659A7">
        <w:rPr>
          <w:noProof/>
          <w:sz w:val="22"/>
          <w:szCs w:val="22"/>
          <w:lang w:val="sr-Latn-ME"/>
        </w:rPr>
        <w:t>h placebom.</w:t>
      </w:r>
    </w:p>
    <w:p w14:paraId="35EBC958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197F93B" w14:textId="784139A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Tokom 16-</w:t>
      </w:r>
      <w:r w:rsidR="007C7088" w:rsidRPr="00E659A7">
        <w:rPr>
          <w:noProof/>
          <w:sz w:val="22"/>
          <w:szCs w:val="22"/>
          <w:lang w:val="sr-Latn-ME"/>
        </w:rPr>
        <w:t>nedjeljnog</w:t>
      </w:r>
      <w:r w:rsidRPr="00E659A7">
        <w:rPr>
          <w:noProof/>
          <w:sz w:val="22"/>
          <w:szCs w:val="22"/>
          <w:lang w:val="sr-Latn-ME"/>
        </w:rPr>
        <w:t xml:space="preserve"> perioda održavanja, 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izražena u procentima 24-časovnog perioda bez </w:t>
      </w:r>
      <w:r w:rsidR="007C7088" w:rsidRPr="00E659A7">
        <w:rPr>
          <w:noProof/>
          <w:sz w:val="22"/>
          <w:szCs w:val="22"/>
          <w:lang w:val="sr-Latn-ME"/>
        </w:rPr>
        <w:t>osjećaj</w:t>
      </w:r>
      <w:r w:rsidRPr="00E659A7">
        <w:rPr>
          <w:noProof/>
          <w:sz w:val="22"/>
          <w:szCs w:val="22"/>
          <w:lang w:val="sr-Latn-ME"/>
        </w:rPr>
        <w:t>a gorušice iznosila je 86,6% za one bolesnike koji su primali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Dexilant 30 mg u poređenju sa 68,1% onih koji su primali placebo.</w:t>
      </w:r>
    </w:p>
    <w:p w14:paraId="2E41121E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160DFE5" w14:textId="4E6D9272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Rezultati održavanja </w:t>
      </w:r>
      <w:r w:rsidR="00A363D2" w:rsidRPr="00E659A7">
        <w:rPr>
          <w:noProof/>
          <w:sz w:val="22"/>
          <w:szCs w:val="22"/>
          <w:lang w:val="sr-Latn-ME"/>
        </w:rPr>
        <w:t>izlječenja</w:t>
      </w:r>
      <w:r w:rsidRPr="00E659A7">
        <w:rPr>
          <w:noProof/>
          <w:sz w:val="22"/>
          <w:szCs w:val="22"/>
          <w:lang w:val="sr-Latn-ME"/>
        </w:rPr>
        <w:t xml:space="preserve"> i oslobađanja od gorušice je ista kao i kod odraslih bolesnika.</w:t>
      </w:r>
    </w:p>
    <w:p w14:paraId="4C7A033F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FDB646B" w14:textId="77777777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Simptomatska neerozivna GERB</w:t>
      </w:r>
    </w:p>
    <w:p w14:paraId="1EA86997" w14:textId="1450F526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U nekontrolisanoj, otvorenoj, multicentričnoj studiji, 104 adolescentna bolesnika sa simptomima neerozivne GERB su </w:t>
      </w:r>
      <w:r w:rsidR="007C7088" w:rsidRPr="00E659A7">
        <w:rPr>
          <w:noProof/>
          <w:sz w:val="22"/>
          <w:szCs w:val="22"/>
          <w:lang w:val="sr-Latn-ME"/>
        </w:rPr>
        <w:t>liječeni</w:t>
      </w:r>
      <w:r w:rsidRPr="00E659A7">
        <w:rPr>
          <w:noProof/>
          <w:sz w:val="22"/>
          <w:szCs w:val="22"/>
          <w:lang w:val="sr-Latn-ME"/>
        </w:rPr>
        <w:t xml:space="preserve"> </w:t>
      </w:r>
      <w:r w:rsidR="00617447" w:rsidRPr="00E659A7">
        <w:rPr>
          <w:noProof/>
          <w:sz w:val="22"/>
          <w:szCs w:val="22"/>
          <w:lang w:val="sr-Latn-ME"/>
        </w:rPr>
        <w:t>lijekom</w:t>
      </w:r>
      <w:r w:rsidRPr="00E659A7">
        <w:rPr>
          <w:noProof/>
          <w:sz w:val="22"/>
          <w:szCs w:val="22"/>
          <w:lang w:val="sr-Latn-ME"/>
        </w:rPr>
        <w:t xml:space="preserve"> Dexilant 30 mg jednom dnevno, tokom 4 </w:t>
      </w:r>
      <w:r w:rsidR="00A363D2" w:rsidRPr="00E659A7">
        <w:rPr>
          <w:noProof/>
          <w:sz w:val="22"/>
          <w:szCs w:val="22"/>
          <w:lang w:val="sr-Latn-ME"/>
        </w:rPr>
        <w:t>nedjelje</w:t>
      </w:r>
      <w:r w:rsidRPr="00E659A7">
        <w:rPr>
          <w:noProof/>
          <w:sz w:val="22"/>
          <w:szCs w:val="22"/>
          <w:lang w:val="sr-Latn-ME"/>
        </w:rPr>
        <w:t xml:space="preserve"> kako bi se </w:t>
      </w:r>
      <w:r w:rsidR="007C7088" w:rsidRPr="00E659A7">
        <w:rPr>
          <w:noProof/>
          <w:sz w:val="22"/>
          <w:szCs w:val="22"/>
          <w:lang w:val="sr-Latn-ME"/>
        </w:rPr>
        <w:t>procjeni</w:t>
      </w:r>
      <w:r w:rsidRPr="00E659A7">
        <w:rPr>
          <w:noProof/>
          <w:sz w:val="22"/>
          <w:szCs w:val="22"/>
          <w:lang w:val="sr-Latn-ME"/>
        </w:rPr>
        <w:t xml:space="preserve">la </w:t>
      </w:r>
      <w:r w:rsidR="007C7088" w:rsidRPr="00E659A7">
        <w:rPr>
          <w:noProof/>
          <w:sz w:val="22"/>
          <w:szCs w:val="22"/>
          <w:lang w:val="sr-Latn-ME"/>
        </w:rPr>
        <w:t>bezbjednost</w:t>
      </w:r>
      <w:r w:rsidRPr="00E659A7">
        <w:rPr>
          <w:noProof/>
          <w:sz w:val="22"/>
          <w:szCs w:val="22"/>
          <w:lang w:val="sr-Latn-ME"/>
        </w:rPr>
        <w:t xml:space="preserve"> i efikasnost prim</w:t>
      </w:r>
      <w:r w:rsidR="009B73E7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enjene terapije. Bolesnici su imali dokumentovanu istoriju simptoma GERB tokom najmanje 3 </w:t>
      </w:r>
      <w:r w:rsidR="007C7088" w:rsidRPr="00E659A7">
        <w:rPr>
          <w:noProof/>
          <w:sz w:val="22"/>
          <w:szCs w:val="22"/>
          <w:lang w:val="sr-Latn-ME"/>
        </w:rPr>
        <w:t>mjeseca</w:t>
      </w:r>
      <w:r w:rsidRPr="00E659A7">
        <w:rPr>
          <w:noProof/>
          <w:sz w:val="22"/>
          <w:szCs w:val="22"/>
          <w:lang w:val="sr-Latn-ME"/>
        </w:rPr>
        <w:t xml:space="preserve"> pr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 započinjanja </w:t>
      </w:r>
      <w:r w:rsidRPr="00E659A7">
        <w:rPr>
          <w:i/>
          <w:noProof/>
          <w:sz w:val="22"/>
          <w:szCs w:val="22"/>
          <w:lang w:val="sr-Latn-ME"/>
        </w:rPr>
        <w:t>sreening</w:t>
      </w:r>
      <w:r w:rsidRPr="00E659A7">
        <w:rPr>
          <w:noProof/>
          <w:sz w:val="22"/>
          <w:szCs w:val="22"/>
          <w:lang w:val="sr-Latn-ME"/>
        </w:rPr>
        <w:t xml:space="preserve">-a, prijavljenu gorušicu najmanje 3 od 7 dana tokom </w:t>
      </w:r>
      <w:r w:rsidRPr="00E659A7">
        <w:rPr>
          <w:i/>
          <w:noProof/>
          <w:sz w:val="22"/>
          <w:szCs w:val="22"/>
          <w:lang w:val="sr-Latn-ME"/>
        </w:rPr>
        <w:t>sreening</w:t>
      </w:r>
      <w:r w:rsidRPr="00E659A7">
        <w:rPr>
          <w:noProof/>
          <w:sz w:val="22"/>
          <w:szCs w:val="22"/>
          <w:lang w:val="sr-Latn-ME"/>
        </w:rPr>
        <w:t>-a i ni</w:t>
      </w:r>
      <w:r w:rsidR="009B73E7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 xml:space="preserve">su imali endoskopski potvrđene ezofagealne erozije. Bolesnici su se kretali od 12 do 17 godina starosti (srednja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15 godina), sa 70% muških ispitanika. Tokom 4-</w:t>
      </w:r>
      <w:r w:rsidR="007C7088" w:rsidRPr="00E659A7">
        <w:rPr>
          <w:noProof/>
          <w:sz w:val="22"/>
          <w:szCs w:val="22"/>
          <w:lang w:val="sr-Latn-ME"/>
        </w:rPr>
        <w:t>nedjeljnog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ečenja, 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izražena u procentima sa 24-časovnim periodima bez </w:t>
      </w:r>
      <w:r w:rsidR="007C7088" w:rsidRPr="00E659A7">
        <w:rPr>
          <w:noProof/>
          <w:sz w:val="22"/>
          <w:szCs w:val="22"/>
          <w:lang w:val="sr-Latn-ME"/>
        </w:rPr>
        <w:t>osjećaj</w:t>
      </w:r>
      <w:r w:rsidRPr="00E659A7">
        <w:rPr>
          <w:noProof/>
          <w:sz w:val="22"/>
          <w:szCs w:val="22"/>
          <w:lang w:val="sr-Latn-ME"/>
        </w:rPr>
        <w:t>a gorušice iznosila je 47,3% bolesnika, što je isto kao i u populaciji odraslih bolesnika.</w:t>
      </w:r>
    </w:p>
    <w:p w14:paraId="7557714A" w14:textId="77777777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4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5.2.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Farmakokinetički podaci</w:t>
      </w:r>
      <w:r w:rsidR="003A7059" w:rsidRPr="00E659A7">
        <w:rPr>
          <w:b/>
          <w:bCs/>
          <w:sz w:val="22"/>
          <w:szCs w:val="22"/>
          <w:lang w:val="sr-Latn-ME"/>
        </w:rPr>
        <w:t xml:space="preserve"> </w:t>
      </w:r>
    </w:p>
    <w:p w14:paraId="79F762E0" w14:textId="5C980AEF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formulaciji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eka Dexilant korišćena je tehnologija dvostrukog produženog (modifikovanog) oslobađanja, što ima za rezultat specifični koncentracioni profil dekslansoprazola u plazmi, sa 2 odvojena PIK-a, prvim koji se javlja 1 do 2 sata 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i drugim koji se javlja 4 do 5 sati 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eka.</w:t>
      </w:r>
    </w:p>
    <w:p w14:paraId="229918EC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lastRenderedPageBreak/>
        <w:t>Resorpcija</w:t>
      </w:r>
    </w:p>
    <w:p w14:paraId="665DDECA" w14:textId="4FE865C3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Nakon oralne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od 30 mg ili od 60 mg zdravim dobrovoljcima,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ečne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C</w:t>
      </w:r>
      <w:r w:rsidRPr="00E659A7">
        <w:rPr>
          <w:noProof/>
          <w:sz w:val="22"/>
          <w:szCs w:val="22"/>
          <w:vertAlign w:val="subscript"/>
          <w:lang w:val="sr-Latn-ME"/>
        </w:rPr>
        <w:t>max</w:t>
      </w:r>
      <w:r w:rsidRPr="00E659A7">
        <w:rPr>
          <w:noProof/>
          <w:sz w:val="22"/>
          <w:szCs w:val="22"/>
          <w:lang w:val="sr-Latn-ME"/>
        </w:rPr>
        <w:t xml:space="preserve"> i PIK dekslansoprazola se povećavaju i to približno proporcionalno. Nivoi PIK-a u plazmi postižu se unutar 4 do 6 sati.</w:t>
      </w:r>
    </w:p>
    <w:p w14:paraId="3A38C90B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Distribucija</w:t>
      </w:r>
    </w:p>
    <w:p w14:paraId="2F8586C9" w14:textId="5A967ED9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Procenat vezivanja dekslansoprazola za proteine plazme se kreće između 96,1% i 98,8% kod zdravih ispitanika i nezavisna je od koncentracije između 0,01 do 20 mikrograma/m</w:t>
      </w:r>
      <w:r w:rsidR="009B73E7" w:rsidRPr="00E659A7">
        <w:rPr>
          <w:noProof/>
          <w:sz w:val="22"/>
          <w:szCs w:val="22"/>
          <w:lang w:val="sr-Latn-ME"/>
        </w:rPr>
        <w:t>l</w:t>
      </w:r>
      <w:r w:rsidRPr="00E659A7">
        <w:rPr>
          <w:noProof/>
          <w:sz w:val="22"/>
          <w:szCs w:val="22"/>
          <w:lang w:val="sr-Latn-ME"/>
        </w:rPr>
        <w:t xml:space="preserve">. Volumen distribucije nakon višestruke doze u terapiji simptomatskog GERB-a iznosio je 40,3 </w:t>
      </w:r>
      <w:r w:rsidR="009B73E7" w:rsidRPr="00E659A7">
        <w:rPr>
          <w:noProof/>
          <w:sz w:val="22"/>
          <w:szCs w:val="22"/>
          <w:lang w:val="sr-Latn-ME"/>
        </w:rPr>
        <w:t>l</w:t>
      </w:r>
      <w:r w:rsidRPr="00E659A7">
        <w:rPr>
          <w:noProof/>
          <w:sz w:val="22"/>
          <w:szCs w:val="22"/>
          <w:lang w:val="sr-Latn-ME"/>
        </w:rPr>
        <w:t>.</w:t>
      </w:r>
    </w:p>
    <w:p w14:paraId="3090940E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Metabolizam</w:t>
      </w:r>
    </w:p>
    <w:p w14:paraId="358C980E" w14:textId="7315540B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Dekslansoprazol se obilno metaboliše u jetri, kroz procese oksidacije, redukcije, kao i kasnijeg formiranja konjugata sulfata, glukuronida i glutationskih konjugata do neaktivnih metabolita. Oksidativni metaboliti se formiraju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elovanjem citohrom P450 enzimskog sistema, uključujući hidroksilaciju, najčešće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elovanjem CYP2C19 i oksidacijom do sulfona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elovanjem CYP3A4. CYP2C19 je polimorfni enzim jetre sa tri fenotipa metabolizma supstrata za CYP2C19: brzi metabolizeri (*1/*1),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 metabolizeri (*1/mutant) i spori metabolizeri (mutant/mutant). Sistemska izloženost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elovanju dekslansoprazola veća je kod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erenih i sporih metabolizera. Nezavisno od fenotipa CYP2C19, glavna cirkulišića komponenta u plazmi je dekslansoprazol. Kod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erenih i brzih metabolizera CYP2C19, glavni metabolit u plazmi je 5-hidroksi-dekslansoprazol i njegov konjugat sa glukuronskom kis</w:t>
      </w:r>
      <w:r w:rsidR="00EE5A17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elinom, dok je kod CYP2C19 sporih metabolizera glavni metabolit u plazmi dekslansoprazol sulfon.</w:t>
      </w:r>
    </w:p>
    <w:p w14:paraId="6DB2290D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Eliminacija</w:t>
      </w:r>
    </w:p>
    <w:p w14:paraId="66DDBB00" w14:textId="14461898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Dexilant, u urin se ne izlučuje neprom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enjeni dekslansoprazol. 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[</w:t>
      </w:r>
      <w:r w:rsidRPr="00E659A7">
        <w:rPr>
          <w:noProof/>
          <w:sz w:val="22"/>
          <w:szCs w:val="22"/>
          <w:vertAlign w:val="superscript"/>
          <w:lang w:val="sr-Latn-ME"/>
        </w:rPr>
        <w:t>14</w:t>
      </w:r>
      <w:r w:rsidRPr="00E659A7">
        <w:rPr>
          <w:noProof/>
          <w:sz w:val="22"/>
          <w:szCs w:val="22"/>
          <w:lang w:val="sr-Latn-ME"/>
        </w:rPr>
        <w:t>C]-dekslansoprazola zdravim ispitanicima, u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eku se 50,7% radioaktivnog spoja izlučivalo urinom, a 47,6% fecesom.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klirensa kod zdravih ispitanika je iznosila 11,4 do 11,6 </w:t>
      </w:r>
      <w:r w:rsidR="009B73E7" w:rsidRPr="00E659A7">
        <w:rPr>
          <w:noProof/>
          <w:sz w:val="22"/>
          <w:szCs w:val="22"/>
          <w:lang w:val="sr-Latn-ME"/>
        </w:rPr>
        <w:t>l</w:t>
      </w:r>
      <w:r w:rsidRPr="00E659A7">
        <w:rPr>
          <w:noProof/>
          <w:sz w:val="22"/>
          <w:szCs w:val="22"/>
          <w:lang w:val="sr-Latn-ME"/>
        </w:rPr>
        <w:t xml:space="preserve">/h, nakon petodnevne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u dozi od 30 ili 60 mg jednom dnevno.</w:t>
      </w:r>
    </w:p>
    <w:p w14:paraId="635BE2C3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Linearnost/nelinearnost</w:t>
      </w:r>
    </w:p>
    <w:p w14:paraId="57174508" w14:textId="1C1C2A02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Nakon pojedinačne i višestruke dnevne doze dekslansoprazola od 30 do 120 mg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enjene na zdravim ispitanicima,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ečne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C</w:t>
      </w:r>
      <w:r w:rsidRPr="00E659A7">
        <w:rPr>
          <w:noProof/>
          <w:sz w:val="22"/>
          <w:szCs w:val="22"/>
          <w:vertAlign w:val="subscript"/>
          <w:lang w:val="sr-Latn-ME"/>
        </w:rPr>
        <w:t>max</w:t>
      </w:r>
      <w:r w:rsidRPr="00E659A7">
        <w:rPr>
          <w:noProof/>
          <w:sz w:val="22"/>
          <w:szCs w:val="22"/>
          <w:lang w:val="sr-Latn-ME"/>
        </w:rPr>
        <w:t xml:space="preserve"> i PIK dekslansoprazola se povećavaju, i to približno proporcionalno, u čitavom rasponu doza. Farmakokinetika dekslansoprazola je dozno i vremenski nezavisna, sa proc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enjenim terminalnim poluvremenom eliminacije od pros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ečno 1 do 2 sata. Zbog toga se malo ili nimalo aktivne supstance akumulira nakon pojedinačne dnevne doze dekslansoprazola, čemu govore u prilog i slične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C</w:t>
      </w:r>
      <w:r w:rsidRPr="00E659A7">
        <w:rPr>
          <w:noProof/>
          <w:sz w:val="22"/>
          <w:szCs w:val="22"/>
          <w:vertAlign w:val="subscript"/>
          <w:lang w:val="sr-Latn-ME"/>
        </w:rPr>
        <w:t>max</w:t>
      </w:r>
      <w:r w:rsidRPr="00E659A7">
        <w:rPr>
          <w:noProof/>
          <w:sz w:val="22"/>
          <w:szCs w:val="22"/>
          <w:lang w:val="sr-Latn-ME"/>
        </w:rPr>
        <w:t xml:space="preserve"> i PIK, nakon pojedinačne i višestruke doze jednom dnevno, u stanju ravnoteže.</w:t>
      </w:r>
    </w:p>
    <w:p w14:paraId="32C016DA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Uticaj hrane</w:t>
      </w:r>
    </w:p>
    <w:p w14:paraId="0E3985F6" w14:textId="11D08459" w:rsidR="00BA74C7" w:rsidRPr="00E659A7" w:rsidRDefault="00304BAF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Lijek </w:t>
      </w:r>
      <w:r w:rsidR="00BA74C7" w:rsidRPr="00E659A7">
        <w:rPr>
          <w:noProof/>
          <w:sz w:val="22"/>
          <w:szCs w:val="22"/>
          <w:lang w:val="sr-Latn-ME"/>
        </w:rPr>
        <w:t>Dexilant može da se uzima bez obzira na vrstu hrane ili na vr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="00BA74C7" w:rsidRPr="00E659A7">
        <w:rPr>
          <w:noProof/>
          <w:sz w:val="22"/>
          <w:szCs w:val="22"/>
          <w:lang w:val="sr-Latn-ME"/>
        </w:rPr>
        <w:t>eme u koje se hrana unosi. U studijama uticaja hrane na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="00BA74C7" w:rsidRPr="00E659A7">
        <w:rPr>
          <w:noProof/>
          <w:sz w:val="22"/>
          <w:szCs w:val="22"/>
          <w:lang w:val="sr-Latn-ME"/>
        </w:rPr>
        <w:t xml:space="preserve">elovanje dekslansoprazola, kod zdravih dobrovoljaca je došlo do povećanja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="00BA74C7" w:rsidRPr="00E659A7">
        <w:rPr>
          <w:noProof/>
          <w:sz w:val="22"/>
          <w:szCs w:val="22"/>
          <w:lang w:val="sr-Latn-ME"/>
        </w:rPr>
        <w:t>i C</w:t>
      </w:r>
      <w:r w:rsidR="00BA74C7" w:rsidRPr="00E659A7">
        <w:rPr>
          <w:noProof/>
          <w:sz w:val="22"/>
          <w:szCs w:val="22"/>
          <w:vertAlign w:val="subscript"/>
          <w:lang w:val="sr-Latn-ME"/>
        </w:rPr>
        <w:t>max</w:t>
      </w:r>
      <w:r w:rsidR="00BA74C7" w:rsidRPr="00E659A7">
        <w:rPr>
          <w:noProof/>
          <w:sz w:val="22"/>
          <w:szCs w:val="22"/>
          <w:lang w:val="sr-Latn-ME"/>
        </w:rPr>
        <w:t xml:space="preserve"> između 12% i 55%, i do povećanja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="00BA74C7" w:rsidRPr="00E659A7">
        <w:rPr>
          <w:noProof/>
          <w:sz w:val="22"/>
          <w:szCs w:val="22"/>
          <w:lang w:val="sr-Latn-ME"/>
        </w:rPr>
        <w:t xml:space="preserve">i PIK između 9% i 37%, u odnosu na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="00BA74C7" w:rsidRPr="00E659A7">
        <w:rPr>
          <w:noProof/>
          <w:sz w:val="22"/>
          <w:szCs w:val="22"/>
          <w:lang w:val="sr-Latn-ME"/>
        </w:rPr>
        <w:t>i u periodu gladovanja. Međutim, ni</w:t>
      </w:r>
      <w:r w:rsidRPr="00E659A7">
        <w:rPr>
          <w:noProof/>
          <w:sz w:val="22"/>
          <w:szCs w:val="22"/>
          <w:lang w:val="sr-Latn-ME"/>
        </w:rPr>
        <w:t>je</w:t>
      </w:r>
      <w:r w:rsidR="00BA74C7" w:rsidRPr="00E659A7">
        <w:rPr>
          <w:noProof/>
          <w:sz w:val="22"/>
          <w:szCs w:val="22"/>
          <w:lang w:val="sr-Latn-ME"/>
        </w:rPr>
        <w:t xml:space="preserve">su uočene značajne razlike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="00BA74C7" w:rsidRPr="00E659A7">
        <w:rPr>
          <w:noProof/>
          <w:sz w:val="22"/>
          <w:szCs w:val="22"/>
          <w:lang w:val="sr-Latn-ME"/>
        </w:rPr>
        <w:t xml:space="preserve">i u pogledu intragastričnog pH.  Dodatna ispitivanja su pokazala da </w:t>
      </w:r>
      <w:r w:rsidR="00617447" w:rsidRPr="00E659A7">
        <w:rPr>
          <w:noProof/>
          <w:sz w:val="22"/>
          <w:szCs w:val="22"/>
          <w:lang w:val="sr-Latn-ME"/>
        </w:rPr>
        <w:t>primjena</w:t>
      </w:r>
      <w:r w:rsidR="00BA74C7"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="00BA74C7" w:rsidRPr="00E659A7">
        <w:rPr>
          <w:noProof/>
          <w:sz w:val="22"/>
          <w:szCs w:val="22"/>
          <w:lang w:val="sr-Latn-ME"/>
        </w:rPr>
        <w:t>eka Dexilant u dozi od 60 mg pr</w:t>
      </w:r>
      <w:r w:rsidRPr="00E659A7">
        <w:rPr>
          <w:noProof/>
          <w:sz w:val="22"/>
          <w:szCs w:val="22"/>
          <w:lang w:val="sr-Latn-ME"/>
        </w:rPr>
        <w:t>ij</w:t>
      </w:r>
      <w:r w:rsidR="00BA74C7" w:rsidRPr="00E659A7">
        <w:rPr>
          <w:noProof/>
          <w:sz w:val="22"/>
          <w:szCs w:val="22"/>
          <w:lang w:val="sr-Latn-ME"/>
        </w:rPr>
        <w:t>e doručka, ručka, večere ili noćne užine nije rezultovalo prom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="00BA74C7" w:rsidRPr="00E659A7">
        <w:rPr>
          <w:noProof/>
          <w:sz w:val="22"/>
          <w:szCs w:val="22"/>
          <w:lang w:val="sr-Latn-ME"/>
        </w:rPr>
        <w:t>enom u izloženosti dekslansoprazolu, niti je imalo klinički značajan uticaj na kontrolu intragastričnog pH u toku 24 h.</w:t>
      </w:r>
    </w:p>
    <w:p w14:paraId="4FD4DCE6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Posebne populacije pacijenata</w:t>
      </w:r>
    </w:p>
    <w:p w14:paraId="60E5ECE2" w14:textId="77777777" w:rsidR="003F5A90" w:rsidRDefault="003F5A90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</w:p>
    <w:p w14:paraId="342B35AD" w14:textId="180DB503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lastRenderedPageBreak/>
        <w:t>Stariji pacijenti</w:t>
      </w:r>
    </w:p>
    <w:p w14:paraId="78B70AAE" w14:textId="2195FAF8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studiji sprovedenoj na zdravim dobrovoljcma oba pola koji su primali oralno pojedinačnu dozu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od 60 mg, terminalno poluvr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eme eliminacije dekslansoprazola je bilo statistički značajno duže kod starijih u odnosu na pacijente mlađeg životnog doba (2,23h, u odnosu na 1,5h). Uz to, sistemska izloženost dekslansoprazolu (PIK) je bila za 34,5% veća kod starijih u odnosu na mlađe učesnike studije. Ove razlike ni</w:t>
      </w:r>
      <w:r w:rsidR="00304BAF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bile klinički značajne. Dnevnu dozu od 60 mg, kod starijih pacijenata ne treba prekoračivati, osim u slučaju jasnih kliničkih indikacija.</w:t>
      </w:r>
    </w:p>
    <w:p w14:paraId="2121B770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Oštećenje funkcije bubrega</w:t>
      </w:r>
    </w:p>
    <w:p w14:paraId="258711D7" w14:textId="602A369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Dekslansoprazol se obilno metaboliše u jetri do inaktivnih metabolita, pa se neprom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enjena aktivna supstanca ne izlučuje urinom nakon oralne doze dekslansoprazola. Zbog toga se ne očekuju prom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ene u farmakokinetici dekslansoprazola kod pacijenata sa oštećenjem funkcije bubrega i ni</w:t>
      </w:r>
      <w:r w:rsidR="00304BAF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sprovedene studije na ispitanicima sa oštećenjem funkcije bubrega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304BAF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4.4).</w:t>
      </w:r>
    </w:p>
    <w:p w14:paraId="49C429E4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Oštećenje funkcije jetre</w:t>
      </w:r>
    </w:p>
    <w:p w14:paraId="0587DFEE" w14:textId="3FBCB4D4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 studiji sprovedenoj na pacijentima sa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erenim oštećenjem funkcije jetre, nakon primljene pojedinačne oralne doze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od 60 mg, izloženost dekslansoprazolu u plazmi (PIK), u vezanom i slobodnom obliku, bila je približno 2 puta veća kod pacijenata sa oštećenjem funkcije jetre u odnosu na pojedince sa normalnom funkcijom jetre. Razlika u izloženosti dekslansoprazola nije rezultat razlike u stopi vezivanja za proteine između dv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 grupe ispitanika funkcije jetre. Nije potrebno prilagođavanje doze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kod pacijenata sa blagim oštećenjem funkcije jetre. Kod pacijenata sa um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erenim oštećenjem funkcije jetre preporučuje se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Dexilant u dozi od 30 mg. Ni</w:t>
      </w:r>
      <w:r w:rsidR="00304BAF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 xml:space="preserve">su sprovedene studije kod pacijenata sa teškim oštećenjem funkcije jetre, pa se iz tog razloga ne preporučuje </w:t>
      </w:r>
      <w:r w:rsidR="00617447" w:rsidRPr="00E659A7">
        <w:rPr>
          <w:noProof/>
          <w:sz w:val="22"/>
          <w:szCs w:val="22"/>
          <w:lang w:val="sr-Latn-ME"/>
        </w:rPr>
        <w:t>primjena</w:t>
      </w:r>
      <w:r w:rsidRPr="00E659A7">
        <w:rPr>
          <w:noProof/>
          <w:sz w:val="22"/>
          <w:szCs w:val="22"/>
          <w:lang w:val="sr-Latn-ME"/>
        </w:rPr>
        <w:t xml:space="preserve"> dekslansoprazola kod ovih pacijenata (</w:t>
      </w:r>
      <w:r w:rsidR="00617447" w:rsidRPr="00E659A7">
        <w:rPr>
          <w:noProof/>
          <w:sz w:val="22"/>
          <w:szCs w:val="22"/>
          <w:lang w:val="sr-Latn-ME"/>
        </w:rPr>
        <w:t>vidjeti</w:t>
      </w:r>
      <w:r w:rsidRPr="00E659A7">
        <w:rPr>
          <w:noProof/>
          <w:sz w:val="22"/>
          <w:szCs w:val="22"/>
          <w:lang w:val="sr-Latn-ME"/>
        </w:rPr>
        <w:t xml:space="preserve"> d</w:t>
      </w:r>
      <w:r w:rsidR="007C7088" w:rsidRPr="00E659A7">
        <w:rPr>
          <w:noProof/>
          <w:sz w:val="22"/>
          <w:szCs w:val="22"/>
          <w:lang w:val="sr-Latn-ME"/>
        </w:rPr>
        <w:t>i</w:t>
      </w:r>
      <w:r w:rsidRPr="00E659A7">
        <w:rPr>
          <w:noProof/>
          <w:sz w:val="22"/>
          <w:szCs w:val="22"/>
          <w:lang w:val="sr-Latn-ME"/>
        </w:rPr>
        <w:t>o 4.4).</w:t>
      </w:r>
    </w:p>
    <w:p w14:paraId="48A6679B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Pedijatrijska populacija</w:t>
      </w:r>
    </w:p>
    <w:p w14:paraId="32E17D5A" w14:textId="1D4AE334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Farmakokinetika dekslansoprazola je ispitivana u multicentričnoj studiji sprovdenoj na 36 bolesnika sa simptomatskom GERB uzrasta od 12 do 17 godina starosti. Bolesnici su randomizovani kako bi primali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 xml:space="preserve">ek Dexilant 30 mg ili 60 mg jednom dnevno tokom 7 dana. Kod adolescentnih bolesnika, 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Cmax dekslansoprazola iznosila je od 81% do 105% srednje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i Cmax kod odraslih, 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PIK iznosila je od 78% do 88% srednje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i PIK kod odraslih, dok je srednja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 xml:space="preserve"> CL/F iznosila 112% do 132% srednje </w:t>
      </w:r>
      <w:r w:rsidR="00617447" w:rsidRPr="00E659A7">
        <w:rPr>
          <w:noProof/>
          <w:sz w:val="22"/>
          <w:szCs w:val="22"/>
          <w:lang w:val="sr-Latn-ME"/>
        </w:rPr>
        <w:t>vrijednost</w:t>
      </w:r>
      <w:r w:rsidRPr="00E659A7">
        <w:rPr>
          <w:noProof/>
          <w:sz w:val="22"/>
          <w:szCs w:val="22"/>
          <w:lang w:val="sr-Latn-ME"/>
        </w:rPr>
        <w:t>i CL/F kod odraslih. Sveukupno, farmakokinetika dekslansoprazola kod bolesnika uzrasta od 12 do 17 godina starosti je ista kao i ona prim</w:t>
      </w:r>
      <w:r w:rsidR="00304BAF" w:rsidRPr="00E659A7">
        <w:rPr>
          <w:noProof/>
          <w:sz w:val="22"/>
          <w:szCs w:val="22"/>
          <w:lang w:val="sr-Latn-ME"/>
        </w:rPr>
        <w:t>i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ećena kod zdravih odraslih ispitanika.</w:t>
      </w:r>
    </w:p>
    <w:p w14:paraId="0F92A995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noProof/>
          <w:sz w:val="22"/>
          <w:szCs w:val="22"/>
          <w:lang w:val="sr-Latn-ME"/>
        </w:rPr>
      </w:pPr>
      <w:r w:rsidRPr="00E659A7">
        <w:rPr>
          <w:i/>
          <w:noProof/>
          <w:sz w:val="22"/>
          <w:szCs w:val="22"/>
          <w:lang w:val="sr-Latn-ME"/>
        </w:rPr>
        <w:t>Pol</w:t>
      </w:r>
    </w:p>
    <w:p w14:paraId="08808256" w14:textId="0ED51D3C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Rezultati studije sprovedene na zdravim ispitanicima oba pola, nakon oralne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pojedinačne doze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Dexilant u dozi od 60 mg, pokazali su za 42,8% veću sistemsku izloženost (PIK) kod žena u odnosu na muškarce. Nije potrebno prilagođavati dozu u odnosu na pol pacijenta.</w:t>
      </w:r>
    </w:p>
    <w:p w14:paraId="7025C166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5.3.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025C167" w14:textId="77777777" w:rsidR="00836B35" w:rsidRPr="00E659A7" w:rsidRDefault="00836B35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293B6D" w14:textId="22FAB21B" w:rsidR="00BA74C7" w:rsidRDefault="00BA74C7" w:rsidP="00426E6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Pretklinički podaci iz konvencionalnih studija farmakološke </w:t>
      </w:r>
      <w:r w:rsidR="007C7088" w:rsidRPr="00E659A7">
        <w:rPr>
          <w:noProof/>
          <w:sz w:val="22"/>
          <w:szCs w:val="22"/>
          <w:lang w:val="sr-Latn-ME"/>
        </w:rPr>
        <w:t>bezbjednost</w:t>
      </w:r>
      <w:r w:rsidRPr="00E659A7">
        <w:rPr>
          <w:noProof/>
          <w:sz w:val="22"/>
          <w:szCs w:val="22"/>
          <w:lang w:val="sr-Latn-ME"/>
        </w:rPr>
        <w:t xml:space="preserve">i, toksičnosti ponovljenih doza, genotoksičnosti i reproduktivne i razvojne toksičnosti, ne ukazuju na posebnu opasnost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kod ljudi.</w:t>
      </w:r>
    </w:p>
    <w:p w14:paraId="068F7CEB" w14:textId="77777777" w:rsidR="00426E63" w:rsidRPr="00E659A7" w:rsidRDefault="00426E63" w:rsidP="00426E6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7CD99691" w14:textId="357E2FF5" w:rsidR="00BA74C7" w:rsidRPr="00E659A7" w:rsidRDefault="00BA74C7" w:rsidP="00426E6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Lansoprazol je racemska sm</w:t>
      </w:r>
      <w:r w:rsidR="0001782E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eša R- i S-enantiomera. Nakon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lansoprazola kod ljudi i životinja, glavna cirkulišuća komponenta u plazmi je dekslansoprazol, odnosno R-enantiomer lansoprazola. Zbog toga se karcinogeni potencijal dekslansoprazola procenjuje na osnovu postojećih rezultata studija sa lansoprazolom. </w:t>
      </w:r>
    </w:p>
    <w:p w14:paraId="42722DF0" w14:textId="38B55BE3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lastRenderedPageBreak/>
        <w:t>U studijama karcinogenosti, sprovedenim na pacovima, lansoprazol je izazvao dozno-zavisnu hiperplaziju i tumore ECL ćelija, povezane sa hipergastrinemijom zbog inhibicije lučenja želudačne kis</w:t>
      </w:r>
      <w:r w:rsidR="00304BAF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eline. Takođe su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ećene intestinalna metaplazija, hiperplazija i benigni tumori </w:t>
      </w:r>
      <w:r w:rsidRPr="00E659A7">
        <w:rPr>
          <w:i/>
          <w:noProof/>
          <w:sz w:val="22"/>
          <w:szCs w:val="22"/>
          <w:lang w:val="sr-Latn-ME"/>
        </w:rPr>
        <w:t>Leydig</w:t>
      </w:r>
      <w:r w:rsidRPr="00E659A7">
        <w:rPr>
          <w:noProof/>
          <w:sz w:val="22"/>
          <w:szCs w:val="22"/>
          <w:lang w:val="sr-Latn-ME"/>
        </w:rPr>
        <w:t xml:space="preserve">-ovih ćelija u testisima. Nakon terapije u trajanju od 18 </w:t>
      </w:r>
      <w:r w:rsidR="00A363D2" w:rsidRPr="00E659A7">
        <w:rPr>
          <w:noProof/>
          <w:sz w:val="22"/>
          <w:szCs w:val="22"/>
          <w:lang w:val="sr-Latn-ME"/>
        </w:rPr>
        <w:t>mjeseci</w:t>
      </w:r>
      <w:r w:rsidRPr="00E659A7">
        <w:rPr>
          <w:noProof/>
          <w:sz w:val="22"/>
          <w:szCs w:val="22"/>
          <w:lang w:val="sr-Latn-ME"/>
        </w:rPr>
        <w:t>,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ećena je retinalna atrofija. Ove prom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ene ni</w:t>
      </w:r>
      <w:r w:rsidR="00304BAF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prim</w:t>
      </w:r>
      <w:r w:rsidR="00304BAF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ećene kod majmuna, pasa niti miševa.</w:t>
      </w:r>
    </w:p>
    <w:p w14:paraId="3159345E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U studijama karcinogenosti na miševima, uočene su dozno zavisna hiperplazija ECL ćelija želuca, kao i tumori jetre i adenom testikularne mrežice (eng. </w:t>
      </w:r>
      <w:r w:rsidRPr="00E659A7">
        <w:rPr>
          <w:i/>
          <w:noProof/>
          <w:sz w:val="22"/>
          <w:szCs w:val="22"/>
          <w:lang w:val="sr-Latn-ME"/>
        </w:rPr>
        <w:t>rete testis</w:t>
      </w:r>
      <w:r w:rsidRPr="00E659A7">
        <w:rPr>
          <w:noProof/>
          <w:sz w:val="22"/>
          <w:szCs w:val="22"/>
          <w:lang w:val="sr-Latn-ME"/>
        </w:rPr>
        <w:t>).</w:t>
      </w:r>
    </w:p>
    <w:p w14:paraId="463ACE5E" w14:textId="77777777" w:rsidR="00BA74C7" w:rsidRPr="00E659A7" w:rsidRDefault="00BA74C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Klinički značaj ovih nalaza nije poznat.</w:t>
      </w:r>
    </w:p>
    <w:p w14:paraId="590BCC48" w14:textId="4E7D219C" w:rsidR="00BA74C7" w:rsidRPr="00E659A7" w:rsidRDefault="0061744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Primjena</w:t>
      </w:r>
      <w:r w:rsidR="00BA74C7" w:rsidRPr="00E659A7">
        <w:rPr>
          <w:noProof/>
          <w:sz w:val="22"/>
          <w:szCs w:val="22"/>
          <w:lang w:val="sr-Latn-ME"/>
        </w:rPr>
        <w:t xml:space="preserve"> lansoprazola rezultuje pozitivnim nalazima Ames testa i </w:t>
      </w:r>
      <w:r w:rsidR="00BA74C7" w:rsidRPr="00E659A7">
        <w:rPr>
          <w:i/>
          <w:noProof/>
          <w:sz w:val="22"/>
          <w:szCs w:val="22"/>
          <w:lang w:val="sr-Latn-ME"/>
        </w:rPr>
        <w:t>in vitro</w:t>
      </w:r>
      <w:r w:rsidR="00BA74C7" w:rsidRPr="00E659A7">
        <w:rPr>
          <w:noProof/>
          <w:sz w:val="22"/>
          <w:szCs w:val="22"/>
          <w:lang w:val="sr-Latn-ME"/>
        </w:rPr>
        <w:t xml:space="preserve"> ispitivanja hromozomskih aberacija u humanim limfocitima. Lansoprazol nije pokazao genotoksično d</w:t>
      </w:r>
      <w:r w:rsidR="00304BAF" w:rsidRPr="00E659A7">
        <w:rPr>
          <w:noProof/>
          <w:sz w:val="22"/>
          <w:szCs w:val="22"/>
          <w:lang w:val="sr-Latn-ME"/>
        </w:rPr>
        <w:t>j</w:t>
      </w:r>
      <w:r w:rsidR="00BA74C7" w:rsidRPr="00E659A7">
        <w:rPr>
          <w:noProof/>
          <w:sz w:val="22"/>
          <w:szCs w:val="22"/>
          <w:lang w:val="sr-Latn-ME"/>
        </w:rPr>
        <w:t xml:space="preserve">elovanje u </w:t>
      </w:r>
      <w:r w:rsidR="00BA74C7" w:rsidRPr="00E659A7">
        <w:rPr>
          <w:i/>
          <w:noProof/>
          <w:sz w:val="22"/>
          <w:szCs w:val="22"/>
          <w:lang w:val="sr-Latn-ME"/>
        </w:rPr>
        <w:t>ex vivo</w:t>
      </w:r>
      <w:r w:rsidR="00BA74C7" w:rsidRPr="00E659A7">
        <w:rPr>
          <w:noProof/>
          <w:sz w:val="22"/>
          <w:szCs w:val="22"/>
          <w:lang w:val="sr-Latn-ME"/>
        </w:rPr>
        <w:t xml:space="preserve">  UDS testu (eng. </w:t>
      </w:r>
      <w:r w:rsidR="00BA74C7" w:rsidRPr="00E659A7">
        <w:rPr>
          <w:i/>
          <w:noProof/>
          <w:sz w:val="22"/>
          <w:szCs w:val="22"/>
          <w:lang w:val="sr-Latn-ME"/>
        </w:rPr>
        <w:t xml:space="preserve">Unscheduled DNA Synthesis Test, </w:t>
      </w:r>
      <w:r w:rsidR="00BA74C7" w:rsidRPr="00E659A7">
        <w:rPr>
          <w:noProof/>
          <w:sz w:val="22"/>
          <w:szCs w:val="22"/>
          <w:lang w:val="sr-Latn-ME"/>
        </w:rPr>
        <w:t xml:space="preserve">UDS) u hepatocitima miševa, </w:t>
      </w:r>
      <w:r w:rsidR="00BA74C7" w:rsidRPr="00E659A7">
        <w:rPr>
          <w:i/>
          <w:noProof/>
          <w:sz w:val="22"/>
          <w:szCs w:val="22"/>
          <w:lang w:val="sr-Latn-ME"/>
        </w:rPr>
        <w:t>in vivo</w:t>
      </w:r>
      <w:r w:rsidR="00BA74C7" w:rsidRPr="00E659A7">
        <w:rPr>
          <w:noProof/>
          <w:sz w:val="22"/>
          <w:szCs w:val="22"/>
          <w:lang w:val="sr-Latn-ME"/>
        </w:rPr>
        <w:t xml:space="preserve"> mikronuklearnom testu na miševima i testu hromozomskih aberacija u ćelijama ko</w:t>
      </w:r>
      <w:r w:rsidR="00304BAF" w:rsidRPr="00E659A7">
        <w:rPr>
          <w:noProof/>
          <w:sz w:val="22"/>
          <w:szCs w:val="22"/>
          <w:lang w:val="sr-Latn-ME"/>
        </w:rPr>
        <w:t>st</w:t>
      </w:r>
      <w:r w:rsidR="00BA74C7" w:rsidRPr="00E659A7">
        <w:rPr>
          <w:noProof/>
          <w:sz w:val="22"/>
          <w:szCs w:val="22"/>
          <w:lang w:val="sr-Latn-ME"/>
        </w:rPr>
        <w:t>ne srži kod miševa.</w:t>
      </w:r>
    </w:p>
    <w:p w14:paraId="34A8C1B8" w14:textId="5C9867D6" w:rsidR="00BA74C7" w:rsidRPr="00E659A7" w:rsidRDefault="00617447" w:rsidP="00E659A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Primjena</w:t>
      </w:r>
      <w:r w:rsidR="00BA74C7" w:rsidRPr="00E659A7">
        <w:rPr>
          <w:noProof/>
          <w:sz w:val="22"/>
          <w:szCs w:val="22"/>
          <w:lang w:val="sr-Latn-ME"/>
        </w:rPr>
        <w:t xml:space="preserve"> dekslansoprazola rezultuje pozitivnim nalazima Ames testa i </w:t>
      </w:r>
      <w:r w:rsidR="00BA74C7" w:rsidRPr="00E659A7">
        <w:rPr>
          <w:i/>
          <w:noProof/>
          <w:sz w:val="22"/>
          <w:szCs w:val="22"/>
          <w:lang w:val="sr-Latn-ME"/>
        </w:rPr>
        <w:t>in vitro</w:t>
      </w:r>
      <w:r w:rsidR="00BA74C7" w:rsidRPr="00E659A7">
        <w:rPr>
          <w:noProof/>
          <w:sz w:val="22"/>
          <w:szCs w:val="22"/>
          <w:lang w:val="sr-Latn-ME"/>
        </w:rPr>
        <w:t xml:space="preserve"> ispitivanja hromozomskih aberacija u ćelijama pluća kineskog hrčka. Dekslansoprazol rezultuje negativnim nalazima u </w:t>
      </w:r>
      <w:r w:rsidR="00BA74C7" w:rsidRPr="00E659A7">
        <w:rPr>
          <w:i/>
          <w:noProof/>
          <w:sz w:val="22"/>
          <w:szCs w:val="22"/>
          <w:lang w:val="sr-Latn-ME"/>
        </w:rPr>
        <w:t>in vivo</w:t>
      </w:r>
      <w:r w:rsidR="00BA74C7" w:rsidRPr="00E659A7">
        <w:rPr>
          <w:noProof/>
          <w:sz w:val="22"/>
          <w:szCs w:val="22"/>
          <w:lang w:val="sr-Latn-ME"/>
        </w:rPr>
        <w:t xml:space="preserve"> mikronuklearnom testu na miševima.</w:t>
      </w:r>
    </w:p>
    <w:p w14:paraId="491C8855" w14:textId="190356A4" w:rsidR="00BA74C7" w:rsidRPr="00E659A7" w:rsidRDefault="00BA74C7" w:rsidP="00E659A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Reproduktivna studija je sprovedena na kunićima, koji su na osnovu površine t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ela primali približno 9 puta veću dozu od preporučene maksimalne dnevne doze dekslansoprazola za ljude (60 mg dnevno). Rezultati studije ni</w:t>
      </w:r>
      <w:r w:rsidR="00304BAF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 xml:space="preserve">su pokazali opasnost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dekslansoprazola za fetus. Dodatno,  sprovedene su studije na gravidnim pacovima, koji su na osnovu površine t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ela, primali oralno lansoprazol u dozama do 40 puta većim u odnosu na preporučene doze lansoprazola za ljude, i na gravidnim kunićima koji su na osnovu površine t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ela primali oralno lansoprazol u dozama do 16 puta većim u odnosu na preporučene doze za ljude.  Rezultati ovih studija ni</w:t>
      </w:r>
      <w:r w:rsidR="006E7967" w:rsidRPr="00E659A7">
        <w:rPr>
          <w:noProof/>
          <w:sz w:val="22"/>
          <w:szCs w:val="22"/>
          <w:lang w:val="sr-Latn-ME"/>
        </w:rPr>
        <w:t>je</w:t>
      </w:r>
      <w:r w:rsidRPr="00E659A7">
        <w:rPr>
          <w:noProof/>
          <w:sz w:val="22"/>
          <w:szCs w:val="22"/>
          <w:lang w:val="sr-Latn-ME"/>
        </w:rPr>
        <w:t>su pokazali štetno d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 xml:space="preserve">elovanje na plodnost ili oštećenje fetusa, kao rezultat </w:t>
      </w:r>
      <w:r w:rsidR="00617447" w:rsidRPr="00E659A7">
        <w:rPr>
          <w:noProof/>
          <w:sz w:val="22"/>
          <w:szCs w:val="22"/>
          <w:lang w:val="sr-Latn-ME"/>
        </w:rPr>
        <w:t>primjene</w:t>
      </w:r>
      <w:r w:rsidRPr="00E659A7">
        <w:rPr>
          <w:noProof/>
          <w:sz w:val="22"/>
          <w:szCs w:val="22"/>
          <w:lang w:val="sr-Latn-ME"/>
        </w:rPr>
        <w:t xml:space="preserve"> lansoprazola.</w:t>
      </w:r>
    </w:p>
    <w:p w14:paraId="7025C168" w14:textId="171AFC78" w:rsidR="00396DFD" w:rsidRDefault="00396DFD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5434C8" w14:textId="77777777" w:rsidR="003F5A90" w:rsidRPr="00E659A7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9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FARMACEUTSKI PODACI</w:t>
      </w:r>
    </w:p>
    <w:p w14:paraId="7025C16A" w14:textId="77777777" w:rsidR="00836B35" w:rsidRPr="00E659A7" w:rsidRDefault="00836B35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B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6.1.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Lista pomoćnih supstanci</w:t>
      </w:r>
      <w:r w:rsidR="002E0135" w:rsidRPr="00E659A7">
        <w:rPr>
          <w:b/>
          <w:bCs/>
          <w:sz w:val="22"/>
          <w:szCs w:val="22"/>
          <w:lang w:val="sr-Latn-ME"/>
        </w:rPr>
        <w:t xml:space="preserve"> (ekscipijenasa)</w:t>
      </w:r>
    </w:p>
    <w:p w14:paraId="7025C16C" w14:textId="32E4E725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B24432" w14:textId="5862AEB1" w:rsidR="00BA74C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Sadržaj kapsule</w:t>
      </w:r>
    </w:p>
    <w:p w14:paraId="5CD48FFF" w14:textId="77777777" w:rsidR="003F5A90" w:rsidRPr="00E659A7" w:rsidRDefault="003F5A90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46EF24F4" w14:textId="2129B669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Silicijum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dioksid, koloidni, bezvodni</w:t>
      </w:r>
    </w:p>
    <w:p w14:paraId="5F6988F8" w14:textId="177A85E5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Hidroksipropilceluloza</w:t>
      </w:r>
    </w:p>
    <w:p w14:paraId="6EB8743F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Hipromeloza</w:t>
      </w:r>
    </w:p>
    <w:p w14:paraId="35509324" w14:textId="49DB2E71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Hidroksipropilceluloza, niskosupstituisana</w:t>
      </w:r>
    </w:p>
    <w:p w14:paraId="6F29A876" w14:textId="4FEAD213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Magnezijum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karbonat, teški</w:t>
      </w:r>
    </w:p>
    <w:p w14:paraId="2C30B5A6" w14:textId="0C8FEBA5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Metakrilna kiselina etilakrilat kopolimer (1:1) disperzija 30% (metakrilna kiselina, etilakrilat, natrijum laurilsulfat, polisorbat 80)</w:t>
      </w:r>
    </w:p>
    <w:p w14:paraId="63B561AB" w14:textId="7AE8B971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Metakrilna kiselina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metilmetakrilat kopolimer (1:1)</w:t>
      </w:r>
    </w:p>
    <w:p w14:paraId="4070B816" w14:textId="3DB34F76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Metakrilna kiselina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metilmetakrilat kopolimer (1:2)</w:t>
      </w:r>
    </w:p>
    <w:p w14:paraId="3F52EB19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Makrogol 8000</w:t>
      </w:r>
    </w:p>
    <w:p w14:paraId="6B120661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Polisorbat 80</w:t>
      </w:r>
    </w:p>
    <w:p w14:paraId="2D8BB173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Saharoza</w:t>
      </w:r>
    </w:p>
    <w:p w14:paraId="63234624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Šećerne sfere (saharoza, skrob, kukuruzni)</w:t>
      </w:r>
    </w:p>
    <w:p w14:paraId="5B46CA36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Talk</w:t>
      </w:r>
    </w:p>
    <w:p w14:paraId="45C8727A" w14:textId="438269CB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Titan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dioksid (E171)</w:t>
      </w:r>
    </w:p>
    <w:p w14:paraId="35DC8BA3" w14:textId="37FADE29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Trietil</w:t>
      </w:r>
      <w:r w:rsidR="00A13C41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citrat</w:t>
      </w:r>
    </w:p>
    <w:p w14:paraId="68E5B378" w14:textId="2BABDD72" w:rsidR="00BA74C7" w:rsidRDefault="00BA74C7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7B5B19D4" w14:textId="234F7095" w:rsidR="003F5A90" w:rsidRDefault="003F5A90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399EBB21" w14:textId="19E65B63" w:rsidR="003F5A90" w:rsidRDefault="003F5A90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354CA75A" w14:textId="77777777" w:rsidR="003F5A90" w:rsidRPr="00E659A7" w:rsidRDefault="003F5A90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4F22F8D4" w14:textId="2DF2B9CF" w:rsidR="00BA74C7" w:rsidRDefault="00BA74C7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lastRenderedPageBreak/>
        <w:t>Omotač kapsule od 30 mg</w:t>
      </w:r>
    </w:p>
    <w:p w14:paraId="53CEFAA3" w14:textId="77777777" w:rsidR="003F5A90" w:rsidRPr="00E659A7" w:rsidRDefault="003F5A90" w:rsidP="00E659A7">
      <w:pPr>
        <w:autoSpaceDE w:val="0"/>
        <w:autoSpaceDN w:val="0"/>
        <w:adjustRightInd w:val="0"/>
        <w:spacing w:before="240"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0BB0CEFC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Karaginan (E407)</w:t>
      </w:r>
    </w:p>
    <w:p w14:paraId="19015797" w14:textId="04A8C413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Titan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dioksid (E171)</w:t>
      </w:r>
    </w:p>
    <w:p w14:paraId="6389FE9D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Hipromeloza</w:t>
      </w:r>
    </w:p>
    <w:p w14:paraId="3FF9C72B" w14:textId="0719A1A0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Kalijum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hlorid</w:t>
      </w:r>
    </w:p>
    <w:p w14:paraId="6C5A994E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Voda, prečišćena</w:t>
      </w:r>
    </w:p>
    <w:p w14:paraId="6AB8399F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Indigotin (E132)</w:t>
      </w:r>
    </w:p>
    <w:p w14:paraId="3887855E" w14:textId="6B015D58" w:rsidR="00BA74C7" w:rsidRPr="00E659A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Gvožđe</w:t>
      </w:r>
      <w:r w:rsidR="00A13C41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(III)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oksid, crni (E172)</w:t>
      </w:r>
    </w:p>
    <w:p w14:paraId="37EB3E02" w14:textId="77777777" w:rsidR="003F5A90" w:rsidRDefault="003F5A90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1E72970F" w14:textId="58AC99A9" w:rsidR="00BA74C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Omotač kapsule od 60 mg</w:t>
      </w:r>
    </w:p>
    <w:p w14:paraId="708FC561" w14:textId="77777777" w:rsidR="003F5A90" w:rsidRPr="00E659A7" w:rsidRDefault="003F5A90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2D19D6B1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Karaginan (E407)</w:t>
      </w:r>
    </w:p>
    <w:p w14:paraId="534E1FA3" w14:textId="7E819E8F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Titan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dioksid (E171)</w:t>
      </w:r>
    </w:p>
    <w:p w14:paraId="77209A29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Hipromeloza</w:t>
      </w:r>
    </w:p>
    <w:p w14:paraId="38C710F4" w14:textId="7BCF1CD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Kalijum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hlorid</w:t>
      </w:r>
    </w:p>
    <w:p w14:paraId="47E2366F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Voda, prečišćena</w:t>
      </w:r>
    </w:p>
    <w:p w14:paraId="4C4F1957" w14:textId="77777777" w:rsidR="00BA74C7" w:rsidRPr="00E659A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Indigotin (E132)</w:t>
      </w:r>
    </w:p>
    <w:p w14:paraId="085BB9E6" w14:textId="77777777" w:rsidR="003F5A90" w:rsidRDefault="003F5A90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40908D0E" w14:textId="626BC412" w:rsidR="00BA74C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  <w:r w:rsidRPr="00E659A7">
        <w:rPr>
          <w:noProof/>
          <w:sz w:val="22"/>
          <w:szCs w:val="22"/>
          <w:u w:val="single"/>
          <w:lang w:val="sr-Latn-ME"/>
        </w:rPr>
        <w:t>Mastilo za štampu</w:t>
      </w:r>
    </w:p>
    <w:p w14:paraId="5B4DD0C9" w14:textId="77777777" w:rsidR="003F5A90" w:rsidRPr="00E659A7" w:rsidRDefault="003F5A90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u w:val="single"/>
          <w:lang w:val="sr-Latn-ME"/>
        </w:rPr>
      </w:pPr>
    </w:p>
    <w:p w14:paraId="04801C32" w14:textId="5E44C849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Gvožđe</w:t>
      </w:r>
      <w:r w:rsidR="00A13C41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(III)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oksid, crveni (E172)</w:t>
      </w:r>
    </w:p>
    <w:p w14:paraId="41C64FEE" w14:textId="7E5EC83D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Gvožđe</w:t>
      </w:r>
      <w:r w:rsidR="00A13C41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(III)</w:t>
      </w:r>
      <w:r w:rsidR="00A363D2" w:rsidRPr="00E659A7">
        <w:rPr>
          <w:noProof/>
          <w:sz w:val="22"/>
          <w:szCs w:val="22"/>
          <w:lang w:val="sr-Latn-ME"/>
        </w:rPr>
        <w:t xml:space="preserve"> </w:t>
      </w:r>
      <w:r w:rsidRPr="00E659A7">
        <w:rPr>
          <w:noProof/>
          <w:sz w:val="22"/>
          <w:szCs w:val="22"/>
          <w:lang w:val="sr-Latn-ME"/>
        </w:rPr>
        <w:t>oksid, žuti (E172)</w:t>
      </w:r>
    </w:p>
    <w:p w14:paraId="6FF525EA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Indigotin (E132)</w:t>
      </w:r>
    </w:p>
    <w:p w14:paraId="2ABC74A6" w14:textId="77777777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Karnauba vosak</w:t>
      </w:r>
    </w:p>
    <w:p w14:paraId="1AD3DAD9" w14:textId="0035BDDB" w:rsidR="00BA74C7" w:rsidRPr="00E659A7" w:rsidRDefault="00BA74C7" w:rsidP="00E659A7">
      <w:pPr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Šelak, b</w:t>
      </w:r>
      <w:r w:rsidR="00A13C41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eljeni</w:t>
      </w:r>
    </w:p>
    <w:p w14:paraId="4C7F88CE" w14:textId="77777777" w:rsidR="00BA74C7" w:rsidRPr="00E659A7" w:rsidRDefault="00BA74C7" w:rsidP="00E659A7">
      <w:pPr>
        <w:autoSpaceDE w:val="0"/>
        <w:autoSpaceDN w:val="0"/>
        <w:adjustRightInd w:val="0"/>
        <w:spacing w:after="240"/>
        <w:contextualSpacing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Glicerol monooleat</w:t>
      </w:r>
    </w:p>
    <w:p w14:paraId="128454B4" w14:textId="77777777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D" w14:textId="4FCB3219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6.2.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Inkompatibilnost</w:t>
      </w:r>
      <w:r w:rsidR="002846DB" w:rsidRPr="00E659A7">
        <w:rPr>
          <w:b/>
          <w:bCs/>
          <w:sz w:val="22"/>
          <w:szCs w:val="22"/>
          <w:lang w:val="sr-Latn-ME"/>
        </w:rPr>
        <w:t>i</w:t>
      </w:r>
    </w:p>
    <w:p w14:paraId="414DC937" w14:textId="77777777" w:rsidR="00C801DD" w:rsidRPr="00E659A7" w:rsidRDefault="00C801DD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CCE97B" w14:textId="1F4B8987" w:rsidR="00BA74C7" w:rsidRPr="00E659A7" w:rsidRDefault="00BA74C7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Nije prim</w:t>
      </w:r>
      <w:r w:rsidR="007C7088" w:rsidRPr="00E659A7">
        <w:rPr>
          <w:noProof/>
          <w:sz w:val="22"/>
          <w:szCs w:val="22"/>
          <w:lang w:val="sr-Latn-ME"/>
        </w:rPr>
        <w:t>j</w:t>
      </w:r>
      <w:r w:rsidRPr="00E659A7">
        <w:rPr>
          <w:noProof/>
          <w:sz w:val="22"/>
          <w:szCs w:val="22"/>
          <w:lang w:val="sr-Latn-ME"/>
        </w:rPr>
        <w:t>enljivo.</w:t>
      </w:r>
    </w:p>
    <w:p w14:paraId="7025C16E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6F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>6.3.</w:t>
      </w:r>
      <w:r w:rsidR="00C05DF8" w:rsidRPr="00E659A7">
        <w:rPr>
          <w:b/>
          <w:bCs/>
          <w:sz w:val="22"/>
          <w:szCs w:val="22"/>
          <w:lang w:val="sr-Latn-ME"/>
        </w:rPr>
        <w:t xml:space="preserve">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Rok upotrebe</w:t>
      </w:r>
    </w:p>
    <w:p w14:paraId="7025C170" w14:textId="15D64D91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ECEA5D" w14:textId="7AD1939E" w:rsidR="00BA74C7" w:rsidRPr="00E659A7" w:rsidRDefault="007B5FFC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 xml:space="preserve">3 </w:t>
      </w:r>
      <w:r w:rsidR="00BA74C7" w:rsidRPr="00E659A7">
        <w:rPr>
          <w:noProof/>
          <w:sz w:val="22"/>
          <w:szCs w:val="22"/>
          <w:lang w:val="sr-Latn-ME"/>
        </w:rPr>
        <w:t>godine</w:t>
      </w:r>
    </w:p>
    <w:p w14:paraId="596A6D38" w14:textId="77777777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1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6.4.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E659A7">
        <w:rPr>
          <w:b/>
          <w:bCs/>
          <w:sz w:val="22"/>
          <w:szCs w:val="22"/>
          <w:lang w:val="sr-Latn-ME"/>
        </w:rPr>
        <w:t xml:space="preserve"> lijeka</w:t>
      </w:r>
    </w:p>
    <w:p w14:paraId="7025C172" w14:textId="7EDF3238" w:rsidR="00EC2532" w:rsidRPr="00E659A7" w:rsidRDefault="00EC253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1BA2E2" w14:textId="66E32A81" w:rsidR="00BA74C7" w:rsidRPr="00E659A7" w:rsidRDefault="00BA74C7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 čuvati na temperaturi do 25°C.</w:t>
      </w:r>
    </w:p>
    <w:p w14:paraId="53967BE3" w14:textId="77777777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3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6.5.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="002846DB" w:rsidRPr="00E659A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E659A7">
        <w:rPr>
          <w:b/>
          <w:bCs/>
          <w:sz w:val="22"/>
          <w:szCs w:val="22"/>
          <w:lang w:val="sr-Latn-ME"/>
        </w:rPr>
        <w:t>pakovanja</w:t>
      </w:r>
      <w:r w:rsidR="00C06864" w:rsidRPr="00E659A7">
        <w:rPr>
          <w:b/>
          <w:bCs/>
          <w:sz w:val="22"/>
          <w:szCs w:val="22"/>
          <w:lang w:val="sr-Latn-ME"/>
        </w:rPr>
        <w:t xml:space="preserve"> </w:t>
      </w:r>
    </w:p>
    <w:p w14:paraId="7025C174" w14:textId="03351886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AB7DD7" w14:textId="2EDDEE56" w:rsidR="00BA74C7" w:rsidRPr="00E659A7" w:rsidRDefault="00BA74C7" w:rsidP="00E659A7">
      <w:pPr>
        <w:pStyle w:val="Header"/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Unutrašnje pakovanje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je PVC/PE/PCTFE-Al blister sa 14 kapsula sa modifikovanim oslobađanjem, tvrdih.</w:t>
      </w:r>
    </w:p>
    <w:p w14:paraId="720787C1" w14:textId="6A2B533E" w:rsidR="00BA74C7" w:rsidRPr="00E659A7" w:rsidRDefault="00BA74C7" w:rsidP="00E659A7">
      <w:pPr>
        <w:jc w:val="both"/>
        <w:rPr>
          <w:noProof/>
          <w:sz w:val="22"/>
          <w:szCs w:val="22"/>
          <w:lang w:val="sr-Latn-ME"/>
        </w:rPr>
      </w:pPr>
      <w:r w:rsidRPr="00E659A7">
        <w:rPr>
          <w:noProof/>
          <w:sz w:val="22"/>
          <w:szCs w:val="22"/>
          <w:lang w:val="sr-Latn-ME"/>
        </w:rPr>
        <w:t>Spoljnje pakovanje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eka je složiva kartonska kutija u kojoj se nalazi 1 ili 2 blistera sa po 14 kapsula i Uputstvo za l</w:t>
      </w:r>
      <w:r w:rsidR="007C7088" w:rsidRPr="00E659A7">
        <w:rPr>
          <w:noProof/>
          <w:sz w:val="22"/>
          <w:szCs w:val="22"/>
          <w:lang w:val="sr-Latn-ME"/>
        </w:rPr>
        <w:t>ij</w:t>
      </w:r>
      <w:r w:rsidRPr="00E659A7">
        <w:rPr>
          <w:noProof/>
          <w:sz w:val="22"/>
          <w:szCs w:val="22"/>
          <w:lang w:val="sr-Latn-ME"/>
        </w:rPr>
        <w:t>ek.</w:t>
      </w:r>
    </w:p>
    <w:p w14:paraId="26FA8ACC" w14:textId="77777777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5" w14:textId="77777777" w:rsidR="002846DB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6.6.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659A7">
        <w:rPr>
          <w:b/>
          <w:bCs/>
          <w:sz w:val="22"/>
          <w:szCs w:val="22"/>
          <w:lang w:val="sr-Latn-ME"/>
        </w:rPr>
        <w:t xml:space="preserve"> </w:t>
      </w:r>
      <w:r w:rsidR="00310F03" w:rsidRPr="00E659A7">
        <w:rPr>
          <w:b/>
          <w:bCs/>
          <w:sz w:val="22"/>
          <w:szCs w:val="22"/>
          <w:lang w:val="sr-Latn-ME"/>
        </w:rPr>
        <w:t>(i druga uputs</w:t>
      </w:r>
      <w:r w:rsidR="004109FA" w:rsidRPr="00E659A7">
        <w:rPr>
          <w:b/>
          <w:bCs/>
          <w:sz w:val="22"/>
          <w:szCs w:val="22"/>
          <w:lang w:val="sr-Latn-ME"/>
        </w:rPr>
        <w:t>t</w:t>
      </w:r>
      <w:r w:rsidR="00310F03" w:rsidRPr="00E659A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025C176" w14:textId="14D64B4F" w:rsidR="00B66A70" w:rsidRPr="00E659A7" w:rsidRDefault="00B66A70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13C02E" w14:textId="0176F8F3" w:rsidR="007B5FFC" w:rsidRPr="00E659A7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7025C177" w14:textId="1490CEC0" w:rsidR="0072020E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846D6" w14:textId="31B764D1" w:rsidR="003F5A90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A3677C" w14:textId="6287398C" w:rsidR="003F5A90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B797B6" w14:textId="77777777" w:rsidR="003F5A90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6E4CD0" w14:textId="77777777" w:rsidR="003F5A90" w:rsidRPr="00E659A7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8" w14:textId="77777777" w:rsidR="00F8570A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NOSILAC DOZVOLE</w:t>
      </w:r>
      <w:r w:rsidR="00483928" w:rsidRPr="00E659A7">
        <w:rPr>
          <w:b/>
          <w:bCs/>
          <w:sz w:val="22"/>
          <w:szCs w:val="22"/>
          <w:lang w:val="sr-Latn-ME"/>
        </w:rPr>
        <w:t xml:space="preserve"> </w:t>
      </w:r>
    </w:p>
    <w:p w14:paraId="73912BD3" w14:textId="77777777" w:rsidR="007B5FFC" w:rsidRPr="00E659A7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22CCC3" w14:textId="03CD3C5B" w:rsidR="00BA74C7" w:rsidRPr="00E659A7" w:rsidRDefault="00BA74C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Glosarij d.o.o.</w:t>
      </w:r>
    </w:p>
    <w:p w14:paraId="5420899D" w14:textId="44C79C20" w:rsidR="007B5FFC" w:rsidRPr="00E659A7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Vojislavljevića 76, Podgorica, Crna Gora</w:t>
      </w:r>
    </w:p>
    <w:p w14:paraId="7025C17A" w14:textId="5DCBDD17" w:rsidR="00C37FD7" w:rsidRDefault="00C37FD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EDB0EA" w14:textId="77777777" w:rsidR="003F5A90" w:rsidRPr="00E659A7" w:rsidRDefault="003F5A90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B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8.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>BROJ DOZVOLE</w:t>
      </w:r>
      <w:r w:rsidR="008A6D43" w:rsidRPr="00E659A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025C17C" w14:textId="3AD7DA93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648F08" w14:textId="1B1369F2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30 mg, blister, 14 (1x14) kapsula:</w:t>
      </w:r>
    </w:p>
    <w:p w14:paraId="52D41E7D" w14:textId="31DBBE91" w:rsidR="001D55E2" w:rsidRPr="00E659A7" w:rsidRDefault="001D55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55E2">
        <w:rPr>
          <w:bCs/>
          <w:sz w:val="22"/>
          <w:szCs w:val="22"/>
          <w:lang w:val="sr-Latn-ME"/>
        </w:rPr>
        <w:t>2030/20/1039 - 1853</w:t>
      </w:r>
    </w:p>
    <w:p w14:paraId="2E249230" w14:textId="3D61DF2F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30 mg, blister, 28 (2x14) kapsula:</w:t>
      </w:r>
    </w:p>
    <w:p w14:paraId="6EBBD52E" w14:textId="59717E9C" w:rsidR="001D55E2" w:rsidRPr="00E659A7" w:rsidRDefault="001D55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55E2">
        <w:rPr>
          <w:bCs/>
          <w:sz w:val="22"/>
          <w:szCs w:val="22"/>
          <w:lang w:val="sr-Latn-ME"/>
        </w:rPr>
        <w:t>2030/20/1040 - 1852</w:t>
      </w:r>
    </w:p>
    <w:p w14:paraId="4C08F8BA" w14:textId="55A8F01C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60 mg, blister, 14 (1x14) kapsula:</w:t>
      </w:r>
    </w:p>
    <w:p w14:paraId="4D1051BD" w14:textId="75C01031" w:rsidR="001D55E2" w:rsidRPr="00E659A7" w:rsidRDefault="001D55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55E2">
        <w:rPr>
          <w:bCs/>
          <w:sz w:val="22"/>
          <w:szCs w:val="22"/>
          <w:lang w:val="sr-Latn-ME"/>
        </w:rPr>
        <w:t>2030/20/1041 - 1854</w:t>
      </w:r>
    </w:p>
    <w:p w14:paraId="0F3AE7BE" w14:textId="24A161C4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60 mg, blister, 28 (2x14) kapsula:</w:t>
      </w:r>
    </w:p>
    <w:p w14:paraId="5E3056CC" w14:textId="2A3BA57A" w:rsidR="001D55E2" w:rsidRDefault="001D55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55E2">
        <w:rPr>
          <w:bCs/>
          <w:sz w:val="22"/>
          <w:szCs w:val="22"/>
          <w:lang w:val="sr-Latn-ME"/>
        </w:rPr>
        <w:t>2030/20/1042 - 1855</w:t>
      </w:r>
    </w:p>
    <w:p w14:paraId="30CBFFC2" w14:textId="77777777" w:rsidR="001D55E2" w:rsidRPr="00E659A7" w:rsidRDefault="001D55E2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D" w14:textId="77777777" w:rsidR="00F45F77" w:rsidRPr="00E659A7" w:rsidRDefault="00F45F77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7E" w14:textId="77777777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9.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Pr="00E659A7">
        <w:rPr>
          <w:b/>
          <w:bCs/>
          <w:sz w:val="22"/>
          <w:szCs w:val="22"/>
          <w:lang w:val="sr-Latn-ME"/>
        </w:rPr>
        <w:t xml:space="preserve">DATUM </w:t>
      </w:r>
      <w:r w:rsidR="00C05DF8" w:rsidRPr="00E659A7">
        <w:rPr>
          <w:b/>
          <w:bCs/>
          <w:sz w:val="22"/>
          <w:szCs w:val="22"/>
          <w:lang w:val="sr-Latn-ME"/>
        </w:rPr>
        <w:t xml:space="preserve">PRVE </w:t>
      </w:r>
      <w:r w:rsidR="008A6D43" w:rsidRPr="00E659A7">
        <w:rPr>
          <w:b/>
          <w:bCs/>
          <w:sz w:val="22"/>
          <w:szCs w:val="22"/>
          <w:lang w:val="sr-Latn-ME"/>
        </w:rPr>
        <w:t>DOZVOLE</w:t>
      </w:r>
      <w:r w:rsidR="00C05DF8" w:rsidRPr="00E659A7">
        <w:rPr>
          <w:b/>
          <w:bCs/>
          <w:sz w:val="22"/>
          <w:szCs w:val="22"/>
          <w:lang w:val="sr-Latn-ME"/>
        </w:rPr>
        <w:t>/OBNOVE DOZVOLE</w:t>
      </w:r>
      <w:r w:rsidR="008A6D43" w:rsidRPr="00E659A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025C17F" w14:textId="695A003D" w:rsidR="0072020E" w:rsidRPr="00E659A7" w:rsidRDefault="0072020E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782E0A" w14:textId="6689F924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30 mg, blister, 14 (1x14) kapsula:</w:t>
      </w:r>
    </w:p>
    <w:p w14:paraId="5627C680" w14:textId="2CFD409E" w:rsidR="00B60BA4" w:rsidRPr="00E659A7" w:rsidRDefault="00B60BA4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20.10.2020. godine</w:t>
      </w:r>
    </w:p>
    <w:p w14:paraId="268AF519" w14:textId="39F6490E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30 mg, blister, 28 (2x14) kapsula:</w:t>
      </w:r>
    </w:p>
    <w:p w14:paraId="385D65F1" w14:textId="650C4DE5" w:rsidR="00B60BA4" w:rsidRPr="00E659A7" w:rsidRDefault="00B60BA4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20.10.2020. godine</w:t>
      </w:r>
    </w:p>
    <w:p w14:paraId="3BE99427" w14:textId="089B0BBC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60 mg, blister, 14 (1x14) kapsula:</w:t>
      </w:r>
    </w:p>
    <w:p w14:paraId="3F1DEB83" w14:textId="54778A3B" w:rsidR="00B60BA4" w:rsidRPr="00E659A7" w:rsidRDefault="00B60BA4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20.10.2020. godine</w:t>
      </w:r>
    </w:p>
    <w:p w14:paraId="0AE56E5E" w14:textId="44D47091" w:rsidR="007B5FFC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59A7">
        <w:rPr>
          <w:bCs/>
          <w:sz w:val="22"/>
          <w:szCs w:val="22"/>
          <w:lang w:val="sr-Latn-ME"/>
        </w:rPr>
        <w:t>Dexilant</w:t>
      </w:r>
      <w:r w:rsidRPr="00E659A7">
        <w:rPr>
          <w:bCs/>
          <w:sz w:val="22"/>
          <w:szCs w:val="22"/>
          <w:vertAlign w:val="superscript"/>
          <w:lang w:val="sr-Latn-ME"/>
        </w:rPr>
        <w:t>®</w:t>
      </w:r>
      <w:r w:rsidRPr="00E659A7">
        <w:rPr>
          <w:bCs/>
          <w:sz w:val="22"/>
          <w:szCs w:val="22"/>
          <w:lang w:val="sr-Latn-ME"/>
        </w:rPr>
        <w:t>, kapsula sa modifikovanim oslobađanjem, tvrda, 60 mg, blister, 28 (2x14) kapsula:</w:t>
      </w:r>
    </w:p>
    <w:p w14:paraId="24EF37C7" w14:textId="61A65926" w:rsidR="00B60BA4" w:rsidRPr="00E659A7" w:rsidRDefault="00B60BA4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20.10.2020. godine</w:t>
      </w:r>
    </w:p>
    <w:p w14:paraId="3CC80771" w14:textId="77777777" w:rsidR="007B5FFC" w:rsidRPr="00E659A7" w:rsidRDefault="007B5FFC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80" w14:textId="77777777" w:rsidR="00836B35" w:rsidRPr="00E659A7" w:rsidRDefault="00836B35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81" w14:textId="77777777" w:rsidR="003F6A59" w:rsidRPr="00E659A7" w:rsidRDefault="0072020E" w:rsidP="00E659A7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E659A7">
        <w:rPr>
          <w:b/>
          <w:bCs/>
          <w:sz w:val="22"/>
          <w:szCs w:val="22"/>
          <w:lang w:val="sr-Latn-ME"/>
        </w:rPr>
        <w:t xml:space="preserve">10. </w:t>
      </w:r>
      <w:r w:rsidR="00480FB1" w:rsidRPr="00E659A7">
        <w:rPr>
          <w:b/>
          <w:bCs/>
          <w:sz w:val="22"/>
          <w:szCs w:val="22"/>
          <w:lang w:val="sr-Latn-ME"/>
        </w:rPr>
        <w:tab/>
      </w:r>
      <w:r w:rsidR="002846DB" w:rsidRPr="00E659A7">
        <w:rPr>
          <w:b/>
          <w:bCs/>
          <w:sz w:val="22"/>
          <w:szCs w:val="22"/>
          <w:lang w:val="sr-Latn-ME"/>
        </w:rPr>
        <w:t>D</w:t>
      </w:r>
      <w:r w:rsidR="00EC2532" w:rsidRPr="00E659A7">
        <w:rPr>
          <w:b/>
          <w:bCs/>
          <w:sz w:val="22"/>
          <w:szCs w:val="22"/>
          <w:lang w:val="sr-Latn-ME"/>
        </w:rPr>
        <w:t xml:space="preserve">ATUM REVIZIJE TEKSTA </w:t>
      </w:r>
    </w:p>
    <w:p w14:paraId="7025C182" w14:textId="77777777" w:rsidR="003F6A59" w:rsidRPr="00E659A7" w:rsidRDefault="003F6A59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25C183" w14:textId="1124251C" w:rsidR="008A6D43" w:rsidRPr="00E659A7" w:rsidRDefault="00B60BA4" w:rsidP="00E659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bookmarkStart w:id="0" w:name="_GoBack"/>
      <w:bookmarkEnd w:id="0"/>
      <w:r w:rsidR="003F5A90">
        <w:rPr>
          <w:bCs/>
          <w:sz w:val="22"/>
          <w:szCs w:val="22"/>
          <w:lang w:val="sr-Latn-ME"/>
        </w:rPr>
        <w:t>, 2020. godine</w:t>
      </w:r>
    </w:p>
    <w:sectPr w:rsidR="008A6D43" w:rsidRPr="00E659A7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6DDC" w14:textId="77777777" w:rsidR="009E3CEC" w:rsidRDefault="009E3CEC">
      <w:r>
        <w:separator/>
      </w:r>
    </w:p>
  </w:endnote>
  <w:endnote w:type="continuationSeparator" w:id="0">
    <w:p w14:paraId="02F77298" w14:textId="77777777" w:rsidR="009E3CEC" w:rsidRDefault="009E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5C191" w14:textId="219BA69E" w:rsidR="00C801DD" w:rsidRPr="00B23F69" w:rsidRDefault="00C801DD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60BA4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60BA4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D4BB" w14:textId="77777777" w:rsidR="009E3CEC" w:rsidRDefault="009E3CEC">
      <w:r>
        <w:separator/>
      </w:r>
    </w:p>
  </w:footnote>
  <w:footnote w:type="continuationSeparator" w:id="0">
    <w:p w14:paraId="45A854FD" w14:textId="77777777" w:rsidR="009E3CEC" w:rsidRDefault="009E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8pt;height:14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82E"/>
    <w:rsid w:val="00036FA0"/>
    <w:rsid w:val="0003793F"/>
    <w:rsid w:val="000511B0"/>
    <w:rsid w:val="00052E59"/>
    <w:rsid w:val="0005564A"/>
    <w:rsid w:val="00057E35"/>
    <w:rsid w:val="00074B87"/>
    <w:rsid w:val="00076726"/>
    <w:rsid w:val="00076FA3"/>
    <w:rsid w:val="00080303"/>
    <w:rsid w:val="000A3F58"/>
    <w:rsid w:val="000C3D9B"/>
    <w:rsid w:val="000D2343"/>
    <w:rsid w:val="000D3449"/>
    <w:rsid w:val="000D425A"/>
    <w:rsid w:val="000D60CC"/>
    <w:rsid w:val="000E2084"/>
    <w:rsid w:val="000E4E39"/>
    <w:rsid w:val="000E6F55"/>
    <w:rsid w:val="000F77FA"/>
    <w:rsid w:val="00107BF7"/>
    <w:rsid w:val="00126F53"/>
    <w:rsid w:val="0014766D"/>
    <w:rsid w:val="001536CC"/>
    <w:rsid w:val="00163C42"/>
    <w:rsid w:val="00170398"/>
    <w:rsid w:val="001A0023"/>
    <w:rsid w:val="001A3FBA"/>
    <w:rsid w:val="001A5518"/>
    <w:rsid w:val="001B1C6A"/>
    <w:rsid w:val="001C1263"/>
    <w:rsid w:val="001C1417"/>
    <w:rsid w:val="001D55E2"/>
    <w:rsid w:val="001E390B"/>
    <w:rsid w:val="001F42FB"/>
    <w:rsid w:val="001F719A"/>
    <w:rsid w:val="002031B3"/>
    <w:rsid w:val="00215931"/>
    <w:rsid w:val="00216B45"/>
    <w:rsid w:val="00221345"/>
    <w:rsid w:val="00227BDB"/>
    <w:rsid w:val="00234CB1"/>
    <w:rsid w:val="002352F8"/>
    <w:rsid w:val="00241461"/>
    <w:rsid w:val="002510A5"/>
    <w:rsid w:val="00254A0A"/>
    <w:rsid w:val="00266046"/>
    <w:rsid w:val="00280046"/>
    <w:rsid w:val="00281987"/>
    <w:rsid w:val="002846DB"/>
    <w:rsid w:val="00284CCD"/>
    <w:rsid w:val="002B6026"/>
    <w:rsid w:val="002C6637"/>
    <w:rsid w:val="002E0135"/>
    <w:rsid w:val="002E37A5"/>
    <w:rsid w:val="0030443C"/>
    <w:rsid w:val="00304BAF"/>
    <w:rsid w:val="00310F03"/>
    <w:rsid w:val="00312842"/>
    <w:rsid w:val="00323A05"/>
    <w:rsid w:val="003247D2"/>
    <w:rsid w:val="003445C1"/>
    <w:rsid w:val="00355B61"/>
    <w:rsid w:val="00362686"/>
    <w:rsid w:val="00371510"/>
    <w:rsid w:val="00396DFD"/>
    <w:rsid w:val="003A29FA"/>
    <w:rsid w:val="003A7059"/>
    <w:rsid w:val="003B7A36"/>
    <w:rsid w:val="003C17AB"/>
    <w:rsid w:val="003C7823"/>
    <w:rsid w:val="003E1DCC"/>
    <w:rsid w:val="003F5A90"/>
    <w:rsid w:val="003F6A59"/>
    <w:rsid w:val="004065C8"/>
    <w:rsid w:val="004109FA"/>
    <w:rsid w:val="00411B4B"/>
    <w:rsid w:val="00415BEE"/>
    <w:rsid w:val="00426E63"/>
    <w:rsid w:val="00427F85"/>
    <w:rsid w:val="00436F42"/>
    <w:rsid w:val="004378B4"/>
    <w:rsid w:val="00451314"/>
    <w:rsid w:val="00452E9D"/>
    <w:rsid w:val="004534C7"/>
    <w:rsid w:val="0046215A"/>
    <w:rsid w:val="004671AA"/>
    <w:rsid w:val="00480FB1"/>
    <w:rsid w:val="00483928"/>
    <w:rsid w:val="004D6103"/>
    <w:rsid w:val="004E3BCE"/>
    <w:rsid w:val="004F0E97"/>
    <w:rsid w:val="00501DD1"/>
    <w:rsid w:val="0050594B"/>
    <w:rsid w:val="00514DA1"/>
    <w:rsid w:val="00515C21"/>
    <w:rsid w:val="00530BD7"/>
    <w:rsid w:val="00545CD2"/>
    <w:rsid w:val="005476F3"/>
    <w:rsid w:val="00567624"/>
    <w:rsid w:val="00572527"/>
    <w:rsid w:val="00573E40"/>
    <w:rsid w:val="00576348"/>
    <w:rsid w:val="005A0B2E"/>
    <w:rsid w:val="005A23D2"/>
    <w:rsid w:val="005A36CB"/>
    <w:rsid w:val="005B35F2"/>
    <w:rsid w:val="005B49B8"/>
    <w:rsid w:val="005C0741"/>
    <w:rsid w:val="005C0E54"/>
    <w:rsid w:val="005C5EF4"/>
    <w:rsid w:val="005C6862"/>
    <w:rsid w:val="005E2E0B"/>
    <w:rsid w:val="005E7A7D"/>
    <w:rsid w:val="00602457"/>
    <w:rsid w:val="00617447"/>
    <w:rsid w:val="00646BD1"/>
    <w:rsid w:val="006561C2"/>
    <w:rsid w:val="00671CB3"/>
    <w:rsid w:val="00674BAF"/>
    <w:rsid w:val="00682200"/>
    <w:rsid w:val="00692BF6"/>
    <w:rsid w:val="006A1497"/>
    <w:rsid w:val="006B0BD1"/>
    <w:rsid w:val="006B0C97"/>
    <w:rsid w:val="006D20A5"/>
    <w:rsid w:val="006D37BF"/>
    <w:rsid w:val="006E7967"/>
    <w:rsid w:val="00702E22"/>
    <w:rsid w:val="0072020E"/>
    <w:rsid w:val="00770A68"/>
    <w:rsid w:val="00786071"/>
    <w:rsid w:val="007A3ECB"/>
    <w:rsid w:val="007B5FFC"/>
    <w:rsid w:val="007C7088"/>
    <w:rsid w:val="00824AB9"/>
    <w:rsid w:val="008360EF"/>
    <w:rsid w:val="00836B35"/>
    <w:rsid w:val="00843BDE"/>
    <w:rsid w:val="0084431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6E0F"/>
    <w:rsid w:val="00940B9B"/>
    <w:rsid w:val="00940DAC"/>
    <w:rsid w:val="00953C71"/>
    <w:rsid w:val="0095676E"/>
    <w:rsid w:val="00956983"/>
    <w:rsid w:val="00963CF0"/>
    <w:rsid w:val="00964BB1"/>
    <w:rsid w:val="009765FE"/>
    <w:rsid w:val="00976EFB"/>
    <w:rsid w:val="009775D9"/>
    <w:rsid w:val="00993A3A"/>
    <w:rsid w:val="00997175"/>
    <w:rsid w:val="009A1847"/>
    <w:rsid w:val="009B062A"/>
    <w:rsid w:val="009B73E7"/>
    <w:rsid w:val="009E3CEC"/>
    <w:rsid w:val="009E6906"/>
    <w:rsid w:val="009E7C6F"/>
    <w:rsid w:val="009F1793"/>
    <w:rsid w:val="009F2D23"/>
    <w:rsid w:val="00A01D69"/>
    <w:rsid w:val="00A02335"/>
    <w:rsid w:val="00A0430D"/>
    <w:rsid w:val="00A10376"/>
    <w:rsid w:val="00A13C41"/>
    <w:rsid w:val="00A363D2"/>
    <w:rsid w:val="00A46C9A"/>
    <w:rsid w:val="00A619F3"/>
    <w:rsid w:val="00A62A73"/>
    <w:rsid w:val="00A87FF6"/>
    <w:rsid w:val="00AA0A3B"/>
    <w:rsid w:val="00AA2763"/>
    <w:rsid w:val="00AA33B6"/>
    <w:rsid w:val="00AA754F"/>
    <w:rsid w:val="00AB3008"/>
    <w:rsid w:val="00AB4DD9"/>
    <w:rsid w:val="00AB50CA"/>
    <w:rsid w:val="00AB6D64"/>
    <w:rsid w:val="00AC53CE"/>
    <w:rsid w:val="00AD2193"/>
    <w:rsid w:val="00AF2AC7"/>
    <w:rsid w:val="00AF74CE"/>
    <w:rsid w:val="00B14441"/>
    <w:rsid w:val="00B208DB"/>
    <w:rsid w:val="00B23F69"/>
    <w:rsid w:val="00B51051"/>
    <w:rsid w:val="00B60619"/>
    <w:rsid w:val="00B60BA4"/>
    <w:rsid w:val="00B66A70"/>
    <w:rsid w:val="00B67366"/>
    <w:rsid w:val="00B80EE1"/>
    <w:rsid w:val="00B84135"/>
    <w:rsid w:val="00BA74C7"/>
    <w:rsid w:val="00C04D34"/>
    <w:rsid w:val="00C05DF8"/>
    <w:rsid w:val="00C06864"/>
    <w:rsid w:val="00C06DE9"/>
    <w:rsid w:val="00C10F54"/>
    <w:rsid w:val="00C23D8D"/>
    <w:rsid w:val="00C37AA3"/>
    <w:rsid w:val="00C37FD7"/>
    <w:rsid w:val="00C43419"/>
    <w:rsid w:val="00C44CF3"/>
    <w:rsid w:val="00C61BE0"/>
    <w:rsid w:val="00C70B0E"/>
    <w:rsid w:val="00C773CA"/>
    <w:rsid w:val="00C801DD"/>
    <w:rsid w:val="00C83785"/>
    <w:rsid w:val="00C87601"/>
    <w:rsid w:val="00C94C0D"/>
    <w:rsid w:val="00CA1FEB"/>
    <w:rsid w:val="00CD4F85"/>
    <w:rsid w:val="00CD6F02"/>
    <w:rsid w:val="00CE246D"/>
    <w:rsid w:val="00CF07A0"/>
    <w:rsid w:val="00CF3E03"/>
    <w:rsid w:val="00CF733E"/>
    <w:rsid w:val="00D0082A"/>
    <w:rsid w:val="00D21455"/>
    <w:rsid w:val="00D47634"/>
    <w:rsid w:val="00D709B3"/>
    <w:rsid w:val="00DA2ED6"/>
    <w:rsid w:val="00DB3EB0"/>
    <w:rsid w:val="00DB76B8"/>
    <w:rsid w:val="00DC2EA1"/>
    <w:rsid w:val="00DC52C6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659A7"/>
    <w:rsid w:val="00E74AEE"/>
    <w:rsid w:val="00E868E5"/>
    <w:rsid w:val="00E9237A"/>
    <w:rsid w:val="00E939FA"/>
    <w:rsid w:val="00EA5765"/>
    <w:rsid w:val="00EC2532"/>
    <w:rsid w:val="00ED7812"/>
    <w:rsid w:val="00EE5A17"/>
    <w:rsid w:val="00EF3B86"/>
    <w:rsid w:val="00F317E9"/>
    <w:rsid w:val="00F3384F"/>
    <w:rsid w:val="00F34554"/>
    <w:rsid w:val="00F45F77"/>
    <w:rsid w:val="00F5167F"/>
    <w:rsid w:val="00F52258"/>
    <w:rsid w:val="00F644E2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5C1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594B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50594B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28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CE40-B2B4-459E-AD7B-8B3FB0C5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7141</Words>
  <Characters>40707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47753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9</cp:revision>
  <dcterms:created xsi:type="dcterms:W3CDTF">2020-09-21T08:11:00Z</dcterms:created>
  <dcterms:modified xsi:type="dcterms:W3CDTF">2020-10-20T06:25:00Z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