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B90281" w:rsidRDefault="001A5518" w:rsidP="001A5518">
      <w:pPr>
        <w:rPr>
          <w:b/>
          <w:bCs/>
          <w:i/>
          <w:iCs/>
          <w:sz w:val="22"/>
          <w:szCs w:val="22"/>
          <w:u w:val="single"/>
          <w:lang w:val="sr-Latn-ME"/>
        </w:rPr>
      </w:pPr>
    </w:p>
    <w:p w:rsidR="00F91C7B" w:rsidRPr="00B90281" w:rsidRDefault="00F91C7B" w:rsidP="001A5518">
      <w:pPr>
        <w:rPr>
          <w:b/>
          <w:bCs/>
          <w:i/>
          <w:iCs/>
          <w:sz w:val="22"/>
          <w:szCs w:val="22"/>
          <w:u w:val="single"/>
          <w:lang w:val="sr-Latn-ME"/>
        </w:rPr>
      </w:pPr>
    </w:p>
    <w:p w:rsidR="002510A5" w:rsidRPr="00B90281" w:rsidRDefault="002510A5" w:rsidP="002510A5">
      <w:pPr>
        <w:jc w:val="center"/>
        <w:rPr>
          <w:b/>
          <w:bCs/>
          <w:iCs/>
          <w:sz w:val="22"/>
          <w:szCs w:val="22"/>
          <w:u w:val="single"/>
          <w:lang w:val="sr-Latn-ME"/>
        </w:rPr>
      </w:pPr>
      <w:r w:rsidRPr="00B90281">
        <w:rPr>
          <w:b/>
          <w:bCs/>
          <w:iCs/>
          <w:sz w:val="22"/>
          <w:szCs w:val="22"/>
          <w:u w:val="single"/>
          <w:lang w:val="sr-Latn-ME"/>
        </w:rPr>
        <w:t>SAŽETAK KARAKTERISTIKA LIJEKA</w:t>
      </w:r>
    </w:p>
    <w:p w:rsidR="002510A5" w:rsidRPr="00B90281" w:rsidRDefault="002510A5" w:rsidP="002510A5">
      <w:pPr>
        <w:rPr>
          <w:b/>
          <w:bCs/>
          <w:i/>
          <w:iCs/>
          <w:sz w:val="22"/>
          <w:szCs w:val="22"/>
          <w:u w:val="single"/>
          <w:lang w:val="sr-Latn-ME"/>
        </w:rPr>
      </w:pPr>
    </w:p>
    <w:p w:rsidR="003C17AB" w:rsidRPr="00B90281" w:rsidRDefault="003C17AB" w:rsidP="00F5167F">
      <w:pPr>
        <w:tabs>
          <w:tab w:val="left" w:pos="540"/>
          <w:tab w:val="left" w:pos="569"/>
        </w:tabs>
        <w:rPr>
          <w:noProof/>
          <w:sz w:val="22"/>
          <w:szCs w:val="22"/>
          <w:lang w:val="sr-Latn-ME"/>
        </w:rPr>
      </w:pPr>
    </w:p>
    <w:p w:rsidR="00C37FD7" w:rsidRPr="00B90281" w:rsidRDefault="00C37FD7" w:rsidP="00F5167F">
      <w:pPr>
        <w:tabs>
          <w:tab w:val="left" w:pos="540"/>
          <w:tab w:val="left" w:pos="569"/>
        </w:tabs>
        <w:rPr>
          <w:bCs/>
          <w:sz w:val="22"/>
          <w:szCs w:val="22"/>
          <w:lang w:val="sr-Latn-ME"/>
        </w:rPr>
      </w:pPr>
    </w:p>
    <w:p w:rsidR="00411B4B" w:rsidRPr="00B90281" w:rsidRDefault="00411B4B" w:rsidP="00F5167F">
      <w:pPr>
        <w:tabs>
          <w:tab w:val="left" w:pos="540"/>
          <w:tab w:val="left" w:pos="569"/>
        </w:tabs>
        <w:rPr>
          <w:b/>
          <w:bCs/>
          <w:sz w:val="22"/>
          <w:szCs w:val="22"/>
          <w:lang w:val="sr-Latn-ME"/>
        </w:rPr>
      </w:pPr>
      <w:r w:rsidRPr="00B90281">
        <w:rPr>
          <w:b/>
          <w:bCs/>
          <w:sz w:val="22"/>
          <w:szCs w:val="22"/>
          <w:lang w:val="sr-Latn-ME"/>
        </w:rPr>
        <w:t>1.</w:t>
      </w:r>
      <w:r w:rsidR="00F5167F" w:rsidRPr="00B90281">
        <w:rPr>
          <w:b/>
          <w:bCs/>
          <w:sz w:val="22"/>
          <w:szCs w:val="22"/>
          <w:lang w:val="sr-Latn-ME"/>
        </w:rPr>
        <w:tab/>
      </w:r>
      <w:r w:rsidR="002846DB" w:rsidRPr="00B90281">
        <w:rPr>
          <w:b/>
          <w:bCs/>
          <w:sz w:val="22"/>
          <w:szCs w:val="22"/>
          <w:lang w:val="sr-Latn-ME"/>
        </w:rPr>
        <w:t xml:space="preserve">NAZIV </w:t>
      </w:r>
      <w:r w:rsidRPr="00B90281">
        <w:rPr>
          <w:b/>
          <w:bCs/>
          <w:sz w:val="22"/>
          <w:szCs w:val="22"/>
          <w:lang w:val="sr-Latn-ME"/>
        </w:rPr>
        <w:t>LIJEKA</w:t>
      </w:r>
    </w:p>
    <w:p w:rsidR="00EC2532" w:rsidRPr="00B90281" w:rsidRDefault="00EC2532">
      <w:pPr>
        <w:rPr>
          <w:sz w:val="22"/>
          <w:szCs w:val="22"/>
          <w:lang w:val="sr-Latn-ME"/>
        </w:rPr>
      </w:pPr>
    </w:p>
    <w:p w:rsidR="00107BF7" w:rsidRPr="00B90281" w:rsidRDefault="00D223D1">
      <w:pPr>
        <w:rPr>
          <w:iCs/>
          <w:sz w:val="22"/>
          <w:szCs w:val="22"/>
          <w:lang w:val="sr-Latn-ME"/>
        </w:rPr>
      </w:pPr>
      <w:r w:rsidRPr="00B90281">
        <w:rPr>
          <w:iCs/>
          <w:sz w:val="22"/>
          <w:szCs w:val="22"/>
          <w:lang w:val="sr-Latn-ME"/>
        </w:rPr>
        <w:t xml:space="preserve">Bortezomib </w:t>
      </w:r>
      <w:r w:rsidR="00640DA2" w:rsidRPr="00B90281">
        <w:rPr>
          <w:iCs/>
          <w:sz w:val="22"/>
          <w:szCs w:val="22"/>
          <w:lang w:val="sr-Latn-ME"/>
        </w:rPr>
        <w:t>Accord</w:t>
      </w:r>
      <w:r w:rsidRPr="00B90281">
        <w:rPr>
          <w:iCs/>
          <w:sz w:val="22"/>
          <w:szCs w:val="22"/>
          <w:lang w:val="sr-Latn-ME"/>
        </w:rPr>
        <w:t xml:space="preserve">, </w:t>
      </w:r>
      <w:r w:rsidR="00206D7D">
        <w:rPr>
          <w:iCs/>
          <w:sz w:val="22"/>
          <w:szCs w:val="22"/>
          <w:lang w:val="sr-Latn-ME"/>
        </w:rPr>
        <w:t>3.5</w:t>
      </w:r>
      <w:r w:rsidR="00C213D2" w:rsidRPr="00B90281">
        <w:rPr>
          <w:iCs/>
          <w:sz w:val="22"/>
          <w:szCs w:val="22"/>
          <w:lang w:val="sr-Latn-ME"/>
        </w:rPr>
        <w:t xml:space="preserve"> mg, </w:t>
      </w:r>
      <w:r w:rsidR="00F3753B" w:rsidRPr="00B90281">
        <w:rPr>
          <w:iCs/>
          <w:sz w:val="22"/>
          <w:szCs w:val="22"/>
          <w:lang w:val="sr-Latn-ME"/>
        </w:rPr>
        <w:t>prašak za rastvor za injekciju</w:t>
      </w:r>
    </w:p>
    <w:p w:rsidR="000D425A" w:rsidRPr="00B90281" w:rsidRDefault="000D425A">
      <w:pPr>
        <w:rPr>
          <w:bCs/>
          <w:sz w:val="22"/>
          <w:szCs w:val="22"/>
          <w:lang w:val="sr-Latn-ME"/>
        </w:rPr>
      </w:pPr>
    </w:p>
    <w:p w:rsidR="006D20A5" w:rsidRPr="00B90281" w:rsidRDefault="006D20A5" w:rsidP="006D20A5">
      <w:pPr>
        <w:rPr>
          <w:sz w:val="22"/>
          <w:szCs w:val="22"/>
          <w:lang w:val="sr-Latn-ME"/>
        </w:rPr>
      </w:pPr>
      <w:r w:rsidRPr="00B90281">
        <w:rPr>
          <w:sz w:val="22"/>
          <w:szCs w:val="22"/>
          <w:lang w:val="sr-Latn-ME"/>
        </w:rPr>
        <w:t>INN:</w:t>
      </w:r>
      <w:r w:rsidR="00C213D2" w:rsidRPr="00B90281">
        <w:rPr>
          <w:sz w:val="22"/>
          <w:szCs w:val="22"/>
          <w:lang w:val="sr-Latn-ME"/>
        </w:rPr>
        <w:t xml:space="preserve"> bortezomib</w:t>
      </w:r>
    </w:p>
    <w:p w:rsidR="006D20A5" w:rsidRPr="00B90281" w:rsidRDefault="006D20A5">
      <w:pPr>
        <w:rPr>
          <w:bCs/>
          <w:sz w:val="22"/>
          <w:szCs w:val="22"/>
          <w:lang w:val="sr-Latn-ME"/>
        </w:rPr>
      </w:pPr>
    </w:p>
    <w:p w:rsidR="00530BD7" w:rsidRPr="00B90281" w:rsidRDefault="00530BD7">
      <w:pPr>
        <w:rPr>
          <w:bCs/>
          <w:sz w:val="22"/>
          <w:szCs w:val="22"/>
          <w:lang w:val="sr-Latn-ME"/>
        </w:rPr>
      </w:pPr>
    </w:p>
    <w:p w:rsidR="00411B4B" w:rsidRPr="00B90281" w:rsidRDefault="00411B4B" w:rsidP="00F5167F">
      <w:pPr>
        <w:tabs>
          <w:tab w:val="left" w:pos="540"/>
          <w:tab w:val="left" w:pos="569"/>
        </w:tabs>
        <w:rPr>
          <w:b/>
          <w:bCs/>
          <w:sz w:val="22"/>
          <w:szCs w:val="22"/>
          <w:lang w:val="sr-Latn-ME"/>
        </w:rPr>
      </w:pPr>
      <w:r w:rsidRPr="00B90281">
        <w:rPr>
          <w:b/>
          <w:bCs/>
          <w:sz w:val="22"/>
          <w:szCs w:val="22"/>
          <w:lang w:val="sr-Latn-ME"/>
        </w:rPr>
        <w:t xml:space="preserve">2. </w:t>
      </w:r>
      <w:r w:rsidR="00F5167F" w:rsidRPr="00B90281">
        <w:rPr>
          <w:b/>
          <w:bCs/>
          <w:sz w:val="22"/>
          <w:szCs w:val="22"/>
          <w:lang w:val="sr-Latn-ME"/>
        </w:rPr>
        <w:tab/>
      </w:r>
      <w:r w:rsidRPr="00B90281">
        <w:rPr>
          <w:b/>
          <w:bCs/>
          <w:sz w:val="22"/>
          <w:szCs w:val="22"/>
          <w:lang w:val="sr-Latn-ME"/>
        </w:rPr>
        <w:t>KVALITATIVNI I KVANTITATIVNI SASTAV</w:t>
      </w:r>
    </w:p>
    <w:p w:rsidR="005A0B2E" w:rsidRPr="00B90281" w:rsidRDefault="005A0B2E">
      <w:pPr>
        <w:rPr>
          <w:sz w:val="22"/>
          <w:szCs w:val="22"/>
          <w:lang w:val="sr-Latn-ME"/>
        </w:rPr>
      </w:pPr>
    </w:p>
    <w:p w:rsidR="008A489E" w:rsidRPr="00B90281" w:rsidRDefault="00D926E6" w:rsidP="008A489E">
      <w:pPr>
        <w:suppressAutoHyphens/>
        <w:autoSpaceDE w:val="0"/>
        <w:jc w:val="both"/>
        <w:rPr>
          <w:rFonts w:eastAsia="TimesNewRoman"/>
          <w:color w:val="000000"/>
          <w:sz w:val="22"/>
          <w:szCs w:val="22"/>
          <w:lang w:val="sr-Latn-ME" w:eastAsia="hr-HR"/>
        </w:rPr>
      </w:pPr>
      <w:r w:rsidRPr="00B90281">
        <w:rPr>
          <w:rFonts w:eastAsia="TimesNewRoman"/>
          <w:color w:val="000000"/>
          <w:sz w:val="22"/>
          <w:szCs w:val="22"/>
          <w:lang w:val="sr-Latn-ME" w:eastAsia="hr-HR"/>
        </w:rPr>
        <w:t xml:space="preserve">Jedna bočica sadrži </w:t>
      </w:r>
      <w:r w:rsidR="00206D7D">
        <w:rPr>
          <w:rFonts w:eastAsia="TimesNewRoman"/>
          <w:color w:val="000000"/>
          <w:sz w:val="22"/>
          <w:szCs w:val="22"/>
          <w:lang w:val="sr-Latn-ME" w:eastAsia="hr-HR"/>
        </w:rPr>
        <w:t>3.5</w:t>
      </w:r>
      <w:r w:rsidR="008A489E" w:rsidRPr="00B90281">
        <w:rPr>
          <w:rFonts w:eastAsia="TimesNewRoman"/>
          <w:color w:val="000000"/>
          <w:sz w:val="22"/>
          <w:szCs w:val="22"/>
          <w:lang w:val="sr-Latn-ME" w:eastAsia="hr-HR"/>
        </w:rPr>
        <w:t xml:space="preserve"> mg bortezomiba (u obliku estra boronske kiseline i manitola).</w:t>
      </w:r>
    </w:p>
    <w:p w:rsidR="008A489E" w:rsidRPr="00B90281" w:rsidRDefault="008A489E" w:rsidP="008A489E">
      <w:pPr>
        <w:suppressAutoHyphens/>
        <w:autoSpaceDE w:val="0"/>
        <w:jc w:val="both"/>
        <w:rPr>
          <w:rFonts w:eastAsia="TimesNewRoman"/>
          <w:color w:val="000000"/>
          <w:sz w:val="22"/>
          <w:szCs w:val="22"/>
          <w:lang w:val="sr-Latn-ME" w:eastAsia="hr-HR"/>
        </w:rPr>
      </w:pPr>
    </w:p>
    <w:p w:rsidR="000845FB" w:rsidRPr="00B90281" w:rsidRDefault="00417538" w:rsidP="000845FB">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Nakon rekonstitucije</w:t>
      </w:r>
      <w:r w:rsidR="000845FB" w:rsidRPr="00B90281">
        <w:rPr>
          <w:rFonts w:eastAsia="Arial"/>
          <w:color w:val="000000"/>
          <w:sz w:val="22"/>
          <w:szCs w:val="22"/>
          <w:lang w:val="sr-Latn-ME" w:eastAsia="hr-HR"/>
        </w:rPr>
        <w:t xml:space="preserve">, 1 ml </w:t>
      </w:r>
      <w:r w:rsidR="000845FB" w:rsidRPr="00B90281">
        <w:rPr>
          <w:rFonts w:eastAsia="Arial"/>
          <w:sz w:val="22"/>
          <w:szCs w:val="22"/>
          <w:lang w:val="sr-Latn-ME" w:eastAsia="hr-HR"/>
        </w:rPr>
        <w:t>rastvora</w:t>
      </w:r>
      <w:r w:rsidR="000845FB" w:rsidRPr="00B90281">
        <w:rPr>
          <w:rFonts w:eastAsia="Arial"/>
          <w:color w:val="000000"/>
          <w:sz w:val="22"/>
          <w:szCs w:val="22"/>
          <w:lang w:val="sr-Latn-ME" w:eastAsia="hr-HR"/>
        </w:rPr>
        <w:t xml:space="preserve"> za</w:t>
      </w:r>
      <w:r w:rsidR="000845FB" w:rsidRPr="00B90281">
        <w:rPr>
          <w:rFonts w:eastAsia="Mangal"/>
          <w:sz w:val="22"/>
          <w:szCs w:val="22"/>
          <w:lang w:val="sr-Latn-ME" w:eastAsia="zh-CN"/>
        </w:rPr>
        <w:t xml:space="preserve"> </w:t>
      </w:r>
      <w:r w:rsidR="00523FF2" w:rsidRPr="00B90281">
        <w:rPr>
          <w:rFonts w:eastAsia="Arial"/>
          <w:color w:val="000000"/>
          <w:sz w:val="22"/>
          <w:szCs w:val="22"/>
          <w:lang w:val="sr-Latn-ME" w:eastAsia="hr-HR"/>
        </w:rPr>
        <w:t>sub</w:t>
      </w:r>
      <w:r w:rsidR="000845FB" w:rsidRPr="00B90281">
        <w:rPr>
          <w:rFonts w:eastAsia="Arial"/>
          <w:color w:val="000000"/>
          <w:sz w:val="22"/>
          <w:szCs w:val="22"/>
          <w:lang w:val="sr-Latn-ME" w:eastAsia="hr-HR"/>
        </w:rPr>
        <w:t>kutanu injekciju sadrži 2.5 mg bortezomiba.</w:t>
      </w:r>
    </w:p>
    <w:p w:rsidR="000845FB" w:rsidRPr="00B90281" w:rsidRDefault="00417538" w:rsidP="000845FB">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Nakon rekonstitucije</w:t>
      </w:r>
      <w:r w:rsidR="000845FB" w:rsidRPr="00B90281">
        <w:rPr>
          <w:rFonts w:eastAsia="Arial"/>
          <w:color w:val="000000"/>
          <w:sz w:val="22"/>
          <w:szCs w:val="22"/>
          <w:lang w:val="sr-Latn-ME" w:eastAsia="hr-HR"/>
        </w:rPr>
        <w:t>, 1 ml rastvora za intravensku injekciju sadrži 1 mg bortezomiba.</w:t>
      </w:r>
    </w:p>
    <w:p w:rsidR="008A489E" w:rsidRPr="00B90281" w:rsidRDefault="008A489E">
      <w:pPr>
        <w:rPr>
          <w:sz w:val="22"/>
          <w:szCs w:val="22"/>
          <w:lang w:val="sr-Latn-ME"/>
        </w:rPr>
      </w:pPr>
    </w:p>
    <w:p w:rsidR="0003793F" w:rsidRPr="00B90281" w:rsidRDefault="0003793F">
      <w:pPr>
        <w:rPr>
          <w:sz w:val="22"/>
          <w:szCs w:val="22"/>
          <w:lang w:val="sr-Latn-ME"/>
        </w:rPr>
      </w:pPr>
      <w:r w:rsidRPr="00B90281">
        <w:rPr>
          <w:sz w:val="22"/>
          <w:szCs w:val="22"/>
          <w:lang w:val="sr-Latn-ME"/>
        </w:rPr>
        <w:t>Za spisak svih ekscipijenasa, pogledati dio 6.1.</w:t>
      </w:r>
    </w:p>
    <w:p w:rsidR="0003793F" w:rsidRPr="00B90281" w:rsidRDefault="0003793F">
      <w:pPr>
        <w:rPr>
          <w:sz w:val="22"/>
          <w:szCs w:val="22"/>
          <w:lang w:val="sr-Latn-ME"/>
        </w:rPr>
      </w:pPr>
    </w:p>
    <w:p w:rsidR="00C37FD7" w:rsidRPr="00B90281" w:rsidRDefault="00C37FD7">
      <w:pPr>
        <w:rPr>
          <w:sz w:val="22"/>
          <w:szCs w:val="22"/>
          <w:lang w:val="sr-Latn-ME"/>
        </w:rPr>
      </w:pPr>
    </w:p>
    <w:p w:rsidR="00411B4B" w:rsidRPr="00B90281" w:rsidRDefault="00411B4B" w:rsidP="00F5167F">
      <w:pPr>
        <w:tabs>
          <w:tab w:val="left" w:pos="540"/>
          <w:tab w:val="left" w:pos="569"/>
        </w:tabs>
        <w:rPr>
          <w:b/>
          <w:bCs/>
          <w:sz w:val="22"/>
          <w:szCs w:val="22"/>
          <w:lang w:val="sr-Latn-ME"/>
        </w:rPr>
      </w:pPr>
      <w:r w:rsidRPr="00B90281">
        <w:rPr>
          <w:b/>
          <w:bCs/>
          <w:sz w:val="22"/>
          <w:szCs w:val="22"/>
          <w:lang w:val="sr-Latn-ME"/>
        </w:rPr>
        <w:t xml:space="preserve">3. </w:t>
      </w:r>
      <w:r w:rsidR="00F5167F" w:rsidRPr="00B90281">
        <w:rPr>
          <w:b/>
          <w:bCs/>
          <w:sz w:val="22"/>
          <w:szCs w:val="22"/>
          <w:lang w:val="sr-Latn-ME"/>
        </w:rPr>
        <w:tab/>
      </w:r>
      <w:r w:rsidRPr="00B90281">
        <w:rPr>
          <w:b/>
          <w:bCs/>
          <w:sz w:val="22"/>
          <w:szCs w:val="22"/>
          <w:lang w:val="sr-Latn-ME"/>
        </w:rPr>
        <w:t>FARMACEUTSKI OBLIK</w:t>
      </w:r>
      <w:r w:rsidR="009F2D23" w:rsidRPr="00B90281">
        <w:rPr>
          <w:b/>
          <w:bCs/>
          <w:sz w:val="22"/>
          <w:szCs w:val="22"/>
          <w:lang w:val="sr-Latn-ME"/>
        </w:rPr>
        <w:t xml:space="preserve"> </w:t>
      </w:r>
    </w:p>
    <w:p w:rsidR="00311BF4" w:rsidRPr="00B90281" w:rsidRDefault="00311BF4" w:rsidP="00311BF4">
      <w:pPr>
        <w:suppressAutoHyphens/>
        <w:autoSpaceDE w:val="0"/>
        <w:jc w:val="both"/>
        <w:rPr>
          <w:rFonts w:eastAsia="TimesNewRoman"/>
          <w:color w:val="000000"/>
          <w:sz w:val="22"/>
          <w:szCs w:val="22"/>
          <w:lang w:val="sr-Latn-ME" w:eastAsia="hr-HR"/>
        </w:rPr>
      </w:pPr>
    </w:p>
    <w:p w:rsidR="00311BF4" w:rsidRPr="00B90281" w:rsidRDefault="00311BF4" w:rsidP="00311BF4">
      <w:pPr>
        <w:suppressAutoHyphens/>
        <w:autoSpaceDE w:val="0"/>
        <w:jc w:val="both"/>
        <w:rPr>
          <w:rFonts w:eastAsia="TimesNewRoman"/>
          <w:color w:val="000000"/>
          <w:sz w:val="22"/>
          <w:szCs w:val="22"/>
          <w:lang w:val="sr-Latn-ME" w:eastAsia="hr-HR"/>
        </w:rPr>
      </w:pPr>
      <w:r w:rsidRPr="00B90281">
        <w:rPr>
          <w:rFonts w:eastAsia="TimesNewRoman"/>
          <w:color w:val="000000"/>
          <w:sz w:val="22"/>
          <w:szCs w:val="22"/>
          <w:lang w:val="sr-Latn-ME" w:eastAsia="hr-HR"/>
        </w:rPr>
        <w:t>Prašak za rastvor za injekciju.</w:t>
      </w:r>
    </w:p>
    <w:p w:rsidR="00311BF4" w:rsidRPr="00B90281" w:rsidRDefault="00311BF4" w:rsidP="00311BF4">
      <w:pPr>
        <w:suppressAutoHyphens/>
        <w:autoSpaceDE w:val="0"/>
        <w:jc w:val="both"/>
        <w:rPr>
          <w:rFonts w:eastAsia="TimesNewRoman"/>
          <w:color w:val="000000"/>
          <w:sz w:val="22"/>
          <w:szCs w:val="22"/>
          <w:lang w:val="sr-Latn-ME" w:eastAsia="hr-HR"/>
        </w:rPr>
      </w:pPr>
      <w:r w:rsidRPr="00B90281">
        <w:rPr>
          <w:rFonts w:eastAsia="TimesNewRoman"/>
          <w:color w:val="000000"/>
          <w:sz w:val="22"/>
          <w:szCs w:val="22"/>
          <w:lang w:val="sr-Latn-ME" w:eastAsia="hr-HR"/>
        </w:rPr>
        <w:t>Bijeli do gotovo bijeli</w:t>
      </w:r>
      <w:r w:rsidRPr="00B90281">
        <w:rPr>
          <w:rFonts w:eastAsia="TimesNewRoman"/>
          <w:sz w:val="22"/>
          <w:szCs w:val="22"/>
          <w:lang w:val="sr-Latn-ME" w:eastAsia="hr-HR"/>
        </w:rPr>
        <w:t xml:space="preserve"> kolač</w:t>
      </w:r>
      <w:r w:rsidRPr="00B90281">
        <w:rPr>
          <w:rFonts w:eastAsia="TimesNewRoman"/>
          <w:color w:val="000000"/>
          <w:sz w:val="22"/>
          <w:szCs w:val="22"/>
          <w:lang w:val="sr-Latn-ME" w:eastAsia="hr-HR"/>
        </w:rPr>
        <w:t xml:space="preserve"> ili prašak.</w:t>
      </w:r>
    </w:p>
    <w:p w:rsidR="00411B4B" w:rsidRPr="00B90281" w:rsidRDefault="00411B4B">
      <w:pPr>
        <w:rPr>
          <w:bCs/>
          <w:sz w:val="22"/>
          <w:szCs w:val="22"/>
          <w:lang w:val="sr-Latn-ME"/>
        </w:rPr>
      </w:pPr>
    </w:p>
    <w:p w:rsidR="00EC2532" w:rsidRPr="00B90281" w:rsidRDefault="00EC2532">
      <w:pPr>
        <w:rPr>
          <w:bCs/>
          <w:sz w:val="22"/>
          <w:szCs w:val="22"/>
          <w:lang w:val="sr-Latn-ME"/>
        </w:rPr>
      </w:pPr>
    </w:p>
    <w:p w:rsidR="00411B4B" w:rsidRPr="00B90281" w:rsidRDefault="00411B4B" w:rsidP="00F5167F">
      <w:pPr>
        <w:tabs>
          <w:tab w:val="left" w:pos="540"/>
          <w:tab w:val="left" w:pos="569"/>
        </w:tabs>
        <w:rPr>
          <w:b/>
          <w:bCs/>
          <w:sz w:val="22"/>
          <w:szCs w:val="22"/>
          <w:lang w:val="sr-Latn-ME"/>
        </w:rPr>
      </w:pPr>
      <w:r w:rsidRPr="00B90281">
        <w:rPr>
          <w:b/>
          <w:bCs/>
          <w:sz w:val="22"/>
          <w:szCs w:val="22"/>
          <w:lang w:val="sr-Latn-ME"/>
        </w:rPr>
        <w:t xml:space="preserve">4. </w:t>
      </w:r>
      <w:r w:rsidR="00480FB1" w:rsidRPr="00B90281">
        <w:rPr>
          <w:b/>
          <w:bCs/>
          <w:sz w:val="22"/>
          <w:szCs w:val="22"/>
          <w:lang w:val="sr-Latn-ME"/>
        </w:rPr>
        <w:tab/>
      </w:r>
      <w:r w:rsidRPr="00B90281">
        <w:rPr>
          <w:b/>
          <w:bCs/>
          <w:sz w:val="22"/>
          <w:szCs w:val="22"/>
          <w:lang w:val="sr-Latn-ME"/>
        </w:rPr>
        <w:t>KLINIČKI PODACI</w:t>
      </w:r>
    </w:p>
    <w:p w:rsidR="00CD6F02" w:rsidRPr="00B90281" w:rsidRDefault="00CD6F02" w:rsidP="00480FB1">
      <w:pPr>
        <w:tabs>
          <w:tab w:val="left" w:pos="540"/>
          <w:tab w:val="left" w:pos="569"/>
        </w:tabs>
        <w:rPr>
          <w:bCs/>
          <w:sz w:val="22"/>
          <w:szCs w:val="22"/>
          <w:lang w:val="sr-Latn-ME"/>
        </w:rPr>
      </w:pPr>
    </w:p>
    <w:p w:rsidR="00411B4B" w:rsidRPr="00B90281" w:rsidRDefault="00411B4B" w:rsidP="00480FB1">
      <w:pPr>
        <w:tabs>
          <w:tab w:val="left" w:pos="540"/>
          <w:tab w:val="left" w:pos="569"/>
        </w:tabs>
        <w:rPr>
          <w:b/>
          <w:bCs/>
          <w:sz w:val="22"/>
          <w:szCs w:val="22"/>
          <w:lang w:val="sr-Latn-ME"/>
        </w:rPr>
      </w:pPr>
      <w:r w:rsidRPr="00B90281">
        <w:rPr>
          <w:b/>
          <w:bCs/>
          <w:sz w:val="22"/>
          <w:szCs w:val="22"/>
          <w:lang w:val="sr-Latn-ME"/>
        </w:rPr>
        <w:t xml:space="preserve">4.1. </w:t>
      </w:r>
      <w:r w:rsidR="00480FB1" w:rsidRPr="00B90281">
        <w:rPr>
          <w:b/>
          <w:bCs/>
          <w:sz w:val="22"/>
          <w:szCs w:val="22"/>
          <w:lang w:val="sr-Latn-ME"/>
        </w:rPr>
        <w:tab/>
      </w:r>
      <w:r w:rsidRPr="00B90281">
        <w:rPr>
          <w:b/>
          <w:bCs/>
          <w:sz w:val="22"/>
          <w:szCs w:val="22"/>
          <w:lang w:val="sr-Latn-ME"/>
        </w:rPr>
        <w:t>Terapijske indikacije</w:t>
      </w:r>
    </w:p>
    <w:p w:rsidR="00411B4B" w:rsidRPr="00B90281" w:rsidRDefault="00411B4B" w:rsidP="00480FB1">
      <w:pPr>
        <w:tabs>
          <w:tab w:val="left" w:pos="540"/>
          <w:tab w:val="left" w:pos="569"/>
        </w:tabs>
        <w:rPr>
          <w:bCs/>
          <w:sz w:val="22"/>
          <w:szCs w:val="22"/>
          <w:lang w:val="sr-Latn-ME"/>
        </w:rPr>
      </w:pPr>
    </w:p>
    <w:p w:rsidR="00B379B2" w:rsidRPr="00B90281" w:rsidRDefault="00CB4A4B" w:rsidP="00B379B2">
      <w:pPr>
        <w:suppressAutoHyphens/>
        <w:autoSpaceDE w:val="0"/>
        <w:jc w:val="both"/>
        <w:rPr>
          <w:rFonts w:eastAsia="TimesNewRoman"/>
          <w:color w:val="000000"/>
          <w:sz w:val="22"/>
          <w:szCs w:val="22"/>
          <w:lang w:val="sr-Latn-ME" w:eastAsia="hr-HR"/>
        </w:rPr>
      </w:pPr>
      <w:r w:rsidRPr="00B90281">
        <w:rPr>
          <w:rFonts w:eastAsia="TimesNewRoman"/>
          <w:color w:val="000000"/>
          <w:sz w:val="22"/>
          <w:szCs w:val="22"/>
          <w:lang w:val="sr-Latn-ME" w:eastAsia="hr-HR"/>
        </w:rPr>
        <w:t xml:space="preserve">Lijek </w:t>
      </w:r>
      <w:r w:rsidR="00B379B2" w:rsidRPr="00B90281">
        <w:rPr>
          <w:rFonts w:eastAsia="TimesNewRoman"/>
          <w:color w:val="000000"/>
          <w:sz w:val="22"/>
          <w:szCs w:val="22"/>
          <w:lang w:val="sr-Latn-ME" w:eastAsia="hr-HR"/>
        </w:rPr>
        <w:t xml:space="preserve">Bortezomib </w:t>
      </w:r>
      <w:r w:rsidR="00640DA2" w:rsidRPr="00B90281">
        <w:rPr>
          <w:rFonts w:eastAsia="TimesNewRoman"/>
          <w:color w:val="000000"/>
          <w:sz w:val="22"/>
          <w:szCs w:val="22"/>
          <w:lang w:val="sr-Latn-ME" w:eastAsia="hr-HR"/>
        </w:rPr>
        <w:t>Accord</w:t>
      </w:r>
      <w:r w:rsidR="00B379B2" w:rsidRPr="00B90281">
        <w:rPr>
          <w:rFonts w:eastAsia="TimesNewRoman"/>
          <w:color w:val="000000"/>
          <w:sz w:val="22"/>
          <w:szCs w:val="22"/>
          <w:lang w:val="sr-Latn-ME" w:eastAsia="hr-HR"/>
        </w:rPr>
        <w:t xml:space="preserve"> je indikovan kao monoterapija ili u kombinaciji s</w:t>
      </w:r>
      <w:r w:rsidR="00AF2154" w:rsidRPr="00B90281">
        <w:rPr>
          <w:rFonts w:eastAsia="TimesNewRoman"/>
          <w:color w:val="000000"/>
          <w:sz w:val="22"/>
          <w:szCs w:val="22"/>
          <w:lang w:val="sr-Latn-ME" w:eastAsia="hr-HR"/>
        </w:rPr>
        <w:t>a</w:t>
      </w:r>
      <w:r w:rsidR="00B379B2" w:rsidRPr="00B90281">
        <w:rPr>
          <w:rFonts w:eastAsia="TimesNewRoman"/>
          <w:color w:val="000000"/>
          <w:sz w:val="22"/>
          <w:szCs w:val="22"/>
          <w:lang w:val="sr-Latn-ME" w:eastAsia="hr-HR"/>
        </w:rPr>
        <w:t xml:space="preserve"> pegilovanim lipozomalnim doksorubicinom ili deksametazonom za liječenje odraslih pacijenata sa progresivnim multiplim mijelomom koji su prethodno primili</w:t>
      </w:r>
      <w:r w:rsidR="00523FF2" w:rsidRPr="00B90281">
        <w:rPr>
          <w:rFonts w:eastAsia="TimesNewRoman"/>
          <w:color w:val="000000"/>
          <w:sz w:val="22"/>
          <w:szCs w:val="22"/>
          <w:lang w:val="sr-Latn-ME" w:eastAsia="hr-HR"/>
        </w:rPr>
        <w:t xml:space="preserve"> najmanje jednu liniju terapije</w:t>
      </w:r>
      <w:r w:rsidR="00B379B2" w:rsidRPr="00B90281">
        <w:rPr>
          <w:rFonts w:eastAsia="TimesNewRoman"/>
          <w:color w:val="000000"/>
          <w:sz w:val="22"/>
          <w:szCs w:val="22"/>
          <w:lang w:val="sr-Latn-ME" w:eastAsia="hr-HR"/>
        </w:rPr>
        <w:t xml:space="preserve"> i već su prošli transplantaciju hematopoetskih matičnih ćelija ili ona za njih nije bila prikladna.</w:t>
      </w:r>
    </w:p>
    <w:p w:rsidR="00B379B2" w:rsidRPr="00B90281" w:rsidRDefault="00B379B2" w:rsidP="00B379B2">
      <w:pPr>
        <w:suppressAutoHyphens/>
        <w:autoSpaceDE w:val="0"/>
        <w:jc w:val="both"/>
        <w:rPr>
          <w:rFonts w:eastAsia="TimesNewRoman"/>
          <w:color w:val="000000"/>
          <w:sz w:val="22"/>
          <w:szCs w:val="22"/>
          <w:lang w:val="sr-Latn-ME" w:eastAsia="hr-HR"/>
        </w:rPr>
      </w:pPr>
    </w:p>
    <w:p w:rsidR="00B379B2" w:rsidRPr="00B90281" w:rsidRDefault="00CB4A4B" w:rsidP="00B379B2">
      <w:pPr>
        <w:suppressAutoHyphens/>
        <w:autoSpaceDE w:val="0"/>
        <w:jc w:val="both"/>
        <w:rPr>
          <w:rFonts w:eastAsia="TimesNewRoman"/>
          <w:color w:val="000000"/>
          <w:sz w:val="22"/>
          <w:szCs w:val="22"/>
          <w:lang w:val="sr-Latn-ME" w:eastAsia="hr-HR"/>
        </w:rPr>
      </w:pPr>
      <w:r w:rsidRPr="00B90281">
        <w:rPr>
          <w:rFonts w:eastAsia="TimesNewRoman"/>
          <w:color w:val="000000"/>
          <w:sz w:val="22"/>
          <w:szCs w:val="22"/>
          <w:lang w:val="sr-Latn-ME" w:eastAsia="hr-HR"/>
        </w:rPr>
        <w:t xml:space="preserve">Lijek </w:t>
      </w:r>
      <w:r w:rsidR="00B379B2" w:rsidRPr="00B90281">
        <w:rPr>
          <w:rFonts w:eastAsia="TimesNewRoman"/>
          <w:color w:val="000000"/>
          <w:sz w:val="22"/>
          <w:szCs w:val="22"/>
          <w:lang w:val="sr-Latn-ME" w:eastAsia="hr-HR"/>
        </w:rPr>
        <w:t xml:space="preserve">Bortezomib </w:t>
      </w:r>
      <w:r w:rsidR="00640DA2" w:rsidRPr="00B90281">
        <w:rPr>
          <w:rFonts w:eastAsia="TimesNewRoman"/>
          <w:color w:val="000000"/>
          <w:sz w:val="22"/>
          <w:szCs w:val="22"/>
          <w:lang w:val="sr-Latn-ME" w:eastAsia="hr-HR"/>
        </w:rPr>
        <w:t>Accord</w:t>
      </w:r>
      <w:r w:rsidR="00AF2154" w:rsidRPr="00B90281">
        <w:rPr>
          <w:rFonts w:eastAsia="TimesNewRoman"/>
          <w:color w:val="000000"/>
          <w:sz w:val="22"/>
          <w:szCs w:val="22"/>
          <w:lang w:val="sr-Latn-ME" w:eastAsia="hr-HR"/>
        </w:rPr>
        <w:t xml:space="preserve"> je indi</w:t>
      </w:r>
      <w:r w:rsidR="00B379B2" w:rsidRPr="00B90281">
        <w:rPr>
          <w:rFonts w:eastAsia="TimesNewRoman"/>
          <w:color w:val="000000"/>
          <w:sz w:val="22"/>
          <w:szCs w:val="22"/>
          <w:lang w:val="sr-Latn-ME" w:eastAsia="hr-HR"/>
        </w:rPr>
        <w:t xml:space="preserve">kovan  u kombinaciji sa melfalanom i prednizonom za liječenje odraslih pacijenata sa prethodno neliječenim multiplim mijelomom, a koji ne ispunjavaju kriterijume za primjenu visokih doza hemioterapije uz transplantaciju hematopoetskih matičnih ćelija. </w:t>
      </w:r>
    </w:p>
    <w:p w:rsidR="00B379B2" w:rsidRPr="00B90281" w:rsidRDefault="00B379B2" w:rsidP="00B379B2">
      <w:pPr>
        <w:suppressAutoHyphens/>
        <w:autoSpaceDE w:val="0"/>
        <w:jc w:val="both"/>
        <w:rPr>
          <w:rFonts w:eastAsia="TimesNewRoman"/>
          <w:color w:val="000000"/>
          <w:sz w:val="22"/>
          <w:szCs w:val="22"/>
          <w:lang w:val="sr-Latn-ME" w:eastAsia="hr-HR"/>
        </w:rPr>
      </w:pPr>
    </w:p>
    <w:p w:rsidR="00B379B2" w:rsidRPr="00B90281" w:rsidRDefault="00CB4A4B" w:rsidP="00B379B2">
      <w:pPr>
        <w:suppressAutoHyphens/>
        <w:autoSpaceDE w:val="0"/>
        <w:jc w:val="both"/>
        <w:rPr>
          <w:rFonts w:eastAsia="TimesNewRoman"/>
          <w:color w:val="000000"/>
          <w:sz w:val="22"/>
          <w:szCs w:val="22"/>
          <w:lang w:val="sr-Latn-ME" w:eastAsia="hr-HR"/>
        </w:rPr>
      </w:pPr>
      <w:r w:rsidRPr="00B90281">
        <w:rPr>
          <w:rFonts w:eastAsia="TimesNewRoman"/>
          <w:color w:val="000000"/>
          <w:sz w:val="22"/>
          <w:szCs w:val="22"/>
          <w:lang w:val="sr-Latn-ME" w:eastAsia="hr-HR"/>
        </w:rPr>
        <w:t xml:space="preserve">Lijek </w:t>
      </w:r>
      <w:r w:rsidR="00B379B2" w:rsidRPr="00B90281">
        <w:rPr>
          <w:rFonts w:eastAsia="TimesNewRoman"/>
          <w:color w:val="000000"/>
          <w:sz w:val="22"/>
          <w:szCs w:val="22"/>
          <w:lang w:val="sr-Latn-ME" w:eastAsia="hr-HR"/>
        </w:rPr>
        <w:t xml:space="preserve">Bortezomib </w:t>
      </w:r>
      <w:r w:rsidR="00640DA2" w:rsidRPr="00B90281">
        <w:rPr>
          <w:rFonts w:eastAsia="TimesNewRoman"/>
          <w:color w:val="000000"/>
          <w:sz w:val="22"/>
          <w:szCs w:val="22"/>
          <w:lang w:val="sr-Latn-ME" w:eastAsia="hr-HR"/>
        </w:rPr>
        <w:t>Accord</w:t>
      </w:r>
      <w:r w:rsidR="00AF2154" w:rsidRPr="00B90281">
        <w:rPr>
          <w:rFonts w:eastAsia="TimesNewRoman"/>
          <w:color w:val="000000"/>
          <w:sz w:val="22"/>
          <w:szCs w:val="22"/>
          <w:lang w:val="sr-Latn-ME" w:eastAsia="hr-HR"/>
        </w:rPr>
        <w:t xml:space="preserve"> je indi</w:t>
      </w:r>
      <w:r w:rsidR="00B379B2" w:rsidRPr="00B90281">
        <w:rPr>
          <w:rFonts w:eastAsia="TimesNewRoman"/>
          <w:color w:val="000000"/>
          <w:sz w:val="22"/>
          <w:szCs w:val="22"/>
          <w:lang w:val="sr-Latn-ME" w:eastAsia="hr-HR"/>
        </w:rPr>
        <w:t>kovan  u kombinaciji sa deksametazonom ili sa deksametazonom i talidomidom kao uvodno liječenje odraslih pacijenata sa prethodno neliječenim multiplim mijelomom koji ispunjavaju kriterijume za primjenu visokih doza hemioterapije uz transplantaciju hematopoetskih matičnih ćelija.</w:t>
      </w:r>
    </w:p>
    <w:p w:rsidR="00B379B2" w:rsidRPr="00B90281" w:rsidRDefault="00B379B2" w:rsidP="00B379B2">
      <w:pPr>
        <w:suppressAutoHyphens/>
        <w:autoSpaceDE w:val="0"/>
        <w:jc w:val="both"/>
        <w:rPr>
          <w:rFonts w:eastAsia="TimesNewRoman"/>
          <w:color w:val="000000"/>
          <w:sz w:val="22"/>
          <w:szCs w:val="22"/>
          <w:lang w:val="sr-Latn-ME" w:eastAsia="hr-HR"/>
        </w:rPr>
      </w:pPr>
    </w:p>
    <w:p w:rsidR="00B379B2" w:rsidRPr="00B90281" w:rsidRDefault="00CB4A4B" w:rsidP="00B379B2">
      <w:pPr>
        <w:suppressAutoHyphens/>
        <w:autoSpaceDE w:val="0"/>
        <w:jc w:val="both"/>
        <w:rPr>
          <w:rFonts w:eastAsia="TimesNewRoman"/>
          <w:sz w:val="22"/>
          <w:szCs w:val="22"/>
          <w:lang w:val="sr-Latn-ME" w:eastAsia="hr-HR"/>
        </w:rPr>
      </w:pPr>
      <w:r w:rsidRPr="00B90281">
        <w:rPr>
          <w:rFonts w:eastAsia="Calibri"/>
          <w:sz w:val="22"/>
          <w:szCs w:val="22"/>
          <w:lang w:val="sr-Latn-ME" w:eastAsia="zh-CN"/>
        </w:rPr>
        <w:t xml:space="preserve">Lijek </w:t>
      </w:r>
      <w:r w:rsidR="00B379B2" w:rsidRPr="00B90281">
        <w:rPr>
          <w:rFonts w:eastAsia="Calibri"/>
          <w:sz w:val="22"/>
          <w:szCs w:val="22"/>
          <w:lang w:val="sr-Latn-ME" w:eastAsia="zh-CN"/>
        </w:rPr>
        <w:t xml:space="preserve">Bortezomib </w:t>
      </w:r>
      <w:r w:rsidR="00640DA2" w:rsidRPr="00B90281">
        <w:rPr>
          <w:rFonts w:eastAsia="Calibri"/>
          <w:sz w:val="22"/>
          <w:szCs w:val="22"/>
          <w:lang w:val="sr-Latn-ME" w:eastAsia="zh-CN"/>
        </w:rPr>
        <w:t>Accord</w:t>
      </w:r>
      <w:r w:rsidR="00AF2154" w:rsidRPr="00B90281">
        <w:rPr>
          <w:rFonts w:eastAsia="Calibri"/>
          <w:sz w:val="22"/>
          <w:szCs w:val="22"/>
          <w:lang w:val="sr-Latn-ME" w:eastAsia="zh-CN"/>
        </w:rPr>
        <w:t xml:space="preserve"> je indi</w:t>
      </w:r>
      <w:r w:rsidR="00B379B2" w:rsidRPr="00B90281">
        <w:rPr>
          <w:rFonts w:eastAsia="Calibri"/>
          <w:sz w:val="22"/>
          <w:szCs w:val="22"/>
          <w:lang w:val="sr-Latn-ME" w:eastAsia="zh-CN"/>
        </w:rPr>
        <w:t xml:space="preserve">kovan u kombinaciji sa rituksimabom, ciklofosfamidom, doksorubicinom i prednizonom za liječenje odraslih pacijenata sa prethodno neliječenim limfomom </w:t>
      </w:r>
      <w:r w:rsidR="00B379B2" w:rsidRPr="00B90281">
        <w:rPr>
          <w:rFonts w:eastAsia="Calibri"/>
          <w:i/>
          <w:sz w:val="22"/>
          <w:szCs w:val="22"/>
          <w:lang w:val="sr-Latn-ME" w:eastAsia="zh-CN"/>
        </w:rPr>
        <w:t>mantle</w:t>
      </w:r>
      <w:r w:rsidR="00B379B2" w:rsidRPr="00B90281">
        <w:rPr>
          <w:rFonts w:eastAsia="Calibri"/>
          <w:sz w:val="22"/>
          <w:szCs w:val="22"/>
          <w:lang w:val="sr-Latn-ME" w:eastAsia="zh-CN"/>
        </w:rPr>
        <w:t xml:space="preserve"> ćelija (MCL, od engl. </w:t>
      </w:r>
      <w:r w:rsidR="00B379B2" w:rsidRPr="00B90281">
        <w:rPr>
          <w:rFonts w:eastAsia="Calibri"/>
          <w:i/>
          <w:sz w:val="22"/>
          <w:szCs w:val="22"/>
          <w:lang w:val="sr-Latn-ME" w:eastAsia="zh-CN"/>
        </w:rPr>
        <w:t>mantle cell lymphoma</w:t>
      </w:r>
      <w:r w:rsidR="00B379B2" w:rsidRPr="00B90281">
        <w:rPr>
          <w:rFonts w:eastAsia="Calibri"/>
          <w:sz w:val="22"/>
          <w:szCs w:val="22"/>
          <w:lang w:val="sr-Latn-ME" w:eastAsia="zh-CN"/>
        </w:rPr>
        <w:t>) za koje nije prikladna transplantacija hematopoetskih matičnih ćelija.</w:t>
      </w:r>
    </w:p>
    <w:p w:rsidR="00B379B2" w:rsidRPr="00B90281" w:rsidRDefault="00B379B2" w:rsidP="00480FB1">
      <w:pPr>
        <w:tabs>
          <w:tab w:val="left" w:pos="540"/>
          <w:tab w:val="left" w:pos="569"/>
        </w:tabs>
        <w:rPr>
          <w:bCs/>
          <w:sz w:val="22"/>
          <w:szCs w:val="22"/>
          <w:lang w:val="sr-Latn-ME"/>
        </w:rPr>
      </w:pPr>
    </w:p>
    <w:p w:rsidR="00411B4B" w:rsidRPr="00B90281" w:rsidRDefault="00411B4B" w:rsidP="00480FB1">
      <w:pPr>
        <w:tabs>
          <w:tab w:val="left" w:pos="540"/>
          <w:tab w:val="left" w:pos="569"/>
        </w:tabs>
        <w:rPr>
          <w:b/>
          <w:bCs/>
          <w:sz w:val="22"/>
          <w:szCs w:val="22"/>
          <w:lang w:val="sr-Latn-ME"/>
        </w:rPr>
      </w:pPr>
      <w:r w:rsidRPr="00B90281">
        <w:rPr>
          <w:b/>
          <w:bCs/>
          <w:sz w:val="22"/>
          <w:szCs w:val="22"/>
          <w:lang w:val="sr-Latn-ME"/>
        </w:rPr>
        <w:t xml:space="preserve">4.2. </w:t>
      </w:r>
      <w:r w:rsidR="00480FB1" w:rsidRPr="00B90281">
        <w:rPr>
          <w:b/>
          <w:bCs/>
          <w:sz w:val="22"/>
          <w:szCs w:val="22"/>
          <w:lang w:val="sr-Latn-ME"/>
        </w:rPr>
        <w:tab/>
      </w:r>
      <w:r w:rsidRPr="00B90281">
        <w:rPr>
          <w:b/>
          <w:bCs/>
          <w:sz w:val="22"/>
          <w:szCs w:val="22"/>
          <w:lang w:val="sr-Latn-ME"/>
        </w:rPr>
        <w:t>Doziranje i način primjene</w:t>
      </w:r>
    </w:p>
    <w:p w:rsidR="00D868CB" w:rsidRPr="00B90281" w:rsidRDefault="00D868CB" w:rsidP="00CE1599">
      <w:pPr>
        <w:suppressAutoHyphens/>
        <w:autoSpaceDE w:val="0"/>
        <w:jc w:val="both"/>
        <w:rPr>
          <w:rFonts w:eastAsia="Arial"/>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Liječenje se mora započeti pod nadzorom ljekara, koji je iskusan u liječenju pacijenata sa karcinomom, međutim, </w:t>
      </w:r>
      <w:r w:rsidR="000018DC" w:rsidRPr="00B90281">
        <w:rPr>
          <w:rFonts w:eastAsia="Arial"/>
          <w:color w:val="000000"/>
          <w:sz w:val="22"/>
          <w:szCs w:val="22"/>
          <w:lang w:val="sr-Latn-ME" w:eastAsia="hr-HR"/>
        </w:rPr>
        <w:t xml:space="preserve">lijek </w:t>
      </w:r>
      <w:r w:rsidRPr="00B90281">
        <w:rPr>
          <w:rFonts w:eastAsia="Arial"/>
          <w:color w:val="000000"/>
          <w:sz w:val="22"/>
          <w:szCs w:val="22"/>
          <w:lang w:val="sr-Latn-ME" w:eastAsia="hr-HR"/>
        </w:rPr>
        <w:t xml:space="preserve">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može primijeniti zdravstveni radnik koji je iskusan u primjeni hemioterapije. Zdravstveni radnik mora rekonstituisati lijek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(vidjeti </w:t>
      </w:r>
      <w:r w:rsidR="00646BFE" w:rsidRPr="00B90281">
        <w:rPr>
          <w:rFonts w:eastAsia="Arial"/>
          <w:color w:val="000000"/>
          <w:sz w:val="22"/>
          <w:szCs w:val="22"/>
          <w:lang w:val="sr-Latn-ME" w:eastAsia="hr-HR"/>
        </w:rPr>
        <w:t>di</w:t>
      </w:r>
      <w:r w:rsidRPr="00B90281">
        <w:rPr>
          <w:rFonts w:eastAsia="Arial"/>
          <w:color w:val="000000"/>
          <w:sz w:val="22"/>
          <w:szCs w:val="22"/>
          <w:lang w:val="sr-Latn-ME" w:eastAsia="hr-HR"/>
        </w:rPr>
        <w:t>o 6.6.)</w:t>
      </w:r>
    </w:p>
    <w:p w:rsidR="00CE1599" w:rsidRPr="00B90281" w:rsidRDefault="00CE1599" w:rsidP="00CE1599">
      <w:pPr>
        <w:suppressAutoHyphens/>
        <w:autoSpaceDE w:val="0"/>
        <w:jc w:val="both"/>
        <w:rPr>
          <w:rFonts w:eastAsia="Arial"/>
          <w:color w:val="000000"/>
          <w:sz w:val="22"/>
          <w:szCs w:val="22"/>
          <w:u w:val="single"/>
          <w:lang w:val="sr-Latn-ME" w:eastAsia="hr-HR"/>
        </w:rPr>
      </w:pPr>
      <w:r w:rsidRPr="00B90281">
        <w:rPr>
          <w:rFonts w:eastAsia="Arial"/>
          <w:color w:val="000000"/>
          <w:sz w:val="22"/>
          <w:szCs w:val="22"/>
          <w:u w:val="single"/>
          <w:lang w:val="sr-Latn-ME" w:eastAsia="hr-HR"/>
        </w:rPr>
        <w:lastRenderedPageBreak/>
        <w:t>Doziranje za terapiju progresivnog multiplog mijeloma (pacijenti koji su prethodno primili barem jedan terapijski ciklus)</w:t>
      </w:r>
    </w:p>
    <w:p w:rsidR="00D868CB" w:rsidRPr="00B90281" w:rsidRDefault="00D868CB" w:rsidP="00CE1599">
      <w:pPr>
        <w:suppressAutoHyphens/>
        <w:autoSpaceDE w:val="0"/>
        <w:rPr>
          <w:rFonts w:eastAsia="Arial"/>
          <w:i/>
          <w:iCs/>
          <w:color w:val="000000"/>
          <w:sz w:val="22"/>
          <w:szCs w:val="22"/>
          <w:lang w:val="sr-Latn-ME" w:eastAsia="hr-HR"/>
        </w:rPr>
      </w:pP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i/>
          <w:iCs/>
          <w:color w:val="000000"/>
          <w:sz w:val="22"/>
          <w:szCs w:val="22"/>
          <w:lang w:val="sr-Latn-ME" w:eastAsia="hr-HR"/>
        </w:rPr>
        <w:t>Monoterapija</w:t>
      </w:r>
    </w:p>
    <w:p w:rsidR="00CE1599" w:rsidRPr="00B90281" w:rsidRDefault="000018DC"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Lijek </w:t>
      </w:r>
      <w:r w:rsidR="00CE1599" w:rsidRPr="00B90281">
        <w:rPr>
          <w:rFonts w:eastAsia="Arial"/>
          <w:color w:val="000000"/>
          <w:sz w:val="22"/>
          <w:szCs w:val="22"/>
          <w:lang w:val="sr-Latn-ME" w:eastAsia="hr-HR"/>
        </w:rPr>
        <w:t xml:space="preserve">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 xml:space="preserve"> 3.5 mg prašak za rastvor za injekciju primjenjuje se putem intravenske ili su</w:t>
      </w:r>
      <w:r w:rsidR="00646BFE" w:rsidRPr="00B90281">
        <w:rPr>
          <w:rFonts w:eastAsia="Arial"/>
          <w:color w:val="000000"/>
          <w:sz w:val="22"/>
          <w:szCs w:val="22"/>
          <w:lang w:val="sr-Latn-ME" w:eastAsia="hr-HR"/>
        </w:rPr>
        <w:t>b</w:t>
      </w:r>
      <w:r w:rsidR="00CE1599" w:rsidRPr="00B90281">
        <w:rPr>
          <w:rFonts w:eastAsia="Arial"/>
          <w:color w:val="000000"/>
          <w:sz w:val="22"/>
          <w:szCs w:val="22"/>
          <w:lang w:val="sr-Latn-ME" w:eastAsia="hr-HR"/>
        </w:rPr>
        <w:t>kutane injekcije u preporučenoj dozi od 1,3 mg/</w:t>
      </w:r>
      <w:r w:rsidR="00CE1599" w:rsidRPr="00B90281">
        <w:rPr>
          <w:rFonts w:eastAsia="Arial"/>
          <w:bCs/>
          <w:color w:val="000000"/>
          <w:sz w:val="22"/>
          <w:szCs w:val="22"/>
          <w:lang w:val="sr-Latn-ME" w:eastAsia="hr-HR"/>
        </w:rPr>
        <w:t>m</w:t>
      </w:r>
      <w:r w:rsidR="00CE1599" w:rsidRPr="00B90281">
        <w:rPr>
          <w:rFonts w:eastAsia="Arial"/>
          <w:bCs/>
          <w:color w:val="000000"/>
          <w:sz w:val="22"/>
          <w:szCs w:val="22"/>
          <w:vertAlign w:val="superscript"/>
          <w:lang w:val="sr-Latn-ME" w:eastAsia="hr-HR"/>
        </w:rPr>
        <w:t>2</w:t>
      </w:r>
      <w:r w:rsidR="00CE1599" w:rsidRPr="00B90281">
        <w:rPr>
          <w:rFonts w:eastAsia="Arial"/>
          <w:color w:val="000000"/>
          <w:sz w:val="22"/>
          <w:szCs w:val="22"/>
          <w:lang w:val="sr-Latn-ME" w:eastAsia="hr-HR"/>
        </w:rPr>
        <w:t xml:space="preserve"> tjelesne površine, dva puta nedjeljno tokom dvije nedjelje, 1., 4., 8. i 11. dana, u ciklusu liječenja koji traje 21 dan. Ovaj period od 3 nedjelje smatra se jednim terapijskim ciklusom.</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Preporučuje se da pacijenti prime još dva dodatna ciklusa liječenja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nakon potvrđenog kompletnog odgovora. Takođe se preporučuje da pacijenti, kod kojih je zabilježen terapijski odgovor, ali nije postignuta kompletna remisija, prime ukupno osam terapijskih ciklusa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Između dvije uzastopne doze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mora proći najmanje 72 sata.</w:t>
      </w:r>
    </w:p>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rPr>
          <w:rFonts w:eastAsia="Arial"/>
          <w:i/>
          <w:iCs/>
          <w:color w:val="000000"/>
          <w:sz w:val="22"/>
          <w:szCs w:val="22"/>
          <w:lang w:val="sr-Latn-ME" w:eastAsia="hr-HR"/>
        </w:rPr>
      </w:pPr>
      <w:r w:rsidRPr="00B90281">
        <w:rPr>
          <w:rFonts w:eastAsia="Arial"/>
          <w:i/>
          <w:iCs/>
          <w:color w:val="000000"/>
          <w:sz w:val="22"/>
          <w:szCs w:val="22"/>
          <w:lang w:val="sr-Latn-ME" w:eastAsia="hr-HR"/>
        </w:rPr>
        <w:t>Podešavanje doze tokom liječenja i ponovnog uvođenja monoterapije</w:t>
      </w:r>
    </w:p>
    <w:p w:rsidR="00CE1599" w:rsidRPr="00B90281" w:rsidRDefault="00CE1599" w:rsidP="00CE1599">
      <w:pPr>
        <w:suppressAutoHyphens/>
        <w:autoSpaceDE w:val="0"/>
        <w:jc w:val="both"/>
        <w:rPr>
          <w:rFonts w:eastAsia="Arial"/>
          <w:i/>
          <w:iCs/>
          <w:color w:val="000000"/>
          <w:sz w:val="22"/>
          <w:szCs w:val="22"/>
          <w:lang w:val="sr-Latn-ME" w:eastAsia="hr-HR"/>
        </w:rPr>
      </w:pPr>
      <w:r w:rsidRPr="00B90281">
        <w:rPr>
          <w:rFonts w:eastAsia="Arial"/>
          <w:color w:val="000000"/>
          <w:sz w:val="22"/>
          <w:szCs w:val="22"/>
          <w:lang w:val="sr-Latn-ME" w:eastAsia="hr-HR"/>
        </w:rPr>
        <w:t xml:space="preserve">Liječenje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mora se prekinuti pri pojavi bilo kakvih nehema</w:t>
      </w:r>
      <w:r w:rsidR="00523FF2" w:rsidRPr="00B90281">
        <w:rPr>
          <w:rFonts w:eastAsia="Arial"/>
          <w:color w:val="000000"/>
          <w:sz w:val="22"/>
          <w:szCs w:val="22"/>
          <w:lang w:val="sr-Latn-ME" w:eastAsia="hr-HR"/>
        </w:rPr>
        <w:t>toloških toksičnosti 3. stepena</w:t>
      </w:r>
      <w:r w:rsidRPr="00B90281">
        <w:rPr>
          <w:rFonts w:eastAsia="Arial"/>
          <w:color w:val="000000"/>
          <w:sz w:val="22"/>
          <w:szCs w:val="22"/>
          <w:lang w:val="sr-Latn-ME" w:eastAsia="hr-HR"/>
        </w:rPr>
        <w:t xml:space="preserve"> ili bilo kakvih hematoloških toksičnosti 4. stepena, isključujući neuropatiju, kako je objašnjeno u daljem tekstu (vidjeti takođe </w:t>
      </w:r>
      <w:r w:rsidR="00523FF2" w:rsidRPr="00B90281">
        <w:rPr>
          <w:rFonts w:eastAsia="Arial"/>
          <w:color w:val="000000"/>
          <w:sz w:val="22"/>
          <w:szCs w:val="22"/>
          <w:lang w:val="sr-Latn-ME" w:eastAsia="hr-HR"/>
        </w:rPr>
        <w:t>di</w:t>
      </w:r>
      <w:r w:rsidRPr="00B90281">
        <w:rPr>
          <w:rFonts w:eastAsia="Arial"/>
          <w:color w:val="000000"/>
          <w:sz w:val="22"/>
          <w:szCs w:val="22"/>
          <w:lang w:val="sr-Latn-ME" w:eastAsia="hr-HR"/>
        </w:rPr>
        <w:t>o 4.4). Kad</w:t>
      </w:r>
      <w:r w:rsidR="00523FF2" w:rsidRPr="00B90281">
        <w:rPr>
          <w:rFonts w:eastAsia="Arial"/>
          <w:color w:val="000000"/>
          <w:sz w:val="22"/>
          <w:szCs w:val="22"/>
          <w:lang w:val="sr-Latn-ME" w:eastAsia="hr-HR"/>
        </w:rPr>
        <w:t>a</w:t>
      </w:r>
      <w:r w:rsidRPr="00B90281">
        <w:rPr>
          <w:rFonts w:eastAsia="Arial"/>
          <w:color w:val="000000"/>
          <w:sz w:val="22"/>
          <w:szCs w:val="22"/>
          <w:lang w:val="sr-Latn-ME" w:eastAsia="hr-HR"/>
        </w:rPr>
        <w:t xml:space="preserve"> se povuku simptomi toksičnosti, može se ponovo započeti liječenje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dozom smanjenom za 25 % (1,3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xml:space="preserve"> smanjeno na 1,0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1,0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xml:space="preserve"> smanjeno na 0,7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xml:space="preserve">). Ukoliko se znaci toksičnosti ne povuku, ili se ponovo pojave pri najnižoj dozi, potrebno je razmotriti prestanak primjene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osim ako je korist od liječenja jasno veća od rizika.</w:t>
      </w:r>
    </w:p>
    <w:p w:rsidR="00CE1599" w:rsidRPr="00B90281" w:rsidRDefault="00CE1599" w:rsidP="00CE1599">
      <w:pPr>
        <w:suppressAutoHyphens/>
        <w:autoSpaceDE w:val="0"/>
        <w:rPr>
          <w:rFonts w:eastAsia="Arial"/>
          <w:i/>
          <w:iCs/>
          <w:color w:val="000000"/>
          <w:sz w:val="22"/>
          <w:szCs w:val="22"/>
          <w:lang w:val="sr-Latn-ME" w:eastAsia="hr-HR"/>
        </w:rPr>
      </w:pPr>
    </w:p>
    <w:p w:rsidR="00CE1599" w:rsidRPr="00B90281" w:rsidRDefault="00CE1599" w:rsidP="00CE1599">
      <w:pPr>
        <w:suppressAutoHyphens/>
        <w:autoSpaceDE w:val="0"/>
        <w:rPr>
          <w:rFonts w:eastAsia="Arial"/>
          <w:i/>
          <w:iCs/>
          <w:color w:val="000000"/>
          <w:sz w:val="22"/>
          <w:szCs w:val="22"/>
          <w:lang w:val="sr-Latn-ME" w:eastAsia="hr-HR"/>
        </w:rPr>
      </w:pPr>
      <w:r w:rsidRPr="00B90281">
        <w:rPr>
          <w:rFonts w:eastAsia="Arial"/>
          <w:i/>
          <w:iCs/>
          <w:color w:val="000000"/>
          <w:sz w:val="22"/>
          <w:szCs w:val="22"/>
          <w:lang w:val="sr-Latn-ME" w:eastAsia="hr-HR"/>
        </w:rPr>
        <w:t>Neuropatski bol i/ili periferna neuropatija</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Pacijente kod kojih se razvije neuropatski bol i/ili periferna neuropatija povezani sa primjenom bortezomiba potrebno je liječiti kako je prikazano u Tabeli 1 (vidjeti </w:t>
      </w:r>
      <w:r w:rsidR="00523FF2" w:rsidRPr="00B90281">
        <w:rPr>
          <w:rFonts w:eastAsia="Arial"/>
          <w:color w:val="000000"/>
          <w:sz w:val="22"/>
          <w:szCs w:val="22"/>
          <w:lang w:val="sr-Latn-ME" w:eastAsia="hr-HR"/>
        </w:rPr>
        <w:t>di</w:t>
      </w:r>
      <w:r w:rsidRPr="00B90281">
        <w:rPr>
          <w:rFonts w:eastAsia="Arial"/>
          <w:color w:val="000000"/>
          <w:sz w:val="22"/>
          <w:szCs w:val="22"/>
          <w:lang w:val="sr-Latn-ME" w:eastAsia="hr-HR"/>
        </w:rPr>
        <w:t xml:space="preserve">o 4.4). Pacijenti sa već postojećom teškom neuropatijom mogu se liječiti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samo nakon pažljive procjene odnosa rizika i koristi terapije.</w:t>
      </w:r>
    </w:p>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rPr>
          <w:rFonts w:eastAsia="Arial"/>
          <w:i/>
          <w:iCs/>
          <w:color w:val="000000"/>
          <w:sz w:val="22"/>
          <w:szCs w:val="22"/>
          <w:lang w:val="sr-Latn-ME" w:eastAsia="hr-HR"/>
        </w:rPr>
      </w:pPr>
      <w:r w:rsidRPr="00B90281">
        <w:rPr>
          <w:rFonts w:eastAsia="Arial"/>
          <w:i/>
          <w:iCs/>
          <w:color w:val="000000"/>
          <w:sz w:val="22"/>
          <w:szCs w:val="22"/>
          <w:lang w:val="sr-Latn-ME" w:eastAsia="hr-HR"/>
        </w:rPr>
        <w:t>Tabela 1: Preporučeno* prilagođavanje doziranja kod neuropatije izazvane bortezomibom</w:t>
      </w:r>
    </w:p>
    <w:tbl>
      <w:tblPr>
        <w:tblW w:w="5000" w:type="pct"/>
        <w:tblLook w:val="0000" w:firstRow="0" w:lastRow="0" w:firstColumn="0" w:lastColumn="0" w:noHBand="0" w:noVBand="0"/>
      </w:tblPr>
      <w:tblGrid>
        <w:gridCol w:w="4532"/>
        <w:gridCol w:w="4543"/>
      </w:tblGrid>
      <w:tr w:rsidR="00CE1599" w:rsidRPr="00B90281" w:rsidTr="00022D95">
        <w:tc>
          <w:tcPr>
            <w:tcW w:w="249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b/>
                <w:bCs/>
                <w:color w:val="000000"/>
                <w:sz w:val="22"/>
                <w:szCs w:val="22"/>
                <w:lang w:val="sr-Latn-ME" w:eastAsia="hr-HR"/>
              </w:rPr>
              <w:t>Stepen</w:t>
            </w:r>
            <w:r w:rsidRPr="00B90281">
              <w:rPr>
                <w:rFonts w:eastAsia="Arial"/>
                <w:b/>
                <w:bCs/>
                <w:sz w:val="22"/>
                <w:szCs w:val="22"/>
                <w:lang w:val="sr-Latn-ME" w:eastAsia="hr-HR"/>
              </w:rPr>
              <w:t xml:space="preserve"> neuropatije</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Mangal"/>
                <w:sz w:val="22"/>
                <w:szCs w:val="22"/>
                <w:lang w:val="sr-Latn-ME" w:eastAsia="zh-CN"/>
              </w:rPr>
            </w:pPr>
            <w:r w:rsidRPr="00B90281">
              <w:rPr>
                <w:rFonts w:eastAsia="Arial"/>
                <w:b/>
                <w:bCs/>
                <w:color w:val="000000"/>
                <w:sz w:val="22"/>
                <w:szCs w:val="22"/>
                <w:lang w:val="sr-Latn-ME" w:eastAsia="hr-HR"/>
              </w:rPr>
              <w:t>Prilagođavanje doze</w:t>
            </w:r>
          </w:p>
        </w:tc>
      </w:tr>
      <w:tr w:rsidR="00CE1599" w:rsidRPr="00B90281" w:rsidTr="00022D95">
        <w:tc>
          <w:tcPr>
            <w:tcW w:w="249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Stepen 1 (asimptomatski; gubitak dubokih tetivnih refleksa ili parestezija) bez bolova ili gubitka funkcije</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523FF2">
            <w:pPr>
              <w:suppressAutoHyphens/>
              <w:autoSpaceDE w:val="0"/>
              <w:rPr>
                <w:rFonts w:eastAsia="Arial"/>
                <w:b/>
                <w:bCs/>
                <w:color w:val="000000"/>
                <w:sz w:val="22"/>
                <w:szCs w:val="22"/>
                <w:lang w:val="sr-Latn-ME" w:eastAsia="hr-HR"/>
              </w:rPr>
            </w:pPr>
            <w:r w:rsidRPr="00B90281">
              <w:rPr>
                <w:rFonts w:eastAsia="Arial"/>
                <w:color w:val="000000"/>
                <w:sz w:val="22"/>
                <w:szCs w:val="22"/>
                <w:lang w:val="sr-Latn-ME" w:eastAsia="hr-HR"/>
              </w:rPr>
              <w:t xml:space="preserve">Nije potrebno </w:t>
            </w:r>
          </w:p>
        </w:tc>
      </w:tr>
      <w:tr w:rsidR="00CE1599" w:rsidRPr="00B90281" w:rsidTr="00022D95">
        <w:tc>
          <w:tcPr>
            <w:tcW w:w="249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Stepen 1 sa bolovima ili stepen 2 (umjereni simptomi; ograničen uticaj na aktivnosti svakodnevnog života (ADL od engl. </w:t>
            </w:r>
            <w:r w:rsidRPr="00B90281">
              <w:rPr>
                <w:rFonts w:eastAsia="Arial"/>
                <w:i/>
                <w:iCs/>
                <w:color w:val="000000"/>
                <w:sz w:val="22"/>
                <w:szCs w:val="22"/>
                <w:lang w:val="sr-Latn-ME" w:eastAsia="hr-HR"/>
              </w:rPr>
              <w:t>Activities of Daily Living</w:t>
            </w:r>
            <w:r w:rsidRPr="00B90281">
              <w:rPr>
                <w:rFonts w:eastAsia="Arial"/>
                <w:color w:val="000000"/>
                <w:sz w:val="22"/>
                <w:szCs w:val="22"/>
                <w:lang w:val="sr-Latn-ME" w:eastAsia="hr-HR"/>
              </w:rPr>
              <w:t>**)</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Smanjiti dozu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na 1,0 mg/m</w:t>
            </w:r>
            <w:r w:rsidRPr="00B90281">
              <w:rPr>
                <w:rFonts w:eastAsia="Arial"/>
                <w:color w:val="000000"/>
                <w:sz w:val="22"/>
                <w:szCs w:val="22"/>
                <w:vertAlign w:val="superscript"/>
                <w:lang w:val="sr-Latn-ME" w:eastAsia="hr-HR"/>
              </w:rPr>
              <w:t>2</w:t>
            </w:r>
          </w:p>
          <w:p w:rsidR="00CE1599" w:rsidRPr="00B90281" w:rsidRDefault="00CE1599" w:rsidP="008E1735">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ili</w:t>
            </w:r>
          </w:p>
          <w:p w:rsidR="00CE1599" w:rsidRPr="00B90281" w:rsidRDefault="00CE1599">
            <w:pPr>
              <w:suppressAutoHyphens/>
              <w:autoSpaceDE w:val="0"/>
              <w:rPr>
                <w:rFonts w:eastAsia="Mangal"/>
                <w:sz w:val="22"/>
                <w:szCs w:val="22"/>
                <w:lang w:val="sr-Latn-ME" w:eastAsia="zh-CN"/>
              </w:rPr>
            </w:pPr>
            <w:r w:rsidRPr="00B90281">
              <w:rPr>
                <w:rFonts w:eastAsia="Arial"/>
                <w:color w:val="000000"/>
                <w:sz w:val="22"/>
                <w:szCs w:val="22"/>
                <w:lang w:val="sr-Latn-ME" w:eastAsia="hr-HR"/>
              </w:rPr>
              <w:t xml:space="preserve">Promijeniti terapijski režim </w:t>
            </w:r>
            <w:r w:rsidR="00CE2233" w:rsidRPr="00B90281">
              <w:rPr>
                <w:rFonts w:eastAsia="Arial"/>
                <w:color w:val="000000"/>
                <w:sz w:val="22"/>
                <w:szCs w:val="22"/>
                <w:lang w:val="sr-Latn-ME" w:eastAsia="hr-HR"/>
              </w:rPr>
              <w:t xml:space="preserve">primjene </w:t>
            </w:r>
            <w:r w:rsidRPr="00B90281">
              <w:rPr>
                <w:rFonts w:eastAsia="Arial"/>
                <w:color w:val="000000"/>
                <w:sz w:val="22"/>
                <w:szCs w:val="22"/>
                <w:lang w:val="sr-Latn-ME" w:eastAsia="hr-HR"/>
              </w:rPr>
              <w:t xml:space="preserve">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na 1,3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 xml:space="preserve"> jednom nedjeljno.</w:t>
            </w:r>
          </w:p>
        </w:tc>
      </w:tr>
      <w:tr w:rsidR="00CE1599" w:rsidRPr="00B90281" w:rsidTr="00022D95">
        <w:tc>
          <w:tcPr>
            <w:tcW w:w="249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Stepen 2 sa bolovima ili stepen 3 (teški simptomi; ograničavaju aktivnosti brige o samom sebi u svakodnevnom životu***)</w:t>
            </w:r>
          </w:p>
          <w:p w:rsidR="00CE1599" w:rsidRPr="00B90281" w:rsidRDefault="00CE1599" w:rsidP="00CE1599">
            <w:pPr>
              <w:suppressAutoHyphens/>
              <w:autoSpaceDE w:val="0"/>
              <w:rPr>
                <w:rFonts w:eastAsia="Arial"/>
                <w:color w:val="000000"/>
                <w:sz w:val="22"/>
                <w:szCs w:val="22"/>
                <w:lang w:val="sr-Latn-ME" w:eastAsia="hr-HR"/>
              </w:rPr>
            </w:pP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Prekinuti terapiju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dok se simptomi toksičnosti ne povuku. Kad se toksičnost povuče, ponovo započeti liječenje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ali smanjiti dozu na 0,7 mg/m</w:t>
            </w:r>
            <w:r w:rsidRPr="00B90281">
              <w:rPr>
                <w:rFonts w:eastAsia="Arial"/>
                <w:color w:val="000000"/>
                <w:sz w:val="22"/>
                <w:szCs w:val="22"/>
                <w:vertAlign w:val="superscript"/>
                <w:lang w:val="sr-Latn-ME" w:eastAsia="hr-HR"/>
              </w:rPr>
              <w:t xml:space="preserve">2 </w:t>
            </w:r>
            <w:r w:rsidRPr="00B90281">
              <w:rPr>
                <w:rFonts w:eastAsia="Arial"/>
                <w:color w:val="000000"/>
                <w:sz w:val="22"/>
                <w:szCs w:val="22"/>
                <w:lang w:val="sr-Latn-ME" w:eastAsia="hr-HR"/>
              </w:rPr>
              <w:t>jednom nedjeljno.</w:t>
            </w:r>
          </w:p>
        </w:tc>
      </w:tr>
      <w:tr w:rsidR="00CE1599" w:rsidRPr="00B90281" w:rsidTr="00022D95">
        <w:tc>
          <w:tcPr>
            <w:tcW w:w="2497" w:type="pct"/>
            <w:tcBorders>
              <w:top w:val="single" w:sz="4" w:space="0" w:color="000000"/>
              <w:left w:val="single" w:sz="4" w:space="0" w:color="000000"/>
              <w:bottom w:val="single" w:sz="4" w:space="0" w:color="000000"/>
            </w:tcBorders>
            <w:shd w:val="clear" w:color="auto" w:fill="auto"/>
          </w:tcPr>
          <w:p w:rsidR="00CE2233"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Stepen 4 (životno </w:t>
            </w:r>
            <w:r w:rsidR="00417538" w:rsidRPr="00B90281">
              <w:rPr>
                <w:rFonts w:eastAsia="Arial"/>
                <w:color w:val="000000"/>
                <w:sz w:val="22"/>
                <w:szCs w:val="22"/>
                <w:lang w:val="sr-Latn-ME" w:eastAsia="hr-HR"/>
              </w:rPr>
              <w:t>ugrožavajuće posljedice; indi</w:t>
            </w:r>
            <w:r w:rsidRPr="00B90281">
              <w:rPr>
                <w:rFonts w:eastAsia="Arial"/>
                <w:color w:val="000000"/>
                <w:sz w:val="22"/>
                <w:szCs w:val="22"/>
                <w:lang w:val="sr-Latn-ME" w:eastAsia="hr-HR"/>
              </w:rPr>
              <w:t>kovana je hitna intervencija)</w:t>
            </w: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 i/ili ozbiljna autonomna neuropatija.</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Prekinuti terapiju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w:t>
            </w:r>
          </w:p>
          <w:p w:rsidR="00CE1599" w:rsidRPr="00B90281" w:rsidRDefault="00CE1599" w:rsidP="00CE1599">
            <w:pPr>
              <w:suppressAutoHyphens/>
              <w:autoSpaceDE w:val="0"/>
              <w:rPr>
                <w:rFonts w:eastAsia="Arial"/>
                <w:color w:val="000000"/>
                <w:sz w:val="22"/>
                <w:szCs w:val="22"/>
                <w:lang w:val="sr-Latn-ME" w:eastAsia="hr-HR"/>
              </w:rPr>
            </w:pPr>
          </w:p>
        </w:tc>
      </w:tr>
    </w:tbl>
    <w:p w:rsidR="00CE1599" w:rsidRPr="00B90281" w:rsidRDefault="00CE1599" w:rsidP="00CE1599">
      <w:pPr>
        <w:suppressAutoHyphens/>
        <w:autoSpaceDE w:val="0"/>
        <w:jc w:val="both"/>
        <w:rPr>
          <w:rFonts w:eastAsia="Arial"/>
          <w:color w:val="000000"/>
          <w:sz w:val="20"/>
          <w:szCs w:val="22"/>
          <w:lang w:val="sr-Latn-ME" w:eastAsia="hr-HR"/>
        </w:rPr>
      </w:pPr>
      <w:r w:rsidRPr="00B90281">
        <w:rPr>
          <w:rFonts w:eastAsia="Arial"/>
          <w:color w:val="000000"/>
          <w:sz w:val="20"/>
          <w:szCs w:val="22"/>
          <w:lang w:val="sr-Latn-ME" w:eastAsia="hr-HR"/>
        </w:rPr>
        <w:t xml:space="preserve">*Na osnovu prilagođavanja doze u kliničkim ispitivanjima liječenja multiplog mijeloma faze II i III i postmarketinškog iskustva. Stepenovanje je zasnovano na Zajedničkim kriterijumima toksičnosti Nacionalnog instituta za rak (engl. </w:t>
      </w:r>
      <w:r w:rsidRPr="00B90281">
        <w:rPr>
          <w:rFonts w:eastAsia="Arial"/>
          <w:i/>
          <w:iCs/>
          <w:color w:val="000000"/>
          <w:sz w:val="20"/>
          <w:szCs w:val="22"/>
          <w:lang w:val="sr-Latn-ME" w:eastAsia="hr-HR"/>
        </w:rPr>
        <w:t>NCI Common Toxicity Criteria CTCAE v 4.0</w:t>
      </w:r>
      <w:r w:rsidRPr="00B90281">
        <w:rPr>
          <w:rFonts w:eastAsia="Arial"/>
          <w:color w:val="000000"/>
          <w:sz w:val="20"/>
          <w:szCs w:val="22"/>
          <w:lang w:val="sr-Latn-ME" w:eastAsia="hr-HR"/>
        </w:rPr>
        <w:t>).</w:t>
      </w:r>
    </w:p>
    <w:p w:rsidR="00CE1599" w:rsidRPr="00B90281" w:rsidRDefault="00CE1599" w:rsidP="00CE1599">
      <w:pPr>
        <w:suppressAutoHyphens/>
        <w:autoSpaceDE w:val="0"/>
        <w:jc w:val="both"/>
        <w:rPr>
          <w:rFonts w:eastAsia="Arial"/>
          <w:color w:val="000000"/>
          <w:sz w:val="20"/>
          <w:szCs w:val="22"/>
          <w:lang w:val="sr-Latn-ME" w:eastAsia="hr-HR"/>
        </w:rPr>
      </w:pPr>
      <w:r w:rsidRPr="00B90281">
        <w:rPr>
          <w:rFonts w:eastAsia="Arial"/>
          <w:color w:val="000000"/>
          <w:sz w:val="20"/>
          <w:szCs w:val="22"/>
          <w:lang w:val="sr-Latn-ME" w:eastAsia="hr-HR"/>
        </w:rPr>
        <w:t xml:space="preserve">** </w:t>
      </w:r>
      <w:r w:rsidRPr="00B90281">
        <w:rPr>
          <w:rFonts w:eastAsia="Arial"/>
          <w:i/>
          <w:color w:val="000000"/>
          <w:sz w:val="20"/>
          <w:szCs w:val="22"/>
          <w:lang w:val="sr-Latn-ME" w:eastAsia="hr-HR"/>
        </w:rPr>
        <w:t>Dnevne aktivnosti (ADL):</w:t>
      </w:r>
      <w:r w:rsidRPr="00B90281">
        <w:rPr>
          <w:rFonts w:eastAsia="Arial"/>
          <w:color w:val="000000"/>
          <w:sz w:val="20"/>
          <w:szCs w:val="22"/>
          <w:lang w:val="sr-Latn-ME" w:eastAsia="hr-HR"/>
        </w:rPr>
        <w:t xml:space="preserve"> odnosi se na pripremu obroka, kupovinu namirnica ili odjeće, upotrebu telefona, upravljanje novcem, itd.;</w:t>
      </w:r>
    </w:p>
    <w:p w:rsidR="00CE1599" w:rsidRPr="00B90281" w:rsidRDefault="00CE1599" w:rsidP="00CE1599">
      <w:pPr>
        <w:suppressAutoHyphens/>
        <w:autoSpaceDE w:val="0"/>
        <w:jc w:val="both"/>
        <w:rPr>
          <w:rFonts w:eastAsia="Arial"/>
          <w:color w:val="000000"/>
          <w:sz w:val="20"/>
          <w:szCs w:val="22"/>
          <w:lang w:val="sr-Latn-ME" w:eastAsia="hr-HR"/>
        </w:rPr>
      </w:pPr>
      <w:r w:rsidRPr="00B90281">
        <w:rPr>
          <w:rFonts w:eastAsia="Arial"/>
          <w:color w:val="000000"/>
          <w:sz w:val="20"/>
          <w:szCs w:val="22"/>
          <w:lang w:val="sr-Latn-ME" w:eastAsia="hr-HR"/>
        </w:rPr>
        <w:t xml:space="preserve">*** </w:t>
      </w:r>
      <w:r w:rsidRPr="00B90281">
        <w:rPr>
          <w:rFonts w:eastAsia="Arial"/>
          <w:i/>
          <w:color w:val="000000"/>
          <w:sz w:val="20"/>
          <w:szCs w:val="22"/>
          <w:lang w:val="sr-Latn-ME" w:eastAsia="hr-HR"/>
        </w:rPr>
        <w:t>Samostalna njega (ADL):</w:t>
      </w:r>
      <w:r w:rsidRPr="00B90281">
        <w:rPr>
          <w:rFonts w:eastAsia="Arial"/>
          <w:color w:val="000000"/>
          <w:sz w:val="20"/>
          <w:szCs w:val="22"/>
          <w:lang w:val="sr-Latn-ME" w:eastAsia="hr-HR"/>
        </w:rPr>
        <w:t xml:space="preserve"> odnosi se na kupanje, oblačenje i svlačenje, samostalno hranjenje, upotrebu toaleta, uzimanje ljekova i </w:t>
      </w:r>
      <w:r w:rsidR="00523FF2" w:rsidRPr="00B90281">
        <w:rPr>
          <w:rFonts w:eastAsia="Arial"/>
          <w:color w:val="000000"/>
          <w:sz w:val="20"/>
          <w:szCs w:val="22"/>
          <w:lang w:val="sr-Latn-ME" w:eastAsia="hr-HR"/>
        </w:rPr>
        <w:t>ne odnosi se na osobe koje leže nepokretne u krevetu</w:t>
      </w:r>
      <w:r w:rsidRPr="00B90281">
        <w:rPr>
          <w:rFonts w:eastAsia="Arial"/>
          <w:color w:val="000000"/>
          <w:sz w:val="20"/>
          <w:szCs w:val="22"/>
          <w:lang w:val="sr-Latn-ME" w:eastAsia="hr-HR"/>
        </w:rPr>
        <w:t>.</w:t>
      </w:r>
    </w:p>
    <w:p w:rsidR="00CE1599" w:rsidRPr="00B90281" w:rsidRDefault="00CE1599" w:rsidP="00CE1599">
      <w:pPr>
        <w:suppressAutoHyphens/>
        <w:autoSpaceDE w:val="0"/>
        <w:rPr>
          <w:rFonts w:eastAsia="Arial"/>
          <w:color w:val="000000"/>
          <w:sz w:val="22"/>
          <w:szCs w:val="22"/>
          <w:lang w:val="sr-Latn-ME" w:eastAsia="hr-HR"/>
        </w:rPr>
      </w:pPr>
    </w:p>
    <w:p w:rsidR="00D868CB" w:rsidRPr="00B90281" w:rsidRDefault="00D868CB" w:rsidP="00CE1599">
      <w:pPr>
        <w:suppressAutoHyphens/>
        <w:autoSpaceDE w:val="0"/>
        <w:rPr>
          <w:rFonts w:eastAsia="Arial"/>
          <w:i/>
          <w:iCs/>
          <w:color w:val="000000"/>
          <w:sz w:val="22"/>
          <w:szCs w:val="22"/>
          <w:lang w:val="sr-Latn-ME" w:eastAsia="hr-HR"/>
        </w:rPr>
      </w:pP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i/>
          <w:iCs/>
          <w:color w:val="000000"/>
          <w:sz w:val="22"/>
          <w:szCs w:val="22"/>
          <w:lang w:val="sr-Latn-ME" w:eastAsia="hr-HR"/>
        </w:rPr>
        <w:lastRenderedPageBreak/>
        <w:t>Kombinovana terapija sa pegilovanim lipozomalnim doksorubicinom</w:t>
      </w:r>
    </w:p>
    <w:p w:rsidR="00D868CB" w:rsidRPr="00B90281" w:rsidRDefault="00D868CB" w:rsidP="00CE1599">
      <w:pPr>
        <w:suppressAutoHyphens/>
        <w:autoSpaceDE w:val="0"/>
        <w:jc w:val="both"/>
        <w:rPr>
          <w:rFonts w:eastAsia="Arial"/>
          <w:color w:val="000000"/>
          <w:sz w:val="22"/>
          <w:szCs w:val="22"/>
          <w:lang w:val="sr-Latn-ME" w:eastAsia="hr-HR"/>
        </w:rPr>
      </w:pPr>
    </w:p>
    <w:p w:rsidR="00CE1599" w:rsidRPr="00B90281" w:rsidRDefault="00CE2233"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Lijek </w:t>
      </w:r>
      <w:r w:rsidR="00CE1599" w:rsidRPr="00B90281">
        <w:rPr>
          <w:rFonts w:eastAsia="Arial"/>
          <w:color w:val="000000"/>
          <w:sz w:val="22"/>
          <w:szCs w:val="22"/>
          <w:lang w:val="sr-Latn-ME" w:eastAsia="hr-HR"/>
        </w:rPr>
        <w:t xml:space="preserve">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 xml:space="preserve"> 1 mg prašak za rastvor za injekciju primjenjuje se putem intravenske </w:t>
      </w:r>
      <w:r w:rsidR="00C51BF6" w:rsidRPr="00B90281">
        <w:rPr>
          <w:rFonts w:eastAsia="Arial"/>
          <w:color w:val="000000"/>
          <w:sz w:val="22"/>
          <w:szCs w:val="22"/>
          <w:lang w:val="sr-Latn-ME" w:eastAsia="hr-HR"/>
        </w:rPr>
        <w:t xml:space="preserve">ili subkutane </w:t>
      </w:r>
      <w:r w:rsidR="00CE1599" w:rsidRPr="00B90281">
        <w:rPr>
          <w:rFonts w:eastAsia="Arial"/>
          <w:color w:val="000000"/>
          <w:sz w:val="22"/>
          <w:szCs w:val="22"/>
          <w:lang w:val="sr-Latn-ME" w:eastAsia="hr-HR"/>
        </w:rPr>
        <w:t>injekcije u preporučenoj dozi od 1,3 mg/</w:t>
      </w:r>
      <w:r w:rsidR="00CE1599" w:rsidRPr="00B90281">
        <w:rPr>
          <w:rFonts w:eastAsia="Arial"/>
          <w:bCs/>
          <w:color w:val="000000"/>
          <w:sz w:val="22"/>
          <w:szCs w:val="22"/>
          <w:lang w:val="sr-Latn-ME" w:eastAsia="hr-HR"/>
        </w:rPr>
        <w:t>m</w:t>
      </w:r>
      <w:r w:rsidR="00CE1599" w:rsidRPr="00B90281">
        <w:rPr>
          <w:rFonts w:eastAsia="Arial"/>
          <w:bCs/>
          <w:color w:val="000000"/>
          <w:sz w:val="22"/>
          <w:szCs w:val="22"/>
          <w:vertAlign w:val="superscript"/>
          <w:lang w:val="sr-Latn-ME" w:eastAsia="hr-HR"/>
        </w:rPr>
        <w:t>2</w:t>
      </w:r>
      <w:r w:rsidR="00CE1599" w:rsidRPr="00B90281">
        <w:rPr>
          <w:rFonts w:eastAsia="Arial"/>
          <w:color w:val="000000"/>
          <w:sz w:val="22"/>
          <w:szCs w:val="22"/>
          <w:lang w:val="sr-Latn-ME" w:eastAsia="hr-HR"/>
        </w:rPr>
        <w:t xml:space="preserve"> tjelesne površine, dva puta nedjeljno tokom dvije nedjelje, 1., 4., 8. i 11. dana, u terapijskom ciklusu koji traje 21 dan. Ovaj period od 3 nedjelje smatra se jednim terapijskim ciklusom.</w:t>
      </w:r>
      <w:r w:rsidRPr="00B90281">
        <w:rPr>
          <w:rFonts w:eastAsia="Arial"/>
          <w:color w:val="000000"/>
          <w:sz w:val="22"/>
          <w:szCs w:val="22"/>
          <w:lang w:val="sr-Latn-ME" w:eastAsia="hr-HR"/>
        </w:rPr>
        <w:t xml:space="preserve"> </w:t>
      </w:r>
      <w:r w:rsidR="00CE1599" w:rsidRPr="00B90281">
        <w:rPr>
          <w:rFonts w:eastAsia="Arial"/>
          <w:color w:val="000000"/>
          <w:sz w:val="22"/>
          <w:szCs w:val="22"/>
          <w:lang w:val="sr-Latn-ME" w:eastAsia="hr-HR"/>
        </w:rPr>
        <w:t xml:space="preserve">Između dvije uzastopne doze lijeka 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 xml:space="preserve"> mora proći najmanje 72 sata.</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Pegilovani lipozomalni doksorubicin se primjenjuje u dozi od 30 mg/m² 4. dana terapijskog ciklusa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putem jednočasovne intravenske infuzije, nakon primjene injekcije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Može se primijeniti do 8 ciklusa ove kombinovane terapije, sve dok pacijent ne doživi progresiju i dok podnosi liječenje. Pacijenti koji postignu kompletan odgo</w:t>
      </w:r>
      <w:r w:rsidR="00C51BF6" w:rsidRPr="00B90281">
        <w:rPr>
          <w:rFonts w:eastAsia="Arial"/>
          <w:color w:val="000000"/>
          <w:sz w:val="22"/>
          <w:szCs w:val="22"/>
          <w:lang w:val="sr-Latn-ME" w:eastAsia="hr-HR"/>
        </w:rPr>
        <w:t>vor mogu nastaviti sa terapijom</w:t>
      </w:r>
      <w:r w:rsidRPr="00B90281">
        <w:rPr>
          <w:rFonts w:eastAsia="Arial"/>
          <w:color w:val="000000"/>
          <w:sz w:val="22"/>
          <w:szCs w:val="22"/>
          <w:lang w:val="sr-Latn-ME" w:eastAsia="hr-HR"/>
        </w:rPr>
        <w:t xml:space="preserve"> najmanje 2 ciklusa nakon prvog dokaza potpunog odgovora, iako ovo može zahtijevati liječenje u više od 8 ciklusa. Pacijenti kod kojih se nastavlja smanjivanje koncentracije paraproteina nakon 8 ciklusa, takođe mogu nastaviti liječenje sve dok dobro podnose terapiju i dok je prisutan odgovor na liječenje.</w:t>
      </w:r>
    </w:p>
    <w:p w:rsidR="00D868CB" w:rsidRPr="00B90281" w:rsidRDefault="00D868CB" w:rsidP="00CE1599">
      <w:pPr>
        <w:suppressAutoHyphens/>
        <w:autoSpaceDE w:val="0"/>
        <w:jc w:val="both"/>
        <w:rPr>
          <w:rFonts w:eastAsia="Arial"/>
          <w:b/>
          <w:color w:val="000000"/>
          <w:sz w:val="22"/>
          <w:szCs w:val="22"/>
          <w:lang w:val="sr-Latn-ME" w:eastAsia="hr-HR"/>
        </w:rPr>
      </w:pPr>
    </w:p>
    <w:p w:rsidR="00CE1599" w:rsidRPr="00B90281" w:rsidRDefault="00CE1599" w:rsidP="00CE1599">
      <w:pPr>
        <w:suppressAutoHyphens/>
        <w:autoSpaceDE w:val="0"/>
        <w:jc w:val="both"/>
        <w:rPr>
          <w:rFonts w:eastAsia="Arial"/>
          <w:b/>
          <w:color w:val="000000"/>
          <w:sz w:val="22"/>
          <w:szCs w:val="22"/>
          <w:lang w:val="sr-Latn-ME" w:eastAsia="hr-HR"/>
        </w:rPr>
      </w:pPr>
      <w:r w:rsidRPr="00B90281">
        <w:rPr>
          <w:rFonts w:eastAsia="Arial"/>
          <w:b/>
          <w:color w:val="000000"/>
          <w:sz w:val="22"/>
          <w:szCs w:val="22"/>
          <w:lang w:val="sr-Latn-ME" w:eastAsia="hr-HR"/>
        </w:rPr>
        <w:t>Za dodatne informacije vezane za pegilovani lipozomalni doksorubicin, vidjeti odgovarajući Sažetak karakteristika  lijeka.</w:t>
      </w:r>
    </w:p>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rPr>
          <w:rFonts w:eastAsia="Arial"/>
          <w:i/>
          <w:iCs/>
          <w:color w:val="000000"/>
          <w:sz w:val="22"/>
          <w:szCs w:val="22"/>
          <w:lang w:val="sr-Latn-ME" w:eastAsia="hr-HR"/>
        </w:rPr>
      </w:pPr>
      <w:r w:rsidRPr="00B90281">
        <w:rPr>
          <w:rFonts w:eastAsia="Arial"/>
          <w:i/>
          <w:iCs/>
          <w:color w:val="000000"/>
          <w:sz w:val="22"/>
          <w:szCs w:val="22"/>
          <w:lang w:val="sr-Latn-ME" w:eastAsia="hr-HR"/>
        </w:rPr>
        <w:t>Kombinacija sa deksametazonom</w:t>
      </w:r>
    </w:p>
    <w:p w:rsidR="00D868CB" w:rsidRPr="00B90281" w:rsidRDefault="00D868CB" w:rsidP="00CE1599">
      <w:pPr>
        <w:suppressAutoHyphens/>
        <w:autoSpaceDE w:val="0"/>
        <w:jc w:val="both"/>
        <w:rPr>
          <w:rFonts w:eastAsia="Arial"/>
          <w:color w:val="000000"/>
          <w:sz w:val="22"/>
          <w:szCs w:val="22"/>
          <w:lang w:val="sr-Latn-ME" w:eastAsia="hr-HR"/>
        </w:rPr>
      </w:pPr>
    </w:p>
    <w:p w:rsidR="00CE1599" w:rsidRPr="00B90281" w:rsidRDefault="00CE2233"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Lijek </w:t>
      </w:r>
      <w:r w:rsidR="00CE1599" w:rsidRPr="00B90281">
        <w:rPr>
          <w:rFonts w:eastAsia="Arial"/>
          <w:color w:val="000000"/>
          <w:sz w:val="22"/>
          <w:szCs w:val="22"/>
          <w:lang w:val="sr-Latn-ME" w:eastAsia="hr-HR"/>
        </w:rPr>
        <w:t xml:space="preserve">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 xml:space="preserve"> 3.5 mg prašak za rastvor za injekciju primjenjuje se putem intravenske </w:t>
      </w:r>
      <w:r w:rsidR="00C51BF6" w:rsidRPr="00B90281">
        <w:rPr>
          <w:rFonts w:eastAsia="Arial"/>
          <w:color w:val="000000"/>
          <w:sz w:val="22"/>
          <w:szCs w:val="22"/>
          <w:lang w:val="sr-Latn-ME" w:eastAsia="hr-HR"/>
        </w:rPr>
        <w:t xml:space="preserve">ili subkutsne </w:t>
      </w:r>
      <w:r w:rsidR="00CE1599" w:rsidRPr="00B90281">
        <w:rPr>
          <w:rFonts w:eastAsia="Arial"/>
          <w:color w:val="000000"/>
          <w:sz w:val="22"/>
          <w:szCs w:val="22"/>
          <w:lang w:val="sr-Latn-ME" w:eastAsia="hr-HR"/>
        </w:rPr>
        <w:t>injekcije u preporučenoj dozi od 1,3 mg/</w:t>
      </w:r>
      <w:r w:rsidR="00CE1599" w:rsidRPr="00B90281">
        <w:rPr>
          <w:rFonts w:eastAsia="Arial"/>
          <w:bCs/>
          <w:color w:val="000000"/>
          <w:sz w:val="22"/>
          <w:szCs w:val="22"/>
          <w:lang w:val="sr-Latn-ME" w:eastAsia="hr-HR"/>
        </w:rPr>
        <w:t>m</w:t>
      </w:r>
      <w:r w:rsidR="00CE1599" w:rsidRPr="00B90281">
        <w:rPr>
          <w:rFonts w:eastAsia="Arial"/>
          <w:bCs/>
          <w:color w:val="000000"/>
          <w:sz w:val="22"/>
          <w:szCs w:val="22"/>
          <w:vertAlign w:val="superscript"/>
          <w:lang w:val="sr-Latn-ME" w:eastAsia="hr-HR"/>
        </w:rPr>
        <w:t xml:space="preserve">2 </w:t>
      </w:r>
      <w:r w:rsidR="00CE1599" w:rsidRPr="00B90281">
        <w:rPr>
          <w:rFonts w:eastAsia="Arial"/>
          <w:color w:val="000000"/>
          <w:sz w:val="22"/>
          <w:szCs w:val="22"/>
          <w:lang w:val="sr-Latn-ME" w:eastAsia="hr-HR"/>
        </w:rPr>
        <w:t xml:space="preserve"> tjelesne površine, dva puta nedjeljno tokom dvije nedjelje, 1., 4., 8. i 11. dana, u terapijskom ciklusu koji traje 21 dan. Ovaj period od 3 nedjelje smatra se jednim terapijskim ciklusom. Između dvije uzastopne doza lijeka 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 xml:space="preserve"> mora proći najmanje 72 sata.</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Deksametazon u dozi od 20 mg se primjenjuje </w:t>
      </w:r>
      <w:r w:rsidR="00CE2233" w:rsidRPr="00B90281">
        <w:rPr>
          <w:rFonts w:eastAsia="Arial"/>
          <w:color w:val="000000"/>
          <w:sz w:val="22"/>
          <w:szCs w:val="22"/>
          <w:lang w:val="sr-Latn-ME" w:eastAsia="hr-HR"/>
        </w:rPr>
        <w:t>per</w:t>
      </w:r>
      <w:r w:rsidRPr="00B90281">
        <w:rPr>
          <w:rFonts w:eastAsia="Arial"/>
          <w:color w:val="000000"/>
          <w:sz w:val="22"/>
          <w:szCs w:val="22"/>
          <w:lang w:val="sr-Latn-ME" w:eastAsia="hr-HR"/>
        </w:rPr>
        <w:t xml:space="preserve">oralno 1., 2., 4., 5., 8., 9., 11. i 12. </w:t>
      </w:r>
      <w:r w:rsidR="00C51BF6" w:rsidRPr="00B90281">
        <w:rPr>
          <w:rFonts w:eastAsia="Arial"/>
          <w:color w:val="000000"/>
          <w:sz w:val="22"/>
          <w:szCs w:val="22"/>
          <w:lang w:val="sr-Latn-ME" w:eastAsia="hr-HR"/>
        </w:rPr>
        <w:t xml:space="preserve">dana tokom </w:t>
      </w:r>
      <w:r w:rsidRPr="00B90281">
        <w:rPr>
          <w:rFonts w:eastAsia="Arial"/>
          <w:color w:val="000000"/>
          <w:sz w:val="22"/>
          <w:szCs w:val="22"/>
          <w:lang w:val="sr-Latn-ME" w:eastAsia="hr-HR"/>
        </w:rPr>
        <w:t xml:space="preserve">terapijskog ciklusa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Pacijenti kod kojih je postignut odgovor na liječenje ili imaju stabilnu bolest nakon 4 ciklusa ove kombinovane terapije, mogu da nastave da primaju istu kombinaciju tokom maksimalno 4 dodatna ciklusa. </w:t>
      </w:r>
    </w:p>
    <w:p w:rsidR="00D868CB" w:rsidRPr="00B90281" w:rsidRDefault="00D868CB" w:rsidP="00CE1599">
      <w:pPr>
        <w:suppressAutoHyphens/>
        <w:autoSpaceDE w:val="0"/>
        <w:jc w:val="both"/>
        <w:rPr>
          <w:rFonts w:eastAsia="Arial"/>
          <w:b/>
          <w:color w:val="000000"/>
          <w:sz w:val="22"/>
          <w:szCs w:val="22"/>
          <w:lang w:val="sr-Latn-ME" w:eastAsia="hr-HR"/>
        </w:rPr>
      </w:pPr>
    </w:p>
    <w:p w:rsidR="00CE1599" w:rsidRPr="00B90281" w:rsidRDefault="00CE1599" w:rsidP="00CE1599">
      <w:pPr>
        <w:suppressAutoHyphens/>
        <w:autoSpaceDE w:val="0"/>
        <w:jc w:val="both"/>
        <w:rPr>
          <w:rFonts w:eastAsia="Arial"/>
          <w:b/>
          <w:color w:val="000000"/>
          <w:sz w:val="22"/>
          <w:szCs w:val="22"/>
          <w:lang w:val="sr-Latn-ME" w:eastAsia="hr-HR"/>
        </w:rPr>
      </w:pPr>
      <w:r w:rsidRPr="00B90281">
        <w:rPr>
          <w:rFonts w:eastAsia="Arial"/>
          <w:b/>
          <w:color w:val="000000"/>
          <w:sz w:val="22"/>
          <w:szCs w:val="22"/>
          <w:lang w:val="sr-Latn-ME" w:eastAsia="hr-HR"/>
        </w:rPr>
        <w:t>Za dodatne informacije vezane za deksametazon, vidjeti odgovarajući Sažetak karakteristika lijeka.</w:t>
      </w:r>
    </w:p>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i/>
          <w:iCs/>
          <w:color w:val="000000"/>
          <w:sz w:val="22"/>
          <w:szCs w:val="22"/>
          <w:lang w:val="sr-Latn-ME" w:eastAsia="hr-HR"/>
        </w:rPr>
        <w:t>Prilagođavanje doziranja kombinovane terapije kod pacijenata sa progresivnim multiplim mijelomom</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Za prilagođavanje doziranja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u kombinovanoj terapiji slijediti smjernice o modifikaciji doziranja, koje su opisane ranije u tekstu, u dijelu o monoterapiji.</w:t>
      </w:r>
    </w:p>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u w:val="single"/>
          <w:lang w:val="sr-Latn-ME" w:eastAsia="hr-HR"/>
        </w:rPr>
      </w:pPr>
      <w:r w:rsidRPr="00B90281">
        <w:rPr>
          <w:rFonts w:eastAsia="Arial"/>
          <w:color w:val="000000"/>
          <w:sz w:val="22"/>
          <w:szCs w:val="22"/>
          <w:u w:val="single"/>
          <w:lang w:val="sr-Latn-ME" w:eastAsia="hr-HR"/>
        </w:rPr>
        <w:t xml:space="preserve">Doziranje kod pacijenata sa prethodno neliječenim multiplim mijelomom koji ne ispunjavaju kriterijume za transplantaciju hematopoetskih matičnih ćelija </w:t>
      </w:r>
    </w:p>
    <w:p w:rsidR="00D868CB" w:rsidRPr="00B90281" w:rsidRDefault="00D868CB" w:rsidP="00CE1599">
      <w:pPr>
        <w:suppressAutoHyphens/>
        <w:autoSpaceDE w:val="0"/>
        <w:jc w:val="both"/>
        <w:rPr>
          <w:rFonts w:eastAsia="Arial"/>
          <w:i/>
          <w:iCs/>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i/>
          <w:iCs/>
          <w:color w:val="000000"/>
          <w:sz w:val="22"/>
          <w:szCs w:val="22"/>
          <w:lang w:val="sr-Latn-ME" w:eastAsia="hr-HR"/>
        </w:rPr>
        <w:t>Kombinovana terapija sa melfalanom i prednizonom</w:t>
      </w:r>
    </w:p>
    <w:p w:rsidR="00D868CB" w:rsidRPr="00B90281" w:rsidRDefault="00D868CB" w:rsidP="00CE1599">
      <w:pPr>
        <w:suppressAutoHyphens/>
        <w:autoSpaceDE w:val="0"/>
        <w:jc w:val="both"/>
        <w:rPr>
          <w:rFonts w:eastAsia="Arial"/>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Lijek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3.5 mg prašak za rastvor za injekciju primjenjuje</w:t>
      </w:r>
      <w:r w:rsidR="00AD12FC" w:rsidRPr="00B90281">
        <w:rPr>
          <w:rFonts w:eastAsia="Arial"/>
          <w:color w:val="000000"/>
          <w:sz w:val="22"/>
          <w:szCs w:val="22"/>
          <w:lang w:val="sr-Latn-ME" w:eastAsia="hr-HR"/>
        </w:rPr>
        <w:t xml:space="preserve"> se u obliku intravenske ili sub</w:t>
      </w:r>
      <w:r w:rsidRPr="00B90281">
        <w:rPr>
          <w:rFonts w:eastAsia="Arial"/>
          <w:color w:val="000000"/>
          <w:sz w:val="22"/>
          <w:szCs w:val="22"/>
          <w:lang w:val="sr-Latn-ME" w:eastAsia="hr-HR"/>
        </w:rPr>
        <w:t>kutane injekcije, u kombinaciji s</w:t>
      </w:r>
      <w:r w:rsidR="00CE2233" w:rsidRPr="00B90281">
        <w:rPr>
          <w:rFonts w:eastAsia="Arial"/>
          <w:color w:val="000000"/>
          <w:sz w:val="22"/>
          <w:szCs w:val="22"/>
          <w:lang w:val="sr-Latn-ME" w:eastAsia="hr-HR"/>
        </w:rPr>
        <w:t>a</w:t>
      </w:r>
      <w:r w:rsidRPr="00B90281">
        <w:rPr>
          <w:rFonts w:eastAsia="Arial"/>
          <w:color w:val="000000"/>
          <w:sz w:val="22"/>
          <w:szCs w:val="22"/>
          <w:lang w:val="sr-Latn-ME" w:eastAsia="hr-HR"/>
        </w:rPr>
        <w:t xml:space="preserve"> oralnim melfalanom i oralnim prednizonom, kao što je prikazano u Tabeli 2.</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Period od 6 nedjelja predstavlja terapijski ciklus. </w:t>
      </w:r>
      <w:r w:rsidR="00AD12FC" w:rsidRPr="00B90281">
        <w:rPr>
          <w:rFonts w:eastAsia="Arial"/>
          <w:color w:val="000000"/>
          <w:sz w:val="22"/>
          <w:szCs w:val="22"/>
          <w:lang w:val="sr-Latn-ME" w:eastAsia="hr-HR"/>
        </w:rPr>
        <w:t>Tokom</w:t>
      </w:r>
      <w:r w:rsidRPr="00B90281">
        <w:rPr>
          <w:rFonts w:eastAsia="Arial"/>
          <w:color w:val="000000"/>
          <w:sz w:val="22"/>
          <w:szCs w:val="22"/>
          <w:lang w:val="sr-Latn-ME" w:eastAsia="hr-HR"/>
        </w:rPr>
        <w:t xml:space="preserve"> 1.</w:t>
      </w:r>
      <w:r w:rsidR="00AD12FC" w:rsidRPr="00B90281">
        <w:rPr>
          <w:rFonts w:eastAsia="Arial"/>
          <w:color w:val="000000"/>
          <w:sz w:val="22"/>
          <w:szCs w:val="22"/>
          <w:lang w:val="sr-Latn-ME" w:eastAsia="hr-HR"/>
        </w:rPr>
        <w:t xml:space="preserve"> do</w:t>
      </w:r>
      <w:r w:rsidRPr="00B90281">
        <w:rPr>
          <w:rFonts w:eastAsia="Arial"/>
          <w:color w:val="000000"/>
          <w:sz w:val="22"/>
          <w:szCs w:val="22"/>
          <w:lang w:val="sr-Latn-ME" w:eastAsia="hr-HR"/>
        </w:rPr>
        <w:t xml:space="preserve"> 4.</w:t>
      </w:r>
      <w:r w:rsidR="00AD12FC" w:rsidRPr="00B90281">
        <w:rPr>
          <w:rFonts w:eastAsia="Arial"/>
          <w:color w:val="000000"/>
          <w:sz w:val="22"/>
          <w:szCs w:val="22"/>
          <w:lang w:val="sr-Latn-ME" w:eastAsia="hr-HR"/>
        </w:rPr>
        <w:t xml:space="preserve"> ciklusa</w:t>
      </w:r>
      <w:r w:rsidRPr="00B90281">
        <w:rPr>
          <w:rFonts w:eastAsia="Arial"/>
          <w:color w:val="000000"/>
          <w:sz w:val="22"/>
          <w:szCs w:val="22"/>
          <w:lang w:val="sr-Latn-ME" w:eastAsia="hr-HR"/>
        </w:rPr>
        <w:t xml:space="preserve">, lijek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se  primjenjuje dva puta nedjeljno, 1., 4., 8., 11., 22., 25., 29. i 32. dana. U ciklusima 5. -9., lijek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se primjenjuje jednom nedjeljno, 1., 8., 22. i 29. dana. Između dvije uzastopne doza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mora proći najmanje 72 sata. </w:t>
      </w:r>
    </w:p>
    <w:p w:rsidR="00CE1599" w:rsidRPr="00B90281" w:rsidRDefault="00CE1599" w:rsidP="00AD12FC">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Melfalan i prednizon je potrebno primijeniti </w:t>
      </w:r>
      <w:r w:rsidR="00CE2233" w:rsidRPr="00B90281">
        <w:rPr>
          <w:rFonts w:eastAsia="Arial"/>
          <w:color w:val="000000"/>
          <w:sz w:val="22"/>
          <w:szCs w:val="22"/>
          <w:lang w:val="sr-Latn-ME" w:eastAsia="hr-HR"/>
        </w:rPr>
        <w:t>per</w:t>
      </w:r>
      <w:r w:rsidRPr="00B90281">
        <w:rPr>
          <w:rFonts w:eastAsia="Arial"/>
          <w:color w:val="000000"/>
          <w:sz w:val="22"/>
          <w:szCs w:val="22"/>
          <w:lang w:val="sr-Latn-ME" w:eastAsia="hr-HR"/>
        </w:rPr>
        <w:t xml:space="preserve">oralno u danima 1., 2., 3. i 4. u prvoj nedjelji svakog terapijskog ciklusa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w:t>
      </w:r>
      <w:r w:rsidR="00CE2233" w:rsidRPr="00B90281">
        <w:rPr>
          <w:rFonts w:eastAsia="Arial"/>
          <w:color w:val="000000"/>
          <w:sz w:val="22"/>
          <w:szCs w:val="22"/>
          <w:lang w:val="sr-Latn-ME" w:eastAsia="hr-HR"/>
        </w:rPr>
        <w:t xml:space="preserve"> </w:t>
      </w:r>
      <w:r w:rsidRPr="00B90281">
        <w:rPr>
          <w:rFonts w:eastAsia="Arial"/>
          <w:color w:val="000000"/>
          <w:sz w:val="22"/>
          <w:szCs w:val="22"/>
          <w:lang w:val="sr-Latn-ME" w:eastAsia="hr-HR"/>
        </w:rPr>
        <w:t>Primjen</w:t>
      </w:r>
      <w:r w:rsidR="00AD12FC" w:rsidRPr="00B90281">
        <w:rPr>
          <w:rFonts w:eastAsia="Arial"/>
          <w:color w:val="000000"/>
          <w:sz w:val="22"/>
          <w:szCs w:val="22"/>
          <w:lang w:val="sr-Latn-ME" w:eastAsia="hr-HR"/>
        </w:rPr>
        <w:t>juje se 9 terapijskih ciklusa</w:t>
      </w:r>
      <w:r w:rsidRPr="00B90281">
        <w:rPr>
          <w:rFonts w:eastAsia="Arial"/>
          <w:color w:val="000000"/>
          <w:sz w:val="22"/>
          <w:szCs w:val="22"/>
          <w:lang w:val="sr-Latn-ME" w:eastAsia="hr-HR"/>
        </w:rPr>
        <w:t xml:space="preserve"> ovo</w:t>
      </w:r>
      <w:r w:rsidR="00AD12FC" w:rsidRPr="00B90281">
        <w:rPr>
          <w:rFonts w:eastAsia="Arial"/>
          <w:color w:val="000000"/>
          <w:sz w:val="22"/>
          <w:szCs w:val="22"/>
          <w:lang w:val="sr-Latn-ME" w:eastAsia="hr-HR"/>
        </w:rPr>
        <w:t>g kombin</w:t>
      </w:r>
      <w:r w:rsidRPr="00B90281">
        <w:rPr>
          <w:rFonts w:eastAsia="Arial"/>
          <w:color w:val="000000"/>
          <w:sz w:val="22"/>
          <w:szCs w:val="22"/>
          <w:lang w:val="sr-Latn-ME" w:eastAsia="hr-HR"/>
        </w:rPr>
        <w:t>o</w:t>
      </w:r>
      <w:r w:rsidR="00AD12FC" w:rsidRPr="00B90281">
        <w:rPr>
          <w:rFonts w:eastAsia="Arial"/>
          <w:color w:val="000000"/>
          <w:sz w:val="22"/>
          <w:szCs w:val="22"/>
          <w:lang w:val="sr-Latn-ME" w:eastAsia="hr-HR"/>
        </w:rPr>
        <w:t>vanog</w:t>
      </w:r>
      <w:r w:rsidRPr="00B90281">
        <w:rPr>
          <w:rFonts w:eastAsia="Arial"/>
          <w:color w:val="000000"/>
          <w:sz w:val="22"/>
          <w:szCs w:val="22"/>
          <w:lang w:val="sr-Latn-ME" w:eastAsia="hr-HR"/>
        </w:rPr>
        <w:t xml:space="preserve"> </w:t>
      </w:r>
      <w:r w:rsidR="00AD12FC" w:rsidRPr="00B90281">
        <w:rPr>
          <w:rFonts w:eastAsia="Arial"/>
          <w:color w:val="000000"/>
          <w:sz w:val="22"/>
          <w:szCs w:val="22"/>
          <w:lang w:val="sr-Latn-ME" w:eastAsia="hr-HR"/>
        </w:rPr>
        <w:t>liječenja</w:t>
      </w:r>
      <w:r w:rsidRPr="00B90281">
        <w:rPr>
          <w:rFonts w:eastAsia="Arial"/>
          <w:color w:val="000000"/>
          <w:sz w:val="22"/>
          <w:szCs w:val="22"/>
          <w:lang w:val="sr-Latn-ME" w:eastAsia="hr-HR"/>
        </w:rPr>
        <w:t>.</w:t>
      </w:r>
    </w:p>
    <w:p w:rsidR="00CE1599" w:rsidRPr="00B90281" w:rsidRDefault="00CE1599" w:rsidP="00CE1599">
      <w:pPr>
        <w:suppressAutoHyphens/>
        <w:autoSpaceDE w:val="0"/>
        <w:rPr>
          <w:rFonts w:eastAsia="Arial"/>
          <w:color w:val="000000"/>
          <w:sz w:val="22"/>
          <w:szCs w:val="22"/>
          <w:lang w:val="sr-Latn-ME" w:eastAsia="hr-HR"/>
        </w:rPr>
      </w:pPr>
    </w:p>
    <w:p w:rsidR="00D868CB" w:rsidRPr="00B90281" w:rsidRDefault="00D868CB" w:rsidP="00CE1599">
      <w:pPr>
        <w:suppressAutoHyphens/>
        <w:autoSpaceDE w:val="0"/>
        <w:ind w:left="1021" w:hanging="1021"/>
        <w:jc w:val="both"/>
        <w:rPr>
          <w:rFonts w:eastAsia="Arial"/>
          <w:i/>
          <w:iCs/>
          <w:color w:val="000000"/>
          <w:sz w:val="22"/>
          <w:szCs w:val="22"/>
          <w:lang w:val="sr-Latn-ME" w:eastAsia="hr-HR"/>
        </w:rPr>
      </w:pPr>
    </w:p>
    <w:p w:rsidR="00CE1599" w:rsidRPr="00B90281" w:rsidRDefault="00CE1599" w:rsidP="00CE1599">
      <w:pPr>
        <w:suppressAutoHyphens/>
        <w:autoSpaceDE w:val="0"/>
        <w:ind w:left="1021" w:hanging="1021"/>
        <w:jc w:val="both"/>
        <w:rPr>
          <w:rFonts w:eastAsia="Arial"/>
          <w:i/>
          <w:iCs/>
          <w:color w:val="000000"/>
          <w:sz w:val="22"/>
          <w:szCs w:val="22"/>
          <w:lang w:val="sr-Latn-ME" w:eastAsia="hr-HR"/>
        </w:rPr>
      </w:pPr>
      <w:r w:rsidRPr="00B90281">
        <w:rPr>
          <w:rFonts w:eastAsia="Arial"/>
          <w:i/>
          <w:iCs/>
          <w:color w:val="000000"/>
          <w:sz w:val="22"/>
          <w:szCs w:val="22"/>
          <w:lang w:val="sr-Latn-ME" w:eastAsia="hr-HR"/>
        </w:rPr>
        <w:lastRenderedPageBreak/>
        <w:t xml:space="preserve">Tabela2: Preporučeno doziranje za lijek </w:t>
      </w:r>
      <w:r w:rsidRPr="00B90281">
        <w:rPr>
          <w:rFonts w:eastAsia="Arial"/>
          <w:i/>
          <w:color w:val="000000"/>
          <w:sz w:val="22"/>
          <w:szCs w:val="22"/>
          <w:lang w:val="sr-Latn-ME" w:eastAsia="hr-HR"/>
        </w:rPr>
        <w:t>Bortezomib</w:t>
      </w:r>
      <w:r w:rsidRPr="00B90281">
        <w:rPr>
          <w:rFonts w:eastAsia="Arial"/>
          <w:color w:val="000000"/>
          <w:sz w:val="22"/>
          <w:szCs w:val="22"/>
          <w:lang w:val="sr-Latn-ME" w:eastAsia="hr-HR"/>
        </w:rPr>
        <w:t xml:space="preserve"> </w:t>
      </w:r>
      <w:r w:rsidR="00640DA2" w:rsidRPr="00B90281">
        <w:rPr>
          <w:rFonts w:eastAsia="Arial"/>
          <w:i/>
          <w:color w:val="000000"/>
          <w:sz w:val="22"/>
          <w:szCs w:val="22"/>
          <w:lang w:val="sr-Latn-ME" w:eastAsia="hr-HR"/>
        </w:rPr>
        <w:t>Accord</w:t>
      </w:r>
      <w:r w:rsidRPr="00B90281">
        <w:rPr>
          <w:rFonts w:eastAsia="Arial"/>
          <w:color w:val="000000"/>
          <w:sz w:val="22"/>
          <w:szCs w:val="22"/>
          <w:lang w:val="sr-Latn-ME" w:eastAsia="hr-HR"/>
        </w:rPr>
        <w:t xml:space="preserve"> </w:t>
      </w:r>
      <w:r w:rsidRPr="00B90281">
        <w:rPr>
          <w:rFonts w:eastAsia="Arial"/>
          <w:i/>
          <w:iCs/>
          <w:color w:val="000000"/>
          <w:sz w:val="22"/>
          <w:szCs w:val="22"/>
          <w:lang w:val="sr-Latn-ME" w:eastAsia="hr-HR"/>
        </w:rPr>
        <w:t>kada se primjenjuje u kombinaciji sa melfalanom i prednizonom</w:t>
      </w:r>
    </w:p>
    <w:tbl>
      <w:tblPr>
        <w:tblW w:w="5000" w:type="pct"/>
        <w:tblLook w:val="0000" w:firstRow="0" w:lastRow="0" w:firstColumn="0" w:lastColumn="0" w:noHBand="0" w:noVBand="0"/>
      </w:tblPr>
      <w:tblGrid>
        <w:gridCol w:w="1166"/>
        <w:gridCol w:w="1828"/>
        <w:gridCol w:w="1405"/>
        <w:gridCol w:w="889"/>
        <w:gridCol w:w="1403"/>
        <w:gridCol w:w="1401"/>
        <w:gridCol w:w="993"/>
      </w:tblGrid>
      <w:tr w:rsidR="00CE1599" w:rsidRPr="00B90281" w:rsidTr="00022D95">
        <w:tc>
          <w:tcPr>
            <w:tcW w:w="5000" w:type="pct"/>
            <w:gridSpan w:val="7"/>
            <w:tcBorders>
              <w:top w:val="single" w:sz="18" w:space="0" w:color="000000"/>
              <w:bottom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 xml:space="preserve">Lijek Bortezomib </w:t>
            </w:r>
            <w:r w:rsidR="00640DA2" w:rsidRPr="00B90281">
              <w:rPr>
                <w:rFonts w:eastAsia="Arial"/>
                <w:b/>
                <w:bCs/>
                <w:color w:val="000000"/>
                <w:sz w:val="22"/>
                <w:szCs w:val="22"/>
                <w:lang w:val="sr-Latn-ME" w:eastAsia="hr-HR"/>
              </w:rPr>
              <w:t>Accord</w:t>
            </w:r>
            <w:r w:rsidRPr="00B90281">
              <w:rPr>
                <w:rFonts w:eastAsia="Arial"/>
                <w:b/>
                <w:bCs/>
                <w:color w:val="000000"/>
                <w:sz w:val="22"/>
                <w:szCs w:val="22"/>
                <w:lang w:val="sr-Latn-ME" w:eastAsia="hr-HR"/>
              </w:rPr>
              <w:t xml:space="preserve"> dva puta nedjeljno (1. - 4. ciklus)</w:t>
            </w:r>
          </w:p>
        </w:tc>
      </w:tr>
      <w:tr w:rsidR="00DE5659" w:rsidRPr="00B90281" w:rsidTr="004C1BA3">
        <w:tc>
          <w:tcPr>
            <w:tcW w:w="624" w:type="pct"/>
            <w:tcBorders>
              <w:top w:val="single" w:sz="18" w:space="0" w:color="000000"/>
              <w:bottom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b/>
                <w:bCs/>
                <w:color w:val="000000"/>
                <w:sz w:val="22"/>
                <w:szCs w:val="22"/>
                <w:lang w:val="sr-Latn-ME" w:eastAsia="hr-HR"/>
              </w:rPr>
              <w:t>Nedjelja</w:t>
            </w:r>
          </w:p>
        </w:tc>
        <w:tc>
          <w:tcPr>
            <w:tcW w:w="1014"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1</w:t>
            </w:r>
          </w:p>
        </w:tc>
        <w:tc>
          <w:tcPr>
            <w:tcW w:w="781"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2</w:t>
            </w:r>
          </w:p>
        </w:tc>
        <w:tc>
          <w:tcPr>
            <w:tcW w:w="468"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3</w:t>
            </w:r>
          </w:p>
        </w:tc>
        <w:tc>
          <w:tcPr>
            <w:tcW w:w="780"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4</w:t>
            </w:r>
          </w:p>
        </w:tc>
        <w:tc>
          <w:tcPr>
            <w:tcW w:w="779"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5</w:t>
            </w:r>
          </w:p>
        </w:tc>
        <w:tc>
          <w:tcPr>
            <w:tcW w:w="554"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6</w:t>
            </w:r>
          </w:p>
        </w:tc>
      </w:tr>
      <w:tr w:rsidR="00DE5659" w:rsidRPr="00B90281" w:rsidTr="004C1BA3">
        <w:tc>
          <w:tcPr>
            <w:tcW w:w="624" w:type="pct"/>
            <w:tcBorders>
              <w:top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Btz</w:t>
            </w:r>
            <w:r w:rsidR="00DE5659" w:rsidRPr="00B90281">
              <w:rPr>
                <w:rFonts w:eastAsia="Arial"/>
                <w:color w:val="000000"/>
                <w:sz w:val="22"/>
                <w:szCs w:val="22"/>
                <w:lang w:val="sr-Latn-ME" w:eastAsia="hr-HR"/>
              </w:rPr>
              <w:t xml:space="preserve"> </w:t>
            </w:r>
            <w:r w:rsidRPr="00B90281">
              <w:rPr>
                <w:rFonts w:eastAsia="Arial"/>
                <w:color w:val="000000"/>
                <w:sz w:val="22"/>
                <w:szCs w:val="22"/>
                <w:lang w:val="sr-Latn-ME" w:eastAsia="hr-HR"/>
              </w:rPr>
              <w:t>(1,3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tc>
        <w:tc>
          <w:tcPr>
            <w:tcW w:w="101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1.-- --          ---4.</w:t>
            </w:r>
          </w:p>
          <w:p w:rsidR="00CE1599" w:rsidRPr="00B90281" w:rsidRDefault="00CE1599" w:rsidP="00CE1599">
            <w:pPr>
              <w:suppressAutoHyphens/>
              <w:autoSpaceDE w:val="0"/>
              <w:rPr>
                <w:rFonts w:eastAsia="Arial"/>
                <w:iCs/>
                <w:color w:val="000000"/>
                <w:sz w:val="22"/>
                <w:szCs w:val="22"/>
                <w:lang w:val="sr-Latn-ME" w:eastAsia="hr-HR"/>
              </w:rPr>
            </w:pPr>
            <w:r w:rsidRPr="00B90281">
              <w:rPr>
                <w:rFonts w:eastAsia="Arial"/>
                <w:color w:val="000000"/>
                <w:sz w:val="22"/>
                <w:szCs w:val="22"/>
                <w:lang w:val="sr-Latn-ME" w:eastAsia="hr-HR"/>
              </w:rPr>
              <w:t>dan                dan</w:t>
            </w:r>
          </w:p>
        </w:tc>
        <w:tc>
          <w:tcPr>
            <w:tcW w:w="781"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8. dan      11.</w:t>
            </w: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               </w:t>
            </w:r>
            <w:r w:rsidR="00A71C3D" w:rsidRPr="00B90281">
              <w:rPr>
                <w:rFonts w:eastAsia="Arial"/>
                <w:color w:val="000000"/>
                <w:sz w:val="22"/>
                <w:szCs w:val="22"/>
                <w:lang w:val="sr-Latn-ME" w:eastAsia="hr-HR"/>
              </w:rPr>
              <w:t>dan</w:t>
            </w:r>
            <w:r w:rsidRPr="00B90281">
              <w:rPr>
                <w:rFonts w:eastAsia="Arial"/>
                <w:color w:val="000000"/>
                <w:sz w:val="22"/>
                <w:szCs w:val="22"/>
                <w:lang w:val="sr-Latn-ME" w:eastAsia="hr-HR"/>
              </w:rPr>
              <w:t xml:space="preserve">  </w:t>
            </w:r>
          </w:p>
          <w:p w:rsidR="00CE1599" w:rsidRPr="00B90281" w:rsidRDefault="00CE1599" w:rsidP="00CE1599">
            <w:pPr>
              <w:suppressAutoHyphens/>
              <w:autoSpaceDE w:val="0"/>
              <w:jc w:val="center"/>
              <w:rPr>
                <w:rFonts w:eastAsia="Arial"/>
                <w:iCs/>
                <w:color w:val="000000"/>
                <w:sz w:val="22"/>
                <w:szCs w:val="22"/>
                <w:lang w:val="sr-Latn-ME" w:eastAsia="hr-HR"/>
              </w:rPr>
            </w:pPr>
          </w:p>
        </w:tc>
        <w:tc>
          <w:tcPr>
            <w:tcW w:w="46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period odmora</w:t>
            </w:r>
          </w:p>
        </w:tc>
        <w:tc>
          <w:tcPr>
            <w:tcW w:w="78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 22.          25.  dan          dan</w:t>
            </w:r>
          </w:p>
          <w:p w:rsidR="00CE1599" w:rsidRPr="00B90281" w:rsidRDefault="00CE1599" w:rsidP="00CE1599">
            <w:pPr>
              <w:suppressAutoHyphens/>
              <w:autoSpaceDE w:val="0"/>
              <w:rPr>
                <w:rFonts w:eastAsia="Arial"/>
                <w:iCs/>
                <w:color w:val="000000"/>
                <w:sz w:val="22"/>
                <w:szCs w:val="22"/>
                <w:lang w:val="sr-Latn-ME" w:eastAsia="hr-HR"/>
              </w:rPr>
            </w:pPr>
          </w:p>
        </w:tc>
        <w:tc>
          <w:tcPr>
            <w:tcW w:w="779"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iCs/>
                <w:color w:val="000000"/>
                <w:sz w:val="22"/>
                <w:szCs w:val="22"/>
                <w:lang w:val="sr-Latn-ME" w:eastAsia="hr-HR"/>
              </w:rPr>
            </w:pPr>
            <w:r w:rsidRPr="00B90281">
              <w:rPr>
                <w:rFonts w:eastAsia="Arial"/>
                <w:iCs/>
                <w:color w:val="000000"/>
                <w:sz w:val="22"/>
                <w:szCs w:val="22"/>
                <w:lang w:val="sr-Latn-ME" w:eastAsia="hr-HR"/>
              </w:rPr>
              <w:t>29.           32.</w:t>
            </w:r>
          </w:p>
          <w:p w:rsidR="00CE1599" w:rsidRPr="00B90281" w:rsidRDefault="00CE1599" w:rsidP="00CE1599">
            <w:pPr>
              <w:suppressAutoHyphens/>
              <w:autoSpaceDE w:val="0"/>
              <w:rPr>
                <w:rFonts w:eastAsia="Arial"/>
                <w:iCs/>
                <w:color w:val="000000"/>
                <w:sz w:val="22"/>
                <w:szCs w:val="22"/>
                <w:lang w:val="sr-Latn-ME" w:eastAsia="hr-HR"/>
              </w:rPr>
            </w:pPr>
            <w:r w:rsidRPr="00B90281">
              <w:rPr>
                <w:rFonts w:eastAsia="Arial"/>
                <w:iCs/>
                <w:color w:val="000000"/>
                <w:sz w:val="22"/>
                <w:szCs w:val="22"/>
                <w:lang w:val="sr-Latn-ME" w:eastAsia="hr-HR"/>
              </w:rPr>
              <w:t>dan         dan</w:t>
            </w:r>
          </w:p>
        </w:tc>
        <w:tc>
          <w:tcPr>
            <w:tcW w:w="55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iCs/>
                <w:color w:val="000000"/>
                <w:sz w:val="22"/>
                <w:szCs w:val="22"/>
                <w:lang w:val="sr-Latn-ME" w:eastAsia="hr-HR"/>
              </w:rPr>
            </w:pPr>
            <w:r w:rsidRPr="00B90281">
              <w:rPr>
                <w:rFonts w:eastAsia="Arial"/>
                <w:color w:val="000000"/>
                <w:sz w:val="22"/>
                <w:szCs w:val="22"/>
                <w:lang w:val="sr-Latn-ME" w:eastAsia="hr-HR"/>
              </w:rPr>
              <w:t>period odmora</w:t>
            </w:r>
          </w:p>
        </w:tc>
      </w:tr>
      <w:tr w:rsidR="00DE5659" w:rsidRPr="00B90281" w:rsidTr="004C1BA3">
        <w:tc>
          <w:tcPr>
            <w:tcW w:w="624" w:type="pct"/>
            <w:tcBorders>
              <w:top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M (9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p w:rsidR="00CE1599" w:rsidRPr="00B90281" w:rsidRDefault="00DE565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P (60</w:t>
            </w:r>
            <w:r w:rsidR="00CE1599" w:rsidRPr="00B90281">
              <w:rPr>
                <w:rFonts w:eastAsia="Arial"/>
                <w:color w:val="000000"/>
                <w:sz w:val="22"/>
                <w:szCs w:val="22"/>
                <w:lang w:val="sr-Latn-ME" w:eastAsia="hr-HR"/>
              </w:rPr>
              <w:t>mg/m</w:t>
            </w:r>
            <w:r w:rsidR="00CE1599" w:rsidRPr="00B90281">
              <w:rPr>
                <w:rFonts w:eastAsia="Arial"/>
                <w:color w:val="000000"/>
                <w:sz w:val="22"/>
                <w:szCs w:val="22"/>
                <w:vertAlign w:val="superscript"/>
                <w:lang w:val="sr-Latn-ME" w:eastAsia="hr-HR"/>
              </w:rPr>
              <w:t>2</w:t>
            </w:r>
            <w:r w:rsidR="00CE1599" w:rsidRPr="00B90281">
              <w:rPr>
                <w:rFonts w:eastAsia="Arial"/>
                <w:color w:val="000000"/>
                <w:sz w:val="22"/>
                <w:szCs w:val="22"/>
                <w:lang w:val="sr-Latn-ME" w:eastAsia="hr-HR"/>
              </w:rPr>
              <w:t>)</w:t>
            </w:r>
          </w:p>
        </w:tc>
        <w:tc>
          <w:tcPr>
            <w:tcW w:w="101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ind w:left="-250" w:firstLine="250"/>
              <w:rPr>
                <w:rFonts w:eastAsia="Arial"/>
                <w:color w:val="000000"/>
                <w:sz w:val="22"/>
                <w:szCs w:val="22"/>
                <w:lang w:val="sr-Latn-ME" w:eastAsia="hr-HR"/>
              </w:rPr>
            </w:pPr>
            <w:r w:rsidRPr="00B90281">
              <w:rPr>
                <w:rFonts w:eastAsia="Arial"/>
                <w:color w:val="000000"/>
                <w:sz w:val="22"/>
                <w:szCs w:val="22"/>
                <w:lang w:val="sr-Latn-ME" w:eastAsia="hr-HR"/>
              </w:rPr>
              <w:t>1.    2.       3.     4.</w:t>
            </w:r>
          </w:p>
          <w:p w:rsidR="00CE1599" w:rsidRPr="00B90281" w:rsidRDefault="00DE5659" w:rsidP="00CE1599">
            <w:pPr>
              <w:suppressAutoHyphens/>
              <w:autoSpaceDE w:val="0"/>
              <w:ind w:left="-250" w:right="33"/>
              <w:rPr>
                <w:rFonts w:eastAsia="Arial"/>
                <w:color w:val="000000"/>
                <w:sz w:val="22"/>
                <w:szCs w:val="22"/>
                <w:lang w:val="sr-Latn-ME" w:eastAsia="hr-HR"/>
              </w:rPr>
            </w:pPr>
            <w:r w:rsidRPr="00B90281">
              <w:rPr>
                <w:rFonts w:eastAsia="Arial"/>
                <w:color w:val="000000"/>
                <w:sz w:val="22"/>
                <w:szCs w:val="22"/>
                <w:lang w:val="sr-Latn-ME" w:eastAsia="hr-HR"/>
              </w:rPr>
              <w:t xml:space="preserve">   dan   dan   dan </w:t>
            </w:r>
            <w:r w:rsidR="00CE1599" w:rsidRPr="00B90281">
              <w:rPr>
                <w:rFonts w:eastAsia="Arial"/>
                <w:color w:val="000000"/>
                <w:sz w:val="22"/>
                <w:szCs w:val="22"/>
                <w:lang w:val="sr-Latn-ME" w:eastAsia="hr-HR"/>
              </w:rPr>
              <w:t>dan</w:t>
            </w:r>
          </w:p>
          <w:p w:rsidR="00CE1599" w:rsidRPr="00B90281" w:rsidRDefault="00CE1599" w:rsidP="00CE1599">
            <w:pPr>
              <w:suppressAutoHyphens/>
              <w:autoSpaceDE w:val="0"/>
              <w:rPr>
                <w:rFonts w:eastAsia="Arial"/>
                <w:color w:val="000000"/>
                <w:sz w:val="22"/>
                <w:szCs w:val="22"/>
                <w:lang w:val="sr-Latn-ME" w:eastAsia="hr-HR"/>
              </w:rPr>
            </w:pPr>
          </w:p>
        </w:tc>
        <w:tc>
          <w:tcPr>
            <w:tcW w:w="781"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          --</w:t>
            </w:r>
          </w:p>
        </w:tc>
        <w:tc>
          <w:tcPr>
            <w:tcW w:w="46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period odmora</w:t>
            </w:r>
          </w:p>
        </w:tc>
        <w:tc>
          <w:tcPr>
            <w:tcW w:w="78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              --</w:t>
            </w:r>
          </w:p>
        </w:tc>
        <w:tc>
          <w:tcPr>
            <w:tcW w:w="779"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            --</w:t>
            </w:r>
          </w:p>
        </w:tc>
        <w:tc>
          <w:tcPr>
            <w:tcW w:w="55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iCs/>
                <w:color w:val="000000"/>
                <w:sz w:val="22"/>
                <w:szCs w:val="22"/>
                <w:lang w:val="sr-Latn-ME" w:eastAsia="hr-HR"/>
              </w:rPr>
            </w:pPr>
            <w:r w:rsidRPr="00B90281">
              <w:rPr>
                <w:rFonts w:eastAsia="Arial"/>
                <w:color w:val="000000"/>
                <w:sz w:val="22"/>
                <w:szCs w:val="22"/>
                <w:lang w:val="sr-Latn-ME" w:eastAsia="hr-HR"/>
              </w:rPr>
              <w:t>period odmora</w:t>
            </w:r>
          </w:p>
        </w:tc>
      </w:tr>
      <w:tr w:rsidR="00CE1599" w:rsidRPr="00B90281" w:rsidTr="00022D95">
        <w:tc>
          <w:tcPr>
            <w:tcW w:w="5000" w:type="pct"/>
            <w:gridSpan w:val="7"/>
            <w:tcBorders>
              <w:top w:val="single" w:sz="18" w:space="0" w:color="000000"/>
              <w:bottom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 xml:space="preserve">Lijek Bortezomib </w:t>
            </w:r>
            <w:r w:rsidR="00640DA2" w:rsidRPr="00B90281">
              <w:rPr>
                <w:rFonts w:eastAsia="Arial"/>
                <w:b/>
                <w:bCs/>
                <w:color w:val="000000"/>
                <w:sz w:val="22"/>
                <w:szCs w:val="22"/>
                <w:lang w:val="sr-Latn-ME" w:eastAsia="hr-HR"/>
              </w:rPr>
              <w:t>Accord</w:t>
            </w:r>
            <w:r w:rsidRPr="00B90281">
              <w:rPr>
                <w:rFonts w:eastAsia="Arial"/>
                <w:b/>
                <w:bCs/>
                <w:color w:val="000000"/>
                <w:sz w:val="22"/>
                <w:szCs w:val="22"/>
                <w:lang w:val="sr-Latn-ME" w:eastAsia="hr-HR"/>
              </w:rPr>
              <w:t xml:space="preserve"> jednom nedjeljno (5. - 9. ciklus)</w:t>
            </w:r>
          </w:p>
        </w:tc>
      </w:tr>
      <w:tr w:rsidR="00DE5659" w:rsidRPr="00B90281" w:rsidTr="004C1BA3">
        <w:tc>
          <w:tcPr>
            <w:tcW w:w="624" w:type="pct"/>
            <w:tcBorders>
              <w:top w:val="single" w:sz="18" w:space="0" w:color="000000"/>
              <w:bottom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b/>
                <w:bCs/>
                <w:color w:val="000000"/>
                <w:sz w:val="22"/>
                <w:szCs w:val="22"/>
                <w:lang w:val="sr-Latn-ME" w:eastAsia="hr-HR"/>
              </w:rPr>
              <w:t>Nedjelja</w:t>
            </w:r>
          </w:p>
        </w:tc>
        <w:tc>
          <w:tcPr>
            <w:tcW w:w="1014"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1</w:t>
            </w:r>
          </w:p>
        </w:tc>
        <w:tc>
          <w:tcPr>
            <w:tcW w:w="781"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2</w:t>
            </w:r>
          </w:p>
        </w:tc>
        <w:tc>
          <w:tcPr>
            <w:tcW w:w="468"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3</w:t>
            </w:r>
          </w:p>
        </w:tc>
        <w:tc>
          <w:tcPr>
            <w:tcW w:w="780"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4</w:t>
            </w:r>
          </w:p>
        </w:tc>
        <w:tc>
          <w:tcPr>
            <w:tcW w:w="779"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5</w:t>
            </w:r>
          </w:p>
        </w:tc>
        <w:tc>
          <w:tcPr>
            <w:tcW w:w="554" w:type="pct"/>
            <w:tcBorders>
              <w:top w:val="single" w:sz="18"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6</w:t>
            </w:r>
          </w:p>
        </w:tc>
      </w:tr>
      <w:tr w:rsidR="00DE5659" w:rsidRPr="00B90281" w:rsidTr="004C1BA3">
        <w:tc>
          <w:tcPr>
            <w:tcW w:w="624" w:type="pct"/>
            <w:tcBorders>
              <w:top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Btz</w:t>
            </w:r>
            <w:r w:rsidR="0014042B" w:rsidRPr="00B90281">
              <w:rPr>
                <w:rFonts w:eastAsia="Arial"/>
                <w:color w:val="000000"/>
                <w:sz w:val="22"/>
                <w:szCs w:val="22"/>
                <w:lang w:val="sr-Latn-ME" w:eastAsia="hr-HR"/>
              </w:rPr>
              <w:t xml:space="preserve"> (1,3 </w:t>
            </w:r>
            <w:r w:rsidRPr="00B90281">
              <w:rPr>
                <w:rFonts w:eastAsia="Arial"/>
                <w:color w:val="000000"/>
                <w:sz w:val="22"/>
                <w:szCs w:val="22"/>
                <w:lang w:val="sr-Latn-ME" w:eastAsia="hr-HR"/>
              </w:rPr>
              <w:t>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tc>
        <w:tc>
          <w:tcPr>
            <w:tcW w:w="101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1.   --   --   --     </w:t>
            </w:r>
            <w:r w:rsidR="00A71C3D" w:rsidRPr="00B90281">
              <w:rPr>
                <w:rFonts w:eastAsia="Arial"/>
                <w:color w:val="000000"/>
                <w:sz w:val="22"/>
                <w:szCs w:val="22"/>
                <w:lang w:val="sr-Latn-ME" w:eastAsia="hr-HR"/>
              </w:rPr>
              <w:t>--</w:t>
            </w:r>
            <w:r w:rsidRPr="00B90281">
              <w:rPr>
                <w:rFonts w:eastAsia="Arial"/>
                <w:color w:val="000000"/>
                <w:sz w:val="22"/>
                <w:szCs w:val="22"/>
                <w:lang w:val="sr-Latn-ME" w:eastAsia="hr-HR"/>
              </w:rPr>
              <w:t xml:space="preserve">   dan</w:t>
            </w:r>
          </w:p>
        </w:tc>
        <w:tc>
          <w:tcPr>
            <w:tcW w:w="781"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 xml:space="preserve">8.dan </w:t>
            </w: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           </w:t>
            </w:r>
          </w:p>
        </w:tc>
        <w:tc>
          <w:tcPr>
            <w:tcW w:w="46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period odmora</w:t>
            </w:r>
          </w:p>
        </w:tc>
        <w:tc>
          <w:tcPr>
            <w:tcW w:w="78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       22.  dan</w:t>
            </w: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           </w:t>
            </w:r>
          </w:p>
        </w:tc>
        <w:tc>
          <w:tcPr>
            <w:tcW w:w="779"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29. dan</w:t>
            </w:r>
          </w:p>
          <w:p w:rsidR="00CE1599" w:rsidRPr="00B90281" w:rsidRDefault="00CE1599" w:rsidP="00CE1599">
            <w:pPr>
              <w:suppressAutoHyphens/>
              <w:autoSpaceDE w:val="0"/>
              <w:jc w:val="center"/>
              <w:rPr>
                <w:rFonts w:eastAsia="Arial"/>
                <w:color w:val="000000"/>
                <w:sz w:val="22"/>
                <w:szCs w:val="22"/>
                <w:lang w:val="sr-Latn-ME" w:eastAsia="hr-HR"/>
              </w:rPr>
            </w:pPr>
          </w:p>
        </w:tc>
        <w:tc>
          <w:tcPr>
            <w:tcW w:w="55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iCs/>
                <w:color w:val="000000"/>
                <w:sz w:val="22"/>
                <w:szCs w:val="22"/>
                <w:lang w:val="sr-Latn-ME" w:eastAsia="hr-HR"/>
              </w:rPr>
            </w:pPr>
            <w:r w:rsidRPr="00B90281">
              <w:rPr>
                <w:rFonts w:eastAsia="Arial"/>
                <w:color w:val="000000"/>
                <w:sz w:val="22"/>
                <w:szCs w:val="22"/>
                <w:lang w:val="sr-Latn-ME" w:eastAsia="hr-HR"/>
              </w:rPr>
              <w:t>period odmora</w:t>
            </w:r>
          </w:p>
        </w:tc>
      </w:tr>
      <w:tr w:rsidR="00DE5659" w:rsidRPr="00B90281" w:rsidTr="004C1BA3">
        <w:tc>
          <w:tcPr>
            <w:tcW w:w="624" w:type="pct"/>
            <w:tcBorders>
              <w:top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M (9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P (60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tc>
        <w:tc>
          <w:tcPr>
            <w:tcW w:w="101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1.    2.       3.     4. </w:t>
            </w:r>
            <w:r w:rsidR="00FE2D62" w:rsidRPr="00B90281">
              <w:rPr>
                <w:rFonts w:eastAsia="Arial"/>
                <w:color w:val="000000"/>
                <w:sz w:val="22"/>
                <w:szCs w:val="22"/>
                <w:lang w:val="sr-Latn-ME" w:eastAsia="hr-HR"/>
              </w:rPr>
              <w:t>dan   dan  dan</w:t>
            </w:r>
            <w:r w:rsidR="00A71C3D" w:rsidRPr="00B90281">
              <w:rPr>
                <w:rFonts w:eastAsia="Arial"/>
                <w:color w:val="000000"/>
                <w:sz w:val="22"/>
                <w:szCs w:val="22"/>
                <w:lang w:val="sr-Latn-ME" w:eastAsia="hr-HR"/>
              </w:rPr>
              <w:t xml:space="preserve"> </w:t>
            </w:r>
            <w:r w:rsidRPr="00B90281">
              <w:rPr>
                <w:rFonts w:eastAsia="Arial"/>
                <w:color w:val="000000"/>
                <w:sz w:val="22"/>
                <w:szCs w:val="22"/>
                <w:lang w:val="sr-Latn-ME" w:eastAsia="hr-HR"/>
              </w:rPr>
              <w:t>dan</w:t>
            </w:r>
          </w:p>
        </w:tc>
        <w:tc>
          <w:tcPr>
            <w:tcW w:w="781"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w:t>
            </w:r>
          </w:p>
        </w:tc>
        <w:tc>
          <w:tcPr>
            <w:tcW w:w="46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color w:val="000000"/>
                <w:sz w:val="22"/>
                <w:szCs w:val="22"/>
                <w:lang w:val="sr-Latn-ME" w:eastAsia="hr-HR"/>
              </w:rPr>
            </w:pPr>
            <w:r w:rsidRPr="00B90281">
              <w:rPr>
                <w:rFonts w:eastAsia="Arial"/>
                <w:color w:val="000000"/>
                <w:sz w:val="22"/>
                <w:szCs w:val="22"/>
                <w:lang w:val="sr-Latn-ME" w:eastAsia="hr-HR"/>
              </w:rPr>
              <w:t>period odmora</w:t>
            </w:r>
          </w:p>
        </w:tc>
        <w:tc>
          <w:tcPr>
            <w:tcW w:w="78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iCs/>
                <w:color w:val="000000"/>
                <w:sz w:val="22"/>
                <w:szCs w:val="22"/>
                <w:lang w:val="sr-Latn-ME" w:eastAsia="hr-HR"/>
              </w:rPr>
            </w:pPr>
            <w:r w:rsidRPr="00B90281">
              <w:rPr>
                <w:rFonts w:eastAsia="Arial"/>
                <w:color w:val="000000"/>
                <w:sz w:val="22"/>
                <w:szCs w:val="22"/>
                <w:lang w:val="sr-Latn-ME" w:eastAsia="hr-HR"/>
              </w:rPr>
              <w:t>--</w:t>
            </w:r>
          </w:p>
        </w:tc>
        <w:tc>
          <w:tcPr>
            <w:tcW w:w="779"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jc w:val="center"/>
              <w:rPr>
                <w:rFonts w:eastAsia="Arial"/>
                <w:iCs/>
                <w:color w:val="000000"/>
                <w:sz w:val="22"/>
                <w:szCs w:val="22"/>
                <w:lang w:val="sr-Latn-ME" w:eastAsia="hr-HR"/>
              </w:rPr>
            </w:pPr>
          </w:p>
        </w:tc>
        <w:tc>
          <w:tcPr>
            <w:tcW w:w="55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iCs/>
                <w:color w:val="000000"/>
                <w:sz w:val="22"/>
                <w:szCs w:val="22"/>
                <w:lang w:val="sr-Latn-ME" w:eastAsia="hr-HR"/>
              </w:rPr>
            </w:pPr>
            <w:r w:rsidRPr="00B90281">
              <w:rPr>
                <w:rFonts w:eastAsia="Arial"/>
                <w:color w:val="000000"/>
                <w:sz w:val="22"/>
                <w:szCs w:val="22"/>
                <w:lang w:val="sr-Latn-ME" w:eastAsia="hr-HR"/>
              </w:rPr>
              <w:t>period odmora</w:t>
            </w:r>
          </w:p>
        </w:tc>
      </w:tr>
    </w:tbl>
    <w:p w:rsidR="00CE1599" w:rsidRPr="00B90281" w:rsidRDefault="00CE1599" w:rsidP="00CE1599">
      <w:pPr>
        <w:suppressAutoHyphens/>
        <w:autoSpaceDE w:val="0"/>
        <w:rPr>
          <w:rFonts w:eastAsia="Arial"/>
          <w:i/>
          <w:iCs/>
          <w:color w:val="000000"/>
          <w:sz w:val="20"/>
          <w:szCs w:val="22"/>
          <w:lang w:val="sr-Latn-ME" w:eastAsia="hr-HR"/>
        </w:rPr>
      </w:pPr>
      <w:r w:rsidRPr="00B90281">
        <w:rPr>
          <w:rFonts w:eastAsia="Arial"/>
          <w:color w:val="000000"/>
          <w:sz w:val="20"/>
          <w:szCs w:val="22"/>
          <w:lang w:val="sr-Latn-ME" w:eastAsia="hr-HR"/>
        </w:rPr>
        <w:t xml:space="preserve">Btz = Bortezomib </w:t>
      </w:r>
      <w:r w:rsidR="00640DA2" w:rsidRPr="00B90281">
        <w:rPr>
          <w:rFonts w:eastAsia="Arial"/>
          <w:color w:val="000000"/>
          <w:sz w:val="20"/>
          <w:szCs w:val="22"/>
          <w:lang w:val="sr-Latn-ME" w:eastAsia="hr-HR"/>
        </w:rPr>
        <w:t>Accord</w:t>
      </w:r>
      <w:r w:rsidRPr="00B90281">
        <w:rPr>
          <w:rFonts w:eastAsia="Arial"/>
          <w:color w:val="000000"/>
          <w:sz w:val="20"/>
          <w:szCs w:val="22"/>
          <w:lang w:val="sr-Latn-ME" w:eastAsia="hr-HR"/>
        </w:rPr>
        <w:t>; M = melfalan, P = prednizon</w:t>
      </w:r>
    </w:p>
    <w:p w:rsidR="00CE1599" w:rsidRPr="00B90281" w:rsidRDefault="00CE1599" w:rsidP="00CE1599">
      <w:pPr>
        <w:suppressAutoHyphens/>
        <w:autoSpaceDE w:val="0"/>
        <w:jc w:val="both"/>
        <w:rPr>
          <w:rFonts w:eastAsia="Arial"/>
          <w:i/>
          <w:iCs/>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i/>
          <w:iCs/>
          <w:color w:val="000000"/>
          <w:sz w:val="22"/>
          <w:szCs w:val="22"/>
          <w:lang w:val="sr-Latn-ME" w:eastAsia="hr-HR"/>
        </w:rPr>
        <w:t>Podešavanje doze za vrijeme i kod ponovnog uvođenja kombinovanog liječenja melfalanom i prednizonom</w:t>
      </w:r>
    </w:p>
    <w:p w:rsidR="00CE1599" w:rsidRPr="00B90281" w:rsidRDefault="00CE1599" w:rsidP="00CE1599">
      <w:pPr>
        <w:suppressAutoHyphens/>
        <w:autoSpaceDE w:val="0"/>
        <w:jc w:val="both"/>
        <w:rPr>
          <w:color w:val="000000"/>
          <w:sz w:val="22"/>
          <w:szCs w:val="22"/>
          <w:lang w:val="sr-Latn-ME" w:eastAsia="hr-HR"/>
        </w:rPr>
      </w:pPr>
      <w:r w:rsidRPr="00B90281">
        <w:rPr>
          <w:rFonts w:eastAsia="Arial"/>
          <w:color w:val="000000"/>
          <w:sz w:val="22"/>
          <w:szCs w:val="22"/>
          <w:lang w:val="sr-Latn-ME" w:eastAsia="hr-HR"/>
        </w:rPr>
        <w:t>Prije početka novog terapijskog ciklusa :</w:t>
      </w:r>
    </w:p>
    <w:p w:rsidR="00CE1599" w:rsidRPr="00B90281" w:rsidRDefault="00CE1599" w:rsidP="00D868CB">
      <w:pPr>
        <w:numPr>
          <w:ilvl w:val="0"/>
          <w:numId w:val="13"/>
        </w:numPr>
        <w:suppressAutoHyphens/>
        <w:autoSpaceDE w:val="0"/>
        <w:ind w:left="714" w:hanging="357"/>
        <w:jc w:val="both"/>
        <w:rPr>
          <w:color w:val="000000"/>
          <w:sz w:val="22"/>
          <w:szCs w:val="22"/>
          <w:lang w:val="sr-Latn-ME" w:eastAsia="hr-HR"/>
        </w:rPr>
      </w:pPr>
      <w:r w:rsidRPr="00B90281">
        <w:rPr>
          <w:rFonts w:eastAsia="Arial"/>
          <w:color w:val="000000"/>
          <w:sz w:val="22"/>
          <w:szCs w:val="22"/>
          <w:lang w:val="sr-Latn-ME" w:eastAsia="hr-HR"/>
        </w:rPr>
        <w:t>Broj trombocita mora biti ≥ 70 x 10</w:t>
      </w:r>
      <w:r w:rsidRPr="00B90281">
        <w:rPr>
          <w:rFonts w:eastAsia="Arial"/>
          <w:color w:val="000000"/>
          <w:sz w:val="22"/>
          <w:szCs w:val="22"/>
          <w:vertAlign w:val="superscript"/>
          <w:lang w:val="sr-Latn-ME" w:eastAsia="hr-HR"/>
        </w:rPr>
        <w:t>9</w:t>
      </w:r>
      <w:r w:rsidRPr="00B90281">
        <w:rPr>
          <w:rFonts w:eastAsia="Arial"/>
          <w:color w:val="000000"/>
          <w:sz w:val="22"/>
          <w:szCs w:val="22"/>
          <w:lang w:val="sr-Latn-ME" w:eastAsia="hr-HR"/>
        </w:rPr>
        <w:t>/l, a apsolutni broj neutrofila mora biti ≥ 1,0 x 10</w:t>
      </w:r>
      <w:r w:rsidRPr="00B90281">
        <w:rPr>
          <w:rFonts w:eastAsia="Arial"/>
          <w:color w:val="000000"/>
          <w:sz w:val="22"/>
          <w:szCs w:val="22"/>
          <w:vertAlign w:val="superscript"/>
          <w:lang w:val="sr-Latn-ME" w:eastAsia="hr-HR"/>
        </w:rPr>
        <w:t>9</w:t>
      </w:r>
      <w:r w:rsidRPr="00B90281">
        <w:rPr>
          <w:rFonts w:eastAsia="Arial"/>
          <w:color w:val="000000"/>
          <w:sz w:val="22"/>
          <w:szCs w:val="22"/>
          <w:lang w:val="sr-Latn-ME" w:eastAsia="hr-HR"/>
        </w:rPr>
        <w:t>/l.</w:t>
      </w:r>
    </w:p>
    <w:p w:rsidR="00CE1599" w:rsidRPr="00B90281" w:rsidRDefault="00CE1599" w:rsidP="00D868CB">
      <w:pPr>
        <w:numPr>
          <w:ilvl w:val="0"/>
          <w:numId w:val="13"/>
        </w:numPr>
        <w:suppressAutoHyphens/>
        <w:autoSpaceDE w:val="0"/>
        <w:ind w:left="714" w:hanging="357"/>
        <w:jc w:val="both"/>
        <w:rPr>
          <w:rFonts w:eastAsia="Arial"/>
          <w:i/>
          <w:iCs/>
          <w:color w:val="000000"/>
          <w:sz w:val="22"/>
          <w:szCs w:val="22"/>
          <w:lang w:val="sr-Latn-ME" w:eastAsia="hr-HR"/>
        </w:rPr>
      </w:pPr>
      <w:r w:rsidRPr="00B90281">
        <w:rPr>
          <w:rFonts w:eastAsia="Arial"/>
          <w:color w:val="000000"/>
          <w:sz w:val="22"/>
          <w:szCs w:val="22"/>
          <w:lang w:val="sr-Latn-ME" w:eastAsia="hr-HR"/>
        </w:rPr>
        <w:t xml:space="preserve">Nehematološka toksičnost mora biti svedena </w:t>
      </w:r>
      <w:r w:rsidR="00565C7F" w:rsidRPr="00B90281">
        <w:rPr>
          <w:rFonts w:eastAsia="Arial"/>
          <w:color w:val="000000"/>
          <w:sz w:val="22"/>
          <w:szCs w:val="22"/>
          <w:lang w:val="sr-Latn-ME" w:eastAsia="hr-HR"/>
        </w:rPr>
        <w:t>na</w:t>
      </w:r>
      <w:r w:rsidRPr="00B90281">
        <w:rPr>
          <w:rFonts w:eastAsia="Arial"/>
          <w:color w:val="000000"/>
          <w:sz w:val="22"/>
          <w:szCs w:val="22"/>
          <w:lang w:val="sr-Latn-ME" w:eastAsia="hr-HR"/>
        </w:rPr>
        <w:t xml:space="preserve"> 1. stepen ili </w:t>
      </w:r>
      <w:r w:rsidR="00565C7F" w:rsidRPr="00B90281">
        <w:rPr>
          <w:rFonts w:eastAsia="Arial"/>
          <w:color w:val="000000"/>
          <w:sz w:val="22"/>
          <w:szCs w:val="22"/>
          <w:lang w:val="sr-Latn-ME" w:eastAsia="hr-HR"/>
        </w:rPr>
        <w:t>početnu težinu</w:t>
      </w:r>
      <w:r w:rsidRPr="00B90281">
        <w:rPr>
          <w:rFonts w:eastAsia="Arial"/>
          <w:color w:val="000000"/>
          <w:sz w:val="22"/>
          <w:szCs w:val="22"/>
          <w:lang w:val="sr-Latn-ME" w:eastAsia="hr-HR"/>
        </w:rPr>
        <w:t>.</w:t>
      </w:r>
    </w:p>
    <w:p w:rsidR="00CE1599" w:rsidRPr="00B90281" w:rsidRDefault="00CE1599" w:rsidP="00CE1599">
      <w:pPr>
        <w:suppressAutoHyphens/>
        <w:autoSpaceDE w:val="0"/>
        <w:rPr>
          <w:rFonts w:eastAsia="Arial"/>
          <w:i/>
          <w:iCs/>
          <w:color w:val="000000"/>
          <w:sz w:val="22"/>
          <w:szCs w:val="22"/>
          <w:lang w:val="sr-Latn-ME" w:eastAsia="hr-HR"/>
        </w:rPr>
      </w:pPr>
    </w:p>
    <w:p w:rsidR="00CE1599" w:rsidRPr="00B90281" w:rsidRDefault="00CE1599" w:rsidP="00CE1599">
      <w:pPr>
        <w:suppressAutoHyphens/>
        <w:autoSpaceDE w:val="0"/>
        <w:ind w:left="964" w:hanging="964"/>
        <w:jc w:val="both"/>
        <w:rPr>
          <w:rFonts w:eastAsia="Arial"/>
          <w:i/>
          <w:iCs/>
          <w:color w:val="000000"/>
          <w:sz w:val="22"/>
          <w:szCs w:val="22"/>
          <w:lang w:val="sr-Latn-ME" w:eastAsia="hr-HR"/>
        </w:rPr>
      </w:pPr>
      <w:r w:rsidRPr="00B90281">
        <w:rPr>
          <w:rFonts w:eastAsia="Arial"/>
          <w:i/>
          <w:iCs/>
          <w:color w:val="000000"/>
          <w:sz w:val="22"/>
          <w:szCs w:val="22"/>
          <w:lang w:val="sr-Latn-ME" w:eastAsia="hr-HR"/>
        </w:rPr>
        <w:t xml:space="preserve">Tabela 3: Podešavanje doze u toku narednih ciklusa liječenja lijekom Bortezomib </w:t>
      </w:r>
      <w:r w:rsidR="00640DA2" w:rsidRPr="00B90281">
        <w:rPr>
          <w:rFonts w:eastAsia="Arial"/>
          <w:i/>
          <w:iCs/>
          <w:color w:val="000000"/>
          <w:sz w:val="22"/>
          <w:szCs w:val="22"/>
          <w:lang w:val="sr-Latn-ME" w:eastAsia="hr-HR"/>
        </w:rPr>
        <w:t>Accord</w:t>
      </w:r>
      <w:r w:rsidRPr="00B90281">
        <w:rPr>
          <w:rFonts w:eastAsia="Arial"/>
          <w:i/>
          <w:iCs/>
          <w:color w:val="000000"/>
          <w:sz w:val="22"/>
          <w:szCs w:val="22"/>
          <w:lang w:val="sr-Latn-ME" w:eastAsia="hr-HR"/>
        </w:rPr>
        <w:t xml:space="preserve"> u kombinaciji sa melfalanom i prednizonom</w:t>
      </w:r>
    </w:p>
    <w:tbl>
      <w:tblPr>
        <w:tblW w:w="5000" w:type="pct"/>
        <w:tblLook w:val="0000" w:firstRow="0" w:lastRow="0" w:firstColumn="0" w:lastColumn="0" w:noHBand="0" w:noVBand="0"/>
      </w:tblPr>
      <w:tblGrid>
        <w:gridCol w:w="4542"/>
        <w:gridCol w:w="4543"/>
      </w:tblGrid>
      <w:tr w:rsidR="00CE1599" w:rsidRPr="00B90281" w:rsidTr="00022D95">
        <w:tc>
          <w:tcPr>
            <w:tcW w:w="2500" w:type="pct"/>
            <w:tcBorders>
              <w:top w:val="single" w:sz="18" w:space="0" w:color="000000"/>
              <w:bottom w:val="single" w:sz="18"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Toksičnost</w:t>
            </w:r>
          </w:p>
        </w:tc>
        <w:tc>
          <w:tcPr>
            <w:tcW w:w="2500" w:type="pct"/>
            <w:tcBorders>
              <w:top w:val="single" w:sz="18" w:space="0" w:color="000000"/>
              <w:left w:val="single" w:sz="4" w:space="0" w:color="000000"/>
              <w:bottom w:val="single" w:sz="18"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 xml:space="preserve">Podešavanje doze ili odlaganje </w:t>
            </w:r>
          </w:p>
        </w:tc>
      </w:tr>
      <w:tr w:rsidR="00CE1599" w:rsidRPr="00B90281" w:rsidTr="00D868CB">
        <w:trPr>
          <w:trHeight w:val="1434"/>
        </w:trPr>
        <w:tc>
          <w:tcPr>
            <w:tcW w:w="2500" w:type="pct"/>
            <w:tcBorders>
              <w:top w:val="single" w:sz="18" w:space="0" w:color="000000"/>
              <w:bottom w:val="single" w:sz="4" w:space="0" w:color="000000"/>
            </w:tcBorders>
            <w:shd w:val="clear" w:color="auto" w:fill="auto"/>
          </w:tcPr>
          <w:p w:rsidR="00CE1599" w:rsidRPr="00B90281" w:rsidRDefault="00CE1599" w:rsidP="00CE1599">
            <w:pPr>
              <w:suppressAutoHyphens/>
              <w:autoSpaceDE w:val="0"/>
              <w:rPr>
                <w:color w:val="000000"/>
                <w:sz w:val="22"/>
                <w:szCs w:val="22"/>
                <w:lang w:val="sr-Latn-ME" w:eastAsia="hr-HR"/>
              </w:rPr>
            </w:pPr>
            <w:r w:rsidRPr="00B90281">
              <w:rPr>
                <w:rFonts w:eastAsia="Arial"/>
                <w:i/>
                <w:iCs/>
                <w:color w:val="000000"/>
                <w:sz w:val="22"/>
                <w:szCs w:val="22"/>
                <w:lang w:val="sr-Latn-ME" w:eastAsia="hr-HR"/>
              </w:rPr>
              <w:t>Hematološka toksičnost tokom ciklusa</w:t>
            </w:r>
          </w:p>
          <w:p w:rsidR="00CE1599" w:rsidRPr="00B90281" w:rsidRDefault="00CE1599" w:rsidP="00D868CB">
            <w:pPr>
              <w:numPr>
                <w:ilvl w:val="0"/>
                <w:numId w:val="14"/>
              </w:numPr>
              <w:suppressAutoHyphens/>
              <w:autoSpaceDE w:val="0"/>
              <w:spacing w:after="200" w:line="276" w:lineRule="auto"/>
              <w:ind w:left="313" w:hanging="284"/>
              <w:rPr>
                <w:rFonts w:eastAsia="Arial"/>
                <w:color w:val="000000"/>
                <w:sz w:val="22"/>
                <w:szCs w:val="22"/>
                <w:lang w:val="sr-Latn-ME" w:eastAsia="hr-HR"/>
              </w:rPr>
            </w:pPr>
            <w:r w:rsidRPr="00B90281">
              <w:rPr>
                <w:rFonts w:eastAsia="Arial"/>
                <w:color w:val="000000"/>
                <w:sz w:val="22"/>
                <w:szCs w:val="22"/>
                <w:lang w:val="sr-Latn-ME" w:eastAsia="hr-HR"/>
              </w:rPr>
              <w:t>Ukoliko je u toku prethodnog ciklusa zapaženo produženo trajanje neutropenije 4.</w:t>
            </w:r>
            <w:r w:rsidRPr="00B90281">
              <w:rPr>
                <w:rFonts w:eastAsia="Mangal"/>
                <w:sz w:val="22"/>
                <w:szCs w:val="22"/>
                <w:lang w:val="sr-Latn-ME" w:eastAsia="zh-CN"/>
              </w:rPr>
              <w:t xml:space="preserve"> </w:t>
            </w:r>
            <w:r w:rsidRPr="00B90281">
              <w:rPr>
                <w:rFonts w:eastAsia="Arial"/>
                <w:color w:val="000000"/>
                <w:sz w:val="22"/>
                <w:szCs w:val="22"/>
                <w:lang w:val="sr-Latn-ME" w:eastAsia="hr-HR"/>
              </w:rPr>
              <w:t>stepena ili trombocitopenije ili trombocitopenije sa krvarenjem.</w:t>
            </w:r>
          </w:p>
        </w:tc>
        <w:tc>
          <w:tcPr>
            <w:tcW w:w="2500" w:type="pct"/>
            <w:tcBorders>
              <w:top w:val="single" w:sz="18" w:space="0" w:color="000000"/>
              <w:left w:val="single" w:sz="4" w:space="0" w:color="000000"/>
              <w:bottom w:val="single" w:sz="4" w:space="0" w:color="000000"/>
            </w:tcBorders>
            <w:shd w:val="clear" w:color="auto" w:fill="auto"/>
          </w:tcPr>
          <w:p w:rsidR="00565C7F" w:rsidRPr="00B90281" w:rsidRDefault="00565C7F" w:rsidP="00CE1599">
            <w:pPr>
              <w:suppressAutoHyphens/>
              <w:autoSpaceDE w:val="0"/>
              <w:rPr>
                <w:rFonts w:eastAsia="Arial"/>
                <w:color w:val="000000"/>
                <w:sz w:val="22"/>
                <w:szCs w:val="22"/>
                <w:lang w:val="sr-Latn-ME" w:eastAsia="hr-HR"/>
              </w:rPr>
            </w:pPr>
          </w:p>
          <w:p w:rsidR="00565C7F" w:rsidRPr="00B90281" w:rsidRDefault="00565C7F"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rPr>
                <w:rFonts w:eastAsia="Mangal"/>
                <w:sz w:val="22"/>
                <w:szCs w:val="22"/>
                <w:lang w:val="sr-Latn-ME" w:eastAsia="zh-CN"/>
              </w:rPr>
            </w:pPr>
            <w:r w:rsidRPr="00B90281">
              <w:rPr>
                <w:rFonts w:eastAsia="Arial"/>
                <w:color w:val="000000"/>
                <w:sz w:val="22"/>
                <w:szCs w:val="22"/>
                <w:lang w:val="sr-Latn-ME" w:eastAsia="hr-HR"/>
              </w:rPr>
              <w:t>Razmotriti smanjenje doze melfalana za 25% u sljedećem ciklusu.</w:t>
            </w:r>
          </w:p>
        </w:tc>
      </w:tr>
      <w:tr w:rsidR="00CE1599" w:rsidRPr="00B90281" w:rsidTr="00D868CB">
        <w:trPr>
          <w:trHeight w:val="1068"/>
        </w:trPr>
        <w:tc>
          <w:tcPr>
            <w:tcW w:w="2500" w:type="pct"/>
            <w:tcBorders>
              <w:top w:val="single" w:sz="4" w:space="0" w:color="000000"/>
              <w:bottom w:val="single" w:sz="4" w:space="0" w:color="000000"/>
            </w:tcBorders>
            <w:shd w:val="clear" w:color="auto" w:fill="auto"/>
          </w:tcPr>
          <w:p w:rsidR="00CE1599" w:rsidRPr="00B90281" w:rsidRDefault="00CE1599" w:rsidP="00D868CB">
            <w:pPr>
              <w:numPr>
                <w:ilvl w:val="0"/>
                <w:numId w:val="14"/>
              </w:numPr>
              <w:suppressAutoHyphens/>
              <w:autoSpaceDE w:val="0"/>
              <w:spacing w:after="200" w:line="276" w:lineRule="auto"/>
              <w:ind w:left="313" w:hanging="284"/>
              <w:rPr>
                <w:rFonts w:eastAsia="Arial"/>
                <w:color w:val="000000"/>
                <w:sz w:val="22"/>
                <w:szCs w:val="22"/>
                <w:lang w:val="sr-Latn-ME" w:eastAsia="hr-HR"/>
              </w:rPr>
            </w:pPr>
            <w:r w:rsidRPr="00B90281">
              <w:rPr>
                <w:rFonts w:eastAsia="Arial"/>
                <w:color w:val="000000"/>
                <w:sz w:val="22"/>
                <w:szCs w:val="22"/>
                <w:lang w:val="sr-Latn-ME" w:eastAsia="hr-HR"/>
              </w:rPr>
              <w:t>Ukoliko je broj trombocita ≤ 30 x 10</w:t>
            </w:r>
            <w:r w:rsidRPr="00B90281">
              <w:rPr>
                <w:rFonts w:eastAsia="Arial"/>
                <w:color w:val="000000"/>
                <w:sz w:val="22"/>
                <w:szCs w:val="22"/>
                <w:vertAlign w:val="superscript"/>
                <w:lang w:val="sr-Latn-ME" w:eastAsia="hr-HR"/>
              </w:rPr>
              <w:t>9</w:t>
            </w:r>
            <w:r w:rsidRPr="00B90281">
              <w:rPr>
                <w:rFonts w:eastAsia="Arial"/>
                <w:color w:val="000000"/>
                <w:sz w:val="22"/>
                <w:szCs w:val="22"/>
                <w:lang w:val="sr-Latn-ME" w:eastAsia="hr-HR"/>
              </w:rPr>
              <w:t>/l ili apsolutni broj neutrofila (ANC) ≤ 0,75 x 10</w:t>
            </w:r>
            <w:r w:rsidRPr="00B90281">
              <w:rPr>
                <w:rFonts w:eastAsia="Arial"/>
                <w:color w:val="000000"/>
                <w:sz w:val="22"/>
                <w:szCs w:val="22"/>
                <w:vertAlign w:val="superscript"/>
                <w:lang w:val="sr-Latn-ME" w:eastAsia="hr-HR"/>
              </w:rPr>
              <w:t>9</w:t>
            </w:r>
            <w:r w:rsidRPr="00B90281">
              <w:rPr>
                <w:rFonts w:eastAsia="Arial"/>
                <w:color w:val="000000"/>
                <w:sz w:val="22"/>
                <w:szCs w:val="22"/>
                <w:lang w:val="sr-Latn-ME" w:eastAsia="hr-HR"/>
              </w:rPr>
              <w:t xml:space="preserve">/l na dan primjene doze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(osim 1. dana)</w:t>
            </w:r>
          </w:p>
        </w:tc>
        <w:tc>
          <w:tcPr>
            <w:tcW w:w="250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Mangal"/>
                <w:sz w:val="22"/>
                <w:szCs w:val="22"/>
                <w:lang w:val="sr-Latn-ME" w:eastAsia="zh-CN"/>
              </w:rPr>
            </w:pPr>
            <w:r w:rsidRPr="00B90281">
              <w:rPr>
                <w:rFonts w:eastAsia="Arial"/>
                <w:color w:val="000000"/>
                <w:sz w:val="22"/>
                <w:szCs w:val="22"/>
                <w:lang w:val="sr-Latn-ME" w:eastAsia="hr-HR"/>
              </w:rPr>
              <w:t xml:space="preserve">Terapija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se mora prekinuti.</w:t>
            </w:r>
          </w:p>
        </w:tc>
      </w:tr>
      <w:tr w:rsidR="00CE1599" w:rsidRPr="00B90281" w:rsidTr="00022D95">
        <w:tc>
          <w:tcPr>
            <w:tcW w:w="2500" w:type="pct"/>
            <w:tcBorders>
              <w:top w:val="single" w:sz="4" w:space="0" w:color="000000"/>
              <w:bottom w:val="single" w:sz="4" w:space="0" w:color="000000"/>
            </w:tcBorders>
            <w:shd w:val="clear" w:color="auto" w:fill="auto"/>
          </w:tcPr>
          <w:p w:rsidR="00CE1599" w:rsidRPr="00B90281" w:rsidRDefault="00CE1599" w:rsidP="00D868CB">
            <w:pPr>
              <w:numPr>
                <w:ilvl w:val="0"/>
                <w:numId w:val="14"/>
              </w:numPr>
              <w:suppressAutoHyphens/>
              <w:autoSpaceDE w:val="0"/>
              <w:spacing w:after="200" w:line="276" w:lineRule="auto"/>
              <w:ind w:left="313" w:hanging="284"/>
              <w:rPr>
                <w:rFonts w:eastAsia="Arial"/>
                <w:color w:val="000000"/>
                <w:sz w:val="22"/>
                <w:szCs w:val="22"/>
                <w:lang w:val="sr-Latn-ME" w:eastAsia="hr-HR"/>
              </w:rPr>
            </w:pPr>
            <w:r w:rsidRPr="00B90281">
              <w:rPr>
                <w:rFonts w:eastAsia="Arial"/>
                <w:color w:val="000000"/>
                <w:sz w:val="22"/>
                <w:szCs w:val="22"/>
                <w:lang w:val="sr-Latn-ME" w:eastAsia="hr-HR"/>
              </w:rPr>
              <w:t xml:space="preserve">Ukoliko se prekine primjena nekoliko doza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u jednom ciklusu (≥ 3 doze tokom primjene </w:t>
            </w:r>
            <w:r w:rsidR="00652624" w:rsidRPr="00B90281">
              <w:rPr>
                <w:rFonts w:eastAsia="Arial"/>
                <w:color w:val="000000"/>
                <w:sz w:val="22"/>
                <w:szCs w:val="22"/>
                <w:lang w:val="sr-Latn-ME" w:eastAsia="hr-HR"/>
              </w:rPr>
              <w:t xml:space="preserve">dva puta nedjeljno </w:t>
            </w:r>
            <w:r w:rsidRPr="00B90281">
              <w:rPr>
                <w:rFonts w:eastAsia="Arial"/>
                <w:color w:val="000000"/>
                <w:sz w:val="22"/>
                <w:szCs w:val="22"/>
                <w:lang w:val="sr-Latn-ME" w:eastAsia="hr-HR"/>
              </w:rPr>
              <w:t xml:space="preserve">ili ≥ 2 doze tokom primjene </w:t>
            </w:r>
            <w:r w:rsidR="00652624" w:rsidRPr="00B90281">
              <w:rPr>
                <w:rFonts w:eastAsia="Arial"/>
                <w:color w:val="000000"/>
                <w:sz w:val="22"/>
                <w:szCs w:val="22"/>
                <w:lang w:val="sr-Latn-ME" w:eastAsia="hr-HR"/>
              </w:rPr>
              <w:t>jednom nedjeljno</w:t>
            </w:r>
            <w:r w:rsidRPr="00B90281">
              <w:rPr>
                <w:rFonts w:eastAsia="Arial"/>
                <w:color w:val="000000"/>
                <w:sz w:val="22"/>
                <w:szCs w:val="22"/>
                <w:lang w:val="sr-Latn-ME" w:eastAsia="hr-HR"/>
              </w:rPr>
              <w:t>)</w:t>
            </w:r>
          </w:p>
        </w:tc>
        <w:tc>
          <w:tcPr>
            <w:tcW w:w="250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Dozu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potrebno je smanjiti za jedan dozni nivo (sa 1,3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xml:space="preserve"> na 1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ili sa 1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xml:space="preserve"> na 0,7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w:t>
            </w:r>
          </w:p>
          <w:p w:rsidR="00CE1599" w:rsidRPr="00B90281" w:rsidRDefault="00CE1599" w:rsidP="00CE1599">
            <w:pPr>
              <w:suppressAutoHyphens/>
              <w:autoSpaceDE w:val="0"/>
              <w:rPr>
                <w:rFonts w:eastAsia="Arial"/>
                <w:color w:val="000000"/>
                <w:sz w:val="22"/>
                <w:szCs w:val="22"/>
                <w:lang w:val="sr-Latn-ME" w:eastAsia="hr-HR"/>
              </w:rPr>
            </w:pPr>
          </w:p>
        </w:tc>
      </w:tr>
      <w:tr w:rsidR="00CE1599" w:rsidRPr="00B90281" w:rsidTr="00022D95">
        <w:tc>
          <w:tcPr>
            <w:tcW w:w="2500" w:type="pct"/>
            <w:tcBorders>
              <w:top w:val="single" w:sz="4" w:space="0" w:color="000000"/>
              <w:bottom w:val="single" w:sz="18"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i/>
                <w:iCs/>
                <w:color w:val="000000"/>
                <w:sz w:val="22"/>
                <w:szCs w:val="22"/>
                <w:lang w:val="sr-Latn-ME" w:eastAsia="hr-HR"/>
              </w:rPr>
              <w:t xml:space="preserve">≥ </w:t>
            </w:r>
            <w:r w:rsidRPr="00B90281">
              <w:rPr>
                <w:rFonts w:eastAsia="Arial"/>
                <w:i/>
                <w:iCs/>
                <w:color w:val="000000"/>
                <w:sz w:val="22"/>
                <w:szCs w:val="22"/>
                <w:lang w:val="sr-Latn-ME" w:eastAsia="hr-HR"/>
              </w:rPr>
              <w:t>3. stepen nehematoloških toksičnosti</w:t>
            </w:r>
          </w:p>
        </w:tc>
        <w:tc>
          <w:tcPr>
            <w:tcW w:w="2500" w:type="pct"/>
            <w:tcBorders>
              <w:top w:val="single" w:sz="4" w:space="0" w:color="000000"/>
              <w:left w:val="single" w:sz="4" w:space="0" w:color="000000"/>
              <w:bottom w:val="single" w:sz="18" w:space="0" w:color="000000"/>
            </w:tcBorders>
            <w:shd w:val="clear" w:color="auto" w:fill="auto"/>
          </w:tcPr>
          <w:p w:rsidR="00CE1599" w:rsidRPr="00B90281" w:rsidRDefault="00CE1599">
            <w:pPr>
              <w:suppressAutoHyphens/>
              <w:autoSpaceDE w:val="0"/>
              <w:rPr>
                <w:rFonts w:eastAsia="Mangal"/>
                <w:sz w:val="22"/>
                <w:szCs w:val="22"/>
                <w:lang w:val="sr-Latn-ME" w:eastAsia="zh-CN"/>
              </w:rPr>
            </w:pPr>
            <w:r w:rsidRPr="00B90281">
              <w:rPr>
                <w:rFonts w:eastAsia="Arial"/>
                <w:color w:val="000000"/>
                <w:sz w:val="22"/>
                <w:szCs w:val="22"/>
                <w:lang w:val="sr-Latn-ME" w:eastAsia="hr-HR"/>
              </w:rPr>
              <w:t xml:space="preserve">Liječenje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potrebno je prekinuti dok se simptomi toksičnosti ne svedu na 1. stepen ili </w:t>
            </w:r>
            <w:r w:rsidR="00565C7F" w:rsidRPr="00B90281">
              <w:rPr>
                <w:rFonts w:eastAsia="Arial"/>
                <w:color w:val="000000"/>
                <w:sz w:val="22"/>
                <w:szCs w:val="22"/>
                <w:lang w:val="sr-Latn-ME" w:eastAsia="hr-HR"/>
              </w:rPr>
              <w:t>početnu težinu</w:t>
            </w:r>
            <w:r w:rsidRPr="00B90281">
              <w:rPr>
                <w:rFonts w:eastAsia="Arial"/>
                <w:color w:val="000000"/>
                <w:sz w:val="22"/>
                <w:szCs w:val="22"/>
                <w:lang w:val="sr-Latn-ME" w:eastAsia="hr-HR"/>
              </w:rPr>
              <w:t xml:space="preserve">. Potom se ponovo može uvesti liječenje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sa dozom smanjenom  za jedan dozni nivo (sa 1,3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 xml:space="preserve"> na 1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 xml:space="preserve"> ili sa 1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 xml:space="preserve"> na 0,7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 xml:space="preserve">). U slučaju neuropatskog </w:t>
            </w:r>
            <w:r w:rsidRPr="00B90281">
              <w:rPr>
                <w:rFonts w:eastAsia="Arial"/>
                <w:color w:val="000000"/>
                <w:sz w:val="22"/>
                <w:szCs w:val="22"/>
                <w:lang w:val="sr-Latn-ME" w:eastAsia="hr-HR"/>
              </w:rPr>
              <w:lastRenderedPageBreak/>
              <w:t xml:space="preserve">bola povezanog sa primjenom lijeka Bortezomib i/ili periferne neuropatije, pričekati sa primjenom i/ili prilagoditi dozu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kako je prikazano u Tabeli1.</w:t>
            </w:r>
          </w:p>
        </w:tc>
      </w:tr>
    </w:tbl>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rPr>
          <w:rFonts w:eastAsia="Arial"/>
          <w:b/>
          <w:color w:val="000000"/>
          <w:sz w:val="22"/>
          <w:szCs w:val="22"/>
          <w:lang w:val="sr-Latn-ME" w:eastAsia="hr-HR"/>
        </w:rPr>
      </w:pPr>
      <w:r w:rsidRPr="00B90281">
        <w:rPr>
          <w:rFonts w:eastAsia="Arial"/>
          <w:b/>
          <w:color w:val="000000"/>
          <w:sz w:val="22"/>
          <w:szCs w:val="22"/>
          <w:lang w:val="sr-Latn-ME" w:eastAsia="hr-HR"/>
        </w:rPr>
        <w:t>Za dodatne informacije o melfalanu i prednizonu, vidjeti odgovarajući Sažetak karakteristika lijeka.</w:t>
      </w:r>
    </w:p>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rPr>
          <w:rFonts w:eastAsia="Arial"/>
          <w:color w:val="000000"/>
          <w:sz w:val="22"/>
          <w:szCs w:val="22"/>
          <w:u w:val="single"/>
          <w:lang w:val="sr-Latn-ME" w:eastAsia="hr-HR"/>
        </w:rPr>
      </w:pPr>
      <w:r w:rsidRPr="00B90281">
        <w:rPr>
          <w:rFonts w:eastAsia="Arial"/>
          <w:color w:val="000000"/>
          <w:sz w:val="22"/>
          <w:szCs w:val="22"/>
          <w:u w:val="single"/>
          <w:lang w:val="sr-Latn-ME" w:eastAsia="hr-HR"/>
        </w:rPr>
        <w:t>Doziranje kod pacijenata sa prethodno neliječenim multiplim mijelomom koji ispunjavaju kriterijume za transplantaciju hematopoetskih matičnih ćelija (indukciona terapija)</w:t>
      </w:r>
    </w:p>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i/>
          <w:iCs/>
          <w:color w:val="000000"/>
          <w:sz w:val="22"/>
          <w:szCs w:val="22"/>
          <w:lang w:val="sr-Latn-ME" w:eastAsia="hr-HR"/>
        </w:rPr>
        <w:t>Kombinovana terapija sa deksametazonom</w:t>
      </w:r>
    </w:p>
    <w:p w:rsidR="00CE1599" w:rsidRPr="00B90281" w:rsidRDefault="00565C7F"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Lijek </w:t>
      </w:r>
      <w:r w:rsidR="00CE1599" w:rsidRPr="00B90281">
        <w:rPr>
          <w:rFonts w:eastAsia="Arial"/>
          <w:color w:val="000000"/>
          <w:sz w:val="22"/>
          <w:szCs w:val="22"/>
          <w:lang w:val="sr-Latn-ME" w:eastAsia="hr-HR"/>
        </w:rPr>
        <w:t xml:space="preserve">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 xml:space="preserve"> 3.5 mg prašak za rastvor za injekciju primjenjuje se putem intravenske ili su</w:t>
      </w:r>
      <w:r w:rsidR="00646BFE" w:rsidRPr="00B90281">
        <w:rPr>
          <w:rFonts w:eastAsia="Arial"/>
          <w:color w:val="000000"/>
          <w:sz w:val="22"/>
          <w:szCs w:val="22"/>
          <w:lang w:val="sr-Latn-ME" w:eastAsia="hr-HR"/>
        </w:rPr>
        <w:t>b</w:t>
      </w:r>
      <w:r w:rsidR="00CE1599" w:rsidRPr="00B90281">
        <w:rPr>
          <w:rFonts w:eastAsia="Arial"/>
          <w:color w:val="000000"/>
          <w:sz w:val="22"/>
          <w:szCs w:val="22"/>
          <w:lang w:val="sr-Latn-ME" w:eastAsia="hr-HR"/>
        </w:rPr>
        <w:t>kutane injekcije pri preporučenoj dozi od 1,3 mg/</w:t>
      </w:r>
      <w:r w:rsidR="00CE1599" w:rsidRPr="00B90281">
        <w:rPr>
          <w:rFonts w:eastAsia="Arial"/>
          <w:bCs/>
          <w:color w:val="000000"/>
          <w:sz w:val="22"/>
          <w:szCs w:val="22"/>
          <w:lang w:val="sr-Latn-ME" w:eastAsia="hr-HR"/>
        </w:rPr>
        <w:t>m</w:t>
      </w:r>
      <w:r w:rsidR="00CE1599" w:rsidRPr="00B90281">
        <w:rPr>
          <w:rFonts w:eastAsia="Arial"/>
          <w:bCs/>
          <w:color w:val="000000"/>
          <w:sz w:val="22"/>
          <w:szCs w:val="22"/>
          <w:vertAlign w:val="superscript"/>
          <w:lang w:val="sr-Latn-ME" w:eastAsia="hr-HR"/>
        </w:rPr>
        <w:t>2</w:t>
      </w:r>
      <w:r w:rsidR="00CE1599" w:rsidRPr="00B90281">
        <w:rPr>
          <w:rFonts w:eastAsia="Arial"/>
          <w:color w:val="000000"/>
          <w:sz w:val="22"/>
          <w:szCs w:val="22"/>
          <w:lang w:val="sr-Latn-ME" w:eastAsia="hr-HR"/>
        </w:rPr>
        <w:t xml:space="preserve"> tjelesne površine, dva puta nedjeljno tokom dvije nedjelje, 1., 4., 8. i 11. dana, u ciklusu liječenja od 21 dan. Ovaj period od 3 nedjelje smatra se jednim terapijskim ciklusom. Najmanje 72 sata treba da prođe između uzastopnih doza lijeka 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Deksametazon u dozi od 40 mg se primjenjuje oralno u danima 1., 2., 3., 4., 8., 9., 10. i 11. tokom terapijskog ciklusa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Primjenjuju se 4 terapijska ciklusa ove kombinovane terapije.</w:t>
      </w:r>
    </w:p>
    <w:p w:rsidR="00CE1599" w:rsidRPr="00B90281" w:rsidRDefault="00CE1599" w:rsidP="00CE1599">
      <w:pPr>
        <w:suppressAutoHyphens/>
        <w:autoSpaceDE w:val="0"/>
        <w:jc w:val="both"/>
        <w:rPr>
          <w:rFonts w:eastAsia="Arial"/>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i/>
          <w:iCs/>
          <w:color w:val="000000"/>
          <w:sz w:val="22"/>
          <w:szCs w:val="22"/>
          <w:lang w:val="sr-Latn-ME" w:eastAsia="hr-HR"/>
        </w:rPr>
        <w:t>Kombinovana terapija sa deksametazonom i talidomidom</w:t>
      </w:r>
    </w:p>
    <w:p w:rsidR="00CE1599" w:rsidRPr="00B90281" w:rsidRDefault="00565C7F"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Lijek </w:t>
      </w:r>
      <w:r w:rsidR="00CE1599" w:rsidRPr="00B90281">
        <w:rPr>
          <w:rFonts w:eastAsia="Arial"/>
          <w:color w:val="000000"/>
          <w:sz w:val="22"/>
          <w:szCs w:val="22"/>
          <w:lang w:val="sr-Latn-ME" w:eastAsia="hr-HR"/>
        </w:rPr>
        <w:t xml:space="preserve">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 xml:space="preserve"> 3.5 mg prašak za rastvor za injekciju primjenj</w:t>
      </w:r>
      <w:r w:rsidR="00646BFE" w:rsidRPr="00B90281">
        <w:rPr>
          <w:rFonts w:eastAsia="Arial"/>
          <w:color w:val="000000"/>
          <w:sz w:val="22"/>
          <w:szCs w:val="22"/>
          <w:lang w:val="sr-Latn-ME" w:eastAsia="hr-HR"/>
        </w:rPr>
        <w:t>uje se putem intravenske ili sub</w:t>
      </w:r>
      <w:r w:rsidR="00CE1599" w:rsidRPr="00B90281">
        <w:rPr>
          <w:rFonts w:eastAsia="Arial"/>
          <w:color w:val="000000"/>
          <w:sz w:val="22"/>
          <w:szCs w:val="22"/>
          <w:lang w:val="sr-Latn-ME" w:eastAsia="hr-HR"/>
        </w:rPr>
        <w:t>kutane injekcije pri preporučenoj dozi od 1,3 mg/m</w:t>
      </w:r>
      <w:r w:rsidR="00CE1599" w:rsidRPr="00B90281">
        <w:rPr>
          <w:rFonts w:eastAsia="Arial"/>
          <w:color w:val="000000"/>
          <w:sz w:val="22"/>
          <w:szCs w:val="22"/>
          <w:vertAlign w:val="superscript"/>
          <w:lang w:val="sr-Latn-ME" w:eastAsia="hr-HR"/>
        </w:rPr>
        <w:t>2</w:t>
      </w:r>
      <w:r w:rsidR="00CE1599" w:rsidRPr="00B90281">
        <w:rPr>
          <w:rFonts w:eastAsia="Arial"/>
          <w:color w:val="000000"/>
          <w:sz w:val="22"/>
          <w:szCs w:val="22"/>
          <w:lang w:val="sr-Latn-ME" w:eastAsia="hr-HR"/>
        </w:rPr>
        <w:t xml:space="preserve"> tjelesne površine, dva puta nedjeljno tokom dvije nedjelje, 1., 4., 8. i 11. dana, u ciklusu liječenja od 28 dana. Ovaj period od 4 nedjelje se smatra jednim terapijskim ciklusom.</w:t>
      </w:r>
      <w:r w:rsidR="00CE1599" w:rsidRPr="00B90281">
        <w:rPr>
          <w:rFonts w:eastAsia="Mangal"/>
          <w:sz w:val="22"/>
          <w:szCs w:val="22"/>
          <w:lang w:val="sr-Latn-ME" w:eastAsia="zh-CN"/>
        </w:rPr>
        <w:t xml:space="preserve"> </w:t>
      </w:r>
      <w:r w:rsidR="00CE1599" w:rsidRPr="00B90281">
        <w:rPr>
          <w:rFonts w:eastAsia="Arial"/>
          <w:color w:val="000000"/>
          <w:sz w:val="22"/>
          <w:szCs w:val="22"/>
          <w:lang w:val="sr-Latn-ME" w:eastAsia="hr-HR"/>
        </w:rPr>
        <w:t xml:space="preserve">Najmanje 72 sata treba da prođe između uzastopnih doza lijeka Bortezomib </w:t>
      </w:r>
      <w:r w:rsidR="00640DA2" w:rsidRPr="00B90281">
        <w:rPr>
          <w:rFonts w:eastAsia="Arial"/>
          <w:color w:val="000000"/>
          <w:sz w:val="22"/>
          <w:szCs w:val="22"/>
          <w:lang w:val="sr-Latn-ME" w:eastAsia="hr-HR"/>
        </w:rPr>
        <w:t>Accord</w:t>
      </w:r>
      <w:r w:rsidR="00CE1599" w:rsidRPr="00B90281">
        <w:rPr>
          <w:rFonts w:eastAsia="Arial"/>
          <w:color w:val="000000"/>
          <w:sz w:val="22"/>
          <w:szCs w:val="22"/>
          <w:lang w:val="sr-Latn-ME" w:eastAsia="hr-HR"/>
        </w:rPr>
        <w:t>.</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Deksametazon u dozi od 40 mg se primjenjuje oralno u danima 1., 2., 3., 4., 8., 9., 10. i 11. tokom terapijskog ciklusa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Talidomid se primjenjuje </w:t>
      </w:r>
      <w:r w:rsidR="00565C7F" w:rsidRPr="00B90281">
        <w:rPr>
          <w:rFonts w:eastAsia="Arial"/>
          <w:color w:val="000000"/>
          <w:sz w:val="22"/>
          <w:szCs w:val="22"/>
          <w:lang w:val="sr-Latn-ME" w:eastAsia="hr-HR"/>
        </w:rPr>
        <w:t>per</w:t>
      </w:r>
      <w:r w:rsidRPr="00B90281">
        <w:rPr>
          <w:rFonts w:eastAsia="Arial"/>
          <w:color w:val="000000"/>
          <w:sz w:val="22"/>
          <w:szCs w:val="22"/>
          <w:lang w:val="sr-Latn-ME" w:eastAsia="hr-HR"/>
        </w:rPr>
        <w:t>oralno, u dozi od 50 mg dnevno, od 1. do 14. dana i, ukoliko se doza dobro podnosi, nakon toga se može povećati na 100 mg od 15. - 28. dana, i nakon toga dalje na 200 mg dnevno počev od 2. ciklusa (vidjeti Tabelu 4).</w:t>
      </w:r>
    </w:p>
    <w:p w:rsidR="00CE1599" w:rsidRPr="00B90281" w:rsidRDefault="00CE1599" w:rsidP="00CE1599">
      <w:pPr>
        <w:suppressAutoHyphens/>
        <w:autoSpaceDE w:val="0"/>
        <w:jc w:val="both"/>
        <w:rPr>
          <w:rFonts w:eastAsia="Arial"/>
          <w:i/>
          <w:iCs/>
          <w:color w:val="000000"/>
          <w:sz w:val="22"/>
          <w:szCs w:val="22"/>
          <w:lang w:val="sr-Latn-ME" w:eastAsia="hr-HR"/>
        </w:rPr>
      </w:pPr>
      <w:r w:rsidRPr="00B90281">
        <w:rPr>
          <w:rFonts w:eastAsia="Arial"/>
          <w:color w:val="000000"/>
          <w:sz w:val="22"/>
          <w:szCs w:val="22"/>
          <w:lang w:val="sr-Latn-ME" w:eastAsia="hr-HR"/>
        </w:rPr>
        <w:t>Primjenjuju se 4 ciklusa ove kombinovane terapije. Preporučeno je da pacijenti sa najmanjim parcijalnim odgovorom dobiju 2 dodatna ciklusa.</w:t>
      </w:r>
    </w:p>
    <w:p w:rsidR="00CE1599" w:rsidRPr="00B90281" w:rsidRDefault="00CE1599" w:rsidP="00CE1599">
      <w:pPr>
        <w:suppressAutoHyphens/>
        <w:autoSpaceDE w:val="0"/>
        <w:ind w:left="1021" w:hanging="1021"/>
        <w:rPr>
          <w:rFonts w:eastAsia="Arial"/>
          <w:i/>
          <w:iCs/>
          <w:color w:val="000000"/>
          <w:sz w:val="22"/>
          <w:szCs w:val="22"/>
          <w:lang w:val="sr-Latn-ME" w:eastAsia="hr-HR"/>
        </w:rPr>
      </w:pPr>
    </w:p>
    <w:p w:rsidR="00CE1599" w:rsidRPr="00B90281" w:rsidRDefault="00CE1599" w:rsidP="00CE1599">
      <w:pPr>
        <w:suppressAutoHyphens/>
        <w:autoSpaceDE w:val="0"/>
        <w:ind w:left="1021" w:hanging="1021"/>
        <w:jc w:val="both"/>
        <w:rPr>
          <w:rFonts w:eastAsia="Arial"/>
          <w:i/>
          <w:iCs/>
          <w:caps/>
          <w:color w:val="000000"/>
          <w:sz w:val="22"/>
          <w:szCs w:val="22"/>
          <w:lang w:val="sr-Latn-ME" w:eastAsia="hr-HR"/>
        </w:rPr>
      </w:pPr>
      <w:r w:rsidRPr="00B90281">
        <w:rPr>
          <w:rFonts w:eastAsia="Arial"/>
          <w:i/>
          <w:iCs/>
          <w:color w:val="000000"/>
          <w:sz w:val="22"/>
          <w:szCs w:val="22"/>
          <w:lang w:val="sr-Latn-ME" w:eastAsia="hr-HR"/>
        </w:rPr>
        <w:t xml:space="preserve">Tabela 4: Doziranje lijeka Bortezomib </w:t>
      </w:r>
      <w:r w:rsidR="00640DA2" w:rsidRPr="00B90281">
        <w:rPr>
          <w:rFonts w:eastAsia="Arial"/>
          <w:i/>
          <w:iCs/>
          <w:color w:val="000000"/>
          <w:sz w:val="22"/>
          <w:szCs w:val="22"/>
          <w:lang w:val="sr-Latn-ME" w:eastAsia="hr-HR"/>
        </w:rPr>
        <w:t>Accord</w:t>
      </w:r>
      <w:r w:rsidRPr="00B90281">
        <w:rPr>
          <w:rFonts w:eastAsia="Arial"/>
          <w:i/>
          <w:iCs/>
          <w:color w:val="000000"/>
          <w:sz w:val="22"/>
          <w:szCs w:val="22"/>
          <w:lang w:val="sr-Latn-ME" w:eastAsia="hr-HR"/>
        </w:rPr>
        <w:t xml:space="preserve"> u kombinovanoj terapiji kod pacijenata sa prethodno neliječenim multiplim mijelomom koji ispunjavaju kriterijume za transplantaciju hematopoetskih matičnih ćelija </w:t>
      </w:r>
    </w:p>
    <w:tbl>
      <w:tblPr>
        <w:tblW w:w="5000" w:type="pct"/>
        <w:tblLook w:val="0000" w:firstRow="0" w:lastRow="0" w:firstColumn="0" w:lastColumn="0" w:noHBand="0" w:noVBand="0"/>
      </w:tblPr>
      <w:tblGrid>
        <w:gridCol w:w="1356"/>
        <w:gridCol w:w="1666"/>
        <w:gridCol w:w="1510"/>
        <w:gridCol w:w="1664"/>
        <w:gridCol w:w="1356"/>
        <w:gridCol w:w="1523"/>
      </w:tblGrid>
      <w:tr w:rsidR="00CE1599" w:rsidRPr="00B90281" w:rsidTr="00022D95">
        <w:tc>
          <w:tcPr>
            <w:tcW w:w="747" w:type="pct"/>
            <w:vMerge w:val="restar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b/>
                <w:bCs/>
                <w:color w:val="000000"/>
                <w:sz w:val="22"/>
                <w:szCs w:val="22"/>
                <w:lang w:val="sr-Latn-ME" w:eastAsia="hr-HR"/>
              </w:rPr>
              <w:t>Btz+ Dx</w:t>
            </w:r>
          </w:p>
        </w:tc>
        <w:tc>
          <w:tcPr>
            <w:tcW w:w="4253" w:type="pct"/>
            <w:gridSpan w:val="5"/>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1. do 4. ciklus</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b/>
                <w:bCs/>
                <w:color w:val="000000"/>
                <w:sz w:val="22"/>
                <w:szCs w:val="22"/>
                <w:lang w:val="sr-Latn-ME" w:eastAsia="hr-HR"/>
              </w:rPr>
              <w:t>Nedjelja</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1</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2</w:t>
            </w:r>
          </w:p>
        </w:tc>
        <w:tc>
          <w:tcPr>
            <w:tcW w:w="1585" w:type="pct"/>
            <w:gridSpan w:val="2"/>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3</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Btz (1,3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1, 4</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shd w:val="clear" w:color="auto" w:fill="FFFF00"/>
                <w:lang w:val="sr-Latn-ME" w:eastAsia="hr-HR"/>
              </w:rPr>
            </w:pPr>
            <w:r w:rsidRPr="00B90281">
              <w:rPr>
                <w:rFonts w:eastAsia="Arial"/>
                <w:color w:val="000000"/>
                <w:sz w:val="22"/>
                <w:szCs w:val="22"/>
                <w:lang w:val="sr-Latn-ME" w:eastAsia="hr-HR"/>
              </w:rPr>
              <w:t>dan 8, 11</w:t>
            </w:r>
          </w:p>
        </w:tc>
        <w:tc>
          <w:tcPr>
            <w:tcW w:w="1585" w:type="pct"/>
            <w:gridSpan w:val="2"/>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F6569C">
            <w:pPr>
              <w:suppressAutoHyphens/>
              <w:autoSpaceDE w:val="0"/>
              <w:rPr>
                <w:rFonts w:eastAsia="Mangal"/>
                <w:sz w:val="22"/>
                <w:szCs w:val="22"/>
                <w:lang w:val="sr-Latn-ME" w:eastAsia="zh-CN"/>
              </w:rPr>
            </w:pPr>
            <w:r w:rsidRPr="00B90281">
              <w:rPr>
                <w:rFonts w:eastAsia="Arial"/>
                <w:color w:val="000000"/>
                <w:sz w:val="22"/>
                <w:szCs w:val="22"/>
                <w:lang w:val="sr-Latn-ME" w:eastAsia="hr-HR"/>
              </w:rPr>
              <w:t xml:space="preserve">period </w:t>
            </w:r>
            <w:r w:rsidR="00F6569C" w:rsidRPr="00B90281">
              <w:rPr>
                <w:rFonts w:eastAsia="Arial"/>
                <w:color w:val="000000"/>
                <w:sz w:val="22"/>
                <w:szCs w:val="22"/>
                <w:lang w:val="sr-Latn-ME" w:eastAsia="hr-HR"/>
              </w:rPr>
              <w:t>odmora</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Dx 40 mg</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1, 2, 3, 4</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8, 9, 10, 11</w:t>
            </w:r>
          </w:p>
        </w:tc>
        <w:tc>
          <w:tcPr>
            <w:tcW w:w="1585" w:type="pct"/>
            <w:gridSpan w:val="2"/>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color w:val="000000"/>
                <w:sz w:val="22"/>
                <w:szCs w:val="22"/>
                <w:lang w:val="sr-Latn-ME" w:eastAsia="hr-HR"/>
              </w:rPr>
              <w:t>-</w:t>
            </w:r>
          </w:p>
        </w:tc>
      </w:tr>
      <w:tr w:rsidR="00CE1599" w:rsidRPr="00B90281" w:rsidTr="00022D95">
        <w:tc>
          <w:tcPr>
            <w:tcW w:w="747" w:type="pct"/>
            <w:vMerge w:val="restar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b/>
                <w:bCs/>
                <w:color w:val="000000"/>
                <w:sz w:val="22"/>
                <w:szCs w:val="22"/>
                <w:lang w:val="sr-Latn-ME" w:eastAsia="hr-HR"/>
              </w:rPr>
              <w:t xml:space="preserve">Btz + Dx </w:t>
            </w:r>
            <w:r w:rsidR="00AD3463" w:rsidRPr="00B90281">
              <w:rPr>
                <w:rFonts w:eastAsia="Arial"/>
                <w:b/>
                <w:bCs/>
                <w:color w:val="000000"/>
                <w:sz w:val="22"/>
                <w:szCs w:val="22"/>
                <w:lang w:val="sr-Latn-ME" w:eastAsia="hr-HR"/>
              </w:rPr>
              <w:t>+</w:t>
            </w:r>
            <w:r w:rsidRPr="00B90281">
              <w:rPr>
                <w:rFonts w:eastAsia="Arial"/>
                <w:b/>
                <w:bCs/>
                <w:color w:val="000000"/>
                <w:sz w:val="22"/>
                <w:szCs w:val="22"/>
                <w:lang w:val="sr-Latn-ME" w:eastAsia="hr-HR"/>
              </w:rPr>
              <w:t>T</w:t>
            </w:r>
          </w:p>
        </w:tc>
        <w:tc>
          <w:tcPr>
            <w:tcW w:w="4253" w:type="pct"/>
            <w:gridSpan w:val="5"/>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1. ciklus</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b/>
                <w:bCs/>
                <w:color w:val="000000"/>
                <w:sz w:val="22"/>
                <w:szCs w:val="22"/>
                <w:lang w:val="sr-Latn-ME" w:eastAsia="hr-HR"/>
              </w:rPr>
              <w:t>Nedjelja</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1</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2</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3</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4</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Btz (1,3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1, 4</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8, 11</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89384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period </w:t>
            </w:r>
            <w:r w:rsidR="00893849" w:rsidRPr="00B90281">
              <w:rPr>
                <w:rFonts w:eastAsia="Arial"/>
                <w:color w:val="000000"/>
                <w:sz w:val="22"/>
                <w:szCs w:val="22"/>
                <w:lang w:val="sr-Latn-ME" w:eastAsia="hr-HR"/>
              </w:rPr>
              <w:t>odmora</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893849">
            <w:pPr>
              <w:suppressAutoHyphens/>
              <w:autoSpaceDE w:val="0"/>
              <w:rPr>
                <w:rFonts w:eastAsia="Mangal"/>
                <w:sz w:val="22"/>
                <w:szCs w:val="22"/>
                <w:lang w:val="sr-Latn-ME" w:eastAsia="zh-CN"/>
              </w:rPr>
            </w:pPr>
            <w:r w:rsidRPr="00B90281">
              <w:rPr>
                <w:rFonts w:eastAsia="Arial"/>
                <w:color w:val="000000"/>
                <w:sz w:val="22"/>
                <w:szCs w:val="22"/>
                <w:lang w:val="sr-Latn-ME" w:eastAsia="hr-HR"/>
              </w:rPr>
              <w:t xml:space="preserve">period </w:t>
            </w:r>
            <w:r w:rsidR="00893849" w:rsidRPr="00B90281">
              <w:rPr>
                <w:rFonts w:eastAsia="Arial"/>
                <w:color w:val="000000"/>
                <w:sz w:val="22"/>
                <w:szCs w:val="22"/>
                <w:lang w:val="sr-Latn-ME" w:eastAsia="hr-HR"/>
              </w:rPr>
              <w:t>odmora</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T 50 mg</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dnevno</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dnevno</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Mangal"/>
                <w:sz w:val="22"/>
                <w:szCs w:val="22"/>
                <w:lang w:val="sr-Latn-ME" w:eastAsia="zh-CN"/>
              </w:rPr>
            </w:pPr>
            <w:r w:rsidRPr="00B90281">
              <w:rPr>
                <w:rFonts w:eastAsia="Arial"/>
                <w:color w:val="000000"/>
                <w:sz w:val="22"/>
                <w:szCs w:val="22"/>
                <w:lang w:val="sr-Latn-ME" w:eastAsia="hr-HR"/>
              </w:rPr>
              <w:t>-</w:t>
            </w:r>
          </w:p>
        </w:tc>
      </w:tr>
      <w:tr w:rsidR="00CE1599" w:rsidRPr="00B90281" w:rsidTr="00022D95">
        <w:trPr>
          <w:trHeight w:val="276"/>
        </w:trPr>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T 100 mg</w:t>
            </w:r>
            <w:r w:rsidRPr="00B90281">
              <w:rPr>
                <w:rFonts w:eastAsia="Arial"/>
                <w:color w:val="000000"/>
                <w:sz w:val="22"/>
                <w:szCs w:val="22"/>
                <w:vertAlign w:val="superscript"/>
                <w:lang w:val="sr-Latn-ME" w:eastAsia="hr-HR"/>
              </w:rPr>
              <w:t>a</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dnevno</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color w:val="000000"/>
                <w:sz w:val="22"/>
                <w:szCs w:val="22"/>
                <w:lang w:val="sr-Latn-ME" w:eastAsia="hr-HR"/>
              </w:rPr>
              <w:t>dnevno</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Dx 40 mg</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1, 2, 3, 4</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8, 9, 10, 11</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Mangal"/>
                <w:sz w:val="22"/>
                <w:szCs w:val="22"/>
                <w:lang w:val="sr-Latn-ME" w:eastAsia="zh-CN"/>
              </w:rPr>
            </w:pPr>
            <w:r w:rsidRPr="00B90281">
              <w:rPr>
                <w:rFonts w:eastAsia="Arial"/>
                <w:color w:val="000000"/>
                <w:sz w:val="22"/>
                <w:szCs w:val="22"/>
                <w:lang w:val="sr-Latn-ME" w:eastAsia="hr-HR"/>
              </w:rPr>
              <w:t>-</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4253" w:type="pct"/>
            <w:gridSpan w:val="5"/>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2. do 4.</w:t>
            </w:r>
            <w:r w:rsidRPr="00B90281">
              <w:rPr>
                <w:rFonts w:eastAsia="Arial"/>
                <w:b/>
                <w:bCs/>
                <w:color w:val="000000"/>
                <w:sz w:val="22"/>
                <w:szCs w:val="22"/>
                <w:vertAlign w:val="superscript"/>
                <w:lang w:val="sr-Latn-ME" w:eastAsia="hr-HR"/>
              </w:rPr>
              <w:t>b</w:t>
            </w:r>
            <w:r w:rsidRPr="00B90281">
              <w:rPr>
                <w:rFonts w:eastAsia="Arial"/>
                <w:b/>
                <w:bCs/>
                <w:color w:val="000000"/>
                <w:sz w:val="22"/>
                <w:szCs w:val="22"/>
                <w:lang w:val="sr-Latn-ME" w:eastAsia="hr-HR"/>
              </w:rPr>
              <w:t xml:space="preserve"> ciklus</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Btz (1,3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1, 4</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8, 11</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89384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 xml:space="preserve">period </w:t>
            </w:r>
            <w:r w:rsidR="00893849" w:rsidRPr="00B90281">
              <w:rPr>
                <w:rFonts w:eastAsia="Arial"/>
                <w:color w:val="000000"/>
                <w:sz w:val="22"/>
                <w:szCs w:val="22"/>
                <w:lang w:val="sr-Latn-ME" w:eastAsia="hr-HR"/>
              </w:rPr>
              <w:t>odmora</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893849">
            <w:pPr>
              <w:suppressAutoHyphens/>
              <w:autoSpaceDE w:val="0"/>
              <w:rPr>
                <w:rFonts w:eastAsia="Arial"/>
                <w:b/>
                <w:bCs/>
                <w:color w:val="000000"/>
                <w:sz w:val="22"/>
                <w:szCs w:val="22"/>
                <w:lang w:val="sr-Latn-ME" w:eastAsia="hr-HR"/>
              </w:rPr>
            </w:pPr>
            <w:r w:rsidRPr="00B90281">
              <w:rPr>
                <w:rFonts w:eastAsia="Arial"/>
                <w:color w:val="000000"/>
                <w:sz w:val="22"/>
                <w:szCs w:val="22"/>
                <w:lang w:val="sr-Latn-ME" w:eastAsia="hr-HR"/>
              </w:rPr>
              <w:t xml:space="preserve">period </w:t>
            </w:r>
            <w:r w:rsidR="00893849" w:rsidRPr="00B90281">
              <w:rPr>
                <w:rFonts w:eastAsia="Arial"/>
                <w:color w:val="000000"/>
                <w:sz w:val="22"/>
                <w:szCs w:val="22"/>
                <w:lang w:val="sr-Latn-ME" w:eastAsia="hr-HR"/>
              </w:rPr>
              <w:t>odmora</w:t>
            </w: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T 200 mg</w:t>
            </w:r>
            <w:r w:rsidRPr="00B90281">
              <w:rPr>
                <w:rFonts w:eastAsia="Arial"/>
                <w:color w:val="000000"/>
                <w:sz w:val="22"/>
                <w:szCs w:val="22"/>
                <w:vertAlign w:val="superscript"/>
                <w:lang w:val="sr-Latn-ME" w:eastAsia="hr-HR"/>
              </w:rPr>
              <w:t>a</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dnevno</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dnevno</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dnevno</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Arial"/>
                <w:b/>
                <w:bCs/>
                <w:color w:val="000000"/>
                <w:sz w:val="22"/>
                <w:szCs w:val="22"/>
                <w:lang w:val="sr-Latn-ME" w:eastAsia="hr-HR"/>
              </w:rPr>
            </w:pPr>
            <w:r w:rsidRPr="00B90281">
              <w:rPr>
                <w:rFonts w:eastAsia="Arial"/>
                <w:color w:val="000000"/>
                <w:sz w:val="22"/>
                <w:szCs w:val="22"/>
                <w:lang w:val="sr-Latn-ME" w:eastAsia="hr-HR"/>
              </w:rPr>
              <w:t>dnevno</w:t>
            </w:r>
          </w:p>
          <w:p w:rsidR="00CE1599" w:rsidRPr="00B90281" w:rsidRDefault="00CE1599" w:rsidP="00CE1599">
            <w:pPr>
              <w:suppressAutoHyphens/>
              <w:autoSpaceDE w:val="0"/>
              <w:rPr>
                <w:rFonts w:eastAsia="Arial"/>
                <w:b/>
                <w:bCs/>
                <w:color w:val="000000"/>
                <w:sz w:val="22"/>
                <w:szCs w:val="22"/>
                <w:lang w:val="sr-Latn-ME" w:eastAsia="hr-HR"/>
              </w:rPr>
            </w:pPr>
          </w:p>
        </w:tc>
      </w:tr>
      <w:tr w:rsidR="00CE1599" w:rsidRPr="00B90281" w:rsidTr="00022D95">
        <w:tc>
          <w:tcPr>
            <w:tcW w:w="747"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
                <w:bCs/>
                <w:color w:val="000000"/>
                <w:sz w:val="22"/>
                <w:szCs w:val="22"/>
                <w:lang w:val="sr-Latn-ME" w:eastAsia="hr-HR"/>
              </w:rPr>
            </w:pPr>
          </w:p>
        </w:tc>
        <w:tc>
          <w:tcPr>
            <w:tcW w:w="918"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Dx 40 mg</w:t>
            </w:r>
          </w:p>
        </w:tc>
        <w:tc>
          <w:tcPr>
            <w:tcW w:w="832"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1, 2, 3, 4</w:t>
            </w:r>
          </w:p>
        </w:tc>
        <w:tc>
          <w:tcPr>
            <w:tcW w:w="91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dan 8, 9, 10, 11</w:t>
            </w:r>
          </w:p>
        </w:tc>
        <w:tc>
          <w:tcPr>
            <w:tcW w:w="747"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color w:val="000000"/>
                <w:sz w:val="22"/>
                <w:szCs w:val="22"/>
                <w:lang w:val="sr-Latn-ME" w:eastAsia="hr-HR"/>
              </w:rPr>
            </w:pPr>
            <w:r w:rsidRPr="00B90281">
              <w:rPr>
                <w:rFonts w:eastAsia="Arial"/>
                <w:color w:val="000000"/>
                <w:sz w:val="22"/>
                <w:szCs w:val="22"/>
                <w:lang w:val="sr-Latn-ME" w:eastAsia="hr-HR"/>
              </w:rPr>
              <w:t>-</w:t>
            </w:r>
          </w:p>
        </w:tc>
        <w:tc>
          <w:tcPr>
            <w:tcW w:w="838"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D868CB">
            <w:pPr>
              <w:suppressAutoHyphens/>
              <w:autoSpaceDE w:val="0"/>
              <w:rPr>
                <w:rFonts w:eastAsia="Arial"/>
                <w:b/>
                <w:bCs/>
                <w:color w:val="000000"/>
                <w:sz w:val="22"/>
                <w:szCs w:val="22"/>
                <w:lang w:val="sr-Latn-ME" w:eastAsia="hr-HR"/>
              </w:rPr>
            </w:pPr>
            <w:r w:rsidRPr="00B90281">
              <w:rPr>
                <w:rFonts w:eastAsia="Arial"/>
                <w:color w:val="000000"/>
                <w:sz w:val="22"/>
                <w:szCs w:val="22"/>
                <w:lang w:val="sr-Latn-ME" w:eastAsia="hr-HR"/>
              </w:rPr>
              <w:t>-</w:t>
            </w:r>
          </w:p>
        </w:tc>
      </w:tr>
    </w:tbl>
    <w:p w:rsidR="00CE1599" w:rsidRPr="00B90281" w:rsidRDefault="00CE1599">
      <w:pPr>
        <w:suppressAutoHyphens/>
        <w:autoSpaceDE w:val="0"/>
        <w:jc w:val="both"/>
        <w:rPr>
          <w:rFonts w:eastAsia="Arial"/>
          <w:color w:val="000000"/>
          <w:sz w:val="20"/>
          <w:szCs w:val="22"/>
          <w:vertAlign w:val="superscript"/>
          <w:lang w:val="sr-Latn-ME" w:eastAsia="hr-HR"/>
        </w:rPr>
      </w:pPr>
      <w:r w:rsidRPr="00B90281">
        <w:rPr>
          <w:rFonts w:eastAsia="Arial"/>
          <w:color w:val="000000"/>
          <w:sz w:val="20"/>
          <w:szCs w:val="22"/>
          <w:lang w:val="sr-Latn-ME" w:eastAsia="hr-HR"/>
        </w:rPr>
        <w:t>Btz=bortezomib; Dx=deksametazon; T=talidomid</w:t>
      </w:r>
    </w:p>
    <w:p w:rsidR="00CE1599" w:rsidRPr="00B90281" w:rsidRDefault="00CE1599">
      <w:pPr>
        <w:suppressAutoHyphens/>
        <w:autoSpaceDE w:val="0"/>
        <w:jc w:val="both"/>
        <w:rPr>
          <w:rFonts w:eastAsia="Arial"/>
          <w:color w:val="000000"/>
          <w:sz w:val="20"/>
          <w:szCs w:val="22"/>
          <w:vertAlign w:val="superscript"/>
          <w:lang w:val="sr-Latn-ME" w:eastAsia="hr-HR"/>
        </w:rPr>
      </w:pPr>
      <w:r w:rsidRPr="00B90281">
        <w:rPr>
          <w:rFonts w:eastAsia="Arial"/>
          <w:color w:val="000000"/>
          <w:sz w:val="20"/>
          <w:szCs w:val="22"/>
          <w:vertAlign w:val="superscript"/>
          <w:lang w:val="sr-Latn-ME" w:eastAsia="hr-HR"/>
        </w:rPr>
        <w:lastRenderedPageBreak/>
        <w:t>a</w:t>
      </w:r>
      <w:r w:rsidRPr="00B90281">
        <w:rPr>
          <w:rFonts w:eastAsia="Arial"/>
          <w:color w:val="000000"/>
          <w:sz w:val="20"/>
          <w:szCs w:val="22"/>
          <w:lang w:val="sr-Latn-ME" w:eastAsia="hr-HR"/>
        </w:rPr>
        <w:t xml:space="preserve"> Doza talidomida se može povećati na 100 mg od 3. nedjelje 1. ciklusa samo ukoliko se dobro podnosi doza od 50 mg, i na 200 mg od 2.ciklusa nadalje ako se dobro podnosi doza od 100 mg.</w:t>
      </w:r>
    </w:p>
    <w:p w:rsidR="00CE1599" w:rsidRPr="00B90281" w:rsidRDefault="00CE1599">
      <w:pPr>
        <w:suppressAutoHyphens/>
        <w:autoSpaceDE w:val="0"/>
        <w:jc w:val="both"/>
        <w:rPr>
          <w:rFonts w:eastAsia="Arial"/>
          <w:color w:val="000000"/>
          <w:sz w:val="20"/>
          <w:szCs w:val="22"/>
          <w:lang w:val="sr-Latn-ME" w:eastAsia="hr-HR"/>
        </w:rPr>
      </w:pPr>
      <w:r w:rsidRPr="00B90281">
        <w:rPr>
          <w:rFonts w:eastAsia="Arial"/>
          <w:color w:val="000000"/>
          <w:sz w:val="20"/>
          <w:szCs w:val="22"/>
          <w:vertAlign w:val="superscript"/>
          <w:lang w:val="sr-Latn-ME" w:eastAsia="hr-HR"/>
        </w:rPr>
        <w:t>b</w:t>
      </w:r>
      <w:r w:rsidRPr="00B90281">
        <w:rPr>
          <w:rFonts w:eastAsia="Arial"/>
          <w:color w:val="000000"/>
          <w:sz w:val="20"/>
          <w:szCs w:val="22"/>
          <w:lang w:val="sr-Latn-ME" w:eastAsia="hr-HR"/>
        </w:rPr>
        <w:t xml:space="preserve"> Pacijentima koji nakon 4 ciklusa postignu najmanje parcijalan odgovor, može se dati do 6 ciklusa</w:t>
      </w:r>
    </w:p>
    <w:p w:rsidR="00CE1599" w:rsidRPr="00B90281" w:rsidRDefault="00CE1599" w:rsidP="008E1735">
      <w:pPr>
        <w:suppressAutoHyphens/>
        <w:autoSpaceDE w:val="0"/>
        <w:jc w:val="both"/>
        <w:rPr>
          <w:rFonts w:eastAsia="Arial"/>
          <w:color w:val="000000"/>
          <w:sz w:val="22"/>
          <w:szCs w:val="22"/>
          <w:lang w:val="sr-Latn-ME" w:eastAsia="hr-HR"/>
        </w:rPr>
      </w:pPr>
    </w:p>
    <w:p w:rsidR="00CE1599" w:rsidRPr="00B90281" w:rsidRDefault="00CE1599" w:rsidP="00CE1599">
      <w:pPr>
        <w:suppressAutoHyphens/>
        <w:autoSpaceDE w:val="0"/>
        <w:rPr>
          <w:rFonts w:eastAsia="Arial"/>
          <w:i/>
          <w:iCs/>
          <w:color w:val="000000"/>
          <w:sz w:val="22"/>
          <w:szCs w:val="22"/>
          <w:lang w:val="sr-Latn-ME" w:eastAsia="hr-HR"/>
        </w:rPr>
      </w:pPr>
      <w:r w:rsidRPr="00B90281">
        <w:rPr>
          <w:rFonts w:eastAsia="Arial"/>
          <w:i/>
          <w:iCs/>
          <w:color w:val="000000"/>
          <w:sz w:val="22"/>
          <w:szCs w:val="22"/>
          <w:lang w:val="sr-Latn-ME" w:eastAsia="hr-HR"/>
        </w:rPr>
        <w:t>Prilagođavanje doze kod pacijenata koji ispunjavaju kriterijume za transplantaciju</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Za prilagođavanje doziranja lijeka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potrebno je slijediti smjernice za promjenu doze opisane za monoterapiju.</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Dodatno, kad se lijek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primjenjuje u kombinaciji sa ostalim hemioterapeuticima, u slučaju toksičnosti treba razmotriti adekvatno smanjenje doze tih ljekova, a u skladu sa preporukama iz Sažetka karakteristika lijeka.</w:t>
      </w:r>
    </w:p>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jc w:val="both"/>
        <w:rPr>
          <w:rFonts w:eastAsia="Mangal"/>
          <w:i/>
          <w:sz w:val="22"/>
          <w:szCs w:val="22"/>
          <w:u w:val="single"/>
          <w:lang w:val="sr-Latn-ME" w:eastAsia="zh-CN"/>
        </w:rPr>
      </w:pPr>
      <w:r w:rsidRPr="00B90281">
        <w:rPr>
          <w:rFonts w:eastAsia="Mangal"/>
          <w:sz w:val="22"/>
          <w:szCs w:val="22"/>
          <w:u w:val="single"/>
          <w:lang w:val="sr-Latn-ME" w:eastAsia="zh-CN"/>
        </w:rPr>
        <w:t xml:space="preserve">Doziranje kod pacijenata sa prethodno neliječenim limfomom </w:t>
      </w:r>
      <w:r w:rsidRPr="00B90281">
        <w:rPr>
          <w:rFonts w:eastAsia="Mangal"/>
          <w:i/>
          <w:sz w:val="22"/>
          <w:szCs w:val="22"/>
          <w:u w:val="single"/>
          <w:lang w:val="sr-Latn-ME" w:eastAsia="zh-CN"/>
        </w:rPr>
        <w:t>mantle</w:t>
      </w:r>
      <w:r w:rsidRPr="00B90281">
        <w:rPr>
          <w:rFonts w:eastAsia="Mangal"/>
          <w:sz w:val="22"/>
          <w:szCs w:val="22"/>
          <w:u w:val="single"/>
          <w:lang w:val="sr-Latn-ME" w:eastAsia="zh-CN"/>
        </w:rPr>
        <w:t xml:space="preserve"> ćelija (MCL, od engl. </w:t>
      </w:r>
      <w:r w:rsidRPr="00B90281">
        <w:rPr>
          <w:rFonts w:eastAsia="Mangal"/>
          <w:i/>
          <w:sz w:val="22"/>
          <w:szCs w:val="22"/>
          <w:u w:val="single"/>
          <w:lang w:val="sr-Latn-ME" w:eastAsia="zh-CN"/>
        </w:rPr>
        <w:t xml:space="preserve">mantle cell lymphoma) </w:t>
      </w:r>
    </w:p>
    <w:p w:rsidR="00CE1599" w:rsidRPr="00B90281" w:rsidRDefault="00CE1599" w:rsidP="00CE1599">
      <w:pPr>
        <w:suppressAutoHyphens/>
        <w:autoSpaceDE w:val="0"/>
        <w:rPr>
          <w:rFonts w:eastAsia="Mangal"/>
          <w:sz w:val="22"/>
          <w:szCs w:val="22"/>
          <w:lang w:val="sr-Latn-ME" w:eastAsia="zh-CN"/>
        </w:rPr>
      </w:pPr>
    </w:p>
    <w:p w:rsidR="00CE1599" w:rsidRPr="00B90281" w:rsidRDefault="00CE1599" w:rsidP="00CE1599">
      <w:pPr>
        <w:suppressAutoHyphens/>
        <w:autoSpaceDE w:val="0"/>
        <w:jc w:val="both"/>
        <w:rPr>
          <w:rFonts w:eastAsia="Mangal"/>
          <w:i/>
          <w:sz w:val="22"/>
          <w:szCs w:val="22"/>
          <w:lang w:val="sr-Latn-ME" w:eastAsia="zh-CN"/>
        </w:rPr>
      </w:pPr>
      <w:r w:rsidRPr="00B90281">
        <w:rPr>
          <w:rFonts w:eastAsia="Mangal"/>
          <w:i/>
          <w:sz w:val="22"/>
          <w:szCs w:val="22"/>
          <w:lang w:val="sr-Latn-ME" w:eastAsia="zh-CN"/>
        </w:rPr>
        <w:t xml:space="preserve">Kombinovana terapija sa rituksimabom, ciklofosfamidom, doksorubicinom i prednizonom (BtzR-CAP) </w:t>
      </w:r>
    </w:p>
    <w:p w:rsidR="00CE1599" w:rsidRPr="00B90281" w:rsidRDefault="003320FD" w:rsidP="00CE1599">
      <w:pPr>
        <w:suppressAutoHyphens/>
        <w:autoSpaceDE w:val="0"/>
        <w:jc w:val="both"/>
        <w:rPr>
          <w:rFonts w:eastAsia="Mangal"/>
          <w:sz w:val="22"/>
          <w:szCs w:val="22"/>
          <w:lang w:val="sr-Latn-ME" w:eastAsia="zh-CN"/>
        </w:rPr>
      </w:pPr>
      <w:r w:rsidRPr="00B90281">
        <w:rPr>
          <w:rFonts w:eastAsia="Mangal"/>
          <w:sz w:val="22"/>
          <w:szCs w:val="22"/>
          <w:lang w:val="sr-Latn-ME" w:eastAsia="zh-CN"/>
        </w:rPr>
        <w:t xml:space="preserve">Lijek </w:t>
      </w:r>
      <w:r w:rsidR="00CE1599" w:rsidRPr="00B90281">
        <w:rPr>
          <w:rFonts w:eastAsia="Mangal"/>
          <w:sz w:val="22"/>
          <w:szCs w:val="22"/>
          <w:lang w:val="sr-Latn-ME" w:eastAsia="zh-CN"/>
        </w:rPr>
        <w:t xml:space="preserve">Bortezomib </w:t>
      </w:r>
      <w:r w:rsidR="00640DA2" w:rsidRPr="00B90281">
        <w:rPr>
          <w:rFonts w:eastAsia="Mangal"/>
          <w:sz w:val="22"/>
          <w:szCs w:val="22"/>
          <w:lang w:val="sr-Latn-ME" w:eastAsia="zh-CN"/>
        </w:rPr>
        <w:t>Accord</w:t>
      </w:r>
      <w:r w:rsidR="00CE1599" w:rsidRPr="00B90281">
        <w:rPr>
          <w:rFonts w:eastAsia="Mangal"/>
          <w:sz w:val="22"/>
          <w:szCs w:val="22"/>
          <w:lang w:val="sr-Latn-ME" w:eastAsia="zh-CN"/>
        </w:rPr>
        <w:t xml:space="preserve"> 3.5 mg prašak za rastvor za injekciju se primjenjuje putem intravenske ili su</w:t>
      </w:r>
      <w:r w:rsidR="00646BFE" w:rsidRPr="00B90281">
        <w:rPr>
          <w:rFonts w:eastAsia="Mangal"/>
          <w:sz w:val="22"/>
          <w:szCs w:val="22"/>
          <w:lang w:val="sr-Latn-ME" w:eastAsia="zh-CN"/>
        </w:rPr>
        <w:t>b</w:t>
      </w:r>
      <w:r w:rsidR="00CE1599" w:rsidRPr="00B90281">
        <w:rPr>
          <w:rFonts w:eastAsia="Mangal"/>
          <w:sz w:val="22"/>
          <w:szCs w:val="22"/>
          <w:lang w:val="sr-Latn-ME" w:eastAsia="zh-CN"/>
        </w:rPr>
        <w:t>kutane injekcije u preporučenoj dozi od 1,3 mg/m</w:t>
      </w:r>
      <w:r w:rsidR="00CE1599" w:rsidRPr="00B90281">
        <w:rPr>
          <w:rFonts w:eastAsia="Mangal"/>
          <w:sz w:val="22"/>
          <w:szCs w:val="22"/>
          <w:vertAlign w:val="superscript"/>
          <w:lang w:val="sr-Latn-ME" w:eastAsia="zh-CN"/>
        </w:rPr>
        <w:t>2</w:t>
      </w:r>
      <w:r w:rsidR="00CE1599" w:rsidRPr="00B90281">
        <w:rPr>
          <w:rFonts w:eastAsia="Mangal"/>
          <w:sz w:val="22"/>
          <w:szCs w:val="22"/>
          <w:lang w:val="sr-Latn-ME" w:eastAsia="zh-CN"/>
        </w:rPr>
        <w:t xml:space="preserve"> tjelesne površine, dva puta nedjeljno tokom dvije nedjelje 1., 4., 8. i 11. dana, nakon čega slijedi period odmora od 10 dana tokom 12.-21. dana. Ovaj period od 3 nedjelje smatra se jednim terapijskim ciklusom.</w:t>
      </w:r>
    </w:p>
    <w:p w:rsidR="00CE1599" w:rsidRPr="00B90281" w:rsidRDefault="00CE1599" w:rsidP="00CE1599">
      <w:pPr>
        <w:suppressAutoHyphens/>
        <w:autoSpaceDE w:val="0"/>
        <w:jc w:val="both"/>
        <w:rPr>
          <w:rFonts w:eastAsia="Mangal"/>
          <w:sz w:val="22"/>
          <w:szCs w:val="22"/>
          <w:lang w:val="sr-Latn-ME" w:eastAsia="zh-CN"/>
        </w:rPr>
      </w:pPr>
      <w:r w:rsidRPr="00B90281">
        <w:rPr>
          <w:rFonts w:eastAsia="Mangal"/>
          <w:sz w:val="22"/>
          <w:szCs w:val="22"/>
          <w:lang w:val="sr-Latn-ME" w:eastAsia="zh-CN"/>
        </w:rPr>
        <w:t xml:space="preserve">Preporučuje se šest terapijskih ciklusa lijekom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iako se pacijentima za koje je odgovor prvi put zabilježen tek u 6. ciklusu, mogu dati dva dodatna terapijska ciklusa lijeka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Potrebno je da prođe najmanje 72 sata između primjene dvije uzastopne doze lijeka Bortezomib </w:t>
      </w:r>
      <w:r w:rsidR="00640DA2" w:rsidRPr="00B90281">
        <w:rPr>
          <w:rFonts w:eastAsia="Mangal"/>
          <w:sz w:val="22"/>
          <w:szCs w:val="22"/>
          <w:lang w:val="sr-Latn-ME" w:eastAsia="zh-CN"/>
        </w:rPr>
        <w:t>Accord</w:t>
      </w:r>
      <w:r w:rsidRPr="00B90281">
        <w:rPr>
          <w:rFonts w:eastAsia="Mangal"/>
          <w:sz w:val="22"/>
          <w:szCs w:val="22"/>
          <w:lang w:val="sr-Latn-ME" w:eastAsia="zh-CN"/>
        </w:rPr>
        <w:t>.</w:t>
      </w:r>
    </w:p>
    <w:p w:rsidR="00CE1599" w:rsidRPr="00B90281" w:rsidRDefault="00CE1599" w:rsidP="00CE1599">
      <w:pPr>
        <w:suppressAutoHyphens/>
        <w:autoSpaceDE w:val="0"/>
        <w:rPr>
          <w:rFonts w:eastAsia="Mangal"/>
          <w:sz w:val="22"/>
          <w:szCs w:val="22"/>
          <w:lang w:val="sr-Latn-ME" w:eastAsia="zh-CN"/>
        </w:rPr>
      </w:pPr>
    </w:p>
    <w:p w:rsidR="00CE1599" w:rsidRPr="00B90281" w:rsidRDefault="00CE1599" w:rsidP="00CE1599">
      <w:pPr>
        <w:suppressAutoHyphens/>
        <w:autoSpaceDE w:val="0"/>
        <w:jc w:val="both"/>
        <w:rPr>
          <w:rFonts w:eastAsia="Mangal"/>
          <w:sz w:val="22"/>
          <w:szCs w:val="22"/>
          <w:lang w:val="sr-Latn-ME" w:eastAsia="zh-CN"/>
        </w:rPr>
      </w:pPr>
      <w:r w:rsidRPr="00B90281">
        <w:rPr>
          <w:rFonts w:eastAsia="Mangal"/>
          <w:sz w:val="22"/>
          <w:szCs w:val="22"/>
          <w:lang w:val="sr-Latn-ME" w:eastAsia="zh-CN"/>
        </w:rPr>
        <w:t xml:space="preserve">Sljedeći ljekovi primjenjuju se 1. dana svakog tronedjeljnog terapijskog ciklusa liječenja lijekom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kao intravenska infuzija: rituksimab 375 mg/m</w:t>
      </w:r>
      <w:r w:rsidRPr="00B90281">
        <w:rPr>
          <w:rFonts w:eastAsia="Mangal"/>
          <w:sz w:val="22"/>
          <w:szCs w:val="22"/>
          <w:vertAlign w:val="superscript"/>
          <w:lang w:val="sr-Latn-ME" w:eastAsia="zh-CN"/>
        </w:rPr>
        <w:t>2</w:t>
      </w:r>
      <w:r w:rsidRPr="00B90281">
        <w:rPr>
          <w:rFonts w:eastAsia="Mangal"/>
          <w:sz w:val="22"/>
          <w:szCs w:val="22"/>
          <w:lang w:val="sr-Latn-ME" w:eastAsia="zh-CN"/>
        </w:rPr>
        <w:t>, ciklofosfamid 750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i doksorubicin 50 mg/m</w:t>
      </w:r>
      <w:r w:rsidRPr="00B90281">
        <w:rPr>
          <w:rFonts w:eastAsia="Mangal"/>
          <w:sz w:val="22"/>
          <w:szCs w:val="22"/>
          <w:vertAlign w:val="superscript"/>
          <w:lang w:val="sr-Latn-ME" w:eastAsia="zh-CN"/>
        </w:rPr>
        <w:t>2</w:t>
      </w:r>
      <w:r w:rsidRPr="00B90281">
        <w:rPr>
          <w:rFonts w:eastAsia="Mangal"/>
          <w:sz w:val="22"/>
          <w:szCs w:val="22"/>
          <w:lang w:val="sr-Latn-ME" w:eastAsia="zh-CN"/>
        </w:rPr>
        <w:t>. Prednizon se primjenjuje peroralno, u dozi 100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1., 2., 3., 4. i 5. dana svakog terapijskog ciklusa liječenja lijekom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w:t>
      </w:r>
    </w:p>
    <w:p w:rsidR="00CE1599" w:rsidRPr="00B90281" w:rsidRDefault="00CE1599" w:rsidP="00CE1599">
      <w:pPr>
        <w:suppressAutoHyphens/>
        <w:autoSpaceDE w:val="0"/>
        <w:rPr>
          <w:rFonts w:eastAsia="Mangal"/>
          <w:sz w:val="22"/>
          <w:szCs w:val="22"/>
          <w:lang w:val="sr-Latn-ME" w:eastAsia="zh-CN"/>
        </w:rPr>
      </w:pPr>
    </w:p>
    <w:p w:rsidR="00CE1599" w:rsidRPr="00B90281" w:rsidRDefault="00CE1599" w:rsidP="00CE1599">
      <w:pPr>
        <w:suppressAutoHyphens/>
        <w:autoSpaceDE w:val="0"/>
        <w:rPr>
          <w:rFonts w:eastAsia="Mangal"/>
          <w:sz w:val="22"/>
          <w:szCs w:val="22"/>
          <w:lang w:val="sr-Latn-ME" w:eastAsia="zh-CN"/>
        </w:rPr>
      </w:pPr>
      <w:r w:rsidRPr="00B90281">
        <w:rPr>
          <w:rFonts w:eastAsia="Mangal"/>
          <w:i/>
          <w:sz w:val="22"/>
          <w:szCs w:val="22"/>
          <w:lang w:val="sr-Latn-ME" w:eastAsia="zh-CN"/>
        </w:rPr>
        <w:t>Podešavanje doze tokom terapije kod  pacijenta sa prethodno neliječenim limfomom mantle ćelija</w:t>
      </w:r>
      <w:r w:rsidRPr="00B90281">
        <w:rPr>
          <w:rFonts w:eastAsia="Mangal"/>
          <w:sz w:val="22"/>
          <w:szCs w:val="22"/>
          <w:lang w:val="sr-Latn-ME" w:eastAsia="zh-CN"/>
        </w:rPr>
        <w:t xml:space="preserve"> </w:t>
      </w:r>
    </w:p>
    <w:p w:rsidR="00CE1599" w:rsidRPr="00B90281" w:rsidRDefault="00CE1599" w:rsidP="00CE1599">
      <w:pPr>
        <w:suppressAutoHyphens/>
        <w:autoSpaceDE w:val="0"/>
        <w:rPr>
          <w:rFonts w:eastAsia="Mangal"/>
          <w:sz w:val="22"/>
          <w:szCs w:val="22"/>
          <w:lang w:val="sr-Latn-ME" w:eastAsia="zh-CN"/>
        </w:rPr>
      </w:pPr>
      <w:r w:rsidRPr="00B90281">
        <w:rPr>
          <w:rFonts w:eastAsia="Mangal"/>
          <w:sz w:val="22"/>
          <w:szCs w:val="22"/>
          <w:lang w:val="sr-Latn-ME" w:eastAsia="zh-CN"/>
        </w:rPr>
        <w:t xml:space="preserve">Prije započinjanja novog ciklusa liječenja:  </w:t>
      </w:r>
    </w:p>
    <w:p w:rsidR="00CE1599" w:rsidRPr="00B90281" w:rsidRDefault="00CE1599" w:rsidP="00D868CB">
      <w:pPr>
        <w:numPr>
          <w:ilvl w:val="0"/>
          <w:numId w:val="17"/>
        </w:numPr>
        <w:suppressAutoHyphens/>
        <w:autoSpaceDE w:val="0"/>
        <w:ind w:left="357" w:hanging="357"/>
        <w:rPr>
          <w:rFonts w:eastAsia="Mangal"/>
          <w:sz w:val="22"/>
          <w:szCs w:val="22"/>
          <w:lang w:val="sr-Latn-ME" w:eastAsia="zh-CN"/>
        </w:rPr>
      </w:pPr>
      <w:r w:rsidRPr="00B90281">
        <w:rPr>
          <w:rFonts w:eastAsia="Mangal"/>
          <w:sz w:val="22"/>
          <w:szCs w:val="22"/>
          <w:lang w:val="sr-Latn-ME" w:eastAsia="zh-CN"/>
        </w:rPr>
        <w:t>Broj tromboci</w:t>
      </w:r>
      <w:r w:rsidR="00D9724C" w:rsidRPr="00B90281">
        <w:rPr>
          <w:rFonts w:eastAsia="Mangal"/>
          <w:sz w:val="22"/>
          <w:szCs w:val="22"/>
          <w:lang w:val="sr-Latn-ME" w:eastAsia="zh-CN"/>
        </w:rPr>
        <w:t>ta mora biti ≥ 100 000 ćelija/μl</w:t>
      </w:r>
      <w:r w:rsidRPr="00B90281">
        <w:rPr>
          <w:rFonts w:eastAsia="Mangal"/>
          <w:sz w:val="22"/>
          <w:szCs w:val="22"/>
          <w:lang w:val="sr-Latn-ME" w:eastAsia="zh-CN"/>
        </w:rPr>
        <w:t>, a  apsolutni broj neutr</w:t>
      </w:r>
      <w:r w:rsidR="00D9724C" w:rsidRPr="00B90281">
        <w:rPr>
          <w:rFonts w:eastAsia="Mangal"/>
          <w:sz w:val="22"/>
          <w:szCs w:val="22"/>
          <w:lang w:val="sr-Latn-ME" w:eastAsia="zh-CN"/>
        </w:rPr>
        <w:t>ofila mora biti ≥ 1500 ćelija/μl</w:t>
      </w:r>
      <w:r w:rsidRPr="00B90281">
        <w:rPr>
          <w:rFonts w:eastAsia="Mangal"/>
          <w:sz w:val="22"/>
          <w:szCs w:val="22"/>
          <w:lang w:val="sr-Latn-ME" w:eastAsia="zh-CN"/>
        </w:rPr>
        <w:t>.</w:t>
      </w:r>
    </w:p>
    <w:p w:rsidR="00CE1599" w:rsidRPr="00B90281" w:rsidRDefault="00CE1599" w:rsidP="00D868CB">
      <w:pPr>
        <w:numPr>
          <w:ilvl w:val="0"/>
          <w:numId w:val="17"/>
        </w:numPr>
        <w:suppressAutoHyphens/>
        <w:autoSpaceDE w:val="0"/>
        <w:ind w:left="357" w:hanging="357"/>
        <w:rPr>
          <w:rFonts w:eastAsia="Mangal"/>
          <w:sz w:val="22"/>
          <w:szCs w:val="22"/>
          <w:lang w:val="sr-Latn-ME" w:eastAsia="zh-CN"/>
        </w:rPr>
      </w:pPr>
      <w:r w:rsidRPr="00B90281">
        <w:rPr>
          <w:rFonts w:eastAsia="Mangal"/>
          <w:sz w:val="22"/>
          <w:szCs w:val="22"/>
          <w:lang w:val="sr-Latn-ME" w:eastAsia="zh-CN"/>
        </w:rPr>
        <w:t>Broj trombocita mora b</w:t>
      </w:r>
      <w:r w:rsidR="00D9724C" w:rsidRPr="00B90281">
        <w:rPr>
          <w:rFonts w:eastAsia="Mangal"/>
          <w:sz w:val="22"/>
          <w:szCs w:val="22"/>
          <w:lang w:val="sr-Latn-ME" w:eastAsia="zh-CN"/>
        </w:rPr>
        <w:t>iti ≥ 75 000 ćelija/μl</w:t>
      </w:r>
      <w:r w:rsidRPr="00B90281">
        <w:rPr>
          <w:rFonts w:eastAsia="Mangal"/>
          <w:sz w:val="22"/>
          <w:szCs w:val="22"/>
          <w:lang w:val="sr-Latn-ME" w:eastAsia="zh-CN"/>
        </w:rPr>
        <w:t>, kod pacijenta sa infiltracijom kostne srži i sa sekvestracijom u slezini.</w:t>
      </w:r>
    </w:p>
    <w:p w:rsidR="00CE1599" w:rsidRPr="00B90281" w:rsidRDefault="00D9724C" w:rsidP="00D868CB">
      <w:pPr>
        <w:numPr>
          <w:ilvl w:val="0"/>
          <w:numId w:val="17"/>
        </w:numPr>
        <w:suppressAutoHyphens/>
        <w:autoSpaceDE w:val="0"/>
        <w:ind w:left="357" w:hanging="357"/>
        <w:rPr>
          <w:rFonts w:eastAsia="Mangal"/>
          <w:sz w:val="22"/>
          <w:szCs w:val="22"/>
          <w:lang w:val="sr-Latn-ME" w:eastAsia="zh-CN"/>
        </w:rPr>
      </w:pPr>
      <w:r w:rsidRPr="00B90281">
        <w:rPr>
          <w:rFonts w:eastAsia="Mangal"/>
          <w:sz w:val="22"/>
          <w:szCs w:val="22"/>
          <w:lang w:val="sr-Latn-ME" w:eastAsia="zh-CN"/>
        </w:rPr>
        <w:t>Hemoglobin ≥ 8 g/dl</w:t>
      </w:r>
      <w:r w:rsidR="00CE1599" w:rsidRPr="00B90281">
        <w:rPr>
          <w:rFonts w:eastAsia="Mangal"/>
          <w:sz w:val="22"/>
          <w:szCs w:val="22"/>
          <w:lang w:val="sr-Latn-ME" w:eastAsia="zh-CN"/>
        </w:rPr>
        <w:t xml:space="preserve"> . </w:t>
      </w:r>
    </w:p>
    <w:p w:rsidR="00CE1599" w:rsidRPr="00B90281" w:rsidRDefault="00CE1599" w:rsidP="00D868CB">
      <w:pPr>
        <w:numPr>
          <w:ilvl w:val="0"/>
          <w:numId w:val="17"/>
        </w:numPr>
        <w:suppressAutoHyphens/>
        <w:autoSpaceDE w:val="0"/>
        <w:ind w:left="357" w:hanging="357"/>
        <w:rPr>
          <w:rFonts w:eastAsia="Mangal"/>
          <w:sz w:val="22"/>
          <w:szCs w:val="22"/>
          <w:lang w:val="sr-Latn-ME" w:eastAsia="zh-CN"/>
        </w:rPr>
      </w:pPr>
      <w:r w:rsidRPr="00B90281">
        <w:rPr>
          <w:rFonts w:eastAsia="Mangal"/>
          <w:sz w:val="22"/>
          <w:szCs w:val="22"/>
          <w:lang w:val="sr-Latn-ME" w:eastAsia="zh-CN"/>
        </w:rPr>
        <w:t>Nehematološka toksičnost mora biti svedena do 1. stepena  ili osnovnog nivoa.</w:t>
      </w:r>
    </w:p>
    <w:p w:rsidR="00CE1599" w:rsidRPr="00B90281" w:rsidRDefault="00CE1599" w:rsidP="00CE1599">
      <w:pPr>
        <w:suppressAutoHyphens/>
        <w:autoSpaceDE w:val="0"/>
        <w:rPr>
          <w:rFonts w:eastAsia="Mangal"/>
          <w:sz w:val="22"/>
          <w:szCs w:val="22"/>
          <w:lang w:val="sr-Latn-ME" w:eastAsia="zh-CN"/>
        </w:rPr>
      </w:pPr>
    </w:p>
    <w:p w:rsidR="00CE1599" w:rsidRPr="00B90281" w:rsidRDefault="00CE1599" w:rsidP="00CE1599">
      <w:pPr>
        <w:suppressAutoHyphens/>
        <w:autoSpaceDE w:val="0"/>
        <w:jc w:val="both"/>
        <w:rPr>
          <w:rFonts w:eastAsia="Mangal"/>
          <w:sz w:val="22"/>
          <w:szCs w:val="22"/>
          <w:lang w:val="sr-Latn-ME" w:eastAsia="zh-CN"/>
        </w:rPr>
      </w:pPr>
      <w:r w:rsidRPr="00B90281">
        <w:rPr>
          <w:rFonts w:eastAsia="Mangal"/>
          <w:sz w:val="22"/>
          <w:szCs w:val="22"/>
          <w:lang w:val="sr-Latn-ME" w:eastAsia="zh-CN"/>
        </w:rPr>
        <w:t xml:space="preserve">Terapija lijekom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mora se prekinuti u slučaju nastupa bilo koje nehematološke toksičnosti ≥ 3. stepena povezane sa bortezomibom (isključujući neuropatiju) ili hematološke toksičnosti ≥ 3.stepena (takođe vidjeti </w:t>
      </w:r>
      <w:r w:rsidR="00B75909" w:rsidRPr="00B90281">
        <w:rPr>
          <w:rFonts w:eastAsia="Mangal"/>
          <w:sz w:val="22"/>
          <w:szCs w:val="22"/>
          <w:lang w:val="sr-Latn-ME" w:eastAsia="zh-CN"/>
        </w:rPr>
        <w:t>di</w:t>
      </w:r>
      <w:r w:rsidRPr="00B90281">
        <w:rPr>
          <w:rFonts w:eastAsia="Mangal"/>
          <w:sz w:val="22"/>
          <w:szCs w:val="22"/>
          <w:lang w:val="sr-Latn-ME" w:eastAsia="zh-CN"/>
        </w:rPr>
        <w:t xml:space="preserve">o 4.4). Za prilagođavanje doze, vidjeti Tabelu 5 ispod. </w:t>
      </w:r>
    </w:p>
    <w:p w:rsidR="00CE1599" w:rsidRPr="00B90281" w:rsidRDefault="00CE1599" w:rsidP="00CE1599">
      <w:pPr>
        <w:suppressAutoHyphens/>
        <w:autoSpaceDE w:val="0"/>
        <w:jc w:val="both"/>
        <w:rPr>
          <w:rFonts w:eastAsia="Mangal"/>
          <w:sz w:val="22"/>
          <w:szCs w:val="22"/>
          <w:lang w:val="sr-Latn-ME" w:eastAsia="zh-CN"/>
        </w:rPr>
      </w:pPr>
      <w:r w:rsidRPr="00B90281">
        <w:rPr>
          <w:rFonts w:eastAsia="Mangal"/>
          <w:sz w:val="22"/>
          <w:szCs w:val="22"/>
          <w:lang w:val="sr-Latn-ME" w:eastAsia="zh-CN"/>
        </w:rPr>
        <w:t>Faktori stimulacije kolonija granulocita mogu se primijeniti za hematološku toksičnost, u skladu sa  lokalnom standardnom praksom. Profilaktička primjena faktora stimulacije kolonija granulocita mora se uzeti u obzir kod ponovljenih kašnjenja primjena ciklusa. Transfuziju trombocita za liječenje trombocitopenije treba razmotriti kada je to klinički opravdano.</w:t>
      </w:r>
    </w:p>
    <w:p w:rsidR="00CE1599" w:rsidRPr="00B90281" w:rsidRDefault="00CE1599" w:rsidP="00CE1599">
      <w:pPr>
        <w:suppressAutoHyphens/>
        <w:autoSpaceDE w:val="0"/>
        <w:rPr>
          <w:rFonts w:eastAsia="Mangal"/>
          <w:sz w:val="22"/>
          <w:szCs w:val="22"/>
          <w:lang w:val="sr-Latn-ME" w:eastAsia="zh-CN"/>
        </w:rPr>
      </w:pPr>
    </w:p>
    <w:p w:rsidR="00CE1599" w:rsidRPr="00B90281" w:rsidRDefault="00CE1599" w:rsidP="00CE1599">
      <w:pPr>
        <w:suppressAutoHyphens/>
        <w:autoSpaceDE w:val="0"/>
        <w:ind w:left="1021" w:hanging="1021"/>
        <w:jc w:val="both"/>
        <w:rPr>
          <w:rFonts w:eastAsia="Mangal"/>
          <w:i/>
          <w:sz w:val="22"/>
          <w:szCs w:val="22"/>
          <w:lang w:val="sr-Latn-ME" w:eastAsia="zh-CN"/>
        </w:rPr>
      </w:pPr>
      <w:r w:rsidRPr="00B90281">
        <w:rPr>
          <w:rFonts w:eastAsia="Mangal"/>
          <w:i/>
          <w:sz w:val="22"/>
          <w:szCs w:val="22"/>
          <w:lang w:val="sr-Latn-ME" w:eastAsia="zh-CN"/>
        </w:rPr>
        <w:t>Tabela 5: Podešavanje doze tokom liječenja kod pacijenata sa prethodno neliječenim limfomom mantle ćelija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37"/>
      </w:tblGrid>
      <w:tr w:rsidR="00CE1599" w:rsidRPr="00B90281" w:rsidTr="00022D95">
        <w:tc>
          <w:tcPr>
            <w:tcW w:w="2503" w:type="pct"/>
            <w:tcBorders>
              <w:top w:val="single" w:sz="18" w:space="0" w:color="auto"/>
              <w:left w:val="nil"/>
              <w:bottom w:val="single" w:sz="18" w:space="0" w:color="auto"/>
            </w:tcBorders>
            <w:shd w:val="clear" w:color="auto" w:fill="auto"/>
          </w:tcPr>
          <w:p w:rsidR="00CE1599" w:rsidRPr="00B90281" w:rsidRDefault="00CE1599" w:rsidP="00CE1599">
            <w:pPr>
              <w:suppressAutoHyphens/>
              <w:spacing w:after="200"/>
              <w:jc w:val="center"/>
              <w:rPr>
                <w:rFonts w:eastAsia="Mangal"/>
                <w:b/>
                <w:bCs/>
                <w:sz w:val="22"/>
                <w:szCs w:val="22"/>
                <w:lang w:val="sr-Latn-ME" w:eastAsia="en-GB"/>
              </w:rPr>
            </w:pPr>
            <w:r w:rsidRPr="00B90281">
              <w:rPr>
                <w:rFonts w:eastAsia="Mangal"/>
                <w:b/>
                <w:bCs/>
                <w:sz w:val="22"/>
                <w:szCs w:val="22"/>
                <w:lang w:val="sr-Latn-ME" w:eastAsia="en-GB"/>
              </w:rPr>
              <w:t>Toksičnost</w:t>
            </w:r>
          </w:p>
        </w:tc>
        <w:tc>
          <w:tcPr>
            <w:tcW w:w="2497" w:type="pct"/>
            <w:tcBorders>
              <w:top w:val="single" w:sz="18" w:space="0" w:color="auto"/>
              <w:bottom w:val="single" w:sz="18" w:space="0" w:color="auto"/>
              <w:right w:val="nil"/>
            </w:tcBorders>
            <w:shd w:val="clear" w:color="auto" w:fill="auto"/>
          </w:tcPr>
          <w:p w:rsidR="00CE1599" w:rsidRPr="00B90281" w:rsidRDefault="00CE1599" w:rsidP="00CE1599">
            <w:pPr>
              <w:suppressAutoHyphens/>
              <w:spacing w:after="200"/>
              <w:jc w:val="center"/>
              <w:rPr>
                <w:rFonts w:eastAsia="Mangal"/>
                <w:b/>
                <w:bCs/>
                <w:sz w:val="22"/>
                <w:szCs w:val="22"/>
                <w:lang w:val="sr-Latn-ME" w:eastAsia="en-GB"/>
              </w:rPr>
            </w:pPr>
            <w:r w:rsidRPr="00B90281">
              <w:rPr>
                <w:rFonts w:eastAsia="Mangal"/>
                <w:b/>
                <w:bCs/>
                <w:sz w:val="22"/>
                <w:szCs w:val="22"/>
                <w:lang w:val="sr-Latn-ME" w:eastAsia="en-GB"/>
              </w:rPr>
              <w:t xml:space="preserve">Podešavanje doze ili odlaganje </w:t>
            </w:r>
          </w:p>
        </w:tc>
      </w:tr>
      <w:tr w:rsidR="00CE1599" w:rsidRPr="00B90281" w:rsidTr="00022D95">
        <w:tc>
          <w:tcPr>
            <w:tcW w:w="5000" w:type="pct"/>
            <w:gridSpan w:val="2"/>
            <w:tcBorders>
              <w:top w:val="single" w:sz="18" w:space="0" w:color="auto"/>
              <w:left w:val="nil"/>
              <w:right w:val="nil"/>
            </w:tcBorders>
            <w:shd w:val="clear" w:color="auto" w:fill="auto"/>
          </w:tcPr>
          <w:p w:rsidR="00CE1599" w:rsidRPr="00B90281" w:rsidRDefault="00CE1599" w:rsidP="00CE1599">
            <w:pPr>
              <w:suppressAutoHyphens/>
              <w:spacing w:after="200"/>
              <w:rPr>
                <w:rFonts w:eastAsia="Mangal"/>
                <w:bCs/>
                <w:i/>
                <w:sz w:val="22"/>
                <w:szCs w:val="22"/>
                <w:lang w:val="sr-Latn-ME" w:eastAsia="en-GB"/>
              </w:rPr>
            </w:pPr>
            <w:r w:rsidRPr="00B90281">
              <w:rPr>
                <w:rFonts w:eastAsia="Mangal"/>
                <w:bCs/>
                <w:i/>
                <w:sz w:val="22"/>
                <w:szCs w:val="22"/>
                <w:lang w:val="sr-Latn-ME" w:eastAsia="en-GB"/>
              </w:rPr>
              <w:t xml:space="preserve">Hematološka toksičnost </w:t>
            </w:r>
          </w:p>
        </w:tc>
      </w:tr>
      <w:tr w:rsidR="00CE1599" w:rsidRPr="00B90281" w:rsidTr="00022D95">
        <w:tc>
          <w:tcPr>
            <w:tcW w:w="2503" w:type="pct"/>
            <w:tcBorders>
              <w:left w:val="nil"/>
            </w:tcBorders>
            <w:shd w:val="clear" w:color="auto" w:fill="auto"/>
          </w:tcPr>
          <w:p w:rsidR="00CE1599" w:rsidRPr="00B90281" w:rsidRDefault="00CE1599" w:rsidP="00CE1599">
            <w:pPr>
              <w:numPr>
                <w:ilvl w:val="0"/>
                <w:numId w:val="18"/>
              </w:numPr>
              <w:suppressAutoHyphens/>
              <w:spacing w:after="200" w:line="276" w:lineRule="auto"/>
              <w:ind w:left="357" w:hanging="357"/>
              <w:rPr>
                <w:rFonts w:eastAsia="Mangal"/>
                <w:bCs/>
                <w:sz w:val="22"/>
                <w:szCs w:val="22"/>
                <w:lang w:val="sr-Latn-ME" w:eastAsia="en-GB"/>
              </w:rPr>
            </w:pPr>
            <w:r w:rsidRPr="00B90281">
              <w:rPr>
                <w:rFonts w:eastAsia="Mangal"/>
                <w:sz w:val="22"/>
                <w:szCs w:val="22"/>
                <w:lang w:val="sr-Latn-ME" w:eastAsia="zh-CN"/>
              </w:rPr>
              <w:t>Neutropenija ≥ 3. stepena sa temperaturom, neutropenija 4. stepena koja traje duže od 7 dana, br</w:t>
            </w:r>
            <w:r w:rsidR="00DD6C78" w:rsidRPr="00B90281">
              <w:rPr>
                <w:rFonts w:eastAsia="Mangal"/>
                <w:sz w:val="22"/>
                <w:szCs w:val="22"/>
                <w:lang w:val="sr-Latn-ME" w:eastAsia="zh-CN"/>
              </w:rPr>
              <w:t>oj trombocita &lt; 10 000 ćelija/μl</w:t>
            </w:r>
            <w:r w:rsidRPr="00B90281">
              <w:rPr>
                <w:rFonts w:eastAsia="Mangal"/>
                <w:sz w:val="22"/>
                <w:szCs w:val="22"/>
                <w:lang w:val="sr-Latn-ME" w:eastAsia="zh-CN"/>
              </w:rPr>
              <w:t>.</w:t>
            </w:r>
          </w:p>
        </w:tc>
        <w:tc>
          <w:tcPr>
            <w:tcW w:w="2497" w:type="pct"/>
            <w:tcBorders>
              <w:right w:val="nil"/>
            </w:tcBorders>
            <w:shd w:val="clear" w:color="auto" w:fill="auto"/>
          </w:tcPr>
          <w:p w:rsidR="00CE1599" w:rsidRPr="00B90281" w:rsidRDefault="00CE1599" w:rsidP="00CE1599">
            <w:pPr>
              <w:suppressAutoHyphens/>
              <w:spacing w:after="200"/>
              <w:rPr>
                <w:rFonts w:eastAsia="Mangal"/>
                <w:sz w:val="22"/>
                <w:szCs w:val="22"/>
                <w:lang w:val="sr-Latn-ME" w:eastAsia="zh-CN"/>
              </w:rPr>
            </w:pPr>
            <w:r w:rsidRPr="00B90281">
              <w:rPr>
                <w:rFonts w:eastAsia="Mangal"/>
                <w:sz w:val="22"/>
                <w:szCs w:val="22"/>
                <w:lang w:val="sr-Latn-ME" w:eastAsia="zh-CN"/>
              </w:rPr>
              <w:t xml:space="preserve">Terapija lijekom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mora se prekinuti do 2 nedjelje, dok pacijent ne dostigne apsolutni</w:t>
            </w:r>
            <w:r w:rsidR="00DD6C78" w:rsidRPr="00B90281">
              <w:rPr>
                <w:rFonts w:eastAsia="Mangal"/>
                <w:sz w:val="22"/>
                <w:szCs w:val="22"/>
                <w:lang w:val="sr-Latn-ME" w:eastAsia="zh-CN"/>
              </w:rPr>
              <w:t xml:space="preserve"> broj neutrofila ≥ 750 ćelija/μl</w:t>
            </w:r>
            <w:r w:rsidRPr="00B90281">
              <w:rPr>
                <w:rFonts w:eastAsia="Mangal"/>
                <w:sz w:val="22"/>
                <w:szCs w:val="22"/>
                <w:lang w:val="sr-Latn-ME" w:eastAsia="zh-CN"/>
              </w:rPr>
              <w:t xml:space="preserve"> i br</w:t>
            </w:r>
            <w:r w:rsidR="00DD6C78" w:rsidRPr="00B90281">
              <w:rPr>
                <w:rFonts w:eastAsia="Mangal"/>
                <w:sz w:val="22"/>
                <w:szCs w:val="22"/>
                <w:lang w:val="sr-Latn-ME" w:eastAsia="zh-CN"/>
              </w:rPr>
              <w:t>oj trombocita ≥ 25 000 ćelija/μl</w:t>
            </w:r>
            <w:r w:rsidRPr="00B90281">
              <w:rPr>
                <w:rFonts w:eastAsia="Mangal"/>
                <w:sz w:val="22"/>
                <w:szCs w:val="22"/>
                <w:lang w:val="sr-Latn-ME" w:eastAsia="zh-CN"/>
              </w:rPr>
              <w:t>.</w:t>
            </w:r>
          </w:p>
          <w:p w:rsidR="00CE1599" w:rsidRPr="00B90281" w:rsidRDefault="00CE1599" w:rsidP="00CE1599">
            <w:pPr>
              <w:numPr>
                <w:ilvl w:val="0"/>
                <w:numId w:val="19"/>
              </w:numPr>
              <w:suppressAutoHyphens/>
              <w:spacing w:after="200" w:line="276" w:lineRule="auto"/>
              <w:ind w:left="357" w:hanging="357"/>
              <w:rPr>
                <w:rFonts w:eastAsia="Mangal"/>
                <w:sz w:val="22"/>
                <w:szCs w:val="22"/>
                <w:lang w:val="sr-Latn-ME" w:eastAsia="zh-CN"/>
              </w:rPr>
            </w:pPr>
            <w:r w:rsidRPr="00B90281">
              <w:rPr>
                <w:rFonts w:eastAsia="Mangal"/>
                <w:sz w:val="22"/>
                <w:szCs w:val="22"/>
                <w:lang w:val="sr-Latn-ME" w:eastAsia="zh-CN"/>
              </w:rPr>
              <w:lastRenderedPageBreak/>
              <w:t xml:space="preserve">Ako se, nakon prestanka primjene lijeka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toksičnost ne povuče, kako je definisano iznad, lijek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se mora prestati primjenjivati.</w:t>
            </w:r>
          </w:p>
          <w:p w:rsidR="00CE1599" w:rsidRPr="00B90281" w:rsidRDefault="00CE1599" w:rsidP="00AF6060">
            <w:pPr>
              <w:numPr>
                <w:ilvl w:val="0"/>
                <w:numId w:val="20"/>
              </w:numPr>
              <w:suppressAutoHyphens/>
              <w:spacing w:after="200" w:line="276" w:lineRule="auto"/>
              <w:ind w:left="357" w:hanging="357"/>
              <w:rPr>
                <w:rFonts w:eastAsia="Mangal"/>
                <w:bCs/>
                <w:sz w:val="22"/>
                <w:szCs w:val="22"/>
                <w:lang w:val="sr-Latn-ME" w:eastAsia="en-GB"/>
              </w:rPr>
            </w:pPr>
            <w:r w:rsidRPr="00B90281">
              <w:rPr>
                <w:rFonts w:eastAsia="Mangal"/>
                <w:sz w:val="22"/>
                <w:szCs w:val="22"/>
                <w:lang w:val="sr-Latn-ME" w:eastAsia="zh-CN"/>
              </w:rPr>
              <w:t>Ako se toksičnost povuče, tj. pacijent ima apsolutni</w:t>
            </w:r>
            <w:r w:rsidR="00AF6060" w:rsidRPr="00B90281">
              <w:rPr>
                <w:rFonts w:eastAsia="Mangal"/>
                <w:sz w:val="22"/>
                <w:szCs w:val="22"/>
                <w:lang w:val="sr-Latn-ME" w:eastAsia="zh-CN"/>
              </w:rPr>
              <w:t xml:space="preserve"> broj neutrofila ≥ 750 ćelija/μl</w:t>
            </w:r>
            <w:r w:rsidRPr="00B90281">
              <w:rPr>
                <w:rFonts w:eastAsia="Mangal"/>
                <w:sz w:val="22"/>
                <w:szCs w:val="22"/>
                <w:lang w:val="sr-Latn-ME" w:eastAsia="zh-CN"/>
              </w:rPr>
              <w:t xml:space="preserve"> i broj trombocita ≥ 25 000 ćelija/μ</w:t>
            </w:r>
            <w:r w:rsidR="00AF6060" w:rsidRPr="00B90281">
              <w:rPr>
                <w:rFonts w:eastAsia="Mangal"/>
                <w:sz w:val="22"/>
                <w:szCs w:val="22"/>
                <w:lang w:val="sr-Latn-ME" w:eastAsia="zh-CN"/>
              </w:rPr>
              <w:t>l</w:t>
            </w:r>
            <w:r w:rsidRPr="00B90281">
              <w:rPr>
                <w:rFonts w:eastAsia="Mangal"/>
                <w:sz w:val="22"/>
                <w:szCs w:val="22"/>
                <w:lang w:val="sr-Latn-ME" w:eastAsia="zh-CN"/>
              </w:rPr>
              <w:t xml:space="preserve">, lijek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se može ponovo uvesti u dozi smanjenoj za jedan  dozni nivo (sa 1,3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na 1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ili sa 1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na 0,7 mg/m</w:t>
            </w:r>
            <w:r w:rsidRPr="00B90281">
              <w:rPr>
                <w:rFonts w:eastAsia="Mangal"/>
                <w:sz w:val="22"/>
                <w:szCs w:val="22"/>
                <w:vertAlign w:val="superscript"/>
                <w:lang w:val="sr-Latn-ME" w:eastAsia="zh-CN"/>
              </w:rPr>
              <w:t>2</w:t>
            </w:r>
            <w:r w:rsidRPr="00B90281">
              <w:rPr>
                <w:rFonts w:eastAsia="Mangal"/>
                <w:sz w:val="22"/>
                <w:szCs w:val="22"/>
                <w:lang w:val="sr-Latn-ME" w:eastAsia="zh-CN"/>
              </w:rPr>
              <w:t>).</w:t>
            </w:r>
          </w:p>
        </w:tc>
      </w:tr>
      <w:tr w:rsidR="00CE1599" w:rsidRPr="00B90281" w:rsidTr="00022D95">
        <w:tc>
          <w:tcPr>
            <w:tcW w:w="2503" w:type="pct"/>
            <w:tcBorders>
              <w:left w:val="nil"/>
              <w:bottom w:val="double" w:sz="12" w:space="0" w:color="auto"/>
            </w:tcBorders>
            <w:shd w:val="clear" w:color="auto" w:fill="auto"/>
          </w:tcPr>
          <w:p w:rsidR="00CE1599" w:rsidRPr="00B90281" w:rsidRDefault="00CE1599" w:rsidP="00CE1599">
            <w:pPr>
              <w:numPr>
                <w:ilvl w:val="0"/>
                <w:numId w:val="21"/>
              </w:numPr>
              <w:suppressAutoHyphens/>
              <w:spacing w:after="200" w:line="276" w:lineRule="auto"/>
              <w:ind w:left="357" w:hanging="357"/>
              <w:rPr>
                <w:rFonts w:eastAsia="Mangal"/>
                <w:bCs/>
                <w:sz w:val="22"/>
                <w:szCs w:val="22"/>
                <w:lang w:val="sr-Latn-ME" w:eastAsia="en-GB"/>
              </w:rPr>
            </w:pPr>
            <w:r w:rsidRPr="00B90281">
              <w:rPr>
                <w:rFonts w:eastAsia="Mangal"/>
                <w:sz w:val="22"/>
                <w:szCs w:val="22"/>
                <w:lang w:val="sr-Latn-ME" w:eastAsia="zh-CN"/>
              </w:rPr>
              <w:lastRenderedPageBreak/>
              <w:t>Ako je br</w:t>
            </w:r>
            <w:r w:rsidR="006E6EB8" w:rsidRPr="00B90281">
              <w:rPr>
                <w:rFonts w:eastAsia="Mangal"/>
                <w:sz w:val="22"/>
                <w:szCs w:val="22"/>
                <w:lang w:val="sr-Latn-ME" w:eastAsia="zh-CN"/>
              </w:rPr>
              <w:t>oj trombocita &lt; 25 000 ćelija/μl</w:t>
            </w:r>
            <w:r w:rsidRPr="00B90281">
              <w:rPr>
                <w:rFonts w:eastAsia="Mangal"/>
                <w:sz w:val="22"/>
                <w:szCs w:val="22"/>
                <w:lang w:val="sr-Latn-ME" w:eastAsia="zh-CN"/>
              </w:rPr>
              <w:t xml:space="preserve"> ili apsolutni</w:t>
            </w:r>
            <w:r w:rsidR="006E6EB8" w:rsidRPr="00B90281">
              <w:rPr>
                <w:rFonts w:eastAsia="Mangal"/>
                <w:sz w:val="22"/>
                <w:szCs w:val="22"/>
                <w:lang w:val="sr-Latn-ME" w:eastAsia="zh-CN"/>
              </w:rPr>
              <w:t xml:space="preserve"> broj neutrofila &lt; 750 ćelija/μl</w:t>
            </w:r>
            <w:r w:rsidRPr="00B90281">
              <w:rPr>
                <w:rFonts w:eastAsia="Mangal"/>
                <w:sz w:val="22"/>
                <w:szCs w:val="22"/>
                <w:lang w:val="sr-Latn-ME" w:eastAsia="zh-CN"/>
              </w:rPr>
              <w:t xml:space="preserve"> na dan primjene doze lijeka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(različit od 1. dana svakog ciklusa)</w:t>
            </w:r>
          </w:p>
        </w:tc>
        <w:tc>
          <w:tcPr>
            <w:tcW w:w="2497" w:type="pct"/>
            <w:tcBorders>
              <w:bottom w:val="double" w:sz="12" w:space="0" w:color="auto"/>
              <w:right w:val="nil"/>
            </w:tcBorders>
            <w:shd w:val="clear" w:color="auto" w:fill="auto"/>
          </w:tcPr>
          <w:p w:rsidR="00CE1599" w:rsidRPr="00B90281" w:rsidRDefault="00CE1599" w:rsidP="00CE1599">
            <w:pPr>
              <w:suppressAutoHyphens/>
              <w:spacing w:after="200"/>
              <w:rPr>
                <w:rFonts w:eastAsia="Mangal"/>
                <w:bCs/>
                <w:sz w:val="22"/>
                <w:szCs w:val="22"/>
                <w:lang w:val="sr-Latn-ME" w:eastAsia="en-GB"/>
              </w:rPr>
            </w:pPr>
            <w:r w:rsidRPr="00B90281">
              <w:rPr>
                <w:rFonts w:eastAsia="Mangal"/>
                <w:bCs/>
                <w:sz w:val="22"/>
                <w:szCs w:val="22"/>
                <w:lang w:val="sr-Latn-ME" w:eastAsia="en-GB"/>
              </w:rPr>
              <w:t xml:space="preserve">Terapija lijekom Bortezomib </w:t>
            </w:r>
            <w:r w:rsidR="00640DA2" w:rsidRPr="00B90281">
              <w:rPr>
                <w:rFonts w:eastAsia="Mangal"/>
                <w:bCs/>
                <w:sz w:val="22"/>
                <w:szCs w:val="22"/>
                <w:lang w:val="sr-Latn-ME" w:eastAsia="en-GB"/>
              </w:rPr>
              <w:t>Accord</w:t>
            </w:r>
            <w:r w:rsidRPr="00B90281">
              <w:rPr>
                <w:rFonts w:eastAsia="Mangal"/>
                <w:bCs/>
                <w:sz w:val="22"/>
                <w:szCs w:val="22"/>
                <w:lang w:val="sr-Latn-ME" w:eastAsia="en-GB"/>
              </w:rPr>
              <w:t xml:space="preserve"> se mora prekinuti</w:t>
            </w:r>
          </w:p>
          <w:p w:rsidR="00CE1599" w:rsidRPr="00B90281" w:rsidRDefault="00CE1599" w:rsidP="00CE1599">
            <w:pPr>
              <w:suppressAutoHyphens/>
              <w:spacing w:after="200"/>
              <w:rPr>
                <w:rFonts w:eastAsia="Mangal"/>
                <w:bCs/>
                <w:sz w:val="22"/>
                <w:szCs w:val="22"/>
                <w:lang w:val="sr-Latn-ME" w:eastAsia="en-GB"/>
              </w:rPr>
            </w:pPr>
          </w:p>
        </w:tc>
      </w:tr>
      <w:tr w:rsidR="00CE1599" w:rsidRPr="00B90281" w:rsidTr="00022D95">
        <w:tc>
          <w:tcPr>
            <w:tcW w:w="2503" w:type="pct"/>
            <w:tcBorders>
              <w:top w:val="double" w:sz="12" w:space="0" w:color="auto"/>
              <w:left w:val="nil"/>
              <w:bottom w:val="single" w:sz="18" w:space="0" w:color="auto"/>
            </w:tcBorders>
            <w:shd w:val="clear" w:color="auto" w:fill="auto"/>
          </w:tcPr>
          <w:p w:rsidR="00CE1599" w:rsidRPr="00B90281" w:rsidRDefault="00CE1599" w:rsidP="00CE1599">
            <w:pPr>
              <w:suppressAutoHyphens/>
              <w:spacing w:after="200"/>
              <w:rPr>
                <w:rFonts w:eastAsia="Mangal"/>
                <w:bCs/>
                <w:i/>
                <w:sz w:val="22"/>
                <w:szCs w:val="22"/>
                <w:lang w:val="sr-Latn-ME" w:eastAsia="en-GB"/>
              </w:rPr>
            </w:pPr>
            <w:r w:rsidRPr="00B90281">
              <w:rPr>
                <w:rFonts w:eastAsia="Mangal"/>
                <w:i/>
                <w:sz w:val="22"/>
                <w:szCs w:val="22"/>
                <w:lang w:val="sr-Latn-ME" w:eastAsia="zh-CN"/>
              </w:rPr>
              <w:t xml:space="preserve">Nehematološke toksičnosti stepena ≥ 3 za koje se smatra da su povezane sa bortezomibom </w:t>
            </w:r>
          </w:p>
        </w:tc>
        <w:tc>
          <w:tcPr>
            <w:tcW w:w="2497" w:type="pct"/>
            <w:tcBorders>
              <w:top w:val="double" w:sz="12" w:space="0" w:color="auto"/>
              <w:bottom w:val="single" w:sz="18" w:space="0" w:color="auto"/>
              <w:right w:val="nil"/>
            </w:tcBorders>
            <w:shd w:val="clear" w:color="auto" w:fill="auto"/>
          </w:tcPr>
          <w:p w:rsidR="00CE1599" w:rsidRPr="00B90281" w:rsidRDefault="00CE1599" w:rsidP="00CE1599">
            <w:pPr>
              <w:suppressAutoHyphens/>
              <w:spacing w:after="200"/>
              <w:rPr>
                <w:rFonts w:eastAsia="Mangal"/>
                <w:sz w:val="22"/>
                <w:szCs w:val="22"/>
                <w:lang w:val="sr-Latn-ME" w:eastAsia="zh-CN"/>
              </w:rPr>
            </w:pPr>
            <w:r w:rsidRPr="00B90281">
              <w:rPr>
                <w:rFonts w:eastAsia="Mangal"/>
                <w:sz w:val="22"/>
                <w:szCs w:val="22"/>
                <w:lang w:val="sr-Latn-ME" w:eastAsia="zh-CN"/>
              </w:rPr>
              <w:t xml:space="preserve">Liječenje lijekom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mora se prekinuti dok se simptomi toksičnosti ne povuku do drugog stepena ili manjeg. Nakon toga, lijek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se može ponovo uvesti u dozi smanjenoj za jedan dozni nivo (sa 1,3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na 1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ili sa 1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na 0,7 mg/m</w:t>
            </w:r>
            <w:r w:rsidRPr="00B90281">
              <w:rPr>
                <w:rFonts w:eastAsia="Mangal"/>
                <w:sz w:val="22"/>
                <w:szCs w:val="22"/>
                <w:vertAlign w:val="superscript"/>
                <w:lang w:val="sr-Latn-ME" w:eastAsia="zh-CN"/>
              </w:rPr>
              <w:t>2</w:t>
            </w:r>
            <w:r w:rsidRPr="00B90281">
              <w:rPr>
                <w:rFonts w:eastAsia="Mangal"/>
                <w:sz w:val="22"/>
                <w:szCs w:val="22"/>
                <w:lang w:val="sr-Latn-ME" w:eastAsia="zh-CN"/>
              </w:rPr>
              <w:t xml:space="preserve">). U slučaju neuropatskog bola povezanog  sa bortezomibom i/ili periferne neuropatije, pričekajte sa primjenom i/ili prilagodite dozu lijeka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kako je prikazano u Tabeli 1.</w:t>
            </w:r>
          </w:p>
        </w:tc>
      </w:tr>
    </w:tbl>
    <w:p w:rsidR="00CE1599" w:rsidRPr="00B90281" w:rsidRDefault="00CE1599" w:rsidP="00CE1599">
      <w:pPr>
        <w:suppressAutoHyphens/>
        <w:autoSpaceDE w:val="0"/>
        <w:rPr>
          <w:rFonts w:eastAsia="Arial"/>
          <w:color w:val="000000"/>
          <w:sz w:val="22"/>
          <w:szCs w:val="22"/>
          <w:lang w:val="sr-Latn-ME" w:eastAsia="hr-HR"/>
        </w:rPr>
      </w:pPr>
    </w:p>
    <w:p w:rsidR="00CE1599" w:rsidRPr="00B90281" w:rsidRDefault="00CE1599" w:rsidP="00CE1599">
      <w:pPr>
        <w:suppressAutoHyphens/>
        <w:autoSpaceDE w:val="0"/>
        <w:jc w:val="both"/>
        <w:rPr>
          <w:rFonts w:eastAsia="Mangal"/>
          <w:sz w:val="22"/>
          <w:szCs w:val="22"/>
          <w:lang w:val="sr-Latn-ME" w:eastAsia="zh-CN"/>
        </w:rPr>
      </w:pPr>
      <w:r w:rsidRPr="00B90281">
        <w:rPr>
          <w:rFonts w:eastAsia="Mangal"/>
          <w:sz w:val="22"/>
          <w:szCs w:val="22"/>
          <w:lang w:val="sr-Latn-ME" w:eastAsia="zh-CN"/>
        </w:rPr>
        <w:t xml:space="preserve">Dodatno, kada se lijek Bortezomib </w:t>
      </w:r>
      <w:r w:rsidR="00640DA2" w:rsidRPr="00B90281">
        <w:rPr>
          <w:rFonts w:eastAsia="Mangal"/>
          <w:sz w:val="22"/>
          <w:szCs w:val="22"/>
          <w:lang w:val="sr-Latn-ME" w:eastAsia="zh-CN"/>
        </w:rPr>
        <w:t>Accord</w:t>
      </w:r>
      <w:r w:rsidRPr="00B90281">
        <w:rPr>
          <w:rFonts w:eastAsia="Mangal"/>
          <w:sz w:val="22"/>
          <w:szCs w:val="22"/>
          <w:lang w:val="sr-Latn-ME" w:eastAsia="zh-CN"/>
        </w:rPr>
        <w:t xml:space="preserve"> daje u kombinaciji sa drugim hemioterapeuticima, u slučaju toksičnosti, treba razmotriti adekvatno smanjenje doze tih ljekova, a u skladu sa preporukama iz  odgovarajućeg Sažetka karakteristika lijeka.</w:t>
      </w:r>
    </w:p>
    <w:p w:rsidR="00CE1599" w:rsidRPr="00B90281" w:rsidRDefault="00CE1599" w:rsidP="00CE1599">
      <w:pPr>
        <w:suppressAutoHyphens/>
        <w:autoSpaceDE w:val="0"/>
        <w:jc w:val="both"/>
        <w:rPr>
          <w:rFonts w:eastAsia="Arial"/>
          <w:b/>
          <w:color w:val="000000"/>
          <w:sz w:val="22"/>
          <w:szCs w:val="22"/>
          <w:lang w:val="sr-Latn-ME" w:eastAsia="hr-HR"/>
        </w:rPr>
      </w:pPr>
    </w:p>
    <w:p w:rsidR="00CE1599" w:rsidRPr="00B90281" w:rsidRDefault="00CE1599" w:rsidP="00CE1599">
      <w:pPr>
        <w:suppressAutoHyphens/>
        <w:autoSpaceDE w:val="0"/>
        <w:jc w:val="both"/>
        <w:rPr>
          <w:rFonts w:eastAsia="Arial"/>
          <w:b/>
          <w:i/>
          <w:iCs/>
          <w:color w:val="000000"/>
          <w:sz w:val="22"/>
          <w:szCs w:val="22"/>
          <w:lang w:val="sr-Latn-ME" w:eastAsia="hr-HR"/>
        </w:rPr>
      </w:pPr>
      <w:r w:rsidRPr="00B90281">
        <w:rPr>
          <w:rFonts w:eastAsia="Arial"/>
          <w:b/>
          <w:color w:val="000000"/>
          <w:sz w:val="22"/>
          <w:szCs w:val="22"/>
          <w:u w:val="single"/>
          <w:lang w:val="sr-Latn-ME" w:eastAsia="hr-HR"/>
        </w:rPr>
        <w:t>Posebne populacije</w:t>
      </w:r>
    </w:p>
    <w:p w:rsidR="00CE1599" w:rsidRPr="00B90281" w:rsidRDefault="00CE1599" w:rsidP="00CE1599">
      <w:pPr>
        <w:suppressAutoHyphens/>
        <w:autoSpaceDE w:val="0"/>
        <w:jc w:val="both"/>
        <w:rPr>
          <w:rFonts w:eastAsia="Arial"/>
          <w:i/>
          <w:iCs/>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i/>
          <w:iCs/>
          <w:color w:val="000000"/>
          <w:sz w:val="22"/>
          <w:szCs w:val="22"/>
          <w:lang w:val="sr-Latn-ME" w:eastAsia="hr-HR"/>
        </w:rPr>
        <w:t>Stariji pacijenti</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Nema dokaza koji ukazuju da je neophodno podešavanje doze kod pacijenata starijih od 65 godina, sa multiplim mijelomom ili sa limfomom </w:t>
      </w:r>
      <w:r w:rsidRPr="00B90281">
        <w:rPr>
          <w:rFonts w:eastAsia="Arial"/>
          <w:i/>
          <w:color w:val="000000"/>
          <w:sz w:val="22"/>
          <w:szCs w:val="22"/>
          <w:lang w:val="sr-Latn-ME" w:eastAsia="hr-HR"/>
        </w:rPr>
        <w:t>mantle</w:t>
      </w:r>
      <w:r w:rsidRPr="00B90281">
        <w:rPr>
          <w:rFonts w:eastAsia="Arial"/>
          <w:color w:val="000000"/>
          <w:sz w:val="22"/>
          <w:szCs w:val="22"/>
          <w:lang w:val="sr-Latn-ME" w:eastAsia="hr-HR"/>
        </w:rPr>
        <w:t xml:space="preserve"> ćelija.</w:t>
      </w:r>
    </w:p>
    <w:p w:rsidR="00CE1599" w:rsidRPr="00B90281" w:rsidRDefault="00CE1599" w:rsidP="00CE1599">
      <w:pPr>
        <w:suppressAutoHyphens/>
        <w:autoSpaceDE w:val="0"/>
        <w:jc w:val="both"/>
        <w:rPr>
          <w:rFonts w:eastAsia="Arial"/>
          <w:i/>
          <w:iCs/>
          <w:color w:val="000000"/>
          <w:sz w:val="22"/>
          <w:szCs w:val="22"/>
          <w:lang w:val="sr-Latn-ME" w:eastAsia="hr-HR"/>
        </w:rPr>
      </w:pPr>
      <w:r w:rsidRPr="00B90281">
        <w:rPr>
          <w:rFonts w:eastAsia="Arial"/>
          <w:color w:val="000000"/>
          <w:sz w:val="22"/>
          <w:szCs w:val="22"/>
          <w:lang w:val="sr-Latn-ME" w:eastAsia="hr-HR"/>
        </w:rPr>
        <w:t>Ne postoje ispitivanja o primjeni bortezomiba kod starijih pacijenta sa prethodno neliječenim multiplim mijelomom koji ispunjavaju kriterijume za primjenu visokih doza hemioterapije uz transplantaciju hematopoetskih matičnih ćelija,</w:t>
      </w:r>
      <w:r w:rsidRPr="00B90281">
        <w:rPr>
          <w:rFonts w:eastAsia="Mangal"/>
          <w:sz w:val="22"/>
          <w:szCs w:val="22"/>
          <w:lang w:val="sr-Latn-ME" w:eastAsia="zh-CN"/>
        </w:rPr>
        <w:t xml:space="preserve"> </w:t>
      </w:r>
      <w:r w:rsidRPr="00B90281">
        <w:rPr>
          <w:rFonts w:eastAsia="Arial"/>
          <w:color w:val="000000"/>
          <w:sz w:val="22"/>
          <w:szCs w:val="22"/>
          <w:lang w:val="sr-Latn-ME" w:eastAsia="hr-HR"/>
        </w:rPr>
        <w:t>tako da ne postoje preporuke o doziranju u ovoj populaciji.</w:t>
      </w:r>
    </w:p>
    <w:p w:rsidR="00CE1599" w:rsidRPr="00B90281" w:rsidRDefault="00CE1599" w:rsidP="00CE1599">
      <w:pPr>
        <w:suppressAutoHyphens/>
        <w:autoSpaceDE w:val="0"/>
        <w:jc w:val="both"/>
        <w:rPr>
          <w:rFonts w:eastAsia="Arial"/>
          <w:iCs/>
          <w:color w:val="000000"/>
          <w:sz w:val="22"/>
          <w:szCs w:val="22"/>
          <w:lang w:val="sr-Latn-ME" w:eastAsia="hr-HR"/>
        </w:rPr>
      </w:pPr>
      <w:r w:rsidRPr="00B90281">
        <w:rPr>
          <w:rFonts w:eastAsia="Arial"/>
          <w:iCs/>
          <w:color w:val="000000"/>
          <w:sz w:val="22"/>
          <w:szCs w:val="22"/>
          <w:lang w:val="sr-Latn-ME" w:eastAsia="hr-HR"/>
        </w:rPr>
        <w:t xml:space="preserve">U ispitivanju sa pacijentima prethodno neliječenim od limfoma </w:t>
      </w:r>
      <w:r w:rsidRPr="00B90281">
        <w:rPr>
          <w:rFonts w:eastAsia="Arial"/>
          <w:i/>
          <w:iCs/>
          <w:color w:val="000000"/>
          <w:sz w:val="22"/>
          <w:szCs w:val="22"/>
          <w:lang w:val="sr-Latn-ME" w:eastAsia="hr-HR"/>
        </w:rPr>
        <w:t>mantle</w:t>
      </w:r>
      <w:r w:rsidRPr="00B90281">
        <w:rPr>
          <w:rFonts w:eastAsia="Arial"/>
          <w:iCs/>
          <w:color w:val="000000"/>
          <w:sz w:val="22"/>
          <w:szCs w:val="22"/>
          <w:lang w:val="sr-Latn-ME" w:eastAsia="hr-HR"/>
        </w:rPr>
        <w:t xml:space="preserve"> ćelija, 42,9% pacijenta koji su dobijali bortezomib</w:t>
      </w:r>
      <w:r w:rsidRPr="00B90281">
        <w:rPr>
          <w:rFonts w:eastAsia="Mangal"/>
          <w:sz w:val="22"/>
          <w:szCs w:val="22"/>
          <w:lang w:val="sr-Latn-ME" w:eastAsia="zh-CN"/>
        </w:rPr>
        <w:t xml:space="preserve"> </w:t>
      </w:r>
      <w:r w:rsidRPr="00B90281">
        <w:rPr>
          <w:rFonts w:eastAsia="Arial"/>
          <w:iCs/>
          <w:color w:val="000000"/>
          <w:sz w:val="22"/>
          <w:szCs w:val="22"/>
          <w:lang w:val="sr-Latn-ME" w:eastAsia="hr-HR"/>
        </w:rPr>
        <w:t xml:space="preserve">bilo je u starosnoj dobi između 65-74 godine, dok je 10,4% pacijenta bilo starije od 75 godina. Kod pacijenata starijih od 75 godina, oba terapijska režima, BtzR-CAP kao i R-CHOP, su bila slabije tolerisana (vidjeti </w:t>
      </w:r>
      <w:r w:rsidR="00880FCC" w:rsidRPr="00B90281">
        <w:rPr>
          <w:rFonts w:eastAsia="Arial"/>
          <w:iCs/>
          <w:color w:val="000000"/>
          <w:sz w:val="22"/>
          <w:szCs w:val="22"/>
          <w:lang w:val="sr-Latn-ME" w:eastAsia="hr-HR"/>
        </w:rPr>
        <w:t>di</w:t>
      </w:r>
      <w:r w:rsidRPr="00B90281">
        <w:rPr>
          <w:rFonts w:eastAsia="Arial"/>
          <w:iCs/>
          <w:color w:val="000000"/>
          <w:sz w:val="22"/>
          <w:szCs w:val="22"/>
          <w:lang w:val="sr-Latn-ME" w:eastAsia="hr-HR"/>
        </w:rPr>
        <w:t>o 4.8).</w:t>
      </w:r>
    </w:p>
    <w:p w:rsidR="00CE1599" w:rsidRPr="00B90281" w:rsidRDefault="00CE1599" w:rsidP="00CE1599">
      <w:pPr>
        <w:suppressAutoHyphens/>
        <w:autoSpaceDE w:val="0"/>
        <w:jc w:val="both"/>
        <w:rPr>
          <w:rFonts w:eastAsia="Arial"/>
          <w:iCs/>
          <w:color w:val="000000"/>
          <w:sz w:val="22"/>
          <w:szCs w:val="22"/>
          <w:lang w:val="sr-Latn-ME" w:eastAsia="hr-HR"/>
        </w:rPr>
      </w:pP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i/>
          <w:iCs/>
          <w:color w:val="000000"/>
          <w:sz w:val="22"/>
          <w:szCs w:val="22"/>
          <w:lang w:val="sr-Latn-ME" w:eastAsia="hr-HR"/>
        </w:rPr>
        <w:t>Oštećenje funkcije jetre</w:t>
      </w:r>
    </w:p>
    <w:p w:rsidR="00CE1599" w:rsidRPr="00B90281" w:rsidRDefault="00CE1599" w:rsidP="00CE1599">
      <w:pPr>
        <w:suppressAutoHyphens/>
        <w:autoSpaceDE w:val="0"/>
        <w:jc w:val="both"/>
        <w:rPr>
          <w:rFonts w:eastAsia="Arial"/>
          <w:color w:val="000000"/>
          <w:sz w:val="22"/>
          <w:szCs w:val="22"/>
          <w:lang w:val="sr-Latn-ME" w:eastAsia="hr-HR"/>
        </w:rPr>
      </w:pPr>
      <w:r w:rsidRPr="00B90281">
        <w:rPr>
          <w:rFonts w:eastAsia="Arial"/>
          <w:color w:val="000000"/>
          <w:sz w:val="22"/>
          <w:szCs w:val="22"/>
          <w:lang w:val="sr-Latn-ME" w:eastAsia="hr-HR"/>
        </w:rPr>
        <w:t xml:space="preserve">Pacijentima sa blagim oštećenjem funkcije jetre podešavanje doze nije potrebno i potrebno ih je liječiti preporučenim dozama. Kod pacijenata sa umjerenim ili teškim poremećajem funkcije jetre liječenje lijekom Bortezomib </w:t>
      </w:r>
      <w:r w:rsidR="00640DA2" w:rsidRPr="00B90281">
        <w:rPr>
          <w:rFonts w:eastAsia="Arial"/>
          <w:color w:val="000000"/>
          <w:sz w:val="22"/>
          <w:szCs w:val="22"/>
          <w:lang w:val="sr-Latn-ME" w:eastAsia="hr-HR"/>
        </w:rPr>
        <w:t>Accord</w:t>
      </w:r>
      <w:r w:rsidRPr="00B90281">
        <w:rPr>
          <w:rFonts w:eastAsia="Arial"/>
          <w:color w:val="000000"/>
          <w:sz w:val="22"/>
          <w:szCs w:val="22"/>
          <w:lang w:val="sr-Latn-ME" w:eastAsia="hr-HR"/>
        </w:rPr>
        <w:t xml:space="preserve"> je potrebno započeti nižom dozom od 0,7 mg/m</w:t>
      </w:r>
      <w:r w:rsidRPr="00B90281">
        <w:rPr>
          <w:rFonts w:eastAsia="Arial"/>
          <w:color w:val="000000"/>
          <w:sz w:val="22"/>
          <w:szCs w:val="22"/>
          <w:vertAlign w:val="superscript"/>
          <w:lang w:val="sr-Latn-ME" w:eastAsia="hr-HR"/>
        </w:rPr>
        <w:t xml:space="preserve">2 </w:t>
      </w:r>
      <w:r w:rsidRPr="00B90281">
        <w:rPr>
          <w:rFonts w:eastAsia="Arial"/>
          <w:color w:val="000000"/>
          <w:sz w:val="22"/>
          <w:szCs w:val="22"/>
          <w:lang w:val="sr-Latn-ME" w:eastAsia="hr-HR"/>
        </w:rPr>
        <w:t>po injekciji tokom prvog ciklusa liječenja, a naknadno se može razmotriti povećanje doze na 1,0 mg/m</w:t>
      </w:r>
      <w:r w:rsidRPr="00B90281">
        <w:rPr>
          <w:rFonts w:eastAsia="Arial"/>
          <w:color w:val="000000"/>
          <w:sz w:val="22"/>
          <w:szCs w:val="22"/>
          <w:vertAlign w:val="superscript"/>
          <w:lang w:val="sr-Latn-ME" w:eastAsia="hr-HR"/>
        </w:rPr>
        <w:t>2</w:t>
      </w:r>
      <w:r w:rsidRPr="00B90281">
        <w:rPr>
          <w:rFonts w:eastAsia="Arial"/>
          <w:color w:val="000000"/>
          <w:sz w:val="22"/>
          <w:szCs w:val="22"/>
          <w:lang w:val="sr-Latn-ME" w:eastAsia="hr-HR"/>
        </w:rPr>
        <w:t xml:space="preserve"> ili dalje smanjenje doze na 0,5 mg/</w:t>
      </w:r>
      <w:r w:rsidRPr="00B90281">
        <w:rPr>
          <w:rFonts w:eastAsia="Arial"/>
          <w:bCs/>
          <w:color w:val="000000"/>
          <w:sz w:val="22"/>
          <w:szCs w:val="22"/>
          <w:lang w:val="sr-Latn-ME" w:eastAsia="hr-HR"/>
        </w:rPr>
        <w:t>m</w:t>
      </w:r>
      <w:r w:rsidRPr="00B90281">
        <w:rPr>
          <w:rFonts w:eastAsia="Arial"/>
          <w:bCs/>
          <w:color w:val="000000"/>
          <w:sz w:val="22"/>
          <w:szCs w:val="22"/>
          <w:vertAlign w:val="superscript"/>
          <w:lang w:val="sr-Latn-ME" w:eastAsia="hr-HR"/>
        </w:rPr>
        <w:t>2</w:t>
      </w:r>
      <w:r w:rsidRPr="00B90281">
        <w:rPr>
          <w:rFonts w:eastAsia="Arial"/>
          <w:color w:val="000000"/>
          <w:sz w:val="22"/>
          <w:szCs w:val="22"/>
          <w:lang w:val="sr-Latn-ME" w:eastAsia="hr-HR"/>
        </w:rPr>
        <w:t xml:space="preserve">, na osnovu toga kako pacijent podnosi terapiju (vidjeti Tabelu 6 i </w:t>
      </w:r>
      <w:r w:rsidR="00932C4B" w:rsidRPr="00B90281">
        <w:rPr>
          <w:rFonts w:eastAsia="Arial"/>
          <w:color w:val="000000"/>
          <w:sz w:val="22"/>
          <w:szCs w:val="22"/>
          <w:lang w:val="sr-Latn-ME" w:eastAsia="hr-HR"/>
        </w:rPr>
        <w:t>djelov</w:t>
      </w:r>
      <w:r w:rsidRPr="00B90281">
        <w:rPr>
          <w:rFonts w:eastAsia="Arial"/>
          <w:color w:val="000000"/>
          <w:sz w:val="22"/>
          <w:szCs w:val="22"/>
          <w:lang w:val="sr-Latn-ME" w:eastAsia="hr-HR"/>
        </w:rPr>
        <w:t>e 4.4 i 5.2).</w:t>
      </w:r>
    </w:p>
    <w:p w:rsidR="00CE1599" w:rsidRPr="00B90281" w:rsidRDefault="00CE1599" w:rsidP="00CE1599">
      <w:pPr>
        <w:suppressAutoHyphens/>
        <w:autoSpaceDE w:val="0"/>
        <w:jc w:val="both"/>
        <w:rPr>
          <w:rFonts w:eastAsia="Arial"/>
          <w:color w:val="000000"/>
          <w:sz w:val="22"/>
          <w:szCs w:val="22"/>
          <w:lang w:val="sr-Latn-ME" w:eastAsia="hr-HR"/>
        </w:rPr>
      </w:pPr>
    </w:p>
    <w:p w:rsidR="00CE1599" w:rsidRPr="00B90281" w:rsidRDefault="00CE1599" w:rsidP="00CE1599">
      <w:pPr>
        <w:suppressAutoHyphens/>
        <w:autoSpaceDE w:val="0"/>
        <w:jc w:val="both"/>
        <w:rPr>
          <w:rFonts w:eastAsia="Arial"/>
          <w:b/>
          <w:bCs/>
          <w:color w:val="000000"/>
          <w:sz w:val="22"/>
          <w:szCs w:val="22"/>
          <w:lang w:val="sr-Latn-ME" w:eastAsia="hr-HR"/>
        </w:rPr>
      </w:pPr>
      <w:r w:rsidRPr="00B90281">
        <w:rPr>
          <w:rFonts w:eastAsia="Arial"/>
          <w:i/>
          <w:iCs/>
          <w:color w:val="000000"/>
          <w:sz w:val="22"/>
          <w:szCs w:val="22"/>
          <w:lang w:val="sr-Latn-ME" w:eastAsia="hr-HR"/>
        </w:rPr>
        <w:lastRenderedPageBreak/>
        <w:t xml:space="preserve">Tabela 6: Preporučena modifikacija početne doze lijeka Bortezomib </w:t>
      </w:r>
      <w:r w:rsidR="00640DA2" w:rsidRPr="00B90281">
        <w:rPr>
          <w:rFonts w:eastAsia="Arial"/>
          <w:i/>
          <w:iCs/>
          <w:color w:val="000000"/>
          <w:sz w:val="22"/>
          <w:szCs w:val="22"/>
          <w:lang w:val="sr-Latn-ME" w:eastAsia="hr-HR"/>
        </w:rPr>
        <w:t>Accord</w:t>
      </w:r>
      <w:r w:rsidRPr="00B90281">
        <w:rPr>
          <w:rFonts w:eastAsia="Arial"/>
          <w:i/>
          <w:iCs/>
          <w:color w:val="000000"/>
          <w:sz w:val="22"/>
          <w:szCs w:val="22"/>
          <w:lang w:val="sr-Latn-ME" w:eastAsia="hr-HR"/>
        </w:rPr>
        <w:t xml:space="preserve"> </w:t>
      </w:r>
      <w:r w:rsidRPr="00B90281">
        <w:rPr>
          <w:rFonts w:eastAsia="Arial"/>
          <w:i/>
          <w:color w:val="000000"/>
          <w:sz w:val="22"/>
          <w:szCs w:val="22"/>
          <w:lang w:val="sr-Latn-ME" w:eastAsia="hr-HR"/>
        </w:rPr>
        <w:t xml:space="preserve">kod </w:t>
      </w:r>
      <w:r w:rsidRPr="00B90281">
        <w:rPr>
          <w:rFonts w:eastAsia="Arial"/>
          <w:i/>
          <w:iCs/>
          <w:color w:val="000000"/>
          <w:sz w:val="22"/>
          <w:szCs w:val="22"/>
          <w:lang w:val="sr-Latn-ME" w:eastAsia="hr-HR"/>
        </w:rPr>
        <w:t>pacijenata sporemećajem funkcije jetre</w:t>
      </w:r>
    </w:p>
    <w:tbl>
      <w:tblPr>
        <w:tblW w:w="5000" w:type="pct"/>
        <w:tblLook w:val="0000" w:firstRow="0" w:lastRow="0" w:firstColumn="0" w:lastColumn="0" w:noHBand="0" w:noVBand="0"/>
      </w:tblPr>
      <w:tblGrid>
        <w:gridCol w:w="1925"/>
        <w:gridCol w:w="2081"/>
        <w:gridCol w:w="1949"/>
        <w:gridCol w:w="3120"/>
      </w:tblGrid>
      <w:tr w:rsidR="00CE1599" w:rsidRPr="00B90281" w:rsidTr="0025633D">
        <w:tc>
          <w:tcPr>
            <w:tcW w:w="106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Stepen oštećenja jetre*</w:t>
            </w:r>
          </w:p>
        </w:tc>
        <w:tc>
          <w:tcPr>
            <w:tcW w:w="1146"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Koncentracija bilirubina</w:t>
            </w:r>
          </w:p>
        </w:tc>
        <w:tc>
          <w:tcPr>
            <w:tcW w:w="107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Koncentracije SGOT</w:t>
            </w:r>
          </w:p>
          <w:p w:rsidR="00CE1599" w:rsidRPr="00B90281" w:rsidRDefault="00CE1599" w:rsidP="00CE1599">
            <w:pPr>
              <w:suppressAutoHyphens/>
              <w:autoSpaceDE w:val="0"/>
              <w:jc w:val="center"/>
              <w:rPr>
                <w:rFonts w:eastAsia="Arial"/>
                <w:b/>
                <w:bCs/>
                <w:color w:val="000000"/>
                <w:sz w:val="22"/>
                <w:szCs w:val="22"/>
                <w:lang w:val="sr-Latn-ME" w:eastAsia="hr-HR"/>
              </w:rPr>
            </w:pPr>
            <w:r w:rsidRPr="00B90281">
              <w:rPr>
                <w:rFonts w:eastAsia="Arial"/>
                <w:b/>
                <w:bCs/>
                <w:color w:val="000000"/>
                <w:sz w:val="22"/>
                <w:szCs w:val="22"/>
                <w:lang w:val="sr-Latn-ME" w:eastAsia="hr-HR"/>
              </w:rPr>
              <w:t>(AST)</w:t>
            </w:r>
          </w:p>
          <w:p w:rsidR="00CE1599" w:rsidRPr="00B90281" w:rsidRDefault="00CE1599" w:rsidP="00CE1599">
            <w:pPr>
              <w:suppressAutoHyphens/>
              <w:autoSpaceDE w:val="0"/>
              <w:jc w:val="center"/>
              <w:rPr>
                <w:rFonts w:eastAsia="Arial"/>
                <w:b/>
                <w:bCs/>
                <w:color w:val="000000"/>
                <w:sz w:val="22"/>
                <w:szCs w:val="22"/>
                <w:lang w:val="sr-Latn-ME" w:eastAsia="hr-HR"/>
              </w:rPr>
            </w:pP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
                <w:bCs/>
                <w:color w:val="000000"/>
                <w:sz w:val="22"/>
                <w:szCs w:val="22"/>
                <w:lang w:val="sr-Latn-ME" w:eastAsia="hr-HR"/>
              </w:rPr>
              <w:t>Prilagođavanje početne doze</w:t>
            </w:r>
          </w:p>
        </w:tc>
      </w:tr>
      <w:tr w:rsidR="00CE1599" w:rsidRPr="00B90281" w:rsidTr="0025633D">
        <w:tc>
          <w:tcPr>
            <w:tcW w:w="1060" w:type="pct"/>
            <w:vMerge w:val="restar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Cs/>
                <w:color w:val="000000"/>
                <w:sz w:val="22"/>
                <w:szCs w:val="22"/>
                <w:lang w:val="sr-Latn-ME" w:eastAsia="hr-HR"/>
              </w:rPr>
            </w:pPr>
            <w:r w:rsidRPr="00B90281">
              <w:rPr>
                <w:rFonts w:eastAsia="Arial"/>
                <w:bCs/>
                <w:color w:val="000000"/>
                <w:sz w:val="22"/>
                <w:szCs w:val="22"/>
                <w:lang w:val="sr-Latn-ME" w:eastAsia="hr-HR"/>
              </w:rPr>
              <w:t>blago</w:t>
            </w:r>
          </w:p>
          <w:p w:rsidR="00CE1599" w:rsidRPr="00B90281" w:rsidRDefault="00CE1599" w:rsidP="00CE1599">
            <w:pPr>
              <w:suppressAutoHyphens/>
              <w:autoSpaceDE w:val="0"/>
              <w:rPr>
                <w:rFonts w:eastAsia="Arial"/>
                <w:bCs/>
                <w:color w:val="000000"/>
                <w:sz w:val="22"/>
                <w:szCs w:val="22"/>
                <w:lang w:val="sr-Latn-ME" w:eastAsia="hr-HR"/>
              </w:rPr>
            </w:pPr>
          </w:p>
        </w:tc>
        <w:tc>
          <w:tcPr>
            <w:tcW w:w="1146"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bCs/>
                <w:color w:val="000000"/>
                <w:sz w:val="22"/>
                <w:szCs w:val="22"/>
                <w:lang w:val="sr-Latn-ME" w:eastAsia="hr-HR"/>
              </w:rPr>
              <w:t xml:space="preserve">≤ </w:t>
            </w:r>
            <w:r w:rsidRPr="00B90281">
              <w:rPr>
                <w:rFonts w:eastAsia="Arial"/>
                <w:bCs/>
                <w:color w:val="000000"/>
                <w:sz w:val="22"/>
                <w:szCs w:val="22"/>
                <w:lang w:val="sr-Latn-ME" w:eastAsia="hr-HR"/>
              </w:rPr>
              <w:t>1,0x ULN</w:t>
            </w:r>
          </w:p>
        </w:tc>
        <w:tc>
          <w:tcPr>
            <w:tcW w:w="107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&gt; ULN</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nema</w:t>
            </w:r>
          </w:p>
          <w:p w:rsidR="00CE1599" w:rsidRPr="00B90281" w:rsidRDefault="00CE1599" w:rsidP="00CE1599">
            <w:pPr>
              <w:suppressAutoHyphens/>
              <w:autoSpaceDE w:val="0"/>
              <w:jc w:val="center"/>
              <w:rPr>
                <w:rFonts w:eastAsia="Arial"/>
                <w:bCs/>
                <w:color w:val="000000"/>
                <w:sz w:val="22"/>
                <w:szCs w:val="22"/>
                <w:lang w:val="sr-Latn-ME" w:eastAsia="hr-HR"/>
              </w:rPr>
            </w:pPr>
          </w:p>
        </w:tc>
      </w:tr>
      <w:tr w:rsidR="00CE1599" w:rsidRPr="00B90281" w:rsidTr="0025633D">
        <w:tc>
          <w:tcPr>
            <w:tcW w:w="1060" w:type="pct"/>
            <w:vMerge/>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snapToGrid w:val="0"/>
              <w:rPr>
                <w:rFonts w:eastAsia="Arial"/>
                <w:bCs/>
                <w:color w:val="000000"/>
                <w:sz w:val="22"/>
                <w:szCs w:val="22"/>
                <w:lang w:val="sr-Latn-ME" w:eastAsia="hr-HR"/>
              </w:rPr>
            </w:pPr>
          </w:p>
        </w:tc>
        <w:tc>
          <w:tcPr>
            <w:tcW w:w="1146"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&gt; 1,0x-1,5x ULN</w:t>
            </w:r>
          </w:p>
        </w:tc>
        <w:tc>
          <w:tcPr>
            <w:tcW w:w="107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bilo koja</w:t>
            </w:r>
          </w:p>
        </w:tc>
        <w:tc>
          <w:tcPr>
            <w:tcW w:w="1719" w:type="pc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jc w:val="center"/>
              <w:rPr>
                <w:rFonts w:eastAsia="Mangal"/>
                <w:sz w:val="22"/>
                <w:szCs w:val="22"/>
                <w:lang w:val="sr-Latn-ME" w:eastAsia="zh-CN"/>
              </w:rPr>
            </w:pPr>
            <w:r w:rsidRPr="00B90281">
              <w:rPr>
                <w:rFonts w:eastAsia="Arial"/>
                <w:bCs/>
                <w:color w:val="000000"/>
                <w:sz w:val="22"/>
                <w:szCs w:val="22"/>
                <w:lang w:val="sr-Latn-ME" w:eastAsia="hr-HR"/>
              </w:rPr>
              <w:t>nema</w:t>
            </w:r>
          </w:p>
        </w:tc>
      </w:tr>
      <w:tr w:rsidR="00CE1599" w:rsidRPr="00B90281" w:rsidTr="0025633D">
        <w:tc>
          <w:tcPr>
            <w:tcW w:w="106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Cs/>
                <w:color w:val="000000"/>
                <w:sz w:val="22"/>
                <w:szCs w:val="22"/>
                <w:lang w:val="sr-Latn-ME" w:eastAsia="hr-HR"/>
              </w:rPr>
            </w:pPr>
            <w:r w:rsidRPr="00B90281">
              <w:rPr>
                <w:rFonts w:eastAsia="Arial"/>
                <w:bCs/>
                <w:color w:val="000000"/>
                <w:sz w:val="22"/>
                <w:szCs w:val="22"/>
                <w:lang w:val="sr-Latn-ME" w:eastAsia="hr-HR"/>
              </w:rPr>
              <w:t>umjereno</w:t>
            </w:r>
          </w:p>
        </w:tc>
        <w:tc>
          <w:tcPr>
            <w:tcW w:w="1146"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&gt; 1,5x-3x ULN</w:t>
            </w:r>
          </w:p>
        </w:tc>
        <w:tc>
          <w:tcPr>
            <w:tcW w:w="107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bilo koja</w:t>
            </w:r>
          </w:p>
        </w:tc>
        <w:tc>
          <w:tcPr>
            <w:tcW w:w="17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rPr>
                <w:rFonts w:eastAsia="Mangal"/>
                <w:sz w:val="22"/>
                <w:szCs w:val="22"/>
                <w:lang w:val="sr-Latn-ME" w:eastAsia="zh-CN"/>
              </w:rPr>
            </w:pPr>
            <w:r w:rsidRPr="00B90281">
              <w:rPr>
                <w:rFonts w:eastAsia="Arial"/>
                <w:bCs/>
                <w:color w:val="000000"/>
                <w:sz w:val="22"/>
                <w:szCs w:val="22"/>
                <w:lang w:val="sr-Latn-ME" w:eastAsia="hr-HR"/>
              </w:rPr>
              <w:t xml:space="preserve">U prvom ciklusu liječenja smanjiti dozu lijeka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na 0,7 mg/m</w:t>
            </w:r>
            <w:r w:rsidRPr="00B90281">
              <w:rPr>
                <w:rFonts w:eastAsia="Arial"/>
                <w:bCs/>
                <w:color w:val="000000"/>
                <w:sz w:val="22"/>
                <w:szCs w:val="22"/>
                <w:vertAlign w:val="superscript"/>
                <w:lang w:val="sr-Latn-ME" w:eastAsia="hr-HR"/>
              </w:rPr>
              <w:t>2</w:t>
            </w:r>
            <w:r w:rsidRPr="00B90281">
              <w:rPr>
                <w:rFonts w:eastAsia="Arial"/>
                <w:bCs/>
                <w:color w:val="000000"/>
                <w:sz w:val="22"/>
                <w:szCs w:val="22"/>
                <w:lang w:val="sr-Latn-ME" w:eastAsia="hr-HR"/>
              </w:rPr>
              <w:t>. Razmotriti povećanje doze</w:t>
            </w:r>
            <w:r w:rsidRPr="00B90281">
              <w:rPr>
                <w:rFonts w:eastAsia="Arial"/>
                <w:bCs/>
                <w:sz w:val="22"/>
                <w:szCs w:val="22"/>
                <w:lang w:val="sr-Latn-ME" w:eastAsia="hr-HR"/>
              </w:rPr>
              <w:t xml:space="preserve"> na</w:t>
            </w:r>
            <w:r w:rsidRPr="00B90281">
              <w:rPr>
                <w:rFonts w:eastAsia="Arial"/>
                <w:bCs/>
                <w:color w:val="000000"/>
                <w:sz w:val="22"/>
                <w:szCs w:val="22"/>
                <w:lang w:val="sr-Latn-ME" w:eastAsia="hr-HR"/>
              </w:rPr>
              <w:t xml:space="preserve"> 1,0 mg/m</w:t>
            </w:r>
            <w:r w:rsidRPr="00B90281">
              <w:rPr>
                <w:rFonts w:eastAsia="Arial"/>
                <w:bCs/>
                <w:color w:val="000000"/>
                <w:sz w:val="22"/>
                <w:szCs w:val="22"/>
                <w:vertAlign w:val="superscript"/>
                <w:lang w:val="sr-Latn-ME" w:eastAsia="hr-HR"/>
              </w:rPr>
              <w:t>2</w:t>
            </w:r>
            <w:r w:rsidRPr="00B90281">
              <w:rPr>
                <w:rFonts w:eastAsia="Arial"/>
                <w:bCs/>
                <w:color w:val="000000"/>
                <w:sz w:val="22"/>
                <w:szCs w:val="22"/>
                <w:lang w:val="sr-Latn-ME" w:eastAsia="hr-HR"/>
              </w:rPr>
              <w:t xml:space="preserve"> ili dalje smanjenje doze na 0,5 mg/m</w:t>
            </w:r>
            <w:r w:rsidRPr="00B90281">
              <w:rPr>
                <w:rFonts w:eastAsia="Arial"/>
                <w:bCs/>
                <w:color w:val="000000"/>
                <w:sz w:val="22"/>
                <w:szCs w:val="22"/>
                <w:vertAlign w:val="superscript"/>
                <w:lang w:val="sr-Latn-ME" w:eastAsia="hr-HR"/>
              </w:rPr>
              <w:t>2</w:t>
            </w:r>
            <w:r w:rsidRPr="00B90281">
              <w:rPr>
                <w:rFonts w:eastAsia="Arial"/>
                <w:bCs/>
                <w:color w:val="000000"/>
                <w:sz w:val="22"/>
                <w:szCs w:val="22"/>
                <w:lang w:val="sr-Latn-ME" w:eastAsia="hr-HR"/>
              </w:rPr>
              <w:t xml:space="preserve"> u sljedećim ciklusima na osnovu toga kako pacijent podnosi terapiju.</w:t>
            </w:r>
          </w:p>
        </w:tc>
      </w:tr>
      <w:tr w:rsidR="00CE1599" w:rsidRPr="00B90281" w:rsidTr="0025633D">
        <w:tc>
          <w:tcPr>
            <w:tcW w:w="1060"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rPr>
                <w:rFonts w:eastAsia="Arial"/>
                <w:bCs/>
                <w:color w:val="000000"/>
                <w:sz w:val="22"/>
                <w:szCs w:val="22"/>
                <w:lang w:val="sr-Latn-ME" w:eastAsia="hr-HR"/>
              </w:rPr>
            </w:pPr>
            <w:r w:rsidRPr="00B90281">
              <w:rPr>
                <w:rFonts w:eastAsia="Arial"/>
                <w:bCs/>
                <w:color w:val="000000"/>
                <w:sz w:val="22"/>
                <w:szCs w:val="22"/>
                <w:lang w:val="sr-Latn-ME" w:eastAsia="hr-HR"/>
              </w:rPr>
              <w:t>teško</w:t>
            </w:r>
          </w:p>
        </w:tc>
        <w:tc>
          <w:tcPr>
            <w:tcW w:w="1146"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&gt; 3x ULN</w:t>
            </w:r>
          </w:p>
        </w:tc>
        <w:tc>
          <w:tcPr>
            <w:tcW w:w="1074" w:type="pct"/>
            <w:tcBorders>
              <w:top w:val="single" w:sz="4" w:space="0" w:color="000000"/>
              <w:left w:val="single" w:sz="4" w:space="0" w:color="000000"/>
              <w:bottom w:val="single" w:sz="4" w:space="0" w:color="000000"/>
            </w:tcBorders>
            <w:shd w:val="clear" w:color="auto" w:fill="auto"/>
          </w:tcPr>
          <w:p w:rsidR="00CE1599" w:rsidRPr="00B90281" w:rsidRDefault="00CE1599" w:rsidP="00CE1599">
            <w:pPr>
              <w:suppressAutoHyphens/>
              <w:autoSpaceDE w:val="0"/>
              <w:jc w:val="center"/>
              <w:rPr>
                <w:rFonts w:eastAsia="Arial"/>
                <w:bCs/>
                <w:color w:val="000000"/>
                <w:sz w:val="22"/>
                <w:szCs w:val="22"/>
                <w:lang w:val="sr-Latn-ME" w:eastAsia="hr-HR"/>
              </w:rPr>
            </w:pPr>
            <w:r w:rsidRPr="00B90281">
              <w:rPr>
                <w:rFonts w:eastAsia="Arial"/>
                <w:bCs/>
                <w:color w:val="000000"/>
                <w:sz w:val="22"/>
                <w:szCs w:val="22"/>
                <w:lang w:val="sr-Latn-ME" w:eastAsia="hr-HR"/>
              </w:rPr>
              <w:t>bilo koja</w:t>
            </w:r>
          </w:p>
        </w:tc>
        <w:tc>
          <w:tcPr>
            <w:tcW w:w="1719" w:type="pct"/>
            <w:vMerge/>
            <w:tcBorders>
              <w:top w:val="single" w:sz="4" w:space="0" w:color="000000"/>
              <w:left w:val="single" w:sz="4" w:space="0" w:color="000000"/>
              <w:bottom w:val="single" w:sz="4" w:space="0" w:color="000000"/>
              <w:right w:val="single" w:sz="4" w:space="0" w:color="000000"/>
            </w:tcBorders>
            <w:shd w:val="clear" w:color="auto" w:fill="auto"/>
          </w:tcPr>
          <w:p w:rsidR="00CE1599" w:rsidRPr="00B90281" w:rsidRDefault="00CE1599" w:rsidP="00CE1599">
            <w:pPr>
              <w:suppressAutoHyphens/>
              <w:autoSpaceDE w:val="0"/>
              <w:snapToGrid w:val="0"/>
              <w:rPr>
                <w:rFonts w:eastAsia="Arial"/>
                <w:bCs/>
                <w:color w:val="000000"/>
                <w:sz w:val="22"/>
                <w:szCs w:val="22"/>
                <w:lang w:val="sr-Latn-ME" w:eastAsia="hr-HR"/>
              </w:rPr>
            </w:pPr>
          </w:p>
        </w:tc>
      </w:tr>
    </w:tbl>
    <w:p w:rsidR="00CE1599" w:rsidRPr="00B90281" w:rsidRDefault="00CE1599" w:rsidP="00CE1599">
      <w:pPr>
        <w:suppressAutoHyphens/>
        <w:autoSpaceDE w:val="0"/>
        <w:rPr>
          <w:rFonts w:eastAsia="Arial"/>
          <w:bCs/>
          <w:color w:val="000000"/>
          <w:sz w:val="20"/>
          <w:szCs w:val="22"/>
          <w:lang w:val="sr-Latn-ME" w:eastAsia="hr-HR"/>
        </w:rPr>
      </w:pPr>
      <w:r w:rsidRPr="00B90281">
        <w:rPr>
          <w:rFonts w:eastAsia="Arial"/>
          <w:bCs/>
          <w:color w:val="000000"/>
          <w:sz w:val="20"/>
          <w:szCs w:val="22"/>
          <w:lang w:val="sr-Latn-ME" w:eastAsia="hr-HR"/>
        </w:rPr>
        <w:t>Skraćenice: SGOT = serumska glutamat oksaloacetat transaminaza;</w:t>
      </w:r>
    </w:p>
    <w:p w:rsidR="00CE1599" w:rsidRPr="00B90281" w:rsidRDefault="00CE1599" w:rsidP="00CE1599">
      <w:pPr>
        <w:suppressAutoHyphens/>
        <w:autoSpaceDE w:val="0"/>
        <w:rPr>
          <w:rFonts w:eastAsia="Arial"/>
          <w:bCs/>
          <w:color w:val="000000"/>
          <w:sz w:val="20"/>
          <w:szCs w:val="22"/>
          <w:lang w:val="sr-Latn-ME" w:eastAsia="hr-HR"/>
        </w:rPr>
      </w:pPr>
      <w:r w:rsidRPr="00B90281">
        <w:rPr>
          <w:rFonts w:eastAsia="Arial"/>
          <w:bCs/>
          <w:color w:val="000000"/>
          <w:sz w:val="20"/>
          <w:szCs w:val="22"/>
          <w:lang w:val="sr-Latn-ME" w:eastAsia="hr-HR"/>
        </w:rPr>
        <w:t>AST = aspartat aminotransferaza; ULN = gornja granica normalnog raspona.</w:t>
      </w:r>
    </w:p>
    <w:p w:rsidR="00CE1599" w:rsidRPr="00B90281" w:rsidRDefault="00CE1599" w:rsidP="00CE1599">
      <w:pPr>
        <w:suppressAutoHyphens/>
        <w:autoSpaceDE w:val="0"/>
        <w:jc w:val="both"/>
        <w:rPr>
          <w:rFonts w:eastAsia="Arial"/>
          <w:b/>
          <w:bCs/>
          <w:color w:val="000000"/>
          <w:sz w:val="20"/>
          <w:szCs w:val="22"/>
          <w:lang w:val="sr-Latn-ME" w:eastAsia="hr-HR"/>
        </w:rPr>
      </w:pPr>
      <w:r w:rsidRPr="00B90281">
        <w:rPr>
          <w:rFonts w:eastAsia="Arial"/>
          <w:bCs/>
          <w:color w:val="000000"/>
          <w:sz w:val="20"/>
          <w:szCs w:val="22"/>
          <w:lang w:val="sr-Latn-ME" w:eastAsia="hr-HR"/>
        </w:rPr>
        <w:t>*Zasnovano na klasifikaciji Radne grupe za poremećaj funkcije organa Nacionalnog instituta za rak za kategorizaciju oštećenja funkcije jetre (blago, umjereno, teško).</w:t>
      </w:r>
    </w:p>
    <w:p w:rsidR="00CE1599" w:rsidRPr="00B90281" w:rsidRDefault="00CE1599" w:rsidP="00CE1599">
      <w:pPr>
        <w:suppressAutoHyphens/>
        <w:autoSpaceDE w:val="0"/>
        <w:rPr>
          <w:rFonts w:eastAsia="Arial"/>
          <w:bCs/>
          <w:i/>
          <w:iCs/>
          <w:color w:val="000000"/>
          <w:sz w:val="20"/>
          <w:szCs w:val="22"/>
          <w:lang w:val="sr-Latn-ME" w:eastAsia="hr-HR"/>
        </w:rPr>
      </w:pPr>
    </w:p>
    <w:p w:rsidR="00CE1599" w:rsidRPr="00B90281" w:rsidRDefault="00CE1599" w:rsidP="00CE1599">
      <w:pPr>
        <w:suppressAutoHyphens/>
        <w:autoSpaceDE w:val="0"/>
        <w:rPr>
          <w:rFonts w:eastAsia="Arial"/>
          <w:bCs/>
          <w:color w:val="000000"/>
          <w:sz w:val="22"/>
          <w:szCs w:val="22"/>
          <w:lang w:val="sr-Latn-ME" w:eastAsia="hr-HR"/>
        </w:rPr>
      </w:pPr>
      <w:r w:rsidRPr="00B90281">
        <w:rPr>
          <w:rFonts w:eastAsia="Arial"/>
          <w:bCs/>
          <w:i/>
          <w:iCs/>
          <w:color w:val="000000"/>
          <w:sz w:val="22"/>
          <w:szCs w:val="22"/>
          <w:lang w:val="sr-Latn-ME" w:eastAsia="hr-HR"/>
        </w:rPr>
        <w:t>Oštećenje funkcije bubrega</w:t>
      </w:r>
    </w:p>
    <w:p w:rsidR="00CE1599" w:rsidRPr="00B90281" w:rsidRDefault="00CE1599" w:rsidP="00CE1599">
      <w:pPr>
        <w:suppressAutoHyphens/>
        <w:autoSpaceDE w:val="0"/>
        <w:jc w:val="both"/>
        <w:rPr>
          <w:rFonts w:eastAsia="Arial"/>
          <w:b/>
          <w:bCs/>
          <w:color w:val="000000"/>
          <w:sz w:val="22"/>
          <w:szCs w:val="22"/>
          <w:lang w:val="sr-Latn-ME" w:eastAsia="hr-HR"/>
        </w:rPr>
      </w:pPr>
      <w:r w:rsidRPr="00B90281">
        <w:rPr>
          <w:rFonts w:eastAsia="Arial"/>
          <w:bCs/>
          <w:color w:val="000000"/>
          <w:sz w:val="22"/>
          <w:szCs w:val="22"/>
          <w:lang w:val="sr-Latn-ME" w:eastAsia="hr-HR"/>
        </w:rPr>
        <w:t>Budući da se farmakokinetika bortezomiba ne mijenja kod pacijenata sa blagom do umjerenom insuficijencijom bubrega (klirens kreatinina [CrCL] &gt; 20 ml/min/1,73 m</w:t>
      </w:r>
      <w:r w:rsidRPr="00B90281">
        <w:rPr>
          <w:rFonts w:eastAsia="Arial"/>
          <w:bCs/>
          <w:color w:val="000000"/>
          <w:sz w:val="22"/>
          <w:szCs w:val="22"/>
          <w:vertAlign w:val="superscript"/>
          <w:lang w:val="sr-Latn-ME" w:eastAsia="hr-HR"/>
        </w:rPr>
        <w:t>2</w:t>
      </w:r>
      <w:r w:rsidRPr="00B90281">
        <w:rPr>
          <w:rFonts w:eastAsia="Arial"/>
          <w:bCs/>
          <w:color w:val="000000"/>
          <w:sz w:val="22"/>
          <w:szCs w:val="22"/>
          <w:lang w:val="sr-Latn-ME" w:eastAsia="hr-HR"/>
        </w:rPr>
        <w:t>), prilagođavanje doze kod ovih pacijenata nije potrebno. Nije poznato da li je farmakokinetika bortezomiba promijenjena kod pacijenata sa teškom insuficijencijom bubrega ([CrCL] &lt; 20 ml/min/1,73 m</w:t>
      </w:r>
      <w:r w:rsidRPr="00B90281">
        <w:rPr>
          <w:rFonts w:eastAsia="Arial"/>
          <w:bCs/>
          <w:color w:val="000000"/>
          <w:sz w:val="22"/>
          <w:szCs w:val="22"/>
          <w:vertAlign w:val="superscript"/>
          <w:lang w:val="sr-Latn-ME" w:eastAsia="hr-HR"/>
        </w:rPr>
        <w:t>2</w:t>
      </w:r>
      <w:r w:rsidRPr="00B90281">
        <w:rPr>
          <w:rFonts w:eastAsia="Arial"/>
          <w:bCs/>
          <w:color w:val="000000"/>
          <w:sz w:val="22"/>
          <w:szCs w:val="22"/>
          <w:lang w:val="sr-Latn-ME" w:eastAsia="hr-HR"/>
        </w:rPr>
        <w:t>),</w:t>
      </w:r>
      <w:r w:rsidRPr="00B90281">
        <w:rPr>
          <w:rFonts w:eastAsia="Mangal"/>
          <w:sz w:val="22"/>
          <w:szCs w:val="22"/>
          <w:lang w:val="sr-Latn-ME" w:eastAsia="zh-CN"/>
        </w:rPr>
        <w:t xml:space="preserve"> </w:t>
      </w:r>
      <w:r w:rsidRPr="00B90281">
        <w:rPr>
          <w:rFonts w:eastAsia="Arial"/>
          <w:bCs/>
          <w:color w:val="000000"/>
          <w:sz w:val="22"/>
          <w:szCs w:val="22"/>
          <w:lang w:val="sr-Latn-ME" w:eastAsia="hr-HR"/>
        </w:rPr>
        <w:t>koji ni</w:t>
      </w:r>
      <w:r w:rsidR="0089421B" w:rsidRPr="00B90281">
        <w:rPr>
          <w:rFonts w:eastAsia="Arial"/>
          <w:bCs/>
          <w:color w:val="000000"/>
          <w:sz w:val="22"/>
          <w:szCs w:val="22"/>
          <w:lang w:val="sr-Latn-ME" w:eastAsia="hr-HR"/>
        </w:rPr>
        <w:t>je</w:t>
      </w:r>
      <w:r w:rsidRPr="00B90281">
        <w:rPr>
          <w:rFonts w:eastAsia="Arial"/>
          <w:bCs/>
          <w:color w:val="000000"/>
          <w:sz w:val="22"/>
          <w:szCs w:val="22"/>
          <w:lang w:val="sr-Latn-ME" w:eastAsia="hr-HR"/>
        </w:rPr>
        <w:t>su na dijalizi. Budući da se tokom dijalize može</w:t>
      </w:r>
      <w:r w:rsidR="004D0266" w:rsidRPr="00B90281">
        <w:rPr>
          <w:rFonts w:eastAsia="Arial"/>
          <w:bCs/>
          <w:color w:val="000000"/>
          <w:sz w:val="22"/>
          <w:szCs w:val="22"/>
          <w:lang w:val="sr-Latn-ME" w:eastAsia="hr-HR"/>
        </w:rPr>
        <w:t xml:space="preserve"> smanjiti koncentracija lijeka </w:t>
      </w:r>
      <w:r w:rsidRPr="00B90281">
        <w:rPr>
          <w:rFonts w:eastAsia="Arial"/>
          <w:bCs/>
          <w:color w:val="000000"/>
          <w:sz w:val="22"/>
          <w:szCs w:val="22"/>
          <w:lang w:val="sr-Latn-ME" w:eastAsia="hr-HR"/>
        </w:rPr>
        <w:t xml:space="preserve">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lijek je potrebno primijeniti nakon postupka dijalize (vidjeti </w:t>
      </w:r>
      <w:r w:rsidR="004D0266" w:rsidRPr="00B90281">
        <w:rPr>
          <w:rFonts w:eastAsia="Arial"/>
          <w:bCs/>
          <w:color w:val="000000"/>
          <w:sz w:val="22"/>
          <w:szCs w:val="22"/>
          <w:lang w:val="sr-Latn-ME" w:eastAsia="hr-HR"/>
        </w:rPr>
        <w:t>di</w:t>
      </w:r>
      <w:r w:rsidRPr="00B90281">
        <w:rPr>
          <w:rFonts w:eastAsia="Arial"/>
          <w:bCs/>
          <w:color w:val="000000"/>
          <w:sz w:val="22"/>
          <w:szCs w:val="22"/>
          <w:lang w:val="sr-Latn-ME" w:eastAsia="hr-HR"/>
        </w:rPr>
        <w:t>o 5.2).</w:t>
      </w:r>
    </w:p>
    <w:p w:rsidR="00CE1599" w:rsidRPr="00B90281" w:rsidRDefault="00CE1599" w:rsidP="00CE1599">
      <w:pPr>
        <w:suppressAutoHyphens/>
        <w:autoSpaceDE w:val="0"/>
        <w:rPr>
          <w:rFonts w:eastAsia="Arial"/>
          <w:b/>
          <w:bCs/>
          <w:color w:val="000000"/>
          <w:sz w:val="22"/>
          <w:szCs w:val="22"/>
          <w:lang w:val="sr-Latn-ME" w:eastAsia="hr-HR"/>
        </w:rPr>
      </w:pPr>
    </w:p>
    <w:p w:rsidR="00CE1599" w:rsidRPr="00B90281" w:rsidRDefault="00CE1599" w:rsidP="00CE1599">
      <w:pPr>
        <w:suppressAutoHyphens/>
        <w:autoSpaceDE w:val="0"/>
        <w:rPr>
          <w:rFonts w:eastAsia="Arial"/>
          <w:bCs/>
          <w:color w:val="000000"/>
          <w:sz w:val="22"/>
          <w:szCs w:val="22"/>
          <w:lang w:val="sr-Latn-ME" w:eastAsia="hr-HR"/>
        </w:rPr>
      </w:pPr>
      <w:r w:rsidRPr="00B90281">
        <w:rPr>
          <w:rFonts w:eastAsia="Arial"/>
          <w:bCs/>
          <w:i/>
          <w:iCs/>
          <w:color w:val="000000"/>
          <w:sz w:val="22"/>
          <w:szCs w:val="22"/>
          <w:lang w:val="sr-Latn-ME" w:eastAsia="hr-HR"/>
        </w:rPr>
        <w:t>Pedijatrijska populacija</w:t>
      </w:r>
    </w:p>
    <w:p w:rsidR="00CE1599" w:rsidRPr="00B90281" w:rsidRDefault="00CE1599" w:rsidP="00CE1599">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Bezbjednost i efikasnost lijeka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kod djece uzrasta do 18 godina nije utvrđena (vidjeti </w:t>
      </w:r>
      <w:r w:rsidR="009603B8" w:rsidRPr="00B90281">
        <w:rPr>
          <w:rFonts w:eastAsia="Arial"/>
          <w:bCs/>
          <w:color w:val="000000"/>
          <w:sz w:val="22"/>
          <w:szCs w:val="22"/>
          <w:lang w:val="sr-Latn-ME" w:eastAsia="hr-HR"/>
        </w:rPr>
        <w:t>djelov</w:t>
      </w:r>
      <w:r w:rsidRPr="00B90281">
        <w:rPr>
          <w:rFonts w:eastAsia="Arial"/>
          <w:bCs/>
          <w:color w:val="000000"/>
          <w:sz w:val="22"/>
          <w:szCs w:val="22"/>
          <w:lang w:val="sr-Latn-ME" w:eastAsia="hr-HR"/>
        </w:rPr>
        <w:t xml:space="preserve">e 5.1 i 5.2). Trenutno dostupni podaci opisani su u </w:t>
      </w:r>
      <w:r w:rsidR="007619CE" w:rsidRPr="00B90281">
        <w:rPr>
          <w:rFonts w:eastAsia="Arial"/>
          <w:bCs/>
          <w:color w:val="000000"/>
          <w:sz w:val="22"/>
          <w:szCs w:val="22"/>
          <w:lang w:val="sr-Latn-ME" w:eastAsia="hr-HR"/>
        </w:rPr>
        <w:t>dijel</w:t>
      </w:r>
      <w:r w:rsidRPr="00B90281">
        <w:rPr>
          <w:rFonts w:eastAsia="Arial"/>
          <w:bCs/>
          <w:color w:val="000000"/>
          <w:sz w:val="22"/>
          <w:szCs w:val="22"/>
          <w:lang w:val="sr-Latn-ME" w:eastAsia="hr-HR"/>
        </w:rPr>
        <w:t>u 5.1, ali ne mogu se dati preporuke za doziranje.</w:t>
      </w:r>
    </w:p>
    <w:p w:rsidR="006B5E99" w:rsidRPr="00B90281" w:rsidRDefault="006B5E99" w:rsidP="00480FB1">
      <w:pPr>
        <w:tabs>
          <w:tab w:val="left" w:pos="540"/>
          <w:tab w:val="left" w:pos="569"/>
        </w:tabs>
        <w:rPr>
          <w:bCs/>
          <w:sz w:val="22"/>
          <w:szCs w:val="22"/>
          <w:u w:val="single"/>
          <w:lang w:val="sr-Latn-ME"/>
        </w:rPr>
      </w:pPr>
    </w:p>
    <w:p w:rsidR="00452E9D" w:rsidRPr="00B90281" w:rsidRDefault="00452E9D" w:rsidP="00480FB1">
      <w:pPr>
        <w:tabs>
          <w:tab w:val="left" w:pos="540"/>
          <w:tab w:val="left" w:pos="569"/>
        </w:tabs>
        <w:rPr>
          <w:bCs/>
          <w:sz w:val="22"/>
          <w:szCs w:val="22"/>
          <w:u w:val="single"/>
          <w:lang w:val="sr-Latn-ME"/>
        </w:rPr>
      </w:pPr>
      <w:r w:rsidRPr="00B90281">
        <w:rPr>
          <w:bCs/>
          <w:sz w:val="22"/>
          <w:szCs w:val="22"/>
          <w:u w:val="single"/>
          <w:lang w:val="sr-Latn-ME"/>
        </w:rPr>
        <w:t>Način primjene</w:t>
      </w:r>
    </w:p>
    <w:p w:rsidR="008F17BC" w:rsidRPr="00B90281" w:rsidRDefault="008F17BC" w:rsidP="008F17BC">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Lijek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w:t>
      </w:r>
      <w:r w:rsidR="00206D7D">
        <w:rPr>
          <w:rFonts w:eastAsia="TimesNewRoman"/>
          <w:bCs/>
          <w:color w:val="000000"/>
          <w:sz w:val="22"/>
          <w:szCs w:val="22"/>
          <w:lang w:val="sr-Latn-ME" w:eastAsia="hr-HR"/>
        </w:rPr>
        <w:t>3.5</w:t>
      </w:r>
      <w:r w:rsidRPr="00B90281">
        <w:rPr>
          <w:rFonts w:eastAsia="TimesNewRoman"/>
          <w:bCs/>
          <w:color w:val="000000"/>
          <w:sz w:val="22"/>
          <w:szCs w:val="22"/>
          <w:lang w:val="sr-Latn-ME" w:eastAsia="hr-HR"/>
        </w:rPr>
        <w:t xml:space="preserve"> mg prašak za rastvor za injekciju nami</w:t>
      </w:r>
      <w:r w:rsidR="00AA624F" w:rsidRPr="00B90281">
        <w:rPr>
          <w:rFonts w:eastAsia="TimesNewRoman"/>
          <w:bCs/>
          <w:color w:val="000000"/>
          <w:sz w:val="22"/>
          <w:szCs w:val="22"/>
          <w:lang w:val="sr-Latn-ME" w:eastAsia="hr-HR"/>
        </w:rPr>
        <w:t>jenjen je za intravensku ili sub</w:t>
      </w:r>
      <w:r w:rsidRPr="00B90281">
        <w:rPr>
          <w:rFonts w:eastAsia="TimesNewRoman"/>
          <w:bCs/>
          <w:color w:val="000000"/>
          <w:sz w:val="22"/>
          <w:szCs w:val="22"/>
          <w:lang w:val="sr-Latn-ME" w:eastAsia="hr-HR"/>
        </w:rPr>
        <w:t>kutanu primjenu.</w:t>
      </w:r>
    </w:p>
    <w:p w:rsidR="008F17BC" w:rsidRPr="00B90281" w:rsidRDefault="008F17BC" w:rsidP="008F17BC">
      <w:pPr>
        <w:suppressAutoHyphens/>
        <w:autoSpaceDE w:val="0"/>
        <w:jc w:val="both"/>
        <w:rPr>
          <w:rFonts w:eastAsia="TimesNewRoman"/>
          <w:bCs/>
          <w:color w:val="000000"/>
          <w:sz w:val="22"/>
          <w:szCs w:val="22"/>
          <w:lang w:val="sr-Latn-ME" w:eastAsia="hr-HR"/>
        </w:rPr>
      </w:pPr>
    </w:p>
    <w:p w:rsidR="008F17BC" w:rsidRPr="00B90281" w:rsidRDefault="008F17BC" w:rsidP="008F17BC">
      <w:pPr>
        <w:suppressAutoHyphens/>
        <w:autoSpaceDE w:val="0"/>
        <w:jc w:val="both"/>
        <w:rPr>
          <w:rFonts w:eastAsia="TimesNewRoman"/>
          <w:b/>
          <w:bCs/>
          <w:color w:val="000000"/>
          <w:sz w:val="22"/>
          <w:szCs w:val="22"/>
          <w:lang w:val="sr-Latn-ME" w:eastAsia="hr-HR"/>
        </w:rPr>
      </w:pPr>
      <w:r w:rsidRPr="00B90281">
        <w:rPr>
          <w:rFonts w:eastAsia="TimesNewRoman"/>
          <w:bCs/>
          <w:color w:val="000000"/>
          <w:sz w:val="22"/>
          <w:szCs w:val="22"/>
          <w:lang w:val="sr-Latn-ME" w:eastAsia="hr-HR"/>
        </w:rPr>
        <w:t xml:space="preserve">Lijek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se ne smije  primijeniti drugim putevima primjene. Intratekalna primjena dovela je do smrti.</w:t>
      </w:r>
    </w:p>
    <w:p w:rsidR="008F17BC" w:rsidRPr="00B90281" w:rsidRDefault="008F17BC" w:rsidP="008F17BC">
      <w:pPr>
        <w:suppressAutoHyphens/>
        <w:autoSpaceDE w:val="0"/>
        <w:jc w:val="both"/>
        <w:rPr>
          <w:rFonts w:eastAsia="TimesNewRoman"/>
          <w:b/>
          <w:bCs/>
          <w:color w:val="000000"/>
          <w:sz w:val="22"/>
          <w:szCs w:val="22"/>
          <w:lang w:val="sr-Latn-ME" w:eastAsia="hr-HR"/>
        </w:rPr>
      </w:pPr>
    </w:p>
    <w:p w:rsidR="00835763" w:rsidRPr="00B90281" w:rsidRDefault="00835763" w:rsidP="00835763">
      <w:pPr>
        <w:suppressAutoHyphens/>
        <w:autoSpaceDE w:val="0"/>
        <w:jc w:val="both"/>
        <w:rPr>
          <w:rFonts w:eastAsia="Arial"/>
          <w:bCs/>
          <w:color w:val="000000"/>
          <w:sz w:val="22"/>
          <w:szCs w:val="22"/>
          <w:lang w:val="sr-Latn-ME" w:eastAsia="hr-HR"/>
        </w:rPr>
      </w:pPr>
      <w:r w:rsidRPr="00B90281">
        <w:rPr>
          <w:rFonts w:eastAsia="Arial"/>
          <w:bCs/>
          <w:i/>
          <w:iCs/>
          <w:color w:val="000000"/>
          <w:sz w:val="22"/>
          <w:szCs w:val="22"/>
          <w:lang w:val="sr-Latn-ME" w:eastAsia="hr-HR"/>
        </w:rPr>
        <w:t>Intravenska injekcija</w:t>
      </w:r>
    </w:p>
    <w:p w:rsidR="00835763" w:rsidRPr="00B90281" w:rsidRDefault="00835763" w:rsidP="00835763">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Rekonstituisani rastvor praška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3.5 mg se primjenjuje kao intravenska bolus injekcija u trajanju od 3 do 5 sekundi kroz periferni ili centralni venski katete</w:t>
      </w:r>
      <w:r w:rsidR="00D6101D" w:rsidRPr="00B90281">
        <w:rPr>
          <w:rFonts w:eastAsia="Arial"/>
          <w:bCs/>
          <w:color w:val="000000"/>
          <w:sz w:val="22"/>
          <w:szCs w:val="22"/>
          <w:lang w:val="sr-Latn-ME" w:eastAsia="hr-HR"/>
        </w:rPr>
        <w:t xml:space="preserve">r, koji se potom mora isprati </w:t>
      </w:r>
      <w:r w:rsidRPr="00B90281">
        <w:rPr>
          <w:rFonts w:eastAsia="Arial"/>
          <w:bCs/>
          <w:color w:val="000000"/>
          <w:sz w:val="22"/>
          <w:szCs w:val="22"/>
          <w:lang w:val="sr-Latn-ME" w:eastAsia="hr-HR"/>
        </w:rPr>
        <w:t xml:space="preserve"> 9 mg/ml (0,9%) rastvorom natrijum hlorida za injekciju. Najmanje 72 sata mora da prođe između dvije uzastopne doze lijeka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w:t>
      </w:r>
    </w:p>
    <w:p w:rsidR="00835763" w:rsidRPr="00B90281" w:rsidRDefault="00835763" w:rsidP="00835763">
      <w:pPr>
        <w:suppressAutoHyphens/>
        <w:autoSpaceDE w:val="0"/>
        <w:jc w:val="both"/>
        <w:rPr>
          <w:rFonts w:eastAsia="Arial"/>
          <w:bCs/>
          <w:color w:val="000000"/>
          <w:sz w:val="22"/>
          <w:szCs w:val="22"/>
          <w:lang w:val="sr-Latn-ME" w:eastAsia="hr-HR"/>
        </w:rPr>
      </w:pPr>
    </w:p>
    <w:p w:rsidR="00835763" w:rsidRPr="00B90281" w:rsidRDefault="00D6101D" w:rsidP="00835763">
      <w:pPr>
        <w:suppressAutoHyphens/>
        <w:autoSpaceDE w:val="0"/>
        <w:jc w:val="both"/>
        <w:rPr>
          <w:rFonts w:eastAsia="Arial"/>
          <w:bCs/>
          <w:i/>
          <w:color w:val="000000"/>
          <w:sz w:val="22"/>
          <w:szCs w:val="22"/>
          <w:lang w:val="sr-Latn-ME" w:eastAsia="hr-HR"/>
        </w:rPr>
      </w:pPr>
      <w:r w:rsidRPr="00B90281">
        <w:rPr>
          <w:rFonts w:eastAsia="Arial"/>
          <w:bCs/>
          <w:i/>
          <w:color w:val="000000"/>
          <w:sz w:val="22"/>
          <w:szCs w:val="22"/>
          <w:lang w:val="sr-Latn-ME" w:eastAsia="hr-HR"/>
        </w:rPr>
        <w:t>Sub</w:t>
      </w:r>
      <w:r w:rsidR="00835763" w:rsidRPr="00B90281">
        <w:rPr>
          <w:rFonts w:eastAsia="Arial"/>
          <w:bCs/>
          <w:i/>
          <w:color w:val="000000"/>
          <w:sz w:val="22"/>
          <w:szCs w:val="22"/>
          <w:lang w:val="sr-Latn-ME" w:eastAsia="hr-HR"/>
        </w:rPr>
        <w:t>kutana injekcija</w:t>
      </w:r>
    </w:p>
    <w:p w:rsidR="00835763" w:rsidRPr="00B90281" w:rsidRDefault="00835763" w:rsidP="00835763">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Rekonstituisani rastvor praška Bortezomib </w:t>
      </w:r>
      <w:r w:rsidR="00640DA2" w:rsidRPr="00B90281">
        <w:rPr>
          <w:rFonts w:eastAsia="Arial"/>
          <w:bCs/>
          <w:color w:val="000000"/>
          <w:sz w:val="22"/>
          <w:szCs w:val="22"/>
          <w:lang w:val="sr-Latn-ME" w:eastAsia="hr-HR"/>
        </w:rPr>
        <w:t>Accord</w:t>
      </w:r>
      <w:r w:rsidR="00D6101D" w:rsidRPr="00B90281">
        <w:rPr>
          <w:rFonts w:eastAsia="Arial"/>
          <w:bCs/>
          <w:color w:val="000000"/>
          <w:sz w:val="22"/>
          <w:szCs w:val="22"/>
          <w:lang w:val="sr-Latn-ME" w:eastAsia="hr-HR"/>
        </w:rPr>
        <w:t>, 3.5 mg se primjenjuje sub</w:t>
      </w:r>
      <w:r w:rsidRPr="00B90281">
        <w:rPr>
          <w:rFonts w:eastAsia="Arial"/>
          <w:bCs/>
          <w:color w:val="000000"/>
          <w:sz w:val="22"/>
          <w:szCs w:val="22"/>
          <w:lang w:val="sr-Latn-ME" w:eastAsia="hr-HR"/>
        </w:rPr>
        <w:t>kutano, u butinu (lijevu ili desnu) ili u abdomen (sa lijeve ili desne strane</w:t>
      </w:r>
      <w:r w:rsidR="00D6101D" w:rsidRPr="00B90281">
        <w:rPr>
          <w:rFonts w:eastAsia="Arial"/>
          <w:bCs/>
          <w:color w:val="000000"/>
          <w:sz w:val="22"/>
          <w:szCs w:val="22"/>
          <w:lang w:val="sr-Latn-ME" w:eastAsia="hr-HR"/>
        </w:rPr>
        <w:t>). Rastvor treba injektovati sub</w:t>
      </w:r>
      <w:r w:rsidRPr="00B90281">
        <w:rPr>
          <w:rFonts w:eastAsia="Arial"/>
          <w:bCs/>
          <w:color w:val="000000"/>
          <w:sz w:val="22"/>
          <w:szCs w:val="22"/>
          <w:lang w:val="sr-Latn-ME" w:eastAsia="hr-HR"/>
        </w:rPr>
        <w:t>kutano, pod uglom od 45 do 90°. Mjesta primjene injekcije potrebno je sukcesivno rotirati.</w:t>
      </w:r>
    </w:p>
    <w:p w:rsidR="00835763" w:rsidRPr="00B90281" w:rsidRDefault="00835763" w:rsidP="00835763">
      <w:pPr>
        <w:suppressAutoHyphens/>
        <w:autoSpaceDE w:val="0"/>
        <w:jc w:val="both"/>
        <w:rPr>
          <w:rFonts w:eastAsia="Arial"/>
          <w:bCs/>
          <w:color w:val="000000"/>
          <w:sz w:val="22"/>
          <w:szCs w:val="22"/>
          <w:lang w:val="sr-Latn-ME" w:eastAsia="hr-HR"/>
        </w:rPr>
      </w:pPr>
    </w:p>
    <w:p w:rsidR="00835763" w:rsidRPr="00B90281" w:rsidRDefault="00835763" w:rsidP="00835763">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Ukoliko dođe do pojave reakcije na mjestu primjene tokom su</w:t>
      </w:r>
      <w:r w:rsidR="00D6101D" w:rsidRPr="00B90281">
        <w:rPr>
          <w:rFonts w:eastAsia="Arial"/>
          <w:bCs/>
          <w:color w:val="000000"/>
          <w:sz w:val="22"/>
          <w:szCs w:val="22"/>
          <w:lang w:val="sr-Latn-ME" w:eastAsia="hr-HR"/>
        </w:rPr>
        <w:t>b</w:t>
      </w:r>
      <w:r w:rsidRPr="00B90281">
        <w:rPr>
          <w:rFonts w:eastAsia="Arial"/>
          <w:bCs/>
          <w:color w:val="000000"/>
          <w:sz w:val="22"/>
          <w:szCs w:val="22"/>
          <w:lang w:val="sr-Latn-ME" w:eastAsia="hr-HR"/>
        </w:rPr>
        <w:t xml:space="preserve">kutane primjene rastvora lijeka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preporučuje se da se smanji koncentracija lijeka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u rastvoru prilikom davanja lijeka su</w:t>
      </w:r>
      <w:r w:rsidR="00D6101D" w:rsidRPr="00B90281">
        <w:rPr>
          <w:rFonts w:eastAsia="Arial"/>
          <w:bCs/>
          <w:color w:val="000000"/>
          <w:sz w:val="22"/>
          <w:szCs w:val="22"/>
          <w:lang w:val="sr-Latn-ME" w:eastAsia="hr-HR"/>
        </w:rPr>
        <w:t>b</w:t>
      </w:r>
      <w:r w:rsidRPr="00B90281">
        <w:rPr>
          <w:rFonts w:eastAsia="Arial"/>
          <w:bCs/>
          <w:color w:val="000000"/>
          <w:sz w:val="22"/>
          <w:szCs w:val="22"/>
          <w:lang w:val="sr-Latn-ME" w:eastAsia="hr-HR"/>
        </w:rPr>
        <w:t xml:space="preserve">kutano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w:t>
      </w:r>
      <w:r w:rsidR="00206D7D">
        <w:rPr>
          <w:rFonts w:eastAsia="Arial"/>
          <w:bCs/>
          <w:color w:val="000000"/>
          <w:sz w:val="22"/>
          <w:szCs w:val="22"/>
          <w:lang w:val="sr-Latn-ME" w:eastAsia="hr-HR"/>
        </w:rPr>
        <w:t>3.5</w:t>
      </w:r>
      <w:r w:rsidRPr="00B90281">
        <w:rPr>
          <w:rFonts w:eastAsia="Arial"/>
          <w:bCs/>
          <w:color w:val="000000"/>
          <w:sz w:val="22"/>
          <w:szCs w:val="22"/>
          <w:lang w:val="sr-Latn-ME" w:eastAsia="hr-HR"/>
        </w:rPr>
        <w:t xml:space="preserve"> mg rekonstituisati da sadrži 1 mg/ml umjesto 2,5 mg/ml) ili se preporučuje prelazak na intravensku primjenu.</w:t>
      </w:r>
    </w:p>
    <w:p w:rsidR="00835763" w:rsidRPr="00B90281" w:rsidRDefault="00835763" w:rsidP="00835763">
      <w:pPr>
        <w:suppressAutoHyphens/>
        <w:autoSpaceDE w:val="0"/>
        <w:jc w:val="both"/>
        <w:rPr>
          <w:rFonts w:eastAsia="Arial"/>
          <w:bCs/>
          <w:color w:val="000000"/>
          <w:sz w:val="22"/>
          <w:szCs w:val="22"/>
          <w:lang w:val="sr-Latn-ME" w:eastAsia="hr-HR"/>
        </w:rPr>
      </w:pPr>
    </w:p>
    <w:p w:rsidR="00835763" w:rsidRPr="00B90281" w:rsidRDefault="00835763" w:rsidP="00835763">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Kada se lijek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primjenjuje u kombinaciji sa drugim ljekovima, potražite odgovarajuće inforomacije u Sažetku karakteristika l</w:t>
      </w:r>
      <w:r w:rsidR="005D3F99" w:rsidRPr="00B90281">
        <w:rPr>
          <w:rFonts w:eastAsia="Arial"/>
          <w:bCs/>
          <w:color w:val="000000"/>
          <w:sz w:val="22"/>
          <w:szCs w:val="22"/>
          <w:lang w:val="sr-Latn-ME" w:eastAsia="hr-HR"/>
        </w:rPr>
        <w:t>ij</w:t>
      </w:r>
      <w:r w:rsidRPr="00B90281">
        <w:rPr>
          <w:rFonts w:eastAsia="Arial"/>
          <w:bCs/>
          <w:color w:val="000000"/>
          <w:sz w:val="22"/>
          <w:szCs w:val="22"/>
          <w:lang w:val="sr-Latn-ME" w:eastAsia="hr-HR"/>
        </w:rPr>
        <w:t>ek</w:t>
      </w:r>
      <w:r w:rsidR="0089421B" w:rsidRPr="00B90281">
        <w:rPr>
          <w:rFonts w:eastAsia="Arial"/>
          <w:bCs/>
          <w:color w:val="000000"/>
          <w:sz w:val="22"/>
          <w:szCs w:val="22"/>
          <w:lang w:val="sr-Latn-ME" w:eastAsia="hr-HR"/>
        </w:rPr>
        <w:t>a tih ljekova</w:t>
      </w:r>
      <w:r w:rsidRPr="00B90281">
        <w:rPr>
          <w:rFonts w:eastAsia="Arial"/>
          <w:bCs/>
          <w:color w:val="000000"/>
          <w:sz w:val="22"/>
          <w:szCs w:val="22"/>
          <w:lang w:val="sr-Latn-ME" w:eastAsia="hr-HR"/>
        </w:rPr>
        <w:t>.</w:t>
      </w:r>
    </w:p>
    <w:p w:rsidR="008F17BC" w:rsidRPr="00B90281" w:rsidRDefault="008F17BC" w:rsidP="00480FB1">
      <w:pPr>
        <w:tabs>
          <w:tab w:val="left" w:pos="540"/>
          <w:tab w:val="left" w:pos="569"/>
        </w:tabs>
        <w:rPr>
          <w:bCs/>
          <w:sz w:val="22"/>
          <w:szCs w:val="22"/>
          <w:lang w:val="sr-Latn-ME"/>
        </w:rPr>
      </w:pPr>
    </w:p>
    <w:p w:rsidR="00411B4B" w:rsidRPr="00B90281" w:rsidRDefault="00411B4B" w:rsidP="00480FB1">
      <w:pPr>
        <w:tabs>
          <w:tab w:val="left" w:pos="540"/>
          <w:tab w:val="left" w:pos="569"/>
        </w:tabs>
        <w:rPr>
          <w:b/>
          <w:bCs/>
          <w:sz w:val="22"/>
          <w:szCs w:val="22"/>
          <w:lang w:val="sr-Latn-ME"/>
        </w:rPr>
      </w:pPr>
      <w:r w:rsidRPr="00B90281">
        <w:rPr>
          <w:b/>
          <w:bCs/>
          <w:sz w:val="22"/>
          <w:szCs w:val="22"/>
          <w:lang w:val="sr-Latn-ME"/>
        </w:rPr>
        <w:t xml:space="preserve">4.3. </w:t>
      </w:r>
      <w:r w:rsidR="00480FB1" w:rsidRPr="00B90281">
        <w:rPr>
          <w:b/>
          <w:bCs/>
          <w:sz w:val="22"/>
          <w:szCs w:val="22"/>
          <w:lang w:val="sr-Latn-ME"/>
        </w:rPr>
        <w:tab/>
      </w:r>
      <w:r w:rsidRPr="00B90281">
        <w:rPr>
          <w:b/>
          <w:bCs/>
          <w:sz w:val="22"/>
          <w:szCs w:val="22"/>
          <w:lang w:val="sr-Latn-ME"/>
        </w:rPr>
        <w:t>Kontraindikacije</w:t>
      </w:r>
    </w:p>
    <w:p w:rsidR="0072020E" w:rsidRPr="00B90281" w:rsidRDefault="0072020E" w:rsidP="00480FB1">
      <w:pPr>
        <w:tabs>
          <w:tab w:val="left" w:pos="540"/>
          <w:tab w:val="left" w:pos="569"/>
        </w:tabs>
        <w:rPr>
          <w:bCs/>
          <w:sz w:val="22"/>
          <w:szCs w:val="22"/>
          <w:lang w:val="sr-Latn-ME"/>
        </w:rPr>
      </w:pPr>
    </w:p>
    <w:p w:rsidR="00A9013F" w:rsidRPr="00B90281" w:rsidRDefault="00A9013F" w:rsidP="00A9013F">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Preosjetljivost na aktivnu supstancu, na bor </w:t>
      </w:r>
      <w:r w:rsidR="00D6101D" w:rsidRPr="00B90281">
        <w:rPr>
          <w:rFonts w:eastAsia="TimesNewRoman"/>
          <w:bCs/>
          <w:color w:val="000000"/>
          <w:sz w:val="22"/>
          <w:szCs w:val="22"/>
          <w:lang w:val="sr-Latn-ME" w:eastAsia="hr-HR"/>
        </w:rPr>
        <w:t xml:space="preserve">ili neku od pomoćnih supstanci </w:t>
      </w:r>
      <w:r w:rsidRPr="00B90281">
        <w:rPr>
          <w:rFonts w:eastAsia="TimesNewRoman"/>
          <w:bCs/>
          <w:color w:val="000000"/>
          <w:sz w:val="22"/>
          <w:szCs w:val="22"/>
          <w:lang w:val="sr-Latn-ME" w:eastAsia="hr-HR"/>
        </w:rPr>
        <w:t xml:space="preserve">(navedenih u </w:t>
      </w:r>
      <w:r w:rsidR="00D6101D" w:rsidRPr="00B90281">
        <w:rPr>
          <w:rFonts w:eastAsia="TimesNewRoman"/>
          <w:bCs/>
          <w:color w:val="000000"/>
          <w:sz w:val="22"/>
          <w:szCs w:val="22"/>
          <w:lang w:val="sr-Latn-ME" w:eastAsia="hr-HR"/>
        </w:rPr>
        <w:t>dijel</w:t>
      </w:r>
      <w:r w:rsidRPr="00B90281">
        <w:rPr>
          <w:rFonts w:eastAsia="TimesNewRoman"/>
          <w:bCs/>
          <w:color w:val="000000"/>
          <w:sz w:val="22"/>
          <w:szCs w:val="22"/>
          <w:lang w:val="sr-Latn-ME" w:eastAsia="hr-HR"/>
        </w:rPr>
        <w:t>u 6.1.)</w:t>
      </w:r>
    </w:p>
    <w:p w:rsidR="00A9013F" w:rsidRPr="00B90281" w:rsidRDefault="00A9013F" w:rsidP="00A9013F">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Akutna difuzna infiltrativna oboljenja pluća i perikarda.</w:t>
      </w:r>
    </w:p>
    <w:p w:rsidR="00A9013F" w:rsidRPr="00B90281" w:rsidRDefault="00A9013F" w:rsidP="00A9013F">
      <w:pPr>
        <w:suppressAutoHyphens/>
        <w:autoSpaceDE w:val="0"/>
        <w:jc w:val="both"/>
        <w:rPr>
          <w:rFonts w:eastAsia="TimesNewRoman"/>
          <w:b/>
          <w:bCs/>
          <w:color w:val="000000"/>
          <w:sz w:val="22"/>
          <w:szCs w:val="22"/>
          <w:lang w:val="sr-Latn-ME" w:eastAsia="hr-HR"/>
        </w:rPr>
      </w:pPr>
      <w:r w:rsidRPr="00B90281">
        <w:rPr>
          <w:rFonts w:eastAsia="TimesNewRoman"/>
          <w:bCs/>
          <w:color w:val="000000"/>
          <w:sz w:val="22"/>
          <w:szCs w:val="22"/>
          <w:lang w:val="sr-Latn-ME" w:eastAsia="hr-HR"/>
        </w:rPr>
        <w:t xml:space="preserve">Kada se lijek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primjenjuje u kombinaciji sa drugim ljekovima, za dodatne kontraindikacije pogledajte Sažetak karakteristika l</w:t>
      </w:r>
      <w:r w:rsidR="005D3F99" w:rsidRPr="00B90281">
        <w:rPr>
          <w:rFonts w:eastAsia="TimesNewRoman"/>
          <w:bCs/>
          <w:color w:val="000000"/>
          <w:sz w:val="22"/>
          <w:szCs w:val="22"/>
          <w:lang w:val="sr-Latn-ME" w:eastAsia="hr-HR"/>
        </w:rPr>
        <w:t>ijeka tih ljekova</w:t>
      </w:r>
      <w:r w:rsidRPr="00B90281">
        <w:rPr>
          <w:rFonts w:eastAsia="TimesNewRoman"/>
          <w:bCs/>
          <w:color w:val="000000"/>
          <w:sz w:val="22"/>
          <w:szCs w:val="22"/>
          <w:lang w:val="sr-Latn-ME" w:eastAsia="hr-HR"/>
        </w:rPr>
        <w:t>.</w:t>
      </w:r>
    </w:p>
    <w:p w:rsidR="00A9013F" w:rsidRPr="00B90281" w:rsidRDefault="00A9013F" w:rsidP="00480FB1">
      <w:pPr>
        <w:tabs>
          <w:tab w:val="left" w:pos="540"/>
          <w:tab w:val="left" w:pos="569"/>
        </w:tabs>
        <w:rPr>
          <w:bCs/>
          <w:sz w:val="22"/>
          <w:szCs w:val="22"/>
          <w:lang w:val="sr-Latn-ME"/>
        </w:rPr>
      </w:pPr>
    </w:p>
    <w:p w:rsidR="00411B4B" w:rsidRPr="00B90281" w:rsidRDefault="00411B4B" w:rsidP="00480FB1">
      <w:pPr>
        <w:tabs>
          <w:tab w:val="left" w:pos="540"/>
          <w:tab w:val="left" w:pos="569"/>
        </w:tabs>
        <w:rPr>
          <w:b/>
          <w:bCs/>
          <w:sz w:val="22"/>
          <w:szCs w:val="22"/>
          <w:lang w:val="sr-Latn-ME"/>
        </w:rPr>
      </w:pPr>
      <w:r w:rsidRPr="00B90281">
        <w:rPr>
          <w:b/>
          <w:bCs/>
          <w:sz w:val="22"/>
          <w:szCs w:val="22"/>
          <w:lang w:val="sr-Latn-ME"/>
        </w:rPr>
        <w:t xml:space="preserve">4.4. </w:t>
      </w:r>
      <w:r w:rsidR="00480FB1" w:rsidRPr="00B90281">
        <w:rPr>
          <w:b/>
          <w:bCs/>
          <w:sz w:val="22"/>
          <w:szCs w:val="22"/>
          <w:lang w:val="sr-Latn-ME"/>
        </w:rPr>
        <w:tab/>
      </w:r>
      <w:r w:rsidRPr="00B90281">
        <w:rPr>
          <w:b/>
          <w:bCs/>
          <w:sz w:val="22"/>
          <w:szCs w:val="22"/>
          <w:lang w:val="sr-Latn-ME"/>
        </w:rPr>
        <w:t>Posebna upozorenja i mjere opreza pri upotrebi lijeka</w:t>
      </w:r>
    </w:p>
    <w:p w:rsidR="0072020E" w:rsidRPr="00B90281" w:rsidRDefault="0072020E" w:rsidP="00480FB1">
      <w:pPr>
        <w:tabs>
          <w:tab w:val="left" w:pos="540"/>
          <w:tab w:val="left" w:pos="569"/>
        </w:tabs>
        <w:rPr>
          <w:bCs/>
          <w:sz w:val="22"/>
          <w:szCs w:val="22"/>
          <w:lang w:val="sr-Latn-ME"/>
        </w:rPr>
      </w:pPr>
    </w:p>
    <w:p w:rsidR="00D52466" w:rsidRPr="00B90281" w:rsidRDefault="00D52466" w:rsidP="00D52466">
      <w:pPr>
        <w:suppressAutoHyphens/>
        <w:autoSpaceDE w:val="0"/>
        <w:jc w:val="both"/>
        <w:rPr>
          <w:rFonts w:eastAsia="Arial"/>
          <w:b/>
          <w:bCs/>
          <w:color w:val="000000"/>
          <w:sz w:val="22"/>
          <w:szCs w:val="22"/>
          <w:lang w:val="sr-Latn-ME" w:eastAsia="hr-HR"/>
        </w:rPr>
      </w:pPr>
      <w:r w:rsidRPr="00B90281">
        <w:rPr>
          <w:rFonts w:eastAsia="Arial"/>
          <w:bCs/>
          <w:color w:val="000000"/>
          <w:sz w:val="22"/>
          <w:szCs w:val="22"/>
          <w:lang w:val="sr-Latn-ME" w:eastAsia="hr-HR"/>
        </w:rPr>
        <w:t xml:space="preserve">Kada se lijek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primjenjuje u kombinaciji sa drugim ljekovima, prije započinjanja liječenja lijekom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potrebno je proučiti </w:t>
      </w:r>
      <w:r w:rsidR="001F2C9C" w:rsidRPr="00B90281">
        <w:rPr>
          <w:rFonts w:eastAsia="Arial"/>
          <w:bCs/>
          <w:color w:val="000000"/>
          <w:sz w:val="22"/>
          <w:szCs w:val="22"/>
          <w:lang w:val="sr-Latn-ME" w:eastAsia="hr-HR"/>
        </w:rPr>
        <w:t xml:space="preserve">njihove </w:t>
      </w:r>
      <w:r w:rsidRPr="00B90281">
        <w:rPr>
          <w:rFonts w:eastAsia="Arial"/>
          <w:bCs/>
          <w:color w:val="000000"/>
          <w:sz w:val="22"/>
          <w:szCs w:val="22"/>
          <w:lang w:val="sr-Latn-ME" w:eastAsia="hr-HR"/>
        </w:rPr>
        <w:t>Sažet</w:t>
      </w:r>
      <w:r w:rsidR="001F2C9C" w:rsidRPr="00B90281">
        <w:rPr>
          <w:rFonts w:eastAsia="Arial"/>
          <w:bCs/>
          <w:color w:val="000000"/>
          <w:sz w:val="22"/>
          <w:szCs w:val="22"/>
          <w:lang w:val="sr-Latn-ME" w:eastAsia="hr-HR"/>
        </w:rPr>
        <w:t>ke</w:t>
      </w:r>
      <w:r w:rsidRPr="00B90281">
        <w:rPr>
          <w:rFonts w:eastAsia="Arial"/>
          <w:bCs/>
          <w:color w:val="000000"/>
          <w:sz w:val="22"/>
          <w:szCs w:val="22"/>
          <w:lang w:val="sr-Latn-ME" w:eastAsia="hr-HR"/>
        </w:rPr>
        <w:t xml:space="preserve"> karakteristika l</w:t>
      </w:r>
      <w:r w:rsidR="001F2C9C" w:rsidRPr="00B90281">
        <w:rPr>
          <w:rFonts w:eastAsia="Arial"/>
          <w:bCs/>
          <w:color w:val="000000"/>
          <w:sz w:val="22"/>
          <w:szCs w:val="22"/>
          <w:lang w:val="sr-Latn-ME" w:eastAsia="hr-HR"/>
        </w:rPr>
        <w:t>ijeka</w:t>
      </w:r>
      <w:r w:rsidRPr="00B90281">
        <w:rPr>
          <w:rFonts w:eastAsia="Arial"/>
          <w:bCs/>
          <w:color w:val="000000"/>
          <w:sz w:val="22"/>
          <w:szCs w:val="22"/>
          <w:lang w:val="sr-Latn-ME" w:eastAsia="hr-HR"/>
        </w:rPr>
        <w:t xml:space="preserve">. Kada se primjenjuje talidomid, potrebno je posebnu pažnju usmjeriti na testiranja na trudnoću i preventivne preporuke ukoliko je potrebno (vidjeti </w:t>
      </w:r>
      <w:r w:rsidR="00BF5BFE" w:rsidRPr="00B90281">
        <w:rPr>
          <w:rFonts w:eastAsia="Arial"/>
          <w:bCs/>
          <w:color w:val="000000"/>
          <w:sz w:val="22"/>
          <w:szCs w:val="22"/>
          <w:lang w:val="sr-Latn-ME" w:eastAsia="hr-HR"/>
        </w:rPr>
        <w:t>di</w:t>
      </w:r>
      <w:r w:rsidRPr="00B90281">
        <w:rPr>
          <w:rFonts w:eastAsia="Arial"/>
          <w:bCs/>
          <w:color w:val="000000"/>
          <w:sz w:val="22"/>
          <w:szCs w:val="22"/>
          <w:lang w:val="sr-Latn-ME" w:eastAsia="hr-HR"/>
        </w:rPr>
        <w:t>o 4.6).</w:t>
      </w:r>
    </w:p>
    <w:p w:rsidR="00D52466" w:rsidRPr="00B90281" w:rsidRDefault="00D52466" w:rsidP="00D52466">
      <w:pPr>
        <w:suppressAutoHyphens/>
        <w:autoSpaceDE w:val="0"/>
        <w:rPr>
          <w:rFonts w:eastAsia="Arial"/>
          <w:b/>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t>Intratekalna primjena</w:t>
      </w:r>
    </w:p>
    <w:p w:rsidR="00D52466" w:rsidRPr="00B90281" w:rsidRDefault="00D52466" w:rsidP="00D52466">
      <w:pPr>
        <w:suppressAutoHyphens/>
        <w:autoSpaceDE w:val="0"/>
        <w:jc w:val="both"/>
        <w:rPr>
          <w:rFonts w:eastAsia="Arial"/>
          <w:b/>
          <w:bCs/>
          <w:color w:val="000000"/>
          <w:sz w:val="22"/>
          <w:szCs w:val="22"/>
          <w:lang w:val="sr-Latn-ME" w:eastAsia="hr-HR"/>
        </w:rPr>
      </w:pPr>
      <w:r w:rsidRPr="00B90281">
        <w:rPr>
          <w:rFonts w:eastAsia="Arial"/>
          <w:bCs/>
          <w:color w:val="000000"/>
          <w:sz w:val="22"/>
          <w:szCs w:val="22"/>
          <w:lang w:val="sr-Latn-ME" w:eastAsia="hr-HR"/>
        </w:rPr>
        <w:t xml:space="preserve">Nenamjerna intratekalna primjena bortezomiba dovela je do smrtnih slučajeva. Lijek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w:t>
      </w:r>
      <w:r w:rsidR="00206D7D">
        <w:rPr>
          <w:rFonts w:eastAsia="Arial"/>
          <w:bCs/>
          <w:color w:val="000000"/>
          <w:sz w:val="22"/>
          <w:szCs w:val="22"/>
          <w:lang w:val="sr-Latn-ME" w:eastAsia="hr-HR"/>
        </w:rPr>
        <w:t>3.5</w:t>
      </w:r>
      <w:r w:rsidRPr="00B90281">
        <w:rPr>
          <w:rFonts w:eastAsia="Arial"/>
          <w:bCs/>
          <w:color w:val="000000"/>
          <w:sz w:val="22"/>
          <w:szCs w:val="22"/>
          <w:lang w:val="sr-Latn-ME" w:eastAsia="hr-HR"/>
        </w:rPr>
        <w:t xml:space="preserve"> mg prašak za rastvor za injekciju primjenjuje se intravenski ili su</w:t>
      </w:r>
      <w:r w:rsidR="001A4921" w:rsidRPr="00B90281">
        <w:rPr>
          <w:rFonts w:eastAsia="Arial"/>
          <w:bCs/>
          <w:color w:val="000000"/>
          <w:sz w:val="22"/>
          <w:szCs w:val="22"/>
          <w:lang w:val="sr-Latn-ME" w:eastAsia="hr-HR"/>
        </w:rPr>
        <w:t>b</w:t>
      </w:r>
      <w:r w:rsidR="006B5193" w:rsidRPr="00B90281">
        <w:rPr>
          <w:rFonts w:eastAsia="Arial"/>
          <w:bCs/>
          <w:color w:val="000000"/>
          <w:sz w:val="22"/>
          <w:szCs w:val="22"/>
          <w:lang w:val="sr-Latn-ME" w:eastAsia="hr-HR"/>
        </w:rPr>
        <w:t>kutano</w:t>
      </w:r>
      <w:r w:rsidRPr="00B90281">
        <w:rPr>
          <w:rFonts w:eastAsia="Arial"/>
          <w:bCs/>
          <w:color w:val="000000"/>
          <w:sz w:val="22"/>
          <w:szCs w:val="22"/>
          <w:lang w:val="sr-Latn-ME" w:eastAsia="hr-HR"/>
        </w:rPr>
        <w:t xml:space="preserve">. </w:t>
      </w:r>
      <w:r w:rsidRPr="00B90281">
        <w:rPr>
          <w:rFonts w:eastAsia="Arial"/>
          <w:b/>
          <w:bCs/>
          <w:color w:val="000000"/>
          <w:sz w:val="22"/>
          <w:szCs w:val="22"/>
          <w:lang w:val="sr-Latn-ME" w:eastAsia="hr-HR"/>
        </w:rPr>
        <w:t xml:space="preserve">Lijek Bortezomib </w:t>
      </w:r>
      <w:r w:rsidR="00640DA2" w:rsidRPr="00B90281">
        <w:rPr>
          <w:rFonts w:eastAsia="Arial"/>
          <w:b/>
          <w:bCs/>
          <w:color w:val="000000"/>
          <w:sz w:val="22"/>
          <w:szCs w:val="22"/>
          <w:lang w:val="sr-Latn-ME" w:eastAsia="hr-HR"/>
        </w:rPr>
        <w:t>Accord</w:t>
      </w:r>
      <w:r w:rsidRPr="00B90281">
        <w:rPr>
          <w:rFonts w:eastAsia="Arial"/>
          <w:b/>
          <w:bCs/>
          <w:color w:val="000000"/>
          <w:sz w:val="22"/>
          <w:szCs w:val="22"/>
          <w:lang w:val="sr-Latn-ME" w:eastAsia="hr-HR"/>
        </w:rPr>
        <w:t xml:space="preserve"> ne smije se primijeniti intratekalno</w:t>
      </w:r>
      <w:r w:rsidRPr="00B90281">
        <w:rPr>
          <w:rFonts w:eastAsia="Arial"/>
          <w:bCs/>
          <w:color w:val="000000"/>
          <w:sz w:val="22"/>
          <w:szCs w:val="22"/>
          <w:lang w:val="sr-Latn-ME" w:eastAsia="hr-HR"/>
        </w:rPr>
        <w:t>.</w:t>
      </w:r>
    </w:p>
    <w:p w:rsidR="00D52466" w:rsidRPr="00B90281" w:rsidRDefault="00D52466" w:rsidP="00D52466">
      <w:pPr>
        <w:suppressAutoHyphens/>
        <w:autoSpaceDE w:val="0"/>
        <w:rPr>
          <w:rFonts w:eastAsia="Arial"/>
          <w:b/>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u w:val="single"/>
          <w:lang w:val="sr-Latn-ME" w:eastAsia="hr-HR"/>
        </w:rPr>
        <w:t>Gastrointestinalna toksičnost</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Gastrointestinalna toksičnost, uključujući mučninu, dijareju, povraćanje i opstipaciju, vrlo često se javlja kod liječenja bortezomibom. Povremeno su prijavljeni slučajevi ileusa (vidjeti </w:t>
      </w:r>
      <w:r w:rsidR="00983B46" w:rsidRPr="00B90281">
        <w:rPr>
          <w:rFonts w:eastAsia="Arial"/>
          <w:bCs/>
          <w:color w:val="000000"/>
          <w:sz w:val="22"/>
          <w:szCs w:val="22"/>
          <w:lang w:val="sr-Latn-ME" w:eastAsia="hr-HR"/>
        </w:rPr>
        <w:t>di</w:t>
      </w:r>
      <w:r w:rsidRPr="00B90281">
        <w:rPr>
          <w:rFonts w:eastAsia="Arial"/>
          <w:bCs/>
          <w:color w:val="000000"/>
          <w:sz w:val="22"/>
          <w:szCs w:val="22"/>
          <w:lang w:val="sr-Latn-ME" w:eastAsia="hr-HR"/>
        </w:rPr>
        <w:t>o 4.8). Zbog toga, pacijente kod kojih se pojavi opstipacija treba pažljivo pratiti.</w:t>
      </w:r>
    </w:p>
    <w:p w:rsidR="00D52466" w:rsidRPr="00B90281" w:rsidRDefault="00D52466" w:rsidP="00D52466">
      <w:pPr>
        <w:suppressAutoHyphens/>
        <w:autoSpaceDE w:val="0"/>
        <w:rPr>
          <w:rFonts w:eastAsia="Arial"/>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t>Hematološka toksičnost</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Terapija bortezomibom je vrlo često povezana sa hematološkim toksičnostima (trombocitopenija, neutropenija i anemija). U kliničkim ispitivanjima kod pacijenata sa relapsom multiplog mijeloma</w:t>
      </w:r>
      <w:r w:rsidR="00983B46" w:rsidRPr="00B90281">
        <w:rPr>
          <w:rFonts w:eastAsia="Arial"/>
          <w:bCs/>
          <w:color w:val="000000"/>
          <w:sz w:val="22"/>
          <w:szCs w:val="22"/>
          <w:lang w:val="sr-Latn-ME" w:eastAsia="hr-HR"/>
        </w:rPr>
        <w:t>, koji su liječeni bortezomibom</w:t>
      </w:r>
      <w:r w:rsidRPr="00B90281">
        <w:rPr>
          <w:rFonts w:eastAsia="Arial"/>
          <w:bCs/>
          <w:color w:val="000000"/>
          <w:sz w:val="22"/>
          <w:szCs w:val="22"/>
          <w:lang w:val="sr-Latn-ME" w:eastAsia="hr-HR"/>
        </w:rPr>
        <w:t xml:space="preserve"> i kod pacijenata s</w:t>
      </w:r>
      <w:r w:rsidR="00992196" w:rsidRPr="00B90281">
        <w:rPr>
          <w:rFonts w:eastAsia="Arial"/>
          <w:bCs/>
          <w:color w:val="000000"/>
          <w:sz w:val="22"/>
          <w:szCs w:val="22"/>
          <w:lang w:val="sr-Latn-ME" w:eastAsia="hr-HR"/>
        </w:rPr>
        <w:t>a</w:t>
      </w:r>
      <w:r w:rsidRPr="00B90281">
        <w:rPr>
          <w:rFonts w:eastAsia="Arial"/>
          <w:bCs/>
          <w:color w:val="000000"/>
          <w:sz w:val="22"/>
          <w:szCs w:val="22"/>
          <w:lang w:val="sr-Latn-ME" w:eastAsia="hr-HR"/>
        </w:rPr>
        <w:t xml:space="preserve"> prethodno neliječnim limfomom </w:t>
      </w:r>
      <w:r w:rsidRPr="00B90281">
        <w:rPr>
          <w:rFonts w:eastAsia="Arial"/>
          <w:bCs/>
          <w:i/>
          <w:color w:val="000000"/>
          <w:sz w:val="22"/>
          <w:szCs w:val="22"/>
          <w:lang w:val="sr-Latn-ME" w:eastAsia="hr-HR"/>
        </w:rPr>
        <w:t>mantle</w:t>
      </w:r>
      <w:r w:rsidRPr="00B90281">
        <w:rPr>
          <w:rFonts w:eastAsia="Arial"/>
          <w:bCs/>
          <w:color w:val="000000"/>
          <w:sz w:val="22"/>
          <w:szCs w:val="22"/>
          <w:lang w:val="sr-Latn-ME" w:eastAsia="hr-HR"/>
        </w:rPr>
        <w:t xml:space="preserve"> ćelija liječenih bortezomibom u kombinaciji s</w:t>
      </w:r>
      <w:r w:rsidR="00992196" w:rsidRPr="00B90281">
        <w:rPr>
          <w:rFonts w:eastAsia="Arial"/>
          <w:bCs/>
          <w:color w:val="000000"/>
          <w:sz w:val="22"/>
          <w:szCs w:val="22"/>
          <w:lang w:val="sr-Latn-ME" w:eastAsia="hr-HR"/>
        </w:rPr>
        <w:t>a</w:t>
      </w:r>
      <w:r w:rsidRPr="00B90281">
        <w:rPr>
          <w:rFonts w:eastAsia="Arial"/>
          <w:bCs/>
          <w:color w:val="000000"/>
          <w:sz w:val="22"/>
          <w:szCs w:val="22"/>
          <w:lang w:val="sr-Latn-ME" w:eastAsia="hr-HR"/>
        </w:rPr>
        <w:t xml:space="preserve"> rituksimabom, ciklofosfamidom, doksorubicinom i prednizonom (BtzR-CAP), jedna od najčešćih hematoloških toksičnosti bila je prolazna trombocitopenija.</w:t>
      </w:r>
    </w:p>
    <w:p w:rsidR="00B90281"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Broj trombocita je bio najniži 11. dana svakog ciklusa liječenja bortezomibom i obično se do sljedećeg ciklusa broj trombocita normalizovao. Nije bilo dokaza o kumulativnoj trombocitopeniji. U ispitivanju  kod pacijenata sa multiplim mijelomom liječenih jednim lijekom, najniža izmjerena srednja vrijednost broja trombocita iznosila je približno 40% početne vrijednosti, odnosno 50% u ispitivanju kod pacijenata sa limfomom </w:t>
      </w:r>
      <w:r w:rsidRPr="00B90281">
        <w:rPr>
          <w:rFonts w:eastAsia="Arial"/>
          <w:bCs/>
          <w:i/>
          <w:color w:val="000000"/>
          <w:sz w:val="22"/>
          <w:szCs w:val="22"/>
          <w:lang w:val="sr-Latn-ME" w:eastAsia="hr-HR"/>
        </w:rPr>
        <w:t>mantle</w:t>
      </w:r>
      <w:r w:rsidRPr="00B90281">
        <w:rPr>
          <w:rFonts w:eastAsia="Arial"/>
          <w:bCs/>
          <w:color w:val="000000"/>
          <w:sz w:val="22"/>
          <w:szCs w:val="22"/>
          <w:lang w:val="sr-Latn-ME" w:eastAsia="hr-HR"/>
        </w:rPr>
        <w:t xml:space="preserve"> ćelija. Kod pacijenata sa uznapredovalim mijelomom, težina trombocitopenije bila je povezana sa brojem trombocita prije započinjanja terapije: kod početnog broja trombocita &lt; 75 000/</w:t>
      </w:r>
      <w:r w:rsidRPr="00B90281">
        <w:rPr>
          <w:rFonts w:eastAsia="Mangal"/>
          <w:sz w:val="22"/>
          <w:szCs w:val="22"/>
          <w:lang w:val="sr-Latn-ME" w:eastAsia="en-GB"/>
        </w:rPr>
        <w:t>µ</w:t>
      </w:r>
      <w:r w:rsidRPr="00B90281">
        <w:rPr>
          <w:rFonts w:eastAsia="Arial"/>
          <w:bCs/>
          <w:color w:val="000000"/>
          <w:sz w:val="22"/>
          <w:szCs w:val="22"/>
          <w:lang w:val="sr-Latn-ME" w:eastAsia="hr-HR"/>
        </w:rPr>
        <w:t>l, 90% od 21 pacijenata imalo je ≤ 25 000/</w:t>
      </w:r>
      <w:r w:rsidRPr="00B90281">
        <w:rPr>
          <w:rFonts w:eastAsia="Mangal"/>
          <w:sz w:val="22"/>
          <w:szCs w:val="22"/>
          <w:lang w:val="sr-Latn-ME" w:eastAsia="en-GB"/>
        </w:rPr>
        <w:t>µ</w:t>
      </w:r>
      <w:r w:rsidRPr="00B90281">
        <w:rPr>
          <w:rFonts w:eastAsia="Arial"/>
          <w:bCs/>
          <w:color w:val="000000"/>
          <w:sz w:val="22"/>
          <w:szCs w:val="22"/>
          <w:lang w:val="sr-Latn-ME" w:eastAsia="hr-HR"/>
        </w:rPr>
        <w:t>l trombocita za vrijeme ispitivanja, uključujući njih 14% s</w:t>
      </w:r>
      <w:r w:rsidR="00992196" w:rsidRPr="00B90281">
        <w:rPr>
          <w:rFonts w:eastAsia="Arial"/>
          <w:bCs/>
          <w:color w:val="000000"/>
          <w:sz w:val="22"/>
          <w:szCs w:val="22"/>
          <w:lang w:val="sr-Latn-ME" w:eastAsia="hr-HR"/>
        </w:rPr>
        <w:t>a</w:t>
      </w:r>
      <w:r w:rsidRPr="00B90281">
        <w:rPr>
          <w:rFonts w:eastAsia="Arial"/>
          <w:bCs/>
          <w:color w:val="000000"/>
          <w:sz w:val="22"/>
          <w:szCs w:val="22"/>
          <w:lang w:val="sr-Latn-ME" w:eastAsia="hr-HR"/>
        </w:rPr>
        <w:t xml:space="preserve"> </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&lt; 10 000/</w:t>
      </w:r>
      <w:r w:rsidRPr="00B90281">
        <w:rPr>
          <w:rFonts w:eastAsia="Mangal"/>
          <w:sz w:val="22"/>
          <w:szCs w:val="22"/>
          <w:lang w:val="sr-Latn-ME" w:eastAsia="en-GB"/>
        </w:rPr>
        <w:t xml:space="preserve"> µ</w:t>
      </w:r>
      <w:r w:rsidRPr="00B90281">
        <w:rPr>
          <w:rFonts w:eastAsia="Arial"/>
          <w:bCs/>
          <w:color w:val="000000"/>
          <w:sz w:val="22"/>
          <w:szCs w:val="22"/>
          <w:lang w:val="sr-Latn-ME" w:eastAsia="hr-HR"/>
        </w:rPr>
        <w:t>l; nasuprot tome, kod početnog broja trombocita &gt; 75 000/</w:t>
      </w:r>
      <w:r w:rsidRPr="00B90281">
        <w:rPr>
          <w:rFonts w:eastAsia="Mangal"/>
          <w:sz w:val="22"/>
          <w:szCs w:val="22"/>
          <w:lang w:val="sr-Latn-ME" w:eastAsia="en-GB"/>
        </w:rPr>
        <w:t xml:space="preserve"> µ</w:t>
      </w:r>
      <w:r w:rsidRPr="00B90281">
        <w:rPr>
          <w:rFonts w:eastAsia="Arial"/>
          <w:bCs/>
          <w:color w:val="000000"/>
          <w:sz w:val="22"/>
          <w:szCs w:val="22"/>
          <w:lang w:val="sr-Latn-ME" w:eastAsia="hr-HR"/>
        </w:rPr>
        <w:t>l, samo 14% od 309 pacijenata imalo je ≤ 25 000/</w:t>
      </w:r>
      <w:r w:rsidRPr="00B90281">
        <w:rPr>
          <w:rFonts w:eastAsia="Mangal"/>
          <w:sz w:val="22"/>
          <w:szCs w:val="22"/>
          <w:lang w:val="sr-Latn-ME" w:eastAsia="en-GB"/>
        </w:rPr>
        <w:t xml:space="preserve"> µ</w:t>
      </w:r>
      <w:r w:rsidRPr="00B90281">
        <w:rPr>
          <w:rFonts w:eastAsia="Arial"/>
          <w:bCs/>
          <w:color w:val="000000"/>
          <w:sz w:val="22"/>
          <w:szCs w:val="22"/>
          <w:lang w:val="sr-Latn-ME" w:eastAsia="hr-HR"/>
        </w:rPr>
        <w:t>l trombocita za vrijeme ispitivanja.</w:t>
      </w:r>
    </w:p>
    <w:p w:rsidR="00992196" w:rsidRPr="00B90281" w:rsidRDefault="0099219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Kod pacijenata sa limfomom </w:t>
      </w:r>
      <w:r w:rsidRPr="00B90281">
        <w:rPr>
          <w:rFonts w:eastAsia="Arial"/>
          <w:bCs/>
          <w:i/>
          <w:color w:val="000000"/>
          <w:sz w:val="22"/>
          <w:szCs w:val="22"/>
          <w:lang w:val="sr-Latn-ME" w:eastAsia="hr-HR"/>
        </w:rPr>
        <w:t>mantle</w:t>
      </w:r>
      <w:r w:rsidRPr="00B90281">
        <w:rPr>
          <w:rFonts w:eastAsia="Arial"/>
          <w:bCs/>
          <w:color w:val="000000"/>
          <w:sz w:val="22"/>
          <w:szCs w:val="22"/>
          <w:lang w:val="sr-Latn-ME" w:eastAsia="hr-HR"/>
        </w:rPr>
        <w:t xml:space="preserve"> ćelija (isptivanje LYM-3002), postojala je viša incidenca (56,7% naspram 5,8%) trombocitopenije stepena ≥ 3 u grupi liječenoj bortezomibom (BtzR-CAP), u odnosu na grupu koja nije liječena bortezomibom (rituksimab, ciklofosfamid, doksorubicin, vinkristin i prednizon [R-CHOP]). Dvije liječene grupe imale su sličnu ukupnu incidencu događaja krvarenja svih stepena (6,3% u BtzR-CAP grupi i 5,0% u R-CHOP grupi) kao i stepena 3 i više za događaje krvarenja (BtzR-CAP: 4 pacijenta [1,7%]; R-CHOP: 3 pacijenta [1,2%]). U BtzR-CAP grupi, 22,5% pacijenta primilo je transfuzije trombocita u odnosu na 2,9% pacijenta u R-CHOP grupi.</w:t>
      </w:r>
    </w:p>
    <w:p w:rsidR="00992196" w:rsidRPr="00B90281" w:rsidRDefault="0099219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Gastrointestinalno i intracerebralno krvarenje bilo je prijavljeno tokom terapije bortezomibom.</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Zbog toga je broj trombocita potrebno odrediti prije svake doze lijeka Bortezomiba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Liječenje lijekom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mora se prekinuti ako je broj trombocita &lt; 25 000/</w:t>
      </w:r>
      <w:r w:rsidRPr="00B90281">
        <w:rPr>
          <w:rFonts w:eastAsia="Mangal"/>
          <w:sz w:val="22"/>
          <w:szCs w:val="22"/>
          <w:lang w:val="sr-Latn-ME" w:eastAsia="en-GB"/>
        </w:rPr>
        <w:t>µ</w:t>
      </w:r>
      <w:r w:rsidRPr="00B90281">
        <w:rPr>
          <w:rFonts w:eastAsia="Arial"/>
          <w:bCs/>
          <w:color w:val="000000"/>
          <w:sz w:val="22"/>
          <w:szCs w:val="22"/>
          <w:lang w:val="sr-Latn-ME" w:eastAsia="hr-HR"/>
        </w:rPr>
        <w:t>l, a u slučaju primjene kombinovane terapije sa melfalanom i prednizonom, kada je broj trombocita ≤ 30 000/</w:t>
      </w:r>
      <w:r w:rsidRPr="00B90281">
        <w:rPr>
          <w:rFonts w:eastAsia="Mangal"/>
          <w:sz w:val="22"/>
          <w:szCs w:val="22"/>
          <w:lang w:val="sr-Latn-ME" w:eastAsia="en-GB"/>
        </w:rPr>
        <w:t>µ</w:t>
      </w:r>
      <w:r w:rsidRPr="00B90281">
        <w:rPr>
          <w:rFonts w:eastAsia="Arial"/>
          <w:bCs/>
          <w:color w:val="000000"/>
          <w:sz w:val="22"/>
          <w:szCs w:val="22"/>
          <w:lang w:val="sr-Latn-ME" w:eastAsia="hr-HR"/>
        </w:rPr>
        <w:t xml:space="preserve">l (vidjeti </w:t>
      </w:r>
      <w:r w:rsidR="00646BFE" w:rsidRPr="00B90281">
        <w:rPr>
          <w:rFonts w:eastAsia="Arial"/>
          <w:bCs/>
          <w:color w:val="000000"/>
          <w:sz w:val="22"/>
          <w:szCs w:val="22"/>
          <w:lang w:val="sr-Latn-ME" w:eastAsia="hr-HR"/>
        </w:rPr>
        <w:t>di</w:t>
      </w:r>
      <w:r w:rsidRPr="00B90281">
        <w:rPr>
          <w:rFonts w:eastAsia="Arial"/>
          <w:bCs/>
          <w:color w:val="000000"/>
          <w:sz w:val="22"/>
          <w:szCs w:val="22"/>
          <w:lang w:val="sr-Latn-ME" w:eastAsia="hr-HR"/>
        </w:rPr>
        <w:t xml:space="preserve">o </w:t>
      </w:r>
      <w:r w:rsidRPr="00B90281">
        <w:rPr>
          <w:rFonts w:eastAsia="Arial"/>
          <w:bCs/>
          <w:color w:val="000000"/>
          <w:sz w:val="22"/>
          <w:szCs w:val="22"/>
          <w:lang w:val="sr-Latn-ME" w:eastAsia="hr-HR"/>
        </w:rPr>
        <w:lastRenderedPageBreak/>
        <w:t>4.2). Moguću korist od liječenja treba pažljivo ocijeniti u odnosu na rizik, naročito u slučaju umjerene do teške trombocitopenije i faktor</w:t>
      </w:r>
      <w:r w:rsidR="00992196" w:rsidRPr="00B90281">
        <w:rPr>
          <w:rFonts w:eastAsia="Arial"/>
          <w:bCs/>
          <w:color w:val="000000"/>
          <w:sz w:val="22"/>
          <w:szCs w:val="22"/>
          <w:lang w:val="sr-Latn-ME" w:eastAsia="hr-HR"/>
        </w:rPr>
        <w:t>a</w:t>
      </w:r>
      <w:r w:rsidRPr="00B90281">
        <w:rPr>
          <w:rFonts w:eastAsia="Arial"/>
          <w:bCs/>
          <w:color w:val="000000"/>
          <w:sz w:val="22"/>
          <w:szCs w:val="22"/>
          <w:lang w:val="sr-Latn-ME" w:eastAsia="hr-HR"/>
        </w:rPr>
        <w:t xml:space="preserve"> rizika od krvarenja.</w:t>
      </w:r>
    </w:p>
    <w:p w:rsidR="00992196" w:rsidRPr="00B90281" w:rsidRDefault="0099219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Za vrijeme liječenja lijekom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potrebno je često </w:t>
      </w:r>
      <w:r w:rsidR="00992196" w:rsidRPr="00B90281">
        <w:rPr>
          <w:rFonts w:eastAsia="Arial"/>
          <w:bCs/>
          <w:color w:val="000000"/>
          <w:sz w:val="22"/>
          <w:szCs w:val="22"/>
          <w:lang w:val="sr-Latn-ME" w:eastAsia="hr-HR"/>
        </w:rPr>
        <w:t xml:space="preserve">određivati </w:t>
      </w:r>
      <w:r w:rsidRPr="00B90281">
        <w:rPr>
          <w:rFonts w:eastAsia="Arial"/>
          <w:bCs/>
          <w:color w:val="000000"/>
          <w:sz w:val="22"/>
          <w:szCs w:val="22"/>
          <w:lang w:val="sr-Latn-ME" w:eastAsia="hr-HR"/>
        </w:rPr>
        <w:t>kompletn</w:t>
      </w:r>
      <w:r w:rsidR="00992196" w:rsidRPr="00B90281">
        <w:rPr>
          <w:rFonts w:eastAsia="Arial"/>
          <w:bCs/>
          <w:color w:val="000000"/>
          <w:sz w:val="22"/>
          <w:szCs w:val="22"/>
          <w:lang w:val="sr-Latn-ME" w:eastAsia="hr-HR"/>
        </w:rPr>
        <w:t>u i</w:t>
      </w:r>
      <w:r w:rsidRPr="00B90281">
        <w:rPr>
          <w:rFonts w:eastAsia="Arial"/>
          <w:bCs/>
          <w:color w:val="000000"/>
          <w:sz w:val="22"/>
          <w:szCs w:val="22"/>
          <w:lang w:val="sr-Latn-ME" w:eastAsia="hr-HR"/>
        </w:rPr>
        <w:t xml:space="preserve"> diferencijaln</w:t>
      </w:r>
      <w:r w:rsidR="00992196" w:rsidRPr="00B90281">
        <w:rPr>
          <w:rFonts w:eastAsia="Arial"/>
          <w:bCs/>
          <w:color w:val="000000"/>
          <w:sz w:val="22"/>
          <w:szCs w:val="22"/>
          <w:lang w:val="sr-Latn-ME" w:eastAsia="hr-HR"/>
        </w:rPr>
        <w:t>u</w:t>
      </w:r>
      <w:r w:rsidRPr="00B90281">
        <w:rPr>
          <w:rFonts w:eastAsia="Arial"/>
          <w:bCs/>
          <w:color w:val="000000"/>
          <w:sz w:val="22"/>
          <w:szCs w:val="22"/>
          <w:lang w:val="sr-Latn-ME" w:eastAsia="hr-HR"/>
        </w:rPr>
        <w:t xml:space="preserve"> krvn</w:t>
      </w:r>
      <w:r w:rsidR="00992196" w:rsidRPr="00B90281">
        <w:rPr>
          <w:rFonts w:eastAsia="Arial"/>
          <w:bCs/>
          <w:color w:val="000000"/>
          <w:sz w:val="22"/>
          <w:szCs w:val="22"/>
          <w:lang w:val="sr-Latn-ME" w:eastAsia="hr-HR"/>
        </w:rPr>
        <w:t>u</w:t>
      </w:r>
      <w:r w:rsidRPr="00B90281">
        <w:rPr>
          <w:rFonts w:eastAsia="Arial"/>
          <w:bCs/>
          <w:color w:val="000000"/>
          <w:sz w:val="22"/>
          <w:szCs w:val="22"/>
          <w:lang w:val="sr-Latn-ME" w:eastAsia="hr-HR"/>
        </w:rPr>
        <w:t xml:space="preserve"> slik</w:t>
      </w:r>
      <w:r w:rsidR="00992196" w:rsidRPr="00B90281">
        <w:rPr>
          <w:rFonts w:eastAsia="Arial"/>
          <w:bCs/>
          <w:color w:val="000000"/>
          <w:sz w:val="22"/>
          <w:szCs w:val="22"/>
          <w:lang w:val="sr-Latn-ME" w:eastAsia="hr-HR"/>
        </w:rPr>
        <w:t>u</w:t>
      </w:r>
      <w:r w:rsidRPr="00B90281">
        <w:rPr>
          <w:rFonts w:eastAsia="Arial"/>
          <w:bCs/>
          <w:color w:val="000000"/>
          <w:sz w:val="22"/>
          <w:szCs w:val="22"/>
          <w:lang w:val="sr-Latn-ME" w:eastAsia="hr-HR"/>
        </w:rPr>
        <w:t xml:space="preserve">, uključujući i ukupan broj trombocita. Treba razmotriti transfuziju trombocitima, kada je to klinički opravdano (vidjeti </w:t>
      </w:r>
      <w:r w:rsidR="00B47210" w:rsidRPr="00B90281">
        <w:rPr>
          <w:rFonts w:eastAsia="Arial"/>
          <w:bCs/>
          <w:color w:val="000000"/>
          <w:sz w:val="22"/>
          <w:szCs w:val="22"/>
          <w:lang w:val="sr-Latn-ME" w:eastAsia="hr-HR"/>
        </w:rPr>
        <w:t>di</w:t>
      </w:r>
      <w:r w:rsidRPr="00B90281">
        <w:rPr>
          <w:rFonts w:eastAsia="Arial"/>
          <w:bCs/>
          <w:color w:val="000000"/>
          <w:sz w:val="22"/>
          <w:szCs w:val="22"/>
          <w:lang w:val="sr-Latn-ME" w:eastAsia="hr-HR"/>
        </w:rPr>
        <w:t>o 4.2).</w:t>
      </w:r>
    </w:p>
    <w:p w:rsidR="00992196" w:rsidRPr="00B90281" w:rsidRDefault="0099219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Kod pacijenata sa limfomom </w:t>
      </w:r>
      <w:r w:rsidRPr="00B90281">
        <w:rPr>
          <w:rFonts w:eastAsia="Arial"/>
          <w:bCs/>
          <w:i/>
          <w:color w:val="000000"/>
          <w:sz w:val="22"/>
          <w:szCs w:val="22"/>
          <w:lang w:val="sr-Latn-ME" w:eastAsia="hr-HR"/>
        </w:rPr>
        <w:t>mantle</w:t>
      </w:r>
      <w:r w:rsidRPr="00B90281">
        <w:rPr>
          <w:rFonts w:eastAsia="Arial"/>
          <w:bCs/>
          <w:color w:val="000000"/>
          <w:sz w:val="22"/>
          <w:szCs w:val="22"/>
          <w:lang w:val="sr-Latn-ME" w:eastAsia="hr-HR"/>
        </w:rPr>
        <w:t xml:space="preserve"> ćelija, zabilježena je prolazna reverzibilna neutropenija između ciklusa, bez dokaza kumulativne neutropenije. Broj neutrofila je bio najniži 11. dana svakog ciklusa liječenja bortezomibom i obično se normalizovao do sljedećeg ciklusa. U kliničkom ispitivanju LYM-3002, potpora u vidu faktora stimulacije kolonija primijenjena je kod 78% pacijenta u BtzR-CAP grupi i kod 61% pacijenta u R-CHOP grupi. Budući da pacijenti sa neutropenijom imaju povećan rizik od infekcija, oni se moraju nadgledati u cilju prevencije i pravilnog liječenja infekcije ukoliko do nje dođe.</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Faktori stimulacije kolonija granulocita mogu se primijeniti u slučaju hematološke toksičnosti u skladu sa standardnom lokalnom praksom. Profilaktička primjena faktora stimulacije kolonija granulocita mora se uzeti u obzir kod ponovljenih kašnjenja primjena ciklusa (vidjeti </w:t>
      </w:r>
      <w:r w:rsidR="00B47210" w:rsidRPr="00B90281">
        <w:rPr>
          <w:rFonts w:eastAsia="Arial"/>
          <w:bCs/>
          <w:color w:val="000000"/>
          <w:sz w:val="22"/>
          <w:szCs w:val="22"/>
          <w:lang w:val="sr-Latn-ME" w:eastAsia="hr-HR"/>
        </w:rPr>
        <w:t>di</w:t>
      </w:r>
      <w:r w:rsidRPr="00B90281">
        <w:rPr>
          <w:rFonts w:eastAsia="Arial"/>
          <w:bCs/>
          <w:color w:val="000000"/>
          <w:sz w:val="22"/>
          <w:szCs w:val="22"/>
          <w:lang w:val="sr-Latn-ME" w:eastAsia="hr-HR"/>
        </w:rPr>
        <w:t>o 4.2).</w:t>
      </w:r>
    </w:p>
    <w:p w:rsidR="00D52466" w:rsidRPr="00B90281" w:rsidRDefault="00D5246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u w:val="single"/>
          <w:lang w:val="sr-Latn-ME" w:eastAsia="hr-HR"/>
        </w:rPr>
        <w:t>Reaktivacija virusa herpes zoster</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Preporučuje se antivirusna profilaksa kod pacijenta koji se liječe lijekom Bortezomib </w:t>
      </w:r>
      <w:r w:rsidR="00640DA2" w:rsidRPr="00B90281">
        <w:rPr>
          <w:rFonts w:eastAsia="Arial"/>
          <w:bCs/>
          <w:color w:val="000000"/>
          <w:sz w:val="22"/>
          <w:szCs w:val="22"/>
          <w:lang w:val="sr-Latn-ME" w:eastAsia="hr-HR"/>
        </w:rPr>
        <w:t>Accord</w:t>
      </w:r>
      <w:r w:rsidRPr="00B90281">
        <w:rPr>
          <w:rFonts w:eastAsia="Arial"/>
          <w:b/>
          <w:bCs/>
          <w:color w:val="000000"/>
          <w:sz w:val="22"/>
          <w:szCs w:val="22"/>
          <w:lang w:val="sr-Latn-ME" w:eastAsia="hr-HR"/>
        </w:rPr>
        <w:t>.</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U kliničkom ispitivanju faze III kod pacijenata sa prethodno neliječenim multiplim mijelomom, ukupna incidenca reaktivacije virusa herpes zoster bila je češća kod pacijenata koji su primali bortezomib +melfalan+prednizon (14%), u poređenju sa grupom melfalan+prednizon (4%).</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Kod pacijenata sa limfomom </w:t>
      </w:r>
      <w:r w:rsidRPr="00B90281">
        <w:rPr>
          <w:rFonts w:eastAsia="Arial"/>
          <w:bCs/>
          <w:i/>
          <w:color w:val="000000"/>
          <w:sz w:val="22"/>
          <w:szCs w:val="22"/>
          <w:lang w:val="sr-Latn-ME" w:eastAsia="hr-HR"/>
        </w:rPr>
        <w:t>mantle</w:t>
      </w:r>
      <w:r w:rsidRPr="00B90281">
        <w:rPr>
          <w:rFonts w:eastAsia="Arial"/>
          <w:bCs/>
          <w:color w:val="000000"/>
          <w:sz w:val="22"/>
          <w:szCs w:val="22"/>
          <w:lang w:val="sr-Latn-ME" w:eastAsia="hr-HR"/>
        </w:rPr>
        <w:t xml:space="preserve"> ćelija (ispitivanje LYM-3002), incidenca infekcije virusom herpes zoster bila je 6,7% u BtzR-CAP grupi i 1,2% u R-CHOP grupi (vidjeti </w:t>
      </w:r>
      <w:r w:rsidR="00E826BF" w:rsidRPr="00B90281">
        <w:rPr>
          <w:rFonts w:eastAsia="Arial"/>
          <w:bCs/>
          <w:color w:val="000000"/>
          <w:sz w:val="22"/>
          <w:szCs w:val="22"/>
          <w:lang w:val="sr-Latn-ME" w:eastAsia="hr-HR"/>
        </w:rPr>
        <w:t>di</w:t>
      </w:r>
      <w:r w:rsidRPr="00B90281">
        <w:rPr>
          <w:rFonts w:eastAsia="Arial"/>
          <w:bCs/>
          <w:color w:val="000000"/>
          <w:sz w:val="22"/>
          <w:szCs w:val="22"/>
          <w:lang w:val="sr-Latn-ME" w:eastAsia="hr-HR"/>
        </w:rPr>
        <w:t>o 4.8).</w:t>
      </w:r>
    </w:p>
    <w:p w:rsidR="00D52466" w:rsidRPr="00B90281" w:rsidRDefault="00D52466" w:rsidP="00D52466">
      <w:pPr>
        <w:suppressAutoHyphens/>
        <w:autoSpaceDE w:val="0"/>
        <w:rPr>
          <w:rFonts w:eastAsia="Arial"/>
          <w:bCs/>
          <w:color w:val="000000"/>
          <w:sz w:val="22"/>
          <w:szCs w:val="22"/>
          <w:u w:val="single"/>
          <w:lang w:val="sr-Latn-ME" w:eastAsia="hr-HR"/>
        </w:rPr>
      </w:pPr>
    </w:p>
    <w:p w:rsidR="00D52466" w:rsidRPr="00B90281" w:rsidRDefault="00D52466" w:rsidP="00D52466">
      <w:pPr>
        <w:suppressAutoHyphens/>
        <w:autoSpaceDE w:val="0"/>
        <w:rPr>
          <w:rFonts w:eastAsia="Arial"/>
          <w:bCs/>
          <w:color w:val="000000"/>
          <w:sz w:val="22"/>
          <w:szCs w:val="22"/>
          <w:u w:val="single"/>
          <w:lang w:val="sr-Latn-ME" w:eastAsia="hr-HR"/>
        </w:rPr>
      </w:pPr>
      <w:r w:rsidRPr="00B90281">
        <w:rPr>
          <w:rFonts w:eastAsia="Arial"/>
          <w:bCs/>
          <w:color w:val="000000"/>
          <w:sz w:val="22"/>
          <w:szCs w:val="22"/>
          <w:u w:val="single"/>
          <w:lang w:val="sr-Latn-ME" w:eastAsia="hr-HR"/>
        </w:rPr>
        <w:t>Reaktivacija virusa hepatitisa B (HBV) i infekcija</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Kada se rituksimab primjenjuje u kombinaciji sa lijekom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kod pacijenata sa rizikom od HBV infekcije, prije početka liječenja uvijek se mora obaviti skrining na HBV. Nosioci hepatitis B virusa i pacijenti sa infekcijom ovim virusom u anamnezi, moraju se pažljivo nadgledati radi detekcije kliničkih i laboratorijskih znakova aktivne HBV infekcije tokom i nakon primjene rituksimaba u kombinaciji sa bortezomibom. Treba razmotriti primjenu antivirusne profilakse. Za više informacija pogledajte Sažetak karakteristika lijeka za rituksimab.</w:t>
      </w:r>
    </w:p>
    <w:p w:rsidR="00D52466" w:rsidRPr="00B90281" w:rsidRDefault="00D52466" w:rsidP="00D52466">
      <w:pPr>
        <w:suppressAutoHyphens/>
        <w:autoSpaceDE w:val="0"/>
        <w:rPr>
          <w:rFonts w:eastAsia="Arial"/>
          <w:bCs/>
          <w:color w:val="000000"/>
          <w:sz w:val="22"/>
          <w:szCs w:val="22"/>
          <w:u w:val="single"/>
          <w:lang w:val="sr-Latn-ME" w:eastAsia="hr-HR"/>
        </w:rPr>
      </w:pP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t>Progresivna multifokalna leukoencefalopatija (PML)</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Vrlo su rijetko zabilježeni slučajevi John Cunningham (JC) virusne infekcije nepoznate </w:t>
      </w:r>
      <w:r w:rsidRPr="00B90281">
        <w:rPr>
          <w:rFonts w:eastAsia="Arial"/>
          <w:bCs/>
          <w:sz w:val="22"/>
          <w:szCs w:val="22"/>
          <w:lang w:val="sr-Latn-ME" w:eastAsia="hr-HR"/>
        </w:rPr>
        <w:t>uzročno-posljedične veze,</w:t>
      </w:r>
      <w:r w:rsidRPr="00B90281">
        <w:rPr>
          <w:rFonts w:eastAsia="Arial"/>
          <w:bCs/>
          <w:color w:val="000000"/>
          <w:sz w:val="22"/>
          <w:szCs w:val="22"/>
          <w:lang w:val="sr-Latn-ME" w:eastAsia="hr-HR"/>
        </w:rPr>
        <w:t xml:space="preserve"> koji su rezultirali progresivnom multifokalnom leukoencefalopatijom (PML) i smrću kod pacijenata liječenih bortezomibom. Pacijenti kod kojih je dijagnostifikovana PML, prethodno ili istovremeno su uzimali imunosupresivnu terapiju. Većina slučajeva PML-a bila je dijagnostifikovana unutar 12 mjeseci od primjene prve doze bortezomiba. Pacijente je potrebno pratiti u regularnim intervalima na pojavu bilo kog novog ili pogoršanje postojećih neuroloških simptoma ili znakova koji mogu da nagovijeste PML, kao dio diferencijalne dijagnoze problema sa CNS-om. Ukoliko se posumnja na dijagnozu PML, pacijenta je potrebno uputiti na specijalistički pregled i započeti odgovarajuće dijagnostičke procedure za PML. Ukoliko se dijagnostifikuje PML, terapiju lijekom Bortezomib </w:t>
      </w:r>
      <w:r w:rsidR="00640DA2" w:rsidRPr="00B90281">
        <w:rPr>
          <w:rFonts w:eastAsia="Arial"/>
          <w:bCs/>
          <w:color w:val="000000"/>
          <w:sz w:val="22"/>
          <w:szCs w:val="22"/>
          <w:lang w:val="sr-Latn-ME" w:eastAsia="hr-HR"/>
        </w:rPr>
        <w:t>Accord</w:t>
      </w:r>
      <w:r w:rsidRPr="00B90281">
        <w:rPr>
          <w:rFonts w:eastAsia="Arial"/>
          <w:b/>
          <w:bCs/>
          <w:color w:val="000000"/>
          <w:sz w:val="22"/>
          <w:szCs w:val="22"/>
          <w:lang w:val="sr-Latn-ME" w:eastAsia="hr-HR"/>
        </w:rPr>
        <w:t xml:space="preserve"> </w:t>
      </w:r>
      <w:r w:rsidRPr="00B90281">
        <w:rPr>
          <w:rFonts w:eastAsia="Arial"/>
          <w:color w:val="000000"/>
          <w:sz w:val="22"/>
          <w:szCs w:val="22"/>
          <w:lang w:val="sr-Latn-ME" w:eastAsia="hr-HR"/>
        </w:rPr>
        <w:t xml:space="preserve">potrebno je </w:t>
      </w:r>
      <w:r w:rsidRPr="00B90281">
        <w:rPr>
          <w:rFonts w:eastAsia="Arial"/>
          <w:bCs/>
          <w:color w:val="000000"/>
          <w:sz w:val="22"/>
          <w:szCs w:val="22"/>
          <w:lang w:val="sr-Latn-ME" w:eastAsia="hr-HR"/>
        </w:rPr>
        <w:t>prekinuti.</w:t>
      </w:r>
    </w:p>
    <w:p w:rsidR="00D52466" w:rsidRPr="00B90281" w:rsidRDefault="00D5246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u w:val="single"/>
          <w:lang w:val="sr-Latn-ME" w:eastAsia="hr-HR"/>
        </w:rPr>
      </w:pPr>
      <w:r w:rsidRPr="00B90281">
        <w:rPr>
          <w:rFonts w:eastAsia="Arial"/>
          <w:bCs/>
          <w:color w:val="000000"/>
          <w:sz w:val="22"/>
          <w:szCs w:val="22"/>
          <w:u w:val="single"/>
          <w:lang w:val="sr-Latn-ME" w:eastAsia="hr-HR"/>
        </w:rPr>
        <w:t>Periferna neuropatija</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Liječenje bortezomibom vrlo je često povezano sa perifernom neuropatijom, koja je pretežno senzorna. Međutim, prijavljeni su i slučajevi teške motorne neuropatije sa ili bez senzorne periferne neuropatije. Incidenca periferne neuropatije raste na početku liječenja, a zapaženo je da dostiže maksimum tokom 5. ciklusa.</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Preporučuje se da se pacijenti pažljivo prate da bi se vidjelo da li imaju simptome neuropatije, kao što su osjećaj žarenja, hiperestezija, hipoestezija, parestezija, nelagodnost, neuropatski bol ili slabost.</w:t>
      </w:r>
    </w:p>
    <w:p w:rsidR="00B90281" w:rsidRPr="00B90281" w:rsidRDefault="00B90281"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U ispitivanju faze III ko</w:t>
      </w:r>
      <w:r w:rsidR="00646BFE" w:rsidRPr="00B90281">
        <w:rPr>
          <w:rFonts w:eastAsia="Arial"/>
          <w:bCs/>
          <w:color w:val="000000"/>
          <w:sz w:val="22"/>
          <w:szCs w:val="22"/>
          <w:lang w:val="sr-Latn-ME" w:eastAsia="hr-HR"/>
        </w:rPr>
        <w:t>ja je poredila intravensku i sub</w:t>
      </w:r>
      <w:r w:rsidRPr="00B90281">
        <w:rPr>
          <w:rFonts w:eastAsia="Arial"/>
          <w:bCs/>
          <w:color w:val="000000"/>
          <w:sz w:val="22"/>
          <w:szCs w:val="22"/>
          <w:lang w:val="sr-Latn-ME" w:eastAsia="hr-HR"/>
        </w:rPr>
        <w:t>kutanu primjenu bortezomiba, incidenca periferne neuropatije stepen</w:t>
      </w:r>
      <w:r w:rsidR="00646BFE" w:rsidRPr="00B90281">
        <w:rPr>
          <w:rFonts w:eastAsia="Arial"/>
          <w:bCs/>
          <w:color w:val="000000"/>
          <w:sz w:val="22"/>
          <w:szCs w:val="22"/>
          <w:lang w:val="sr-Latn-ME" w:eastAsia="hr-HR"/>
        </w:rPr>
        <w:t>a ≥ 2 bila je 24% u grupi sa sub</w:t>
      </w:r>
      <w:r w:rsidRPr="00B90281">
        <w:rPr>
          <w:rFonts w:eastAsia="Arial"/>
          <w:bCs/>
          <w:color w:val="000000"/>
          <w:sz w:val="22"/>
          <w:szCs w:val="22"/>
          <w:lang w:val="sr-Latn-ME" w:eastAsia="hr-HR"/>
        </w:rPr>
        <w:t>kutanom primjenom injekcije, i 41% u grupi koja je dobijala intravensku injekciju</w:t>
      </w:r>
      <w:r w:rsidR="00646BFE" w:rsidRPr="00B90281">
        <w:rPr>
          <w:rFonts w:eastAsia="Arial"/>
          <w:bCs/>
          <w:color w:val="000000"/>
          <w:sz w:val="22"/>
          <w:szCs w:val="22"/>
          <w:lang w:val="sr-Latn-ME" w:eastAsia="hr-HR"/>
        </w:rPr>
        <w:t xml:space="preserve"> </w:t>
      </w:r>
      <w:r w:rsidRPr="00B90281">
        <w:rPr>
          <w:rFonts w:eastAsia="Arial"/>
          <w:bCs/>
          <w:color w:val="000000"/>
          <w:sz w:val="22"/>
          <w:szCs w:val="22"/>
          <w:lang w:val="sr-Latn-ME" w:eastAsia="hr-HR"/>
        </w:rPr>
        <w:t>(p = 0,0124). Periferna neuropatija stepena ≥ 3 se javila kod 6% pacijenata u gru</w:t>
      </w:r>
      <w:r w:rsidR="00646BFE" w:rsidRPr="00B90281">
        <w:rPr>
          <w:rFonts w:eastAsia="Arial"/>
          <w:bCs/>
          <w:color w:val="000000"/>
          <w:sz w:val="22"/>
          <w:szCs w:val="22"/>
          <w:lang w:val="sr-Latn-ME" w:eastAsia="hr-HR"/>
        </w:rPr>
        <w:t>pi koja je dobijala terapiju sub</w:t>
      </w:r>
      <w:r w:rsidRPr="00B90281">
        <w:rPr>
          <w:rFonts w:eastAsia="Arial"/>
          <w:bCs/>
          <w:color w:val="000000"/>
          <w:sz w:val="22"/>
          <w:szCs w:val="22"/>
          <w:lang w:val="sr-Latn-ME" w:eastAsia="hr-HR"/>
        </w:rPr>
        <w:t xml:space="preserve">kutano, u odnosu na 16% u grupi koja je terapiju dobijala </w:t>
      </w:r>
      <w:r w:rsidRPr="00B90281">
        <w:rPr>
          <w:rFonts w:eastAsia="Arial"/>
          <w:bCs/>
          <w:color w:val="000000"/>
          <w:sz w:val="22"/>
          <w:szCs w:val="22"/>
          <w:lang w:val="sr-Latn-ME" w:eastAsia="hr-HR"/>
        </w:rPr>
        <w:lastRenderedPageBreak/>
        <w:t>intravenskim putem (p = 0,0264). Incidenca periferene neuropatije svih stepena težine je u ranijim ispitivanjima sa bortezomibom bila niža u odnosu na studiju MMY-3021 prilikom intravenske primjene.</w:t>
      </w:r>
    </w:p>
    <w:p w:rsidR="00D52466" w:rsidRPr="00B90281" w:rsidRDefault="00D5246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Pacijente kod kojih se pojavi nova ili im se pogorša postojeća periferna neuropatija treba podvrgnuti neurološkom pregledu, i kod njih može biti neophodna promjena doze ili režima davanja lijeka Bortezomib </w:t>
      </w:r>
      <w:r w:rsidR="00640DA2" w:rsidRPr="00B90281">
        <w:rPr>
          <w:rFonts w:eastAsia="Arial"/>
          <w:bCs/>
          <w:color w:val="000000"/>
          <w:sz w:val="22"/>
          <w:szCs w:val="22"/>
          <w:lang w:val="sr-Latn-ME" w:eastAsia="hr-HR"/>
        </w:rPr>
        <w:t>Accord</w:t>
      </w:r>
      <w:r w:rsidRPr="00B90281">
        <w:rPr>
          <w:rFonts w:eastAsia="Arial"/>
          <w:b/>
          <w:bCs/>
          <w:color w:val="000000"/>
          <w:sz w:val="22"/>
          <w:szCs w:val="22"/>
          <w:lang w:val="sr-Latn-ME" w:eastAsia="hr-HR"/>
        </w:rPr>
        <w:t xml:space="preserve"> </w:t>
      </w:r>
      <w:r w:rsidRPr="00B90281">
        <w:rPr>
          <w:rFonts w:eastAsia="Arial"/>
          <w:bCs/>
          <w:color w:val="000000"/>
          <w:sz w:val="22"/>
          <w:szCs w:val="22"/>
          <w:lang w:val="sr-Latn-ME" w:eastAsia="hr-HR"/>
        </w:rPr>
        <w:t xml:space="preserve">(vidjeti </w:t>
      </w:r>
      <w:r w:rsidR="004826A5" w:rsidRPr="00B90281">
        <w:rPr>
          <w:rFonts w:eastAsia="Arial"/>
          <w:bCs/>
          <w:color w:val="000000"/>
          <w:sz w:val="22"/>
          <w:szCs w:val="22"/>
          <w:lang w:val="sr-Latn-ME" w:eastAsia="hr-HR"/>
        </w:rPr>
        <w:t>di</w:t>
      </w:r>
      <w:r w:rsidRPr="00B90281">
        <w:rPr>
          <w:rFonts w:eastAsia="Arial"/>
          <w:bCs/>
          <w:color w:val="000000"/>
          <w:sz w:val="22"/>
          <w:szCs w:val="22"/>
          <w:lang w:val="sr-Latn-ME" w:eastAsia="hr-HR"/>
        </w:rPr>
        <w:t>o 4.2). Neuropatija se liječi suportivnim mjerama i drugim terapijskim metodama.</w:t>
      </w:r>
    </w:p>
    <w:p w:rsidR="001A6189" w:rsidRPr="00B90281" w:rsidRDefault="001A6189"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Kod pacijenata koji primaju lijek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 xml:space="preserve"> u kombinaciji sa ljekovima za koje je poznato da su povezani sa neuropatijom (npr. talidomidom), mora se razmotriti rano i redovno praćenje, putem neurološke procjene, simptoma neuropatije koji se jave tokom liječenja, pa je potrebno razmotriti odgovarajuće smanjenje doze ili obustavljanje terapije.</w:t>
      </w:r>
    </w:p>
    <w:p w:rsidR="001A6189" w:rsidRPr="00B90281" w:rsidRDefault="001A6189"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Pored periferne neuropatije i autonomna neuropatija može da doprinese pojavi nekih drugih neželjenih dejstava, kao što su posturalna hipotenzija i teška opstipacija sa ileusom. Podaci o autonomnoj neuropatiji i njenom uticaju na razvoj neželjenih reakcija su ograničeni.</w:t>
      </w:r>
    </w:p>
    <w:p w:rsidR="00D52466" w:rsidRPr="00B90281" w:rsidRDefault="00D52466" w:rsidP="00D52466">
      <w:pPr>
        <w:suppressAutoHyphens/>
        <w:autoSpaceDE w:val="0"/>
        <w:rPr>
          <w:rFonts w:eastAsia="Arial"/>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t xml:space="preserve">Epileptički napadi </w:t>
      </w:r>
    </w:p>
    <w:p w:rsidR="00B433E1"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Epileptički napadi su bili povremeno prijavljeni kod pacijenata bez prethodnih epileptičnih napada ili epilepsije u anamnezi. Posebna pažnja je potrebana </w:t>
      </w:r>
      <w:r w:rsidR="001A6189" w:rsidRPr="00B90281">
        <w:rPr>
          <w:rFonts w:eastAsia="Arial"/>
          <w:bCs/>
          <w:color w:val="000000"/>
          <w:sz w:val="22"/>
          <w:szCs w:val="22"/>
          <w:lang w:val="sr-Latn-ME" w:eastAsia="hr-HR"/>
        </w:rPr>
        <w:t>za</w:t>
      </w:r>
      <w:r w:rsidRPr="00B90281">
        <w:rPr>
          <w:rFonts w:eastAsia="Arial"/>
          <w:bCs/>
          <w:color w:val="000000"/>
          <w:sz w:val="22"/>
          <w:szCs w:val="22"/>
          <w:lang w:val="sr-Latn-ME" w:eastAsia="hr-HR"/>
        </w:rPr>
        <w:t xml:space="preserve"> liječenj</w:t>
      </w:r>
      <w:r w:rsidR="001A6189" w:rsidRPr="00B90281">
        <w:rPr>
          <w:rFonts w:eastAsia="Arial"/>
          <w:bCs/>
          <w:color w:val="000000"/>
          <w:sz w:val="22"/>
          <w:szCs w:val="22"/>
          <w:lang w:val="sr-Latn-ME" w:eastAsia="hr-HR"/>
        </w:rPr>
        <w:t>e</w:t>
      </w:r>
      <w:r w:rsidRPr="00B90281">
        <w:rPr>
          <w:rFonts w:eastAsia="Arial"/>
          <w:bCs/>
          <w:color w:val="000000"/>
          <w:sz w:val="22"/>
          <w:szCs w:val="22"/>
          <w:lang w:val="sr-Latn-ME" w:eastAsia="hr-HR"/>
        </w:rPr>
        <w:t xml:space="preserve"> pacijenata sa bilo kojim faktor</w:t>
      </w:r>
      <w:r w:rsidR="001A6189" w:rsidRPr="00B90281">
        <w:rPr>
          <w:rFonts w:eastAsia="Arial"/>
          <w:bCs/>
          <w:color w:val="000000"/>
          <w:sz w:val="22"/>
          <w:szCs w:val="22"/>
          <w:lang w:val="sr-Latn-ME" w:eastAsia="hr-HR"/>
        </w:rPr>
        <w:t>om</w:t>
      </w:r>
      <w:r w:rsidRPr="00B90281">
        <w:rPr>
          <w:rFonts w:eastAsia="Arial"/>
          <w:bCs/>
          <w:color w:val="000000"/>
          <w:sz w:val="22"/>
          <w:szCs w:val="22"/>
          <w:lang w:val="sr-Latn-ME" w:eastAsia="hr-HR"/>
        </w:rPr>
        <w:t xml:space="preserve"> rizika za </w:t>
      </w:r>
      <w:r w:rsidR="001A6189" w:rsidRPr="00B90281">
        <w:rPr>
          <w:rFonts w:eastAsia="Arial"/>
          <w:bCs/>
          <w:color w:val="000000"/>
          <w:sz w:val="22"/>
          <w:szCs w:val="22"/>
          <w:lang w:val="sr-Latn-ME" w:eastAsia="hr-HR"/>
        </w:rPr>
        <w:t xml:space="preserve">nastanak </w:t>
      </w:r>
      <w:r w:rsidRPr="00B90281">
        <w:rPr>
          <w:rFonts w:eastAsia="Arial"/>
          <w:bCs/>
          <w:color w:val="000000"/>
          <w:sz w:val="22"/>
          <w:szCs w:val="22"/>
          <w:lang w:val="sr-Latn-ME" w:eastAsia="hr-HR"/>
        </w:rPr>
        <w:t>epileptičk</w:t>
      </w:r>
      <w:r w:rsidR="001A6189" w:rsidRPr="00B90281">
        <w:rPr>
          <w:rFonts w:eastAsia="Arial"/>
          <w:bCs/>
          <w:color w:val="000000"/>
          <w:sz w:val="22"/>
          <w:szCs w:val="22"/>
          <w:lang w:val="sr-Latn-ME" w:eastAsia="hr-HR"/>
        </w:rPr>
        <w:t>ih</w:t>
      </w:r>
      <w:r w:rsidRPr="00B90281">
        <w:rPr>
          <w:rFonts w:eastAsia="Arial"/>
          <w:bCs/>
          <w:color w:val="000000"/>
          <w:sz w:val="22"/>
          <w:szCs w:val="22"/>
          <w:lang w:val="sr-Latn-ME" w:eastAsia="hr-HR"/>
        </w:rPr>
        <w:t xml:space="preserve"> napad</w:t>
      </w:r>
      <w:r w:rsidR="001A6189" w:rsidRPr="00B90281">
        <w:rPr>
          <w:rFonts w:eastAsia="Arial"/>
          <w:bCs/>
          <w:color w:val="000000"/>
          <w:sz w:val="22"/>
          <w:szCs w:val="22"/>
          <w:lang w:val="sr-Latn-ME" w:eastAsia="hr-HR"/>
        </w:rPr>
        <w:t>a</w:t>
      </w:r>
      <w:r w:rsidRPr="00B90281">
        <w:rPr>
          <w:rFonts w:eastAsia="Arial"/>
          <w:bCs/>
          <w:color w:val="000000"/>
          <w:sz w:val="22"/>
          <w:szCs w:val="22"/>
          <w:lang w:val="sr-Latn-ME" w:eastAsia="hr-HR"/>
        </w:rPr>
        <w:t>.</w:t>
      </w:r>
    </w:p>
    <w:p w:rsidR="00D52466" w:rsidRPr="00B90281" w:rsidRDefault="00D52466" w:rsidP="008E1735">
      <w:pPr>
        <w:suppressAutoHyphens/>
        <w:autoSpaceDE w:val="0"/>
        <w:jc w:val="both"/>
        <w:rPr>
          <w:rFonts w:eastAsia="Arial"/>
          <w:bCs/>
          <w:color w:val="000000"/>
          <w:sz w:val="22"/>
          <w:szCs w:val="22"/>
          <w:u w:val="single"/>
          <w:lang w:val="sr-Latn-ME" w:eastAsia="hr-HR"/>
        </w:rPr>
      </w:pPr>
    </w:p>
    <w:p w:rsidR="00D52466" w:rsidRPr="00B90281" w:rsidRDefault="00D52466" w:rsidP="00D52466">
      <w:pPr>
        <w:suppressAutoHyphens/>
        <w:autoSpaceDE w:val="0"/>
        <w:rPr>
          <w:rFonts w:eastAsia="Arial"/>
          <w:bCs/>
          <w:color w:val="000000"/>
          <w:sz w:val="22"/>
          <w:szCs w:val="22"/>
          <w:u w:val="single"/>
          <w:lang w:val="sr-Latn-ME" w:eastAsia="hr-HR"/>
        </w:rPr>
      </w:pPr>
      <w:r w:rsidRPr="00B90281">
        <w:rPr>
          <w:rFonts w:eastAsia="Arial"/>
          <w:bCs/>
          <w:color w:val="000000"/>
          <w:sz w:val="22"/>
          <w:szCs w:val="22"/>
          <w:u w:val="single"/>
          <w:lang w:val="sr-Latn-ME" w:eastAsia="hr-HR"/>
        </w:rPr>
        <w:t>Hipotenzija</w:t>
      </w:r>
    </w:p>
    <w:p w:rsidR="00D52466" w:rsidRPr="00B90281" w:rsidRDefault="00D52466" w:rsidP="00D52466">
      <w:pPr>
        <w:suppressAutoHyphens/>
        <w:autoSpaceDE w:val="0"/>
        <w:jc w:val="both"/>
        <w:rPr>
          <w:rFonts w:eastAsia="Arial"/>
          <w:bCs/>
          <w:color w:val="FF0000"/>
          <w:sz w:val="22"/>
          <w:szCs w:val="22"/>
          <w:lang w:val="sr-Latn-ME" w:eastAsia="hr-HR"/>
        </w:rPr>
      </w:pPr>
      <w:r w:rsidRPr="00B90281">
        <w:rPr>
          <w:rFonts w:eastAsia="Arial"/>
          <w:bCs/>
          <w:color w:val="000000"/>
          <w:sz w:val="22"/>
          <w:szCs w:val="22"/>
          <w:lang w:val="sr-Latn-ME" w:eastAsia="hr-HR"/>
        </w:rPr>
        <w:t>Liječenje bortezomibom</w:t>
      </w:r>
      <w:r w:rsidRPr="00B90281">
        <w:rPr>
          <w:rFonts w:eastAsia="Arial"/>
          <w:b/>
          <w:bCs/>
          <w:color w:val="000000"/>
          <w:sz w:val="22"/>
          <w:szCs w:val="22"/>
          <w:lang w:val="sr-Latn-ME" w:eastAsia="hr-HR"/>
        </w:rPr>
        <w:t xml:space="preserve"> </w:t>
      </w:r>
      <w:r w:rsidRPr="00B90281">
        <w:rPr>
          <w:rFonts w:eastAsia="Arial"/>
          <w:bCs/>
          <w:color w:val="000000"/>
          <w:sz w:val="22"/>
          <w:szCs w:val="22"/>
          <w:lang w:val="sr-Latn-ME" w:eastAsia="hr-HR"/>
        </w:rPr>
        <w:t>često je povezano sa ortostatskom/posturalnom hipotenzijom.</w:t>
      </w:r>
      <w:r w:rsidR="00B433E1" w:rsidRPr="00B90281">
        <w:rPr>
          <w:rFonts w:eastAsia="Arial"/>
          <w:bCs/>
          <w:color w:val="000000"/>
          <w:sz w:val="22"/>
          <w:szCs w:val="22"/>
          <w:lang w:val="sr-Latn-ME" w:eastAsia="hr-HR"/>
        </w:rPr>
        <w:t xml:space="preserve"> </w:t>
      </w:r>
      <w:r w:rsidRPr="00B90281">
        <w:rPr>
          <w:rFonts w:eastAsia="Arial"/>
          <w:bCs/>
          <w:color w:val="000000"/>
          <w:sz w:val="22"/>
          <w:szCs w:val="22"/>
          <w:lang w:val="sr-Latn-ME" w:eastAsia="hr-HR"/>
        </w:rPr>
        <w:t xml:space="preserve">Većina neželjenih reakcija je blage do umjere prirode i zapažaju se tokom cijelog liječenja. Pacijenti koji su razvili ortostatsku hipotenziju za vrijeme </w:t>
      </w:r>
      <w:r w:rsidR="00AD2CF1" w:rsidRPr="00B90281">
        <w:rPr>
          <w:rFonts w:eastAsia="Arial"/>
          <w:bCs/>
          <w:color w:val="000000"/>
          <w:sz w:val="22"/>
          <w:szCs w:val="22"/>
          <w:lang w:val="sr-Latn-ME" w:eastAsia="hr-HR"/>
        </w:rPr>
        <w:t xml:space="preserve">liječenja </w:t>
      </w:r>
      <w:r w:rsidRPr="00B90281">
        <w:rPr>
          <w:rFonts w:eastAsia="Arial"/>
          <w:bCs/>
          <w:color w:val="000000"/>
          <w:sz w:val="22"/>
          <w:szCs w:val="22"/>
          <w:lang w:val="sr-Latn-ME" w:eastAsia="hr-HR"/>
        </w:rPr>
        <w:t>bortezomib</w:t>
      </w:r>
      <w:r w:rsidR="00AD2CF1" w:rsidRPr="00B90281">
        <w:rPr>
          <w:rFonts w:eastAsia="Arial"/>
          <w:bCs/>
          <w:color w:val="000000"/>
          <w:sz w:val="22"/>
          <w:szCs w:val="22"/>
          <w:lang w:val="sr-Latn-ME" w:eastAsia="hr-HR"/>
        </w:rPr>
        <w:t>om</w:t>
      </w:r>
      <w:r w:rsidRPr="00B90281">
        <w:rPr>
          <w:rFonts w:eastAsia="Arial"/>
          <w:b/>
          <w:bCs/>
          <w:color w:val="000000"/>
          <w:sz w:val="22"/>
          <w:szCs w:val="22"/>
          <w:lang w:val="sr-Latn-ME" w:eastAsia="hr-HR"/>
        </w:rPr>
        <w:t xml:space="preserve"> </w:t>
      </w:r>
      <w:r w:rsidRPr="00B90281">
        <w:rPr>
          <w:rFonts w:eastAsia="Arial"/>
          <w:bCs/>
          <w:color w:val="000000"/>
          <w:sz w:val="22"/>
          <w:szCs w:val="22"/>
          <w:lang w:val="sr-Latn-ME" w:eastAsia="hr-HR"/>
        </w:rPr>
        <w:t>(primijenjenog intravenski) ni</w:t>
      </w:r>
      <w:r w:rsidR="00AD2CF1" w:rsidRPr="00B90281">
        <w:rPr>
          <w:rFonts w:eastAsia="Arial"/>
          <w:bCs/>
          <w:color w:val="000000"/>
          <w:sz w:val="22"/>
          <w:szCs w:val="22"/>
          <w:lang w:val="sr-Latn-ME" w:eastAsia="hr-HR"/>
        </w:rPr>
        <w:t>je</w:t>
      </w:r>
      <w:r w:rsidRPr="00B90281">
        <w:rPr>
          <w:rFonts w:eastAsia="Arial"/>
          <w:bCs/>
          <w:color w:val="000000"/>
          <w:sz w:val="22"/>
          <w:szCs w:val="22"/>
          <w:lang w:val="sr-Latn-ME" w:eastAsia="hr-HR"/>
        </w:rPr>
        <w:t xml:space="preserve">su imali znake ortostatske hipotenzije prije liječenja bortezomibom. Kod većine pacijenata bilo </w:t>
      </w:r>
      <w:r w:rsidR="00AD2CF1" w:rsidRPr="00B90281">
        <w:rPr>
          <w:rFonts w:eastAsia="Arial"/>
          <w:bCs/>
          <w:color w:val="000000"/>
          <w:sz w:val="22"/>
          <w:szCs w:val="22"/>
          <w:lang w:val="sr-Latn-ME" w:eastAsia="hr-HR"/>
        </w:rPr>
        <w:t xml:space="preserve">je </w:t>
      </w:r>
      <w:r w:rsidRPr="00B90281">
        <w:rPr>
          <w:rFonts w:eastAsia="Arial"/>
          <w:bCs/>
          <w:color w:val="000000"/>
          <w:sz w:val="22"/>
          <w:szCs w:val="22"/>
          <w:lang w:val="sr-Latn-ME" w:eastAsia="hr-HR"/>
        </w:rPr>
        <w:t>potrebno liječiti ortostatsku hipotenziju.</w:t>
      </w:r>
      <w:r w:rsidR="005E625F" w:rsidRPr="00B90281">
        <w:rPr>
          <w:rFonts w:eastAsia="Arial"/>
          <w:bCs/>
          <w:color w:val="000000"/>
          <w:sz w:val="22"/>
          <w:szCs w:val="22"/>
          <w:lang w:val="sr-Latn-ME" w:eastAsia="hr-HR"/>
        </w:rPr>
        <w:t xml:space="preserve"> </w:t>
      </w:r>
      <w:r w:rsidRPr="00B90281">
        <w:rPr>
          <w:rFonts w:eastAsia="Arial"/>
          <w:bCs/>
          <w:color w:val="000000"/>
          <w:sz w:val="22"/>
          <w:szCs w:val="22"/>
          <w:lang w:val="sr-Latn-ME" w:eastAsia="hr-HR"/>
        </w:rPr>
        <w:t xml:space="preserve">Mali broj pacijenata sa ortostatskom hipotenzijom imao je sinkope. Ortostatska/posturalna hipotenzija nije bila akutno povezana sa bolus infuzijom bortezomiba. </w:t>
      </w:r>
      <w:r w:rsidRPr="00B90281">
        <w:rPr>
          <w:rFonts w:eastAsia="Arial"/>
          <w:bCs/>
          <w:sz w:val="22"/>
          <w:szCs w:val="22"/>
          <w:lang w:val="sr-Latn-ME" w:eastAsia="hr-HR"/>
        </w:rPr>
        <w:t>Mehanizam ovog događaja nije poznat, mada djel</w:t>
      </w:r>
      <w:r w:rsidR="005E625F" w:rsidRPr="00B90281">
        <w:rPr>
          <w:rFonts w:eastAsia="Arial"/>
          <w:bCs/>
          <w:sz w:val="22"/>
          <w:szCs w:val="22"/>
          <w:lang w:val="sr-Latn-ME" w:eastAsia="hr-HR"/>
        </w:rPr>
        <w:t>i</w:t>
      </w:r>
      <w:r w:rsidRPr="00B90281">
        <w:rPr>
          <w:rFonts w:eastAsia="Arial"/>
          <w:bCs/>
          <w:sz w:val="22"/>
          <w:szCs w:val="22"/>
          <w:lang w:val="sr-Latn-ME" w:eastAsia="hr-HR"/>
        </w:rPr>
        <w:t>mično može da bude posljedica autonomne neuropatije. Autonomna neuropatija može da bude povezana sa bortezomibom ili bortezomib može pogoršati neko već postojeće stanje, kao što su dijabetička neuropatija ili amiloidna neuropatija. Savjetuje se oprez kod liječenja pacijenata koji imaju sinkopu u anamnezi i primaju ljekove za koje se zna da su povezani sa hipotenzijom ili koji su dehidrirani usljed rekurentnih dijareja ili povraćanja. Liječenje ortostatske/posturalne hipotenzije može uključivati prilagođavanje doze antihipertenzivnih ljekova, rehidraciju ili primjenu mineralokortikoida i/ili simpatomimetika. Pacijente je potrebno savjetovati da potraže savjet ljekara ukoliko imaju simptome vrtoglavice, ošamućenosti ili napade nesvjestice.</w:t>
      </w:r>
    </w:p>
    <w:p w:rsidR="00D52466" w:rsidRPr="00B90281" w:rsidRDefault="00D52466" w:rsidP="00D52466">
      <w:pPr>
        <w:tabs>
          <w:tab w:val="left" w:pos="5055"/>
        </w:tabs>
        <w:suppressAutoHyphens/>
        <w:autoSpaceDE w:val="0"/>
        <w:rPr>
          <w:rFonts w:eastAsia="Arial"/>
          <w:bCs/>
          <w:color w:val="FF0000"/>
          <w:sz w:val="22"/>
          <w:szCs w:val="22"/>
          <w:lang w:val="sr-Latn-ME" w:eastAsia="hr-HR"/>
        </w:rPr>
      </w:pPr>
      <w:r w:rsidRPr="00B90281">
        <w:rPr>
          <w:rFonts w:eastAsia="Arial"/>
          <w:bCs/>
          <w:color w:val="FF0000"/>
          <w:sz w:val="22"/>
          <w:szCs w:val="22"/>
          <w:lang w:val="sr-Latn-ME" w:eastAsia="hr-HR"/>
        </w:rPr>
        <w:tab/>
      </w: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sz w:val="22"/>
          <w:szCs w:val="22"/>
          <w:u w:val="single"/>
          <w:lang w:val="sr-Latn-ME" w:eastAsia="hr-HR"/>
        </w:rPr>
        <w:t>Sindrom posteriorne reverzibilne encefalopatije (PRES, od engl.</w:t>
      </w:r>
      <w:r w:rsidRPr="00B90281">
        <w:rPr>
          <w:rFonts w:eastAsia="Arial"/>
          <w:bCs/>
          <w:i/>
          <w:sz w:val="22"/>
          <w:szCs w:val="22"/>
          <w:u w:val="single"/>
          <w:lang w:val="sr-Latn-ME" w:eastAsia="hr-HR"/>
        </w:rPr>
        <w:t xml:space="preserve"> Posterior Reversible Encephalopathy Syndrome</w:t>
      </w:r>
      <w:r w:rsidRPr="00B90281">
        <w:rPr>
          <w:rFonts w:eastAsia="Arial"/>
          <w:bCs/>
          <w:color w:val="000000"/>
          <w:sz w:val="22"/>
          <w:szCs w:val="22"/>
          <w:u w:val="single"/>
          <w:lang w:val="sr-Latn-ME" w:eastAsia="hr-HR"/>
        </w:rPr>
        <w:t>)</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Bili su prijavljeni slučajevi sindroma posteriorne reverzibilne encefalopatije (PRES) kod pacijenata koji su primali bortezomib. PRES je rijetko neurološko stanje koje je često reverzibilno, brzo se razvija, a može uključivati napade, hipertenziju, glavobolju, letargiju, konfuziju, sljepoću i druge vizuelne i neurološke poremećaje. Za potvrdu dijagnoze koristi se snimanje mozga, naročito magnetna rezonanca (MRI, od engl.</w:t>
      </w:r>
      <w:r w:rsidRPr="00B90281">
        <w:rPr>
          <w:rFonts w:eastAsia="Arial"/>
          <w:bCs/>
          <w:i/>
          <w:color w:val="000000"/>
          <w:sz w:val="22"/>
          <w:szCs w:val="22"/>
          <w:lang w:val="sr-Latn-ME" w:eastAsia="hr-HR"/>
        </w:rPr>
        <w:t xml:space="preserve"> Magnetic Resonance Imaging</w:t>
      </w:r>
      <w:r w:rsidRPr="00B90281">
        <w:rPr>
          <w:rFonts w:eastAsia="Arial"/>
          <w:bCs/>
          <w:color w:val="000000"/>
          <w:sz w:val="22"/>
          <w:szCs w:val="22"/>
          <w:lang w:val="sr-Latn-ME" w:eastAsia="hr-HR"/>
        </w:rPr>
        <w:t xml:space="preserve">). Kod pacijenata kod kojih se razvije PRES, potrebno je prekinuti primjenu lijeka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w:t>
      </w:r>
    </w:p>
    <w:p w:rsidR="00D52466" w:rsidRPr="00B90281" w:rsidRDefault="00D52466" w:rsidP="00D52466">
      <w:pPr>
        <w:suppressAutoHyphens/>
        <w:autoSpaceDE w:val="0"/>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u w:val="single"/>
          <w:lang w:val="sr-Latn-ME" w:eastAsia="hr-HR"/>
        </w:rPr>
        <w:t>Srčana insuficijencija</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Tokom liječenja bortezomibom su prijavljeni akutni razvoj ili egzacerbacija kongestivne srčane insuficijencije i/ili novonastalo smanjenje ejekcione frakcije lijeve komore. Retencija tečnosti može biti predisponirajući faktor za pojavu znakova i simptoma srčane insuficijencije. Pacijente sa faktorima rizika za razvoj bolesti srca ili sa postojećim srčanim oboljenjem potrebno je pažljivo pratiti.</w:t>
      </w:r>
    </w:p>
    <w:p w:rsidR="00D52466" w:rsidRPr="00B90281" w:rsidRDefault="00D5246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u w:val="single"/>
          <w:lang w:val="sr-Latn-ME" w:eastAsia="hr-HR"/>
        </w:rPr>
        <w:t>Elektrokardiogramske pretrage</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U kliničkim ispitivanjima su prijavljeni izolovani slučajevi produženja QT intervala, ali uzročno-posljedična povezanost nije ustanovljena.</w:t>
      </w: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lastRenderedPageBreak/>
        <w:t xml:space="preserve">Plućne bolesti </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Kod pacijenata na terapiji bortezomibom, prijavljeni</w:t>
      </w:r>
      <w:r w:rsidRPr="00B90281">
        <w:rPr>
          <w:rFonts w:eastAsia="Mangal"/>
          <w:sz w:val="22"/>
          <w:szCs w:val="22"/>
          <w:lang w:val="sr-Latn-ME" w:eastAsia="zh-CN"/>
        </w:rPr>
        <w:t xml:space="preserve"> </w:t>
      </w:r>
      <w:r w:rsidRPr="00B90281">
        <w:rPr>
          <w:rFonts w:eastAsia="Arial"/>
          <w:bCs/>
          <w:color w:val="000000"/>
          <w:sz w:val="22"/>
          <w:szCs w:val="22"/>
          <w:lang w:val="sr-Latn-ME" w:eastAsia="hr-HR"/>
        </w:rPr>
        <w:t xml:space="preserve">su rijetki slučajevi akutnih difuznih infiltrativnih oboljenja pluća nepoznate etiologije, kao što je pneumonitis, intersticijalna pneumonija, infiltracija pluća i akutni respiratorni distres sindrom (ARDS) (vidjeti </w:t>
      </w:r>
      <w:r w:rsidR="004826A5" w:rsidRPr="00B90281">
        <w:rPr>
          <w:rFonts w:eastAsia="Arial"/>
          <w:bCs/>
          <w:color w:val="000000"/>
          <w:sz w:val="22"/>
          <w:szCs w:val="22"/>
          <w:lang w:val="sr-Latn-ME" w:eastAsia="hr-HR"/>
        </w:rPr>
        <w:t>di</w:t>
      </w:r>
      <w:r w:rsidRPr="00B90281">
        <w:rPr>
          <w:rFonts w:eastAsia="Arial"/>
          <w:bCs/>
          <w:color w:val="000000"/>
          <w:sz w:val="22"/>
          <w:szCs w:val="22"/>
          <w:lang w:val="sr-Latn-ME" w:eastAsia="hr-HR"/>
        </w:rPr>
        <w:t>o 4.8). Neki od tih događaja imali su smrtni ishod. Prije liječenja, preporučuje se radiografija grudnog koša da bi poslužila kao početni nalaz u slučaju eventualnih postterapijskih promjena na plućima.</w:t>
      </w:r>
    </w:p>
    <w:p w:rsidR="005E625F" w:rsidRPr="00B90281" w:rsidRDefault="005E625F"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U slučaju pojave novih ili pogoršanja postojećih plućnih simptoma (npr. kašalj, dispneja), pacijente je potrebno podvrgnuti brzoj dijagnostičkoj evaluaciji i liječiti na odgovarajući način. Potrebno je dobro razmotriti odnos koristi i rizika prije nastavka liječenja lijekom Bortezomib </w:t>
      </w:r>
      <w:r w:rsidR="00640DA2" w:rsidRPr="00B90281">
        <w:rPr>
          <w:rFonts w:eastAsia="Arial"/>
          <w:bCs/>
          <w:color w:val="000000"/>
          <w:sz w:val="22"/>
          <w:szCs w:val="22"/>
          <w:lang w:val="sr-Latn-ME" w:eastAsia="hr-HR"/>
        </w:rPr>
        <w:t>Accord</w:t>
      </w:r>
      <w:r w:rsidRPr="00B90281">
        <w:rPr>
          <w:rFonts w:eastAsia="Arial"/>
          <w:bCs/>
          <w:color w:val="000000"/>
          <w:sz w:val="22"/>
          <w:szCs w:val="22"/>
          <w:lang w:val="sr-Latn-ME" w:eastAsia="hr-HR"/>
        </w:rPr>
        <w:t>.</w:t>
      </w:r>
    </w:p>
    <w:p w:rsidR="005E625F" w:rsidRPr="00B90281" w:rsidRDefault="005E625F" w:rsidP="00D52466">
      <w:pPr>
        <w:suppressAutoHyphens/>
        <w:autoSpaceDE w:val="0"/>
        <w:jc w:val="both"/>
        <w:rPr>
          <w:rFonts w:eastAsia="Arial"/>
          <w:bCs/>
          <w:color w:val="000000"/>
          <w:sz w:val="22"/>
          <w:szCs w:val="22"/>
          <w:lang w:val="sr-Latn-ME" w:eastAsia="hr-HR"/>
        </w:rPr>
      </w:pPr>
    </w:p>
    <w:p w:rsidR="00B90281"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Tokom kliničkog ispitivanja, dvoje pacijenata (od ukupno 2) koji su primali visoku dozu citarabina </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(2 g/m</w:t>
      </w:r>
      <w:r w:rsidRPr="00B90281">
        <w:rPr>
          <w:rFonts w:eastAsia="Arial"/>
          <w:bCs/>
          <w:color w:val="000000"/>
          <w:sz w:val="22"/>
          <w:szCs w:val="22"/>
          <w:vertAlign w:val="superscript"/>
          <w:lang w:val="sr-Latn-ME" w:eastAsia="hr-HR"/>
        </w:rPr>
        <w:t>2</w:t>
      </w:r>
      <w:r w:rsidRPr="00B90281">
        <w:rPr>
          <w:rFonts w:eastAsia="Arial"/>
          <w:bCs/>
          <w:color w:val="000000"/>
          <w:sz w:val="22"/>
          <w:szCs w:val="22"/>
          <w:lang w:val="sr-Latn-ME" w:eastAsia="hr-HR"/>
        </w:rPr>
        <w:t xml:space="preserve"> na dan) kontinuiranom infuzijom u trajanju od 24 sata sa daunorubicinom i bortezomibom</w:t>
      </w:r>
      <w:r w:rsidRPr="00B90281">
        <w:rPr>
          <w:rFonts w:eastAsia="Arial"/>
          <w:b/>
          <w:bCs/>
          <w:color w:val="000000"/>
          <w:sz w:val="22"/>
          <w:szCs w:val="22"/>
          <w:lang w:val="sr-Latn-ME" w:eastAsia="hr-HR"/>
        </w:rPr>
        <w:t xml:space="preserve"> </w:t>
      </w:r>
      <w:r w:rsidRPr="00B90281">
        <w:rPr>
          <w:rFonts w:eastAsia="Arial"/>
          <w:bCs/>
          <w:color w:val="000000"/>
          <w:sz w:val="22"/>
          <w:szCs w:val="22"/>
          <w:lang w:val="sr-Latn-ME" w:eastAsia="hr-HR"/>
        </w:rPr>
        <w:t xml:space="preserve">zbog relapsa akutne mijelogene leukemije, umrlo je usljed akutnog respiratornog distres sindroma (ARDS) na početku liječenja, a ispitivanje je </w:t>
      </w:r>
      <w:r w:rsidR="005E625F" w:rsidRPr="00B90281">
        <w:rPr>
          <w:rFonts w:eastAsia="Arial"/>
          <w:bCs/>
          <w:color w:val="000000"/>
          <w:sz w:val="22"/>
          <w:szCs w:val="22"/>
          <w:lang w:val="sr-Latn-ME" w:eastAsia="hr-HR"/>
        </w:rPr>
        <w:t xml:space="preserve">bilo </w:t>
      </w:r>
      <w:r w:rsidRPr="00B90281">
        <w:rPr>
          <w:rFonts w:eastAsia="Arial"/>
          <w:bCs/>
          <w:color w:val="000000"/>
          <w:sz w:val="22"/>
          <w:szCs w:val="22"/>
          <w:lang w:val="sr-Latn-ME" w:eastAsia="hr-HR"/>
        </w:rPr>
        <w:t>prekinuto. Zbog toga se ne preporučuje ovaj kombinovani režim sa istovremenom primjenom visokih doza citarabina (2g/m</w:t>
      </w:r>
      <w:r w:rsidRPr="00B90281">
        <w:rPr>
          <w:rFonts w:eastAsia="Arial"/>
          <w:bCs/>
          <w:color w:val="000000"/>
          <w:sz w:val="22"/>
          <w:szCs w:val="22"/>
          <w:vertAlign w:val="superscript"/>
          <w:lang w:val="sr-Latn-ME" w:eastAsia="hr-HR"/>
        </w:rPr>
        <w:t>2</w:t>
      </w:r>
      <w:r w:rsidRPr="00B90281">
        <w:rPr>
          <w:rFonts w:eastAsia="Arial"/>
          <w:bCs/>
          <w:color w:val="000000"/>
          <w:sz w:val="22"/>
          <w:szCs w:val="22"/>
          <w:lang w:val="sr-Latn-ME" w:eastAsia="hr-HR"/>
        </w:rPr>
        <w:t xml:space="preserve"> na dan) kontinuiranom infuzijom u trajanju od 24 sata.</w:t>
      </w:r>
    </w:p>
    <w:p w:rsidR="00D52466" w:rsidRPr="00B90281" w:rsidRDefault="00D52466" w:rsidP="00D52466">
      <w:pPr>
        <w:suppressAutoHyphens/>
        <w:autoSpaceDE w:val="0"/>
        <w:rPr>
          <w:rFonts w:eastAsia="Arial"/>
          <w:bCs/>
          <w:color w:val="000000"/>
          <w:sz w:val="22"/>
          <w:szCs w:val="22"/>
          <w:u w:val="single"/>
          <w:lang w:val="sr-Latn-ME" w:eastAsia="hr-HR"/>
        </w:rPr>
      </w:pP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t>Insuficijencija bubrega</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Bubrežne komplikacije česte su kod pacijenata sa multiplim mijelomom. Pacijente sa insuficijencijom bubrega potrebno je pažljivo pratiti (vidjeti </w:t>
      </w:r>
      <w:r w:rsidR="006E6B5D" w:rsidRPr="00B90281">
        <w:rPr>
          <w:rFonts w:eastAsia="Arial"/>
          <w:bCs/>
          <w:color w:val="000000"/>
          <w:sz w:val="22"/>
          <w:szCs w:val="22"/>
          <w:lang w:val="sr-Latn-ME" w:eastAsia="hr-HR"/>
        </w:rPr>
        <w:t>djel</w:t>
      </w:r>
      <w:r w:rsidRPr="00B90281">
        <w:rPr>
          <w:rFonts w:eastAsia="Arial"/>
          <w:bCs/>
          <w:color w:val="000000"/>
          <w:sz w:val="22"/>
          <w:szCs w:val="22"/>
          <w:lang w:val="sr-Latn-ME" w:eastAsia="hr-HR"/>
        </w:rPr>
        <w:t>o</w:t>
      </w:r>
      <w:r w:rsidR="006E6B5D" w:rsidRPr="00B90281">
        <w:rPr>
          <w:rFonts w:eastAsia="Arial"/>
          <w:bCs/>
          <w:color w:val="000000"/>
          <w:sz w:val="22"/>
          <w:szCs w:val="22"/>
          <w:lang w:val="sr-Latn-ME" w:eastAsia="hr-HR"/>
        </w:rPr>
        <w:t>ve</w:t>
      </w:r>
      <w:r w:rsidRPr="00B90281">
        <w:rPr>
          <w:rFonts w:eastAsia="Arial"/>
          <w:bCs/>
          <w:color w:val="000000"/>
          <w:sz w:val="22"/>
          <w:szCs w:val="22"/>
          <w:lang w:val="sr-Latn-ME" w:eastAsia="hr-HR"/>
        </w:rPr>
        <w:t xml:space="preserve"> 4.2 i 5.2).</w:t>
      </w:r>
    </w:p>
    <w:p w:rsidR="00D52466" w:rsidRPr="00B90281" w:rsidRDefault="00D52466" w:rsidP="00D52466">
      <w:pPr>
        <w:suppressAutoHyphens/>
        <w:autoSpaceDE w:val="0"/>
        <w:rPr>
          <w:rFonts w:eastAsia="Arial"/>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u w:val="single"/>
          <w:lang w:val="sr-Latn-ME" w:eastAsia="hr-HR"/>
        </w:rPr>
      </w:pPr>
      <w:r w:rsidRPr="00B90281">
        <w:rPr>
          <w:rFonts w:eastAsia="Arial"/>
          <w:bCs/>
          <w:color w:val="000000"/>
          <w:sz w:val="22"/>
          <w:szCs w:val="22"/>
          <w:u w:val="single"/>
          <w:lang w:val="sr-Latn-ME" w:eastAsia="hr-HR"/>
        </w:rPr>
        <w:t>Insuficijencija jetre</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Metabolizam bortezomiba se odvija u jetri dejstvom enzima jetre. Izloženost bortezomibu povećana je kod pacijenata sa umjerenom ili teškom insuficijencijom jetre, pa je kod ovih pacijenata potrebno smanjiti doze lijeka Bortezomib </w:t>
      </w:r>
      <w:r w:rsidR="00640DA2" w:rsidRPr="00B90281">
        <w:rPr>
          <w:rFonts w:eastAsia="Arial"/>
          <w:bCs/>
          <w:color w:val="000000"/>
          <w:sz w:val="22"/>
          <w:szCs w:val="22"/>
          <w:lang w:val="sr-Latn-ME" w:eastAsia="hr-HR"/>
        </w:rPr>
        <w:t>Accord</w:t>
      </w:r>
      <w:r w:rsidRPr="00B90281">
        <w:rPr>
          <w:rFonts w:eastAsia="Arial"/>
          <w:b/>
          <w:bCs/>
          <w:color w:val="000000"/>
          <w:sz w:val="22"/>
          <w:szCs w:val="22"/>
          <w:lang w:val="sr-Latn-ME" w:eastAsia="hr-HR"/>
        </w:rPr>
        <w:t xml:space="preserve"> </w:t>
      </w:r>
      <w:r w:rsidRPr="00B90281">
        <w:rPr>
          <w:rFonts w:eastAsia="Arial"/>
          <w:bCs/>
          <w:color w:val="000000"/>
          <w:sz w:val="22"/>
          <w:szCs w:val="22"/>
          <w:lang w:val="sr-Latn-ME" w:eastAsia="hr-HR"/>
        </w:rPr>
        <w:t xml:space="preserve">i potrebno ih je pažljivo pratiti u smislu ispoljavanja toksičnih efekata (vidjeti </w:t>
      </w:r>
      <w:r w:rsidR="00646BFE" w:rsidRPr="00B90281">
        <w:rPr>
          <w:rFonts w:eastAsia="Arial"/>
          <w:bCs/>
          <w:color w:val="000000"/>
          <w:sz w:val="22"/>
          <w:szCs w:val="22"/>
          <w:lang w:val="sr-Latn-ME" w:eastAsia="hr-HR"/>
        </w:rPr>
        <w:t>djel</w:t>
      </w:r>
      <w:r w:rsidRPr="00B90281">
        <w:rPr>
          <w:rFonts w:eastAsia="Arial"/>
          <w:bCs/>
          <w:color w:val="000000"/>
          <w:sz w:val="22"/>
          <w:szCs w:val="22"/>
          <w:lang w:val="sr-Latn-ME" w:eastAsia="hr-HR"/>
        </w:rPr>
        <w:t>o</w:t>
      </w:r>
      <w:r w:rsidR="00646BFE" w:rsidRPr="00B90281">
        <w:rPr>
          <w:rFonts w:eastAsia="Arial"/>
          <w:bCs/>
          <w:color w:val="000000"/>
          <w:sz w:val="22"/>
          <w:szCs w:val="22"/>
          <w:lang w:val="sr-Latn-ME" w:eastAsia="hr-HR"/>
        </w:rPr>
        <w:t>ve</w:t>
      </w:r>
      <w:r w:rsidRPr="00B90281">
        <w:rPr>
          <w:rFonts w:eastAsia="Arial"/>
          <w:bCs/>
          <w:color w:val="000000"/>
          <w:sz w:val="22"/>
          <w:szCs w:val="22"/>
          <w:lang w:val="sr-Latn-ME" w:eastAsia="hr-HR"/>
        </w:rPr>
        <w:t xml:space="preserve"> 4.2 i 5.2).</w:t>
      </w:r>
    </w:p>
    <w:p w:rsidR="00D52466" w:rsidRPr="00B90281" w:rsidRDefault="00D52466" w:rsidP="00D52466">
      <w:pPr>
        <w:suppressAutoHyphens/>
        <w:autoSpaceDE w:val="0"/>
        <w:rPr>
          <w:rFonts w:eastAsia="Arial"/>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u w:val="single"/>
          <w:lang w:val="sr-Latn-ME" w:eastAsia="hr-HR"/>
        </w:rPr>
      </w:pPr>
      <w:r w:rsidRPr="00B90281">
        <w:rPr>
          <w:rFonts w:eastAsia="Arial"/>
          <w:bCs/>
          <w:color w:val="000000"/>
          <w:sz w:val="22"/>
          <w:szCs w:val="22"/>
          <w:u w:val="single"/>
          <w:lang w:val="sr-Latn-ME" w:eastAsia="hr-HR"/>
        </w:rPr>
        <w:t>Reakcije jetre</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Rijetki slučajevi akutne insuficijencije jetre su zabilježeni kod pacijenata koji imaju ozbiljna osnovna oboljenja, i koji su istovremeno primali bortezomib</w:t>
      </w:r>
      <w:r w:rsidRPr="00B90281">
        <w:rPr>
          <w:rFonts w:eastAsia="Arial"/>
          <w:b/>
          <w:bCs/>
          <w:color w:val="000000"/>
          <w:sz w:val="22"/>
          <w:szCs w:val="22"/>
          <w:lang w:val="sr-Latn-ME" w:eastAsia="hr-HR"/>
        </w:rPr>
        <w:t xml:space="preserve"> </w:t>
      </w:r>
      <w:r w:rsidRPr="00B90281">
        <w:rPr>
          <w:rFonts w:eastAsia="Arial"/>
          <w:bCs/>
          <w:color w:val="000000"/>
          <w:sz w:val="22"/>
          <w:szCs w:val="22"/>
          <w:lang w:val="sr-Latn-ME" w:eastAsia="hr-HR"/>
        </w:rPr>
        <w:t xml:space="preserve">i konkomitantne ljekove. Druge prijavljene hepatičke reakcije su uključivale porast enzima jetre, hiperbilirubinemiju i hepatitis. Takve promjene mogu biti reverzibilne nakon prekida liječenja bortezomibom (vidjeti </w:t>
      </w:r>
      <w:r w:rsidR="006E6B5D" w:rsidRPr="00B90281">
        <w:rPr>
          <w:rFonts w:eastAsia="Arial"/>
          <w:bCs/>
          <w:color w:val="000000"/>
          <w:sz w:val="22"/>
          <w:szCs w:val="22"/>
          <w:lang w:val="sr-Latn-ME" w:eastAsia="hr-HR"/>
        </w:rPr>
        <w:t>dio</w:t>
      </w:r>
      <w:r w:rsidRPr="00B90281">
        <w:rPr>
          <w:rFonts w:eastAsia="Arial"/>
          <w:bCs/>
          <w:color w:val="000000"/>
          <w:sz w:val="22"/>
          <w:szCs w:val="22"/>
          <w:lang w:val="sr-Latn-ME" w:eastAsia="hr-HR"/>
        </w:rPr>
        <w:t xml:space="preserve"> 4.8).</w:t>
      </w:r>
    </w:p>
    <w:p w:rsidR="00D52466" w:rsidRPr="00B90281" w:rsidRDefault="00D52466" w:rsidP="00D52466">
      <w:pPr>
        <w:suppressAutoHyphens/>
        <w:autoSpaceDE w:val="0"/>
        <w:rPr>
          <w:rFonts w:eastAsia="Arial"/>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t>Sindrom lize tumora</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Budući da je bortezomib citotoksičan agens koji može brzo da uništi maligne plazma ćelije i ćelije limfoma </w:t>
      </w:r>
      <w:r w:rsidRPr="00B90281">
        <w:rPr>
          <w:rFonts w:eastAsia="Arial"/>
          <w:bCs/>
          <w:i/>
          <w:color w:val="000000"/>
          <w:sz w:val="22"/>
          <w:szCs w:val="22"/>
          <w:lang w:val="sr-Latn-ME" w:eastAsia="hr-HR"/>
        </w:rPr>
        <w:t>mantle</w:t>
      </w:r>
      <w:r w:rsidRPr="00B90281">
        <w:rPr>
          <w:rFonts w:eastAsia="Arial"/>
          <w:bCs/>
          <w:color w:val="000000"/>
          <w:sz w:val="22"/>
          <w:szCs w:val="22"/>
          <w:lang w:val="sr-Latn-ME" w:eastAsia="hr-HR"/>
        </w:rPr>
        <w:t xml:space="preserve"> ćelija, mogu se pojaviti komplikacije zbog sindroma lize tumora. Rizik od sindroma lize tumora postoji kod pacijenata sa velikom tumorskom masom prije liječenja. Ove pacijente je potrebno pažljivo pratiti i preduzeti odgovarajuće mjere opreza.</w:t>
      </w:r>
    </w:p>
    <w:p w:rsidR="00D52466" w:rsidRPr="00B90281" w:rsidRDefault="00D52466" w:rsidP="00D52466">
      <w:pPr>
        <w:suppressAutoHyphens/>
        <w:autoSpaceDE w:val="0"/>
        <w:rPr>
          <w:rFonts w:eastAsia="Arial"/>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lang w:val="sr-Latn-ME" w:eastAsia="hr-HR"/>
        </w:rPr>
      </w:pPr>
      <w:r w:rsidRPr="00B90281">
        <w:rPr>
          <w:rFonts w:eastAsia="Arial"/>
          <w:bCs/>
          <w:color w:val="000000"/>
          <w:sz w:val="22"/>
          <w:szCs w:val="22"/>
          <w:u w:val="single"/>
          <w:lang w:val="sr-Latn-ME" w:eastAsia="hr-HR"/>
        </w:rPr>
        <w:t>Mjere opreza kod istovremene primjene drugih ljekova</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Pacijente koji primaju bortezomib u kombinaciji sa jakim inhibitorima enzima CYP3A4 treba pažljivo pratiti. Potreban je oprez kad se bortezomib kombinuje sa supstratima enzima CYP3A4 ili CYP2C19 (vidjeti </w:t>
      </w:r>
      <w:r w:rsidR="00886870" w:rsidRPr="00B90281">
        <w:rPr>
          <w:rFonts w:eastAsia="Arial"/>
          <w:bCs/>
          <w:color w:val="000000"/>
          <w:sz w:val="22"/>
          <w:szCs w:val="22"/>
          <w:lang w:val="sr-Latn-ME" w:eastAsia="hr-HR"/>
        </w:rPr>
        <w:t>di</w:t>
      </w:r>
      <w:r w:rsidRPr="00B90281">
        <w:rPr>
          <w:rFonts w:eastAsia="Arial"/>
          <w:bCs/>
          <w:color w:val="000000"/>
          <w:sz w:val="22"/>
          <w:szCs w:val="22"/>
          <w:lang w:val="sr-Latn-ME" w:eastAsia="hr-HR"/>
        </w:rPr>
        <w:t>o 4.5).</w:t>
      </w:r>
    </w:p>
    <w:p w:rsidR="00D52466" w:rsidRPr="00B90281" w:rsidRDefault="00D52466" w:rsidP="00D52466">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 xml:space="preserve">Potrebno je potvrditi normalnu funkciju jetre i sa oprezom pristupiti pacijentima koji uzimaju oralne hipoglikemike (vidjeti </w:t>
      </w:r>
      <w:r w:rsidR="00886870" w:rsidRPr="00B90281">
        <w:rPr>
          <w:rFonts w:eastAsia="Arial"/>
          <w:bCs/>
          <w:color w:val="000000"/>
          <w:sz w:val="22"/>
          <w:szCs w:val="22"/>
          <w:lang w:val="sr-Latn-ME" w:eastAsia="hr-HR"/>
        </w:rPr>
        <w:t>di</w:t>
      </w:r>
      <w:r w:rsidRPr="00B90281">
        <w:rPr>
          <w:rFonts w:eastAsia="Arial"/>
          <w:bCs/>
          <w:color w:val="000000"/>
          <w:sz w:val="22"/>
          <w:szCs w:val="22"/>
          <w:lang w:val="sr-Latn-ME" w:eastAsia="hr-HR"/>
        </w:rPr>
        <w:t>o 4.5).</w:t>
      </w:r>
    </w:p>
    <w:p w:rsidR="00D52466" w:rsidRPr="00B90281" w:rsidRDefault="00D52466" w:rsidP="00D52466">
      <w:pPr>
        <w:suppressAutoHyphens/>
        <w:autoSpaceDE w:val="0"/>
        <w:jc w:val="both"/>
        <w:rPr>
          <w:rFonts w:eastAsia="Arial"/>
          <w:bCs/>
          <w:color w:val="000000"/>
          <w:sz w:val="22"/>
          <w:szCs w:val="22"/>
          <w:lang w:val="sr-Latn-ME" w:eastAsia="hr-HR"/>
        </w:rPr>
      </w:pPr>
    </w:p>
    <w:p w:rsidR="00D52466" w:rsidRPr="00B90281" w:rsidRDefault="00D52466" w:rsidP="00D52466">
      <w:pPr>
        <w:suppressAutoHyphens/>
        <w:autoSpaceDE w:val="0"/>
        <w:rPr>
          <w:rFonts w:eastAsia="Arial"/>
          <w:bCs/>
          <w:color w:val="000000"/>
          <w:sz w:val="22"/>
          <w:szCs w:val="22"/>
          <w:u w:val="single"/>
          <w:lang w:val="sr-Latn-ME" w:eastAsia="hr-HR"/>
        </w:rPr>
      </w:pPr>
      <w:r w:rsidRPr="00B90281">
        <w:rPr>
          <w:rFonts w:eastAsia="Arial"/>
          <w:bCs/>
          <w:color w:val="000000"/>
          <w:sz w:val="22"/>
          <w:szCs w:val="22"/>
          <w:u w:val="single"/>
          <w:lang w:val="sr-Latn-ME" w:eastAsia="hr-HR"/>
        </w:rPr>
        <w:t>Potencijalne reakcije posredovane imunokompleksima</w:t>
      </w:r>
    </w:p>
    <w:p w:rsidR="00057E35" w:rsidRPr="00B90281" w:rsidRDefault="00D52466" w:rsidP="00387D84">
      <w:pPr>
        <w:suppressAutoHyphens/>
        <w:autoSpaceDE w:val="0"/>
        <w:jc w:val="both"/>
        <w:rPr>
          <w:rFonts w:eastAsia="Arial"/>
          <w:bCs/>
          <w:color w:val="000000"/>
          <w:sz w:val="22"/>
          <w:szCs w:val="22"/>
          <w:lang w:val="sr-Latn-ME" w:eastAsia="hr-HR"/>
        </w:rPr>
      </w:pPr>
      <w:r w:rsidRPr="00B90281">
        <w:rPr>
          <w:rFonts w:eastAsia="Arial"/>
          <w:bCs/>
          <w:color w:val="000000"/>
          <w:sz w:val="22"/>
          <w:szCs w:val="22"/>
          <w:lang w:val="sr-Latn-ME" w:eastAsia="hr-HR"/>
        </w:rPr>
        <w:t>Povremeno su prijavljene reakcije koje bi mogle biti posredovane imunokompleksima, kao što su serumska bolest, poliartritis sa osipom i proliferativni glomerulonefritis. Primjenu bortezomiba potrebno je prekinuti ako se pojave ozbiljne reakcije.</w:t>
      </w:r>
    </w:p>
    <w:p w:rsidR="005B266E" w:rsidRPr="00B90281" w:rsidRDefault="005B266E" w:rsidP="00480FB1">
      <w:pPr>
        <w:tabs>
          <w:tab w:val="left" w:pos="540"/>
          <w:tab w:val="left" w:pos="569"/>
        </w:tabs>
        <w:rPr>
          <w:bCs/>
          <w:sz w:val="22"/>
          <w:szCs w:val="22"/>
          <w:lang w:val="sr-Latn-ME"/>
        </w:rPr>
      </w:pPr>
    </w:p>
    <w:p w:rsidR="00411B4B" w:rsidRPr="00B90281" w:rsidRDefault="00411B4B" w:rsidP="00480FB1">
      <w:pPr>
        <w:tabs>
          <w:tab w:val="left" w:pos="540"/>
          <w:tab w:val="left" w:pos="569"/>
        </w:tabs>
        <w:rPr>
          <w:b/>
          <w:bCs/>
          <w:sz w:val="22"/>
          <w:szCs w:val="22"/>
          <w:lang w:val="sr-Latn-ME"/>
        </w:rPr>
      </w:pPr>
      <w:r w:rsidRPr="00B90281">
        <w:rPr>
          <w:b/>
          <w:bCs/>
          <w:sz w:val="22"/>
          <w:szCs w:val="22"/>
          <w:lang w:val="sr-Latn-ME"/>
        </w:rPr>
        <w:t>4.5.</w:t>
      </w:r>
      <w:r w:rsidR="000D60CC" w:rsidRPr="00B90281">
        <w:rPr>
          <w:b/>
          <w:bCs/>
          <w:sz w:val="22"/>
          <w:szCs w:val="22"/>
          <w:lang w:val="sr-Latn-ME"/>
        </w:rPr>
        <w:tab/>
      </w:r>
      <w:r w:rsidRPr="00B90281">
        <w:rPr>
          <w:b/>
          <w:bCs/>
          <w:sz w:val="22"/>
          <w:szCs w:val="22"/>
          <w:lang w:val="sr-Latn-ME"/>
        </w:rPr>
        <w:t>Interakcije sa drugim ljekovima i druge vrste interakcija</w:t>
      </w:r>
    </w:p>
    <w:p w:rsidR="0072020E" w:rsidRPr="00B90281" w:rsidRDefault="0072020E" w:rsidP="00480FB1">
      <w:pPr>
        <w:tabs>
          <w:tab w:val="left" w:pos="540"/>
          <w:tab w:val="left" w:pos="569"/>
        </w:tabs>
        <w:rPr>
          <w:bCs/>
          <w:sz w:val="22"/>
          <w:szCs w:val="22"/>
          <w:lang w:val="sr-Latn-ME"/>
        </w:rPr>
      </w:pPr>
    </w:p>
    <w:p w:rsidR="005B266E" w:rsidRPr="00B90281" w:rsidRDefault="005B266E" w:rsidP="005B266E">
      <w:pPr>
        <w:suppressAutoHyphens/>
        <w:autoSpaceDE w:val="0"/>
        <w:jc w:val="both"/>
        <w:rPr>
          <w:rFonts w:eastAsia="TimesNewRoman"/>
          <w:bCs/>
          <w:color w:val="000000"/>
          <w:sz w:val="22"/>
          <w:szCs w:val="22"/>
          <w:lang w:val="sr-Latn-ME" w:eastAsia="hr-HR"/>
        </w:rPr>
      </w:pPr>
      <w:r w:rsidRPr="00B90281">
        <w:rPr>
          <w:rFonts w:eastAsia="TimesNewRoman"/>
          <w:bCs/>
          <w:i/>
          <w:iCs/>
          <w:color w:val="000000"/>
          <w:sz w:val="22"/>
          <w:szCs w:val="22"/>
          <w:lang w:val="sr-Latn-ME" w:eastAsia="hr-HR"/>
        </w:rPr>
        <w:t xml:space="preserve">In vitro </w:t>
      </w:r>
      <w:r w:rsidRPr="00B90281">
        <w:rPr>
          <w:rFonts w:eastAsia="TimesNewRoman"/>
          <w:bCs/>
          <w:color w:val="000000"/>
          <w:sz w:val="22"/>
          <w:szCs w:val="22"/>
          <w:lang w:val="sr-Latn-ME" w:eastAsia="hr-HR"/>
        </w:rPr>
        <w:t xml:space="preserve">ispitivanja pokazuju da je bortezomib slabi inhibitor izoenzima citohroma P450 (CYP) 1A2, 2C9, 2C19, 2D6 i 3A4. Na osnovi ograničenog učešća (7%) enzima CYP2D6 u metabolizmu </w:t>
      </w:r>
      <w:r w:rsidRPr="00B90281">
        <w:rPr>
          <w:rFonts w:eastAsia="TimesNewRoman"/>
          <w:bCs/>
          <w:color w:val="000000"/>
          <w:sz w:val="22"/>
          <w:szCs w:val="22"/>
          <w:lang w:val="sr-Latn-ME" w:eastAsia="hr-HR"/>
        </w:rPr>
        <w:lastRenderedPageBreak/>
        <w:t>bortezomiba, ne očekuje se da će fenotip slabog metabolizatora CYP2D6 uticati na ukupnu raspoloživost bortezomiba.</w:t>
      </w:r>
    </w:p>
    <w:p w:rsidR="00DF5116" w:rsidRPr="00B90281" w:rsidRDefault="00DF5116" w:rsidP="005B266E">
      <w:pPr>
        <w:suppressAutoHyphens/>
        <w:autoSpaceDE w:val="0"/>
        <w:jc w:val="both"/>
        <w:rPr>
          <w:rFonts w:eastAsia="TimesNewRoman"/>
          <w:bCs/>
          <w:color w:val="000000"/>
          <w:sz w:val="22"/>
          <w:szCs w:val="22"/>
          <w:lang w:val="sr-Latn-ME" w:eastAsia="hr-HR"/>
        </w:rPr>
      </w:pPr>
    </w:p>
    <w:p w:rsidR="005B266E" w:rsidRPr="00B90281" w:rsidRDefault="005B266E" w:rsidP="005B266E">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Ispitivanje  interakcija ljekova, kojim je procjenjivan uticaj ketokonazola, jakog CYP3A4 inhibitora, na farmakokinetiku bortezomiba (primijenjenog intravenski), je pokazalo prosječno povećanje </w:t>
      </w:r>
      <w:r w:rsidR="00DF5116" w:rsidRPr="00B90281">
        <w:rPr>
          <w:rFonts w:eastAsia="TimesNewRoman"/>
          <w:bCs/>
          <w:color w:val="000000"/>
          <w:sz w:val="22"/>
          <w:szCs w:val="22"/>
          <w:lang w:val="sr-Latn-ME" w:eastAsia="hr-HR"/>
        </w:rPr>
        <w:t>PIK</w:t>
      </w:r>
      <w:r w:rsidRPr="00B90281">
        <w:rPr>
          <w:rFonts w:eastAsia="TimesNewRoman"/>
          <w:bCs/>
          <w:color w:val="000000"/>
          <w:sz w:val="22"/>
          <w:szCs w:val="22"/>
          <w:lang w:val="sr-Latn-ME" w:eastAsia="hr-HR"/>
        </w:rPr>
        <w:t xml:space="preserve"> bortezomiba za 35% (CI</w:t>
      </w:r>
      <w:r w:rsidRPr="00B90281">
        <w:rPr>
          <w:rFonts w:eastAsia="TimesNewRoman"/>
          <w:bCs/>
          <w:color w:val="000000"/>
          <w:sz w:val="22"/>
          <w:szCs w:val="22"/>
          <w:vertAlign w:val="subscript"/>
          <w:lang w:val="sr-Latn-ME" w:eastAsia="hr-HR"/>
        </w:rPr>
        <w:t xml:space="preserve">90% </w:t>
      </w:r>
      <w:r w:rsidRPr="00B90281">
        <w:rPr>
          <w:rFonts w:eastAsia="TimesNewRoman"/>
          <w:bCs/>
          <w:color w:val="000000"/>
          <w:sz w:val="22"/>
          <w:szCs w:val="22"/>
          <w:lang w:val="sr-Latn-ME" w:eastAsia="hr-HR"/>
        </w:rPr>
        <w:t>[1,032 do 1,772]), bazirano na podacima za 12 pacijenata. Zbog toga je potrebno pažljivo pratiti pacijente kad im se daje bortezomib u kombinaciji sa jakim inhibitorima enzima CYP3A4 (npr. ketokonazol, ritonavir).</w:t>
      </w:r>
    </w:p>
    <w:p w:rsidR="00951E4F" w:rsidRPr="00B90281" w:rsidRDefault="00951E4F" w:rsidP="005B266E">
      <w:pPr>
        <w:suppressAutoHyphens/>
        <w:autoSpaceDE w:val="0"/>
        <w:jc w:val="both"/>
        <w:rPr>
          <w:rFonts w:eastAsia="TimesNewRoman"/>
          <w:bCs/>
          <w:color w:val="000000"/>
          <w:sz w:val="22"/>
          <w:szCs w:val="22"/>
          <w:lang w:val="sr-Latn-ME" w:eastAsia="hr-HR"/>
        </w:rPr>
      </w:pPr>
    </w:p>
    <w:p w:rsidR="005B266E" w:rsidRPr="00B90281" w:rsidRDefault="005B266E" w:rsidP="005B266E">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U ispitivanju interakcija ljekova, kojim je procjenjivan uticaj omeprazola, jakog inhibitora CYP2C19, na farmakokinetiku bortezomiba (primijenjenog intravenski), nije bilo</w:t>
      </w:r>
      <w:r w:rsidR="00DF5116"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značajnog uticaja na farmakokinetiku bortezomiba, bazirano na podacima  za 17 pacijenata.</w:t>
      </w:r>
    </w:p>
    <w:p w:rsidR="00B90281" w:rsidRPr="00B90281" w:rsidRDefault="00B90281" w:rsidP="005B266E">
      <w:pPr>
        <w:suppressAutoHyphens/>
        <w:autoSpaceDE w:val="0"/>
        <w:jc w:val="both"/>
        <w:rPr>
          <w:rFonts w:eastAsia="TimesNewRoman"/>
          <w:bCs/>
          <w:color w:val="000000"/>
          <w:sz w:val="22"/>
          <w:szCs w:val="22"/>
          <w:lang w:val="sr-Latn-ME" w:eastAsia="hr-HR"/>
        </w:rPr>
      </w:pPr>
    </w:p>
    <w:p w:rsidR="00B5677C" w:rsidRPr="00B90281" w:rsidRDefault="005B266E" w:rsidP="005B266E">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Ispitivanje   interakcija ljekova  kojim je procjenjivan uticaj  rifampicina, jakog CYP3A4 induktora, na farmakokinetiku bortezomiba (primijenjenog intravenski), pokazalo</w:t>
      </w:r>
      <w:r w:rsidR="00DF5116"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 xml:space="preserve">je prosječno smanjenje </w:t>
      </w:r>
      <w:r w:rsidR="00DF5116" w:rsidRPr="00B90281">
        <w:rPr>
          <w:rFonts w:eastAsia="TimesNewRoman"/>
          <w:bCs/>
          <w:color w:val="000000"/>
          <w:sz w:val="22"/>
          <w:szCs w:val="22"/>
          <w:lang w:val="sr-Latn-ME" w:eastAsia="hr-HR"/>
        </w:rPr>
        <w:t>PIK</w:t>
      </w:r>
      <w:r w:rsidRPr="00B90281">
        <w:rPr>
          <w:rFonts w:eastAsia="TimesNewRoman"/>
          <w:bCs/>
          <w:color w:val="000000"/>
          <w:sz w:val="22"/>
          <w:szCs w:val="22"/>
          <w:lang w:val="sr-Latn-ME" w:eastAsia="hr-HR"/>
        </w:rPr>
        <w:t xml:space="preserve"> bortezomiba za 45%, bazirano na podacima kod 6 pacijenata. Prema tome se ne preporučuje istovremena  primjena bortezomiba i jakih induktora enzima CYP3A4 (npr. rifampicina, karbamazepina, fenitoina, fenobarbitala i kantariona), jer efikasnost lijeka  može biti smanjena. </w:t>
      </w:r>
    </w:p>
    <w:p w:rsidR="00B90281" w:rsidRPr="00B90281" w:rsidRDefault="00B90281" w:rsidP="005B266E">
      <w:pPr>
        <w:suppressAutoHyphens/>
        <w:autoSpaceDE w:val="0"/>
        <w:jc w:val="both"/>
        <w:rPr>
          <w:rFonts w:eastAsia="TimesNewRoman"/>
          <w:bCs/>
          <w:color w:val="000000"/>
          <w:sz w:val="22"/>
          <w:szCs w:val="22"/>
          <w:lang w:val="sr-Latn-ME" w:eastAsia="hr-HR"/>
        </w:rPr>
      </w:pPr>
    </w:p>
    <w:p w:rsidR="005B266E" w:rsidRPr="00B90281" w:rsidRDefault="005B266E" w:rsidP="005B266E">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U istom ispitivanju interakcija ljekova u kojem se  procjenjivao efekat deksametazona, slabijeg induktora CYP3A4, na farmakokinetiku bortezomiba (primijenjenog intravenski), nije bilo značajnog uticaja na farmakokinetiku bortezomiba, bazirano  na podacima kod 7 pacijenata.</w:t>
      </w:r>
    </w:p>
    <w:p w:rsidR="005B266E" w:rsidRPr="00B90281" w:rsidRDefault="005B266E" w:rsidP="005B266E">
      <w:pPr>
        <w:suppressAutoHyphens/>
        <w:autoSpaceDE w:val="0"/>
        <w:jc w:val="both"/>
        <w:rPr>
          <w:rFonts w:eastAsia="TimesNewRoman"/>
          <w:bCs/>
          <w:color w:val="000000"/>
          <w:sz w:val="22"/>
          <w:szCs w:val="22"/>
          <w:lang w:val="sr-Latn-ME" w:eastAsia="hr-HR"/>
        </w:rPr>
      </w:pPr>
    </w:p>
    <w:p w:rsidR="005B266E" w:rsidRPr="00B90281" w:rsidRDefault="005B266E" w:rsidP="005B266E">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Ispitivanje interakcija ljekova u kojem se procjenjivao uticaj melfalana i prednizona na farmakokinetiku bortezomiba (primijenjenog intravenski), pokazalo je srednje povećanje </w:t>
      </w:r>
      <w:r w:rsidR="00DF5116" w:rsidRPr="00B90281">
        <w:rPr>
          <w:rFonts w:eastAsia="TimesNewRoman"/>
          <w:bCs/>
          <w:color w:val="000000"/>
          <w:sz w:val="22"/>
          <w:szCs w:val="22"/>
          <w:lang w:val="sr-Latn-ME" w:eastAsia="hr-HR"/>
        </w:rPr>
        <w:t>PIK</w:t>
      </w:r>
      <w:r w:rsidRPr="00B90281">
        <w:rPr>
          <w:rFonts w:eastAsia="TimesNewRoman"/>
          <w:bCs/>
          <w:color w:val="000000"/>
          <w:sz w:val="22"/>
          <w:szCs w:val="22"/>
          <w:lang w:val="sr-Latn-ME" w:eastAsia="hr-HR"/>
        </w:rPr>
        <w:t xml:space="preserve"> bortezomiba od 17%, bazirano na podacima kod 21 pacijenta, što se ne smatra klinički značajnim.</w:t>
      </w:r>
    </w:p>
    <w:p w:rsidR="005B266E" w:rsidRPr="00B90281" w:rsidRDefault="005B266E" w:rsidP="005B266E">
      <w:pPr>
        <w:suppressAutoHyphens/>
        <w:autoSpaceDE w:val="0"/>
        <w:jc w:val="both"/>
        <w:rPr>
          <w:rFonts w:eastAsia="TimesNewRoman"/>
          <w:bCs/>
          <w:color w:val="000000"/>
          <w:sz w:val="22"/>
          <w:szCs w:val="22"/>
          <w:lang w:val="sr-Latn-ME" w:eastAsia="hr-HR"/>
        </w:rPr>
      </w:pPr>
    </w:p>
    <w:p w:rsidR="005B266E" w:rsidRPr="00B90281" w:rsidRDefault="005B266E" w:rsidP="005B266E">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Tokom  kliničkih ispitivanja, hipoglikemija je bila povremeno, a hiperglikemija često zabilježena kod pacijenata sa dijabetesom koji su primali oralne hipoglikemike. Kod pacijenata na terapiji oralnim antidijabeticima koji primaju lijek Bortezomib</w:t>
      </w:r>
      <w:r w:rsidR="00DF5116" w:rsidRPr="00B90281">
        <w:rPr>
          <w:rFonts w:eastAsia="TimesNewRoman"/>
          <w:bCs/>
          <w:color w:val="000000"/>
          <w:sz w:val="22"/>
          <w:szCs w:val="22"/>
          <w:lang w:val="sr-Latn-ME" w:eastAsia="hr-HR"/>
        </w:rPr>
        <w:t xml:space="preserve">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može biti potrebno pažljivo praćenje nivoa glukoze u kr</w:t>
      </w:r>
      <w:r w:rsidR="00F23BBF" w:rsidRPr="00B90281">
        <w:rPr>
          <w:rFonts w:eastAsia="TimesNewRoman"/>
          <w:bCs/>
          <w:color w:val="000000"/>
          <w:sz w:val="22"/>
          <w:szCs w:val="22"/>
          <w:lang w:val="sr-Latn-ME" w:eastAsia="hr-HR"/>
        </w:rPr>
        <w:t xml:space="preserve">vi i po potrebi prilagođavanje </w:t>
      </w:r>
      <w:r w:rsidRPr="00B90281">
        <w:rPr>
          <w:rFonts w:eastAsia="TimesNewRoman"/>
          <w:bCs/>
          <w:color w:val="000000"/>
          <w:sz w:val="22"/>
          <w:szCs w:val="22"/>
          <w:lang w:val="sr-Latn-ME" w:eastAsia="hr-HR"/>
        </w:rPr>
        <w:t>doze antidijabetika.</w:t>
      </w:r>
    </w:p>
    <w:p w:rsidR="005B266E" w:rsidRPr="00B90281" w:rsidRDefault="005B266E" w:rsidP="00480FB1">
      <w:pPr>
        <w:tabs>
          <w:tab w:val="left" w:pos="540"/>
          <w:tab w:val="left" w:pos="569"/>
        </w:tabs>
        <w:rPr>
          <w:bCs/>
          <w:sz w:val="22"/>
          <w:szCs w:val="22"/>
          <w:lang w:val="sr-Latn-ME"/>
        </w:rPr>
      </w:pPr>
    </w:p>
    <w:p w:rsidR="0072020E" w:rsidRPr="00B90281" w:rsidRDefault="0072020E" w:rsidP="00480FB1">
      <w:pPr>
        <w:tabs>
          <w:tab w:val="left" w:pos="540"/>
          <w:tab w:val="left" w:pos="569"/>
        </w:tabs>
        <w:rPr>
          <w:b/>
          <w:sz w:val="22"/>
          <w:szCs w:val="22"/>
          <w:lang w:val="sr-Latn-ME"/>
        </w:rPr>
      </w:pPr>
      <w:r w:rsidRPr="00B90281">
        <w:rPr>
          <w:b/>
          <w:bCs/>
          <w:sz w:val="22"/>
          <w:szCs w:val="22"/>
          <w:lang w:val="sr-Latn-ME"/>
        </w:rPr>
        <w:t xml:space="preserve">4.6. </w:t>
      </w:r>
      <w:r w:rsidR="00480FB1" w:rsidRPr="00B90281">
        <w:rPr>
          <w:b/>
          <w:bCs/>
          <w:sz w:val="22"/>
          <w:szCs w:val="22"/>
          <w:lang w:val="sr-Latn-ME"/>
        </w:rPr>
        <w:tab/>
      </w:r>
      <w:r w:rsidR="006D20A5" w:rsidRPr="00B90281">
        <w:rPr>
          <w:b/>
          <w:sz w:val="22"/>
          <w:szCs w:val="22"/>
          <w:lang w:val="sr-Latn-ME"/>
        </w:rPr>
        <w:t>Plodnost, trudnoća i dojenje</w:t>
      </w:r>
    </w:p>
    <w:p w:rsidR="002031B3" w:rsidRPr="00B90281" w:rsidRDefault="002031B3" w:rsidP="00480FB1">
      <w:pPr>
        <w:tabs>
          <w:tab w:val="left" w:pos="540"/>
          <w:tab w:val="left" w:pos="569"/>
        </w:tabs>
        <w:rPr>
          <w:sz w:val="22"/>
          <w:szCs w:val="22"/>
          <w:u w:val="single"/>
          <w:lang w:val="sr-Latn-ME"/>
        </w:rPr>
      </w:pPr>
    </w:p>
    <w:p w:rsidR="00A92D10" w:rsidRPr="00B90281" w:rsidRDefault="00A92D10" w:rsidP="00A92D10">
      <w:pPr>
        <w:suppressAutoHyphens/>
        <w:autoSpaceDE w:val="0"/>
        <w:rPr>
          <w:rFonts w:eastAsia="TimesNewRoman"/>
          <w:bCs/>
          <w:color w:val="000000"/>
          <w:sz w:val="22"/>
          <w:szCs w:val="22"/>
          <w:lang w:val="sr-Latn-ME" w:eastAsia="hr-HR"/>
        </w:rPr>
      </w:pPr>
      <w:r w:rsidRPr="00B90281">
        <w:rPr>
          <w:rFonts w:eastAsia="TimesNewRoman"/>
          <w:bCs/>
          <w:color w:val="000000"/>
          <w:sz w:val="22"/>
          <w:szCs w:val="22"/>
          <w:u w:val="single"/>
          <w:lang w:val="sr-Latn-ME" w:eastAsia="hr-HR"/>
        </w:rPr>
        <w:t>Kontracepcija kod muškaraca i žena</w:t>
      </w:r>
    </w:p>
    <w:p w:rsidR="00A92D10" w:rsidRPr="00B90281" w:rsidRDefault="00A92D10" w:rsidP="00A92D10">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Muškarci i žene u reproduktivnoj dobi moraju koristiti efikasne mjere kontracepcije tokom liječenja i tokom perioda do  3 mjeseca nakon terapije lijekom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w:t>
      </w:r>
    </w:p>
    <w:p w:rsidR="00A92D10" w:rsidRPr="00B90281" w:rsidRDefault="00A92D10" w:rsidP="00480FB1">
      <w:pPr>
        <w:tabs>
          <w:tab w:val="left" w:pos="540"/>
          <w:tab w:val="left" w:pos="569"/>
        </w:tabs>
        <w:rPr>
          <w:sz w:val="22"/>
          <w:szCs w:val="22"/>
          <w:u w:val="single"/>
          <w:lang w:val="sr-Latn-ME"/>
        </w:rPr>
      </w:pPr>
    </w:p>
    <w:p w:rsidR="002031B3" w:rsidRPr="00B90281" w:rsidRDefault="002031B3" w:rsidP="002031B3">
      <w:pPr>
        <w:tabs>
          <w:tab w:val="left" w:pos="540"/>
          <w:tab w:val="left" w:pos="569"/>
        </w:tabs>
        <w:rPr>
          <w:sz w:val="22"/>
          <w:szCs w:val="22"/>
          <w:u w:val="single"/>
          <w:lang w:val="sr-Latn-ME"/>
        </w:rPr>
      </w:pPr>
      <w:r w:rsidRPr="00B90281">
        <w:rPr>
          <w:sz w:val="22"/>
          <w:szCs w:val="22"/>
          <w:u w:val="single"/>
          <w:lang w:val="sr-Latn-ME"/>
        </w:rPr>
        <w:t>Plodnost</w:t>
      </w:r>
    </w:p>
    <w:p w:rsidR="002600F2" w:rsidRPr="00B90281" w:rsidRDefault="002600F2" w:rsidP="002600F2">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Ni</w:t>
      </w:r>
      <w:r w:rsidR="00DF5116" w:rsidRPr="00B90281">
        <w:rPr>
          <w:rFonts w:eastAsia="TimesNewRoman"/>
          <w:bCs/>
          <w:color w:val="000000"/>
          <w:sz w:val="22"/>
          <w:szCs w:val="22"/>
          <w:lang w:val="sr-Latn-ME" w:eastAsia="hr-HR"/>
        </w:rPr>
        <w:t>je</w:t>
      </w:r>
      <w:r w:rsidRPr="00B90281">
        <w:rPr>
          <w:rFonts w:eastAsia="TimesNewRoman"/>
          <w:bCs/>
          <w:color w:val="000000"/>
          <w:sz w:val="22"/>
          <w:szCs w:val="22"/>
          <w:lang w:val="sr-Latn-ME" w:eastAsia="hr-HR"/>
        </w:rPr>
        <w:t xml:space="preserve">su sprovedena ispitivanja uticaja lijeka Bortezomiba </w:t>
      </w:r>
      <w:r w:rsidR="00640DA2" w:rsidRPr="00B90281">
        <w:rPr>
          <w:rFonts w:eastAsia="TimesNewRoman"/>
          <w:bCs/>
          <w:color w:val="000000"/>
          <w:sz w:val="22"/>
          <w:szCs w:val="22"/>
          <w:lang w:val="sr-Latn-ME" w:eastAsia="hr-HR"/>
        </w:rPr>
        <w:t>Accord</w:t>
      </w:r>
      <w:r w:rsidRPr="00B90281">
        <w:rPr>
          <w:rFonts w:eastAsia="TimesNewRoman"/>
          <w:b/>
          <w:bCs/>
          <w:color w:val="000000"/>
          <w:sz w:val="22"/>
          <w:szCs w:val="22"/>
          <w:lang w:val="sr-Latn-ME" w:eastAsia="hr-HR"/>
        </w:rPr>
        <w:t xml:space="preserve"> </w:t>
      </w:r>
      <w:r w:rsidRPr="00B90281">
        <w:rPr>
          <w:rFonts w:eastAsia="TimesNewRoman"/>
          <w:bCs/>
          <w:color w:val="000000"/>
          <w:sz w:val="22"/>
          <w:szCs w:val="22"/>
          <w:lang w:val="sr-Latn-ME" w:eastAsia="hr-HR"/>
        </w:rPr>
        <w:t xml:space="preserve">na fertilitet (vidjeti </w:t>
      </w:r>
      <w:r w:rsidR="00EA2FA5" w:rsidRPr="00B90281">
        <w:rPr>
          <w:rFonts w:eastAsia="TimesNewRoman"/>
          <w:bCs/>
          <w:color w:val="000000"/>
          <w:sz w:val="22"/>
          <w:szCs w:val="22"/>
          <w:lang w:val="sr-Latn-ME" w:eastAsia="hr-HR"/>
        </w:rPr>
        <w:t>di</w:t>
      </w:r>
      <w:r w:rsidRPr="00B90281">
        <w:rPr>
          <w:rFonts w:eastAsia="TimesNewRoman"/>
          <w:bCs/>
          <w:color w:val="000000"/>
          <w:sz w:val="22"/>
          <w:szCs w:val="22"/>
          <w:lang w:val="sr-Latn-ME" w:eastAsia="hr-HR"/>
        </w:rPr>
        <w:t>o 5.3).</w:t>
      </w:r>
    </w:p>
    <w:p w:rsidR="002600F2" w:rsidRPr="00B90281" w:rsidRDefault="002600F2" w:rsidP="002031B3">
      <w:pPr>
        <w:tabs>
          <w:tab w:val="left" w:pos="540"/>
          <w:tab w:val="left" w:pos="569"/>
        </w:tabs>
        <w:rPr>
          <w:sz w:val="22"/>
          <w:szCs w:val="22"/>
          <w:u w:val="single"/>
          <w:lang w:val="sr-Latn-ME"/>
        </w:rPr>
      </w:pPr>
    </w:p>
    <w:p w:rsidR="007A3ECB" w:rsidRPr="00B90281" w:rsidRDefault="007A3ECB" w:rsidP="00480FB1">
      <w:pPr>
        <w:tabs>
          <w:tab w:val="left" w:pos="540"/>
          <w:tab w:val="left" w:pos="569"/>
        </w:tabs>
        <w:rPr>
          <w:sz w:val="22"/>
          <w:szCs w:val="22"/>
          <w:u w:val="single"/>
          <w:lang w:val="sr-Latn-ME"/>
        </w:rPr>
      </w:pPr>
      <w:r w:rsidRPr="00B90281">
        <w:rPr>
          <w:sz w:val="22"/>
          <w:szCs w:val="22"/>
          <w:u w:val="single"/>
          <w:lang w:val="sr-Latn-ME"/>
        </w:rPr>
        <w:t>Trudnoća</w:t>
      </w:r>
    </w:p>
    <w:p w:rsidR="002600F2" w:rsidRPr="00B90281" w:rsidRDefault="002600F2" w:rsidP="002600F2">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Nema dostupnih kliničkih podataka o izloženosti bortezomibu tokom trudnoće. Teratogeni potencijal bortezomiba nije u potpunosti ispitan.</w:t>
      </w:r>
    </w:p>
    <w:p w:rsidR="002600F2" w:rsidRPr="00B90281" w:rsidRDefault="002600F2" w:rsidP="002600F2">
      <w:pPr>
        <w:suppressAutoHyphens/>
        <w:autoSpaceDE w:val="0"/>
        <w:jc w:val="both"/>
        <w:rPr>
          <w:rFonts w:eastAsia="TimesNewRoman"/>
          <w:bCs/>
          <w:color w:val="000000"/>
          <w:sz w:val="22"/>
          <w:szCs w:val="22"/>
          <w:lang w:val="sr-Latn-ME" w:eastAsia="hr-HR"/>
        </w:rPr>
      </w:pPr>
    </w:p>
    <w:p w:rsidR="002600F2" w:rsidRPr="00B90281" w:rsidRDefault="002600F2" w:rsidP="002600F2">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U pretkliničkim ispitivanjima, bortezomib nije imao uticaj na embrionalno/fetalni razvoj mladunaca pacova i kunića pri najvišim dozama koje su ženke mogle podnijeti. Ni</w:t>
      </w:r>
      <w:r w:rsidR="00DF5116" w:rsidRPr="00B90281">
        <w:rPr>
          <w:rFonts w:eastAsia="TimesNewRoman"/>
          <w:bCs/>
          <w:color w:val="000000"/>
          <w:sz w:val="22"/>
          <w:szCs w:val="22"/>
          <w:lang w:val="sr-Latn-ME" w:eastAsia="hr-HR"/>
        </w:rPr>
        <w:t>je</w:t>
      </w:r>
      <w:r w:rsidRPr="00B90281">
        <w:rPr>
          <w:rFonts w:eastAsia="TimesNewRoman"/>
          <w:bCs/>
          <w:color w:val="000000"/>
          <w:sz w:val="22"/>
          <w:szCs w:val="22"/>
          <w:lang w:val="sr-Latn-ME" w:eastAsia="hr-HR"/>
        </w:rPr>
        <w:t xml:space="preserve">su sprovedena ispitivanja na životinjama koja bi utvrdila efekat lijeka  bortezomiba na porođaj  i postnatalni razvoj (vidjeti </w:t>
      </w:r>
      <w:r w:rsidR="005B16ED" w:rsidRPr="00B90281">
        <w:rPr>
          <w:rFonts w:eastAsia="TimesNewRoman"/>
          <w:bCs/>
          <w:color w:val="000000"/>
          <w:sz w:val="22"/>
          <w:szCs w:val="22"/>
          <w:lang w:val="sr-Latn-ME" w:eastAsia="hr-HR"/>
        </w:rPr>
        <w:t>di</w:t>
      </w:r>
      <w:r w:rsidRPr="00B90281">
        <w:rPr>
          <w:rFonts w:eastAsia="TimesNewRoman"/>
          <w:bCs/>
          <w:color w:val="000000"/>
          <w:sz w:val="22"/>
          <w:szCs w:val="22"/>
          <w:lang w:val="sr-Latn-ME" w:eastAsia="hr-HR"/>
        </w:rPr>
        <w:t xml:space="preserve">o 5.3). Lijek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se ne smije</w:t>
      </w:r>
      <w:r w:rsidR="00DF5116"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 xml:space="preserve">primjenjivati tokom trudnoće, osim ako kliničko stanje pacijentkinje  ne zahtijeva liječenje lijekom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w:t>
      </w:r>
    </w:p>
    <w:p w:rsidR="002600F2" w:rsidRPr="00B90281" w:rsidRDefault="002600F2" w:rsidP="002600F2">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Ako se lijek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primjenjuje tokom trudnoće ili ako pacijentkinja ostane u drugom stanju dok primijenjuje ovaj lijek, pacijentkinju je potrebno upozoriti na mogući rizik za fetus.</w:t>
      </w:r>
    </w:p>
    <w:p w:rsidR="00B90281" w:rsidRPr="00B90281" w:rsidRDefault="00B90281" w:rsidP="002600F2">
      <w:pPr>
        <w:suppressAutoHyphens/>
        <w:autoSpaceDE w:val="0"/>
        <w:jc w:val="both"/>
        <w:rPr>
          <w:rFonts w:eastAsia="TimesNewRoman"/>
          <w:bCs/>
          <w:color w:val="000000"/>
          <w:sz w:val="22"/>
          <w:szCs w:val="22"/>
          <w:lang w:val="sr-Latn-ME" w:eastAsia="hr-HR"/>
        </w:rPr>
      </w:pPr>
    </w:p>
    <w:p w:rsidR="002600F2" w:rsidRPr="00B90281" w:rsidRDefault="002600F2" w:rsidP="002600F2">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Talidomid je poznata humana  teratogena aktivna supstanca koja izaziva teške, životno ugrožavajuće defekte novorođenčeta. Talidomid je kontraindikovan tokom trudnoće i kod žena sa reproduktiv</w:t>
      </w:r>
      <w:r w:rsidR="005B16ED" w:rsidRPr="00B90281">
        <w:rPr>
          <w:rFonts w:eastAsia="TimesNewRoman"/>
          <w:bCs/>
          <w:color w:val="000000"/>
          <w:sz w:val="22"/>
          <w:szCs w:val="22"/>
          <w:lang w:val="sr-Latn-ME" w:eastAsia="hr-HR"/>
        </w:rPr>
        <w:t xml:space="preserve">nim potencijalom, osim ukoliko </w:t>
      </w:r>
      <w:r w:rsidRPr="00B90281">
        <w:rPr>
          <w:rFonts w:eastAsia="TimesNewRoman"/>
          <w:bCs/>
          <w:color w:val="000000"/>
          <w:sz w:val="22"/>
          <w:szCs w:val="22"/>
          <w:lang w:val="sr-Latn-ME" w:eastAsia="hr-HR"/>
        </w:rPr>
        <w:t>ni</w:t>
      </w:r>
      <w:r w:rsidR="00DF5116" w:rsidRPr="00B90281">
        <w:rPr>
          <w:rFonts w:eastAsia="TimesNewRoman"/>
          <w:bCs/>
          <w:color w:val="000000"/>
          <w:sz w:val="22"/>
          <w:szCs w:val="22"/>
          <w:lang w:val="sr-Latn-ME" w:eastAsia="hr-HR"/>
        </w:rPr>
        <w:t>je</w:t>
      </w:r>
      <w:r w:rsidRPr="00B90281">
        <w:rPr>
          <w:rFonts w:eastAsia="TimesNewRoman"/>
          <w:bCs/>
          <w:color w:val="000000"/>
          <w:sz w:val="22"/>
          <w:szCs w:val="22"/>
          <w:lang w:val="sr-Latn-ME" w:eastAsia="hr-HR"/>
        </w:rPr>
        <w:t>su is</w:t>
      </w:r>
      <w:r w:rsidR="005B16ED" w:rsidRPr="00B90281">
        <w:rPr>
          <w:rFonts w:eastAsia="TimesNewRoman"/>
          <w:bCs/>
          <w:color w:val="000000"/>
          <w:sz w:val="22"/>
          <w:szCs w:val="22"/>
          <w:lang w:val="sr-Latn-ME" w:eastAsia="hr-HR"/>
        </w:rPr>
        <w:t xml:space="preserve">punjeni  svi uslovi predviđeni </w:t>
      </w:r>
      <w:r w:rsidRPr="00B90281">
        <w:rPr>
          <w:rFonts w:eastAsia="TimesNewRoman"/>
          <w:bCs/>
          <w:color w:val="000000"/>
          <w:sz w:val="22"/>
          <w:szCs w:val="22"/>
          <w:lang w:val="sr-Latn-ME" w:eastAsia="hr-HR"/>
        </w:rPr>
        <w:t xml:space="preserve">talidomidskim programom prevencije trudnoće. Pacijenti  koji primaju lijek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u kombinaciji sa talidomidom moraju se </w:t>
      </w:r>
      <w:r w:rsidRPr="00B90281">
        <w:rPr>
          <w:rFonts w:eastAsia="TimesNewRoman"/>
          <w:bCs/>
          <w:color w:val="000000"/>
          <w:sz w:val="22"/>
          <w:szCs w:val="22"/>
          <w:lang w:val="sr-Latn-ME" w:eastAsia="hr-HR"/>
        </w:rPr>
        <w:lastRenderedPageBreak/>
        <w:t>p</w:t>
      </w:r>
      <w:r w:rsidR="005B16ED" w:rsidRPr="00B90281">
        <w:rPr>
          <w:rFonts w:eastAsia="TimesNewRoman"/>
          <w:bCs/>
          <w:color w:val="000000"/>
          <w:sz w:val="22"/>
          <w:szCs w:val="22"/>
          <w:lang w:val="sr-Latn-ME" w:eastAsia="hr-HR"/>
        </w:rPr>
        <w:t xml:space="preserve">ridržavati programa prevencije </w:t>
      </w:r>
      <w:r w:rsidRPr="00B90281">
        <w:rPr>
          <w:rFonts w:eastAsia="TimesNewRoman"/>
          <w:bCs/>
          <w:color w:val="000000"/>
          <w:sz w:val="22"/>
          <w:szCs w:val="22"/>
          <w:lang w:val="sr-Latn-ME" w:eastAsia="hr-HR"/>
        </w:rPr>
        <w:t>trudnoće. Za dodatne informacije pogledajte Sažetak karakteristika lijeka talidomida.</w:t>
      </w:r>
    </w:p>
    <w:p w:rsidR="002600F2" w:rsidRPr="00B90281" w:rsidRDefault="002600F2" w:rsidP="00480FB1">
      <w:pPr>
        <w:tabs>
          <w:tab w:val="left" w:pos="540"/>
          <w:tab w:val="left" w:pos="569"/>
        </w:tabs>
        <w:rPr>
          <w:sz w:val="22"/>
          <w:szCs w:val="22"/>
          <w:u w:val="single"/>
          <w:lang w:val="sr-Latn-ME"/>
        </w:rPr>
      </w:pPr>
    </w:p>
    <w:p w:rsidR="0072020E" w:rsidRPr="00B90281" w:rsidRDefault="007A3ECB" w:rsidP="00480FB1">
      <w:pPr>
        <w:tabs>
          <w:tab w:val="left" w:pos="540"/>
          <w:tab w:val="left" w:pos="569"/>
        </w:tabs>
        <w:rPr>
          <w:b/>
          <w:bCs/>
          <w:sz w:val="22"/>
          <w:szCs w:val="22"/>
          <w:lang w:val="sr-Latn-ME"/>
        </w:rPr>
      </w:pPr>
      <w:r w:rsidRPr="00B90281">
        <w:rPr>
          <w:sz w:val="22"/>
          <w:szCs w:val="22"/>
          <w:u w:val="single"/>
          <w:lang w:val="sr-Latn-ME"/>
        </w:rPr>
        <w:t xml:space="preserve">Dojenje </w:t>
      </w:r>
    </w:p>
    <w:p w:rsidR="00AF2180" w:rsidRPr="00B90281" w:rsidRDefault="00AF2180" w:rsidP="00AF2180">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Nije poznato da li se lijek bortezomib  izlučuje u </w:t>
      </w:r>
      <w:r w:rsidR="003A0B48" w:rsidRPr="00B90281">
        <w:rPr>
          <w:rFonts w:eastAsia="TimesNewRoman"/>
          <w:bCs/>
          <w:color w:val="000000"/>
          <w:sz w:val="22"/>
          <w:szCs w:val="22"/>
          <w:lang w:val="sr-Latn-ME" w:eastAsia="hr-HR"/>
        </w:rPr>
        <w:t xml:space="preserve">majčino </w:t>
      </w:r>
      <w:r w:rsidRPr="00B90281">
        <w:rPr>
          <w:rFonts w:eastAsia="TimesNewRoman"/>
          <w:bCs/>
          <w:color w:val="000000"/>
          <w:sz w:val="22"/>
          <w:szCs w:val="22"/>
          <w:lang w:val="sr-Latn-ME" w:eastAsia="hr-HR"/>
        </w:rPr>
        <w:t>mlijeko. Budući da postoji mogućnost ozbiljnih neželjenih dejstava lijeka</w:t>
      </w:r>
      <w:r w:rsidRPr="00B90281">
        <w:rPr>
          <w:rFonts w:eastAsia="Calibri"/>
          <w:sz w:val="22"/>
          <w:szCs w:val="22"/>
          <w:lang w:val="sr-Latn-ME" w:eastAsia="zh-CN"/>
        </w:rPr>
        <w:t xml:space="preserve"> </w:t>
      </w:r>
      <w:r w:rsidRPr="00B90281">
        <w:rPr>
          <w:rFonts w:eastAsia="TimesNewRoman"/>
          <w:bCs/>
          <w:color w:val="000000"/>
          <w:sz w:val="22"/>
          <w:szCs w:val="22"/>
          <w:lang w:val="sr-Latn-ME" w:eastAsia="hr-HR"/>
        </w:rPr>
        <w:t xml:space="preserve">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na odojče, ženama se savjetuje da prekinu  dojenje za vrijeme liječenja.</w:t>
      </w:r>
    </w:p>
    <w:p w:rsidR="00AF2180" w:rsidRPr="00B90281" w:rsidRDefault="00AF2180" w:rsidP="00396DFD">
      <w:pPr>
        <w:tabs>
          <w:tab w:val="left" w:pos="540"/>
          <w:tab w:val="left" w:pos="569"/>
        </w:tabs>
        <w:ind w:left="540" w:hanging="540"/>
        <w:rPr>
          <w:b/>
          <w:bCs/>
          <w:sz w:val="22"/>
          <w:szCs w:val="22"/>
          <w:lang w:val="sr-Latn-ME"/>
        </w:rPr>
      </w:pPr>
    </w:p>
    <w:p w:rsidR="0072020E" w:rsidRPr="00B90281" w:rsidRDefault="0072020E" w:rsidP="00396DFD">
      <w:pPr>
        <w:tabs>
          <w:tab w:val="left" w:pos="540"/>
          <w:tab w:val="left" w:pos="569"/>
        </w:tabs>
        <w:ind w:left="540" w:hanging="540"/>
        <w:rPr>
          <w:b/>
          <w:bCs/>
          <w:sz w:val="22"/>
          <w:szCs w:val="22"/>
          <w:lang w:val="sr-Latn-ME"/>
        </w:rPr>
      </w:pPr>
      <w:r w:rsidRPr="00B90281">
        <w:rPr>
          <w:b/>
          <w:bCs/>
          <w:sz w:val="22"/>
          <w:szCs w:val="22"/>
          <w:lang w:val="sr-Latn-ME"/>
        </w:rPr>
        <w:t xml:space="preserve">4.7. </w:t>
      </w:r>
      <w:r w:rsidR="00480FB1" w:rsidRPr="00B90281">
        <w:rPr>
          <w:b/>
          <w:bCs/>
          <w:sz w:val="22"/>
          <w:szCs w:val="22"/>
          <w:lang w:val="sr-Latn-ME"/>
        </w:rPr>
        <w:tab/>
      </w:r>
      <w:r w:rsidRPr="00B90281">
        <w:rPr>
          <w:b/>
          <w:bCs/>
          <w:sz w:val="22"/>
          <w:szCs w:val="22"/>
          <w:lang w:val="sr-Latn-ME"/>
        </w:rPr>
        <w:t xml:space="preserve">Uticaj na </w:t>
      </w:r>
      <w:r w:rsidR="002031B3" w:rsidRPr="00B90281">
        <w:rPr>
          <w:b/>
          <w:bCs/>
          <w:sz w:val="22"/>
          <w:szCs w:val="22"/>
          <w:lang w:val="sr-Latn-ME"/>
        </w:rPr>
        <w:t xml:space="preserve">sposobnost </w:t>
      </w:r>
      <w:r w:rsidR="00F34554" w:rsidRPr="00B90281">
        <w:rPr>
          <w:b/>
          <w:bCs/>
          <w:sz w:val="22"/>
          <w:szCs w:val="22"/>
          <w:lang w:val="sr-Latn-ME"/>
        </w:rPr>
        <w:t>upravljanja vozili</w:t>
      </w:r>
      <w:r w:rsidRPr="00B90281">
        <w:rPr>
          <w:b/>
          <w:bCs/>
          <w:sz w:val="22"/>
          <w:szCs w:val="22"/>
          <w:lang w:val="sr-Latn-ME"/>
        </w:rPr>
        <w:t>m</w:t>
      </w:r>
      <w:r w:rsidR="00F34554" w:rsidRPr="00B90281">
        <w:rPr>
          <w:b/>
          <w:bCs/>
          <w:sz w:val="22"/>
          <w:szCs w:val="22"/>
          <w:lang w:val="sr-Latn-ME"/>
        </w:rPr>
        <w:t>a</w:t>
      </w:r>
      <w:r w:rsidRPr="00B90281">
        <w:rPr>
          <w:b/>
          <w:bCs/>
          <w:sz w:val="22"/>
          <w:szCs w:val="22"/>
          <w:lang w:val="sr-Latn-ME"/>
        </w:rPr>
        <w:t xml:space="preserve"> i </w:t>
      </w:r>
      <w:r w:rsidR="000D3449" w:rsidRPr="00B90281">
        <w:rPr>
          <w:b/>
          <w:bCs/>
          <w:sz w:val="22"/>
          <w:szCs w:val="22"/>
          <w:lang w:val="sr-Latn-ME"/>
        </w:rPr>
        <w:t xml:space="preserve">rukovanje </w:t>
      </w:r>
      <w:r w:rsidRPr="00B90281">
        <w:rPr>
          <w:b/>
          <w:bCs/>
          <w:sz w:val="22"/>
          <w:szCs w:val="22"/>
          <w:lang w:val="sr-Latn-ME"/>
        </w:rPr>
        <w:t>mašinama</w:t>
      </w:r>
    </w:p>
    <w:p w:rsidR="0072020E" w:rsidRPr="00B90281" w:rsidRDefault="0072020E" w:rsidP="00480FB1">
      <w:pPr>
        <w:tabs>
          <w:tab w:val="left" w:pos="540"/>
          <w:tab w:val="left" w:pos="569"/>
        </w:tabs>
        <w:rPr>
          <w:b/>
          <w:bCs/>
          <w:sz w:val="22"/>
          <w:szCs w:val="22"/>
          <w:lang w:val="sr-Latn-ME"/>
        </w:rPr>
      </w:pPr>
    </w:p>
    <w:p w:rsidR="00AF40E2" w:rsidRPr="00B90281" w:rsidRDefault="00AF40E2" w:rsidP="00AF40E2">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Lijek Bortezomib </w:t>
      </w:r>
      <w:r w:rsidR="00640DA2" w:rsidRPr="00B90281">
        <w:rPr>
          <w:rFonts w:eastAsia="TimesNewRoman"/>
          <w:bCs/>
          <w:color w:val="000000"/>
          <w:sz w:val="22"/>
          <w:szCs w:val="22"/>
          <w:lang w:val="sr-Latn-ME" w:eastAsia="hr-HR"/>
        </w:rPr>
        <w:t>Accord</w:t>
      </w:r>
      <w:r w:rsidRPr="00B90281">
        <w:rPr>
          <w:rFonts w:eastAsia="TimesNewRoman"/>
          <w:b/>
          <w:bCs/>
          <w:color w:val="000000"/>
          <w:sz w:val="22"/>
          <w:szCs w:val="22"/>
          <w:lang w:val="sr-Latn-ME" w:eastAsia="hr-HR"/>
        </w:rPr>
        <w:t xml:space="preserve"> </w:t>
      </w:r>
      <w:r w:rsidRPr="00B90281">
        <w:rPr>
          <w:rFonts w:eastAsia="TimesNewRoman"/>
          <w:bCs/>
          <w:color w:val="000000"/>
          <w:sz w:val="22"/>
          <w:szCs w:val="22"/>
          <w:lang w:val="sr-Latn-ME" w:eastAsia="hr-HR"/>
        </w:rPr>
        <w:t xml:space="preserve">može da ima umjeren uticaj na sposobnost upravljanja motornim vozilima i rukovanja mašinama. Lijek Bortezomib </w:t>
      </w:r>
      <w:r w:rsidR="00640DA2" w:rsidRPr="00B90281">
        <w:rPr>
          <w:rFonts w:eastAsia="TimesNewRoman"/>
          <w:bCs/>
          <w:color w:val="000000"/>
          <w:sz w:val="22"/>
          <w:szCs w:val="22"/>
          <w:lang w:val="sr-Latn-ME" w:eastAsia="hr-HR"/>
        </w:rPr>
        <w:t>Accord</w:t>
      </w:r>
      <w:r w:rsidRPr="00B90281">
        <w:rPr>
          <w:rFonts w:eastAsia="TimesNewRoman"/>
          <w:b/>
          <w:bCs/>
          <w:color w:val="000000"/>
          <w:sz w:val="22"/>
          <w:szCs w:val="22"/>
          <w:lang w:val="sr-Latn-ME" w:eastAsia="hr-HR"/>
        </w:rPr>
        <w:t xml:space="preserve"> </w:t>
      </w:r>
      <w:r w:rsidRPr="00B90281">
        <w:rPr>
          <w:rFonts w:eastAsia="TimesNewRoman"/>
          <w:bCs/>
          <w:color w:val="000000"/>
          <w:sz w:val="22"/>
          <w:szCs w:val="22"/>
          <w:lang w:val="sr-Latn-ME" w:eastAsia="hr-HR"/>
        </w:rPr>
        <w:t>može vrlo često biti povezan sa umorom, često sa vrtoglavicom,</w:t>
      </w:r>
      <w:r w:rsidR="003A0B48"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povremeno</w:t>
      </w:r>
      <w:r w:rsidR="003A0B48"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 xml:space="preserve">sa sinkopom i često sa ortostatskom/posturalnom hipotenzijom ili zamagljenim vidom. Zbog toga, pacijenti na terapiji lijekom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moraju biti oprezni pri vožnji ili rukovanju mašinama, i potrebno je savjetovati im da ne voze i ne rukuju mašinama ukoliko se jave gore navedeni simptomi (takođe vidjeti i </w:t>
      </w:r>
      <w:r w:rsidR="00A537A0" w:rsidRPr="00B90281">
        <w:rPr>
          <w:rFonts w:eastAsia="TimesNewRoman"/>
          <w:bCs/>
          <w:color w:val="000000"/>
          <w:sz w:val="22"/>
          <w:szCs w:val="22"/>
          <w:lang w:val="sr-Latn-ME" w:eastAsia="hr-HR"/>
        </w:rPr>
        <w:t>di</w:t>
      </w:r>
      <w:r w:rsidRPr="00B90281">
        <w:rPr>
          <w:rFonts w:eastAsia="TimesNewRoman"/>
          <w:bCs/>
          <w:color w:val="000000"/>
          <w:sz w:val="22"/>
          <w:szCs w:val="22"/>
          <w:lang w:val="sr-Latn-ME" w:eastAsia="hr-HR"/>
        </w:rPr>
        <w:t>o 4.8).</w:t>
      </w:r>
    </w:p>
    <w:p w:rsidR="00AF40E2" w:rsidRPr="00B90281" w:rsidRDefault="00AF40E2" w:rsidP="00480FB1">
      <w:pPr>
        <w:tabs>
          <w:tab w:val="left" w:pos="540"/>
          <w:tab w:val="left" w:pos="569"/>
        </w:tabs>
        <w:rPr>
          <w:b/>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4.8. </w:t>
      </w:r>
      <w:r w:rsidR="00480FB1" w:rsidRPr="00B90281">
        <w:rPr>
          <w:b/>
          <w:bCs/>
          <w:sz w:val="22"/>
          <w:szCs w:val="22"/>
          <w:lang w:val="sr-Latn-ME"/>
        </w:rPr>
        <w:tab/>
      </w:r>
      <w:r w:rsidRPr="00B90281">
        <w:rPr>
          <w:b/>
          <w:bCs/>
          <w:sz w:val="22"/>
          <w:szCs w:val="22"/>
          <w:lang w:val="sr-Latn-ME"/>
        </w:rPr>
        <w:t>Neželjena dejstva</w:t>
      </w:r>
    </w:p>
    <w:p w:rsidR="004C61F5" w:rsidRPr="00B90281" w:rsidRDefault="004C61F5" w:rsidP="00480FB1">
      <w:pPr>
        <w:tabs>
          <w:tab w:val="left" w:pos="540"/>
          <w:tab w:val="left" w:pos="569"/>
        </w:tabs>
        <w:rPr>
          <w:b/>
          <w:bCs/>
          <w:sz w:val="22"/>
          <w:szCs w:val="22"/>
          <w:lang w:val="sr-Latn-ME"/>
        </w:rPr>
      </w:pP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u w:val="single"/>
          <w:lang w:val="sr-Latn-ME" w:eastAsia="hr-HR"/>
        </w:rPr>
        <w:t>Sažetak bezbjednosnog profila</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Ozbiljne neželjene reakcije koje su povremeno prijavljivane  tokom liječenja bortezomibom</w:t>
      </w:r>
      <w:r w:rsidRPr="00B90281">
        <w:rPr>
          <w:rFonts w:eastAsia="TimesNewRoman"/>
          <w:b/>
          <w:bCs/>
          <w:color w:val="000000"/>
          <w:sz w:val="22"/>
          <w:szCs w:val="22"/>
          <w:lang w:val="sr-Latn-ME" w:eastAsia="hr-HR"/>
        </w:rPr>
        <w:t xml:space="preserve"> </w:t>
      </w:r>
      <w:r w:rsidRPr="00B90281">
        <w:rPr>
          <w:rFonts w:eastAsia="TimesNewRoman"/>
          <w:bCs/>
          <w:color w:val="000000"/>
          <w:sz w:val="22"/>
          <w:szCs w:val="22"/>
          <w:lang w:val="sr-Latn-ME" w:eastAsia="hr-HR"/>
        </w:rPr>
        <w:t>uključuju: srčanu insuficijenciju, sindrom lize tumora, plućnu hipertenziju, sindrom posteriorne reverzibilne encefalopatije, akutne difuzne infiltrativne plućne poremećaje i rijetko autonomnu neuropatiju.</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Najčešće prijavljene neželjene reakcije tokom terapije bortezomibom</w:t>
      </w:r>
      <w:r w:rsidRPr="00B90281">
        <w:rPr>
          <w:rFonts w:eastAsia="TimesNewRoman"/>
          <w:b/>
          <w:bCs/>
          <w:color w:val="000000"/>
          <w:sz w:val="22"/>
          <w:szCs w:val="22"/>
          <w:lang w:val="sr-Latn-ME" w:eastAsia="hr-HR"/>
        </w:rPr>
        <w:t xml:space="preserve"> </w:t>
      </w:r>
      <w:r w:rsidRPr="00B90281">
        <w:rPr>
          <w:rFonts w:eastAsia="TimesNewRoman"/>
          <w:bCs/>
          <w:color w:val="000000"/>
          <w:sz w:val="22"/>
          <w:szCs w:val="22"/>
          <w:lang w:val="sr-Latn-ME" w:eastAsia="hr-HR"/>
        </w:rPr>
        <w:t xml:space="preserve">su: mučnina, dijareja, opstipacija, povraćanje, umor, pireksija, trombocitopenija, anemija, neutropenija, periferna neuropatija (uključujući senzornu), glavobolja, parestezija, smanjen apetit, dispneja, osip, </w:t>
      </w:r>
      <w:r w:rsidRPr="00B90281">
        <w:rPr>
          <w:rFonts w:eastAsia="TimesNewRoman"/>
          <w:bCs/>
          <w:i/>
          <w:color w:val="000000"/>
          <w:sz w:val="22"/>
          <w:szCs w:val="22"/>
          <w:lang w:val="sr-Latn-ME" w:eastAsia="hr-HR"/>
        </w:rPr>
        <w:t>herpes zoster</w:t>
      </w:r>
      <w:r w:rsidRPr="00B90281">
        <w:rPr>
          <w:rFonts w:eastAsia="TimesNewRoman"/>
          <w:bCs/>
          <w:color w:val="000000"/>
          <w:sz w:val="22"/>
          <w:szCs w:val="22"/>
          <w:lang w:val="sr-Latn-ME" w:eastAsia="hr-HR"/>
        </w:rPr>
        <w:t xml:space="preserve"> i mialgija.</w:t>
      </w:r>
    </w:p>
    <w:p w:rsidR="00FB109A" w:rsidRPr="00B90281" w:rsidRDefault="00FB109A" w:rsidP="00FB109A">
      <w:pPr>
        <w:suppressAutoHyphens/>
        <w:autoSpaceDE w:val="0"/>
        <w:jc w:val="both"/>
        <w:rPr>
          <w:rFonts w:eastAsia="TimesNewRoman"/>
          <w:bCs/>
          <w:color w:val="000000"/>
          <w:sz w:val="22"/>
          <w:szCs w:val="22"/>
          <w:lang w:val="sr-Latn-ME" w:eastAsia="hr-HR"/>
        </w:rPr>
      </w:pPr>
    </w:p>
    <w:p w:rsidR="00FB109A" w:rsidRPr="00B90281" w:rsidRDefault="00FB109A" w:rsidP="00FB109A">
      <w:pPr>
        <w:suppressAutoHyphens/>
        <w:autoSpaceDE w:val="0"/>
        <w:jc w:val="both"/>
        <w:rPr>
          <w:rFonts w:eastAsia="TimesNewRoman"/>
          <w:bCs/>
          <w:color w:val="000000"/>
          <w:sz w:val="22"/>
          <w:szCs w:val="22"/>
          <w:u w:val="single"/>
          <w:lang w:val="sr-Latn-ME" w:eastAsia="hr-HR"/>
        </w:rPr>
      </w:pPr>
      <w:r w:rsidRPr="00B90281">
        <w:rPr>
          <w:rFonts w:eastAsia="TimesNewRoman"/>
          <w:bCs/>
          <w:color w:val="000000"/>
          <w:sz w:val="22"/>
          <w:szCs w:val="22"/>
          <w:u w:val="single"/>
          <w:lang w:val="sr-Latn-ME" w:eastAsia="hr-HR"/>
        </w:rPr>
        <w:t>Tabelarni prikaz neželjenih reakcija</w:t>
      </w:r>
    </w:p>
    <w:p w:rsidR="00FB109A" w:rsidRPr="00B90281" w:rsidRDefault="00FB109A" w:rsidP="00FB109A">
      <w:pPr>
        <w:suppressAutoHyphens/>
        <w:autoSpaceDE w:val="0"/>
        <w:jc w:val="both"/>
        <w:rPr>
          <w:rFonts w:eastAsia="TimesNewRoman"/>
          <w:bCs/>
          <w:color w:val="000000"/>
          <w:sz w:val="22"/>
          <w:szCs w:val="22"/>
          <w:lang w:val="sr-Latn-ME" w:eastAsia="hr-HR"/>
        </w:rPr>
      </w:pPr>
    </w:p>
    <w:p w:rsidR="00FB109A" w:rsidRPr="00B90281" w:rsidRDefault="00FB109A" w:rsidP="00FB109A">
      <w:pPr>
        <w:suppressAutoHyphens/>
        <w:autoSpaceDE w:val="0"/>
        <w:jc w:val="both"/>
        <w:rPr>
          <w:rFonts w:eastAsia="TimesNewRoman"/>
          <w:bCs/>
          <w:i/>
          <w:color w:val="000000"/>
          <w:sz w:val="22"/>
          <w:szCs w:val="22"/>
          <w:lang w:val="sr-Latn-ME" w:eastAsia="hr-HR"/>
        </w:rPr>
      </w:pPr>
      <w:r w:rsidRPr="00B90281">
        <w:rPr>
          <w:rFonts w:eastAsia="TimesNewRoman"/>
          <w:bCs/>
          <w:i/>
          <w:color w:val="000000"/>
          <w:sz w:val="22"/>
          <w:szCs w:val="22"/>
          <w:lang w:val="sr-Latn-ME" w:eastAsia="hr-HR"/>
        </w:rPr>
        <w:t>Multipli mijelom</w:t>
      </w:r>
    </w:p>
    <w:p w:rsidR="00D967A2"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Za neželjene reakcije navedene</w:t>
      </w:r>
      <w:r w:rsidR="005D5617"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u Tabeli 7, istraživači su smatrali da postoji barem mogućnost ili vjerovatnost uzročno-posljedične povezanosti s</w:t>
      </w:r>
      <w:r w:rsidR="00D967A2" w:rsidRPr="00B90281">
        <w:rPr>
          <w:rFonts w:eastAsia="TimesNewRoman"/>
          <w:bCs/>
          <w:color w:val="000000"/>
          <w:sz w:val="22"/>
          <w:szCs w:val="22"/>
          <w:lang w:val="sr-Latn-ME" w:eastAsia="hr-HR"/>
        </w:rPr>
        <w:t>a</w:t>
      </w:r>
      <w:r w:rsidRPr="00B90281">
        <w:rPr>
          <w:rFonts w:eastAsia="TimesNewRoman"/>
          <w:bCs/>
          <w:color w:val="000000"/>
          <w:sz w:val="22"/>
          <w:szCs w:val="22"/>
          <w:lang w:val="sr-Latn-ME" w:eastAsia="hr-HR"/>
        </w:rPr>
        <w:t xml:space="preserve"> bortezomibom. Spisak neželjenih  reakcij</w:t>
      </w:r>
      <w:r w:rsidR="005D5617" w:rsidRPr="00B90281">
        <w:rPr>
          <w:rFonts w:eastAsia="TimesNewRoman"/>
          <w:bCs/>
          <w:color w:val="000000"/>
          <w:sz w:val="22"/>
          <w:szCs w:val="22"/>
          <w:lang w:val="sr-Latn-ME" w:eastAsia="hr-HR"/>
        </w:rPr>
        <w:t>a</w:t>
      </w:r>
      <w:r w:rsidRPr="00B90281">
        <w:rPr>
          <w:rFonts w:eastAsia="TimesNewRoman"/>
          <w:bCs/>
          <w:color w:val="000000"/>
          <w:sz w:val="22"/>
          <w:szCs w:val="22"/>
          <w:lang w:val="sr-Latn-ME" w:eastAsia="hr-HR"/>
        </w:rPr>
        <w:t xml:space="preserve"> je zasnovan na integrisanim podacima dobijenih  od 5 476 pacijenta od kojih je 3 996 bilo liječeno bortezomibom u dozi od 1,3 mg/m2 i uključen je u Tabelu 7.</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Sveukupno, bortezomib je primijenjen za liječenje multiplog mijeloma kod  3 974 pacijenta.</w:t>
      </w:r>
    </w:p>
    <w:p w:rsidR="00FB109A" w:rsidRPr="00B90281" w:rsidRDefault="00FB109A" w:rsidP="00FB109A">
      <w:pPr>
        <w:suppressAutoHyphens/>
        <w:autoSpaceDE w:val="0"/>
        <w:jc w:val="both"/>
        <w:rPr>
          <w:rFonts w:eastAsia="TimesNewRoman"/>
          <w:bCs/>
          <w:color w:val="000000"/>
          <w:sz w:val="22"/>
          <w:szCs w:val="22"/>
          <w:lang w:val="sr-Latn-ME" w:eastAsia="hr-HR"/>
        </w:rPr>
      </w:pP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Neželjene reakcije, u daljem tekstu, navedene su prema organskim sistemima i učestalosti. Učestalost neželjenih reakcija je izražena   kao: veoma često (≥ 1/10); često (≥ 1/100 i &lt; 1/10); povremeno (≥ 1/1000 i &lt; 1/100); rijetko (≥ 1/10 000 i &lt; 1/1000); veoma rijetko (&lt; 1/10 000), nepoznate učestalosti  (ne može se procijeniti iz dostupnih podataka). Unutar svake grupe učestalosti neželjene reakcije  su prikazane prema ozbiljnosti,  po opadajućem redosl</w:t>
      </w:r>
      <w:r w:rsidR="005D5617" w:rsidRPr="00B90281">
        <w:rPr>
          <w:rFonts w:eastAsia="TimesNewRoman"/>
          <w:bCs/>
          <w:color w:val="000000"/>
          <w:sz w:val="22"/>
          <w:szCs w:val="22"/>
          <w:lang w:val="sr-Latn-ME" w:eastAsia="hr-HR"/>
        </w:rPr>
        <w:t>ij</w:t>
      </w:r>
      <w:r w:rsidRPr="00B90281">
        <w:rPr>
          <w:rFonts w:eastAsia="TimesNewRoman"/>
          <w:bCs/>
          <w:color w:val="000000"/>
          <w:sz w:val="22"/>
          <w:szCs w:val="22"/>
          <w:lang w:val="sr-Latn-ME" w:eastAsia="hr-HR"/>
        </w:rPr>
        <w:t>edu. Osnov za izradu Tabele 7 bila je verzija 14.1 MedDRA-e. Takođe su uključene neželjene reakcije  zabilježene nakon stavljanja lijeka u promet, a koje nisu bile primijećene u kliničkim ispitivanjima</w:t>
      </w:r>
      <w:r w:rsidR="005D5617" w:rsidRPr="00B90281">
        <w:rPr>
          <w:rFonts w:eastAsia="TimesNewRoman"/>
          <w:bCs/>
          <w:color w:val="000000"/>
          <w:sz w:val="22"/>
          <w:szCs w:val="22"/>
          <w:lang w:val="sr-Latn-ME" w:eastAsia="hr-HR"/>
        </w:rPr>
        <w:t>.</w:t>
      </w:r>
    </w:p>
    <w:p w:rsidR="00FB109A" w:rsidRPr="00B90281" w:rsidRDefault="00FB109A" w:rsidP="00FB109A">
      <w:pPr>
        <w:suppressAutoHyphens/>
        <w:autoSpaceDE w:val="0"/>
        <w:jc w:val="both"/>
        <w:rPr>
          <w:rFonts w:eastAsia="TimesNewRoman"/>
          <w:b/>
          <w:bCs/>
          <w:color w:val="000000"/>
          <w:sz w:val="22"/>
          <w:szCs w:val="22"/>
          <w:lang w:val="sr-Latn-ME" w:eastAsia="hr-HR"/>
        </w:rPr>
      </w:pPr>
    </w:p>
    <w:p w:rsidR="00FB109A" w:rsidRPr="00B90281" w:rsidRDefault="00FB109A" w:rsidP="00FB109A">
      <w:pPr>
        <w:suppressAutoHyphens/>
        <w:autoSpaceDE w:val="0"/>
        <w:rPr>
          <w:rFonts w:eastAsia="TimesNewRoman"/>
          <w:b/>
          <w:bCs/>
          <w:color w:val="000000"/>
          <w:sz w:val="22"/>
          <w:szCs w:val="22"/>
          <w:lang w:val="sr-Latn-ME" w:eastAsia="hr-HR"/>
        </w:rPr>
      </w:pPr>
      <w:r w:rsidRPr="00B90281">
        <w:rPr>
          <w:rFonts w:eastAsia="TimesNewRoman"/>
          <w:bCs/>
          <w:i/>
          <w:iCs/>
          <w:color w:val="000000"/>
          <w:sz w:val="22"/>
          <w:szCs w:val="22"/>
          <w:lang w:val="sr-Latn-ME" w:eastAsia="hr-HR"/>
        </w:rPr>
        <w:t>Tabela 7: Neželjene reakcije kod  pacijenta s multiplim mijelomom, koji su  liječeni bortezomibom</w:t>
      </w:r>
      <w:r w:rsidR="00C60D98" w:rsidRPr="00B90281">
        <w:rPr>
          <w:rFonts w:eastAsia="TimesNewRoman"/>
          <w:bCs/>
          <w:i/>
          <w:iCs/>
          <w:color w:val="000000"/>
          <w:sz w:val="22"/>
          <w:szCs w:val="22"/>
          <w:lang w:val="sr-Latn-ME" w:eastAsia="hr-HR"/>
        </w:rPr>
        <w:t xml:space="preserve"> u </w:t>
      </w:r>
      <w:r w:rsidR="002C4492" w:rsidRPr="00B90281">
        <w:rPr>
          <w:rFonts w:eastAsia="TimesNewRoman"/>
          <w:bCs/>
          <w:i/>
          <w:iCs/>
          <w:color w:val="000000"/>
          <w:sz w:val="22"/>
          <w:szCs w:val="22"/>
          <w:lang w:val="sr-Latn-ME" w:eastAsia="hr-HR"/>
        </w:rPr>
        <w:t xml:space="preserve">kliničkim ispitivanjima i sve postmarketinške neželjene reakcije </w:t>
      </w:r>
      <w:r w:rsidR="00E54291" w:rsidRPr="00B90281">
        <w:rPr>
          <w:rFonts w:eastAsia="TimesNewRoman"/>
          <w:bCs/>
          <w:i/>
          <w:iCs/>
          <w:color w:val="000000"/>
          <w:sz w:val="22"/>
          <w:szCs w:val="22"/>
          <w:lang w:val="sr-Latn-ME" w:eastAsia="hr-HR"/>
        </w:rPr>
        <w:t>nezavisne</w:t>
      </w:r>
      <w:r w:rsidR="00C60D98" w:rsidRPr="00B90281">
        <w:rPr>
          <w:rFonts w:eastAsia="TimesNewRoman"/>
          <w:bCs/>
          <w:i/>
          <w:iCs/>
          <w:color w:val="000000"/>
          <w:sz w:val="22"/>
          <w:szCs w:val="22"/>
          <w:lang w:val="sr-Latn-ME" w:eastAsia="hr-HR"/>
        </w:rPr>
        <w:t xml:space="preserve"> o</w:t>
      </w:r>
      <w:r w:rsidR="00D7317C" w:rsidRPr="00B90281">
        <w:rPr>
          <w:rFonts w:eastAsia="TimesNewRoman"/>
          <w:bCs/>
          <w:i/>
          <w:iCs/>
          <w:color w:val="000000"/>
          <w:sz w:val="22"/>
          <w:szCs w:val="22"/>
          <w:lang w:val="sr-Latn-ME" w:eastAsia="hr-HR"/>
        </w:rPr>
        <w:t>d</w:t>
      </w:r>
      <w:r w:rsidR="00C60D98" w:rsidRPr="00B90281">
        <w:rPr>
          <w:rFonts w:eastAsia="TimesNewRoman"/>
          <w:bCs/>
          <w:i/>
          <w:iCs/>
          <w:color w:val="000000"/>
          <w:sz w:val="22"/>
          <w:szCs w:val="22"/>
          <w:lang w:val="sr-Latn-ME" w:eastAsia="hr-HR"/>
        </w:rPr>
        <w:t xml:space="preserve"> indikacije</w:t>
      </w:r>
      <w:r w:rsidRPr="00B90281">
        <w:rPr>
          <w:rFonts w:eastAsia="TimesNewRoman"/>
          <w:b/>
          <w:bCs/>
          <w:color w:val="000000"/>
          <w:sz w:val="22"/>
          <w:szCs w:val="22"/>
          <w:lang w:val="sr-Latn-ME" w:eastAsia="hr-HR"/>
        </w:rPr>
        <w:t xml:space="preserve"> </w:t>
      </w:r>
    </w:p>
    <w:tbl>
      <w:tblPr>
        <w:tblW w:w="5000" w:type="pct"/>
        <w:tblLook w:val="0000" w:firstRow="0" w:lastRow="0" w:firstColumn="0" w:lastColumn="0" w:noHBand="0" w:noVBand="0"/>
      </w:tblPr>
      <w:tblGrid>
        <w:gridCol w:w="2690"/>
        <w:gridCol w:w="1766"/>
        <w:gridCol w:w="4619"/>
      </w:tblGrid>
      <w:tr w:rsidR="00FB109A" w:rsidRPr="00B90281" w:rsidTr="007800D6">
        <w:trPr>
          <w:tblHeader/>
        </w:trPr>
        <w:tc>
          <w:tcPr>
            <w:tcW w:w="1482"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
                <w:bCs/>
                <w:color w:val="000000"/>
                <w:sz w:val="22"/>
                <w:szCs w:val="22"/>
                <w:lang w:val="sr-Latn-ME" w:eastAsia="hr-HR"/>
              </w:rPr>
            </w:pPr>
            <w:r w:rsidRPr="00B90281">
              <w:rPr>
                <w:rFonts w:eastAsia="TimesNewRoman"/>
                <w:b/>
                <w:bCs/>
                <w:color w:val="000000"/>
                <w:sz w:val="22"/>
                <w:szCs w:val="22"/>
                <w:lang w:val="sr-Latn-ME" w:eastAsia="hr-HR"/>
              </w:rPr>
              <w:t>Klasifikacija organskih sistema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jc w:val="center"/>
              <w:rPr>
                <w:rFonts w:eastAsia="TimesNewRoman"/>
                <w:b/>
                <w:bCs/>
                <w:color w:val="000000"/>
                <w:sz w:val="22"/>
                <w:szCs w:val="22"/>
                <w:lang w:val="sr-Latn-ME" w:eastAsia="hr-HR"/>
              </w:rPr>
            </w:pPr>
            <w:r w:rsidRPr="00B90281">
              <w:rPr>
                <w:rFonts w:eastAsia="TimesNewRoman"/>
                <w:b/>
                <w:bCs/>
                <w:color w:val="000000"/>
                <w:sz w:val="22"/>
                <w:szCs w:val="22"/>
                <w:lang w:val="sr-Latn-ME" w:eastAsia="hr-HR"/>
              </w:rPr>
              <w:t>Incidenca</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jc w:val="center"/>
              <w:rPr>
                <w:rFonts w:eastAsia="Calibri"/>
                <w:sz w:val="22"/>
                <w:szCs w:val="22"/>
                <w:lang w:val="sr-Latn-ME" w:eastAsia="zh-CN"/>
              </w:rPr>
            </w:pPr>
            <w:r w:rsidRPr="00B90281">
              <w:rPr>
                <w:rFonts w:eastAsia="TimesNewRoman"/>
                <w:b/>
                <w:bCs/>
                <w:color w:val="000000"/>
                <w:sz w:val="22"/>
                <w:szCs w:val="22"/>
                <w:lang w:val="sr-Latn-ME" w:eastAsia="hr-HR"/>
              </w:rPr>
              <w:t xml:space="preserve">Neželjena reakcija </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
                <w:bCs/>
                <w:iCs/>
                <w:color w:val="000000"/>
                <w:sz w:val="22"/>
                <w:szCs w:val="22"/>
                <w:lang w:val="sr-Latn-ME" w:eastAsia="hr-HR"/>
              </w:rPr>
            </w:pPr>
            <w:r w:rsidRPr="00B90281">
              <w:rPr>
                <w:rFonts w:eastAsia="TimesNewRoman"/>
                <w:bCs/>
                <w:color w:val="000000"/>
                <w:sz w:val="22"/>
                <w:szCs w:val="22"/>
                <w:lang w:val="sr-Latn-ME" w:eastAsia="hr-HR"/>
              </w:rPr>
              <w:t>Infekcije i infestacije</w:t>
            </w:r>
          </w:p>
          <w:p w:rsidR="00FB109A" w:rsidRPr="00B90281" w:rsidRDefault="00FB109A" w:rsidP="00FB109A">
            <w:pPr>
              <w:suppressAutoHyphens/>
              <w:autoSpaceDE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herpes zoster (uključujući diseminovani i oftalmički), pneumonija*, herpes simpleks*, gljivična infekcija*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infekcija*, bakterijske infekcije*, virusne infekcije*, sepsa (uključujući septički šok)*, bronhopneumonija, infekcija virusom herpesa*, herpetični meningoencefalitis</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xml:space="preserve">, bakterijemija (uključujući stafilokoknu), hordeolum (čmičak), influenca, celulitis, infekcija povezana sa </w:t>
            </w:r>
            <w:r w:rsidRPr="00B90281">
              <w:rPr>
                <w:rFonts w:eastAsia="TimesNewRoman"/>
                <w:bCs/>
                <w:color w:val="000000"/>
                <w:sz w:val="22"/>
                <w:szCs w:val="22"/>
                <w:lang w:val="sr-Latn-ME" w:eastAsia="hr-HR"/>
              </w:rPr>
              <w:lastRenderedPageBreak/>
              <w:t>sredstvom, kožna infekcija*, infekcija uha*, infekcija stafilokokom, infekcija zuba*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meningitis (uključujući bakterijski), infekcija Epstein-Barrovim virusom, genitalni herpes, tonzilitis, mastoiditis, sindrom postvirusnog umora</w:t>
            </w:r>
          </w:p>
        </w:tc>
      </w:tr>
      <w:tr w:rsidR="00FB109A" w:rsidRPr="00B90281" w:rsidTr="007800D6">
        <w:tc>
          <w:tcPr>
            <w:tcW w:w="1482"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Benigne, maligne i nespecifične neoplazme (uključujući ciste i polipe)</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maligna neoplazma, plazmocitna leukemija, karcinom renalnih ćelija, tkivna masa, </w:t>
            </w:r>
            <w:r w:rsidRPr="00B90281">
              <w:rPr>
                <w:rFonts w:eastAsia="TimesNewRoman"/>
                <w:bCs/>
                <w:i/>
                <w:color w:val="000000"/>
                <w:sz w:val="22"/>
                <w:szCs w:val="22"/>
                <w:lang w:val="sr-Latn-ME" w:eastAsia="hr-HR"/>
              </w:rPr>
              <w:t>Mycosis fungoides</w:t>
            </w:r>
            <w:r w:rsidRPr="00B90281">
              <w:rPr>
                <w:rFonts w:eastAsia="TimesNewRoman"/>
                <w:bCs/>
                <w:color w:val="000000"/>
                <w:sz w:val="22"/>
                <w:szCs w:val="22"/>
                <w:lang w:val="sr-Latn-ME" w:eastAsia="hr-HR"/>
              </w:rPr>
              <w:t>, benigna neoplazma *</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krvi i limfnog sistema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w:t>
            </w:r>
            <w:r w:rsidR="005D5617"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trombocitopenija *, neutropenija *, anemija*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leukopenija*, limfopenija *</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pancitopenija*, febrilna neutropenija, koagulopatija*, leukocitoza*, limfadenopatija, hemolitička anemija</w:t>
            </w:r>
            <w:r w:rsidRPr="00B90281">
              <w:rPr>
                <w:rFonts w:eastAsia="TimesNewRoman"/>
                <w:bCs/>
                <w:color w:val="000000"/>
                <w:sz w:val="22"/>
                <w:szCs w:val="22"/>
                <w:vertAlign w:val="superscript"/>
                <w:lang w:val="sr-Latn-ME" w:eastAsia="hr-HR"/>
              </w:rPr>
              <w:t>#</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diseminovana intravaskularna koagulacija, trombocitoza*, sindrom hiperviskoznosti, nespecifični poremećaj trombocita, </w:t>
            </w:r>
            <w:r w:rsidR="00924154" w:rsidRPr="00B90281">
              <w:rPr>
                <w:rFonts w:eastAsia="TimesNewRoman"/>
                <w:bCs/>
                <w:color w:val="000000"/>
                <w:sz w:val="22"/>
                <w:szCs w:val="22"/>
                <w:lang w:val="sr-Latn-ME" w:eastAsia="hr-HR"/>
              </w:rPr>
              <w:t xml:space="preserve">trombotička mikroangiopatija (uključujući </w:t>
            </w:r>
            <w:r w:rsidRPr="00B90281">
              <w:rPr>
                <w:rFonts w:eastAsia="TimesNewRoman"/>
                <w:bCs/>
                <w:color w:val="000000"/>
                <w:sz w:val="22"/>
                <w:szCs w:val="22"/>
                <w:lang w:val="sr-Latn-ME" w:eastAsia="hr-HR"/>
              </w:rPr>
              <w:t>trombocitopenijsk</w:t>
            </w:r>
            <w:r w:rsidR="00924154" w:rsidRPr="00B90281">
              <w:rPr>
                <w:rFonts w:eastAsia="TimesNewRoman"/>
                <w:bCs/>
                <w:color w:val="000000"/>
                <w:sz w:val="22"/>
                <w:szCs w:val="22"/>
                <w:lang w:val="sr-Latn-ME" w:eastAsia="hr-HR"/>
              </w:rPr>
              <w:t>u</w:t>
            </w:r>
            <w:r w:rsidRPr="00B90281">
              <w:rPr>
                <w:rFonts w:eastAsia="TimesNewRoman"/>
                <w:bCs/>
                <w:color w:val="000000"/>
                <w:sz w:val="22"/>
                <w:szCs w:val="22"/>
                <w:lang w:val="sr-Latn-ME" w:eastAsia="hr-HR"/>
              </w:rPr>
              <w:t xml:space="preserve"> purpur</w:t>
            </w:r>
            <w:r w:rsidR="00924154" w:rsidRPr="00B90281">
              <w:rPr>
                <w:rFonts w:eastAsia="TimesNewRoman"/>
                <w:bCs/>
                <w:color w:val="000000"/>
                <w:sz w:val="22"/>
                <w:szCs w:val="22"/>
                <w:lang w:val="sr-Latn-ME" w:eastAsia="hr-HR"/>
              </w:rPr>
              <w:t>u)</w:t>
            </w:r>
            <w:r w:rsidR="0025680C" w:rsidRPr="00B90281">
              <w:rPr>
                <w:rFonts w:eastAsia="TimesNewRoman"/>
                <w:bCs/>
                <w:color w:val="000000"/>
                <w:sz w:val="22"/>
                <w:szCs w:val="22"/>
                <w:vertAlign w:val="superscript"/>
                <w:lang w:val="sr-Latn-ME" w:eastAsia="hr-HR"/>
              </w:rPr>
              <w:t xml:space="preserve"> #</w:t>
            </w:r>
            <w:r w:rsidRPr="00B90281">
              <w:rPr>
                <w:rFonts w:eastAsia="TimesNewRoman"/>
                <w:bCs/>
                <w:color w:val="000000"/>
                <w:sz w:val="22"/>
                <w:szCs w:val="22"/>
                <w:lang w:val="sr-Latn-ME" w:eastAsia="hr-HR"/>
              </w:rPr>
              <w:t>, nespecifična oboljenja krvi, hemoragijska dijateza, limfocitna infiltracija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Poremećaji imunološkog sistema </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angioedem</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preosjetljivost*</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anafilaktički šok, amiloidoza, reakcija tipa III posredovana imunokompleksima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Poremećaji endokrinog sistema </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i/>
                <w:color w:val="000000"/>
                <w:sz w:val="22"/>
                <w:szCs w:val="22"/>
                <w:lang w:val="sr-Latn-ME" w:eastAsia="hr-HR"/>
              </w:rPr>
              <w:t>Cushing-ov</w:t>
            </w:r>
            <w:r w:rsidRPr="00B90281">
              <w:rPr>
                <w:rFonts w:eastAsia="TimesNewRoman"/>
                <w:bCs/>
                <w:color w:val="000000"/>
                <w:sz w:val="22"/>
                <w:szCs w:val="22"/>
                <w:lang w:val="sr-Latn-ME" w:eastAsia="hr-HR"/>
              </w:rPr>
              <w:t xml:space="preserve"> sindrom*, hipertireoza*,</w:t>
            </w:r>
            <w:r w:rsidRPr="00B90281">
              <w:rPr>
                <w:rFonts w:eastAsia="Calibri"/>
                <w:sz w:val="22"/>
                <w:szCs w:val="22"/>
                <w:lang w:val="sr-Latn-ME" w:eastAsia="zh-CN"/>
              </w:rPr>
              <w:t xml:space="preserve"> </w:t>
            </w:r>
            <w:r w:rsidRPr="00B90281">
              <w:rPr>
                <w:rFonts w:eastAsia="TimesNewRoman"/>
                <w:bCs/>
                <w:color w:val="000000"/>
                <w:sz w:val="22"/>
                <w:szCs w:val="22"/>
                <w:lang w:val="sr-Latn-ME" w:eastAsia="hr-HR"/>
              </w:rPr>
              <w:t>neadekvatna sekrecija antidiuretskog hormona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hipotireoza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metabolizma i ishrane</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w:t>
            </w:r>
            <w:r w:rsidR="00115EDC"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smanjen apetit</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dehidracija, hipokalijemija*, hiponatrijemija*, abnormalna glukoza u krvi*, hipokalcijemija*, poremećaj enzima *</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sindrom lize tumora, izostanak uspješnog rasta*, hipomagnezijemija *, hipofosfatemija*, hiperkalijemija*, hiperkalcijemija*, hipernatrijemija*, abnormalna koncentracija mokraćne kiseline*, dijabetes melitus*,</w:t>
            </w:r>
            <w:r w:rsidR="00EF6679"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 xml:space="preserve">retencija tečnosti </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hipermagnezijemija*, acidoza, elektrolitni disbalans*, preopterećenost tečnostima, hipohloremija*, hipovolemija, hiperhloremija*, hiperfosfatemija*, poremećaj metabolizma, nedostatak vitamina B kompleksa, nedostatak vitamina B12, giht, pojačan apetit, netolerancija na alkohol</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Psihijatrijski poremećaji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poremećaji i smetnje rasp</w:t>
            </w:r>
            <w:r w:rsidR="00115EDC" w:rsidRPr="00B90281">
              <w:rPr>
                <w:rFonts w:eastAsia="TimesNewRoman"/>
                <w:bCs/>
                <w:color w:val="000000"/>
                <w:sz w:val="22"/>
                <w:szCs w:val="22"/>
                <w:lang w:val="sr-Latn-ME" w:eastAsia="hr-HR"/>
              </w:rPr>
              <w:t>o</w:t>
            </w:r>
            <w:r w:rsidRPr="00B90281">
              <w:rPr>
                <w:rFonts w:eastAsia="TimesNewRoman"/>
                <w:bCs/>
                <w:color w:val="000000"/>
                <w:sz w:val="22"/>
                <w:szCs w:val="22"/>
                <w:lang w:val="sr-Latn-ME" w:eastAsia="hr-HR"/>
              </w:rPr>
              <w:t>loženja*, anksiozni poremećaj*, poremećaji i smetnje spavanja*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mentalni poremećaj*, halucinacije*, psihotični poremećaj*, konfuzija*, nemir</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suicidalne ideje *, poremećaj prilagođavanja, delirijum, smanjeni libido</w:t>
            </w:r>
          </w:p>
        </w:tc>
      </w:tr>
      <w:tr w:rsidR="00FB109A" w:rsidRPr="00B90281" w:rsidTr="007800D6">
        <w:tc>
          <w:tcPr>
            <w:tcW w:w="1482" w:type="pct"/>
            <w:vMerge w:val="restart"/>
            <w:tcBorders>
              <w:top w:val="single" w:sz="4" w:space="0" w:color="000000"/>
              <w:lef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nervnog sistema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w:t>
            </w:r>
            <w:r w:rsidR="00115EDC"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neuropatije*, periferna senzorna neuropatija, dizestezija*, neuralgija*</w:t>
            </w:r>
          </w:p>
        </w:tc>
      </w:tr>
      <w:tr w:rsidR="00FB109A" w:rsidRPr="00B90281" w:rsidTr="007800D6">
        <w:tc>
          <w:tcPr>
            <w:tcW w:w="1482" w:type="pct"/>
            <w:vMerge/>
            <w:tcBorders>
              <w:left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motorna neuropatija*, gubitak svijesti (uključujući sinkopu), vrtoglavica*, disgeuzija*, letargija, glavobolja*</w:t>
            </w:r>
          </w:p>
        </w:tc>
      </w:tr>
      <w:tr w:rsidR="00FB109A" w:rsidRPr="00B90281" w:rsidTr="007800D6">
        <w:tc>
          <w:tcPr>
            <w:tcW w:w="1482" w:type="pct"/>
            <w:vMerge/>
            <w:tcBorders>
              <w:left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tremor, periferna senzomotorna neuropatija, diskinezija*, poremećaji cerebelarne  koordinacije i  poremećaji ravnoteže *, gubitak pamćenja (isključujući demenciju)*, encefalopatija*, sindrom posteriorne reverzibilne encefalopatije</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neurotoksičnost, poremećaji sa epileptičkim napadima*, postherpetička neuralgija, poremećaj govora*, sindrom nemirnih nogu, migrena, išijas, poremećaj pažnje, abnormalni refleksi*, parosmija</w:t>
            </w:r>
          </w:p>
        </w:tc>
      </w:tr>
      <w:tr w:rsidR="00FB109A" w:rsidRPr="00B90281" w:rsidTr="007800D6">
        <w:tc>
          <w:tcPr>
            <w:tcW w:w="1482" w:type="pct"/>
            <w:vMerge/>
            <w:tcBorders>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cerebralna hemoragija*, intrakranijalna hemoragija</w:t>
            </w:r>
            <w:r w:rsidR="00EF6679"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(uključujući subarahnoidalnu)*, edem mozga, tranzitorni ishemijski napad, koma, disbalans autonomnog nervnog sistema, autonomna neuropatija, kranijalna paraliza*, paraliza*, pareza*, presinkopa, sindrom moždanog stabla, cerebrovaskularni poremećaj, lezije korijena nerva, psihomotorna hiperaktivnost, kompresija spinalnih živaca, nespecifični kognitivni poremećaj, motorna disfunkcija, nespecifični poremećaj nervnog sistema, radikulitis, balavljenje,  hipotonija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oka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oticanje oka*, abnormalan vid*, konjunktivitis*</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hemoragija u oku*, infekcija očnih kapka*, </w:t>
            </w:r>
            <w:r w:rsidR="00BA5F0B" w:rsidRPr="00B90281">
              <w:rPr>
                <w:rFonts w:eastAsia="TimesNewRoman"/>
                <w:bCs/>
                <w:color w:val="000000"/>
                <w:sz w:val="22"/>
                <w:szCs w:val="22"/>
                <w:lang w:val="sr-Latn-ME" w:eastAsia="hr-HR"/>
              </w:rPr>
              <w:t>halacion</w:t>
            </w:r>
            <w:r w:rsidR="00BA5F0B" w:rsidRPr="00B90281">
              <w:rPr>
                <w:rFonts w:eastAsia="TimesNewRoman"/>
                <w:bCs/>
                <w:color w:val="000000"/>
                <w:sz w:val="22"/>
                <w:szCs w:val="22"/>
                <w:vertAlign w:val="superscript"/>
                <w:lang w:val="sr-Latn-ME" w:eastAsia="hr-HR"/>
              </w:rPr>
              <w:t>#</w:t>
            </w:r>
            <w:r w:rsidR="00BA5F0B" w:rsidRPr="00B90281">
              <w:rPr>
                <w:rFonts w:eastAsia="TimesNewRoman"/>
                <w:bCs/>
                <w:color w:val="000000"/>
                <w:sz w:val="22"/>
                <w:szCs w:val="22"/>
                <w:lang w:val="sr-Latn-ME" w:eastAsia="hr-HR"/>
              </w:rPr>
              <w:t>, blefaritis</w:t>
            </w:r>
            <w:r w:rsidR="00BA5F0B" w:rsidRPr="00B90281">
              <w:rPr>
                <w:rFonts w:eastAsia="TimesNewRoman"/>
                <w:bCs/>
                <w:color w:val="000000"/>
                <w:sz w:val="22"/>
                <w:szCs w:val="22"/>
                <w:vertAlign w:val="superscript"/>
                <w:lang w:val="sr-Latn-ME" w:eastAsia="hr-HR"/>
              </w:rPr>
              <w:t>#</w:t>
            </w:r>
            <w:r w:rsidR="00BA5F0B"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zapaljenje oka*, diplopija, suvo oko*, iritacija oka*, bol u predjelu oka , pojačana lakrimacija, iscjedak iz oka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kornealne lezije*, egzoftalmus, retinitis, skotom, nespecifični poremećaj u predjelu oka (uključujući i očne kapke), stečeni dakrioadenitis, fotofobija, fotopsija, optička neuropatija#, različit stepen oštećenja vida (do pojave sljepila )*</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uha i labirinta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Vertigo*</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Disakuzija (uključujući tinitus)*, oštećenje sluha (do i uključujući gluvoću), nelagodnost u  ušima*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hemoragija uha, vestibularni neuronitis, nespecifični poremećaj uha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Kardiološki poremećaji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tamponada srca</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kardiopulmonalni arest*, fibrilacija srca (uključujući atrijalnu), srčana insuficijencija (uključujući insuficijenciju lijeve i desne komore )*, aritmija*, tahikardija*, palpitacije, angina pektoris, perikarditis (uključujući perikardijalni izliv)*, kardiomiopatija*, ventrikularna disfunkcija*, bradikardija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atrijalni  flater, infarkt miokarda*, atrioventrikularni blok*, kardiovaskularni poremećaj (uključujući kardiogeni šok), </w:t>
            </w:r>
            <w:r w:rsidRPr="00B90281">
              <w:rPr>
                <w:rFonts w:eastAsia="TimesNewRoman"/>
                <w:bCs/>
                <w:i/>
                <w:iCs/>
                <w:color w:val="000000"/>
                <w:sz w:val="22"/>
                <w:szCs w:val="22"/>
                <w:lang w:val="sr-Latn-ME" w:eastAsia="hr-HR"/>
              </w:rPr>
              <w:t>Torsade de pointes</w:t>
            </w:r>
            <w:r w:rsidRPr="00B90281">
              <w:rPr>
                <w:rFonts w:eastAsia="TimesNewRoman"/>
                <w:bCs/>
                <w:color w:val="000000"/>
                <w:sz w:val="22"/>
                <w:szCs w:val="22"/>
                <w:lang w:val="sr-Latn-ME" w:eastAsia="hr-HR"/>
              </w:rPr>
              <w:t>, nestabilna angina, poremećaji srčanih zalistaka*, insuficijencija koronarnih arterija, sinusni arest</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Vaskularni poremećaji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hipotenzija*, ortostatska hipotenzija, hipertenzija *</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cerebrovaskularni </w:t>
            </w:r>
            <w:r w:rsidR="00B822EB" w:rsidRPr="00B90281">
              <w:rPr>
                <w:rFonts w:eastAsia="TimesNewRoman"/>
                <w:bCs/>
                <w:color w:val="000000"/>
                <w:sz w:val="22"/>
                <w:szCs w:val="22"/>
                <w:lang w:val="sr-Latn-ME" w:eastAsia="hr-HR"/>
              </w:rPr>
              <w:t>događaj</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duboka venska tromboza*, krvarenje*, tromboflebitis (uključujući površinski), kolaps cirkulacije (uključujući hipovolemijski šok), flebitis, crvenilo uz osjećaj vrućine*, hematom (uključujući perirenalni)*, slaba periferna cirkulacija*, vaskulitis, hiperemija (uključujući okularnu)*</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periferna embolija, limfedem, bljedoća, eritromeg</w:t>
            </w:r>
            <w:r w:rsidR="0011164E" w:rsidRPr="00B90281">
              <w:rPr>
                <w:rFonts w:eastAsia="TimesNewRoman"/>
                <w:bCs/>
                <w:color w:val="000000"/>
                <w:sz w:val="22"/>
                <w:szCs w:val="22"/>
                <w:lang w:val="sr-Latn-ME" w:eastAsia="hr-HR"/>
              </w:rPr>
              <w:t>al</w:t>
            </w:r>
            <w:r w:rsidRPr="00B90281">
              <w:rPr>
                <w:rFonts w:eastAsia="TimesNewRoman"/>
                <w:bCs/>
                <w:color w:val="000000"/>
                <w:sz w:val="22"/>
                <w:szCs w:val="22"/>
                <w:lang w:val="sr-Latn-ME" w:eastAsia="hr-HR"/>
              </w:rPr>
              <w:t>ija, vazodilatacija, diskoloracija vena, venska insuficijencija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Respiratorni, torakalni i medijastinalni poremećaji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dispneja*, epistaksa, infekcija gornjih/donjih respiratornih puteva*, kašalj*</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plućna embolija, pleuralna efuzija, plućni edem (uključujući akutni), plućno alveolarno krvarenje</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bronhospazam, hronična opstruktivna plućna bolest*, hipoksemija*, kongestija respiratornog trakta*, hipoksija, pleuritis*, štucanje, rinoreja, disfonija, vizing</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D4723D"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w:t>
            </w:r>
            <w:r w:rsidR="00FB109A" w:rsidRPr="00B90281">
              <w:rPr>
                <w:rFonts w:eastAsia="TimesNewRoman"/>
                <w:bCs/>
                <w:color w:val="000000"/>
                <w:sz w:val="22"/>
                <w:szCs w:val="22"/>
                <w:lang w:val="sr-Latn-ME" w:eastAsia="hr-HR"/>
              </w:rPr>
              <w:t>espiratorni zastoj, akutni respiratorni distres sindrom, apnea, pneumotoraks, atelektaza, plućna hipertenzija, hemoptiza, hiperventilacija, ortopneja, pneumonitis, respiratorna alkaloza, tahipneja, plućna fibroza, bronhijalni poremećaj*, hipokapnija*, intersticijska bolest pluća, infitracija pluća, stezanje u grlu, suvo grlo, povećana sekrecija iz gornjih respiratornih  puteva, iritacija grla, sindrom kašlja gornjih respiratornih puteva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Gastrointestinalni poremećaji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w:t>
            </w:r>
            <w:r w:rsidR="00696038"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mučnina i simptomi povraćanja*, dijareja*, opstipacija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gastrointestinalna hemoragija (uključujući mukoznu)*, dispepsija, stomatitis*, distenzija abdomena, orofaringealni bol*, abdominalni bol (uključujući gastrointestinalni bol i bol u slezini)*, oralni poremećaji*, flatulencija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pankreatitis (uključujući hronični) *, hematemeza, oticanje usana*, gastrointestinalna opstrukcija (uključujući opstrukciju tankog crijeva, ileus)*, nelagoda u abdomenu, ulceracije u ustima*, enteritis*, gastritis*, krvarenje desni, gastroezofagealna refluksna bolest*, kolitis (uključujući clostridium difficile)*, ishemijski kolitis#, gastrointestinalna </w:t>
            </w:r>
            <w:r w:rsidR="0011164E" w:rsidRPr="00B90281">
              <w:rPr>
                <w:rFonts w:eastAsia="TimesNewRoman"/>
                <w:bCs/>
                <w:color w:val="000000"/>
                <w:sz w:val="22"/>
                <w:szCs w:val="22"/>
                <w:lang w:val="sr-Latn-ME" w:eastAsia="hr-HR"/>
              </w:rPr>
              <w:t>inflamacija</w:t>
            </w:r>
            <w:r w:rsidRPr="00B90281">
              <w:rPr>
                <w:rFonts w:eastAsia="TimesNewRoman"/>
                <w:bCs/>
                <w:color w:val="000000"/>
                <w:sz w:val="22"/>
                <w:szCs w:val="22"/>
                <w:lang w:val="sr-Latn-ME" w:eastAsia="hr-HR"/>
              </w:rPr>
              <w:t xml:space="preserve">*, disfagija, sindrom iritabilnog </w:t>
            </w:r>
            <w:r w:rsidR="0011164E" w:rsidRPr="00B90281">
              <w:rPr>
                <w:rFonts w:eastAsia="TimesNewRoman"/>
                <w:bCs/>
                <w:color w:val="000000"/>
                <w:sz w:val="22"/>
                <w:szCs w:val="22"/>
                <w:lang w:val="sr-Latn-ME" w:eastAsia="hr-HR"/>
              </w:rPr>
              <w:t>kolona</w:t>
            </w:r>
            <w:r w:rsidRPr="00B90281">
              <w:rPr>
                <w:rFonts w:eastAsia="TimesNewRoman"/>
                <w:bCs/>
                <w:color w:val="000000"/>
                <w:sz w:val="22"/>
                <w:szCs w:val="22"/>
                <w:lang w:val="sr-Latn-ME" w:eastAsia="hr-HR"/>
              </w:rPr>
              <w:t>, nespecifični gastrointestinalni poremećaj, obložen jezik, poremećaj motiliteta  gastrointestinalnog trakta *, poremećaj  pljuvačnih žlijezda*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akutni pankreatitis, peritonitis*, edem jezika*, ascites, ezofagitis, heilitis, fekalna inkontinencija, atonija analnog sfinktera, fekalom*, gastrointestinalne ulceracije i perforacije*, gingivalna hipertrofija, megakolon, rektalni iscjedak, orofaringealni mjehurići*, bol u predjelu   usana, peridontitis, analne fisure, </w:t>
            </w:r>
            <w:r w:rsidRPr="00B90281">
              <w:rPr>
                <w:rFonts w:eastAsia="TimesNewRoman"/>
                <w:bCs/>
                <w:color w:val="000000"/>
                <w:sz w:val="22"/>
                <w:szCs w:val="22"/>
                <w:lang w:val="sr-Latn-ME" w:eastAsia="hr-HR"/>
              </w:rPr>
              <w:lastRenderedPageBreak/>
              <w:t>promjene uobičajenog rada crijeva, proktalgija, abnormalni feces</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lastRenderedPageBreak/>
              <w:t>Hepatobilijarni poremećaji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abnormaln</w:t>
            </w:r>
            <w:r w:rsidR="0011164E" w:rsidRPr="00B90281">
              <w:rPr>
                <w:rFonts w:eastAsia="TimesNewRoman"/>
                <w:bCs/>
                <w:color w:val="000000"/>
                <w:sz w:val="22"/>
                <w:szCs w:val="22"/>
                <w:lang w:val="sr-Latn-ME" w:eastAsia="hr-HR"/>
              </w:rPr>
              <w:t>ost</w:t>
            </w:r>
            <w:r w:rsidRPr="00B90281">
              <w:rPr>
                <w:rFonts w:eastAsia="TimesNewRoman"/>
                <w:bCs/>
                <w:color w:val="000000"/>
                <w:sz w:val="22"/>
                <w:szCs w:val="22"/>
                <w:lang w:val="sr-Latn-ME" w:eastAsia="hr-HR"/>
              </w:rPr>
              <w:t xml:space="preserve">  enzima jetre*</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hepatotoksičnost (uključujući poremećaj jetre), hepatitis*, holestaza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insuficijencija jetre, hepatomegalija, </w:t>
            </w:r>
            <w:r w:rsidRPr="00B90281">
              <w:rPr>
                <w:rFonts w:eastAsia="TimesNewRoman"/>
                <w:bCs/>
                <w:i/>
                <w:color w:val="000000"/>
                <w:sz w:val="22"/>
                <w:szCs w:val="22"/>
                <w:lang w:val="sr-Latn-ME" w:eastAsia="hr-HR"/>
              </w:rPr>
              <w:t>Budd-Chiarijev</w:t>
            </w:r>
            <w:r w:rsidRPr="00B90281">
              <w:rPr>
                <w:rFonts w:eastAsia="TimesNewRoman"/>
                <w:bCs/>
                <w:color w:val="000000"/>
                <w:sz w:val="22"/>
                <w:szCs w:val="22"/>
                <w:lang w:val="sr-Latn-ME" w:eastAsia="hr-HR"/>
              </w:rPr>
              <w:t xml:space="preserve"> sindrom, citomegalovirusni hepatitis, hepatička hemoragija, holelitijaza </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kože i potkožnog tkiva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osip*, pruritus*, eritem, suva koža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multiformni eritem, urtikarija, akutna febrilna neutrofilna dermatoza, </w:t>
            </w:r>
            <w:r w:rsidR="0011164E" w:rsidRPr="00B90281">
              <w:rPr>
                <w:rFonts w:eastAsia="TimesNewRoman"/>
                <w:bCs/>
                <w:color w:val="000000"/>
                <w:sz w:val="22"/>
                <w:szCs w:val="22"/>
                <w:lang w:val="sr-Latn-ME" w:eastAsia="hr-HR"/>
              </w:rPr>
              <w:t>toksična erupcija kože</w:t>
            </w:r>
            <w:r w:rsidRPr="00B90281">
              <w:rPr>
                <w:rFonts w:eastAsia="TimesNewRoman"/>
                <w:bCs/>
                <w:color w:val="000000"/>
                <w:sz w:val="22"/>
                <w:szCs w:val="22"/>
                <w:lang w:val="sr-Latn-ME" w:eastAsia="hr-HR"/>
              </w:rPr>
              <w:t>, toksična epidermalna nekroliza</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Stevens-Johnsonov sindrom</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dermatitis*, poremećaj dlake*, petehije, ekhimoza, lezije kože, purpura, kožni noduli*, psorijaza, hiperhidroza, noćno znojenje, dekubitalni ulkus</w:t>
            </w:r>
            <w:r w:rsidRPr="00B90281">
              <w:rPr>
                <w:rFonts w:eastAsia="TimesNewRoman"/>
                <w:bCs/>
                <w:color w:val="000000"/>
                <w:sz w:val="22"/>
                <w:szCs w:val="22"/>
                <w:vertAlign w:val="superscript"/>
                <w:lang w:val="sr-Latn-ME" w:eastAsia="hr-HR"/>
              </w:rPr>
              <w:t>#</w:t>
            </w:r>
            <w:r w:rsidRPr="00B90281">
              <w:rPr>
                <w:rFonts w:eastAsia="TimesNewRoman"/>
                <w:bCs/>
                <w:color w:val="000000"/>
                <w:sz w:val="22"/>
                <w:szCs w:val="22"/>
                <w:lang w:val="sr-Latn-ME" w:eastAsia="hr-HR"/>
              </w:rPr>
              <w:t xml:space="preserve">, akne*, </w:t>
            </w:r>
            <w:r w:rsidR="0011164E" w:rsidRPr="00B90281">
              <w:rPr>
                <w:rFonts w:eastAsia="TimesNewRoman"/>
                <w:bCs/>
                <w:color w:val="000000"/>
                <w:sz w:val="22"/>
                <w:szCs w:val="22"/>
                <w:lang w:val="sr-Latn-ME" w:eastAsia="hr-HR"/>
              </w:rPr>
              <w:t>plikovi</w:t>
            </w:r>
            <w:r w:rsidRPr="00B90281">
              <w:rPr>
                <w:rFonts w:eastAsia="TimesNewRoman"/>
                <w:bCs/>
                <w:color w:val="000000"/>
                <w:sz w:val="22"/>
                <w:szCs w:val="22"/>
                <w:lang w:val="sr-Latn-ME" w:eastAsia="hr-HR"/>
              </w:rPr>
              <w:t>*, poremećaj pigmentacije*</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kožna reakcija, Jessnerova limfocitna infiltracija, sindrom palmarno plantarne eritrodisestezije (sindrom šaka stopalo), potkožno krvarenje, </w:t>
            </w:r>
            <w:r w:rsidRPr="00B90281">
              <w:rPr>
                <w:rFonts w:eastAsia="TimesNewRoman"/>
                <w:bCs/>
                <w:i/>
                <w:color w:val="000000"/>
                <w:sz w:val="22"/>
                <w:szCs w:val="22"/>
                <w:lang w:val="sr-Latn-ME" w:eastAsia="hr-HR"/>
              </w:rPr>
              <w:t>Livedo reticularis</w:t>
            </w:r>
            <w:r w:rsidRPr="00B90281">
              <w:rPr>
                <w:rFonts w:eastAsia="TimesNewRoman"/>
                <w:bCs/>
                <w:color w:val="000000"/>
                <w:sz w:val="22"/>
                <w:szCs w:val="22"/>
                <w:lang w:val="sr-Latn-ME" w:eastAsia="hr-HR"/>
              </w:rPr>
              <w:t>, kožna induracija, papule, reakcija fotoosjetljivosti, seboreja, hladan znoj, nespecifični kožni poremećaj, eritroza, kožni čirevi, poremećaj  nokt</w:t>
            </w:r>
            <w:r w:rsidR="00864076" w:rsidRPr="00B90281">
              <w:rPr>
                <w:rFonts w:eastAsia="TimesNewRoman"/>
                <w:bCs/>
                <w:color w:val="000000"/>
                <w:sz w:val="22"/>
                <w:szCs w:val="22"/>
                <w:lang w:val="sr-Latn-ME" w:eastAsia="hr-HR"/>
              </w:rPr>
              <w:t>iju</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mišićno-koštanog sistema i vezivnog tkiva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w:t>
            </w:r>
            <w:r w:rsidR="00D4723D"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muskuloskeletni bol* </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spazam mišića*, bol u ekstremitetima, mišićna slabost</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grčevi u mišićima , oticanje zglobova, artritis*, ukočenost zglobova, miopatija*, osjećaj težine</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rabdomioliza, sindrom temporomandibularnog zgloba, fistula, tečnost  u zglobovima, bol u vilici, poremećaj kostiju, infekcije i </w:t>
            </w:r>
            <w:r w:rsidR="00103CAF" w:rsidRPr="00B90281">
              <w:rPr>
                <w:rFonts w:eastAsia="TimesNewRoman"/>
                <w:bCs/>
                <w:color w:val="000000"/>
                <w:sz w:val="22"/>
                <w:szCs w:val="22"/>
                <w:lang w:val="sr-Latn-ME" w:eastAsia="hr-HR"/>
              </w:rPr>
              <w:t>zapaljenje</w:t>
            </w:r>
            <w:r w:rsidRPr="00B90281">
              <w:rPr>
                <w:rFonts w:eastAsia="TimesNewRoman"/>
                <w:bCs/>
                <w:color w:val="000000"/>
                <w:sz w:val="22"/>
                <w:szCs w:val="22"/>
                <w:lang w:val="sr-Latn-ME" w:eastAsia="hr-HR"/>
              </w:rPr>
              <w:t xml:space="preserve"> mišićno-koštanog sistema  i vezivnog tkiva*, sinovijalna cista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Poremećaji   bubrega i urinarnog sistema </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oštećenje  bubrega *</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akutna insuficijencija bubrega, hronična insuficijencija  bubrega*, infekcija mokraćnog sistema*, znaci i simptomi poremećaja urinarnog trakta*, hematurija*, retencija mokraće, poremećaj mokrenja*, proteinurija, azotemija, oligurija*, polakiurija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iritacija mokraćne bešike</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Poremećaji reproduktivnog sistema i   dojki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vaginalna hemoragija, genitalna bol*, erektilna disfunkcija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poremećaj testisa*, prostatitis, poremećaj dojki kod žena, osjetljivost epididimisa, epididimitis, pelvični bol, ulceracija na vulvi</w:t>
            </w:r>
          </w:p>
        </w:tc>
      </w:tr>
      <w:tr w:rsidR="00FB109A" w:rsidRPr="00B90281" w:rsidTr="007800D6">
        <w:tc>
          <w:tcPr>
            <w:tcW w:w="1482"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Kongenitalni</w:t>
            </w:r>
            <w:r w:rsidR="00D3545B" w:rsidRPr="00B90281">
              <w:rPr>
                <w:rFonts w:eastAsia="TimesNewRoman"/>
                <w:bCs/>
                <w:color w:val="000000"/>
                <w:sz w:val="22"/>
                <w:szCs w:val="22"/>
                <w:lang w:val="sr-Latn-ME" w:eastAsia="hr-HR"/>
              </w:rPr>
              <w:t>,</w:t>
            </w:r>
            <w:r w:rsidRPr="00B90281">
              <w:rPr>
                <w:rFonts w:eastAsia="TimesNewRoman"/>
                <w:bCs/>
                <w:color w:val="000000"/>
                <w:sz w:val="22"/>
                <w:szCs w:val="22"/>
                <w:lang w:val="sr-Latn-ME" w:eastAsia="hr-HR"/>
              </w:rPr>
              <w:t xml:space="preserve"> nasl</w:t>
            </w:r>
            <w:r w:rsidR="00864076" w:rsidRPr="00B90281">
              <w:rPr>
                <w:rFonts w:eastAsia="TimesNewRoman"/>
                <w:bCs/>
                <w:color w:val="000000"/>
                <w:sz w:val="22"/>
                <w:szCs w:val="22"/>
                <w:lang w:val="sr-Latn-ME" w:eastAsia="hr-HR"/>
              </w:rPr>
              <w:t>j</w:t>
            </w:r>
            <w:r w:rsidRPr="00B90281">
              <w:rPr>
                <w:rFonts w:eastAsia="TimesNewRoman"/>
                <w:bCs/>
                <w:color w:val="000000"/>
                <w:sz w:val="22"/>
                <w:szCs w:val="22"/>
                <w:lang w:val="sr-Latn-ME" w:eastAsia="hr-HR"/>
              </w:rPr>
              <w:t>edni  i genetski poremećaji</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aplazija, gastrointestinalne malformacije, ihtioza</w:t>
            </w:r>
          </w:p>
        </w:tc>
      </w:tr>
      <w:tr w:rsidR="00FB109A" w:rsidRPr="00B90281" w:rsidTr="007800D6">
        <w:tc>
          <w:tcPr>
            <w:tcW w:w="1482" w:type="pct"/>
            <w:vMerge w:val="restart"/>
            <w:tcBorders>
              <w:top w:val="single" w:sz="4" w:space="0" w:color="000000"/>
              <w:lef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Opšti poremećaji i reakcije na mjestu primjene</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V</w:t>
            </w:r>
            <w:r w:rsidR="00864076"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pireksija*, umor, astenija</w:t>
            </w:r>
          </w:p>
          <w:p w:rsidR="00FB109A" w:rsidRPr="00B90281" w:rsidRDefault="00FB109A" w:rsidP="00FB109A">
            <w:pPr>
              <w:suppressAutoHyphens/>
              <w:autoSpaceDE w:val="0"/>
              <w:rPr>
                <w:rFonts w:eastAsia="TimesNewRoman"/>
                <w:bCs/>
                <w:color w:val="000000"/>
                <w:sz w:val="22"/>
                <w:szCs w:val="22"/>
                <w:lang w:val="sr-Latn-ME" w:eastAsia="hr-HR"/>
              </w:rPr>
            </w:pPr>
          </w:p>
        </w:tc>
      </w:tr>
      <w:tr w:rsidR="00FB109A" w:rsidRPr="00B90281" w:rsidTr="007800D6">
        <w:tc>
          <w:tcPr>
            <w:tcW w:w="1482" w:type="pct"/>
            <w:vMerge/>
            <w:tcBorders>
              <w:left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edemi (uključujući periferne), drhtavica, bol*, malaksalost*</w:t>
            </w:r>
          </w:p>
        </w:tc>
      </w:tr>
      <w:tr w:rsidR="00FB109A" w:rsidRPr="00B90281" w:rsidTr="007800D6">
        <w:tc>
          <w:tcPr>
            <w:tcW w:w="1482" w:type="pct"/>
            <w:vMerge/>
            <w:tcBorders>
              <w:left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pogoršanje opšteg fizičkog zdravlja*, edem lica*, reakcija na mjestu primjene*, poremećaj sluznice*, bol u grudima, poremećaj hodanja, osjećaj hladnoće, ekstravazacija*, komplikacije povezane sa kateterom*, promjene u osjećaju žeđi*, nelagoda u grudima, osjećaj promjene temperature tijela*, bol na mjestu primjene*</w:t>
            </w:r>
          </w:p>
        </w:tc>
      </w:tr>
      <w:tr w:rsidR="00FB109A" w:rsidRPr="00B90281" w:rsidTr="007800D6">
        <w:tc>
          <w:tcPr>
            <w:tcW w:w="1482" w:type="pct"/>
            <w:vMerge/>
            <w:tcBorders>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smrt (uključ</w:t>
            </w:r>
            <w:r w:rsidR="0092708E" w:rsidRPr="00B90281">
              <w:rPr>
                <w:rFonts w:eastAsia="TimesNewRoman"/>
                <w:bCs/>
                <w:color w:val="000000"/>
                <w:sz w:val="22"/>
                <w:szCs w:val="22"/>
                <w:lang w:val="sr-Latn-ME" w:eastAsia="hr-HR"/>
              </w:rPr>
              <w:t>ujući iznenadnu), multiorgansk</w:t>
            </w:r>
            <w:r w:rsidRPr="00B90281">
              <w:rPr>
                <w:rFonts w:eastAsia="TimesNewRoman"/>
                <w:bCs/>
                <w:color w:val="000000"/>
                <w:sz w:val="22"/>
                <w:szCs w:val="22"/>
                <w:lang w:val="sr-Latn-ME" w:eastAsia="hr-HR"/>
              </w:rPr>
              <w:t>a</w:t>
            </w:r>
            <w:r w:rsidR="0092708E"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insuficijencija, krvarenje na mjestu primjene*, hernija (uključujući hijatus herniju)*, poremećaj zara</w:t>
            </w:r>
            <w:r w:rsidR="00864076" w:rsidRPr="00B90281">
              <w:rPr>
                <w:rFonts w:eastAsia="TimesNewRoman"/>
                <w:bCs/>
                <w:color w:val="000000"/>
                <w:sz w:val="22"/>
                <w:szCs w:val="22"/>
                <w:lang w:val="sr-Latn-ME" w:eastAsia="hr-HR"/>
              </w:rPr>
              <w:t>stanja</w:t>
            </w:r>
            <w:r w:rsidRPr="00B90281">
              <w:rPr>
                <w:rFonts w:eastAsia="TimesNewRoman"/>
                <w:bCs/>
                <w:color w:val="000000"/>
                <w:sz w:val="22"/>
                <w:szCs w:val="22"/>
                <w:lang w:val="sr-Latn-ME" w:eastAsia="hr-HR"/>
              </w:rPr>
              <w:t xml:space="preserve">*, </w:t>
            </w:r>
            <w:r w:rsidR="00D3545B" w:rsidRPr="00B90281">
              <w:rPr>
                <w:rFonts w:eastAsia="TimesNewRoman"/>
                <w:bCs/>
                <w:color w:val="000000"/>
                <w:sz w:val="22"/>
                <w:szCs w:val="22"/>
                <w:lang w:val="sr-Latn-ME" w:eastAsia="hr-HR"/>
              </w:rPr>
              <w:t>zapaljenje</w:t>
            </w:r>
            <w:r w:rsidRPr="00B90281">
              <w:rPr>
                <w:rFonts w:eastAsia="TimesNewRoman"/>
                <w:bCs/>
                <w:color w:val="000000"/>
                <w:sz w:val="22"/>
                <w:szCs w:val="22"/>
                <w:lang w:val="sr-Latn-ME" w:eastAsia="hr-HR"/>
              </w:rPr>
              <w:t xml:space="preserve">, flebitis na mjestu primjene*, osjetljivost, ulkus, iritabilnost, bol u grudima ne-kardijalnog porijekla, bol na mjestu katetera, osjećaj stranog tijela </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Ispitivanja</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Često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smanjenje tjelesne mase</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hiperbilirubinemija*, abnormalan nalaz proteina*, povećana težina, abnormalne analize  krvi*, povećan C-reaktivni protein</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abnormaln</w:t>
            </w:r>
            <w:r w:rsidR="00864076" w:rsidRPr="00B90281">
              <w:rPr>
                <w:rFonts w:eastAsia="TimesNewRoman"/>
                <w:bCs/>
                <w:color w:val="000000"/>
                <w:sz w:val="22"/>
                <w:szCs w:val="22"/>
                <w:lang w:val="sr-Latn-ME" w:eastAsia="hr-HR"/>
              </w:rPr>
              <w:t>i</w:t>
            </w:r>
            <w:r w:rsidRPr="00B90281">
              <w:rPr>
                <w:rFonts w:eastAsia="TimesNewRoman"/>
                <w:bCs/>
                <w:color w:val="000000"/>
                <w:sz w:val="22"/>
                <w:szCs w:val="22"/>
                <w:lang w:val="sr-Latn-ME" w:eastAsia="hr-HR"/>
              </w:rPr>
              <w:t xml:space="preserve"> gasova u krvi*, abnormalnosti na elektrokardiogramu (uključujući prolongaciju QT intervala)*, abnormalnosti u  vrijednosti INR*, snižen pH želuca, povećana agregacija trombocita, povišene vrijednosti  troponina I, identifikacija virusa i serologija*, abnormalnosti prilikom analize urina*</w:t>
            </w:r>
          </w:p>
        </w:tc>
      </w:tr>
      <w:tr w:rsidR="00FB109A" w:rsidRPr="00B90281" w:rsidTr="007800D6">
        <w:tc>
          <w:tcPr>
            <w:tcW w:w="1482" w:type="pct"/>
            <w:vMerge w:val="restar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Povrede, trovanja i proceduralne komplikacije</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Povremeno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pad, kontuzija</w:t>
            </w:r>
          </w:p>
        </w:tc>
      </w:tr>
      <w:tr w:rsidR="00FB109A" w:rsidRPr="00B90281" w:rsidTr="007800D6">
        <w:tc>
          <w:tcPr>
            <w:tcW w:w="1482" w:type="pct"/>
            <w:vMerge/>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snapToGrid w:val="0"/>
              <w:rPr>
                <w:rFonts w:eastAsia="TimesNewRoman"/>
                <w:b/>
                <w:bCs/>
                <w:iCs/>
                <w:color w:val="000000"/>
                <w:sz w:val="22"/>
                <w:szCs w:val="22"/>
                <w:lang w:val="sr-Latn-ME" w:eastAsia="hr-HR"/>
              </w:rPr>
            </w:pP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reakcije na mjestu transfuzije, prelomi*, rigor*, povreda lica, povreda  zgloba*, opekotine, laceracija, proceduralni bol, radijacijske povrede*</w:t>
            </w:r>
          </w:p>
        </w:tc>
      </w:tr>
      <w:tr w:rsidR="00FB109A" w:rsidRPr="00B90281" w:rsidTr="007800D6">
        <w:tc>
          <w:tcPr>
            <w:tcW w:w="1482"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Operativne i medicinske procedure</w:t>
            </w:r>
          </w:p>
        </w:tc>
        <w:tc>
          <w:tcPr>
            <w:tcW w:w="973" w:type="pct"/>
            <w:tcBorders>
              <w:top w:val="single" w:sz="4" w:space="0" w:color="000000"/>
              <w:left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Rijetko</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aktivacija makrofaga</w:t>
            </w:r>
          </w:p>
          <w:p w:rsidR="00FB109A" w:rsidRPr="00B90281" w:rsidRDefault="00FB109A" w:rsidP="00FB109A">
            <w:pPr>
              <w:suppressAutoHyphens/>
              <w:autoSpaceDE w:val="0"/>
              <w:rPr>
                <w:rFonts w:eastAsia="TimesNewRoman"/>
                <w:bCs/>
                <w:color w:val="000000"/>
                <w:sz w:val="22"/>
                <w:szCs w:val="22"/>
                <w:lang w:val="sr-Latn-ME" w:eastAsia="hr-HR"/>
              </w:rPr>
            </w:pPr>
          </w:p>
        </w:tc>
      </w:tr>
    </w:tbl>
    <w:p w:rsidR="00FB109A" w:rsidRPr="00B90281" w:rsidRDefault="00FB109A" w:rsidP="00FB109A">
      <w:pPr>
        <w:suppressAutoHyphens/>
        <w:autoSpaceDE w:val="0"/>
        <w:rPr>
          <w:rFonts w:eastAsia="TimesNewRoman"/>
          <w:bCs/>
          <w:color w:val="000000"/>
          <w:sz w:val="20"/>
          <w:szCs w:val="22"/>
          <w:lang w:val="sr-Latn-ME" w:eastAsia="hr-HR"/>
        </w:rPr>
      </w:pPr>
      <w:r w:rsidRPr="00B90281">
        <w:rPr>
          <w:rFonts w:eastAsia="TimesNewRoman"/>
          <w:bCs/>
          <w:color w:val="000000"/>
          <w:sz w:val="20"/>
          <w:szCs w:val="22"/>
          <w:lang w:val="sr-Latn-ME" w:eastAsia="hr-HR"/>
        </w:rPr>
        <w:t>* Grupisanje više od jednog MedDRA preporučenog medicinskog termina.</w:t>
      </w:r>
    </w:p>
    <w:p w:rsidR="00FB109A" w:rsidRPr="00B90281" w:rsidRDefault="00FB109A" w:rsidP="00FB109A">
      <w:pPr>
        <w:suppressAutoHyphens/>
        <w:autoSpaceDE w:val="0"/>
        <w:rPr>
          <w:rFonts w:eastAsia="TimesNewRoman"/>
          <w:bCs/>
          <w:color w:val="000000"/>
          <w:sz w:val="20"/>
          <w:szCs w:val="22"/>
          <w:lang w:val="sr-Latn-ME" w:eastAsia="hr-HR"/>
        </w:rPr>
      </w:pPr>
      <w:r w:rsidRPr="00B90281">
        <w:rPr>
          <w:rFonts w:eastAsia="TimesNewRoman"/>
          <w:bCs/>
          <w:color w:val="000000"/>
          <w:sz w:val="20"/>
          <w:szCs w:val="22"/>
          <w:lang w:val="sr-Latn-ME" w:eastAsia="hr-HR"/>
        </w:rPr>
        <w:t>#</w:t>
      </w:r>
      <w:r w:rsidR="00825AED" w:rsidRPr="00B90281">
        <w:rPr>
          <w:rFonts w:eastAsia="TimesNewRoman"/>
          <w:bCs/>
          <w:color w:val="000000"/>
          <w:sz w:val="20"/>
          <w:szCs w:val="22"/>
          <w:lang w:val="sr-Latn-ME" w:eastAsia="hr-HR"/>
        </w:rPr>
        <w:t xml:space="preserve"> </w:t>
      </w:r>
      <w:r w:rsidRPr="00B90281">
        <w:rPr>
          <w:rFonts w:eastAsia="TimesNewRoman"/>
          <w:bCs/>
          <w:color w:val="000000"/>
          <w:sz w:val="20"/>
          <w:szCs w:val="22"/>
          <w:lang w:val="sr-Latn-ME" w:eastAsia="hr-HR"/>
        </w:rPr>
        <w:t>postmarketinška neželjena reakcija</w:t>
      </w:r>
      <w:r w:rsidR="00D67338" w:rsidRPr="00B90281">
        <w:rPr>
          <w:rFonts w:eastAsia="TimesNewRoman"/>
          <w:bCs/>
          <w:color w:val="000000"/>
          <w:sz w:val="20"/>
          <w:szCs w:val="22"/>
          <w:lang w:val="sr-Latn-ME" w:eastAsia="hr-HR"/>
        </w:rPr>
        <w:t xml:space="preserve"> nezavisna od indikacije</w:t>
      </w:r>
      <w:r w:rsidRPr="00B90281">
        <w:rPr>
          <w:rFonts w:eastAsia="TimesNewRoman"/>
          <w:bCs/>
          <w:color w:val="000000"/>
          <w:sz w:val="20"/>
          <w:szCs w:val="22"/>
          <w:lang w:val="sr-Latn-ME" w:eastAsia="hr-HR"/>
        </w:rPr>
        <w:t>.</w:t>
      </w:r>
    </w:p>
    <w:p w:rsidR="00FB109A" w:rsidRPr="00B90281" w:rsidRDefault="00FB109A" w:rsidP="00FB109A">
      <w:pPr>
        <w:suppressAutoHyphens/>
        <w:autoSpaceDE w:val="0"/>
        <w:rPr>
          <w:rFonts w:eastAsia="TimesNewRoman"/>
          <w:bCs/>
          <w:i/>
          <w:color w:val="000000"/>
          <w:sz w:val="22"/>
          <w:szCs w:val="22"/>
          <w:lang w:val="sr-Latn-ME" w:eastAsia="hr-HR"/>
        </w:rPr>
      </w:pPr>
    </w:p>
    <w:p w:rsidR="00FB109A" w:rsidRPr="00B90281" w:rsidRDefault="00FB109A" w:rsidP="00FB109A">
      <w:pPr>
        <w:suppressAutoHyphens/>
        <w:autoSpaceDE w:val="0"/>
        <w:jc w:val="both"/>
        <w:rPr>
          <w:rFonts w:eastAsia="TimesNewRoman"/>
          <w:bCs/>
          <w:i/>
          <w:color w:val="000000"/>
          <w:sz w:val="22"/>
          <w:szCs w:val="22"/>
          <w:lang w:val="sr-Latn-ME" w:eastAsia="hr-HR"/>
        </w:rPr>
      </w:pPr>
      <w:r w:rsidRPr="00B90281">
        <w:rPr>
          <w:rFonts w:eastAsia="TimesNewRoman"/>
          <w:bCs/>
          <w:i/>
          <w:color w:val="000000"/>
          <w:sz w:val="22"/>
          <w:szCs w:val="22"/>
          <w:lang w:val="sr-Latn-ME" w:eastAsia="hr-HR"/>
        </w:rPr>
        <w:t>Limfom mantle ćelija (MCL)</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Bezbjedonosni profil bortezomiba kod 240 pacijenta sa MCLom liječenih sa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bortezomiba u</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kombinaciji sa rituksimabom, ciklofosfamidom, doksorubicinom i prednizonom (BtzR-CAP), u odnosu na 242 pacijenta liječenih sa rituksimabom, ciklofosfamidom, doksorubicinom, vinkristinom i</w:t>
      </w:r>
      <w:r w:rsid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prednizonom [R-CHOP] bio je relativno kompatibilan sa onim zapaženim kod pacijenta s multiplim</w:t>
      </w:r>
      <w:r w:rsid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mijelomom sa glavnim razlikama koje su opisane ispod. Dodatno identifikovane neželjene reakcije  povezane sa primjenom kombinovanog  liječenja (BtzR-CAP) bile su hepatitis B</w:t>
      </w:r>
      <w:r w:rsidRPr="00B90281">
        <w:rPr>
          <w:rFonts w:eastAsia="Calibri"/>
          <w:sz w:val="22"/>
          <w:szCs w:val="22"/>
          <w:lang w:val="sr-Latn-ME" w:eastAsia="zh-CN"/>
        </w:rPr>
        <w:t xml:space="preserve"> </w:t>
      </w:r>
      <w:r w:rsidRPr="00B90281">
        <w:rPr>
          <w:rFonts w:eastAsia="TimesNewRoman"/>
          <w:bCs/>
          <w:color w:val="000000"/>
          <w:sz w:val="22"/>
          <w:szCs w:val="22"/>
          <w:lang w:val="sr-Latn-ME" w:eastAsia="hr-HR"/>
        </w:rPr>
        <w:t>infekcija (&lt; 1%) i ishemija miokarda (1,3%). Slična incidenca ovih događaja u obje ispitivane grupe, ukazale su na to da se ove neželjene reakcije ne mogu pripisati samom bortezomibu. Značajne razlike u</w:t>
      </w:r>
      <w:r w:rsidR="00FA3ECA" w:rsidRPr="00B90281">
        <w:rPr>
          <w:rFonts w:eastAsia="TimesNewRoman"/>
          <w:bCs/>
          <w:color w:val="000000"/>
          <w:sz w:val="22"/>
          <w:szCs w:val="22"/>
          <w:lang w:val="sr-Latn-ME" w:eastAsia="hr-HR"/>
        </w:rPr>
        <w:t xml:space="preserve"> studijama u</w:t>
      </w:r>
      <w:r w:rsidRPr="00B90281">
        <w:rPr>
          <w:rFonts w:eastAsia="TimesNewRoman"/>
          <w:bCs/>
          <w:color w:val="000000"/>
          <w:sz w:val="22"/>
          <w:szCs w:val="22"/>
          <w:lang w:val="sr-Latn-ME" w:eastAsia="hr-HR"/>
        </w:rPr>
        <w:t xml:space="preserve"> populaciji pacijenta sa limfomom mantle ćelija kada se uporede sa ispitivanjima sa pacijentima sa multiplim mijelomom bile su: ≥ 5%</w:t>
      </w:r>
      <w:r w:rsid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viša incidenca hematoloških neželjenih reakcija (neutropenija, trombocitopenija, leukopenija, anemija,</w:t>
      </w:r>
      <w:r w:rsidR="00FA3ECA"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limfopenija), periferna senzorna neuropatija, hipertenzija, pireksija, pneumonija, stomatitis i poremećaji dlakavosti.</w:t>
      </w:r>
    </w:p>
    <w:p w:rsidR="00B90281" w:rsidRDefault="00B90281" w:rsidP="00FB109A">
      <w:pPr>
        <w:suppressAutoHyphens/>
        <w:autoSpaceDE w:val="0"/>
        <w:jc w:val="both"/>
        <w:rPr>
          <w:rFonts w:eastAsia="TimesNewRoman"/>
          <w:bCs/>
          <w:color w:val="000000"/>
          <w:sz w:val="22"/>
          <w:szCs w:val="22"/>
          <w:lang w:val="sr-Latn-ME" w:eastAsia="hr-HR"/>
        </w:rPr>
      </w:pP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Neželjene reakcije  identifikovane  poput onih sa incidencom ≥ 1%, slične ili veće incidence u BtzR-CAP grupi sa barem mogućom ili vjerovatnom uzročnom povezanošću sa komponentama grupe</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BtzR-CAP, navedene su u Tabeli 8 ispod. Takođe su uključene neželjene reakcije identifikovane u grupi BtzR-CAP za koje su istraživači smatrali da imaju barem moguću ili vjerovatnu uzročnu povezanost sa bortezomibom na temelju istorijskih  podataka u ispitivanjima multiplog mijeloma.</w:t>
      </w:r>
    </w:p>
    <w:p w:rsidR="00FB109A" w:rsidRPr="00B90281" w:rsidRDefault="00FB109A" w:rsidP="00FB109A">
      <w:pPr>
        <w:suppressAutoHyphens/>
        <w:autoSpaceDE w:val="0"/>
        <w:jc w:val="both"/>
        <w:rPr>
          <w:rFonts w:eastAsia="TimesNewRoman"/>
          <w:bCs/>
          <w:color w:val="000000"/>
          <w:sz w:val="22"/>
          <w:szCs w:val="22"/>
          <w:lang w:val="sr-Latn-ME" w:eastAsia="hr-HR"/>
        </w:rPr>
      </w:pP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Neželjene reakcije u daljem tekstu navedene su prema klasifikaciji organskih sistema  i grupi učestalosti.</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lastRenderedPageBreak/>
        <w:t>Učestalost se definiše kao: v</w:t>
      </w:r>
      <w:r w:rsidR="00FA3ECA"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često (≥ 1/10); često (≥ 1/100 i &lt; 1/10); povremeno (≥ 1/1000 i &lt; 1/100); rijetko (≥ 1/10 000 i &lt; 1/1000); v</w:t>
      </w:r>
      <w:r w:rsidR="00FA3ECA" w:rsidRPr="00B90281">
        <w:rPr>
          <w:rFonts w:eastAsia="TimesNewRoman"/>
          <w:bCs/>
          <w:color w:val="000000"/>
          <w:sz w:val="22"/>
          <w:szCs w:val="22"/>
          <w:lang w:val="sr-Latn-ME" w:eastAsia="hr-HR"/>
        </w:rPr>
        <w:t>eoma</w:t>
      </w:r>
      <w:r w:rsidRPr="00B90281">
        <w:rPr>
          <w:rFonts w:eastAsia="TimesNewRoman"/>
          <w:bCs/>
          <w:color w:val="000000"/>
          <w:sz w:val="22"/>
          <w:szCs w:val="22"/>
          <w:lang w:val="sr-Latn-ME" w:eastAsia="hr-HR"/>
        </w:rPr>
        <w:t xml:space="preserve"> rijetko (&lt; 1/10 000), nepoznato (ne može se procijeniti</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iz dostupnih podataka). Unutar svake grupe učestalosti neželjenih reakcija su prikazane prema ozbiljnosti, po opadajućem redosl</w:t>
      </w:r>
      <w:r w:rsidR="00FA3ECA" w:rsidRPr="00B90281">
        <w:rPr>
          <w:rFonts w:eastAsia="TimesNewRoman"/>
          <w:bCs/>
          <w:color w:val="000000"/>
          <w:sz w:val="22"/>
          <w:szCs w:val="22"/>
          <w:lang w:val="sr-Latn-ME" w:eastAsia="hr-HR"/>
        </w:rPr>
        <w:t>ij</w:t>
      </w:r>
      <w:r w:rsidRPr="00B90281">
        <w:rPr>
          <w:rFonts w:eastAsia="TimesNewRoman"/>
          <w:bCs/>
          <w:color w:val="000000"/>
          <w:sz w:val="22"/>
          <w:szCs w:val="22"/>
          <w:lang w:val="sr-Latn-ME" w:eastAsia="hr-HR"/>
        </w:rPr>
        <w:t>edu. Osnov za izradu tabele 8 bila je verzija 16 MedDRA.</w:t>
      </w:r>
    </w:p>
    <w:p w:rsidR="00FB109A" w:rsidRPr="00B90281" w:rsidRDefault="00FB109A" w:rsidP="00FB109A">
      <w:pPr>
        <w:suppressAutoHyphens/>
        <w:autoSpaceDE w:val="0"/>
        <w:rPr>
          <w:rFonts w:eastAsia="TimesNewRoman"/>
          <w:bCs/>
          <w:i/>
          <w:color w:val="000000"/>
          <w:sz w:val="22"/>
          <w:szCs w:val="22"/>
          <w:u w:val="single"/>
          <w:lang w:val="sr-Latn-ME" w:eastAsia="hr-HR"/>
        </w:rPr>
      </w:pPr>
    </w:p>
    <w:p w:rsidR="00FB109A" w:rsidRPr="00B90281" w:rsidRDefault="00FB109A" w:rsidP="00FB109A">
      <w:pPr>
        <w:suppressAutoHyphens/>
        <w:autoSpaceDE w:val="0"/>
        <w:rPr>
          <w:rFonts w:eastAsia="TimesNewRoman"/>
          <w:bCs/>
          <w:i/>
          <w:color w:val="000000"/>
          <w:sz w:val="22"/>
          <w:szCs w:val="22"/>
          <w:lang w:val="sr-Latn-ME" w:eastAsia="hr-HR"/>
        </w:rPr>
      </w:pPr>
      <w:r w:rsidRPr="00B90281">
        <w:rPr>
          <w:rFonts w:eastAsia="TimesNewRoman"/>
          <w:bCs/>
          <w:i/>
          <w:color w:val="000000"/>
          <w:sz w:val="22"/>
          <w:szCs w:val="22"/>
          <w:lang w:val="sr-Latn-ME" w:eastAsia="hr-HR"/>
        </w:rPr>
        <w:t>Tabela 8: Neželjene reakcije kod pacijenta s limfomom mantle ćelija liječenih s BtzR-CAP</w:t>
      </w:r>
      <w:r w:rsidR="00EE61EB" w:rsidRPr="00B90281">
        <w:rPr>
          <w:rFonts w:eastAsia="TimesNewRoman"/>
          <w:bCs/>
          <w:i/>
          <w:color w:val="000000"/>
          <w:sz w:val="22"/>
          <w:szCs w:val="22"/>
          <w:lang w:val="sr-Latn-ME" w:eastAsia="hr-HR"/>
        </w:rPr>
        <w:t xml:space="preserve"> u kliničkom ispitivanju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786"/>
        <w:gridCol w:w="4675"/>
      </w:tblGrid>
      <w:tr w:rsidR="00FB109A" w:rsidRPr="00B90281" w:rsidTr="00DD07D2">
        <w:trPr>
          <w:tblHeader/>
        </w:trPr>
        <w:tc>
          <w:tcPr>
            <w:tcW w:w="1440" w:type="pct"/>
            <w:shd w:val="clear" w:color="auto" w:fill="auto"/>
          </w:tcPr>
          <w:p w:rsidR="00FB109A" w:rsidRPr="00B90281" w:rsidRDefault="00FB109A" w:rsidP="00FB109A">
            <w:pPr>
              <w:suppressAutoHyphens/>
              <w:autoSpaceDE w:val="0"/>
              <w:rPr>
                <w:rFonts w:eastAsia="TimesNewRoman"/>
                <w:b/>
                <w:bCs/>
                <w:color w:val="000000"/>
                <w:sz w:val="22"/>
                <w:szCs w:val="22"/>
                <w:lang w:val="sr-Latn-ME" w:eastAsia="hr-HR"/>
              </w:rPr>
            </w:pPr>
            <w:r w:rsidRPr="00B90281">
              <w:rPr>
                <w:rFonts w:eastAsia="TimesNewRoman"/>
                <w:b/>
                <w:bCs/>
                <w:color w:val="000000"/>
                <w:sz w:val="22"/>
                <w:szCs w:val="22"/>
                <w:lang w:val="sr-Latn-ME" w:eastAsia="hr-HR"/>
              </w:rPr>
              <w:t xml:space="preserve">Klasifikacija organskih sistema </w:t>
            </w:r>
          </w:p>
        </w:tc>
        <w:tc>
          <w:tcPr>
            <w:tcW w:w="984" w:type="pct"/>
            <w:shd w:val="clear" w:color="auto" w:fill="auto"/>
          </w:tcPr>
          <w:p w:rsidR="00FB109A" w:rsidRPr="00B90281" w:rsidRDefault="00FB109A" w:rsidP="00FB109A">
            <w:pPr>
              <w:suppressAutoHyphens/>
              <w:autoSpaceDE w:val="0"/>
              <w:jc w:val="center"/>
              <w:rPr>
                <w:rFonts w:eastAsia="TimesNewRoman"/>
                <w:b/>
                <w:bCs/>
                <w:color w:val="000000"/>
                <w:sz w:val="22"/>
                <w:szCs w:val="22"/>
                <w:lang w:val="sr-Latn-ME" w:eastAsia="hr-HR"/>
              </w:rPr>
            </w:pPr>
            <w:r w:rsidRPr="00B90281">
              <w:rPr>
                <w:rFonts w:eastAsia="TimesNewRoman"/>
                <w:b/>
                <w:bCs/>
                <w:color w:val="000000"/>
                <w:sz w:val="22"/>
                <w:szCs w:val="22"/>
                <w:lang w:val="sr-Latn-ME" w:eastAsia="hr-HR"/>
              </w:rPr>
              <w:t>Incidencija</w:t>
            </w:r>
          </w:p>
        </w:tc>
        <w:tc>
          <w:tcPr>
            <w:tcW w:w="2576" w:type="pct"/>
            <w:shd w:val="clear" w:color="auto" w:fill="auto"/>
          </w:tcPr>
          <w:p w:rsidR="00FB109A" w:rsidRPr="00B90281" w:rsidRDefault="00FB109A" w:rsidP="00FB109A">
            <w:pPr>
              <w:suppressAutoHyphens/>
              <w:autoSpaceDE w:val="0"/>
              <w:jc w:val="center"/>
              <w:rPr>
                <w:rFonts w:eastAsia="Calibri"/>
                <w:sz w:val="22"/>
                <w:szCs w:val="22"/>
                <w:lang w:val="sr-Latn-ME" w:eastAsia="zh-CN"/>
              </w:rPr>
            </w:pPr>
            <w:r w:rsidRPr="00B90281">
              <w:rPr>
                <w:rFonts w:eastAsia="TimesNewRoman"/>
                <w:b/>
                <w:bCs/>
                <w:color w:val="000000"/>
                <w:sz w:val="22"/>
                <w:szCs w:val="22"/>
                <w:lang w:val="sr-Latn-ME" w:eastAsia="hr-HR"/>
              </w:rPr>
              <w:t>Neželjena reakcija</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Infekcije i infestacije</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V</w:t>
            </w:r>
            <w:r w:rsidR="00FA3ECA" w:rsidRPr="00B90281">
              <w:rPr>
                <w:color w:val="000000"/>
                <w:sz w:val="22"/>
                <w:szCs w:val="22"/>
                <w:lang w:val="sr-Latn-ME" w:eastAsia="en-GB"/>
              </w:rPr>
              <w:t>eoma</w:t>
            </w:r>
            <w:r w:rsidRPr="00B90281">
              <w:rPr>
                <w:color w:val="000000"/>
                <w:sz w:val="22"/>
                <w:szCs w:val="22"/>
                <w:lang w:val="sr-Latn-ME" w:eastAsia="en-GB"/>
              </w:rPr>
              <w:t xml:space="preserve"> često </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pneumonija* </w:t>
            </w:r>
          </w:p>
        </w:tc>
      </w:tr>
      <w:tr w:rsidR="00FB109A" w:rsidRPr="00B90281" w:rsidTr="00DD07D2">
        <w:tc>
          <w:tcPr>
            <w:tcW w:w="1440" w:type="pct"/>
            <w:vMerge/>
            <w:shd w:val="clear" w:color="auto" w:fill="auto"/>
          </w:tcPr>
          <w:p w:rsidR="00FB109A" w:rsidRPr="00B90281" w:rsidRDefault="00FB109A" w:rsidP="00FB109A">
            <w:pPr>
              <w:tabs>
                <w:tab w:val="left" w:pos="567"/>
              </w:tabs>
              <w:rPr>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p w:rsidR="00FB109A" w:rsidRPr="00B90281" w:rsidRDefault="00FB109A" w:rsidP="00FB109A">
            <w:pPr>
              <w:tabs>
                <w:tab w:val="left" w:pos="567"/>
              </w:tabs>
              <w:rPr>
                <w:sz w:val="22"/>
                <w:szCs w:val="22"/>
                <w:lang w:val="sr-Latn-ME" w:eastAsia="en-GB"/>
              </w:rPr>
            </w:pP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sepsa (uključujući septički šok)*, herpes zoster (uključujući diseminovani i oftalmički), infekcija virusom herpesa*, bakterijske infekcije*, infekcija gornjih/donjih respiratornih  puteva*, gljivična infekcija*, </w:t>
            </w:r>
            <w:r w:rsidRPr="00B90281">
              <w:rPr>
                <w:i/>
                <w:color w:val="000000"/>
                <w:sz w:val="22"/>
                <w:szCs w:val="22"/>
                <w:lang w:val="sr-Latn-ME" w:eastAsia="en-GB"/>
              </w:rPr>
              <w:t>Herpes simplex</w:t>
            </w:r>
            <w:r w:rsidRPr="00B90281">
              <w:rPr>
                <w:color w:val="000000"/>
                <w:sz w:val="22"/>
                <w:szCs w:val="22"/>
                <w:lang w:val="sr-Latn-ME" w:eastAsia="en-GB"/>
              </w:rPr>
              <w:t xml:space="preserve"> *</w:t>
            </w:r>
          </w:p>
        </w:tc>
      </w:tr>
      <w:tr w:rsidR="00FB109A" w:rsidRPr="00B90281" w:rsidTr="00DD07D2">
        <w:tc>
          <w:tcPr>
            <w:tcW w:w="1440" w:type="pct"/>
            <w:vMerge/>
            <w:shd w:val="clear" w:color="auto" w:fill="auto"/>
          </w:tcPr>
          <w:p w:rsidR="00FB109A" w:rsidRPr="00B90281" w:rsidRDefault="00FB109A" w:rsidP="00FB109A">
            <w:pPr>
              <w:tabs>
                <w:tab w:val="left" w:pos="567"/>
              </w:tabs>
              <w:rPr>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Povremeno</w:t>
            </w:r>
          </w:p>
        </w:tc>
        <w:tc>
          <w:tcPr>
            <w:tcW w:w="2576" w:type="pct"/>
            <w:shd w:val="clear" w:color="auto" w:fill="auto"/>
          </w:tcPr>
          <w:p w:rsidR="00FB109A" w:rsidRPr="00B90281" w:rsidRDefault="00FB109A" w:rsidP="00FB109A">
            <w:pPr>
              <w:tabs>
                <w:tab w:val="left" w:pos="567"/>
              </w:tabs>
              <w:rPr>
                <w:sz w:val="22"/>
                <w:szCs w:val="22"/>
                <w:lang w:val="sr-Latn-ME" w:eastAsia="en-GB"/>
              </w:rPr>
            </w:pPr>
            <w:r w:rsidRPr="00B90281">
              <w:rPr>
                <w:color w:val="000000"/>
                <w:sz w:val="22"/>
                <w:szCs w:val="22"/>
                <w:lang w:val="sr-Latn-ME"/>
              </w:rPr>
              <w:t>hepatitis B, infekcija*, bronhopneumonija</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Poremećaji  krvi i limfnog sistema </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V</w:t>
            </w:r>
            <w:r w:rsidR="00FA3ECA" w:rsidRPr="00B90281">
              <w:rPr>
                <w:color w:val="000000"/>
                <w:sz w:val="22"/>
                <w:szCs w:val="22"/>
                <w:lang w:val="sr-Latn-ME" w:eastAsia="en-GB"/>
              </w:rPr>
              <w:t>eoma</w:t>
            </w:r>
            <w:r w:rsidRPr="00B90281">
              <w:rPr>
                <w:color w:val="000000"/>
                <w:sz w:val="22"/>
                <w:szCs w:val="22"/>
                <w:lang w:val="sr-Latn-ME" w:eastAsia="en-GB"/>
              </w:rPr>
              <w:t xml:space="preserve"> često </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trombocitopenija*, febrilna neutropenija, neutropenija*, leukopenija*, anemija*, limfopenija*</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Povremeno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rPr>
              <w:t>pancitopenija*</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Poremećaji imunološkog</w:t>
            </w:r>
          </w:p>
          <w:p w:rsidR="00FB109A" w:rsidRPr="00B90281" w:rsidRDefault="00FA3ECA" w:rsidP="00FB109A">
            <w:pPr>
              <w:rPr>
                <w:color w:val="000000"/>
                <w:sz w:val="22"/>
                <w:szCs w:val="22"/>
                <w:lang w:val="sr-Latn-ME" w:eastAsia="en-GB"/>
              </w:rPr>
            </w:pPr>
            <w:r w:rsidRPr="00B90281">
              <w:rPr>
                <w:color w:val="000000"/>
                <w:sz w:val="22"/>
                <w:szCs w:val="22"/>
                <w:lang w:val="sr-Latn-ME" w:eastAsia="en-GB"/>
              </w:rPr>
              <w:t>s</w:t>
            </w:r>
            <w:r w:rsidR="00FB109A" w:rsidRPr="00B90281">
              <w:rPr>
                <w:color w:val="000000"/>
                <w:sz w:val="22"/>
                <w:szCs w:val="22"/>
                <w:lang w:val="sr-Latn-ME" w:eastAsia="en-GB"/>
              </w:rPr>
              <w:t xml:space="preserve">istema </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preosjetljivost* </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rPr>
              <w:t>Povremeno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rPr>
              <w:t>anafilaktička reakcija</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Poremećaji metabolizma i</w:t>
            </w:r>
          </w:p>
          <w:p w:rsidR="00FB109A" w:rsidRPr="00B90281" w:rsidRDefault="00FB109A" w:rsidP="00FB109A">
            <w:pPr>
              <w:rPr>
                <w:color w:val="000000"/>
                <w:sz w:val="22"/>
                <w:szCs w:val="22"/>
                <w:lang w:val="sr-Latn-ME" w:eastAsia="en-GB"/>
              </w:rPr>
            </w:pPr>
            <w:r w:rsidRPr="00B90281">
              <w:rPr>
                <w:color w:val="000000"/>
                <w:sz w:val="22"/>
                <w:szCs w:val="22"/>
                <w:lang w:val="sr-Latn-ME"/>
              </w:rPr>
              <w:t>ishrane</w:t>
            </w: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V</w:t>
            </w:r>
            <w:r w:rsidR="00FA3ECA" w:rsidRPr="00B90281">
              <w:rPr>
                <w:color w:val="000000"/>
                <w:sz w:val="22"/>
                <w:szCs w:val="22"/>
                <w:lang w:val="sr-Latn-ME"/>
              </w:rPr>
              <w:t>eoma</w:t>
            </w:r>
            <w:r w:rsidRPr="00B90281">
              <w:rPr>
                <w:color w:val="000000"/>
                <w:sz w:val="22"/>
                <w:szCs w:val="22"/>
                <w:lang w:val="sr-Latn-ME"/>
              </w:rPr>
              <w:t xml:space="preserve"> 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smanjeni apetit</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p w:rsidR="00FB109A" w:rsidRPr="00B90281" w:rsidRDefault="00FB109A" w:rsidP="00FB109A">
            <w:pPr>
              <w:rPr>
                <w:color w:val="000000"/>
                <w:sz w:val="22"/>
                <w:szCs w:val="22"/>
                <w:lang w:val="sr-Latn-ME"/>
              </w:rPr>
            </w:pPr>
          </w:p>
        </w:tc>
        <w:tc>
          <w:tcPr>
            <w:tcW w:w="2576"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hipokalijemija *, abnormalna koncentracija glukoze u krvi *, hiponatrijemija*, dijabetes melitus*, retencija tečnosti</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Povremeno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sindrom lize tumora</w:t>
            </w:r>
          </w:p>
        </w:tc>
      </w:tr>
      <w:tr w:rsidR="00FB109A" w:rsidRPr="00B90281" w:rsidTr="00DD07D2">
        <w:tc>
          <w:tcPr>
            <w:tcW w:w="1440"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Psihijatrijski poremećaji</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poremećaji sna i smetnje spavanja*</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Poremećaji nervnog sistema </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V</w:t>
            </w:r>
            <w:r w:rsidR="00FA3ECA" w:rsidRPr="00B90281">
              <w:rPr>
                <w:color w:val="000000"/>
                <w:sz w:val="22"/>
                <w:szCs w:val="22"/>
                <w:lang w:val="sr-Latn-ME" w:eastAsia="en-GB"/>
              </w:rPr>
              <w:t>eoma</w:t>
            </w:r>
            <w:r w:rsidRPr="00B90281">
              <w:rPr>
                <w:color w:val="000000"/>
                <w:sz w:val="22"/>
                <w:szCs w:val="22"/>
                <w:lang w:val="sr-Latn-ME" w:eastAsia="en-GB"/>
              </w:rPr>
              <w:t xml:space="preserve"> često </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periferna senzorna neuropatija, disestezija*, neuralgija*</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p w:rsidR="00FB109A" w:rsidRPr="00B90281" w:rsidRDefault="00FB109A" w:rsidP="00FB109A">
            <w:pPr>
              <w:rPr>
                <w:color w:val="000000"/>
                <w:sz w:val="22"/>
                <w:szCs w:val="22"/>
                <w:lang w:val="sr-Latn-ME" w:eastAsia="en-GB"/>
              </w:rPr>
            </w:pPr>
          </w:p>
        </w:tc>
        <w:tc>
          <w:tcPr>
            <w:tcW w:w="2576"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neuropatije*, motorna neuropatija*, gubitak svijesti(uključujući sinkopu), encefalopatija*, periferna senzo-motorna neuropatija, vrtoglavica*, disgeuzija*, autonomna neuropatija</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Povremeno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disbalans autonomnog nervnog sistema</w:t>
            </w:r>
          </w:p>
        </w:tc>
      </w:tr>
      <w:tr w:rsidR="00FB109A" w:rsidRPr="00B90281" w:rsidTr="00DD07D2">
        <w:tc>
          <w:tcPr>
            <w:tcW w:w="1440"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Poremećaji oka</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abnormalan vid*</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Poremećaji  uha i labirinta</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disakuzija (uključujući tinitus)*</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A3ECA" w:rsidP="00FB109A">
            <w:pPr>
              <w:rPr>
                <w:color w:val="000000"/>
                <w:sz w:val="22"/>
                <w:szCs w:val="22"/>
                <w:lang w:val="sr-Latn-ME" w:eastAsia="en-GB"/>
              </w:rPr>
            </w:pPr>
            <w:r w:rsidRPr="00B90281">
              <w:rPr>
                <w:color w:val="000000"/>
                <w:sz w:val="22"/>
                <w:szCs w:val="22"/>
                <w:lang w:val="sr-Latn-ME" w:eastAsia="en-GB"/>
              </w:rPr>
              <w:t>Povremeno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vertigo*, oštećenje sluha (do i uključujući gluvoću)</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Kardiološki  poremećaji</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p w:rsidR="00FB109A" w:rsidRPr="00B90281" w:rsidRDefault="00FB109A" w:rsidP="00FB109A">
            <w:pPr>
              <w:rPr>
                <w:color w:val="000000"/>
                <w:sz w:val="22"/>
                <w:szCs w:val="22"/>
                <w:lang w:val="sr-Latn-ME" w:eastAsia="en-GB"/>
              </w:rPr>
            </w:pP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fibrilacija srca (uključujući atrijalnu), aritmija*, insuficijencija srca  (uključujući insuficijenciju  lijeve i desne komore)*, ishemija miokarda, ventrikularna disfunkcija*</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Povremeno </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rPr>
              <w:t>kardiovaskularni poremećaj (uključujući kardiogeni šok)</w:t>
            </w:r>
          </w:p>
        </w:tc>
      </w:tr>
      <w:tr w:rsidR="00FB109A" w:rsidRPr="00B90281" w:rsidTr="00DD07D2">
        <w:tc>
          <w:tcPr>
            <w:tcW w:w="1440"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Vaskularni poremećaji</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tc>
        <w:tc>
          <w:tcPr>
            <w:tcW w:w="2576"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hipertenzija*, hipotenzija*, ortostatska hipotenzija</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Respiratorni, torkalni i medijastinalni poremećaji</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Često </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dispneja*, kašalj*, štucanje</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Povremeno</w:t>
            </w:r>
          </w:p>
          <w:p w:rsidR="00FB109A" w:rsidRPr="00B90281" w:rsidRDefault="00FB109A" w:rsidP="00FB109A">
            <w:pPr>
              <w:rPr>
                <w:color w:val="000000"/>
                <w:sz w:val="22"/>
                <w:szCs w:val="22"/>
                <w:lang w:val="sr-Latn-ME" w:eastAsia="en-GB"/>
              </w:rPr>
            </w:pP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akutni respiratorni distres sindrom, plućna embolija, pneumonitis, plućna hipertenzija, plućni edem (uključujući akutni)</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Gastrointestinalni poremećaji</w:t>
            </w: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V</w:t>
            </w:r>
            <w:r w:rsidR="00FA3ECA" w:rsidRPr="00B90281">
              <w:rPr>
                <w:color w:val="000000"/>
                <w:sz w:val="22"/>
                <w:szCs w:val="22"/>
                <w:lang w:val="sr-Latn-ME" w:eastAsia="en-GB"/>
              </w:rPr>
              <w:t>eoma</w:t>
            </w:r>
            <w:r w:rsidRPr="00B90281">
              <w:rPr>
                <w:color w:val="000000"/>
                <w:sz w:val="22"/>
                <w:szCs w:val="22"/>
                <w:lang w:val="sr-Latn-ME" w:eastAsia="en-GB"/>
              </w:rPr>
              <w:t xml:space="preserve"> često </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simptomi mučnine i povraćanja*, dijareja *, stomatitis*, konstipacija</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Često</w:t>
            </w:r>
          </w:p>
          <w:p w:rsidR="00FB109A" w:rsidRPr="00B90281" w:rsidRDefault="00FB109A" w:rsidP="00FB109A">
            <w:pPr>
              <w:rPr>
                <w:color w:val="000000"/>
                <w:sz w:val="22"/>
                <w:szCs w:val="22"/>
                <w:lang w:val="sr-Latn-ME" w:eastAsia="en-GB"/>
              </w:rPr>
            </w:pP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gastrointestinalno krvarenje (uključujući mukozno)*, distenzija abdomena, dispepsija, orofaringealna bol *, gastritis*, ulceracije u ustima*, nelagoda u abdomenu, disfagija, </w:t>
            </w:r>
            <w:r w:rsidRPr="00B90281">
              <w:rPr>
                <w:color w:val="000000"/>
                <w:sz w:val="22"/>
                <w:szCs w:val="22"/>
                <w:lang w:val="sr-Latn-ME" w:eastAsia="en-GB"/>
              </w:rPr>
              <w:lastRenderedPageBreak/>
              <w:t xml:space="preserve">gastrointestinalna </w:t>
            </w:r>
            <w:r w:rsidR="00103CAF" w:rsidRPr="00B90281">
              <w:rPr>
                <w:color w:val="000000"/>
                <w:sz w:val="22"/>
                <w:szCs w:val="22"/>
                <w:lang w:val="sr-Latn-ME" w:eastAsia="en-GB"/>
              </w:rPr>
              <w:t>zapaljenja</w:t>
            </w:r>
            <w:r w:rsidRPr="00B90281">
              <w:rPr>
                <w:color w:val="000000"/>
                <w:sz w:val="22"/>
                <w:szCs w:val="22"/>
                <w:lang w:val="sr-Latn-ME" w:eastAsia="en-GB"/>
              </w:rPr>
              <w:t>*, bol u abdomenu (uključujući gastrointestinalnu bol i bol u  slezini)*, poremećaj u ustima*</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rPr>
              <w:t>Povremeno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kolitis (uključujući </w:t>
            </w:r>
            <w:r w:rsidRPr="00B90281">
              <w:rPr>
                <w:i/>
                <w:color w:val="000000"/>
                <w:sz w:val="22"/>
                <w:szCs w:val="22"/>
                <w:lang w:val="sr-Latn-ME" w:eastAsia="en-GB"/>
              </w:rPr>
              <w:t>Clostridium difficile</w:t>
            </w:r>
            <w:r w:rsidRPr="00B90281">
              <w:rPr>
                <w:color w:val="000000"/>
                <w:sz w:val="22"/>
                <w:szCs w:val="22"/>
                <w:lang w:val="sr-Latn-ME" w:eastAsia="en-GB"/>
              </w:rPr>
              <w:t>)*</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Hepatobilijarni poremećaji</w:t>
            </w: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hepatotoksičnost (uključujući poremećaj jetre)</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Povremeno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insuficijencija jetre</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Poremećaji   kože i potkožnog tkiva</w:t>
            </w: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V</w:t>
            </w:r>
            <w:r w:rsidR="00FA3ECA" w:rsidRPr="00B90281">
              <w:rPr>
                <w:color w:val="000000"/>
                <w:sz w:val="22"/>
                <w:szCs w:val="22"/>
                <w:lang w:val="sr-Latn-ME"/>
              </w:rPr>
              <w:t>eoma</w:t>
            </w:r>
            <w:r w:rsidRPr="00B90281">
              <w:rPr>
                <w:color w:val="000000"/>
                <w:sz w:val="22"/>
                <w:szCs w:val="22"/>
                <w:lang w:val="sr-Latn-ME"/>
              </w:rPr>
              <w:t xml:space="preserve"> 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poremećaj dlakavosti*</w:t>
            </w: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rPr>
            </w:pP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 xml:space="preserve">Često </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pruritus*, dermatitis*, osip*</w:t>
            </w:r>
          </w:p>
        </w:tc>
      </w:tr>
      <w:tr w:rsidR="00FB109A" w:rsidRPr="00B90281" w:rsidTr="00DD07D2">
        <w:tc>
          <w:tcPr>
            <w:tcW w:w="1440"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Poremećaji</w:t>
            </w:r>
          </w:p>
          <w:p w:rsidR="00FB109A" w:rsidRPr="00B90281" w:rsidRDefault="00FB109A" w:rsidP="00FB109A">
            <w:pPr>
              <w:rPr>
                <w:color w:val="000000"/>
                <w:sz w:val="22"/>
                <w:szCs w:val="22"/>
                <w:lang w:val="sr-Latn-ME" w:eastAsia="en-GB"/>
              </w:rPr>
            </w:pPr>
            <w:r w:rsidRPr="00B90281">
              <w:rPr>
                <w:color w:val="000000"/>
                <w:sz w:val="22"/>
                <w:szCs w:val="22"/>
                <w:lang w:val="sr-Latn-ME" w:eastAsia="en-GB"/>
              </w:rPr>
              <w:t>mišićno-koštanog sistema i vezivnog tkiva</w:t>
            </w: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mišićni spazmi*, muskulo-skeletni bol *, bol u ekstremitetima</w:t>
            </w:r>
          </w:p>
        </w:tc>
      </w:tr>
      <w:tr w:rsidR="00FB109A" w:rsidRPr="00B90281" w:rsidTr="00DD07D2">
        <w:tc>
          <w:tcPr>
            <w:tcW w:w="1440"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Poremećaji bubrega i</w:t>
            </w:r>
          </w:p>
          <w:p w:rsidR="00FB109A" w:rsidRPr="00B90281" w:rsidRDefault="00FB109A" w:rsidP="00FB109A">
            <w:pPr>
              <w:rPr>
                <w:color w:val="000000"/>
                <w:sz w:val="22"/>
                <w:szCs w:val="22"/>
                <w:lang w:val="sr-Latn-ME" w:eastAsia="en-GB"/>
              </w:rPr>
            </w:pPr>
            <w:r w:rsidRPr="00B90281">
              <w:rPr>
                <w:color w:val="000000"/>
                <w:sz w:val="22"/>
                <w:szCs w:val="22"/>
                <w:lang w:val="sr-Latn-ME" w:eastAsia="en-GB"/>
              </w:rPr>
              <w:t>urinarnog sistema</w:t>
            </w: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infekcija urinarnog sistema*</w:t>
            </w:r>
          </w:p>
        </w:tc>
      </w:tr>
      <w:tr w:rsidR="00FB109A" w:rsidRPr="00B90281" w:rsidTr="00DD07D2">
        <w:tc>
          <w:tcPr>
            <w:tcW w:w="1440" w:type="pct"/>
            <w:vMerge w:val="restar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Opšti poremećaji i reakcije na mjestu primjene</w:t>
            </w: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V</w:t>
            </w:r>
            <w:r w:rsidR="00FA3ECA" w:rsidRPr="00B90281">
              <w:rPr>
                <w:color w:val="000000"/>
                <w:sz w:val="22"/>
                <w:szCs w:val="22"/>
                <w:lang w:val="sr-Latn-ME"/>
              </w:rPr>
              <w:t>eoma</w:t>
            </w:r>
            <w:r w:rsidRPr="00B90281">
              <w:rPr>
                <w:color w:val="000000"/>
                <w:sz w:val="22"/>
                <w:szCs w:val="22"/>
                <w:lang w:val="sr-Latn-ME"/>
              </w:rPr>
              <w:t xml:space="preserve"> 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pireksija*, umor, astenija </w:t>
            </w:r>
          </w:p>
          <w:p w:rsidR="00FB109A" w:rsidRPr="00B90281" w:rsidRDefault="00FB109A" w:rsidP="00FB109A">
            <w:pPr>
              <w:rPr>
                <w:color w:val="000000"/>
                <w:sz w:val="22"/>
                <w:szCs w:val="22"/>
                <w:lang w:val="sr-Latn-ME" w:eastAsia="en-GB"/>
              </w:rPr>
            </w:pPr>
          </w:p>
        </w:tc>
      </w:tr>
      <w:tr w:rsidR="00FB109A" w:rsidRPr="00B90281" w:rsidTr="00DD07D2">
        <w:tc>
          <w:tcPr>
            <w:tcW w:w="1440" w:type="pct"/>
            <w:vMerge/>
            <w:shd w:val="clear" w:color="auto" w:fill="auto"/>
          </w:tcPr>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edem (uključujući periferni), drhtavica, reakcija na mjestu </w:t>
            </w:r>
            <w:r w:rsidR="00FA3ECA" w:rsidRPr="00B90281">
              <w:rPr>
                <w:color w:val="000000"/>
                <w:sz w:val="22"/>
                <w:szCs w:val="22"/>
                <w:lang w:val="sr-Latn-ME" w:eastAsia="en-GB"/>
              </w:rPr>
              <w:t>primjene</w:t>
            </w:r>
            <w:r w:rsidRPr="00B90281">
              <w:rPr>
                <w:color w:val="000000"/>
                <w:sz w:val="22"/>
                <w:szCs w:val="22"/>
                <w:lang w:val="sr-Latn-ME" w:eastAsia="en-GB"/>
              </w:rPr>
              <w:t>*, malaksalost*</w:t>
            </w:r>
          </w:p>
        </w:tc>
      </w:tr>
      <w:tr w:rsidR="00FB109A" w:rsidRPr="00B90281" w:rsidTr="00DD07D2">
        <w:tc>
          <w:tcPr>
            <w:tcW w:w="1440"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Ispitivanja</w:t>
            </w:r>
          </w:p>
          <w:p w:rsidR="00FB109A" w:rsidRPr="00B90281" w:rsidRDefault="00FB109A" w:rsidP="00FB109A">
            <w:pPr>
              <w:rPr>
                <w:color w:val="000000"/>
                <w:sz w:val="22"/>
                <w:szCs w:val="22"/>
                <w:lang w:val="sr-Latn-ME" w:eastAsia="en-GB"/>
              </w:rPr>
            </w:pPr>
          </w:p>
        </w:tc>
        <w:tc>
          <w:tcPr>
            <w:tcW w:w="984" w:type="pct"/>
            <w:shd w:val="clear" w:color="auto" w:fill="auto"/>
          </w:tcPr>
          <w:p w:rsidR="00FB109A" w:rsidRPr="00B90281" w:rsidRDefault="00FB109A" w:rsidP="00FB109A">
            <w:pPr>
              <w:rPr>
                <w:color w:val="000000"/>
                <w:sz w:val="22"/>
                <w:szCs w:val="22"/>
                <w:lang w:val="sr-Latn-ME"/>
              </w:rPr>
            </w:pPr>
            <w:r w:rsidRPr="00B90281">
              <w:rPr>
                <w:color w:val="000000"/>
                <w:sz w:val="22"/>
                <w:szCs w:val="22"/>
                <w:lang w:val="sr-Latn-ME"/>
              </w:rPr>
              <w:t>Često</w:t>
            </w:r>
          </w:p>
        </w:tc>
        <w:tc>
          <w:tcPr>
            <w:tcW w:w="2576" w:type="pct"/>
            <w:shd w:val="clear" w:color="auto" w:fill="auto"/>
          </w:tcPr>
          <w:p w:rsidR="00FB109A" w:rsidRPr="00B90281" w:rsidRDefault="00FB109A" w:rsidP="00FB109A">
            <w:pPr>
              <w:rPr>
                <w:color w:val="000000"/>
                <w:sz w:val="22"/>
                <w:szCs w:val="22"/>
                <w:lang w:val="sr-Latn-ME" w:eastAsia="en-GB"/>
              </w:rPr>
            </w:pPr>
            <w:r w:rsidRPr="00B90281">
              <w:rPr>
                <w:color w:val="000000"/>
                <w:sz w:val="22"/>
                <w:szCs w:val="22"/>
                <w:lang w:val="sr-Latn-ME" w:eastAsia="en-GB"/>
              </w:rPr>
              <w:t xml:space="preserve">hiperbilirubinemija*, abnormalan nalaz analize proteina*, smanjenje tjelesne mase, porast tjelesne mase </w:t>
            </w:r>
          </w:p>
        </w:tc>
      </w:tr>
    </w:tbl>
    <w:p w:rsidR="00FB109A" w:rsidRPr="00B90281" w:rsidRDefault="00FB109A" w:rsidP="00FB109A">
      <w:pPr>
        <w:suppressAutoHyphens/>
        <w:autoSpaceDE w:val="0"/>
        <w:rPr>
          <w:rFonts w:eastAsia="TimesNewRoman"/>
          <w:bCs/>
          <w:color w:val="000000"/>
          <w:sz w:val="20"/>
          <w:szCs w:val="22"/>
          <w:lang w:val="sr-Latn-ME" w:eastAsia="hr-HR"/>
        </w:rPr>
      </w:pPr>
      <w:r w:rsidRPr="00B90281">
        <w:rPr>
          <w:rFonts w:eastAsia="TimesNewRoman"/>
          <w:bCs/>
          <w:color w:val="000000"/>
          <w:sz w:val="20"/>
          <w:szCs w:val="22"/>
          <w:lang w:val="sr-Latn-ME" w:eastAsia="hr-HR"/>
        </w:rPr>
        <w:t xml:space="preserve">* Grupisanje više od jednog MedDRA preporučenog medicinskog termina. </w:t>
      </w:r>
    </w:p>
    <w:p w:rsidR="00FB109A" w:rsidRPr="00B90281" w:rsidRDefault="00FB109A" w:rsidP="00FB109A">
      <w:pPr>
        <w:suppressAutoHyphens/>
        <w:autoSpaceDE w:val="0"/>
        <w:rPr>
          <w:rFonts w:eastAsia="TimesNewRoman"/>
          <w:bCs/>
          <w:color w:val="000000"/>
          <w:sz w:val="22"/>
          <w:szCs w:val="22"/>
          <w:u w:val="single"/>
          <w:lang w:val="sr-Latn-ME" w:eastAsia="hr-HR"/>
        </w:rPr>
      </w:pPr>
    </w:p>
    <w:p w:rsidR="00FB109A" w:rsidRPr="00B90281" w:rsidRDefault="00FB109A" w:rsidP="00FB109A">
      <w:pPr>
        <w:suppressAutoHyphens/>
        <w:autoSpaceDE w:val="0"/>
        <w:rPr>
          <w:rFonts w:eastAsia="TimesNewRoman"/>
          <w:bCs/>
          <w:color w:val="000000"/>
          <w:sz w:val="22"/>
          <w:szCs w:val="22"/>
          <w:u w:val="single"/>
          <w:lang w:val="sr-Latn-ME" w:eastAsia="hr-HR"/>
        </w:rPr>
      </w:pPr>
      <w:r w:rsidRPr="00B90281">
        <w:rPr>
          <w:rFonts w:eastAsia="TimesNewRoman"/>
          <w:bCs/>
          <w:color w:val="000000"/>
          <w:sz w:val="22"/>
          <w:szCs w:val="22"/>
          <w:u w:val="single"/>
          <w:lang w:val="sr-Latn-ME" w:eastAsia="hr-HR"/>
        </w:rPr>
        <w:t>Opis odabranih neželjenih reakcija</w:t>
      </w:r>
    </w:p>
    <w:p w:rsidR="00FB109A" w:rsidRPr="00B90281" w:rsidRDefault="00FB109A" w:rsidP="00FB109A">
      <w:pPr>
        <w:suppressAutoHyphens/>
        <w:autoSpaceDE w:val="0"/>
        <w:rPr>
          <w:rFonts w:eastAsia="TimesNewRoman"/>
          <w:bCs/>
          <w:i/>
          <w:iCs/>
          <w:color w:val="000000"/>
          <w:sz w:val="22"/>
          <w:szCs w:val="22"/>
          <w:lang w:val="sr-Latn-ME" w:eastAsia="hr-HR"/>
        </w:rPr>
      </w:pPr>
    </w:p>
    <w:p w:rsidR="00FB109A" w:rsidRPr="00B90281" w:rsidRDefault="00FB109A" w:rsidP="00FB109A">
      <w:pPr>
        <w:suppressAutoHyphens/>
        <w:autoSpaceDE w:val="0"/>
        <w:jc w:val="both"/>
        <w:rPr>
          <w:rFonts w:eastAsia="TimesNewRoman"/>
          <w:bCs/>
          <w:i/>
          <w:iCs/>
          <w:color w:val="000000"/>
          <w:sz w:val="22"/>
          <w:szCs w:val="22"/>
          <w:u w:val="single"/>
          <w:lang w:val="sr-Latn-ME" w:eastAsia="hr-HR"/>
        </w:rPr>
      </w:pPr>
      <w:r w:rsidRPr="00B90281">
        <w:rPr>
          <w:rFonts w:eastAsia="TimesNewRoman"/>
          <w:bCs/>
          <w:i/>
          <w:iCs/>
          <w:color w:val="000000"/>
          <w:sz w:val="22"/>
          <w:szCs w:val="22"/>
          <w:u w:val="single"/>
          <w:lang w:val="sr-Latn-ME" w:eastAsia="hr-HR"/>
        </w:rPr>
        <w:t>Reaktivacija virusa herpes zoster</w:t>
      </w:r>
    </w:p>
    <w:p w:rsidR="00FB109A" w:rsidRPr="00B90281" w:rsidRDefault="00FB109A" w:rsidP="00FB109A">
      <w:pPr>
        <w:suppressAutoHyphens/>
        <w:autoSpaceDE w:val="0"/>
        <w:jc w:val="both"/>
        <w:rPr>
          <w:rFonts w:eastAsia="TimesNewRoman"/>
          <w:bCs/>
          <w:i/>
          <w:iCs/>
          <w:color w:val="000000"/>
          <w:sz w:val="22"/>
          <w:szCs w:val="22"/>
          <w:lang w:val="sr-Latn-ME" w:eastAsia="hr-HR"/>
        </w:rPr>
      </w:pPr>
    </w:p>
    <w:p w:rsidR="00FB109A" w:rsidRPr="00B90281" w:rsidRDefault="00FB109A" w:rsidP="00FB109A">
      <w:pPr>
        <w:suppressAutoHyphens/>
        <w:autoSpaceDE w:val="0"/>
        <w:jc w:val="both"/>
        <w:rPr>
          <w:rFonts w:eastAsia="TimesNewRoman"/>
          <w:bCs/>
          <w:i/>
          <w:color w:val="000000"/>
          <w:sz w:val="22"/>
          <w:szCs w:val="22"/>
          <w:lang w:val="sr-Latn-ME" w:eastAsia="hr-HR"/>
        </w:rPr>
      </w:pPr>
      <w:r w:rsidRPr="00B90281">
        <w:rPr>
          <w:rFonts w:eastAsia="TimesNewRoman"/>
          <w:bCs/>
          <w:i/>
          <w:color w:val="000000"/>
          <w:sz w:val="22"/>
          <w:szCs w:val="22"/>
          <w:lang w:val="sr-Latn-ME" w:eastAsia="hr-HR"/>
        </w:rPr>
        <w:t>Multipli mijelom</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Antivirusna profilaksa primijenjena je kod 26% pacijenta u grupi koja je primala Btz+M+P. Incidenca  javljanja </w:t>
      </w:r>
      <w:r w:rsidRPr="00B90281">
        <w:rPr>
          <w:rFonts w:eastAsia="TimesNewRoman"/>
          <w:bCs/>
          <w:i/>
          <w:color w:val="000000"/>
          <w:sz w:val="22"/>
          <w:szCs w:val="22"/>
          <w:lang w:val="sr-Latn-ME" w:eastAsia="hr-HR"/>
        </w:rPr>
        <w:t xml:space="preserve">herpes zoster </w:t>
      </w:r>
      <w:r w:rsidRPr="00B90281">
        <w:rPr>
          <w:rFonts w:eastAsia="TimesNewRoman"/>
          <w:bCs/>
          <w:color w:val="000000"/>
          <w:sz w:val="22"/>
          <w:szCs w:val="22"/>
          <w:lang w:val="sr-Latn-ME" w:eastAsia="hr-HR"/>
        </w:rPr>
        <w:t>virusa u grupi pacijenta koja je primala Btz+M+P iznosila je 17% kod onih koji nisu dobili antivirusnu profilaksu, dok se kod osoba koje su primale i antivirusnu terapiju herpes zoster javio u 3%  slučaja.</w:t>
      </w:r>
    </w:p>
    <w:p w:rsidR="00FB109A" w:rsidRPr="00B90281" w:rsidRDefault="00FB109A" w:rsidP="00FB109A">
      <w:pPr>
        <w:suppressAutoHyphens/>
        <w:autoSpaceDE w:val="0"/>
        <w:jc w:val="both"/>
        <w:rPr>
          <w:rFonts w:eastAsia="TimesNewRoman"/>
          <w:bCs/>
          <w:color w:val="000000"/>
          <w:sz w:val="22"/>
          <w:szCs w:val="22"/>
          <w:lang w:val="sr-Latn-ME" w:eastAsia="hr-HR"/>
        </w:rPr>
      </w:pPr>
    </w:p>
    <w:p w:rsidR="00FB109A" w:rsidRPr="00B90281" w:rsidRDefault="00FB109A" w:rsidP="00FB109A">
      <w:pPr>
        <w:suppressAutoHyphens/>
        <w:autoSpaceDE w:val="0"/>
        <w:jc w:val="both"/>
        <w:rPr>
          <w:rFonts w:eastAsia="TimesNewRoman"/>
          <w:bCs/>
          <w:i/>
          <w:color w:val="000000"/>
          <w:sz w:val="22"/>
          <w:szCs w:val="22"/>
          <w:lang w:val="sr-Latn-ME" w:eastAsia="hr-HR"/>
        </w:rPr>
      </w:pPr>
      <w:r w:rsidRPr="00B90281">
        <w:rPr>
          <w:rFonts w:eastAsia="TimesNewRoman"/>
          <w:bCs/>
          <w:i/>
          <w:color w:val="000000"/>
          <w:sz w:val="22"/>
          <w:szCs w:val="22"/>
          <w:lang w:val="sr-Latn-ME" w:eastAsia="hr-HR"/>
        </w:rPr>
        <w:t>Limfom mantle ćelija</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Antivirusna profilaksa bila je primijenjena kod 137 od 240 pacijenta (57%) u BtzR-CAP grupi.</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Incidenca  javljanja </w:t>
      </w:r>
      <w:r w:rsidRPr="00B90281">
        <w:rPr>
          <w:rFonts w:eastAsia="TimesNewRoman"/>
          <w:bCs/>
          <w:i/>
          <w:color w:val="000000"/>
          <w:sz w:val="22"/>
          <w:szCs w:val="22"/>
          <w:lang w:val="sr-Latn-ME" w:eastAsia="hr-HR"/>
        </w:rPr>
        <w:t xml:space="preserve">herpes zoster </w:t>
      </w:r>
      <w:r w:rsidRPr="00B90281">
        <w:rPr>
          <w:rFonts w:eastAsia="TimesNewRoman"/>
          <w:bCs/>
          <w:color w:val="000000"/>
          <w:sz w:val="22"/>
          <w:szCs w:val="22"/>
          <w:lang w:val="sr-Latn-ME" w:eastAsia="hr-HR"/>
        </w:rPr>
        <w:t>virusa</w:t>
      </w:r>
      <w:r w:rsidRPr="00B90281">
        <w:rPr>
          <w:rFonts w:eastAsia="TimesNewRoman"/>
          <w:bCs/>
          <w:i/>
          <w:color w:val="000000"/>
          <w:sz w:val="22"/>
          <w:szCs w:val="22"/>
          <w:lang w:val="sr-Latn-ME" w:eastAsia="hr-HR"/>
        </w:rPr>
        <w:t xml:space="preserve"> </w:t>
      </w:r>
      <w:r w:rsidRPr="00B90281">
        <w:rPr>
          <w:rFonts w:eastAsia="TimesNewRoman"/>
          <w:bCs/>
          <w:color w:val="000000"/>
          <w:sz w:val="22"/>
          <w:szCs w:val="22"/>
          <w:lang w:val="sr-Latn-ME" w:eastAsia="hr-HR"/>
        </w:rPr>
        <w:t xml:space="preserve">među pacijentima u BtzR-CAP grupi bila je 10,7% za pacijente kojima nije bila primijenjena antivirusna profilaksa, dok se kod pacijenata koji su primili antivirusnu terapiju herpes zoster javio  u 3,6%  slučaja. (vidjeti </w:t>
      </w:r>
      <w:r w:rsidR="009849DA" w:rsidRPr="00B90281">
        <w:rPr>
          <w:rFonts w:eastAsia="TimesNewRoman"/>
          <w:bCs/>
          <w:color w:val="000000"/>
          <w:sz w:val="22"/>
          <w:szCs w:val="22"/>
          <w:lang w:val="sr-Latn-ME" w:eastAsia="hr-HR"/>
        </w:rPr>
        <w:t>di</w:t>
      </w:r>
      <w:r w:rsidRPr="00B90281">
        <w:rPr>
          <w:rFonts w:eastAsia="TimesNewRoman"/>
          <w:bCs/>
          <w:color w:val="000000"/>
          <w:sz w:val="22"/>
          <w:szCs w:val="22"/>
          <w:lang w:val="sr-Latn-ME" w:eastAsia="hr-HR"/>
        </w:rPr>
        <w:t>o 4.4).</w:t>
      </w:r>
    </w:p>
    <w:p w:rsidR="00FB109A" w:rsidRPr="00B90281" w:rsidRDefault="00FB109A" w:rsidP="00FB109A">
      <w:pPr>
        <w:suppressAutoHyphens/>
        <w:autoSpaceDE w:val="0"/>
        <w:jc w:val="both"/>
        <w:rPr>
          <w:rFonts w:eastAsia="TimesNewRoman"/>
          <w:bCs/>
          <w:color w:val="000000"/>
          <w:sz w:val="22"/>
          <w:szCs w:val="22"/>
          <w:lang w:val="sr-Latn-ME" w:eastAsia="hr-HR"/>
        </w:rPr>
      </w:pPr>
    </w:p>
    <w:p w:rsidR="00FB109A" w:rsidRPr="00B90281" w:rsidRDefault="00FB109A" w:rsidP="00FB109A">
      <w:pPr>
        <w:suppressAutoHyphens/>
        <w:autoSpaceDE w:val="0"/>
        <w:jc w:val="both"/>
        <w:rPr>
          <w:rFonts w:eastAsia="TimesNewRoman"/>
          <w:bCs/>
          <w:i/>
          <w:color w:val="000000"/>
          <w:sz w:val="22"/>
          <w:szCs w:val="22"/>
          <w:u w:val="single"/>
          <w:lang w:val="sr-Latn-ME" w:eastAsia="hr-HR"/>
        </w:rPr>
      </w:pPr>
      <w:r w:rsidRPr="00B90281">
        <w:rPr>
          <w:rFonts w:eastAsia="TimesNewRoman"/>
          <w:bCs/>
          <w:i/>
          <w:color w:val="000000"/>
          <w:sz w:val="22"/>
          <w:szCs w:val="22"/>
          <w:u w:val="single"/>
          <w:lang w:val="sr-Latn-ME" w:eastAsia="hr-HR"/>
        </w:rPr>
        <w:t>Reaktivacija virusa hepatitisa B (HBV) i infekcija</w:t>
      </w:r>
    </w:p>
    <w:p w:rsidR="00FB109A" w:rsidRPr="00B90281" w:rsidRDefault="00FB109A" w:rsidP="00FB109A">
      <w:pPr>
        <w:suppressAutoHyphens/>
        <w:autoSpaceDE w:val="0"/>
        <w:jc w:val="both"/>
        <w:rPr>
          <w:rFonts w:eastAsia="TimesNewRoman"/>
          <w:bCs/>
          <w:i/>
          <w:color w:val="000000"/>
          <w:sz w:val="22"/>
          <w:szCs w:val="22"/>
          <w:u w:val="single"/>
          <w:lang w:val="sr-Latn-ME" w:eastAsia="hr-HR"/>
        </w:rPr>
      </w:pPr>
    </w:p>
    <w:p w:rsidR="00FB109A" w:rsidRPr="00B90281" w:rsidRDefault="00FB109A" w:rsidP="00FB109A">
      <w:pPr>
        <w:suppressAutoHyphens/>
        <w:autoSpaceDE w:val="0"/>
        <w:jc w:val="both"/>
        <w:rPr>
          <w:rFonts w:eastAsia="TimesNewRoman"/>
          <w:bCs/>
          <w:i/>
          <w:color w:val="000000"/>
          <w:sz w:val="22"/>
          <w:szCs w:val="22"/>
          <w:lang w:val="sr-Latn-ME" w:eastAsia="hr-HR"/>
        </w:rPr>
      </w:pPr>
      <w:r w:rsidRPr="00B90281">
        <w:rPr>
          <w:rFonts w:eastAsia="TimesNewRoman"/>
          <w:bCs/>
          <w:i/>
          <w:color w:val="000000"/>
          <w:sz w:val="22"/>
          <w:szCs w:val="22"/>
          <w:lang w:val="sr-Latn-ME" w:eastAsia="hr-HR"/>
        </w:rPr>
        <w:t>Limfom mantle ćelija</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Infekcija HBVom sa smrtonosnim ishodima zabilježena je kod 0,8% (n=2) pacijenta u grupi koja nije</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liječena bortezomibom (R-CHOP grupi: rituksimab, ciklofosfamid, doksorubicin, vinkristin i prednizon) i kod 0,4% (n=1) pacijenta koji su primali bortezomib u kombinaciji s rituksimabom, ciklofosfamidom,doksorubicinom i prednizonom (BtzR-CAP). Ukupna incidenca infekcija hepatitisom B bila je slična kod pacijenta liječenih sa BtzR-CAP i liječenih sa R-CHOP (0,8% odnosno 1,2%).</w:t>
      </w:r>
    </w:p>
    <w:p w:rsidR="00FB109A" w:rsidRPr="00B90281" w:rsidRDefault="00FB109A" w:rsidP="00FB109A">
      <w:pPr>
        <w:suppressAutoHyphens/>
        <w:autoSpaceDE w:val="0"/>
        <w:rPr>
          <w:rFonts w:eastAsia="TimesNewRoman"/>
          <w:bCs/>
          <w:color w:val="000000"/>
          <w:sz w:val="22"/>
          <w:szCs w:val="22"/>
          <w:lang w:val="sr-Latn-ME" w:eastAsia="hr-HR"/>
        </w:rPr>
      </w:pPr>
    </w:p>
    <w:p w:rsidR="00FB109A" w:rsidRPr="00B90281" w:rsidRDefault="00FB109A" w:rsidP="00FB109A">
      <w:pPr>
        <w:suppressAutoHyphens/>
        <w:autoSpaceDE w:val="0"/>
        <w:rPr>
          <w:rFonts w:eastAsia="TimesNewRoman"/>
          <w:bCs/>
          <w:i/>
          <w:iCs/>
          <w:color w:val="000000"/>
          <w:sz w:val="22"/>
          <w:szCs w:val="22"/>
          <w:u w:val="single"/>
          <w:lang w:val="sr-Latn-ME" w:eastAsia="hr-HR"/>
        </w:rPr>
      </w:pPr>
      <w:r w:rsidRPr="00B90281">
        <w:rPr>
          <w:rFonts w:eastAsia="TimesNewRoman"/>
          <w:bCs/>
          <w:i/>
          <w:iCs/>
          <w:color w:val="000000"/>
          <w:sz w:val="22"/>
          <w:szCs w:val="22"/>
          <w:u w:val="single"/>
          <w:lang w:val="sr-Latn-ME" w:eastAsia="hr-HR"/>
        </w:rPr>
        <w:t>Periferna neuropatija u kombinovanim režimima doziranja</w:t>
      </w:r>
    </w:p>
    <w:p w:rsidR="00FB109A" w:rsidRPr="00B90281" w:rsidRDefault="00FB109A" w:rsidP="00FB109A">
      <w:pPr>
        <w:suppressAutoHyphens/>
        <w:autoSpaceDE w:val="0"/>
        <w:rPr>
          <w:rFonts w:eastAsia="TimesNewRoman"/>
          <w:bCs/>
          <w:i/>
          <w:iCs/>
          <w:color w:val="000000"/>
          <w:sz w:val="22"/>
          <w:szCs w:val="22"/>
          <w:u w:val="single"/>
          <w:lang w:val="sr-Latn-ME" w:eastAsia="hr-HR"/>
        </w:rPr>
      </w:pPr>
    </w:p>
    <w:p w:rsidR="00FB109A" w:rsidRPr="00B90281" w:rsidRDefault="00FB109A" w:rsidP="00FB109A">
      <w:pPr>
        <w:suppressAutoHyphens/>
        <w:autoSpaceDE w:val="0"/>
        <w:rPr>
          <w:rFonts w:eastAsia="TimesNewRoman"/>
          <w:bCs/>
          <w:i/>
          <w:color w:val="000000"/>
          <w:sz w:val="22"/>
          <w:szCs w:val="22"/>
          <w:lang w:val="sr-Latn-ME" w:eastAsia="hr-HR"/>
        </w:rPr>
      </w:pPr>
      <w:r w:rsidRPr="00B90281">
        <w:rPr>
          <w:rFonts w:eastAsia="TimesNewRoman"/>
          <w:bCs/>
          <w:i/>
          <w:color w:val="000000"/>
          <w:sz w:val="22"/>
          <w:szCs w:val="22"/>
          <w:lang w:val="sr-Latn-ME" w:eastAsia="hr-HR"/>
        </w:rPr>
        <w:t>Multipli mijelom</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U ispitivanjima u kojima je bortezomib primijenjen kao indukciona terapija u kombinaciji sa deksametazonom (ispitivanje IFM-2005-01), i deksametazonom i talidomidom (ispitivanje MMY-3010), incidenca periferne neuropatije u kombinovanim režimima doziranja prikazana je u Tabeli 9 dolje:</w:t>
      </w:r>
    </w:p>
    <w:p w:rsidR="00FB109A" w:rsidRPr="00B90281" w:rsidRDefault="00FB109A" w:rsidP="00FB109A">
      <w:pPr>
        <w:suppressAutoHyphens/>
        <w:autoSpaceDE w:val="0"/>
        <w:rPr>
          <w:rFonts w:eastAsia="TimesNewRoman"/>
          <w:bCs/>
          <w:color w:val="000000"/>
          <w:sz w:val="22"/>
          <w:szCs w:val="22"/>
          <w:lang w:val="sr-Latn-ME" w:eastAsia="hr-HR"/>
        </w:rPr>
      </w:pPr>
    </w:p>
    <w:p w:rsidR="00FB109A" w:rsidRPr="00B90281" w:rsidRDefault="00FB109A" w:rsidP="00FB109A">
      <w:pPr>
        <w:suppressAutoHyphens/>
        <w:autoSpaceDE w:val="0"/>
        <w:rPr>
          <w:rFonts w:eastAsia="TimesNewRoman"/>
          <w:bCs/>
          <w:iCs/>
          <w:color w:val="000000"/>
          <w:sz w:val="22"/>
          <w:szCs w:val="22"/>
          <w:lang w:val="sr-Latn-ME" w:eastAsia="hr-HR"/>
        </w:rPr>
      </w:pPr>
      <w:r w:rsidRPr="00B90281">
        <w:rPr>
          <w:rFonts w:eastAsia="TimesNewRoman"/>
          <w:bCs/>
          <w:i/>
          <w:iCs/>
          <w:color w:val="000000"/>
          <w:sz w:val="22"/>
          <w:szCs w:val="22"/>
          <w:lang w:val="sr-Latn-ME" w:eastAsia="hr-HR"/>
        </w:rPr>
        <w:lastRenderedPageBreak/>
        <w:t>Tabela 9: Incidenca periferne neuropatije tokom uvodnog liječenja u odnosu na toksičnost i prekid liječenja zbog periferne neuropatije</w:t>
      </w:r>
    </w:p>
    <w:tbl>
      <w:tblPr>
        <w:tblW w:w="5000" w:type="pct"/>
        <w:tblLook w:val="0000" w:firstRow="0" w:lastRow="0" w:firstColumn="0" w:lastColumn="0" w:noHBand="0" w:noVBand="0"/>
      </w:tblPr>
      <w:tblGrid>
        <w:gridCol w:w="2199"/>
        <w:gridCol w:w="1721"/>
        <w:gridCol w:w="1721"/>
        <w:gridCol w:w="1721"/>
        <w:gridCol w:w="1723"/>
      </w:tblGrid>
      <w:tr w:rsidR="00FB109A" w:rsidRPr="00B90281" w:rsidTr="00DD07D2">
        <w:tc>
          <w:tcPr>
            <w:tcW w:w="1210" w:type="pct"/>
            <w:tcBorders>
              <w:top w:val="single" w:sz="4" w:space="0" w:color="000000"/>
            </w:tcBorders>
            <w:shd w:val="clear" w:color="auto" w:fill="auto"/>
          </w:tcPr>
          <w:p w:rsidR="00FB109A" w:rsidRPr="00B90281" w:rsidRDefault="00FB109A" w:rsidP="00FB109A">
            <w:pPr>
              <w:suppressAutoHyphens/>
              <w:autoSpaceDE w:val="0"/>
              <w:snapToGrid w:val="0"/>
              <w:rPr>
                <w:rFonts w:eastAsia="TimesNewRoman"/>
                <w:bCs/>
                <w:iCs/>
                <w:color w:val="000000"/>
                <w:sz w:val="22"/>
                <w:szCs w:val="22"/>
                <w:lang w:val="sr-Latn-ME" w:eastAsia="hr-HR"/>
              </w:rPr>
            </w:pPr>
          </w:p>
        </w:tc>
        <w:tc>
          <w:tcPr>
            <w:tcW w:w="1894" w:type="pct"/>
            <w:gridSpan w:val="2"/>
            <w:tcBorders>
              <w:top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u w:val="single"/>
                <w:lang w:val="sr-Latn-ME" w:eastAsia="hr-HR"/>
              </w:rPr>
            </w:pPr>
            <w:r w:rsidRPr="00B90281">
              <w:rPr>
                <w:rFonts w:eastAsia="TimesNewRoman"/>
                <w:bCs/>
                <w:color w:val="000000"/>
                <w:sz w:val="22"/>
                <w:szCs w:val="22"/>
                <w:lang w:val="sr-Latn-ME" w:eastAsia="hr-HR"/>
              </w:rPr>
              <w:t xml:space="preserve">                   </w:t>
            </w:r>
            <w:r w:rsidRPr="00B90281">
              <w:rPr>
                <w:rFonts w:eastAsia="TimesNewRoman"/>
                <w:bCs/>
                <w:color w:val="000000"/>
                <w:sz w:val="22"/>
                <w:szCs w:val="22"/>
                <w:u w:val="single"/>
                <w:lang w:val="sr-Latn-ME" w:eastAsia="hr-HR"/>
              </w:rPr>
              <w:t>IFM-2005-01</w:t>
            </w:r>
          </w:p>
        </w:tc>
        <w:tc>
          <w:tcPr>
            <w:tcW w:w="1895" w:type="pct"/>
            <w:gridSpan w:val="2"/>
            <w:tcBorders>
              <w:top w:val="single" w:sz="4" w:space="0" w:color="000000"/>
            </w:tcBorders>
            <w:shd w:val="clear" w:color="auto" w:fill="auto"/>
          </w:tcPr>
          <w:p w:rsidR="00FB109A" w:rsidRPr="00B90281" w:rsidRDefault="00FB109A" w:rsidP="00FB109A">
            <w:pPr>
              <w:suppressAutoHyphens/>
              <w:autoSpaceDE w:val="0"/>
              <w:rPr>
                <w:rFonts w:eastAsia="Calibri"/>
                <w:sz w:val="22"/>
                <w:szCs w:val="22"/>
                <w:u w:val="single"/>
                <w:lang w:val="sr-Latn-ME" w:eastAsia="zh-CN"/>
              </w:rPr>
            </w:pPr>
            <w:r w:rsidRPr="00B90281">
              <w:rPr>
                <w:rFonts w:eastAsia="TimesNewRoman"/>
                <w:bCs/>
                <w:color w:val="000000"/>
                <w:sz w:val="22"/>
                <w:szCs w:val="22"/>
                <w:lang w:val="sr-Latn-ME" w:eastAsia="hr-HR"/>
              </w:rPr>
              <w:t xml:space="preserve">                    </w:t>
            </w:r>
            <w:r w:rsidRPr="00B90281">
              <w:rPr>
                <w:rFonts w:eastAsia="TimesNewRoman"/>
                <w:bCs/>
                <w:color w:val="000000"/>
                <w:sz w:val="22"/>
                <w:szCs w:val="22"/>
                <w:u w:val="single"/>
                <w:lang w:val="sr-Latn-ME" w:eastAsia="hr-HR"/>
              </w:rPr>
              <w:t>MMY-3010</w:t>
            </w:r>
          </w:p>
        </w:tc>
      </w:tr>
      <w:tr w:rsidR="00FB109A" w:rsidRPr="00B90281" w:rsidTr="00DD07D2">
        <w:tc>
          <w:tcPr>
            <w:tcW w:w="1210" w:type="pct"/>
            <w:tcBorders>
              <w:bottom w:val="single" w:sz="4" w:space="0" w:color="000000"/>
            </w:tcBorders>
            <w:shd w:val="clear" w:color="auto" w:fill="auto"/>
          </w:tcPr>
          <w:p w:rsidR="00FB109A" w:rsidRPr="00B90281" w:rsidRDefault="00FB109A" w:rsidP="00FB109A">
            <w:pPr>
              <w:suppressAutoHyphens/>
              <w:autoSpaceDE w:val="0"/>
              <w:snapToGrid w:val="0"/>
              <w:rPr>
                <w:rFonts w:eastAsia="TimesNewRoman"/>
                <w:bCs/>
                <w:iCs/>
                <w:color w:val="000000"/>
                <w:sz w:val="22"/>
                <w:szCs w:val="22"/>
                <w:lang w:val="sr-Latn-ME" w:eastAsia="hr-HR"/>
              </w:rPr>
            </w:pPr>
          </w:p>
        </w:tc>
        <w:tc>
          <w:tcPr>
            <w:tcW w:w="947" w:type="pct"/>
            <w:tcBorders>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VDDx</w:t>
            </w:r>
          </w:p>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(N=239)</w:t>
            </w:r>
          </w:p>
        </w:tc>
        <w:tc>
          <w:tcPr>
            <w:tcW w:w="947" w:type="pct"/>
            <w:tcBorders>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BtzDx</w:t>
            </w:r>
          </w:p>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(N=239)</w:t>
            </w:r>
          </w:p>
        </w:tc>
        <w:tc>
          <w:tcPr>
            <w:tcW w:w="947" w:type="pct"/>
            <w:tcBorders>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TDx</w:t>
            </w:r>
          </w:p>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(N=126)</w:t>
            </w:r>
          </w:p>
        </w:tc>
        <w:tc>
          <w:tcPr>
            <w:tcW w:w="948" w:type="pct"/>
            <w:tcBorders>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BtzTDx</w:t>
            </w:r>
          </w:p>
          <w:p w:rsidR="00FB109A" w:rsidRPr="00B90281" w:rsidRDefault="00FB109A" w:rsidP="00FB109A">
            <w:pPr>
              <w:suppressAutoHyphens/>
              <w:autoSpaceDE w:val="0"/>
              <w:rPr>
                <w:rFonts w:eastAsia="Calibri"/>
                <w:sz w:val="22"/>
                <w:szCs w:val="22"/>
                <w:lang w:val="sr-Latn-ME" w:eastAsia="zh-CN"/>
              </w:rPr>
            </w:pPr>
            <w:r w:rsidRPr="00B90281">
              <w:rPr>
                <w:rFonts w:eastAsia="TimesNewRoman"/>
                <w:bCs/>
                <w:color w:val="000000"/>
                <w:sz w:val="22"/>
                <w:szCs w:val="22"/>
                <w:lang w:val="sr-Latn-ME" w:eastAsia="hr-HR"/>
              </w:rPr>
              <w:t xml:space="preserve">       (N=130)</w:t>
            </w:r>
          </w:p>
        </w:tc>
      </w:tr>
      <w:tr w:rsidR="00FB109A" w:rsidRPr="00B90281" w:rsidTr="00DD07D2">
        <w:tc>
          <w:tcPr>
            <w:tcW w:w="1210" w:type="pct"/>
            <w:tcBorders>
              <w:top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Incidenca PN (%)</w:t>
            </w:r>
          </w:p>
          <w:p w:rsidR="00FB109A" w:rsidRPr="00B90281" w:rsidRDefault="00FB109A" w:rsidP="00FB109A">
            <w:pPr>
              <w:suppressAutoHyphens/>
              <w:autoSpaceDE w:val="0"/>
              <w:rPr>
                <w:bCs/>
                <w:color w:val="000000"/>
                <w:sz w:val="22"/>
                <w:szCs w:val="22"/>
                <w:lang w:val="sr-Latn-ME" w:eastAsia="hr-HR"/>
              </w:rPr>
            </w:pPr>
            <w:r w:rsidRPr="00B90281">
              <w:rPr>
                <w:rFonts w:eastAsia="TimesNewRoman"/>
                <w:bCs/>
                <w:color w:val="000000"/>
                <w:sz w:val="22"/>
                <w:szCs w:val="22"/>
                <w:lang w:val="sr-Latn-ME" w:eastAsia="hr-HR"/>
              </w:rPr>
              <w:t>Svi stepeni PN</w:t>
            </w:r>
          </w:p>
          <w:p w:rsidR="00FB109A" w:rsidRPr="00B90281" w:rsidRDefault="00FB109A" w:rsidP="00FB109A">
            <w:pPr>
              <w:suppressAutoHyphens/>
              <w:autoSpaceDE w:val="0"/>
              <w:rPr>
                <w:bCs/>
                <w:color w:val="000000"/>
                <w:sz w:val="22"/>
                <w:szCs w:val="22"/>
                <w:lang w:val="sr-Latn-ME" w:eastAsia="hr-HR"/>
              </w:rPr>
            </w:pPr>
            <w:r w:rsidRPr="00B90281">
              <w:rPr>
                <w:bCs/>
                <w:color w:val="000000"/>
                <w:sz w:val="22"/>
                <w:szCs w:val="22"/>
                <w:lang w:val="sr-Latn-ME" w:eastAsia="hr-HR"/>
              </w:rPr>
              <w:t xml:space="preserve">≥ </w:t>
            </w:r>
            <w:r w:rsidRPr="00B90281">
              <w:rPr>
                <w:rFonts w:eastAsia="TimesNewRoman"/>
                <w:bCs/>
                <w:color w:val="000000"/>
                <w:sz w:val="22"/>
                <w:szCs w:val="22"/>
                <w:lang w:val="sr-Latn-ME" w:eastAsia="hr-HR"/>
              </w:rPr>
              <w:t>Stepen 2 PN</w:t>
            </w:r>
          </w:p>
          <w:p w:rsidR="00FB109A" w:rsidRPr="00B90281" w:rsidRDefault="00FB109A" w:rsidP="00FB109A">
            <w:pPr>
              <w:suppressAutoHyphens/>
              <w:autoSpaceDE w:val="0"/>
              <w:rPr>
                <w:rFonts w:eastAsia="TimesNewRoman"/>
                <w:bCs/>
                <w:color w:val="000000"/>
                <w:sz w:val="22"/>
                <w:szCs w:val="22"/>
                <w:lang w:val="sr-Latn-ME" w:eastAsia="hr-HR"/>
              </w:rPr>
            </w:pPr>
            <w:r w:rsidRPr="00B90281">
              <w:rPr>
                <w:bCs/>
                <w:color w:val="000000"/>
                <w:sz w:val="22"/>
                <w:szCs w:val="22"/>
                <w:lang w:val="sr-Latn-ME" w:eastAsia="hr-HR"/>
              </w:rPr>
              <w:t xml:space="preserve">≥ </w:t>
            </w:r>
            <w:r w:rsidRPr="00B90281">
              <w:rPr>
                <w:rFonts w:eastAsia="TimesNewRoman"/>
                <w:bCs/>
                <w:color w:val="000000"/>
                <w:sz w:val="22"/>
                <w:szCs w:val="22"/>
                <w:lang w:val="sr-Latn-ME" w:eastAsia="hr-HR"/>
              </w:rPr>
              <w:t>Stepen 3 PN</w:t>
            </w:r>
          </w:p>
        </w:tc>
        <w:tc>
          <w:tcPr>
            <w:tcW w:w="947" w:type="pct"/>
            <w:tcBorders>
              <w:top w:val="single" w:sz="4" w:space="0" w:color="000000"/>
              <w:bottom w:val="single" w:sz="4" w:space="0" w:color="000000"/>
            </w:tcBorders>
            <w:shd w:val="clear" w:color="auto" w:fill="auto"/>
          </w:tcPr>
          <w:p w:rsidR="00FB109A" w:rsidRPr="00B90281" w:rsidRDefault="00FB109A" w:rsidP="00FB109A">
            <w:pPr>
              <w:suppressAutoHyphens/>
              <w:autoSpaceDE w:val="0"/>
              <w:snapToGrid w:val="0"/>
              <w:jc w:val="center"/>
              <w:rPr>
                <w:rFonts w:eastAsia="TimesNewRoman"/>
                <w:bCs/>
                <w:color w:val="000000"/>
                <w:sz w:val="22"/>
                <w:szCs w:val="22"/>
                <w:lang w:val="sr-Latn-ME" w:eastAsia="hr-HR"/>
              </w:rPr>
            </w:pP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3</w:t>
            </w: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1</w:t>
            </w: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&lt; 1</w:t>
            </w:r>
          </w:p>
        </w:tc>
        <w:tc>
          <w:tcPr>
            <w:tcW w:w="947" w:type="pct"/>
            <w:tcBorders>
              <w:top w:val="single" w:sz="4" w:space="0" w:color="000000"/>
              <w:bottom w:val="single" w:sz="4" w:space="0" w:color="000000"/>
            </w:tcBorders>
            <w:shd w:val="clear" w:color="auto" w:fill="auto"/>
          </w:tcPr>
          <w:p w:rsidR="00FB109A" w:rsidRPr="00B90281" w:rsidRDefault="00FB109A" w:rsidP="00FB109A">
            <w:pPr>
              <w:suppressAutoHyphens/>
              <w:autoSpaceDE w:val="0"/>
              <w:snapToGrid w:val="0"/>
              <w:jc w:val="center"/>
              <w:rPr>
                <w:rFonts w:eastAsia="TimesNewRoman"/>
                <w:bCs/>
                <w:color w:val="000000"/>
                <w:sz w:val="22"/>
                <w:szCs w:val="22"/>
                <w:lang w:val="sr-Latn-ME" w:eastAsia="hr-HR"/>
              </w:rPr>
            </w:pP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15</w:t>
            </w: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10</w:t>
            </w: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5</w:t>
            </w:r>
          </w:p>
        </w:tc>
        <w:tc>
          <w:tcPr>
            <w:tcW w:w="947" w:type="pct"/>
            <w:tcBorders>
              <w:top w:val="single" w:sz="4" w:space="0" w:color="000000"/>
              <w:bottom w:val="single" w:sz="4" w:space="0" w:color="000000"/>
            </w:tcBorders>
            <w:shd w:val="clear" w:color="auto" w:fill="auto"/>
          </w:tcPr>
          <w:p w:rsidR="00FB109A" w:rsidRPr="00B90281" w:rsidRDefault="00FB109A" w:rsidP="00FB109A">
            <w:pPr>
              <w:suppressAutoHyphens/>
              <w:autoSpaceDE w:val="0"/>
              <w:snapToGrid w:val="0"/>
              <w:jc w:val="center"/>
              <w:rPr>
                <w:rFonts w:eastAsia="TimesNewRoman"/>
                <w:bCs/>
                <w:color w:val="000000"/>
                <w:sz w:val="22"/>
                <w:szCs w:val="22"/>
                <w:lang w:val="sr-Latn-ME" w:eastAsia="hr-HR"/>
              </w:rPr>
            </w:pP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12</w:t>
            </w: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2</w:t>
            </w: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0</w:t>
            </w:r>
          </w:p>
        </w:tc>
        <w:tc>
          <w:tcPr>
            <w:tcW w:w="948" w:type="pct"/>
            <w:tcBorders>
              <w:top w:val="single" w:sz="4" w:space="0" w:color="000000"/>
              <w:bottom w:val="single" w:sz="4" w:space="0" w:color="000000"/>
            </w:tcBorders>
            <w:shd w:val="clear" w:color="auto" w:fill="auto"/>
          </w:tcPr>
          <w:p w:rsidR="00FB109A" w:rsidRPr="00B90281" w:rsidRDefault="00FB109A" w:rsidP="00FB109A">
            <w:pPr>
              <w:suppressAutoHyphens/>
              <w:autoSpaceDE w:val="0"/>
              <w:snapToGrid w:val="0"/>
              <w:jc w:val="center"/>
              <w:rPr>
                <w:rFonts w:eastAsia="TimesNewRoman"/>
                <w:bCs/>
                <w:color w:val="000000"/>
                <w:sz w:val="22"/>
                <w:szCs w:val="22"/>
                <w:lang w:val="sr-Latn-ME" w:eastAsia="hr-HR"/>
              </w:rPr>
            </w:pP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45</w:t>
            </w:r>
          </w:p>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31</w:t>
            </w:r>
          </w:p>
          <w:p w:rsidR="00FB109A" w:rsidRPr="00B90281" w:rsidRDefault="00FB109A" w:rsidP="00FB109A">
            <w:pPr>
              <w:suppressAutoHyphens/>
              <w:autoSpaceDE w:val="0"/>
              <w:jc w:val="center"/>
              <w:rPr>
                <w:rFonts w:eastAsia="Calibri"/>
                <w:sz w:val="22"/>
                <w:szCs w:val="22"/>
                <w:lang w:val="sr-Latn-ME" w:eastAsia="zh-CN"/>
              </w:rPr>
            </w:pPr>
            <w:r w:rsidRPr="00B90281">
              <w:rPr>
                <w:rFonts w:eastAsia="TimesNewRoman"/>
                <w:bCs/>
                <w:color w:val="000000"/>
                <w:sz w:val="22"/>
                <w:szCs w:val="22"/>
                <w:lang w:val="sr-Latn-ME" w:eastAsia="hr-HR"/>
              </w:rPr>
              <w:t>5</w:t>
            </w:r>
          </w:p>
        </w:tc>
      </w:tr>
      <w:tr w:rsidR="00FB109A" w:rsidRPr="00B90281" w:rsidTr="00DD07D2">
        <w:tc>
          <w:tcPr>
            <w:tcW w:w="1210" w:type="pct"/>
            <w:tcBorders>
              <w:top w:val="single" w:sz="4" w:space="0" w:color="000000"/>
              <w:bottom w:val="single" w:sz="4" w:space="0" w:color="000000"/>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Prekid terapije PN (%)</w:t>
            </w:r>
          </w:p>
        </w:tc>
        <w:tc>
          <w:tcPr>
            <w:tcW w:w="947" w:type="pct"/>
            <w:tcBorders>
              <w:top w:val="single" w:sz="4" w:space="0" w:color="000000"/>
              <w:bottom w:val="single" w:sz="4" w:space="0" w:color="000000"/>
            </w:tcBorders>
            <w:shd w:val="clear" w:color="auto" w:fill="auto"/>
          </w:tcPr>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&lt; 1</w:t>
            </w:r>
          </w:p>
        </w:tc>
        <w:tc>
          <w:tcPr>
            <w:tcW w:w="947" w:type="pct"/>
            <w:tcBorders>
              <w:top w:val="single" w:sz="4" w:space="0" w:color="000000"/>
              <w:bottom w:val="single" w:sz="4" w:space="0" w:color="000000"/>
            </w:tcBorders>
            <w:shd w:val="clear" w:color="auto" w:fill="auto"/>
          </w:tcPr>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2</w:t>
            </w:r>
          </w:p>
        </w:tc>
        <w:tc>
          <w:tcPr>
            <w:tcW w:w="947" w:type="pct"/>
            <w:tcBorders>
              <w:top w:val="single" w:sz="4" w:space="0" w:color="000000"/>
              <w:bottom w:val="single" w:sz="4" w:space="0" w:color="000000"/>
            </w:tcBorders>
            <w:shd w:val="clear" w:color="auto" w:fill="auto"/>
          </w:tcPr>
          <w:p w:rsidR="00FB109A" w:rsidRPr="00B90281" w:rsidRDefault="00FB109A" w:rsidP="00FB109A">
            <w:pPr>
              <w:suppressAutoHyphens/>
              <w:autoSpaceDE w:val="0"/>
              <w:jc w:val="center"/>
              <w:rPr>
                <w:rFonts w:eastAsia="TimesNewRoman"/>
                <w:bCs/>
                <w:color w:val="000000"/>
                <w:sz w:val="22"/>
                <w:szCs w:val="22"/>
                <w:lang w:val="sr-Latn-ME" w:eastAsia="hr-HR"/>
              </w:rPr>
            </w:pPr>
            <w:r w:rsidRPr="00B90281">
              <w:rPr>
                <w:rFonts w:eastAsia="TimesNewRoman"/>
                <w:bCs/>
                <w:color w:val="000000"/>
                <w:sz w:val="22"/>
                <w:szCs w:val="22"/>
                <w:lang w:val="sr-Latn-ME" w:eastAsia="hr-HR"/>
              </w:rPr>
              <w:t>1</w:t>
            </w:r>
          </w:p>
        </w:tc>
        <w:tc>
          <w:tcPr>
            <w:tcW w:w="948" w:type="pct"/>
            <w:tcBorders>
              <w:top w:val="single" w:sz="4" w:space="0" w:color="000000"/>
              <w:bottom w:val="single" w:sz="4" w:space="0" w:color="000000"/>
            </w:tcBorders>
            <w:shd w:val="clear" w:color="auto" w:fill="auto"/>
          </w:tcPr>
          <w:p w:rsidR="00FB109A" w:rsidRPr="00B90281" w:rsidRDefault="00FB109A" w:rsidP="00FB109A">
            <w:pPr>
              <w:suppressAutoHyphens/>
              <w:autoSpaceDE w:val="0"/>
              <w:jc w:val="center"/>
              <w:rPr>
                <w:rFonts w:eastAsia="Calibri"/>
                <w:sz w:val="22"/>
                <w:szCs w:val="22"/>
                <w:lang w:val="sr-Latn-ME" w:eastAsia="zh-CN"/>
              </w:rPr>
            </w:pPr>
            <w:r w:rsidRPr="00B90281">
              <w:rPr>
                <w:rFonts w:eastAsia="TimesNewRoman"/>
                <w:bCs/>
                <w:color w:val="000000"/>
                <w:sz w:val="22"/>
                <w:szCs w:val="22"/>
                <w:lang w:val="sr-Latn-ME" w:eastAsia="hr-HR"/>
              </w:rPr>
              <w:t>5</w:t>
            </w:r>
          </w:p>
        </w:tc>
      </w:tr>
    </w:tbl>
    <w:p w:rsidR="00FB109A" w:rsidRPr="00B90281" w:rsidRDefault="00FB109A" w:rsidP="00FB109A">
      <w:pPr>
        <w:suppressAutoHyphens/>
        <w:autoSpaceDE w:val="0"/>
        <w:jc w:val="both"/>
        <w:rPr>
          <w:rFonts w:eastAsia="TimesNewRoman"/>
          <w:bCs/>
          <w:color w:val="000000"/>
          <w:sz w:val="20"/>
          <w:szCs w:val="22"/>
          <w:lang w:val="sr-Latn-ME" w:eastAsia="hr-HR"/>
        </w:rPr>
      </w:pPr>
      <w:r w:rsidRPr="00B90281">
        <w:rPr>
          <w:rFonts w:eastAsia="TimesNewRoman"/>
          <w:bCs/>
          <w:color w:val="000000"/>
          <w:sz w:val="20"/>
          <w:szCs w:val="22"/>
          <w:lang w:val="sr-Latn-ME" w:eastAsia="hr-HR"/>
        </w:rPr>
        <w:t>VDDx=vinkristin, doksorubicin, deksametazon; BtzDx=bortezomib, deksametazon; TDx=talidomid, deksametazon; BtzTDx=bortezomib, talidomid, deksametazon; PN=periferna neuropatija</w:t>
      </w:r>
    </w:p>
    <w:p w:rsidR="00FB109A" w:rsidRPr="00B90281" w:rsidRDefault="00FB109A" w:rsidP="00FB109A">
      <w:pPr>
        <w:suppressAutoHyphens/>
        <w:autoSpaceDE w:val="0"/>
        <w:jc w:val="both"/>
        <w:rPr>
          <w:rFonts w:eastAsia="TimesNewRoman"/>
          <w:bCs/>
          <w:color w:val="000000"/>
          <w:sz w:val="20"/>
          <w:szCs w:val="22"/>
          <w:lang w:val="sr-Latn-ME" w:eastAsia="hr-HR"/>
        </w:rPr>
      </w:pPr>
      <w:r w:rsidRPr="00B90281">
        <w:rPr>
          <w:rFonts w:eastAsia="TimesNewRoman"/>
          <w:bCs/>
          <w:color w:val="000000"/>
          <w:sz w:val="20"/>
          <w:szCs w:val="22"/>
          <w:lang w:val="sr-Latn-ME" w:eastAsia="hr-HR"/>
        </w:rPr>
        <w:t>Napomena: Periferna neuropatija uključuje sledeće termine: periferna neuropatija, periferna motorna neuropatija, periferna senzorna neuropatija i polineuropatija.</w:t>
      </w:r>
    </w:p>
    <w:p w:rsidR="00FB109A" w:rsidRPr="00B90281" w:rsidRDefault="00FB109A" w:rsidP="00FB109A">
      <w:pPr>
        <w:suppressAutoHyphens/>
        <w:autoSpaceDE w:val="0"/>
        <w:rPr>
          <w:rFonts w:eastAsia="TimesNewRoman"/>
          <w:bCs/>
          <w:color w:val="000000"/>
          <w:sz w:val="22"/>
          <w:szCs w:val="22"/>
          <w:lang w:val="sr-Latn-ME" w:eastAsia="hr-HR"/>
        </w:rPr>
      </w:pPr>
    </w:p>
    <w:p w:rsidR="00FB109A" w:rsidRPr="00B90281" w:rsidRDefault="00FB109A" w:rsidP="00FB109A">
      <w:pPr>
        <w:suppressAutoHyphens/>
        <w:autoSpaceDE w:val="0"/>
        <w:rPr>
          <w:rFonts w:eastAsia="TimesNewRoman"/>
          <w:bCs/>
          <w:i/>
          <w:color w:val="000000"/>
          <w:sz w:val="22"/>
          <w:szCs w:val="22"/>
          <w:lang w:val="sr-Latn-ME" w:eastAsia="hr-HR"/>
        </w:rPr>
      </w:pPr>
      <w:r w:rsidRPr="00B90281">
        <w:rPr>
          <w:rFonts w:eastAsia="TimesNewRoman"/>
          <w:bCs/>
          <w:i/>
          <w:color w:val="000000"/>
          <w:sz w:val="22"/>
          <w:szCs w:val="22"/>
          <w:lang w:val="sr-Latn-ME" w:eastAsia="hr-HR"/>
        </w:rPr>
        <w:t>Limfom mantle ćelija</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U ispitivanju LYM-3002 u kojem je bortezomib primijenjen sa rituksimabom, ciklofosfamidom,</w:t>
      </w: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doksorubicinom i prednizonom (R-CAP),</w:t>
      </w:r>
      <w:r w:rsidR="009849DA" w:rsidRPr="00B90281">
        <w:rPr>
          <w:rFonts w:eastAsia="TimesNewRoman"/>
          <w:bCs/>
          <w:color w:val="000000"/>
          <w:sz w:val="22"/>
          <w:szCs w:val="22"/>
          <w:lang w:val="sr-Latn-ME" w:eastAsia="hr-HR"/>
        </w:rPr>
        <w:t xml:space="preserve"> incidenca periferne neuropatije </w:t>
      </w:r>
      <w:r w:rsidRPr="00B90281">
        <w:rPr>
          <w:rFonts w:eastAsia="TimesNewRoman"/>
          <w:bCs/>
          <w:color w:val="000000"/>
          <w:sz w:val="22"/>
          <w:szCs w:val="22"/>
          <w:lang w:val="sr-Latn-ME" w:eastAsia="hr-HR"/>
        </w:rPr>
        <w:t>u kombinovanom režimu doziranja prikazana je u Tabeli 10  ispod:</w:t>
      </w:r>
    </w:p>
    <w:p w:rsidR="00FB109A" w:rsidRPr="00B90281" w:rsidRDefault="00FB109A" w:rsidP="00FB109A">
      <w:pPr>
        <w:suppressAutoHyphens/>
        <w:autoSpaceDE w:val="0"/>
        <w:rPr>
          <w:rFonts w:eastAsia="TimesNewRoman"/>
          <w:bCs/>
          <w:i/>
          <w:color w:val="000000"/>
          <w:sz w:val="22"/>
          <w:szCs w:val="22"/>
          <w:lang w:val="sr-Latn-ME" w:eastAsia="hr-HR"/>
        </w:rPr>
      </w:pPr>
    </w:p>
    <w:p w:rsidR="00FB109A" w:rsidRPr="00B90281" w:rsidRDefault="00FB109A" w:rsidP="00FB109A">
      <w:pPr>
        <w:suppressAutoHyphens/>
        <w:autoSpaceDE w:val="0"/>
        <w:rPr>
          <w:rFonts w:eastAsia="TimesNewRoman"/>
          <w:bCs/>
          <w:i/>
          <w:color w:val="000000"/>
          <w:sz w:val="22"/>
          <w:szCs w:val="22"/>
          <w:lang w:val="sr-Latn-ME" w:eastAsia="hr-HR"/>
        </w:rPr>
      </w:pPr>
      <w:r w:rsidRPr="00B90281">
        <w:rPr>
          <w:rFonts w:eastAsia="TimesNewRoman"/>
          <w:bCs/>
          <w:i/>
          <w:color w:val="000000"/>
          <w:sz w:val="22"/>
          <w:szCs w:val="22"/>
          <w:lang w:val="sr-Latn-ME" w:eastAsia="hr-HR"/>
        </w:rPr>
        <w:t>Tabela 10: Incidenca periferne neuropatije u ispitivanju LYM-3002 prema toksičnosti i prekidu liječenja zbog  periferne neuropatije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006"/>
        <w:gridCol w:w="3006"/>
      </w:tblGrid>
      <w:tr w:rsidR="00FB109A" w:rsidRPr="00B90281" w:rsidTr="00A04214">
        <w:tc>
          <w:tcPr>
            <w:tcW w:w="1688" w:type="pct"/>
            <w:shd w:val="clear" w:color="auto" w:fill="auto"/>
          </w:tcPr>
          <w:p w:rsidR="00FB109A" w:rsidRPr="00B90281" w:rsidRDefault="00FB109A" w:rsidP="00FB109A">
            <w:pPr>
              <w:suppressAutoHyphens/>
              <w:autoSpaceDE w:val="0"/>
              <w:rPr>
                <w:rFonts w:eastAsia="TimesNewRoman"/>
                <w:bCs/>
                <w:i/>
                <w:color w:val="000000"/>
                <w:sz w:val="22"/>
                <w:szCs w:val="22"/>
                <w:lang w:val="sr-Latn-ME" w:eastAsia="hr-HR"/>
              </w:rPr>
            </w:pPr>
          </w:p>
        </w:tc>
        <w:tc>
          <w:tcPr>
            <w:tcW w:w="1656" w:type="pct"/>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BtzR-CAP </w:t>
            </w:r>
          </w:p>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(N=240) </w:t>
            </w:r>
          </w:p>
          <w:p w:rsidR="00FB109A" w:rsidRPr="00B90281" w:rsidRDefault="00FB109A" w:rsidP="00FB109A">
            <w:pPr>
              <w:suppressAutoHyphens/>
              <w:autoSpaceDE w:val="0"/>
              <w:rPr>
                <w:rFonts w:eastAsia="TimesNewRoman"/>
                <w:bCs/>
                <w:i/>
                <w:color w:val="000000"/>
                <w:sz w:val="22"/>
                <w:szCs w:val="22"/>
                <w:lang w:val="sr-Latn-ME" w:eastAsia="hr-HR"/>
              </w:rPr>
            </w:pPr>
          </w:p>
        </w:tc>
        <w:tc>
          <w:tcPr>
            <w:tcW w:w="1656" w:type="pct"/>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R-CHOP </w:t>
            </w:r>
          </w:p>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(N=242) </w:t>
            </w:r>
          </w:p>
          <w:p w:rsidR="00FB109A" w:rsidRPr="00B90281" w:rsidRDefault="00FB109A" w:rsidP="00FB109A">
            <w:pPr>
              <w:suppressAutoHyphens/>
              <w:autoSpaceDE w:val="0"/>
              <w:rPr>
                <w:rFonts w:eastAsia="TimesNewRoman"/>
                <w:bCs/>
                <w:i/>
                <w:color w:val="000000"/>
                <w:sz w:val="22"/>
                <w:szCs w:val="22"/>
                <w:lang w:val="sr-Latn-ME" w:eastAsia="hr-HR"/>
              </w:rPr>
            </w:pPr>
          </w:p>
        </w:tc>
      </w:tr>
      <w:tr w:rsidR="00FB109A" w:rsidRPr="00B90281" w:rsidTr="00A04214">
        <w:tc>
          <w:tcPr>
            <w:tcW w:w="1688" w:type="pct"/>
            <w:tcBorders>
              <w:bottom w:val="nil"/>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zh-CN"/>
              </w:rPr>
            </w:pPr>
            <w:r w:rsidRPr="00B90281">
              <w:rPr>
                <w:rFonts w:eastAsia="TimesNewRoman"/>
                <w:bCs/>
                <w:color w:val="000000"/>
                <w:sz w:val="22"/>
                <w:szCs w:val="22"/>
                <w:lang w:val="sr-Latn-ME" w:eastAsia="hr-HR"/>
              </w:rPr>
              <w:t>Incidenca PN (%)</w:t>
            </w:r>
          </w:p>
        </w:tc>
        <w:tc>
          <w:tcPr>
            <w:tcW w:w="1656" w:type="pct"/>
            <w:tcBorders>
              <w:bottom w:val="nil"/>
            </w:tcBorders>
            <w:shd w:val="clear" w:color="auto" w:fill="auto"/>
          </w:tcPr>
          <w:p w:rsidR="00FB109A" w:rsidRPr="00B90281" w:rsidRDefault="00FB109A" w:rsidP="00FB109A">
            <w:pPr>
              <w:suppressAutoHyphens/>
              <w:autoSpaceDE w:val="0"/>
              <w:rPr>
                <w:rFonts w:eastAsia="TimesNewRoman"/>
                <w:bCs/>
                <w:i/>
                <w:color w:val="000000"/>
                <w:sz w:val="22"/>
                <w:szCs w:val="22"/>
                <w:lang w:val="sr-Latn-ME" w:eastAsia="hr-HR"/>
              </w:rPr>
            </w:pPr>
          </w:p>
        </w:tc>
        <w:tc>
          <w:tcPr>
            <w:tcW w:w="1656" w:type="pct"/>
            <w:tcBorders>
              <w:bottom w:val="nil"/>
            </w:tcBorders>
            <w:shd w:val="clear" w:color="auto" w:fill="auto"/>
          </w:tcPr>
          <w:p w:rsidR="00FB109A" w:rsidRPr="00B90281" w:rsidRDefault="00FB109A" w:rsidP="00FB109A">
            <w:pPr>
              <w:suppressAutoHyphens/>
              <w:autoSpaceDE w:val="0"/>
              <w:rPr>
                <w:rFonts w:eastAsia="TimesNewRoman"/>
                <w:bCs/>
                <w:i/>
                <w:color w:val="000000"/>
                <w:sz w:val="22"/>
                <w:szCs w:val="22"/>
                <w:lang w:val="sr-Latn-ME" w:eastAsia="hr-HR"/>
              </w:rPr>
            </w:pPr>
          </w:p>
        </w:tc>
      </w:tr>
      <w:tr w:rsidR="00FB109A" w:rsidRPr="00B90281" w:rsidTr="00A04214">
        <w:tc>
          <w:tcPr>
            <w:tcW w:w="1688" w:type="pct"/>
            <w:tcBorders>
              <w:top w:val="nil"/>
              <w:bottom w:val="nil"/>
            </w:tcBorders>
            <w:shd w:val="clear" w:color="auto" w:fill="auto"/>
          </w:tcPr>
          <w:p w:rsidR="00FB109A" w:rsidRPr="00B90281" w:rsidRDefault="00FB109A" w:rsidP="00FB109A">
            <w:pPr>
              <w:suppressAutoHyphens/>
              <w:autoSpaceDE w:val="0"/>
              <w:rPr>
                <w:bCs/>
                <w:color w:val="000000"/>
                <w:sz w:val="22"/>
                <w:szCs w:val="22"/>
                <w:lang w:val="sr-Latn-ME" w:eastAsia="zh-CN"/>
              </w:rPr>
            </w:pPr>
            <w:r w:rsidRPr="00B90281">
              <w:rPr>
                <w:rFonts w:eastAsia="TimesNewRoman"/>
                <w:bCs/>
                <w:color w:val="000000"/>
                <w:sz w:val="22"/>
                <w:szCs w:val="22"/>
                <w:lang w:val="sr-Latn-ME" w:eastAsia="hr-HR"/>
              </w:rPr>
              <w:t>Svi stepeni PN</w:t>
            </w:r>
          </w:p>
        </w:tc>
        <w:tc>
          <w:tcPr>
            <w:tcW w:w="1656" w:type="pct"/>
            <w:tcBorders>
              <w:top w:val="nil"/>
              <w:bottom w:val="nil"/>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30</w:t>
            </w:r>
          </w:p>
        </w:tc>
        <w:tc>
          <w:tcPr>
            <w:tcW w:w="1656" w:type="pct"/>
            <w:tcBorders>
              <w:top w:val="nil"/>
              <w:bottom w:val="nil"/>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29</w:t>
            </w:r>
          </w:p>
        </w:tc>
      </w:tr>
      <w:tr w:rsidR="00FB109A" w:rsidRPr="00B90281" w:rsidTr="00A04214">
        <w:tc>
          <w:tcPr>
            <w:tcW w:w="1688" w:type="pct"/>
            <w:tcBorders>
              <w:top w:val="nil"/>
              <w:bottom w:val="nil"/>
            </w:tcBorders>
            <w:shd w:val="clear" w:color="auto" w:fill="auto"/>
          </w:tcPr>
          <w:p w:rsidR="00FB109A" w:rsidRPr="00B90281" w:rsidRDefault="00FB109A" w:rsidP="00FB109A">
            <w:pPr>
              <w:suppressAutoHyphens/>
              <w:autoSpaceDE w:val="0"/>
              <w:rPr>
                <w:bCs/>
                <w:color w:val="000000"/>
                <w:sz w:val="22"/>
                <w:szCs w:val="22"/>
                <w:lang w:val="sr-Latn-ME" w:eastAsia="zh-CN"/>
              </w:rPr>
            </w:pPr>
            <w:r w:rsidRPr="00B90281">
              <w:rPr>
                <w:bCs/>
                <w:color w:val="000000"/>
                <w:sz w:val="22"/>
                <w:szCs w:val="22"/>
                <w:lang w:val="sr-Latn-ME" w:eastAsia="hr-HR"/>
              </w:rPr>
              <w:t xml:space="preserve">≥ </w:t>
            </w:r>
            <w:r w:rsidRPr="00B90281">
              <w:rPr>
                <w:rFonts w:eastAsia="TimesNewRoman"/>
                <w:bCs/>
                <w:color w:val="000000"/>
                <w:sz w:val="22"/>
                <w:szCs w:val="22"/>
                <w:lang w:val="sr-Latn-ME" w:eastAsia="hr-HR"/>
              </w:rPr>
              <w:t>Ste</w:t>
            </w:r>
            <w:r w:rsidR="006D3BE8" w:rsidRPr="00B90281">
              <w:rPr>
                <w:rFonts w:eastAsia="TimesNewRoman"/>
                <w:bCs/>
                <w:color w:val="000000"/>
                <w:sz w:val="22"/>
                <w:szCs w:val="22"/>
                <w:lang w:val="sr-Latn-ME" w:eastAsia="hr-HR"/>
              </w:rPr>
              <w:t>p</w:t>
            </w:r>
            <w:r w:rsidRPr="00B90281">
              <w:rPr>
                <w:rFonts w:eastAsia="TimesNewRoman"/>
                <w:bCs/>
                <w:color w:val="000000"/>
                <w:sz w:val="22"/>
                <w:szCs w:val="22"/>
                <w:lang w:val="sr-Latn-ME" w:eastAsia="hr-HR"/>
              </w:rPr>
              <w:t>en 2 PN</w:t>
            </w:r>
          </w:p>
        </w:tc>
        <w:tc>
          <w:tcPr>
            <w:tcW w:w="1656" w:type="pct"/>
            <w:tcBorders>
              <w:top w:val="nil"/>
              <w:bottom w:val="nil"/>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18</w:t>
            </w:r>
          </w:p>
        </w:tc>
        <w:tc>
          <w:tcPr>
            <w:tcW w:w="1656" w:type="pct"/>
            <w:tcBorders>
              <w:top w:val="nil"/>
              <w:bottom w:val="nil"/>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9</w:t>
            </w:r>
          </w:p>
        </w:tc>
      </w:tr>
      <w:tr w:rsidR="00FB109A" w:rsidRPr="00B90281" w:rsidTr="00A04214">
        <w:tc>
          <w:tcPr>
            <w:tcW w:w="1688" w:type="pct"/>
            <w:tcBorders>
              <w:top w:val="nil"/>
            </w:tcBorders>
            <w:shd w:val="clear" w:color="auto" w:fill="auto"/>
          </w:tcPr>
          <w:p w:rsidR="00FB109A" w:rsidRPr="00B90281" w:rsidRDefault="00FB109A" w:rsidP="00FB109A">
            <w:pPr>
              <w:suppressAutoHyphens/>
              <w:spacing w:after="200"/>
              <w:rPr>
                <w:rFonts w:eastAsia="Calibri"/>
                <w:sz w:val="22"/>
                <w:szCs w:val="22"/>
                <w:lang w:val="sr-Latn-ME" w:eastAsia="zh-CN"/>
              </w:rPr>
            </w:pPr>
            <w:r w:rsidRPr="00B90281">
              <w:rPr>
                <w:bCs/>
                <w:color w:val="000000"/>
                <w:sz w:val="22"/>
                <w:szCs w:val="22"/>
                <w:lang w:val="sr-Latn-ME" w:eastAsia="hr-HR"/>
              </w:rPr>
              <w:t xml:space="preserve">≥ </w:t>
            </w:r>
            <w:r w:rsidRPr="00B90281">
              <w:rPr>
                <w:rFonts w:eastAsia="TimesNewRoman"/>
                <w:bCs/>
                <w:color w:val="000000"/>
                <w:sz w:val="22"/>
                <w:szCs w:val="22"/>
                <w:lang w:val="sr-Latn-ME" w:eastAsia="hr-HR"/>
              </w:rPr>
              <w:t>Stepen 3 PN</w:t>
            </w:r>
          </w:p>
        </w:tc>
        <w:tc>
          <w:tcPr>
            <w:tcW w:w="1656" w:type="pct"/>
            <w:tcBorders>
              <w:top w:val="nil"/>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 8</w:t>
            </w:r>
          </w:p>
        </w:tc>
        <w:tc>
          <w:tcPr>
            <w:tcW w:w="1656" w:type="pct"/>
            <w:tcBorders>
              <w:top w:val="nil"/>
            </w:tcBorders>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4</w:t>
            </w:r>
          </w:p>
        </w:tc>
      </w:tr>
      <w:tr w:rsidR="00FB109A" w:rsidRPr="00B90281" w:rsidTr="00A04214">
        <w:tc>
          <w:tcPr>
            <w:tcW w:w="1688" w:type="pct"/>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Prekid terapije PN (%)</w:t>
            </w:r>
          </w:p>
        </w:tc>
        <w:tc>
          <w:tcPr>
            <w:tcW w:w="1656" w:type="pct"/>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2</w:t>
            </w:r>
          </w:p>
        </w:tc>
        <w:tc>
          <w:tcPr>
            <w:tcW w:w="1656" w:type="pct"/>
            <w:shd w:val="clear" w:color="auto" w:fill="auto"/>
          </w:tcPr>
          <w:p w:rsidR="00FB109A" w:rsidRPr="00B90281" w:rsidRDefault="00FB109A" w:rsidP="00FB109A">
            <w:pPr>
              <w:suppressAutoHyphens/>
              <w:autoSpaceDE w:val="0"/>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&lt; 1 </w:t>
            </w:r>
          </w:p>
        </w:tc>
      </w:tr>
    </w:tbl>
    <w:p w:rsidR="00FB109A" w:rsidRPr="00B90281" w:rsidRDefault="00FB109A" w:rsidP="00FB109A">
      <w:pPr>
        <w:suppressAutoHyphens/>
        <w:autoSpaceDE w:val="0"/>
        <w:rPr>
          <w:rFonts w:eastAsia="TimesNewRoman"/>
          <w:bCs/>
          <w:color w:val="000000"/>
          <w:sz w:val="20"/>
          <w:szCs w:val="22"/>
          <w:lang w:val="sr-Latn-ME" w:eastAsia="hr-HR"/>
        </w:rPr>
      </w:pPr>
      <w:r w:rsidRPr="00B90281">
        <w:rPr>
          <w:rFonts w:eastAsia="TimesNewRoman"/>
          <w:bCs/>
          <w:color w:val="000000"/>
          <w:sz w:val="20"/>
          <w:szCs w:val="22"/>
          <w:lang w:val="sr-Latn-ME" w:eastAsia="hr-HR"/>
        </w:rPr>
        <w:t>BtzR-CAP=bortezomib, rituksimab, ciklofosfamid, doksorubicin i prednizon; R-CHOP= rituksimab, ciklofosfamid, doksorubicin, vinkristin i prednizon; PN=periferna neuropatija</w:t>
      </w:r>
    </w:p>
    <w:p w:rsidR="00FB109A" w:rsidRPr="00B90281" w:rsidRDefault="00FB109A" w:rsidP="00FB109A">
      <w:pPr>
        <w:suppressAutoHyphens/>
        <w:autoSpaceDE w:val="0"/>
        <w:rPr>
          <w:rFonts w:eastAsia="TimesNewRoman"/>
          <w:bCs/>
          <w:color w:val="000000"/>
          <w:sz w:val="20"/>
          <w:szCs w:val="22"/>
          <w:lang w:val="sr-Latn-ME" w:eastAsia="hr-HR"/>
        </w:rPr>
      </w:pPr>
      <w:r w:rsidRPr="00B90281">
        <w:rPr>
          <w:rFonts w:eastAsia="TimesNewRoman"/>
          <w:bCs/>
          <w:color w:val="000000"/>
          <w:sz w:val="20"/>
          <w:szCs w:val="22"/>
          <w:lang w:val="sr-Latn-ME" w:eastAsia="hr-HR"/>
        </w:rPr>
        <w:t>Periferna neuropatija uključuje sledeće termine: periferna senzorna neuropatija, periferna neuropatija, periferna motorna neuropatija i periferna senzorno-motorna neuropatija</w:t>
      </w:r>
    </w:p>
    <w:p w:rsidR="00FB109A" w:rsidRPr="00B90281" w:rsidRDefault="00FB109A" w:rsidP="00FB109A">
      <w:pPr>
        <w:suppressAutoHyphens/>
        <w:autoSpaceDE w:val="0"/>
        <w:rPr>
          <w:rFonts w:eastAsia="TimesNewRoman"/>
          <w:bCs/>
          <w:color w:val="000000"/>
          <w:sz w:val="22"/>
          <w:szCs w:val="22"/>
          <w:lang w:val="sr-Latn-ME" w:eastAsia="hr-HR"/>
        </w:rPr>
      </w:pPr>
    </w:p>
    <w:p w:rsidR="00FB109A" w:rsidRPr="00B90281" w:rsidRDefault="00FB109A" w:rsidP="00FB109A">
      <w:pPr>
        <w:suppressAutoHyphens/>
        <w:autoSpaceDE w:val="0"/>
        <w:rPr>
          <w:rFonts w:eastAsia="TimesNewRoman"/>
          <w:bCs/>
          <w:i/>
          <w:color w:val="000000"/>
          <w:sz w:val="22"/>
          <w:szCs w:val="22"/>
          <w:lang w:val="sr-Latn-ME" w:eastAsia="hr-HR"/>
        </w:rPr>
      </w:pPr>
      <w:r w:rsidRPr="00B90281">
        <w:rPr>
          <w:rFonts w:eastAsia="TimesNewRoman"/>
          <w:bCs/>
          <w:i/>
          <w:color w:val="000000"/>
          <w:sz w:val="22"/>
          <w:szCs w:val="22"/>
          <w:lang w:val="sr-Latn-ME" w:eastAsia="hr-HR"/>
        </w:rPr>
        <w:t>Stariji pacijenti sa limfomom mantle ćelija (MCL-om)</w:t>
      </w:r>
    </w:p>
    <w:p w:rsidR="00FB109A" w:rsidRPr="00B90281" w:rsidRDefault="00FB109A" w:rsidP="00FB109A">
      <w:pPr>
        <w:suppressAutoHyphens/>
        <w:autoSpaceDE w:val="0"/>
        <w:rPr>
          <w:rFonts w:eastAsia="TimesNewRoman"/>
          <w:bCs/>
          <w:i/>
          <w:color w:val="000000"/>
          <w:sz w:val="22"/>
          <w:szCs w:val="22"/>
          <w:lang w:val="sr-Latn-ME" w:eastAsia="hr-HR"/>
        </w:rPr>
      </w:pPr>
    </w:p>
    <w:p w:rsidR="00FB109A" w:rsidRPr="00B90281" w:rsidRDefault="00FB109A" w:rsidP="00FB109A">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42,9% u BtzR-CAP grupi bilo je starosne dobi u rasponu od 65-74 godina, i 10,4% pacijenta je bilo starosti  ≥ 75 godina. Iako su kod pacijenata starosti  ≥ 75 godina oba terapijska režima bila slabije podnošena, incidenca ozbiljnih neželjenih dejstava u BtzR-CAP grupi  je iznosila 68%, u poređenju sa  42% u R-CHOP grupi.</w:t>
      </w:r>
    </w:p>
    <w:p w:rsidR="00FB109A" w:rsidRPr="00B90281" w:rsidRDefault="00FB109A" w:rsidP="00FB109A">
      <w:pPr>
        <w:suppressAutoHyphens/>
        <w:autoSpaceDE w:val="0"/>
        <w:rPr>
          <w:rFonts w:eastAsia="TimesNewRoman"/>
          <w:bCs/>
          <w:color w:val="000000"/>
          <w:sz w:val="22"/>
          <w:szCs w:val="22"/>
          <w:lang w:val="sr-Latn-ME" w:eastAsia="hr-HR"/>
        </w:rPr>
      </w:pPr>
    </w:p>
    <w:p w:rsidR="00D45B76" w:rsidRPr="00D31597" w:rsidRDefault="00D45B76" w:rsidP="00D45B76">
      <w:pPr>
        <w:suppressAutoHyphens/>
        <w:autoSpaceDE w:val="0"/>
        <w:rPr>
          <w:rFonts w:eastAsia="TimesNewRoman"/>
          <w:bCs/>
          <w:i/>
          <w:color w:val="000000"/>
          <w:sz w:val="22"/>
          <w:szCs w:val="22"/>
          <w:u w:val="single"/>
          <w:lang w:val="sr-Latn-ME" w:eastAsia="hr-HR"/>
        </w:rPr>
      </w:pPr>
      <w:r w:rsidRPr="00D31597">
        <w:rPr>
          <w:rFonts w:eastAsia="TimesNewRoman"/>
          <w:bCs/>
          <w:i/>
          <w:color w:val="000000"/>
          <w:sz w:val="22"/>
          <w:szCs w:val="22"/>
          <w:u w:val="single"/>
          <w:lang w:val="sr-Latn-ME" w:eastAsia="hr-HR"/>
        </w:rPr>
        <w:t>Značajne razlike bezbjednosnog profila bortezomiba primijenjenog kao monoterapija subkutano u odnosu na intravensku primjenu</w:t>
      </w:r>
    </w:p>
    <w:p w:rsidR="00D45B76" w:rsidRPr="00B90281" w:rsidRDefault="00D45B76" w:rsidP="00D45B76">
      <w:pPr>
        <w:suppressAutoHyphens/>
        <w:autoSpaceDE w:val="0"/>
        <w:rPr>
          <w:rFonts w:eastAsia="TimesNewRoman"/>
          <w:bCs/>
          <w:i/>
          <w:color w:val="000000"/>
          <w:sz w:val="22"/>
          <w:szCs w:val="22"/>
          <w:lang w:val="sr-Latn-ME" w:eastAsia="hr-HR"/>
        </w:rPr>
      </w:pPr>
    </w:p>
    <w:p w:rsidR="004A0BB0" w:rsidRPr="00B90281" w:rsidRDefault="00D45B76" w:rsidP="00D45B76">
      <w:pPr>
        <w:suppressAutoHyphens/>
        <w:autoSpaceDE w:val="0"/>
        <w:rPr>
          <w:sz w:val="22"/>
          <w:szCs w:val="22"/>
          <w:lang w:val="sr-Latn-ME"/>
        </w:rPr>
      </w:pPr>
      <w:r w:rsidRPr="00B90281">
        <w:rPr>
          <w:sz w:val="22"/>
          <w:szCs w:val="22"/>
          <w:lang w:val="sr-Latn-ME"/>
        </w:rPr>
        <w:t xml:space="preserve">U ispitivanju faze III pacijenti koji su primili bortezomib subkutano u odnosu na intravensku primjenu, imali su 13% manju ukupnu incidencu neželjenih dejstava stepena toksičnosti 3 ili više, koje su proizašle iz liječenja i 5% manju incidencu prekida primjene bortezomiba. Ukupna incidenca dijareje, gastrointestinalnog i abdominalnog bola, astenijskih stanja, infekcija gornjih disajnih puteva i perifernih neuropatija, bila je 12%-15% niža u grupi subkutane primjene nego u intravenskoj grupi. Dodatno, incidenca perifernih neuropatija stepena 3 ili više bila je 10% niža, a stopa prekida primjene zbog perifernih neuropatija bila je 8% niža za subkutanu grupu u poređenju sa intravenskom grupom. </w:t>
      </w:r>
    </w:p>
    <w:p w:rsidR="00D31597" w:rsidRDefault="00D31597" w:rsidP="00D45B76">
      <w:pPr>
        <w:suppressAutoHyphens/>
        <w:autoSpaceDE w:val="0"/>
        <w:rPr>
          <w:sz w:val="22"/>
          <w:szCs w:val="22"/>
          <w:lang w:val="sr-Latn-ME"/>
        </w:rPr>
      </w:pPr>
    </w:p>
    <w:p w:rsidR="00D31597" w:rsidRDefault="00D45B76" w:rsidP="00D45B76">
      <w:pPr>
        <w:suppressAutoHyphens/>
        <w:autoSpaceDE w:val="0"/>
        <w:rPr>
          <w:sz w:val="22"/>
          <w:szCs w:val="22"/>
          <w:lang w:val="sr-Latn-ME"/>
        </w:rPr>
      </w:pPr>
      <w:r w:rsidRPr="00B90281">
        <w:rPr>
          <w:sz w:val="22"/>
          <w:szCs w:val="22"/>
          <w:lang w:val="sr-Latn-ME"/>
        </w:rPr>
        <w:t xml:space="preserve">Šest posto pacijenata imalo je neželjena dejstva na mjestu subkutane primjene, uglavnom crvenilo. Medijana od 6 dana bila je potrebna za prolazak neželjenog dejstva, a kod dva pacijenta bila je </w:t>
      </w:r>
      <w:r w:rsidRPr="00B90281">
        <w:rPr>
          <w:sz w:val="22"/>
          <w:szCs w:val="22"/>
          <w:lang w:val="sr-Latn-ME"/>
        </w:rPr>
        <w:lastRenderedPageBreak/>
        <w:t xml:space="preserve">potrebna promjena doze. Dva (1%) pacijenta su imala teške reakcije; 1 slučaj pruritusa i 1 slučaj crvenila. </w:t>
      </w:r>
    </w:p>
    <w:p w:rsidR="00D45B76" w:rsidRPr="00B90281" w:rsidRDefault="00D45B76" w:rsidP="00D45B76">
      <w:pPr>
        <w:suppressAutoHyphens/>
        <w:autoSpaceDE w:val="0"/>
        <w:rPr>
          <w:rFonts w:eastAsia="TimesNewRoman"/>
          <w:bCs/>
          <w:i/>
          <w:color w:val="000000"/>
          <w:sz w:val="22"/>
          <w:szCs w:val="22"/>
          <w:lang w:val="sr-Latn-ME" w:eastAsia="hr-HR"/>
        </w:rPr>
      </w:pPr>
      <w:r w:rsidRPr="00B90281">
        <w:rPr>
          <w:sz w:val="22"/>
          <w:szCs w:val="22"/>
          <w:lang w:val="sr-Latn-ME"/>
        </w:rPr>
        <w:t>Incidenca smrti za vrijeme liječenja bila je 5% u grupi liječenoj subkutano a 7% u grupi liječenoj intravenski. Incidenca smrti od “Progresivne bolesti” bila je 18% u subkutanoj grupi i 9% u intravenskoj grupi.</w:t>
      </w:r>
    </w:p>
    <w:p w:rsidR="00D45B76" w:rsidRPr="00B90281" w:rsidRDefault="00D45B76" w:rsidP="00FB109A">
      <w:pPr>
        <w:suppressAutoHyphens/>
        <w:autoSpaceDE w:val="0"/>
        <w:jc w:val="both"/>
        <w:rPr>
          <w:rFonts w:eastAsia="TimesNewRoman"/>
          <w:bCs/>
          <w:i/>
          <w:iCs/>
          <w:color w:val="000000"/>
          <w:sz w:val="22"/>
          <w:szCs w:val="22"/>
          <w:lang w:val="sr-Latn-ME" w:eastAsia="hr-HR"/>
        </w:rPr>
      </w:pPr>
    </w:p>
    <w:p w:rsidR="00FB109A" w:rsidRPr="00D31597" w:rsidRDefault="00FB109A" w:rsidP="00FB109A">
      <w:pPr>
        <w:suppressAutoHyphens/>
        <w:autoSpaceDE w:val="0"/>
        <w:jc w:val="both"/>
        <w:rPr>
          <w:rFonts w:eastAsia="TimesNewRoman"/>
          <w:bCs/>
          <w:i/>
          <w:iCs/>
          <w:color w:val="000000"/>
          <w:sz w:val="22"/>
          <w:szCs w:val="22"/>
          <w:u w:val="single"/>
          <w:lang w:val="sr-Latn-ME" w:eastAsia="hr-HR"/>
        </w:rPr>
      </w:pPr>
      <w:r w:rsidRPr="00D31597">
        <w:rPr>
          <w:rFonts w:eastAsia="TimesNewRoman"/>
          <w:bCs/>
          <w:i/>
          <w:iCs/>
          <w:color w:val="000000"/>
          <w:sz w:val="22"/>
          <w:szCs w:val="22"/>
          <w:u w:val="single"/>
          <w:lang w:val="sr-Latn-ME" w:eastAsia="hr-HR"/>
        </w:rPr>
        <w:t>Ponovljeno  liječenje kod pacijenta sa  relapsom multiplog mijeloma</w:t>
      </w:r>
    </w:p>
    <w:p w:rsidR="00AF40E2" w:rsidRPr="00B90281" w:rsidRDefault="00FB109A" w:rsidP="00653A06">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U kliničkoj studiji u kojoj je liječenje bortezomibom primijenjeno ponovo kod 130 pacijenta sa relapsom multiplog mijeloma, a koji su prethodno imali najmanje  parcijalan  odgovor na režim liječenja koji je uključivao bortezomib, najčešće prijavljena neželjena dejstva (svih stepeni), koja su se javljala kod barem 25% pacijenta, bila su: trombocitopenija (55%), neuropatija (40%), anemija (37%), dijareja  (35%) i konstipacija (28%). Periferna neuropatija svih stepena je zapažena kod 40%, a  periferna neuropatija stepena ≥ 3  kod 8,5% pacijenta.</w:t>
      </w:r>
    </w:p>
    <w:p w:rsidR="00653A06" w:rsidRPr="00B90281" w:rsidRDefault="00653A06" w:rsidP="00653A06">
      <w:pPr>
        <w:suppressAutoHyphens/>
        <w:autoSpaceDE w:val="0"/>
        <w:jc w:val="both"/>
        <w:rPr>
          <w:rFonts w:eastAsia="TimesNewRoman"/>
          <w:bCs/>
          <w:color w:val="000000"/>
          <w:sz w:val="22"/>
          <w:szCs w:val="22"/>
          <w:lang w:val="sr-Latn-ME" w:eastAsia="hr-HR"/>
        </w:rPr>
      </w:pPr>
    </w:p>
    <w:p w:rsidR="005A23D2" w:rsidRPr="00B90281" w:rsidRDefault="005A23D2" w:rsidP="00D31597">
      <w:pPr>
        <w:spacing w:line="276" w:lineRule="auto"/>
        <w:rPr>
          <w:rFonts w:eastAsia="Calibri"/>
          <w:sz w:val="22"/>
          <w:szCs w:val="22"/>
          <w:u w:val="single"/>
          <w:lang w:val="sr-Latn-ME"/>
        </w:rPr>
      </w:pPr>
      <w:r w:rsidRPr="00B90281">
        <w:rPr>
          <w:rFonts w:eastAsia="Calibri"/>
          <w:sz w:val="22"/>
          <w:szCs w:val="22"/>
          <w:u w:val="single"/>
          <w:lang w:val="sr-Latn-ME"/>
        </w:rPr>
        <w:t>Prijavljivanje sumnji na neželjena dejstva</w:t>
      </w:r>
    </w:p>
    <w:p w:rsidR="005A23D2" w:rsidRDefault="005A23D2" w:rsidP="00D31597">
      <w:pPr>
        <w:jc w:val="both"/>
        <w:rPr>
          <w:rFonts w:eastAsia="Calibri"/>
          <w:sz w:val="22"/>
          <w:szCs w:val="22"/>
          <w:lang w:val="sr-Latn-ME"/>
        </w:rPr>
      </w:pPr>
      <w:r w:rsidRPr="00B90281">
        <w:rPr>
          <w:rFonts w:eastAsia="Calibri"/>
          <w:sz w:val="22"/>
          <w:szCs w:val="22"/>
          <w:lang w:val="sr-Latn-ME"/>
        </w:rPr>
        <w:t>Prijavljivanje neželjenih dejstava nakon dobijanja dozvole je od velikog značaja jer obezbjeđuje kont</w:t>
      </w:r>
      <w:r w:rsidR="00EA5765" w:rsidRPr="00B90281">
        <w:rPr>
          <w:rFonts w:eastAsia="Calibri"/>
          <w:sz w:val="22"/>
          <w:szCs w:val="22"/>
          <w:lang w:val="sr-Latn-ME"/>
        </w:rPr>
        <w:t>inuirano praćenje odnosa korist</w:t>
      </w:r>
      <w:r w:rsidRPr="00B90281">
        <w:rPr>
          <w:rFonts w:eastAsia="Calibri"/>
          <w:sz w:val="22"/>
          <w:szCs w:val="22"/>
          <w:lang w:val="sr-Latn-ME"/>
        </w:rPr>
        <w:t>/rizik primjene lijeka. Zdravstveni radnici treba da prijave svaku sumnju na neželjeno</w:t>
      </w:r>
      <w:r w:rsidR="009B062A" w:rsidRPr="00B90281">
        <w:rPr>
          <w:rFonts w:eastAsia="Calibri"/>
          <w:sz w:val="22"/>
          <w:szCs w:val="22"/>
          <w:lang w:val="sr-Latn-ME"/>
        </w:rPr>
        <w:t xml:space="preserve"> </w:t>
      </w:r>
      <w:r w:rsidRPr="00B90281">
        <w:rPr>
          <w:rFonts w:eastAsia="Calibri"/>
          <w:sz w:val="22"/>
          <w:szCs w:val="22"/>
          <w:lang w:val="sr-Latn-ME"/>
        </w:rPr>
        <w:t xml:space="preserve">dejstvo ovog lijeka </w:t>
      </w:r>
      <w:r w:rsidR="00D30409" w:rsidRPr="00B90281">
        <w:rPr>
          <w:rFonts w:eastAsia="Calibri"/>
          <w:sz w:val="22"/>
          <w:szCs w:val="22"/>
          <w:lang w:val="sr-Latn-ME"/>
        </w:rPr>
        <w:t>Institutu</w:t>
      </w:r>
      <w:r w:rsidRPr="00B90281">
        <w:rPr>
          <w:rFonts w:eastAsia="Calibri"/>
          <w:sz w:val="22"/>
          <w:szCs w:val="22"/>
          <w:lang w:val="sr-Latn-ME"/>
        </w:rPr>
        <w:t xml:space="preserve"> za ljekove i medicinska sredstva (C</w:t>
      </w:r>
      <w:r w:rsidR="00D30409" w:rsidRPr="00B90281">
        <w:rPr>
          <w:rFonts w:eastAsia="Calibri"/>
          <w:sz w:val="22"/>
          <w:szCs w:val="22"/>
          <w:lang w:val="sr-Latn-ME"/>
        </w:rPr>
        <w:t>InMED</w:t>
      </w:r>
      <w:r w:rsidRPr="00B90281">
        <w:rPr>
          <w:rFonts w:eastAsia="Calibri"/>
          <w:sz w:val="22"/>
          <w:szCs w:val="22"/>
          <w:lang w:val="sr-Latn-ME"/>
        </w:rPr>
        <w:t>):</w:t>
      </w:r>
    </w:p>
    <w:p w:rsidR="00D31597" w:rsidRPr="00B90281" w:rsidRDefault="00D31597" w:rsidP="00D31597">
      <w:pPr>
        <w:jc w:val="both"/>
        <w:rPr>
          <w:rFonts w:eastAsia="Calibri"/>
          <w:sz w:val="22"/>
          <w:szCs w:val="22"/>
          <w:lang w:val="sr-Latn-ME"/>
        </w:rPr>
      </w:pPr>
    </w:p>
    <w:p w:rsidR="005A23D2" w:rsidRPr="00B90281" w:rsidRDefault="00D30409" w:rsidP="00A46C9A">
      <w:pPr>
        <w:pStyle w:val="NoSpacing"/>
        <w:jc w:val="both"/>
        <w:rPr>
          <w:rFonts w:eastAsia="Calibri"/>
          <w:sz w:val="22"/>
          <w:szCs w:val="22"/>
          <w:lang w:val="sr-Latn-ME"/>
        </w:rPr>
      </w:pPr>
      <w:r w:rsidRPr="00B90281">
        <w:rPr>
          <w:rFonts w:eastAsia="Calibri"/>
          <w:sz w:val="22"/>
          <w:szCs w:val="22"/>
          <w:lang w:val="sr-Latn-ME"/>
        </w:rPr>
        <w:t>Institut</w:t>
      </w:r>
      <w:r w:rsidR="005A23D2" w:rsidRPr="00B90281">
        <w:rPr>
          <w:rFonts w:eastAsia="Calibri"/>
          <w:sz w:val="22"/>
          <w:szCs w:val="22"/>
          <w:lang w:val="sr-Latn-ME"/>
        </w:rPr>
        <w:t xml:space="preserve"> za ljekove i medicinska sredstva Crne Gore</w:t>
      </w:r>
    </w:p>
    <w:p w:rsidR="005A23D2" w:rsidRPr="00B90281" w:rsidRDefault="005A23D2" w:rsidP="00A46C9A">
      <w:pPr>
        <w:pStyle w:val="NoSpacing"/>
        <w:jc w:val="both"/>
        <w:rPr>
          <w:rFonts w:eastAsia="Calibri"/>
          <w:sz w:val="22"/>
          <w:szCs w:val="22"/>
          <w:lang w:val="sr-Latn-ME"/>
        </w:rPr>
      </w:pPr>
      <w:r w:rsidRPr="00B90281">
        <w:rPr>
          <w:rFonts w:eastAsia="Calibri"/>
          <w:sz w:val="22"/>
          <w:szCs w:val="22"/>
          <w:lang w:val="sr-Latn-ME"/>
        </w:rPr>
        <w:t>Odjeljenje za farmakovigilancu</w:t>
      </w:r>
    </w:p>
    <w:p w:rsidR="00EA5765" w:rsidRPr="00B90281" w:rsidRDefault="005A23D2" w:rsidP="00A46C9A">
      <w:pPr>
        <w:pStyle w:val="NoSpacing"/>
        <w:jc w:val="both"/>
        <w:rPr>
          <w:rFonts w:eastAsia="Calibri"/>
          <w:sz w:val="22"/>
          <w:szCs w:val="22"/>
          <w:lang w:val="sr-Latn-ME"/>
        </w:rPr>
      </w:pPr>
      <w:r w:rsidRPr="00B90281">
        <w:rPr>
          <w:rFonts w:eastAsia="Calibri"/>
          <w:sz w:val="22"/>
          <w:szCs w:val="22"/>
          <w:lang w:val="sr-Latn-ME"/>
        </w:rPr>
        <w:t>Bulevar Ivana Crnojevića 64a, 81000 Podgorica</w:t>
      </w:r>
    </w:p>
    <w:p w:rsidR="00EA5765" w:rsidRPr="00B90281" w:rsidRDefault="00EA5765" w:rsidP="00A46C9A">
      <w:pPr>
        <w:pStyle w:val="NoSpacing"/>
        <w:rPr>
          <w:rFonts w:eastAsia="Calibri"/>
          <w:sz w:val="22"/>
          <w:szCs w:val="22"/>
          <w:lang w:val="sr-Latn-ME"/>
        </w:rPr>
      </w:pPr>
    </w:p>
    <w:p w:rsidR="005A23D2" w:rsidRPr="00B90281" w:rsidRDefault="005A23D2" w:rsidP="00A46C9A">
      <w:pPr>
        <w:pStyle w:val="NoSpacing"/>
        <w:jc w:val="both"/>
        <w:rPr>
          <w:rFonts w:eastAsia="Calibri"/>
          <w:sz w:val="22"/>
          <w:szCs w:val="22"/>
          <w:lang w:val="sr-Latn-ME"/>
        </w:rPr>
      </w:pPr>
      <w:r w:rsidRPr="00B90281">
        <w:rPr>
          <w:rFonts w:eastAsia="Calibri"/>
          <w:sz w:val="22"/>
          <w:szCs w:val="22"/>
          <w:lang w:val="sr-Latn-ME"/>
        </w:rPr>
        <w:t>tel: +382 (0) 20 310 280</w:t>
      </w:r>
    </w:p>
    <w:p w:rsidR="00EA5765" w:rsidRPr="00B90281" w:rsidRDefault="005A23D2" w:rsidP="00A46C9A">
      <w:pPr>
        <w:pStyle w:val="NoSpacing"/>
        <w:jc w:val="both"/>
        <w:rPr>
          <w:rFonts w:eastAsia="Calibri"/>
          <w:sz w:val="22"/>
          <w:szCs w:val="22"/>
          <w:lang w:val="sr-Latn-ME"/>
        </w:rPr>
      </w:pPr>
      <w:r w:rsidRPr="00B90281">
        <w:rPr>
          <w:rFonts w:eastAsia="Calibri"/>
          <w:sz w:val="22"/>
          <w:szCs w:val="22"/>
          <w:lang w:val="sr-Latn-ME"/>
        </w:rPr>
        <w:t>fax:</w:t>
      </w:r>
      <w:r w:rsidR="00EA5765" w:rsidRPr="00B90281">
        <w:rPr>
          <w:rFonts w:eastAsia="Calibri"/>
          <w:sz w:val="22"/>
          <w:szCs w:val="22"/>
          <w:lang w:val="sr-Latn-ME"/>
        </w:rPr>
        <w:t xml:space="preserve"> </w:t>
      </w:r>
      <w:r w:rsidRPr="00B90281">
        <w:rPr>
          <w:rFonts w:eastAsia="Calibri"/>
          <w:sz w:val="22"/>
          <w:szCs w:val="22"/>
          <w:lang w:val="sr-Latn-ME"/>
        </w:rPr>
        <w:t>+382 (0) 20 310 581</w:t>
      </w:r>
    </w:p>
    <w:p w:rsidR="005A23D2" w:rsidRPr="00B90281" w:rsidRDefault="00727EA0" w:rsidP="00A46C9A">
      <w:pPr>
        <w:pStyle w:val="NoSpacing"/>
        <w:jc w:val="both"/>
        <w:rPr>
          <w:rFonts w:eastAsia="Calibri"/>
          <w:sz w:val="22"/>
          <w:szCs w:val="22"/>
          <w:lang w:val="sr-Latn-ME"/>
        </w:rPr>
      </w:pPr>
      <w:hyperlink r:id="rId8" w:history="1">
        <w:r w:rsidR="00605270" w:rsidRPr="00B90281">
          <w:rPr>
            <w:rStyle w:val="Hyperlink"/>
            <w:rFonts w:eastAsia="Calibri"/>
            <w:sz w:val="22"/>
            <w:szCs w:val="22"/>
            <w:lang w:val="sr-Latn-ME"/>
          </w:rPr>
          <w:t>www.cinmed.me</w:t>
        </w:r>
      </w:hyperlink>
    </w:p>
    <w:p w:rsidR="00EA5765" w:rsidRPr="00B90281" w:rsidRDefault="00727EA0" w:rsidP="00A46C9A">
      <w:pPr>
        <w:pStyle w:val="NoSpacing"/>
        <w:jc w:val="both"/>
        <w:rPr>
          <w:rFonts w:eastAsia="Calibri"/>
          <w:color w:val="0000FF"/>
          <w:sz w:val="22"/>
          <w:szCs w:val="22"/>
          <w:u w:val="single"/>
          <w:lang w:val="sr-Latn-ME"/>
        </w:rPr>
      </w:pPr>
      <w:hyperlink r:id="rId9" w:history="1">
        <w:r w:rsidR="00605270" w:rsidRPr="00B90281">
          <w:rPr>
            <w:rStyle w:val="Hyperlink"/>
            <w:rFonts w:eastAsia="Calibri"/>
            <w:sz w:val="22"/>
            <w:szCs w:val="22"/>
            <w:lang w:val="sr-Latn-ME"/>
          </w:rPr>
          <w:t>nezeljenadejstva@cinmed.me</w:t>
        </w:r>
      </w:hyperlink>
    </w:p>
    <w:p w:rsidR="005A23D2" w:rsidRPr="00B90281" w:rsidRDefault="005A23D2" w:rsidP="00A46C9A">
      <w:pPr>
        <w:pStyle w:val="NoSpacing"/>
        <w:jc w:val="both"/>
        <w:rPr>
          <w:rFonts w:eastAsia="Calibri"/>
          <w:sz w:val="22"/>
          <w:szCs w:val="22"/>
          <w:lang w:val="sr-Latn-ME"/>
        </w:rPr>
      </w:pPr>
      <w:r w:rsidRPr="00B90281">
        <w:rPr>
          <w:rFonts w:eastAsia="Calibri"/>
          <w:sz w:val="22"/>
          <w:szCs w:val="22"/>
          <w:lang w:val="sr-Latn-ME"/>
        </w:rPr>
        <w:t>putem IS zdravstvene zaštite</w:t>
      </w:r>
    </w:p>
    <w:p w:rsidR="00836B35" w:rsidRPr="00B90281" w:rsidRDefault="00836B35" w:rsidP="00480FB1">
      <w:pPr>
        <w:tabs>
          <w:tab w:val="left" w:pos="540"/>
          <w:tab w:val="left" w:pos="569"/>
        </w:tabs>
        <w:rPr>
          <w:b/>
          <w:bCs/>
          <w:sz w:val="22"/>
          <w:szCs w:val="22"/>
          <w:lang w:val="sr-Latn-ME"/>
        </w:rPr>
      </w:pPr>
    </w:p>
    <w:p w:rsidR="00CD6F02"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4.9. </w:t>
      </w:r>
      <w:r w:rsidR="00480FB1" w:rsidRPr="00B90281">
        <w:rPr>
          <w:b/>
          <w:bCs/>
          <w:sz w:val="22"/>
          <w:szCs w:val="22"/>
          <w:lang w:val="sr-Latn-ME"/>
        </w:rPr>
        <w:tab/>
      </w:r>
      <w:r w:rsidRPr="00B90281">
        <w:rPr>
          <w:b/>
          <w:bCs/>
          <w:sz w:val="22"/>
          <w:szCs w:val="22"/>
          <w:lang w:val="sr-Latn-ME"/>
        </w:rPr>
        <w:t>Predoziranje</w:t>
      </w:r>
      <w:r w:rsidR="002846DB" w:rsidRPr="00B90281">
        <w:rPr>
          <w:b/>
          <w:bCs/>
          <w:sz w:val="22"/>
          <w:szCs w:val="22"/>
          <w:lang w:val="sr-Latn-ME"/>
        </w:rPr>
        <w:t xml:space="preserve"> </w:t>
      </w:r>
    </w:p>
    <w:p w:rsidR="00CD6F02" w:rsidRPr="00B90281" w:rsidRDefault="00CD6F02" w:rsidP="00480FB1">
      <w:pPr>
        <w:tabs>
          <w:tab w:val="left" w:pos="540"/>
          <w:tab w:val="left" w:pos="569"/>
        </w:tabs>
        <w:rPr>
          <w:b/>
          <w:bCs/>
          <w:sz w:val="22"/>
          <w:szCs w:val="22"/>
          <w:lang w:val="sr-Latn-ME"/>
        </w:rPr>
      </w:pPr>
    </w:p>
    <w:p w:rsidR="000A1CAF" w:rsidRPr="00B90281" w:rsidRDefault="000A1CAF" w:rsidP="000A1CAF">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Kod pacijenata je prekomjerno</w:t>
      </w:r>
      <w:r w:rsidR="00A961A9"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 xml:space="preserve">doziranje, koje je bilo veće od dvostruke preporučene doze, bilo povezano sa nastankom simptomatske hipotenzije i trombocitopenije sa mogućim smrtnim ishodom. (vidjeti </w:t>
      </w:r>
      <w:r w:rsidR="004A1694" w:rsidRPr="00B90281">
        <w:rPr>
          <w:rFonts w:eastAsia="TimesNewRoman"/>
          <w:bCs/>
          <w:color w:val="000000"/>
          <w:sz w:val="22"/>
          <w:szCs w:val="22"/>
          <w:lang w:val="sr-Latn-ME" w:eastAsia="hr-HR"/>
        </w:rPr>
        <w:t>di</w:t>
      </w:r>
      <w:r w:rsidRPr="00B90281">
        <w:rPr>
          <w:rFonts w:eastAsia="TimesNewRoman"/>
          <w:bCs/>
          <w:color w:val="000000"/>
          <w:sz w:val="22"/>
          <w:szCs w:val="22"/>
          <w:lang w:val="sr-Latn-ME" w:eastAsia="hr-HR"/>
        </w:rPr>
        <w:t>o 5.3. o pretkliničkim farmakološkim ispitivanjima kardiovaskularne bezbjednosti).</w:t>
      </w:r>
    </w:p>
    <w:p w:rsidR="000A1CAF" w:rsidRPr="00B90281" w:rsidRDefault="000A1CAF" w:rsidP="000A1CAF">
      <w:pPr>
        <w:suppressAutoHyphens/>
        <w:autoSpaceDE w:val="0"/>
        <w:jc w:val="both"/>
        <w:rPr>
          <w:rFonts w:eastAsia="TimesNewRoman"/>
          <w:bCs/>
          <w:color w:val="000000"/>
          <w:sz w:val="22"/>
          <w:szCs w:val="22"/>
          <w:lang w:val="sr-Latn-ME" w:eastAsia="hr-HR"/>
        </w:rPr>
      </w:pPr>
    </w:p>
    <w:p w:rsidR="000A1CAF" w:rsidRPr="00B90281" w:rsidRDefault="000A1CAF" w:rsidP="000A1CAF">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Specifičan antidot kod predoziranja bortezomibom</w:t>
      </w:r>
      <w:r w:rsidR="00A961A9"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 xml:space="preserve">nije poznat. U slučaju predoziranja lijekom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potrebno je pratiti vitalne znake pacijenta i primijeniti odgovarajuće suportivne mjere za održavanje krvnog pritiska  (na primjer, nadoknada tečnosti, primijeniti vazokonstriktore i/ili inotropne ljekove) i tjelesne temperature (vidjeti </w:t>
      </w:r>
      <w:r w:rsidR="00614C55" w:rsidRPr="00B90281">
        <w:rPr>
          <w:rFonts w:eastAsia="TimesNewRoman"/>
          <w:bCs/>
          <w:color w:val="000000"/>
          <w:sz w:val="22"/>
          <w:szCs w:val="22"/>
          <w:lang w:val="sr-Latn-ME" w:eastAsia="hr-HR"/>
        </w:rPr>
        <w:t>djelove</w:t>
      </w:r>
      <w:r w:rsidRPr="00B90281">
        <w:rPr>
          <w:rFonts w:eastAsia="TimesNewRoman"/>
          <w:bCs/>
          <w:color w:val="000000"/>
          <w:sz w:val="22"/>
          <w:szCs w:val="22"/>
          <w:lang w:val="sr-Latn-ME" w:eastAsia="hr-HR"/>
        </w:rPr>
        <w:t xml:space="preserve"> 4.2 i 4.4).</w:t>
      </w:r>
    </w:p>
    <w:p w:rsidR="00227BDB" w:rsidRDefault="00227BDB" w:rsidP="00480FB1">
      <w:pPr>
        <w:tabs>
          <w:tab w:val="left" w:pos="540"/>
          <w:tab w:val="left" w:pos="569"/>
        </w:tabs>
        <w:rPr>
          <w:b/>
          <w:bCs/>
          <w:sz w:val="22"/>
          <w:szCs w:val="22"/>
          <w:lang w:val="sr-Latn-ME"/>
        </w:rPr>
      </w:pPr>
    </w:p>
    <w:p w:rsidR="00D31597" w:rsidRPr="00B90281" w:rsidRDefault="00D31597" w:rsidP="00480FB1">
      <w:pPr>
        <w:tabs>
          <w:tab w:val="left" w:pos="540"/>
          <w:tab w:val="left" w:pos="569"/>
        </w:tabs>
        <w:rPr>
          <w:b/>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5. </w:t>
      </w:r>
      <w:r w:rsidR="00480FB1" w:rsidRPr="00B90281">
        <w:rPr>
          <w:b/>
          <w:bCs/>
          <w:sz w:val="22"/>
          <w:szCs w:val="22"/>
          <w:lang w:val="sr-Latn-ME"/>
        </w:rPr>
        <w:tab/>
      </w:r>
      <w:r w:rsidRPr="00B90281">
        <w:rPr>
          <w:b/>
          <w:bCs/>
          <w:sz w:val="22"/>
          <w:szCs w:val="22"/>
          <w:lang w:val="sr-Latn-ME"/>
        </w:rPr>
        <w:t>FARMAKOLOŠK</w:t>
      </w:r>
      <w:r w:rsidR="000D425A" w:rsidRPr="00B90281">
        <w:rPr>
          <w:b/>
          <w:bCs/>
          <w:sz w:val="22"/>
          <w:szCs w:val="22"/>
          <w:lang w:val="sr-Latn-ME"/>
        </w:rPr>
        <w:t>I</w:t>
      </w:r>
      <w:r w:rsidRPr="00B90281">
        <w:rPr>
          <w:b/>
          <w:bCs/>
          <w:sz w:val="22"/>
          <w:szCs w:val="22"/>
          <w:lang w:val="sr-Latn-ME"/>
        </w:rPr>
        <w:t xml:space="preserve"> PODACI</w:t>
      </w:r>
    </w:p>
    <w:p w:rsidR="0072020E" w:rsidRPr="00B90281" w:rsidRDefault="0072020E" w:rsidP="00480FB1">
      <w:pPr>
        <w:tabs>
          <w:tab w:val="left" w:pos="540"/>
          <w:tab w:val="left" w:pos="569"/>
        </w:tabs>
        <w:rPr>
          <w:b/>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5.1. </w:t>
      </w:r>
      <w:r w:rsidR="00480FB1" w:rsidRPr="00B90281">
        <w:rPr>
          <w:b/>
          <w:bCs/>
          <w:sz w:val="22"/>
          <w:szCs w:val="22"/>
          <w:lang w:val="sr-Latn-ME"/>
        </w:rPr>
        <w:tab/>
      </w:r>
      <w:r w:rsidRPr="00B90281">
        <w:rPr>
          <w:b/>
          <w:bCs/>
          <w:sz w:val="22"/>
          <w:szCs w:val="22"/>
          <w:lang w:val="sr-Latn-ME"/>
        </w:rPr>
        <w:t>Farmakodinamski podaci</w:t>
      </w:r>
      <w:r w:rsidR="003A7059" w:rsidRPr="00B90281">
        <w:rPr>
          <w:b/>
          <w:bCs/>
          <w:sz w:val="22"/>
          <w:szCs w:val="22"/>
          <w:lang w:val="sr-Latn-ME"/>
        </w:rPr>
        <w:t xml:space="preserve"> </w:t>
      </w:r>
    </w:p>
    <w:p w:rsidR="00F45F77" w:rsidRPr="00B90281" w:rsidRDefault="00F45F77" w:rsidP="00480FB1">
      <w:pPr>
        <w:tabs>
          <w:tab w:val="left" w:pos="540"/>
          <w:tab w:val="left" w:pos="569"/>
        </w:tabs>
        <w:rPr>
          <w:b/>
          <w:bCs/>
          <w:sz w:val="22"/>
          <w:szCs w:val="22"/>
          <w:lang w:val="sr-Latn-ME"/>
        </w:rPr>
      </w:pPr>
    </w:p>
    <w:p w:rsidR="0072020E" w:rsidRPr="00B90281" w:rsidRDefault="0072020E" w:rsidP="00B37D41">
      <w:pPr>
        <w:autoSpaceDE w:val="0"/>
        <w:rPr>
          <w:rFonts w:eastAsia="TimesNewRoman"/>
          <w:bCs/>
          <w:color w:val="000000"/>
          <w:sz w:val="22"/>
          <w:szCs w:val="22"/>
          <w:lang w:val="sr-Latn-ME" w:eastAsia="hr-HR"/>
        </w:rPr>
      </w:pPr>
      <w:r w:rsidRPr="00B90281">
        <w:rPr>
          <w:bCs/>
          <w:sz w:val="22"/>
          <w:szCs w:val="22"/>
          <w:lang w:val="sr-Latn-ME"/>
        </w:rPr>
        <w:t>Farmakoterapijska grupa:</w:t>
      </w:r>
      <w:r w:rsidR="00B37D41" w:rsidRPr="00B90281">
        <w:rPr>
          <w:rFonts w:eastAsia="TimesNewRoman"/>
          <w:bCs/>
          <w:color w:val="000000"/>
          <w:sz w:val="22"/>
          <w:szCs w:val="22"/>
          <w:lang w:val="sr-Latn-ME" w:eastAsia="hr-HR"/>
        </w:rPr>
        <w:t xml:space="preserve"> Antineoplastični ljekovi, ostali antineoplastici</w:t>
      </w:r>
    </w:p>
    <w:p w:rsidR="0072020E" w:rsidRPr="00B90281" w:rsidRDefault="0072020E" w:rsidP="00480FB1">
      <w:pPr>
        <w:tabs>
          <w:tab w:val="left" w:pos="540"/>
          <w:tab w:val="left" w:pos="569"/>
        </w:tabs>
        <w:rPr>
          <w:bCs/>
          <w:sz w:val="22"/>
          <w:szCs w:val="22"/>
          <w:lang w:val="sr-Latn-ME"/>
        </w:rPr>
      </w:pPr>
    </w:p>
    <w:p w:rsidR="0072020E" w:rsidRPr="00B90281" w:rsidRDefault="0072020E" w:rsidP="00480FB1">
      <w:pPr>
        <w:tabs>
          <w:tab w:val="left" w:pos="540"/>
          <w:tab w:val="left" w:pos="569"/>
        </w:tabs>
        <w:rPr>
          <w:rFonts w:eastAsia="TimesNewRoman"/>
          <w:bCs/>
          <w:color w:val="000000"/>
          <w:sz w:val="22"/>
          <w:szCs w:val="22"/>
          <w:lang w:val="sr-Latn-ME" w:eastAsia="hr-HR"/>
        </w:rPr>
      </w:pPr>
      <w:r w:rsidRPr="00B90281">
        <w:rPr>
          <w:bCs/>
          <w:sz w:val="22"/>
          <w:szCs w:val="22"/>
          <w:lang w:val="sr-Latn-ME"/>
        </w:rPr>
        <w:t>ATC kod:</w:t>
      </w:r>
      <w:r w:rsidR="00B37D41" w:rsidRPr="00B90281">
        <w:rPr>
          <w:rFonts w:eastAsia="TimesNewRoman"/>
          <w:bCs/>
          <w:color w:val="000000"/>
          <w:sz w:val="22"/>
          <w:szCs w:val="22"/>
          <w:lang w:val="sr-Latn-ME" w:eastAsia="hr-HR"/>
        </w:rPr>
        <w:t xml:space="preserve"> L01XX32</w:t>
      </w:r>
    </w:p>
    <w:p w:rsidR="00B37D41" w:rsidRPr="00B90281" w:rsidRDefault="00B37D41" w:rsidP="00480FB1">
      <w:pPr>
        <w:tabs>
          <w:tab w:val="left" w:pos="540"/>
          <w:tab w:val="left" w:pos="569"/>
        </w:tabs>
        <w:rPr>
          <w:bCs/>
          <w:sz w:val="22"/>
          <w:szCs w:val="22"/>
          <w:lang w:val="sr-Latn-ME"/>
        </w:rPr>
      </w:pP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u w:val="single"/>
          <w:lang w:val="sr-Latn-ME" w:eastAsia="hr-HR"/>
        </w:rPr>
        <w:t>Mehanizam djelovanja</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Bortezomib je inhibitor proteazoma. On je specifično sintetisan da inhibira</w:t>
      </w:r>
      <w:r w:rsidR="00A41BFC" w:rsidRPr="00B90281">
        <w:rPr>
          <w:rFonts w:eastAsia="Microsoft YaHei"/>
          <w:bCs/>
          <w:color w:val="000000"/>
          <w:sz w:val="22"/>
          <w:szCs w:val="22"/>
          <w:lang w:val="sr-Latn-ME" w:eastAsia="hr-HR"/>
        </w:rPr>
        <w:t xml:space="preserve"> aktivnost</w:t>
      </w:r>
      <w:r w:rsidRPr="00B90281">
        <w:rPr>
          <w:rFonts w:eastAsia="Microsoft YaHei"/>
          <w:bCs/>
          <w:color w:val="000000"/>
          <w:sz w:val="22"/>
          <w:szCs w:val="22"/>
          <w:lang w:val="sr-Latn-ME" w:eastAsia="hr-HR"/>
        </w:rPr>
        <w:t xml:space="preserve"> </w:t>
      </w:r>
      <w:r w:rsidR="00A41BFC" w:rsidRPr="00B90281">
        <w:rPr>
          <w:rFonts w:eastAsia="Microsoft YaHei"/>
          <w:bCs/>
          <w:color w:val="000000"/>
          <w:sz w:val="22"/>
          <w:szCs w:val="22"/>
          <w:lang w:val="sr-Latn-ME" w:eastAsia="hr-HR"/>
        </w:rPr>
        <w:t xml:space="preserve">poput </w:t>
      </w:r>
      <w:r w:rsidRPr="00B90281">
        <w:rPr>
          <w:rFonts w:eastAsia="Microsoft YaHei"/>
          <w:bCs/>
          <w:color w:val="000000"/>
          <w:sz w:val="22"/>
          <w:szCs w:val="22"/>
          <w:lang w:val="sr-Latn-ME" w:eastAsia="hr-HR"/>
        </w:rPr>
        <w:t>himotripsin</w:t>
      </w:r>
      <w:r w:rsidR="00A41BFC" w:rsidRPr="00B90281">
        <w:rPr>
          <w:rFonts w:eastAsia="Microsoft YaHei"/>
          <w:bCs/>
          <w:color w:val="000000"/>
          <w:sz w:val="22"/>
          <w:szCs w:val="22"/>
          <w:lang w:val="sr-Latn-ME" w:eastAsia="hr-HR"/>
        </w:rPr>
        <w:t>a</w:t>
      </w:r>
      <w:r w:rsidRPr="00B90281">
        <w:rPr>
          <w:rFonts w:eastAsia="Microsoft YaHei"/>
          <w:bCs/>
          <w:color w:val="000000"/>
          <w:sz w:val="22"/>
          <w:szCs w:val="22"/>
          <w:lang w:val="sr-Latn-ME" w:eastAsia="hr-HR"/>
        </w:rPr>
        <w:t xml:space="preserve"> 26S proteazoma u ćelijama sisara. 26S proteazom je</w:t>
      </w:r>
      <w:r w:rsidR="00A41BFC"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veliki proteinski kompleks koji razgrađuje ubikvitarne proteine. Putanja ubikvitin</w:t>
      </w:r>
      <w:r w:rsidR="00536D72" w:rsidRPr="00B90281">
        <w:rPr>
          <w:rFonts w:eastAsia="Microsoft YaHei"/>
          <w:bCs/>
          <w:color w:val="000000"/>
          <w:sz w:val="22"/>
          <w:szCs w:val="22"/>
          <w:lang w:val="sr-Latn-ME" w:eastAsia="hr-HR"/>
        </w:rPr>
        <w:t xml:space="preserve"> - </w:t>
      </w:r>
      <w:r w:rsidRPr="00B90281">
        <w:rPr>
          <w:rFonts w:eastAsia="Microsoft YaHei"/>
          <w:bCs/>
          <w:color w:val="000000"/>
          <w:sz w:val="22"/>
          <w:szCs w:val="22"/>
          <w:lang w:val="sr-Latn-ME" w:eastAsia="hr-HR"/>
        </w:rPr>
        <w:t>proteazom igra ključnu ulogu u regulaciji metabolizma specifičnih proteina i tako održava homeostazu unutar ćelija. Inhibicijom 26S proteazoma sprječava se ova ciljana proteoliza i utiče na višestruku kaskadu signala unutar ćelija, što na kraju rezultira smrću tumorske ćelije.</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lastRenderedPageBreak/>
        <w:t xml:space="preserve">Bortezomib je visoko selektivan za proteazome. Pri koncentracijama od 10 µM, bortezomib ne inhibira nijedan od brojnih ispitivanih receptora i proteaza i selektivniji je više od 1500 puta za proteazom u odnosu na sljedeći enzim po afinitetu vezivanja. Kinetika inhibicije proteazoma procjenjivana je </w:t>
      </w:r>
      <w:r w:rsidRPr="00B90281">
        <w:rPr>
          <w:rFonts w:eastAsia="Microsoft YaHei"/>
          <w:bCs/>
          <w:i/>
          <w:iCs/>
          <w:color w:val="000000"/>
          <w:sz w:val="22"/>
          <w:szCs w:val="22"/>
          <w:lang w:val="sr-Latn-ME" w:eastAsia="hr-HR"/>
        </w:rPr>
        <w:t xml:space="preserve">in vitro, </w:t>
      </w:r>
      <w:r w:rsidRPr="00B90281">
        <w:rPr>
          <w:rFonts w:eastAsia="Microsoft YaHei"/>
          <w:bCs/>
          <w:color w:val="000000"/>
          <w:sz w:val="22"/>
          <w:szCs w:val="22"/>
          <w:lang w:val="sr-Latn-ME" w:eastAsia="hr-HR"/>
        </w:rPr>
        <w:t>i pokazalo se da se bortezomib disocira iz proteazoma sa t½ od 20 minuta, pokazujući tako da je inhibicija proteazoma bortezomibom reverzibilna.</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Bortezomibom posredovana inhibicija proteazoma djeluje na tumorske ćelije na više načina, uključujući </w:t>
      </w:r>
      <w:r w:rsidR="00536D72" w:rsidRPr="00B90281">
        <w:rPr>
          <w:rFonts w:eastAsia="Microsoft YaHei"/>
          <w:bCs/>
          <w:color w:val="000000"/>
          <w:sz w:val="22"/>
          <w:szCs w:val="22"/>
          <w:lang w:val="sr-Latn-ME" w:eastAsia="hr-HR"/>
        </w:rPr>
        <w:t>između ostalog</w:t>
      </w:r>
      <w:r w:rsidRPr="00B90281">
        <w:rPr>
          <w:rFonts w:eastAsia="Microsoft YaHei"/>
          <w:bCs/>
          <w:color w:val="000000"/>
          <w:sz w:val="22"/>
          <w:szCs w:val="22"/>
          <w:lang w:val="sr-Latn-ME" w:eastAsia="hr-HR"/>
        </w:rPr>
        <w:t xml:space="preserve">, </w:t>
      </w:r>
      <w:r w:rsidR="00536D72" w:rsidRPr="00B90281">
        <w:rPr>
          <w:rFonts w:eastAsia="Microsoft YaHei"/>
          <w:bCs/>
          <w:color w:val="000000"/>
          <w:sz w:val="22"/>
          <w:szCs w:val="22"/>
          <w:lang w:val="sr-Latn-ME" w:eastAsia="hr-HR"/>
        </w:rPr>
        <w:t xml:space="preserve">iako to nije jedini način, </w:t>
      </w:r>
      <w:r w:rsidRPr="00B90281">
        <w:rPr>
          <w:rFonts w:eastAsia="Microsoft YaHei"/>
          <w:bCs/>
          <w:color w:val="000000"/>
          <w:sz w:val="22"/>
          <w:szCs w:val="22"/>
          <w:lang w:val="sr-Latn-ME" w:eastAsia="hr-HR"/>
        </w:rPr>
        <w:t xml:space="preserve">i promjenu regulatornih proteina koji kontrolišu </w:t>
      </w:r>
      <w:r w:rsidR="00536D72" w:rsidRPr="00B90281">
        <w:rPr>
          <w:rFonts w:eastAsia="Microsoft YaHei"/>
          <w:bCs/>
          <w:color w:val="000000"/>
          <w:sz w:val="22"/>
          <w:szCs w:val="22"/>
          <w:lang w:val="sr-Latn-ME" w:eastAsia="hr-HR"/>
        </w:rPr>
        <w:t xml:space="preserve">odvijanje </w:t>
      </w:r>
      <w:r w:rsidRPr="00B90281">
        <w:rPr>
          <w:rFonts w:eastAsia="Microsoft YaHei"/>
          <w:bCs/>
          <w:color w:val="000000"/>
          <w:sz w:val="22"/>
          <w:szCs w:val="22"/>
          <w:lang w:val="sr-Latn-ME" w:eastAsia="hr-HR"/>
        </w:rPr>
        <w:t>ćelijskog ciklusa i aktiv</w:t>
      </w:r>
      <w:r w:rsidR="00536D72" w:rsidRPr="00B90281">
        <w:rPr>
          <w:rFonts w:eastAsia="Microsoft YaHei"/>
          <w:bCs/>
          <w:color w:val="000000"/>
          <w:sz w:val="22"/>
          <w:szCs w:val="22"/>
          <w:lang w:val="sr-Latn-ME" w:eastAsia="hr-HR"/>
        </w:rPr>
        <w:t>aciju</w:t>
      </w:r>
      <w:r w:rsidRPr="00B90281">
        <w:rPr>
          <w:rFonts w:eastAsia="Microsoft YaHei"/>
          <w:bCs/>
          <w:color w:val="000000"/>
          <w:sz w:val="22"/>
          <w:szCs w:val="22"/>
          <w:lang w:val="sr-Latn-ME" w:eastAsia="hr-HR"/>
        </w:rPr>
        <w:t xml:space="preserve"> nuklearnog faktora kap</w:t>
      </w:r>
      <w:r w:rsidR="00536D72" w:rsidRPr="00B90281">
        <w:rPr>
          <w:rFonts w:eastAsia="Microsoft YaHei"/>
          <w:bCs/>
          <w:color w:val="000000"/>
          <w:sz w:val="22"/>
          <w:szCs w:val="22"/>
          <w:lang w:val="sr-Latn-ME" w:eastAsia="hr-HR"/>
        </w:rPr>
        <w:t>p</w:t>
      </w:r>
      <w:r w:rsidRPr="00B90281">
        <w:rPr>
          <w:rFonts w:eastAsia="Microsoft YaHei"/>
          <w:bCs/>
          <w:color w:val="000000"/>
          <w:sz w:val="22"/>
          <w:szCs w:val="22"/>
          <w:lang w:val="sr-Latn-ME" w:eastAsia="hr-HR"/>
        </w:rPr>
        <w:t>a B (NF-kB). Inhibicija proteazoma rezultira za</w:t>
      </w:r>
      <w:r w:rsidR="00536D72" w:rsidRPr="00B90281">
        <w:rPr>
          <w:rFonts w:eastAsia="Microsoft YaHei"/>
          <w:bCs/>
          <w:color w:val="000000"/>
          <w:sz w:val="22"/>
          <w:szCs w:val="22"/>
          <w:lang w:val="sr-Latn-ME" w:eastAsia="hr-HR"/>
        </w:rPr>
        <w:t>stojem</w:t>
      </w:r>
      <w:r w:rsidRPr="00B90281">
        <w:rPr>
          <w:rFonts w:eastAsia="Microsoft YaHei"/>
          <w:bCs/>
          <w:color w:val="000000"/>
          <w:sz w:val="22"/>
          <w:szCs w:val="22"/>
          <w:lang w:val="sr-Latn-ME" w:eastAsia="hr-HR"/>
        </w:rPr>
        <w:t xml:space="preserve"> ćelijskog ciklusa i apoptozom. NF-kB je transkripcioni faktor čija je aktivacija potrebna za mnoge aspekte tumorogeneze, uključujući rast i preživljavanje ćelija, angiogenezu, interakcije između ćelija i metastaziranje. Kod mijeloma, bortezomib utiče na sposobnost interakcije ćelija mijeloma sa mikrookruženjem kostne srži.</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Eksperimenti su pokazali da je bortezomib citotoksičan za razne vrste tumorskih ćelija i da su tumorske ćelije osjetljivije od zdravih ćelija na proapoptotičke efekte inhibicije proteazoma. Bortezomib smanjuje rast tumora </w:t>
      </w:r>
      <w:r w:rsidRPr="00B90281">
        <w:rPr>
          <w:rFonts w:eastAsia="Microsoft YaHei"/>
          <w:bCs/>
          <w:i/>
          <w:iCs/>
          <w:color w:val="000000"/>
          <w:sz w:val="22"/>
          <w:szCs w:val="22"/>
          <w:lang w:val="sr-Latn-ME" w:eastAsia="hr-HR"/>
        </w:rPr>
        <w:t xml:space="preserve">in vivo </w:t>
      </w:r>
      <w:r w:rsidRPr="00B90281">
        <w:rPr>
          <w:rFonts w:eastAsia="Microsoft YaHei"/>
          <w:bCs/>
          <w:color w:val="000000"/>
          <w:sz w:val="22"/>
          <w:szCs w:val="22"/>
          <w:lang w:val="sr-Latn-ME" w:eastAsia="hr-HR"/>
        </w:rPr>
        <w:t xml:space="preserve">u mnogim </w:t>
      </w:r>
      <w:r w:rsidR="00536D72" w:rsidRPr="00B90281">
        <w:rPr>
          <w:rFonts w:eastAsia="Microsoft YaHei"/>
          <w:bCs/>
          <w:color w:val="000000"/>
          <w:sz w:val="22"/>
          <w:szCs w:val="22"/>
          <w:lang w:val="sr-Latn-ME" w:eastAsia="hr-HR"/>
        </w:rPr>
        <w:t>pret</w:t>
      </w:r>
      <w:r w:rsidRPr="00B90281">
        <w:rPr>
          <w:rFonts w:eastAsia="Microsoft YaHei"/>
          <w:bCs/>
          <w:color w:val="000000"/>
          <w:sz w:val="22"/>
          <w:szCs w:val="22"/>
          <w:lang w:val="sr-Latn-ME" w:eastAsia="hr-HR"/>
        </w:rPr>
        <w:t xml:space="preserve">kliničkim modelima tumora, uključujući multipli mijelom. </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Podaci ispitivanja </w:t>
      </w:r>
      <w:r w:rsidRPr="00B90281">
        <w:rPr>
          <w:rFonts w:eastAsia="Microsoft YaHei"/>
          <w:bCs/>
          <w:i/>
          <w:iCs/>
          <w:color w:val="000000"/>
          <w:sz w:val="22"/>
          <w:szCs w:val="22"/>
          <w:lang w:val="sr-Latn-ME" w:eastAsia="hr-HR"/>
        </w:rPr>
        <w:t>in vitro</w:t>
      </w:r>
      <w:r w:rsidRPr="00B90281">
        <w:rPr>
          <w:rFonts w:eastAsia="Microsoft YaHei"/>
          <w:bCs/>
          <w:color w:val="000000"/>
          <w:sz w:val="22"/>
          <w:szCs w:val="22"/>
          <w:lang w:val="sr-Latn-ME" w:eastAsia="hr-HR"/>
        </w:rPr>
        <w:t xml:space="preserve">, </w:t>
      </w:r>
      <w:r w:rsidRPr="00B90281">
        <w:rPr>
          <w:rFonts w:eastAsia="Microsoft YaHei"/>
          <w:bCs/>
          <w:i/>
          <w:iCs/>
          <w:color w:val="000000"/>
          <w:sz w:val="22"/>
          <w:szCs w:val="22"/>
          <w:lang w:val="sr-Latn-ME" w:eastAsia="hr-HR"/>
        </w:rPr>
        <w:t xml:space="preserve">ex-vivo </w:t>
      </w:r>
      <w:r w:rsidRPr="00B90281">
        <w:rPr>
          <w:rFonts w:eastAsia="Microsoft YaHei"/>
          <w:bCs/>
          <w:color w:val="000000"/>
          <w:sz w:val="22"/>
          <w:szCs w:val="22"/>
          <w:lang w:val="sr-Latn-ME" w:eastAsia="hr-HR"/>
        </w:rPr>
        <w:t>i na životinjskim modelima pokazuju da bortezomib povećava diferencijaciju i aktivnost osteoblasta i inhibira funkciju osteoklasta. Ovi efekti su primijećeni kod pacijenata s</w:t>
      </w:r>
      <w:r w:rsidR="00536D72" w:rsidRPr="00B90281">
        <w:rPr>
          <w:rFonts w:eastAsia="Microsoft YaHei"/>
          <w:bCs/>
          <w:color w:val="000000"/>
          <w:sz w:val="22"/>
          <w:szCs w:val="22"/>
          <w:lang w:val="sr-Latn-ME" w:eastAsia="hr-HR"/>
        </w:rPr>
        <w:t>a</w:t>
      </w:r>
      <w:r w:rsidRPr="00B90281">
        <w:rPr>
          <w:rFonts w:eastAsia="Microsoft YaHei"/>
          <w:bCs/>
          <w:color w:val="000000"/>
          <w:sz w:val="22"/>
          <w:szCs w:val="22"/>
          <w:lang w:val="sr-Latn-ME" w:eastAsia="hr-HR"/>
        </w:rPr>
        <w:t xml:space="preserve"> multiplim mijelomom koji su imali uznapredovalu osteolitičku bolest i liječili se bortezomibom.</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color w:val="000000"/>
          <w:sz w:val="22"/>
          <w:szCs w:val="22"/>
          <w:u w:val="single"/>
          <w:lang w:val="sr-Latn-ME" w:eastAsia="hr-HR"/>
        </w:rPr>
      </w:pPr>
      <w:r w:rsidRPr="00B90281">
        <w:rPr>
          <w:rFonts w:eastAsia="Microsoft YaHei"/>
          <w:bCs/>
          <w:color w:val="000000"/>
          <w:sz w:val="22"/>
          <w:szCs w:val="22"/>
          <w:u w:val="single"/>
          <w:lang w:val="sr-Latn-ME" w:eastAsia="hr-HR"/>
        </w:rPr>
        <w:t>Klinička efikasnost kod prethodno neliječenih pacijenata sa multiplim mijelomom</w:t>
      </w:r>
    </w:p>
    <w:p w:rsidR="00D31597"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Prospektivno, multicentrično, randomizovano (1:1) kliničko ispitivanje faze III otvorenog tipa (MMY-3002 VISTA) koje je uključilo 682 pacijenta, sprovedeno je da bi se utvrdilo hoće li bortezomib </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primijenjen intravenskom injekcijom) u kombinaciji sa melfalanom (9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i prednizonom (60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dovesti do boljeg vremena do progresije bolesti (TTP od engl. </w:t>
      </w:r>
      <w:r w:rsidRPr="00B90281">
        <w:rPr>
          <w:rFonts w:eastAsia="Microsoft YaHei"/>
          <w:bCs/>
          <w:i/>
          <w:iCs/>
          <w:color w:val="000000"/>
          <w:sz w:val="22"/>
          <w:szCs w:val="22"/>
          <w:lang w:val="sr-Latn-ME" w:eastAsia="hr-HR"/>
        </w:rPr>
        <w:t>time to progression</w:t>
      </w:r>
      <w:r w:rsidRPr="00B90281">
        <w:rPr>
          <w:rFonts w:eastAsia="Microsoft YaHei"/>
          <w:bCs/>
          <w:color w:val="000000"/>
          <w:sz w:val="22"/>
          <w:szCs w:val="22"/>
          <w:lang w:val="sr-Latn-ME" w:eastAsia="hr-HR"/>
        </w:rPr>
        <w:t>) u poređenju s</w:t>
      </w:r>
      <w:r w:rsidR="00536D72" w:rsidRPr="00B90281">
        <w:rPr>
          <w:rFonts w:eastAsia="Microsoft YaHei"/>
          <w:bCs/>
          <w:color w:val="000000"/>
          <w:sz w:val="22"/>
          <w:szCs w:val="22"/>
          <w:lang w:val="sr-Latn-ME" w:eastAsia="hr-HR"/>
        </w:rPr>
        <w:t>a</w:t>
      </w:r>
      <w:r w:rsidRPr="00B90281">
        <w:rPr>
          <w:rFonts w:eastAsia="Microsoft YaHei"/>
          <w:bCs/>
          <w:color w:val="000000"/>
          <w:sz w:val="22"/>
          <w:szCs w:val="22"/>
          <w:lang w:val="sr-Latn-ME" w:eastAsia="hr-HR"/>
        </w:rPr>
        <w:t xml:space="preserve"> melfalanom (9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i prednizonom (60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kod prethodno neliječenih pacijenata sa multiplim mijelomom. Liječenje je primjenjivano tokom najviše 9 ciklusa (približno 54 nedjelje) i prekinuto je u početnoj fazi zbog progresije bolesti ili neprihvatljive toksičnosti. Medijana starosti pacijenta u ispitivanju iznosila je 71 godinu, 50% su činili muškarci, 88% pacijenata uključenih u studiju su bili bijelci, a prosječni </w:t>
      </w:r>
      <w:r w:rsidRPr="00B90281">
        <w:rPr>
          <w:rFonts w:eastAsia="Microsoft YaHei"/>
          <w:bCs/>
          <w:i/>
          <w:color w:val="000000"/>
          <w:sz w:val="22"/>
          <w:szCs w:val="22"/>
          <w:lang w:val="sr-Latn-ME" w:eastAsia="hr-HR"/>
        </w:rPr>
        <w:t>Karnofsky</w:t>
      </w:r>
      <w:r w:rsidRPr="00B90281">
        <w:rPr>
          <w:rFonts w:eastAsia="Microsoft YaHei"/>
          <w:bCs/>
          <w:color w:val="000000"/>
          <w:sz w:val="22"/>
          <w:szCs w:val="22"/>
          <w:lang w:val="sr-Latn-ME" w:eastAsia="hr-HR"/>
        </w:rPr>
        <w:t xml:space="preserve"> skor pacijenata je bio 80. Pacijenti su imali mijelom IgG/IgA/lakog lanca u 63%/25%/8% slučajeva, medijana vrijednosti hemoglobina je iznosila 105 g/l, a prosječna vrijednost broja trombocita 221,5 x 10</w:t>
      </w:r>
      <w:r w:rsidRPr="00B90281">
        <w:rPr>
          <w:rFonts w:eastAsia="Microsoft YaHei"/>
          <w:bCs/>
          <w:color w:val="000000"/>
          <w:sz w:val="22"/>
          <w:szCs w:val="22"/>
          <w:vertAlign w:val="superscript"/>
          <w:lang w:val="sr-Latn-ME" w:eastAsia="hr-HR"/>
        </w:rPr>
        <w:t>9</w:t>
      </w:r>
      <w:r w:rsidRPr="00B90281">
        <w:rPr>
          <w:rFonts w:eastAsia="Microsoft YaHei"/>
          <w:bCs/>
          <w:color w:val="000000"/>
          <w:sz w:val="22"/>
          <w:szCs w:val="22"/>
          <w:lang w:val="sr-Latn-ME" w:eastAsia="hr-HR"/>
        </w:rPr>
        <w:t>/l. Slične populacije pacijenta imale su klirens kreatinina ≤ 30 ml/min (3% u svakoj grupi).</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vrijeme unaprijed planirane privremene analize postignuta je primarna mjera ishoda, vrijeme do progresije, a pacijentima iz grupe M+P ponuđeno je liječenje Btz+M+P. Prosječno praćenje je iznosilo 16,3 mjeseci. Finalno ažuriranje podataka o preživljavanju je urađeno nakon srednjeg vremena praćenja od 60,1 mjeseci. Primijećeno je statistički značajno veće preživljavanje u grupi liječenoj ljekovima Btz+M+P (HR=0,695; p=0,00043)</w:t>
      </w:r>
      <w:r w:rsidR="009079B6"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usprkos narednim različitim terapijama koje su uključivale bortezomib. Srednje vrijeme preživljavanja u terapijskoj grupi koja je primala Btz+M+P iznosilo je 56,4 mjeseci u poređenju sa 43,1 mjeseca u grupi koja je primala M+P. Rezultati efikasnosti su prikazani su u Tabeli 11.</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ind w:left="1077" w:hanging="1077"/>
        <w:jc w:val="both"/>
        <w:rPr>
          <w:rFonts w:eastAsia="Microsoft YaHei"/>
          <w:bCs/>
          <w:i/>
          <w:iCs/>
          <w:color w:val="000000"/>
          <w:sz w:val="22"/>
          <w:szCs w:val="22"/>
          <w:lang w:val="sr-Latn-ME" w:eastAsia="hr-HR"/>
        </w:rPr>
      </w:pPr>
      <w:r w:rsidRPr="00B90281">
        <w:rPr>
          <w:rFonts w:eastAsia="Microsoft YaHei"/>
          <w:bCs/>
          <w:i/>
          <w:iCs/>
          <w:color w:val="000000"/>
          <w:sz w:val="22"/>
          <w:szCs w:val="22"/>
          <w:lang w:val="sr-Latn-ME" w:eastAsia="hr-HR"/>
        </w:rPr>
        <w:t>Tabela 11: Rezultati efikasnosti nakon finalnog ažuriranja podataka o preživljavanju u kliničkom ispitivanju VISTA</w:t>
      </w:r>
    </w:p>
    <w:p w:rsidR="0089768A" w:rsidRPr="00B90281" w:rsidRDefault="0089768A" w:rsidP="0089768A">
      <w:pPr>
        <w:suppressAutoHyphens/>
        <w:autoSpaceDE w:val="0"/>
        <w:ind w:left="1077" w:hanging="1077"/>
        <w:rPr>
          <w:rFonts w:eastAsia="Microsoft YaHei"/>
          <w:bCs/>
          <w:i/>
          <w:iCs/>
          <w:color w:val="000000"/>
          <w:sz w:val="22"/>
          <w:szCs w:val="22"/>
          <w:lang w:val="sr-Latn-ME" w:eastAsia="hr-HR"/>
        </w:rPr>
      </w:pPr>
    </w:p>
    <w:tbl>
      <w:tblPr>
        <w:tblW w:w="5000" w:type="pct"/>
        <w:tblLook w:val="0000" w:firstRow="0" w:lastRow="0" w:firstColumn="0" w:lastColumn="0" w:noHBand="0" w:noVBand="0"/>
      </w:tblPr>
      <w:tblGrid>
        <w:gridCol w:w="3026"/>
        <w:gridCol w:w="3025"/>
        <w:gridCol w:w="3025"/>
        <w:gridCol w:w="9"/>
      </w:tblGrid>
      <w:tr w:rsidR="0089768A" w:rsidRPr="00B90281" w:rsidTr="00B87323">
        <w:trPr>
          <w:gridAfter w:val="1"/>
          <w:wAfter w:w="5" w:type="pct"/>
        </w:trPr>
        <w:tc>
          <w:tcPr>
            <w:tcW w:w="1665" w:type="pct"/>
            <w:tcBorders>
              <w:top w:val="single" w:sz="18" w:space="0" w:color="000000"/>
              <w:bottom w:val="single" w:sz="18" w:space="0" w:color="000000"/>
            </w:tcBorders>
            <w:shd w:val="clear" w:color="auto" w:fill="auto"/>
          </w:tcPr>
          <w:p w:rsidR="0089768A" w:rsidRPr="00B90281" w:rsidRDefault="009079B6" w:rsidP="0089768A">
            <w:pPr>
              <w:suppressAutoHyphens/>
              <w:autoSpaceDE w:val="0"/>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 xml:space="preserve">Ishod </w:t>
            </w:r>
            <w:r w:rsidR="0089768A" w:rsidRPr="00B90281">
              <w:rPr>
                <w:rFonts w:eastAsia="Microsoft YaHei"/>
                <w:b/>
                <w:bCs/>
                <w:color w:val="000000"/>
                <w:sz w:val="22"/>
                <w:szCs w:val="22"/>
                <w:lang w:val="sr-Latn-ME" w:eastAsia="hr-HR"/>
              </w:rPr>
              <w:t>efikasnost</w:t>
            </w:r>
            <w:r w:rsidRPr="00B90281">
              <w:rPr>
                <w:rFonts w:eastAsia="Microsoft YaHei"/>
                <w:b/>
                <w:bCs/>
                <w:color w:val="000000"/>
                <w:sz w:val="22"/>
                <w:szCs w:val="22"/>
                <w:lang w:val="sr-Latn-ME" w:eastAsia="hr-HR"/>
              </w:rPr>
              <w:t>i</w:t>
            </w:r>
          </w:p>
        </w:tc>
        <w:tc>
          <w:tcPr>
            <w:tcW w:w="1665" w:type="pct"/>
            <w:tcBorders>
              <w:top w:val="single" w:sz="18" w:space="0" w:color="000000"/>
              <w:left w:val="single" w:sz="18" w:space="0" w:color="000000"/>
              <w:bottom w:val="single" w:sz="18"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Btz+M+P</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n=344</w:t>
            </w:r>
          </w:p>
        </w:tc>
        <w:tc>
          <w:tcPr>
            <w:tcW w:w="1665" w:type="pct"/>
            <w:tcBorders>
              <w:top w:val="single" w:sz="18" w:space="0" w:color="000000"/>
              <w:left w:val="single" w:sz="18" w:space="0" w:color="000000"/>
              <w:bottom w:val="single" w:sz="18"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M+P</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
                <w:bCs/>
                <w:color w:val="000000"/>
                <w:sz w:val="22"/>
                <w:szCs w:val="22"/>
                <w:lang w:val="sr-Latn-ME" w:eastAsia="hr-HR"/>
              </w:rPr>
              <w:t>n=338</w:t>
            </w:r>
          </w:p>
        </w:tc>
      </w:tr>
      <w:tr w:rsidR="0089768A" w:rsidRPr="00B90281" w:rsidTr="00B87323">
        <w:trPr>
          <w:gridAfter w:val="1"/>
          <w:wAfter w:w="5" w:type="pct"/>
        </w:trPr>
        <w:tc>
          <w:tcPr>
            <w:tcW w:w="1665" w:type="pct"/>
            <w:tcBorders>
              <w:top w:val="single" w:sz="18"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TTP-vrijeme do progresije</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događaji n (%)</w:t>
            </w:r>
          </w:p>
        </w:tc>
        <w:tc>
          <w:tcPr>
            <w:tcW w:w="1665" w:type="pct"/>
            <w:tcBorders>
              <w:top w:val="single" w:sz="18"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101 (29)</w:t>
            </w:r>
          </w:p>
        </w:tc>
        <w:tc>
          <w:tcPr>
            <w:tcW w:w="1665" w:type="pct"/>
            <w:tcBorders>
              <w:top w:val="single" w:sz="18"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iCs/>
                <w:color w:val="000000"/>
                <w:sz w:val="22"/>
                <w:szCs w:val="22"/>
                <w:lang w:val="sr-Latn-ME" w:eastAsia="hr-HR"/>
              </w:rPr>
            </w:pPr>
            <w:r w:rsidRPr="00B90281">
              <w:rPr>
                <w:rFonts w:eastAsia="Microsoft YaHei"/>
                <w:bCs/>
                <w:color w:val="000000"/>
                <w:sz w:val="22"/>
                <w:szCs w:val="22"/>
                <w:lang w:val="sr-Latn-ME" w:eastAsia="hr-HR"/>
              </w:rPr>
              <w:t>152 (45)</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Prosjek</w:t>
            </w:r>
            <w:r w:rsidRPr="00B90281">
              <w:rPr>
                <w:rFonts w:eastAsia="Microsoft YaHei"/>
                <w:bCs/>
                <w:color w:val="000000"/>
                <w:sz w:val="22"/>
                <w:szCs w:val="22"/>
                <w:vertAlign w:val="superscript"/>
                <w:lang w:val="sr-Latn-ME" w:eastAsia="hr-HR"/>
              </w:rPr>
              <w:t>a</w:t>
            </w:r>
            <w:r w:rsidRPr="00B90281">
              <w:rPr>
                <w:rFonts w:eastAsia="Microsoft YaHei"/>
                <w:bCs/>
                <w:color w:val="000000"/>
                <w:sz w:val="22"/>
                <w:szCs w:val="22"/>
                <w:lang w:val="sr-Latn-ME" w:eastAsia="hr-HR"/>
              </w:rPr>
              <w:t xml:space="preserve"> (95% CI)</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20,7 mjeseci</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(17,6; 24,7)</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15,0 mjeseci</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(14,1; 17,9)</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Odnos rizika</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0,54</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(0,42; 0,70)</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p-vrijednost</w:t>
            </w:r>
            <w:r w:rsidRPr="00B90281">
              <w:rPr>
                <w:rFonts w:eastAsia="Microsoft YaHei"/>
                <w:bCs/>
                <w:color w:val="000000"/>
                <w:sz w:val="22"/>
                <w:szCs w:val="22"/>
                <w:vertAlign w:val="superscript"/>
                <w:lang w:val="sr-Latn-ME" w:eastAsia="hr-HR"/>
              </w:rPr>
              <w:t>c</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0,000002</w:t>
            </w:r>
          </w:p>
        </w:tc>
      </w:tr>
      <w:tr w:rsidR="0089768A" w:rsidRPr="00B90281" w:rsidTr="00B87323">
        <w:trPr>
          <w:gridAfter w:val="1"/>
          <w:wAfter w:w="5" w:type="pct"/>
          <w:trHeight w:val="853"/>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lastRenderedPageBreak/>
              <w:t>Preživljavanje bez progresije bolesti-PFS</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događaji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135 (39)</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190 (56)</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Prosjek</w:t>
            </w:r>
            <w:r w:rsidRPr="00B90281">
              <w:rPr>
                <w:rFonts w:eastAsia="Microsoft YaHei"/>
                <w:bCs/>
                <w:color w:val="000000"/>
                <w:sz w:val="22"/>
                <w:szCs w:val="22"/>
                <w:vertAlign w:val="superscript"/>
                <w:lang w:val="sr-Latn-ME" w:eastAsia="hr-HR"/>
              </w:rPr>
              <w:t>a</w:t>
            </w:r>
            <w:r w:rsidRPr="00B90281">
              <w:rPr>
                <w:rFonts w:eastAsia="Microsoft YaHei"/>
                <w:bCs/>
                <w:color w:val="000000"/>
                <w:sz w:val="22"/>
                <w:szCs w:val="22"/>
                <w:lang w:val="sr-Latn-ME" w:eastAsia="hr-HR"/>
              </w:rPr>
              <w:t xml:space="preserve"> (95% CI)</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18,3 mjeseca</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(16,6; 21,7)</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14,0 mjeseci</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(11,1; 15,0)</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Odnos rizika</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0,61</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(0,49; 0,76)</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p-vrijednost</w:t>
            </w:r>
            <w:r w:rsidRPr="00B90281">
              <w:rPr>
                <w:rFonts w:eastAsia="Microsoft YaHei"/>
                <w:bCs/>
                <w:color w:val="000000"/>
                <w:sz w:val="22"/>
                <w:szCs w:val="22"/>
                <w:vertAlign w:val="superscript"/>
                <w:lang w:val="sr-Latn-ME" w:eastAsia="hr-HR"/>
              </w:rPr>
              <w:t>c</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0,00001</w:t>
            </w:r>
          </w:p>
          <w:p w:rsidR="0089768A" w:rsidRPr="00B90281" w:rsidRDefault="0089768A" w:rsidP="0089768A">
            <w:pPr>
              <w:suppressAutoHyphens/>
              <w:autoSpaceDE w:val="0"/>
              <w:jc w:val="center"/>
              <w:rPr>
                <w:rFonts w:eastAsia="Microsoft YaHei"/>
                <w:bCs/>
                <w:color w:val="000000"/>
                <w:sz w:val="22"/>
                <w:szCs w:val="22"/>
                <w:lang w:val="sr-Latn-ME" w:eastAsia="hr-HR"/>
              </w:rPr>
            </w:pP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Ukupno preživljavanje*</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događaji (smrti)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176 (51,2)</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211 (62,4)</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Prosjek</w:t>
            </w:r>
            <w:r w:rsidRPr="00B90281">
              <w:rPr>
                <w:rFonts w:eastAsia="Microsoft YaHei"/>
                <w:bCs/>
                <w:color w:val="000000"/>
                <w:sz w:val="22"/>
                <w:szCs w:val="22"/>
                <w:vertAlign w:val="superscript"/>
                <w:lang w:val="sr-Latn-ME" w:eastAsia="hr-HR"/>
              </w:rPr>
              <w:t>a</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56,4 mjeseca</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(52,8; 60,9)</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43,1 mjesec</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(35,3; 48,3)</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Odnos rizika</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0,695</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(0,567; 0,852)</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p-vrijednost</w:t>
            </w:r>
            <w:r w:rsidRPr="00B90281">
              <w:rPr>
                <w:rFonts w:eastAsia="Microsoft YaHei"/>
                <w:bCs/>
                <w:color w:val="000000"/>
                <w:sz w:val="22"/>
                <w:szCs w:val="22"/>
                <w:vertAlign w:val="superscript"/>
                <w:lang w:val="sr-Latn-ME" w:eastAsia="hr-HR"/>
              </w:rPr>
              <w:t>c</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0,00043</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Stopa odgovora</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populacija</w:t>
            </w:r>
            <w:r w:rsidRPr="00B90281">
              <w:rPr>
                <w:rFonts w:eastAsia="Microsoft YaHei"/>
                <w:bCs/>
                <w:color w:val="000000"/>
                <w:sz w:val="22"/>
                <w:szCs w:val="22"/>
                <w:vertAlign w:val="superscript"/>
                <w:lang w:val="sr-Latn-ME" w:eastAsia="hr-HR"/>
              </w:rPr>
              <w:t>e</w:t>
            </w:r>
            <w:r w:rsidRPr="00B90281">
              <w:rPr>
                <w:rFonts w:eastAsia="Microsoft YaHei"/>
                <w:bCs/>
                <w:color w:val="000000"/>
                <w:sz w:val="22"/>
                <w:szCs w:val="22"/>
                <w:lang w:val="sr-Latn-ME" w:eastAsia="hr-HR"/>
              </w:rPr>
              <w:t xml:space="preserve"> n = 668</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n=337</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n=331</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w:t>
            </w:r>
            <w:r w:rsidRPr="00B90281">
              <w:rPr>
                <w:rFonts w:eastAsia="Microsoft YaHei"/>
                <w:bCs/>
                <w:color w:val="000000"/>
                <w:sz w:val="22"/>
                <w:szCs w:val="22"/>
                <w:vertAlign w:val="superscript"/>
                <w:lang w:val="sr-Latn-ME" w:eastAsia="hr-HR"/>
              </w:rPr>
              <w:t>f</w:t>
            </w:r>
            <w:r w:rsidRPr="00B90281">
              <w:rPr>
                <w:rFonts w:eastAsia="Microsoft YaHei"/>
                <w:bCs/>
                <w:color w:val="000000"/>
                <w:sz w:val="22"/>
                <w:szCs w:val="22"/>
                <w:lang w:val="sr-Latn-ME" w:eastAsia="hr-HR"/>
              </w:rPr>
              <w:t xml:space="preserve">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102 (30)</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12 (4)</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PR</w:t>
            </w:r>
            <w:r w:rsidRPr="00B90281">
              <w:rPr>
                <w:rFonts w:eastAsia="Microsoft YaHei"/>
                <w:bCs/>
                <w:color w:val="000000"/>
                <w:sz w:val="22"/>
                <w:szCs w:val="22"/>
                <w:vertAlign w:val="superscript"/>
                <w:lang w:val="sr-Latn-ME" w:eastAsia="hr-HR"/>
              </w:rPr>
              <w:t>f</w:t>
            </w:r>
            <w:r w:rsidRPr="00B90281">
              <w:rPr>
                <w:rFonts w:eastAsia="Microsoft YaHei"/>
                <w:bCs/>
                <w:color w:val="000000"/>
                <w:sz w:val="22"/>
                <w:szCs w:val="22"/>
                <w:lang w:val="sr-Latn-ME" w:eastAsia="hr-HR"/>
              </w:rPr>
              <w:t xml:space="preserve">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136 (40)</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103 (31)</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nCR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 (1)</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0</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CR+PR</w:t>
            </w:r>
            <w:r w:rsidRPr="00B90281">
              <w:rPr>
                <w:rFonts w:eastAsia="Microsoft YaHei"/>
                <w:bCs/>
                <w:color w:val="000000"/>
                <w:sz w:val="22"/>
                <w:szCs w:val="22"/>
                <w:vertAlign w:val="superscript"/>
                <w:lang w:val="sr-Latn-ME" w:eastAsia="hr-HR"/>
              </w:rPr>
              <w:t>f</w:t>
            </w:r>
            <w:r w:rsidRPr="00B90281">
              <w:rPr>
                <w:rFonts w:eastAsia="Microsoft YaHei"/>
                <w:bCs/>
                <w:color w:val="000000"/>
                <w:sz w:val="22"/>
                <w:szCs w:val="22"/>
                <w:lang w:val="sr-Latn-ME" w:eastAsia="hr-HR"/>
              </w:rPr>
              <w:t xml:space="preserve">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238 (71)</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115 (35)</w:t>
            </w:r>
          </w:p>
        </w:tc>
      </w:tr>
      <w:tr w:rsidR="0089768A" w:rsidRPr="00B90281" w:rsidTr="00B87323">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p-vrijednost</w:t>
            </w:r>
            <w:r w:rsidRPr="00B90281">
              <w:rPr>
                <w:rFonts w:eastAsia="Microsoft YaHei"/>
                <w:bCs/>
                <w:color w:val="000000"/>
                <w:sz w:val="22"/>
                <w:szCs w:val="22"/>
                <w:vertAlign w:val="superscript"/>
                <w:lang w:val="sr-Latn-ME" w:eastAsia="hr-HR"/>
              </w:rPr>
              <w:t>d</w:t>
            </w:r>
          </w:p>
        </w:tc>
        <w:tc>
          <w:tcPr>
            <w:tcW w:w="3335" w:type="pct"/>
            <w:gridSpan w:val="3"/>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&lt; 10</w:t>
            </w:r>
            <w:r w:rsidRPr="00B90281">
              <w:rPr>
                <w:rFonts w:eastAsia="Microsoft YaHei"/>
                <w:bCs/>
                <w:color w:val="000000"/>
                <w:sz w:val="22"/>
                <w:szCs w:val="22"/>
                <w:vertAlign w:val="superscript"/>
                <w:lang w:val="sr-Latn-ME" w:eastAsia="hr-HR"/>
              </w:rPr>
              <w:t>-10</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Smanjenje serumskog M proteina</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populacija</w:t>
            </w:r>
            <w:r w:rsidRPr="00B90281">
              <w:rPr>
                <w:rFonts w:eastAsia="Microsoft YaHei"/>
                <w:bCs/>
                <w:color w:val="000000"/>
                <w:sz w:val="22"/>
                <w:szCs w:val="22"/>
                <w:vertAlign w:val="superscript"/>
                <w:lang w:val="sr-Latn-ME" w:eastAsia="hr-HR"/>
              </w:rPr>
              <w:t>g</w:t>
            </w:r>
            <w:r w:rsidRPr="00B90281">
              <w:rPr>
                <w:rFonts w:eastAsia="Microsoft YaHei"/>
                <w:bCs/>
                <w:color w:val="000000"/>
                <w:sz w:val="22"/>
                <w:szCs w:val="22"/>
                <w:lang w:val="sr-Latn-ME" w:eastAsia="hr-HR"/>
              </w:rPr>
              <w:t xml:space="preserve"> n=667</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n=336</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n=331</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&gt;=90%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151 (45)</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34 (10)</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Vrijeme do prvog odgovora u CR + PR</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snapToGrid w:val="0"/>
              <w:jc w:val="center"/>
              <w:rPr>
                <w:rFonts w:eastAsia="Microsoft YaHei"/>
                <w:bCs/>
                <w:color w:val="000000"/>
                <w:sz w:val="22"/>
                <w:szCs w:val="22"/>
                <w:lang w:val="sr-Latn-ME" w:eastAsia="hr-HR"/>
              </w:rPr>
            </w:pP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snapToGrid w:val="0"/>
              <w:jc w:val="center"/>
              <w:rPr>
                <w:rFonts w:eastAsia="Microsoft YaHei"/>
                <w:bCs/>
                <w:color w:val="000000"/>
                <w:sz w:val="22"/>
                <w:szCs w:val="22"/>
                <w:lang w:val="sr-Latn-ME" w:eastAsia="hr-HR"/>
              </w:rPr>
            </w:pP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Prosjek</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1,4 mjeseca</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4,2 mjeseca</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Prosječno</w:t>
            </w:r>
            <w:r w:rsidRPr="00B90281">
              <w:rPr>
                <w:rFonts w:eastAsia="Microsoft YaHei"/>
                <w:b/>
                <w:bCs/>
                <w:color w:val="000000"/>
                <w:sz w:val="22"/>
                <w:szCs w:val="22"/>
                <w:vertAlign w:val="superscript"/>
                <w:lang w:val="sr-Latn-ME" w:eastAsia="hr-HR"/>
              </w:rPr>
              <w:t>a</w:t>
            </w:r>
            <w:r w:rsidRPr="00B90281">
              <w:rPr>
                <w:rFonts w:eastAsia="Microsoft YaHei"/>
                <w:b/>
                <w:bCs/>
                <w:color w:val="000000"/>
                <w:sz w:val="22"/>
                <w:szCs w:val="22"/>
                <w:lang w:val="sr-Latn-ME" w:eastAsia="hr-HR"/>
              </w:rPr>
              <w:t xml:space="preserve"> trajanje odgovora</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snapToGrid w:val="0"/>
              <w:jc w:val="center"/>
              <w:rPr>
                <w:rFonts w:eastAsia="Microsoft YaHei"/>
                <w:bCs/>
                <w:color w:val="000000"/>
                <w:sz w:val="22"/>
                <w:szCs w:val="22"/>
                <w:lang w:val="sr-Latn-ME" w:eastAsia="hr-HR"/>
              </w:rPr>
            </w:pP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snapToGrid w:val="0"/>
              <w:jc w:val="center"/>
              <w:rPr>
                <w:rFonts w:eastAsia="Microsoft YaHei"/>
                <w:bCs/>
                <w:color w:val="000000"/>
                <w:sz w:val="22"/>
                <w:szCs w:val="22"/>
                <w:lang w:val="sr-Latn-ME" w:eastAsia="hr-HR"/>
              </w:rPr>
            </w:pP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w:t>
            </w:r>
            <w:r w:rsidRPr="00B90281">
              <w:rPr>
                <w:rFonts w:eastAsia="Microsoft YaHei"/>
                <w:bCs/>
                <w:color w:val="000000"/>
                <w:sz w:val="22"/>
                <w:szCs w:val="22"/>
                <w:vertAlign w:val="superscript"/>
                <w:lang w:val="sr-Latn-ME" w:eastAsia="hr-HR"/>
              </w:rPr>
              <w:t>f</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24,0 mjeseca</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12,8 mjeseci</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CR+PR</w:t>
            </w:r>
            <w:r w:rsidRPr="00B90281">
              <w:rPr>
                <w:rFonts w:eastAsia="Microsoft YaHei"/>
                <w:bCs/>
                <w:color w:val="000000"/>
                <w:sz w:val="22"/>
                <w:szCs w:val="22"/>
                <w:vertAlign w:val="superscript"/>
                <w:lang w:val="sr-Latn-ME" w:eastAsia="hr-HR"/>
              </w:rPr>
              <w:t>f</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19,9 mjeseci</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13,1 mjesec</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Vrijeme do sljedeće terapije</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događaji n (%)</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224 (61,5)</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260 (76,9)</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Prosjek</w:t>
            </w:r>
            <w:r w:rsidRPr="00B90281">
              <w:rPr>
                <w:rFonts w:eastAsia="Microsoft YaHei"/>
                <w:bCs/>
                <w:color w:val="000000"/>
                <w:sz w:val="22"/>
                <w:szCs w:val="22"/>
                <w:vertAlign w:val="superscript"/>
                <w:lang w:val="sr-Latn-ME" w:eastAsia="hr-HR"/>
              </w:rPr>
              <w:t>a</w:t>
            </w:r>
            <w:r w:rsidRPr="00B90281">
              <w:rPr>
                <w:rFonts w:eastAsia="Microsoft YaHei"/>
                <w:bCs/>
                <w:color w:val="000000"/>
                <w:sz w:val="22"/>
                <w:szCs w:val="22"/>
                <w:lang w:val="sr-Latn-ME" w:eastAsia="hr-HR"/>
              </w:rPr>
              <w:t xml:space="preserve"> (95% CI)</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27,0 mjeseci</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(24,7; 31,1)</w:t>
            </w:r>
          </w:p>
        </w:tc>
        <w:tc>
          <w:tcPr>
            <w:tcW w:w="1665"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19,2 mjeseci</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(17,0; 21,0)</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Odnos rizika</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0,557</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(0,462; 0,671)</w:t>
            </w:r>
          </w:p>
        </w:tc>
      </w:tr>
      <w:tr w:rsidR="0089768A" w:rsidRPr="00B90281" w:rsidTr="00B87323">
        <w:trPr>
          <w:gridAfter w:val="1"/>
          <w:wAfter w:w="5" w:type="pct"/>
        </w:trPr>
        <w:tc>
          <w:tcPr>
            <w:tcW w:w="1665" w:type="pct"/>
            <w:tcBorders>
              <w:top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p-vrijednost</w:t>
            </w:r>
          </w:p>
        </w:tc>
        <w:tc>
          <w:tcPr>
            <w:tcW w:w="3330"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&lt; 0,000001</w:t>
            </w:r>
          </w:p>
        </w:tc>
      </w:tr>
    </w:tbl>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a</w:t>
      </w:r>
      <w:r w:rsidRPr="00D31597">
        <w:rPr>
          <w:rFonts w:eastAsia="Microsoft YaHei"/>
          <w:bCs/>
          <w:color w:val="000000"/>
          <w:sz w:val="20"/>
          <w:szCs w:val="22"/>
          <w:lang w:val="sr-Latn-ME" w:eastAsia="hr-HR"/>
        </w:rPr>
        <w:t xml:space="preserve"> Kaplan-Meier-ova analiza.</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b</w:t>
      </w:r>
      <w:r w:rsidRPr="00D31597">
        <w:rPr>
          <w:rFonts w:eastAsia="Microsoft YaHei"/>
          <w:bCs/>
          <w:color w:val="000000"/>
          <w:sz w:val="20"/>
          <w:szCs w:val="22"/>
          <w:lang w:val="sr-Latn-ME" w:eastAsia="hr-HR"/>
        </w:rPr>
        <w:t xml:space="preserve"> Procjena odnosa rizika (HR) </w:t>
      </w:r>
      <w:r w:rsidR="009079B6" w:rsidRPr="00D31597">
        <w:rPr>
          <w:rFonts w:eastAsia="Microsoft YaHei"/>
          <w:bCs/>
          <w:color w:val="000000"/>
          <w:sz w:val="20"/>
          <w:szCs w:val="22"/>
          <w:lang w:val="sr-Latn-ME" w:eastAsia="hr-HR"/>
        </w:rPr>
        <w:t xml:space="preserve">zasniva </w:t>
      </w:r>
      <w:r w:rsidRPr="00D31597">
        <w:rPr>
          <w:rFonts w:eastAsia="Microsoft YaHei"/>
          <w:bCs/>
          <w:color w:val="000000"/>
          <w:sz w:val="20"/>
          <w:szCs w:val="22"/>
          <w:lang w:val="sr-Latn-ME" w:eastAsia="hr-HR"/>
        </w:rPr>
        <w:t>se na Cox-ovom modelu proporcionalnog rizika prilagođenom prema faktorima stratifikacije: ß2-mikroglobulinu, albuminu i regiji. Odnos rizika manji od 1 pokazuje da VMP ima prednost.</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c</w:t>
      </w:r>
      <w:r w:rsidRPr="00D31597">
        <w:rPr>
          <w:rFonts w:eastAsia="Microsoft YaHei"/>
          <w:bCs/>
          <w:color w:val="000000"/>
          <w:sz w:val="20"/>
          <w:szCs w:val="22"/>
          <w:lang w:val="sr-Latn-ME" w:eastAsia="hr-HR"/>
        </w:rPr>
        <w:t xml:space="preserve"> Nominalna p-vrijednost zasnovana na stratifikovanom log-rank testu prilagođenom za faktore stratifikacije: ß 2-mikroglobulina, albumina i regije.</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d</w:t>
      </w:r>
      <w:r w:rsidRPr="00D31597">
        <w:rPr>
          <w:rFonts w:eastAsia="Microsoft YaHei"/>
          <w:bCs/>
          <w:color w:val="000000"/>
          <w:sz w:val="20"/>
          <w:szCs w:val="22"/>
          <w:lang w:val="sr-Latn-ME" w:eastAsia="hr-HR"/>
        </w:rPr>
        <w:t xml:space="preserve"> p-vrijednost za stepen odgovora (CR+PR) iz Cochran-Mantel-Haenszel-ovog hi-kvadrat testa prilagođenog za faktore stratifikacije.</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e</w:t>
      </w:r>
      <w:r w:rsidRPr="00D31597">
        <w:rPr>
          <w:rFonts w:eastAsia="Microsoft YaHei"/>
          <w:bCs/>
          <w:color w:val="000000"/>
          <w:sz w:val="20"/>
          <w:szCs w:val="22"/>
          <w:lang w:val="sr-Latn-ME" w:eastAsia="hr-HR"/>
        </w:rPr>
        <w:t xml:space="preserve"> Populacija s</w:t>
      </w:r>
      <w:r w:rsidR="009079B6" w:rsidRPr="00D31597">
        <w:rPr>
          <w:rFonts w:eastAsia="Microsoft YaHei"/>
          <w:bCs/>
          <w:color w:val="000000"/>
          <w:sz w:val="20"/>
          <w:szCs w:val="22"/>
          <w:lang w:val="sr-Latn-ME" w:eastAsia="hr-HR"/>
        </w:rPr>
        <w:t>a</w:t>
      </w:r>
      <w:r w:rsidRPr="00D31597">
        <w:rPr>
          <w:rFonts w:eastAsia="Microsoft YaHei"/>
          <w:bCs/>
          <w:color w:val="000000"/>
          <w:sz w:val="20"/>
          <w:szCs w:val="22"/>
          <w:lang w:val="sr-Latn-ME" w:eastAsia="hr-HR"/>
        </w:rPr>
        <w:t xml:space="preserve"> odgovorom uključuje pacijente koji imaju mjerljivu bolest na početku ispitivanja.</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f</w:t>
      </w:r>
      <w:r w:rsidRPr="00D31597">
        <w:rPr>
          <w:rFonts w:eastAsia="Microsoft YaHei"/>
          <w:bCs/>
          <w:color w:val="000000"/>
          <w:sz w:val="20"/>
          <w:szCs w:val="22"/>
          <w:lang w:val="sr-Latn-ME" w:eastAsia="hr-HR"/>
        </w:rPr>
        <w:t xml:space="preserve"> CR=Kompletni odgovor; PR=Parcijalni odgovor. EBMT kriterijumi</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vertAlign w:val="superscript"/>
          <w:lang w:val="sr-Latn-ME" w:eastAsia="hr-HR"/>
        </w:rPr>
        <w:t>g</w:t>
      </w:r>
      <w:r w:rsidRPr="00D31597">
        <w:rPr>
          <w:rFonts w:eastAsia="Microsoft YaHei"/>
          <w:bCs/>
          <w:color w:val="000000"/>
          <w:sz w:val="20"/>
          <w:szCs w:val="22"/>
          <w:lang w:val="sr-Latn-ME" w:eastAsia="hr-HR"/>
        </w:rPr>
        <w:t xml:space="preserve"> Svi randomizovani pacijenti sa sekretornom formom.</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 Ažurirano preživljavanje na osnovu srednjeg vremena t praćenja od 60,1 mjesec</w:t>
      </w:r>
    </w:p>
    <w:p w:rsidR="0089768A" w:rsidRPr="00D31597" w:rsidRDefault="0089768A" w:rsidP="0089768A">
      <w:pPr>
        <w:suppressAutoHyphens/>
        <w:autoSpaceDE w:val="0"/>
        <w:jc w:val="both"/>
        <w:rPr>
          <w:rFonts w:eastAsia="Microsoft YaHei"/>
          <w:bCs/>
          <w:i/>
          <w:iCs/>
          <w:color w:val="000000"/>
          <w:sz w:val="20"/>
          <w:szCs w:val="22"/>
          <w:lang w:val="sr-Latn-ME" w:eastAsia="hr-HR"/>
        </w:rPr>
      </w:pPr>
      <w:r w:rsidRPr="00D31597">
        <w:rPr>
          <w:rFonts w:eastAsia="Microsoft YaHei"/>
          <w:bCs/>
          <w:color w:val="000000"/>
          <w:sz w:val="20"/>
          <w:szCs w:val="22"/>
          <w:lang w:val="sr-Latn-ME" w:eastAsia="hr-HR"/>
        </w:rPr>
        <w:t>CI=Interval pouzdanosti</w:t>
      </w:r>
    </w:p>
    <w:p w:rsidR="0089768A" w:rsidRPr="00B90281" w:rsidRDefault="0089768A" w:rsidP="0089768A">
      <w:pPr>
        <w:suppressAutoHyphens/>
        <w:autoSpaceDE w:val="0"/>
        <w:rPr>
          <w:rFonts w:eastAsia="Microsoft YaHei"/>
          <w:bCs/>
          <w:i/>
          <w:iCs/>
          <w:color w:val="000000"/>
          <w:sz w:val="22"/>
          <w:szCs w:val="22"/>
          <w:lang w:val="sr-Latn-ME" w:eastAsia="hr-HR"/>
        </w:rPr>
      </w:pPr>
    </w:p>
    <w:p w:rsidR="0089768A" w:rsidRPr="00B90281" w:rsidRDefault="0089768A" w:rsidP="0089768A">
      <w:pPr>
        <w:suppressAutoHyphens/>
        <w:autoSpaceDE w:val="0"/>
        <w:rPr>
          <w:rFonts w:eastAsia="Microsoft YaHei"/>
          <w:bCs/>
          <w:i/>
          <w:iCs/>
          <w:color w:val="000000"/>
          <w:sz w:val="22"/>
          <w:szCs w:val="22"/>
          <w:lang w:val="sr-Latn-ME" w:eastAsia="hr-HR"/>
        </w:rPr>
      </w:pPr>
      <w:r w:rsidRPr="00B90281">
        <w:rPr>
          <w:rFonts w:eastAsia="Microsoft YaHei"/>
          <w:bCs/>
          <w:i/>
          <w:iCs/>
          <w:color w:val="000000"/>
          <w:sz w:val="22"/>
          <w:szCs w:val="22"/>
          <w:lang w:val="sr-Latn-ME" w:eastAsia="hr-HR"/>
        </w:rPr>
        <w:t>Pacijenti koji ispunjavaju kriterijume za transplantaciju matičnih ćelija hematopoeze</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Dva randomizovana, otvorena, multicentrična ispitivanja faze III (IFM-2005-01, MMY-3010) su sprovedena radi utvrđivanja bezbjednosti i efikasnosti primjene bortezomiba u dvostrukim ili trostrukim </w:t>
      </w:r>
      <w:r w:rsidRPr="00B90281">
        <w:rPr>
          <w:rFonts w:eastAsia="Microsoft YaHei"/>
          <w:bCs/>
          <w:color w:val="000000"/>
          <w:sz w:val="22"/>
          <w:szCs w:val="22"/>
          <w:lang w:val="sr-Latn-ME" w:eastAsia="hr-HR"/>
        </w:rPr>
        <w:lastRenderedPageBreak/>
        <w:t>kombinacijama sa drugim hemoterapeuticima, kao indukciona terapija prije transplantacije matičnih ćelija kod pacijenata sa prethodno neliječenim multiplim mijelomom.</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ispitivanju IFM-2005-01, bortezomib je kombinovan sa deksametazonom [BtzDx, n=240] u poređenju sa vinkristinom-doksorubicinom-deksametazonom [VDDx, n=242]. Pacijenti u BtzDx grupi primili su četiri ciklusa od 21 dan, od kojih je svaki uključivao bortezomib (1,3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primijenjen intravenski dva puta nedjeljno u danima 1., 4., 8. i 11. ) i oralni deksametazon (40 mg/dan u danima 1. do 4. i danima 9. do 12. , u 1. i 2. ciklusu, i u danima 1. do 4. u 3. i 4. ciklusu). </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Autologna transplantacija matičnih ćelija hematopoeze je urađena kod 198 (82%) pacijenata u VDDx grupi, odnosno kod 208 (87%) pacijenta u BtzDx grupi; većina pacijenata prošla je jednu transplantaciju. Demografske karakteristike pacijenata i osnovne karakteristike bolesti bile su slične u obije terapijske grupe. Medijana starosti pacijenta u ispitivanju iznosila je 57 godina, 55% bili su muškarci i 48% pacijenata imalo je visok citogenetski rizik. Medijana trajanja liječenja je iznosila 13 nedjelja u grupi VDDx i 11 nedjelja u BtzDx grupi. Medijana broja ciklusa koje su primile obje grupe je iznosila 4. Primarni parametar efikasnosti ispitivanja bio je post-indukcioni nivo odgovora (CR+nCR). Statistički značajna razlika između CR i nCR bila je uočena u korist grupe koja je primala bortezomib u kombinaciji sa</w:t>
      </w:r>
      <w:r w:rsidR="009079B6"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deksametazonom.</w:t>
      </w:r>
      <w:r w:rsidR="009079B6"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Sekundarni parametri efikasnosti uključivali su stepen odgovora nakon transplantacije (CR+nCR, CR+nCR+VGPR+PR), preživljavanje bez progresije i ukupno preživljavanje. Glavni rezultati u pogledu efikasnosti prikazani su u Tabeli 12.</w:t>
      </w:r>
    </w:p>
    <w:p w:rsidR="0089768A" w:rsidRPr="00B90281" w:rsidRDefault="0089768A" w:rsidP="0089768A">
      <w:pPr>
        <w:suppressAutoHyphens/>
        <w:autoSpaceDE w:val="0"/>
        <w:rPr>
          <w:rFonts w:eastAsia="Microsoft YaHei"/>
          <w:bCs/>
          <w:i/>
          <w:iCs/>
          <w:color w:val="000000"/>
          <w:sz w:val="22"/>
          <w:szCs w:val="22"/>
          <w:lang w:val="sr-Latn-ME" w:eastAsia="hr-HR"/>
        </w:rPr>
      </w:pPr>
    </w:p>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Cs/>
          <w:i/>
          <w:iCs/>
          <w:color w:val="000000"/>
          <w:sz w:val="22"/>
          <w:szCs w:val="22"/>
          <w:lang w:val="sr-Latn-ME" w:eastAsia="hr-HR"/>
        </w:rPr>
        <w:t>Tabela 12: Rezultati u pogledu efikasnosti iz kliničkog ispitivanja IFM-2005-01</w:t>
      </w:r>
    </w:p>
    <w:tbl>
      <w:tblPr>
        <w:tblW w:w="5074" w:type="pct"/>
        <w:tblLook w:val="0000" w:firstRow="0" w:lastRow="0" w:firstColumn="0" w:lastColumn="0" w:noHBand="0" w:noVBand="0"/>
      </w:tblPr>
      <w:tblGrid>
        <w:gridCol w:w="2482"/>
        <w:gridCol w:w="2474"/>
        <w:gridCol w:w="2409"/>
        <w:gridCol w:w="1844"/>
      </w:tblGrid>
      <w:tr w:rsidR="0089768A" w:rsidRPr="00B90281" w:rsidTr="00D45B76">
        <w:tc>
          <w:tcPr>
            <w:tcW w:w="1348"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Ciljevi</w:t>
            </w:r>
          </w:p>
        </w:tc>
        <w:tc>
          <w:tcPr>
            <w:tcW w:w="134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BtzDx</w:t>
            </w:r>
          </w:p>
        </w:tc>
        <w:tc>
          <w:tcPr>
            <w:tcW w:w="1308"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VDDx</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
                <w:bCs/>
                <w:color w:val="000000"/>
                <w:sz w:val="22"/>
                <w:szCs w:val="22"/>
                <w:lang w:val="sr-Latn-ME" w:eastAsia="hr-HR"/>
              </w:rPr>
              <w:t>Ukupan odgovor (OR); 95% CI; P vrijednost</w:t>
            </w:r>
            <w:r w:rsidRPr="00B90281">
              <w:rPr>
                <w:rFonts w:eastAsia="Microsoft YaHei"/>
                <w:b/>
                <w:bCs/>
                <w:color w:val="000000"/>
                <w:sz w:val="22"/>
                <w:szCs w:val="22"/>
                <w:vertAlign w:val="superscript"/>
                <w:lang w:val="sr-Latn-ME" w:eastAsia="hr-HR"/>
              </w:rPr>
              <w:t>a</w:t>
            </w:r>
          </w:p>
        </w:tc>
      </w:tr>
      <w:tr w:rsidR="0089768A" w:rsidRPr="00B90281" w:rsidTr="00D45B76">
        <w:tc>
          <w:tcPr>
            <w:tcW w:w="1348"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IFM-2005-01</w:t>
            </w:r>
          </w:p>
        </w:tc>
        <w:tc>
          <w:tcPr>
            <w:tcW w:w="1343" w:type="pct"/>
            <w:tcBorders>
              <w:top w:val="single" w:sz="4" w:space="0" w:color="000000"/>
              <w:left w:val="single" w:sz="4" w:space="0" w:color="000000"/>
              <w:bottom w:val="single" w:sz="4" w:space="0" w:color="000000"/>
            </w:tcBorders>
            <w:shd w:val="clear" w:color="auto" w:fill="auto"/>
          </w:tcPr>
          <w:p w:rsidR="0089768A" w:rsidRPr="00B90281" w:rsidRDefault="0089768A" w:rsidP="00D45B76">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N=240 (ITT</w:t>
            </w:r>
            <w:r w:rsidR="009079B6"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populacija)</w:t>
            </w:r>
          </w:p>
        </w:tc>
        <w:tc>
          <w:tcPr>
            <w:tcW w:w="1308" w:type="pct"/>
            <w:tcBorders>
              <w:top w:val="single" w:sz="4" w:space="0" w:color="000000"/>
              <w:left w:val="single" w:sz="4" w:space="0" w:color="000000"/>
              <w:bottom w:val="single" w:sz="4" w:space="0" w:color="000000"/>
            </w:tcBorders>
            <w:shd w:val="clear" w:color="auto" w:fill="auto"/>
          </w:tcPr>
          <w:p w:rsidR="0089768A" w:rsidRPr="00B90281" w:rsidRDefault="0089768A" w:rsidP="00D45B76">
            <w:pPr>
              <w:suppressAutoHyphens/>
              <w:autoSpaceDE w:val="0"/>
              <w:rPr>
                <w:rFonts w:eastAsia="Mangal"/>
                <w:sz w:val="22"/>
                <w:szCs w:val="22"/>
                <w:lang w:val="sr-Latn-ME" w:eastAsia="zh-CN"/>
              </w:rPr>
            </w:pPr>
            <w:r w:rsidRPr="00B90281">
              <w:rPr>
                <w:rFonts w:eastAsia="Microsoft YaHei"/>
                <w:bCs/>
                <w:color w:val="000000"/>
                <w:sz w:val="22"/>
                <w:szCs w:val="22"/>
                <w:lang w:val="sr-Latn-ME" w:eastAsia="hr-HR"/>
              </w:rPr>
              <w:t>N=242</w:t>
            </w:r>
            <w:r w:rsidR="009079B6"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(ITTpopulacija)</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p>
        </w:tc>
      </w:tr>
      <w:tr w:rsidR="0089768A" w:rsidRPr="00B90281" w:rsidTr="00D45B76">
        <w:tc>
          <w:tcPr>
            <w:tcW w:w="1348"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i/>
                <w:iCs/>
                <w:color w:val="000000"/>
                <w:sz w:val="22"/>
                <w:szCs w:val="22"/>
                <w:lang w:val="sr-Latn-ME" w:eastAsia="hr-HR"/>
              </w:rPr>
              <w:t>*RR (Postindukciona)</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CR+nCR+VGPR+PR %</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1343"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14,6 (10,4; 19,7)</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77,1 (71,2; 82,2)</w:t>
            </w:r>
          </w:p>
        </w:tc>
        <w:tc>
          <w:tcPr>
            <w:tcW w:w="1308"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6,2 (3,5; 10,0)</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60,7 (54,3; 66,9)</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2,58 (1,37; 4,85); 0,003</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2,18 (1,46; 3,24); &lt; 0,001</w:t>
            </w:r>
          </w:p>
        </w:tc>
      </w:tr>
      <w:tr w:rsidR="0089768A" w:rsidRPr="00B90281" w:rsidTr="00D45B76">
        <w:tc>
          <w:tcPr>
            <w:tcW w:w="1348"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i/>
                <w:iCs/>
                <w:color w:val="000000"/>
                <w:sz w:val="22"/>
                <w:szCs w:val="22"/>
                <w:lang w:val="sr-Latn-ME" w:eastAsia="hr-HR"/>
              </w:rPr>
              <w:t>*RR (Posttransplantacijska)</w:t>
            </w:r>
            <w:r w:rsidRPr="00B90281">
              <w:rPr>
                <w:rFonts w:eastAsia="Microsoft YaHei"/>
                <w:bCs/>
                <w:i/>
                <w:iCs/>
                <w:color w:val="000000"/>
                <w:sz w:val="22"/>
                <w:szCs w:val="22"/>
                <w:vertAlign w:val="superscript"/>
                <w:lang w:val="sr-Latn-ME" w:eastAsia="hr-HR"/>
              </w:rPr>
              <w:t>b</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CR+nCR+VGPR+PR %</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1343"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37,5 (31,4; 44,0)</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79,6 (73,9; 84,5)</w:t>
            </w:r>
          </w:p>
          <w:p w:rsidR="0089768A" w:rsidRPr="00B90281" w:rsidRDefault="0089768A" w:rsidP="0089768A">
            <w:pPr>
              <w:suppressAutoHyphens/>
              <w:autoSpaceDE w:val="0"/>
              <w:jc w:val="center"/>
              <w:rPr>
                <w:rFonts w:eastAsia="Microsoft YaHei"/>
                <w:bCs/>
                <w:color w:val="000000"/>
                <w:sz w:val="22"/>
                <w:szCs w:val="22"/>
                <w:lang w:val="sr-Latn-ME" w:eastAsia="hr-HR"/>
              </w:rPr>
            </w:pPr>
          </w:p>
        </w:tc>
        <w:tc>
          <w:tcPr>
            <w:tcW w:w="1308"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23,1 (18,0; 29,0)</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74,4 (68,4; 79,8)</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1,98 (1,33; 2,95); 0,001</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1,34 (0,87; 2,05); 0,179</w:t>
            </w:r>
          </w:p>
        </w:tc>
      </w:tr>
    </w:tbl>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CI= interval pouzdanosti; CR=kompletni odgovor; nCR=blizu kompletnog odgovora; ITT=Populacija pacijenata s namjerom liječenja; RR=stopa odgovora; Btz=bortezomib; BtzDx=bortezomib, deksametazon; VDDx=vinkristin, doksorubicin, deksametazon; VGPR=vrlo dobar parcijalni odgovor; PR=parcijalni odgovor; OR=odnos izgleda.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 xml:space="preserve">* Primarni cilj </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 xml:space="preserve">a </w:t>
      </w:r>
      <w:r w:rsidRPr="00D31597">
        <w:rPr>
          <w:rFonts w:eastAsia="Microsoft YaHei"/>
          <w:bCs/>
          <w:color w:val="000000"/>
          <w:sz w:val="20"/>
          <w:szCs w:val="22"/>
          <w:lang w:val="sr-Latn-ME" w:eastAsia="hr-HR"/>
        </w:rPr>
        <w:t>OR se zasniva na Mantel-Haenszel-ovom testu prilagođenom za faktore stratifikacije; p-vrijednosti zasnovanoj na Cochran Mantel-Haenszel-ovom testu.</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vertAlign w:val="superscript"/>
          <w:lang w:val="sr-Latn-ME" w:eastAsia="hr-HR"/>
        </w:rPr>
        <w:t xml:space="preserve">b </w:t>
      </w:r>
      <w:r w:rsidRPr="00D31597">
        <w:rPr>
          <w:rFonts w:eastAsia="Microsoft YaHei"/>
          <w:bCs/>
          <w:color w:val="000000"/>
          <w:sz w:val="20"/>
          <w:szCs w:val="22"/>
          <w:lang w:val="sr-Latn-ME" w:eastAsia="hr-HR"/>
        </w:rPr>
        <w:t>Odnosi se na stepen odgovora nakon druge transplantacije za ispitanike koji su prošli drugu transplantaciju (42/240 [18% ] u BtzDx grupi i 52/242 [21%] u VDDx grupi).</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Napomena: OR &gt; 1 ukazuje na prednost za uvodno liječenje koje sadrži Btz.</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kliničkom ispitivanju MMY-3010, indukciona terapija bortezomibom u kombinaciji sa talidomidom i deksametazonom [BtzTDx, n=130] je upoređivana sa liječenjem talidomid+deksametazon [TDx, n=127]. Pacijenti u BtzTDx grupi primili su šest ciklusa od 4 nedjelje, od kojih je svaki uključivao bortezomib (1,3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primijenjen dva </w:t>
      </w:r>
      <w:r w:rsidR="00C728AC" w:rsidRPr="00B90281">
        <w:rPr>
          <w:rFonts w:eastAsia="Microsoft YaHei"/>
          <w:bCs/>
          <w:color w:val="000000"/>
          <w:sz w:val="22"/>
          <w:szCs w:val="22"/>
          <w:lang w:val="sr-Latn-ME" w:eastAsia="hr-HR"/>
        </w:rPr>
        <w:t xml:space="preserve">puta </w:t>
      </w:r>
      <w:r w:rsidRPr="00B90281">
        <w:rPr>
          <w:rFonts w:eastAsia="Microsoft YaHei"/>
          <w:bCs/>
          <w:color w:val="000000"/>
          <w:sz w:val="22"/>
          <w:szCs w:val="22"/>
          <w:lang w:val="sr-Latn-ME" w:eastAsia="hr-HR"/>
        </w:rPr>
        <w:t>nedjeljno u danima 1., 4., 8.</w:t>
      </w:r>
      <w:r w:rsidR="00C728AC"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 xml:space="preserve">i 11., nakon čega je uslijedio sedamnaestodnevni period bez lijeka od 12. do 28. dana), deksametazon (40 mg primijenjen </w:t>
      </w:r>
      <w:r w:rsidR="00C728AC" w:rsidRPr="00B90281">
        <w:rPr>
          <w:rFonts w:eastAsia="Microsoft YaHei"/>
          <w:bCs/>
          <w:color w:val="000000"/>
          <w:sz w:val="22"/>
          <w:szCs w:val="22"/>
          <w:lang w:val="sr-Latn-ME" w:eastAsia="hr-HR"/>
        </w:rPr>
        <w:t>per</w:t>
      </w:r>
      <w:r w:rsidRPr="00B90281">
        <w:rPr>
          <w:rFonts w:eastAsia="Microsoft YaHei"/>
          <w:bCs/>
          <w:color w:val="000000"/>
          <w:sz w:val="22"/>
          <w:szCs w:val="22"/>
          <w:lang w:val="sr-Latn-ME" w:eastAsia="hr-HR"/>
        </w:rPr>
        <w:t xml:space="preserve">oralno u danima od 1. do 4. i danima od 8. do 11.) i talidomid (primijenjen </w:t>
      </w:r>
      <w:r w:rsidR="00C728AC" w:rsidRPr="00B90281">
        <w:rPr>
          <w:rFonts w:eastAsia="Microsoft YaHei"/>
          <w:bCs/>
          <w:color w:val="000000"/>
          <w:sz w:val="22"/>
          <w:szCs w:val="22"/>
          <w:lang w:val="sr-Latn-ME" w:eastAsia="hr-HR"/>
        </w:rPr>
        <w:t>per</w:t>
      </w:r>
      <w:r w:rsidRPr="00B90281">
        <w:rPr>
          <w:rFonts w:eastAsia="Microsoft YaHei"/>
          <w:bCs/>
          <w:color w:val="000000"/>
          <w:sz w:val="22"/>
          <w:szCs w:val="22"/>
          <w:lang w:val="sr-Latn-ME" w:eastAsia="hr-HR"/>
        </w:rPr>
        <w:t xml:space="preserve">oralno 50 mg na dan, u danima 1.-14., doza povećana na 100 mg u danima 15.-28., a nakon toga na 200 mg na dan). </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Autologna transplantacija matičnih ćelija je urađena kod 105 (81%) pacijenata, odnosno 78 (61%) pacijenata u BtzTDx i TDx grupi. Demografske karakteristike pacijenata i osnovne karakteristike bolesti bile su slične u obije terapijske grupe. Medijana starosti pacijenta u grupi BtzTDx je bila 57 godina, odnosno 56 godina u TDx grupi, 99% naspram 98% pacijenta bili su bijele rase, a 58% naspram 54% bili su muškarci. U BtzTDx grupi, 12% pacijenata je bilo klasifikovano kao citogenetski visoko rizično, dok je visok rizik imalo 16% pacijenata u TDx grupi. Medijana trajanja terapije je bila 24 nedjelje, a </w:t>
      </w:r>
      <w:r w:rsidRPr="00B90281">
        <w:rPr>
          <w:rFonts w:eastAsia="Microsoft YaHei"/>
          <w:bCs/>
          <w:color w:val="000000"/>
          <w:sz w:val="22"/>
          <w:szCs w:val="22"/>
          <w:lang w:val="sr-Latn-ME" w:eastAsia="hr-HR"/>
        </w:rPr>
        <w:lastRenderedPageBreak/>
        <w:t>medijana primljenih ciklusa liječenja je bila 6,0 i bila je konzistentna u terapijskim grupama</w:t>
      </w:r>
      <w:r w:rsidRPr="00B90281">
        <w:rPr>
          <w:rFonts w:eastAsia="Microsoft YaHei"/>
          <w:bCs/>
          <w:sz w:val="22"/>
          <w:szCs w:val="22"/>
          <w:lang w:val="sr-Latn-ME" w:eastAsia="hr-HR"/>
        </w:rPr>
        <w:t>. Primarni parametari efikasnosti ovog kliničkog</w:t>
      </w:r>
      <w:r w:rsidRPr="00B90281">
        <w:rPr>
          <w:rFonts w:eastAsia="Microsoft YaHei"/>
          <w:bCs/>
          <w:color w:val="FF0000"/>
          <w:sz w:val="22"/>
          <w:szCs w:val="22"/>
          <w:lang w:val="sr-Latn-ME" w:eastAsia="hr-HR"/>
        </w:rPr>
        <w:t xml:space="preserve"> </w:t>
      </w:r>
      <w:r w:rsidRPr="00B90281">
        <w:rPr>
          <w:rFonts w:eastAsia="Microsoft YaHei"/>
          <w:bCs/>
          <w:color w:val="000000"/>
          <w:sz w:val="22"/>
          <w:szCs w:val="22"/>
          <w:lang w:val="sr-Latn-ME" w:eastAsia="hr-HR"/>
        </w:rPr>
        <w:t xml:space="preserve">ispitivanja bili su postindukcioni i posttransplantacioni stepeni odgovora (CR+nCR). Statistički značajna razlika CR+nCR uočena je u korist grupe sa bortezomibom u kombinaciji sa deksametazonom i talidomidom. Sekundarni parametri efikasnosti su uključivali preživljavanje bez progresije i ukupno preživljavanje. Glavni rezultati efikasnosti prikazani su u Tabeli 13. </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Cs/>
          <w:i/>
          <w:iCs/>
          <w:color w:val="000000"/>
          <w:sz w:val="22"/>
          <w:szCs w:val="22"/>
          <w:lang w:val="sr-Latn-ME" w:eastAsia="hr-HR"/>
        </w:rPr>
        <w:t>Tabela 13: Rezultati efikasnosti iz kliničkog ispitivanja MMY-3010</w:t>
      </w:r>
    </w:p>
    <w:tbl>
      <w:tblPr>
        <w:tblW w:w="5000" w:type="pct"/>
        <w:tblLook w:val="0000" w:firstRow="0" w:lastRow="0" w:firstColumn="0" w:lastColumn="0" w:noHBand="0" w:noVBand="0"/>
      </w:tblPr>
      <w:tblGrid>
        <w:gridCol w:w="2754"/>
        <w:gridCol w:w="1817"/>
        <w:gridCol w:w="1938"/>
        <w:gridCol w:w="2566"/>
      </w:tblGrid>
      <w:tr w:rsidR="0089768A" w:rsidRPr="00B90281" w:rsidTr="00EC23D1">
        <w:tc>
          <w:tcPr>
            <w:tcW w:w="1517"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Ciljevi</w:t>
            </w:r>
          </w:p>
        </w:tc>
        <w:tc>
          <w:tcPr>
            <w:tcW w:w="10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BtzTDx</w:t>
            </w:r>
          </w:p>
        </w:tc>
        <w:tc>
          <w:tcPr>
            <w:tcW w:w="1068"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TDx</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
                <w:bCs/>
                <w:color w:val="000000"/>
                <w:sz w:val="22"/>
                <w:szCs w:val="22"/>
                <w:lang w:val="sr-Latn-ME" w:eastAsia="hr-HR"/>
              </w:rPr>
              <w:t>OR; 95% CI; P vrijednost</w:t>
            </w:r>
            <w:r w:rsidRPr="00B90281">
              <w:rPr>
                <w:rFonts w:eastAsia="Microsoft YaHei"/>
                <w:b/>
                <w:bCs/>
                <w:color w:val="000000"/>
                <w:sz w:val="22"/>
                <w:szCs w:val="22"/>
                <w:vertAlign w:val="superscript"/>
                <w:lang w:val="sr-Latn-ME" w:eastAsia="hr-HR"/>
              </w:rPr>
              <w:t>a</w:t>
            </w:r>
          </w:p>
        </w:tc>
      </w:tr>
      <w:tr w:rsidR="0089768A" w:rsidRPr="00B90281" w:rsidTr="00EC23D1">
        <w:tc>
          <w:tcPr>
            <w:tcW w:w="1517"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MMY-3010</w:t>
            </w:r>
          </w:p>
        </w:tc>
        <w:tc>
          <w:tcPr>
            <w:tcW w:w="10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N=130</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(ITT populacija)</w:t>
            </w:r>
          </w:p>
        </w:tc>
        <w:tc>
          <w:tcPr>
            <w:tcW w:w="1068"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N=127</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(ITT populacija)</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snapToGrid w:val="0"/>
              <w:jc w:val="center"/>
              <w:rPr>
                <w:rFonts w:eastAsia="Microsoft YaHei"/>
                <w:bCs/>
                <w:color w:val="000000"/>
                <w:sz w:val="22"/>
                <w:szCs w:val="22"/>
                <w:lang w:val="sr-Latn-ME" w:eastAsia="hr-HR"/>
              </w:rPr>
            </w:pPr>
          </w:p>
        </w:tc>
      </w:tr>
      <w:tr w:rsidR="0089768A" w:rsidRPr="00B90281" w:rsidTr="00EC23D1">
        <w:tc>
          <w:tcPr>
            <w:tcW w:w="1517"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i/>
                <w:iCs/>
                <w:color w:val="000000"/>
                <w:sz w:val="22"/>
                <w:szCs w:val="22"/>
                <w:lang w:val="sr-Latn-ME" w:eastAsia="hr-HR"/>
              </w:rPr>
              <w:t>*RR (Postindukcijska)</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CR+nCR+PR % (95% CI)</w:t>
            </w:r>
          </w:p>
        </w:tc>
        <w:tc>
          <w:tcPr>
            <w:tcW w:w="1001"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49,2 (40,4; 58,1)</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84,6 (77,2; 90,3)</w:t>
            </w:r>
          </w:p>
        </w:tc>
        <w:tc>
          <w:tcPr>
            <w:tcW w:w="1068"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17,3 (11,2; 25,0)</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61,4 (52,4; 69,9)</w:t>
            </w:r>
          </w:p>
        </w:tc>
        <w:tc>
          <w:tcPr>
            <w:tcW w:w="1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4,63 (2,61; 8,22); &lt; 0,001</w:t>
            </w:r>
            <w:r w:rsidRPr="00B90281">
              <w:rPr>
                <w:rFonts w:eastAsia="Microsoft YaHei"/>
                <w:bCs/>
                <w:color w:val="000000"/>
                <w:sz w:val="22"/>
                <w:szCs w:val="22"/>
                <w:vertAlign w:val="superscript"/>
                <w:lang w:val="sr-Latn-ME" w:eastAsia="hr-HR"/>
              </w:rPr>
              <w:t>a</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3,46 (1,90; 6,27); &lt; 0,001</w:t>
            </w:r>
            <w:r w:rsidRPr="00B90281">
              <w:rPr>
                <w:rFonts w:eastAsia="Microsoft YaHei"/>
                <w:bCs/>
                <w:color w:val="000000"/>
                <w:sz w:val="22"/>
                <w:szCs w:val="22"/>
                <w:vertAlign w:val="superscript"/>
                <w:lang w:val="sr-Latn-ME" w:eastAsia="hr-HR"/>
              </w:rPr>
              <w:t>a</w:t>
            </w:r>
          </w:p>
        </w:tc>
      </w:tr>
      <w:tr w:rsidR="0089768A" w:rsidRPr="00B90281" w:rsidTr="00EC23D1">
        <w:tc>
          <w:tcPr>
            <w:tcW w:w="1517"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i/>
                <w:iCs/>
                <w:color w:val="000000"/>
                <w:sz w:val="22"/>
                <w:szCs w:val="22"/>
                <w:lang w:val="sr-Latn-ME" w:eastAsia="hr-HR"/>
              </w:rPr>
              <w:t>*RR (Posttransplantaciona)</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CR+nCR+PR % (95% CI)</w:t>
            </w:r>
          </w:p>
        </w:tc>
        <w:tc>
          <w:tcPr>
            <w:tcW w:w="1001"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55,4 (46,4; 64,1)</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77,7 (69,6; 84,5)</w:t>
            </w:r>
          </w:p>
        </w:tc>
        <w:tc>
          <w:tcPr>
            <w:tcW w:w="1068" w:type="pct"/>
            <w:tcBorders>
              <w:top w:val="single" w:sz="4" w:space="0" w:color="000000"/>
              <w:left w:val="single" w:sz="4" w:space="0" w:color="000000"/>
              <w:bottom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34,6 (26,4; 43,6)</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56,7 (47,6; 65,5)</w:t>
            </w:r>
          </w:p>
        </w:tc>
        <w:tc>
          <w:tcPr>
            <w:tcW w:w="1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8A" w:rsidRPr="00B90281" w:rsidRDefault="0089768A" w:rsidP="0089768A">
            <w:pPr>
              <w:suppressAutoHyphens/>
              <w:autoSpaceDE w:val="0"/>
              <w:jc w:val="center"/>
              <w:rPr>
                <w:rFonts w:eastAsia="Microsoft YaHei"/>
                <w:bCs/>
                <w:color w:val="000000"/>
                <w:sz w:val="22"/>
                <w:szCs w:val="22"/>
                <w:lang w:val="sr-Latn-ME" w:eastAsia="hr-HR"/>
              </w:rPr>
            </w:pP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2,34 (1,42; 3,87); 0,001</w:t>
            </w:r>
            <w:r w:rsidRPr="00B90281">
              <w:rPr>
                <w:rFonts w:eastAsia="Microsoft YaHei"/>
                <w:bCs/>
                <w:color w:val="000000"/>
                <w:sz w:val="22"/>
                <w:szCs w:val="22"/>
                <w:vertAlign w:val="superscript"/>
                <w:lang w:val="sr-Latn-ME" w:eastAsia="hr-HR"/>
              </w:rPr>
              <w:t>a</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2,66 (1,55; 4,57); &lt; 0,001</w:t>
            </w:r>
            <w:r w:rsidRPr="00B90281">
              <w:rPr>
                <w:rFonts w:eastAsia="Microsoft YaHei"/>
                <w:bCs/>
                <w:color w:val="000000"/>
                <w:sz w:val="22"/>
                <w:szCs w:val="22"/>
                <w:vertAlign w:val="superscript"/>
                <w:lang w:val="sr-Latn-ME" w:eastAsia="hr-HR"/>
              </w:rPr>
              <w:t>a</w:t>
            </w:r>
          </w:p>
        </w:tc>
      </w:tr>
    </w:tbl>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CI= interval pouzdanosti; CR=kompletni odgovor; nCR=blizu kompletnog odgovora; ITT=populacija pacijenata uključenih u ispitivanje; RR=stopa odgovora; Btz=bortezomib; BtzTDx=bortezomib, talidomid, deksametazon; TDx=talidomid, deksametazon; PR=parcijalni odgovor; OR=odnos izgleda;</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lang w:val="sr-Latn-ME" w:eastAsia="hr-HR"/>
        </w:rPr>
        <w:t>* Primarni cilj</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vertAlign w:val="superscript"/>
          <w:lang w:val="sr-Latn-ME" w:eastAsia="hr-HR"/>
        </w:rPr>
        <w:t>a</w:t>
      </w:r>
      <w:r w:rsidRPr="00D31597">
        <w:rPr>
          <w:rFonts w:eastAsia="Microsoft YaHei"/>
          <w:bCs/>
          <w:color w:val="000000"/>
          <w:sz w:val="20"/>
          <w:szCs w:val="22"/>
          <w:lang w:val="sr-Latn-ME" w:eastAsia="hr-HR"/>
        </w:rPr>
        <w:t xml:space="preserve"> OR se zasniva na Mantel-Haenszel-ovom testu prilagođenom za faktore stratifikacije; p-vrijednosti zasnovanoj na Cochran Mantel Haenszel-ovom testu.</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Napomena: OR &gt; 1 ukazuje na prednost za indukcionu terapiju koja sadrži Btz.</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u w:val="single"/>
          <w:lang w:val="sr-Latn-ME" w:eastAsia="hr-HR"/>
        </w:rPr>
      </w:pPr>
      <w:r w:rsidRPr="00B90281">
        <w:rPr>
          <w:rFonts w:eastAsia="Microsoft YaHei"/>
          <w:bCs/>
          <w:color w:val="000000"/>
          <w:sz w:val="22"/>
          <w:szCs w:val="22"/>
          <w:u w:val="single"/>
          <w:lang w:val="sr-Latn-ME" w:eastAsia="hr-HR"/>
        </w:rPr>
        <w:t>Klinička efikasnost kod pacijenata sa relapsom ili refraktornim multiplim mijelomom</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Bezbjednost i efikasnost primjene bortezomiba (primijenjenog intravenski) u preporučenoj dozi od 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procjenjivane su u 2 ispitivanja: randomiz</w:t>
      </w:r>
      <w:r w:rsidR="00C728AC" w:rsidRPr="00B90281">
        <w:rPr>
          <w:rFonts w:eastAsia="Microsoft YaHei"/>
          <w:bCs/>
          <w:color w:val="000000"/>
          <w:sz w:val="22"/>
          <w:szCs w:val="22"/>
          <w:lang w:val="sr-Latn-ME" w:eastAsia="hr-HR"/>
        </w:rPr>
        <w:t>ovanom</w:t>
      </w:r>
      <w:r w:rsidRPr="00B90281">
        <w:rPr>
          <w:rFonts w:eastAsia="Microsoft YaHei"/>
          <w:bCs/>
          <w:color w:val="000000"/>
          <w:sz w:val="22"/>
          <w:szCs w:val="22"/>
          <w:lang w:val="sr-Latn-ME" w:eastAsia="hr-HR"/>
        </w:rPr>
        <w:t>, komparativnom ispitivanju faze III (APEX), u odnosu na deksametazon (Dex), kod 669 pacijenata sa relapsom ili refraktornim multiplim mijelomom koji su prethodno primili 1-3 linije terapije, i studija faze II sa jednom grupom od 202 pacijenata sa relapsom i refraktornim multiplim mijelomom, koji su prethodno primili najmanje 2 linije terapije</w:t>
      </w:r>
      <w:r w:rsidR="00C728AC" w:rsidRPr="00B90281">
        <w:rPr>
          <w:rFonts w:eastAsia="Microsoft YaHei"/>
          <w:bCs/>
          <w:color w:val="000000"/>
          <w:sz w:val="22"/>
          <w:szCs w:val="22"/>
          <w:lang w:val="sr-Latn-ME" w:eastAsia="hr-HR"/>
        </w:rPr>
        <w:t xml:space="preserve"> i kod kojih je bolest </w:t>
      </w:r>
      <w:r w:rsidRPr="00B90281">
        <w:rPr>
          <w:rFonts w:eastAsia="Microsoft YaHei"/>
          <w:bCs/>
          <w:color w:val="000000"/>
          <w:sz w:val="22"/>
          <w:szCs w:val="22"/>
          <w:lang w:val="sr-Latn-ME" w:eastAsia="hr-HR"/>
        </w:rPr>
        <w:t>napredovala</w:t>
      </w:r>
      <w:r w:rsidR="00C728AC" w:rsidRPr="00B90281">
        <w:rPr>
          <w:rFonts w:eastAsia="Microsoft YaHei"/>
          <w:bCs/>
          <w:color w:val="000000"/>
          <w:sz w:val="22"/>
          <w:szCs w:val="22"/>
          <w:lang w:val="sr-Latn-ME" w:eastAsia="hr-HR"/>
        </w:rPr>
        <w:t xml:space="preserve"> </w:t>
      </w:r>
      <w:r w:rsidR="00292AA9" w:rsidRPr="00B90281">
        <w:rPr>
          <w:rFonts w:eastAsia="Microsoft YaHei"/>
          <w:bCs/>
          <w:color w:val="000000"/>
          <w:sz w:val="22"/>
          <w:szCs w:val="22"/>
          <w:lang w:val="sr-Latn-ME" w:eastAsia="hr-HR"/>
        </w:rPr>
        <w:t>z</w:t>
      </w:r>
      <w:r w:rsidR="00C728AC" w:rsidRPr="00B90281">
        <w:rPr>
          <w:rFonts w:eastAsia="Microsoft YaHei"/>
          <w:bCs/>
          <w:color w:val="000000"/>
          <w:sz w:val="22"/>
          <w:szCs w:val="22"/>
          <w:lang w:val="sr-Latn-ME" w:eastAsia="hr-HR"/>
        </w:rPr>
        <w:t>a vrijeme posljednje terapije</w:t>
      </w:r>
      <w:r w:rsidRPr="00B90281">
        <w:rPr>
          <w:rFonts w:eastAsia="Microsoft YaHei"/>
          <w:bCs/>
          <w:color w:val="000000"/>
          <w:sz w:val="22"/>
          <w:szCs w:val="22"/>
          <w:lang w:val="sr-Latn-ME" w:eastAsia="hr-HR"/>
        </w:rPr>
        <w:t>.</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studiji faze III, terapija bortezomibom značajno je produžila vrijeme do progresije bolesti i dovela do značajnog produženja preživljavanja i značajno većeg stepena odgovora u poređenju s</w:t>
      </w:r>
      <w:r w:rsidR="00A76F65" w:rsidRPr="00B90281">
        <w:rPr>
          <w:rFonts w:eastAsia="Microsoft YaHei"/>
          <w:bCs/>
          <w:color w:val="000000"/>
          <w:sz w:val="22"/>
          <w:szCs w:val="22"/>
          <w:lang w:val="sr-Latn-ME" w:eastAsia="hr-HR"/>
        </w:rPr>
        <w:t>a</w:t>
      </w:r>
      <w:r w:rsidRPr="00B90281">
        <w:rPr>
          <w:rFonts w:eastAsia="Microsoft YaHei"/>
          <w:bCs/>
          <w:color w:val="000000"/>
          <w:sz w:val="22"/>
          <w:szCs w:val="22"/>
          <w:lang w:val="sr-Latn-ME" w:eastAsia="hr-HR"/>
        </w:rPr>
        <w:t xml:space="preserve"> liječenjem deksametazonom (vidjeti Tabelu 14) i to kod svih pacijenata, kao i kod pacijenata koji su prethodno primili jednu liniju terapije. Kao rezultat unaprijed planirane privremene analize, u grupi koja je primala deksametazon je liječenje zaustavljeno po preporuci radne grupe koja je pratila ispitivanja, i svim je pacijentima nakon toga ponuđeno liječenje bortezomibom bez obzira na stanje bolesti. Zbog ovog ranog prelaska na drugi lijek, medijana trajanja praćenja preživjelih pacijenta iznosila je 8,3 mjeseca. I kod pacijenata koji su bili refraktorni na zadnje prethodno liječenje i onih koji ni</w:t>
      </w:r>
      <w:r w:rsidR="00A76F65" w:rsidRPr="00B90281">
        <w:rPr>
          <w:rFonts w:eastAsia="Microsoft YaHei"/>
          <w:bCs/>
          <w:color w:val="000000"/>
          <w:sz w:val="22"/>
          <w:szCs w:val="22"/>
          <w:lang w:val="sr-Latn-ME" w:eastAsia="hr-HR"/>
        </w:rPr>
        <w:t>je</w:t>
      </w:r>
      <w:r w:rsidRPr="00B90281">
        <w:rPr>
          <w:rFonts w:eastAsia="Microsoft YaHei"/>
          <w:bCs/>
          <w:color w:val="000000"/>
          <w:sz w:val="22"/>
          <w:szCs w:val="22"/>
          <w:lang w:val="sr-Latn-ME" w:eastAsia="hr-HR"/>
        </w:rPr>
        <w:t>su bili refraktorni, ukupno preživljavanje bilo je značajno duže</w:t>
      </w:r>
      <w:r w:rsidR="00A76F65" w:rsidRPr="00B90281">
        <w:rPr>
          <w:rFonts w:eastAsia="Microsoft YaHei"/>
          <w:bCs/>
          <w:color w:val="000000"/>
          <w:sz w:val="22"/>
          <w:szCs w:val="22"/>
          <w:lang w:val="sr-Latn-ME" w:eastAsia="hr-HR"/>
        </w:rPr>
        <w:t xml:space="preserve"> i stopa</w:t>
      </w:r>
      <w:r w:rsidRPr="00B90281">
        <w:rPr>
          <w:rFonts w:eastAsia="Microsoft YaHei"/>
          <w:bCs/>
          <w:color w:val="000000"/>
          <w:sz w:val="22"/>
          <w:szCs w:val="22"/>
          <w:lang w:val="sr-Latn-ME" w:eastAsia="hr-HR"/>
        </w:rPr>
        <w:t xml:space="preserve"> odgovora bi</w:t>
      </w:r>
      <w:r w:rsidR="00A76F65" w:rsidRPr="00B90281">
        <w:rPr>
          <w:rFonts w:eastAsia="Microsoft YaHei"/>
          <w:bCs/>
          <w:color w:val="000000"/>
          <w:sz w:val="22"/>
          <w:szCs w:val="22"/>
          <w:lang w:val="sr-Latn-ME" w:eastAsia="hr-HR"/>
        </w:rPr>
        <w:t>la</w:t>
      </w:r>
      <w:r w:rsidRPr="00B90281">
        <w:rPr>
          <w:rFonts w:eastAsia="Microsoft YaHei"/>
          <w:bCs/>
          <w:color w:val="000000"/>
          <w:sz w:val="22"/>
          <w:szCs w:val="22"/>
          <w:lang w:val="sr-Latn-ME" w:eastAsia="hr-HR"/>
        </w:rPr>
        <w:t xml:space="preserve"> je značajno ve</w:t>
      </w:r>
      <w:r w:rsidR="00A76F65" w:rsidRPr="00B90281">
        <w:rPr>
          <w:rFonts w:eastAsia="Microsoft YaHei"/>
          <w:bCs/>
          <w:color w:val="000000"/>
          <w:sz w:val="22"/>
          <w:szCs w:val="22"/>
          <w:lang w:val="sr-Latn-ME" w:eastAsia="hr-HR"/>
        </w:rPr>
        <w:t>ša</w:t>
      </w:r>
      <w:r w:rsidRPr="00B90281">
        <w:rPr>
          <w:rFonts w:eastAsia="Microsoft YaHei"/>
          <w:bCs/>
          <w:color w:val="000000"/>
          <w:sz w:val="22"/>
          <w:szCs w:val="22"/>
          <w:lang w:val="sr-Latn-ME" w:eastAsia="hr-HR"/>
        </w:rPr>
        <w:t xml:space="preserve"> u grupi koja je primala bortezomib.</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Od 669 uključenih pacijenata, 245 (37%) bili su stari 65 godina ili više. Parametri odgovora kao i TTP ostali su značajno bolji u grupi koja je primala bortezomib nezavisno od starosti. Bez obzira na nivoe ß2-mikroglobulina na početku ispitivanja, svi parametri efikasnosti (vrijeme do progresije i ukupno preživljavanje, kao i stopa odgovora) bili su značajno bolji u grupi koja je primala bortezomib.</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populaciji sa refraktornom bolešću u ispitivanju faze II, odgovor je procjenjivao nezavisni odbor, a kriterijumi za odgovor su preuzeti od Evropske grupe za transplantaciju kostne srži (</w:t>
      </w:r>
      <w:r w:rsidRPr="00B90281">
        <w:rPr>
          <w:rFonts w:eastAsia="Microsoft YaHei"/>
          <w:bCs/>
          <w:i/>
          <w:color w:val="000000"/>
          <w:sz w:val="22"/>
          <w:szCs w:val="22"/>
          <w:lang w:val="sr-Latn-ME" w:eastAsia="hr-HR"/>
        </w:rPr>
        <w:t>European Bone Marrow Transplant Group</w:t>
      </w:r>
      <w:r w:rsidRPr="00B90281">
        <w:rPr>
          <w:rFonts w:eastAsia="Microsoft YaHei"/>
          <w:bCs/>
          <w:color w:val="000000"/>
          <w:sz w:val="22"/>
          <w:szCs w:val="22"/>
          <w:lang w:val="sr-Latn-ME" w:eastAsia="hr-HR"/>
        </w:rPr>
        <w:t xml:space="preserve">). Medijana preživljavanja svih uključenih pacijenata je bila 17 mjeseci (raspon &lt;1 do 36+ mjeseci). Ovo preživljavanje je bilo veće od prosječnog preživljavanja od šest do devet mjeseci koje su predvidjeli konsultanti-klinički istraživači za sličnu populaciju pacijenata. Prema rezultatima multivarijantne analize, stopa odgovora nije zavisila od vrste mijeloma, opšteg stanja pacijenata, statusa delecije hromozoma 13, kao ni broja i vrste prethodnih liječenja. Pacijenti koji su </w:t>
      </w:r>
      <w:r w:rsidRPr="00B90281">
        <w:rPr>
          <w:rFonts w:eastAsia="Microsoft YaHei"/>
          <w:bCs/>
          <w:color w:val="000000"/>
          <w:sz w:val="22"/>
          <w:szCs w:val="22"/>
          <w:lang w:val="sr-Latn-ME" w:eastAsia="hr-HR"/>
        </w:rPr>
        <w:lastRenderedPageBreak/>
        <w:t>prethodno primili 2 do 3 linije terapije imali su stopu odgovora od 32% (10/32), a pacijenti koji su prethodno primili više od 7 terapijskih linija imali su stopu odgovora od 31% (21/67).</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i/>
          <w:iCs/>
          <w:color w:val="000000"/>
          <w:sz w:val="22"/>
          <w:szCs w:val="22"/>
          <w:lang w:val="sr-Latn-ME" w:eastAsia="hr-HR"/>
        </w:rPr>
        <w:t>Tabela 14: Sažetak ishoda bolesti u ispitivanjima faze III (APEX) i faze II</w:t>
      </w:r>
    </w:p>
    <w:tbl>
      <w:tblPr>
        <w:tblW w:w="5000" w:type="pct"/>
        <w:tblLook w:val="0000" w:firstRow="0" w:lastRow="0" w:firstColumn="0" w:lastColumn="0" w:noHBand="0" w:noVBand="0"/>
      </w:tblPr>
      <w:tblGrid>
        <w:gridCol w:w="1897"/>
        <w:gridCol w:w="998"/>
        <w:gridCol w:w="1000"/>
        <w:gridCol w:w="998"/>
        <w:gridCol w:w="1000"/>
        <w:gridCol w:w="1068"/>
        <w:gridCol w:w="932"/>
        <w:gridCol w:w="1182"/>
      </w:tblGrid>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snapToGrid w:val="0"/>
              <w:rPr>
                <w:rFonts w:eastAsia="Microsoft YaHei"/>
                <w:bCs/>
                <w:color w:val="000000"/>
                <w:sz w:val="22"/>
                <w:szCs w:val="22"/>
                <w:lang w:val="sr-Latn-ME" w:eastAsia="hr-HR"/>
              </w:rPr>
            </w:pPr>
          </w:p>
        </w:tc>
        <w:tc>
          <w:tcPr>
            <w:tcW w:w="1127"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Faza III</w:t>
            </w:r>
          </w:p>
        </w:tc>
        <w:tc>
          <w:tcPr>
            <w:tcW w:w="1127"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Faza III</w:t>
            </w:r>
          </w:p>
        </w:tc>
        <w:tc>
          <w:tcPr>
            <w:tcW w:w="1127"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Faza III</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b/>
                <w:sz w:val="22"/>
                <w:szCs w:val="22"/>
                <w:lang w:val="sr-Latn-ME" w:eastAsia="zh-CN"/>
              </w:rPr>
            </w:pPr>
            <w:r w:rsidRPr="00B90281">
              <w:rPr>
                <w:rFonts w:eastAsia="Microsoft YaHei"/>
                <w:b/>
                <w:bCs/>
                <w:color w:val="000000"/>
                <w:sz w:val="22"/>
                <w:szCs w:val="22"/>
                <w:lang w:val="sr-Latn-ME" w:eastAsia="hr-HR"/>
              </w:rPr>
              <w:t>Faza II</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snapToGrid w:val="0"/>
              <w:jc w:val="center"/>
              <w:rPr>
                <w:rFonts w:eastAsia="Microsoft YaHei"/>
                <w:bCs/>
                <w:color w:val="000000"/>
                <w:sz w:val="22"/>
                <w:szCs w:val="22"/>
                <w:lang w:val="sr-Latn-ME" w:eastAsia="hr-HR"/>
              </w:rPr>
            </w:pPr>
          </w:p>
        </w:tc>
        <w:tc>
          <w:tcPr>
            <w:tcW w:w="1127"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Svi pacijenti</w:t>
            </w:r>
          </w:p>
        </w:tc>
        <w:tc>
          <w:tcPr>
            <w:tcW w:w="1127"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1 linija prethodnog</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liječenja</w:t>
            </w:r>
          </w:p>
        </w:tc>
        <w:tc>
          <w:tcPr>
            <w:tcW w:w="1127" w:type="pct"/>
            <w:gridSpan w:val="2"/>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&gt; 1 linije prethodnog</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liječenja</w:t>
            </w:r>
          </w:p>
          <w:p w:rsidR="0089768A" w:rsidRPr="00B90281" w:rsidRDefault="0089768A" w:rsidP="0089768A">
            <w:pPr>
              <w:suppressAutoHyphens/>
              <w:autoSpaceDE w:val="0"/>
              <w:jc w:val="center"/>
              <w:rPr>
                <w:rFonts w:eastAsia="Microsoft YaHei"/>
                <w:b/>
                <w:bCs/>
                <w:color w:val="000000"/>
                <w:sz w:val="22"/>
                <w:szCs w:val="22"/>
                <w:lang w:val="sr-Latn-ME" w:eastAsia="hr-HR"/>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Liberation Sans"/>
                <w:b/>
                <w:bCs/>
                <w:color w:val="000000"/>
                <w:sz w:val="22"/>
                <w:szCs w:val="22"/>
                <w:lang w:val="sr-Latn-ME" w:eastAsia="hr-HR"/>
              </w:rPr>
              <w:t xml:space="preserve">≥ </w:t>
            </w:r>
            <w:r w:rsidRPr="00B90281">
              <w:rPr>
                <w:rFonts w:eastAsia="Microsoft YaHei"/>
                <w:b/>
                <w:bCs/>
                <w:color w:val="000000"/>
                <w:sz w:val="22"/>
                <w:szCs w:val="22"/>
                <w:lang w:val="sr-Latn-ME" w:eastAsia="hr-HR"/>
              </w:rPr>
              <w:t>2</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prethodne</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linije</w:t>
            </w:r>
          </w:p>
          <w:p w:rsidR="0089768A" w:rsidRPr="00B90281" w:rsidRDefault="0089768A" w:rsidP="0089768A">
            <w:pPr>
              <w:suppressAutoHyphens/>
              <w:autoSpaceDE w:val="0"/>
              <w:jc w:val="center"/>
              <w:rPr>
                <w:rFonts w:eastAsia="Microsoft YaHei"/>
                <w:b/>
                <w:bCs/>
                <w:color w:val="000000"/>
                <w:sz w:val="22"/>
                <w:szCs w:val="22"/>
                <w:lang w:val="sr-Latn-ME" w:eastAsia="hr-HR"/>
              </w:rPr>
            </w:pP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Odnos događaja</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i vremena</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n=333</w:t>
            </w:r>
            <w:r w:rsidRPr="00B90281">
              <w:rPr>
                <w:rFonts w:eastAsia="Microsoft YaHei"/>
                <w:b/>
                <w:bCs/>
                <w:color w:val="000000"/>
                <w:sz w:val="22"/>
                <w:szCs w:val="22"/>
                <w:vertAlign w:val="superscript"/>
                <w:lang w:val="sr-Latn-ME" w:eastAsia="hr-HR"/>
              </w:rPr>
              <w:t>a</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Dex</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n=336</w:t>
            </w:r>
            <w:r w:rsidRPr="00B90281">
              <w:rPr>
                <w:rFonts w:eastAsia="Microsoft YaHei"/>
                <w:b/>
                <w:bCs/>
                <w:color w:val="000000"/>
                <w:sz w:val="22"/>
                <w:szCs w:val="22"/>
                <w:vertAlign w:val="superscript"/>
                <w:lang w:val="sr-Latn-ME" w:eastAsia="hr-HR"/>
              </w:rPr>
              <w:t>a</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n=132</w:t>
            </w:r>
            <w:r w:rsidRPr="00B90281">
              <w:rPr>
                <w:rFonts w:eastAsia="Microsoft YaHei"/>
                <w:b/>
                <w:bCs/>
                <w:color w:val="000000"/>
                <w:sz w:val="22"/>
                <w:szCs w:val="22"/>
                <w:vertAlign w:val="superscript"/>
                <w:lang w:val="sr-Latn-ME" w:eastAsia="hr-HR"/>
              </w:rPr>
              <w:t>a</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Dex</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n=119</w:t>
            </w:r>
            <w:r w:rsidRPr="00B90281">
              <w:rPr>
                <w:rFonts w:eastAsia="Microsoft YaHei"/>
                <w:b/>
                <w:bCs/>
                <w:color w:val="000000"/>
                <w:sz w:val="22"/>
                <w:szCs w:val="22"/>
                <w:vertAlign w:val="superscript"/>
                <w:lang w:val="sr-Latn-ME" w:eastAsia="hr-HR"/>
              </w:rPr>
              <w:t>a</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n=200</w:t>
            </w:r>
            <w:r w:rsidRPr="00B90281">
              <w:rPr>
                <w:rFonts w:eastAsia="Microsoft YaHei"/>
                <w:b/>
                <w:bCs/>
                <w:color w:val="000000"/>
                <w:sz w:val="22"/>
                <w:szCs w:val="22"/>
                <w:vertAlign w:val="superscript"/>
                <w:lang w:val="sr-Latn-ME" w:eastAsia="hr-HR"/>
              </w:rPr>
              <w:t>a</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Dex</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n=217</w:t>
            </w:r>
            <w:r w:rsidRPr="00B90281">
              <w:rPr>
                <w:rFonts w:eastAsia="Microsoft YaHei"/>
                <w:b/>
                <w:bCs/>
                <w:color w:val="000000"/>
                <w:sz w:val="22"/>
                <w:szCs w:val="22"/>
                <w:vertAlign w:val="superscript"/>
                <w:lang w:val="sr-Latn-ME" w:eastAsia="hr-HR"/>
              </w:rPr>
              <w:t>a</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
                <w:bCs/>
                <w:color w:val="000000"/>
                <w:sz w:val="22"/>
                <w:szCs w:val="22"/>
                <w:lang w:val="sr-Latn-ME" w:eastAsia="hr-HR"/>
              </w:rPr>
              <w:t>n=202</w:t>
            </w:r>
            <w:r w:rsidRPr="00B90281">
              <w:rPr>
                <w:rFonts w:eastAsia="Microsoft YaHei"/>
                <w:b/>
                <w:bCs/>
                <w:color w:val="000000"/>
                <w:sz w:val="22"/>
                <w:szCs w:val="22"/>
                <w:vertAlign w:val="superscript"/>
                <w:lang w:val="sr-Latn-ME" w:eastAsia="hr-HR"/>
              </w:rPr>
              <w:t>a</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TTP, dani</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189</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[148, 211]</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106</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 [86, 128]</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212</w:t>
            </w:r>
            <w:r w:rsidRPr="00B90281">
              <w:rPr>
                <w:rFonts w:eastAsia="Microsoft YaHei"/>
                <w:bCs/>
                <w:color w:val="000000"/>
                <w:sz w:val="22"/>
                <w:szCs w:val="22"/>
                <w:vertAlign w:val="superscript"/>
                <w:lang w:val="sr-Latn-ME" w:eastAsia="hr-HR"/>
              </w:rPr>
              <w:t>d</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[188, 267]</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169</w:t>
            </w:r>
            <w:r w:rsidRPr="00B90281">
              <w:rPr>
                <w:rFonts w:eastAsia="Microsoft YaHei"/>
                <w:bCs/>
                <w:color w:val="000000"/>
                <w:sz w:val="22"/>
                <w:szCs w:val="22"/>
                <w:vertAlign w:val="superscript"/>
                <w:lang w:val="sr-Latn-ME" w:eastAsia="hr-HR"/>
              </w:rPr>
              <w:t>d</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[105, 191]</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148</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[129, 192]</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87</w:t>
            </w:r>
            <w:r w:rsidRPr="00B90281">
              <w:rPr>
                <w:rFonts w:eastAsia="Microsoft YaHei"/>
                <w:bCs/>
                <w:color w:val="000000"/>
                <w:sz w:val="22"/>
                <w:szCs w:val="22"/>
                <w:vertAlign w:val="superscript"/>
                <w:lang w:val="sr-Latn-ME" w:eastAsia="hr-HR"/>
              </w:rPr>
              <w:t>b</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[84, 107]</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210</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[154, 281]</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 godina</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preživljavanja, %</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[95% CI]</w:t>
            </w:r>
          </w:p>
        </w:tc>
        <w:tc>
          <w:tcPr>
            <w:tcW w:w="563" w:type="pct"/>
            <w:tcBorders>
              <w:top w:val="single" w:sz="4" w:space="0" w:color="000000"/>
              <w:left w:val="single" w:sz="4" w:space="0" w:color="000000"/>
              <w:bottom w:val="single" w:sz="4" w:space="0" w:color="000000"/>
            </w:tcBorders>
            <w:shd w:val="clear" w:color="auto" w:fill="auto"/>
            <w:vAlign w:val="bottom"/>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80</w:t>
            </w:r>
            <w:r w:rsidRPr="00B90281">
              <w:rPr>
                <w:rFonts w:eastAsia="Microsoft YaHei"/>
                <w:bCs/>
                <w:color w:val="000000"/>
                <w:sz w:val="22"/>
                <w:szCs w:val="22"/>
                <w:vertAlign w:val="superscript"/>
                <w:lang w:val="sr-Latn-ME" w:eastAsia="hr-HR"/>
              </w:rPr>
              <w:t>d</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[74,85]</w:t>
            </w:r>
          </w:p>
        </w:tc>
        <w:tc>
          <w:tcPr>
            <w:tcW w:w="563" w:type="pct"/>
            <w:tcBorders>
              <w:top w:val="single" w:sz="4" w:space="0" w:color="000000"/>
              <w:left w:val="single" w:sz="4" w:space="0" w:color="000000"/>
              <w:bottom w:val="single" w:sz="4" w:space="0" w:color="000000"/>
            </w:tcBorders>
            <w:shd w:val="clear" w:color="auto" w:fill="auto"/>
            <w:vAlign w:val="bottom"/>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66</w:t>
            </w:r>
            <w:r w:rsidRPr="00B90281">
              <w:rPr>
                <w:rFonts w:eastAsia="Microsoft YaHei"/>
                <w:bCs/>
                <w:color w:val="000000"/>
                <w:sz w:val="22"/>
                <w:szCs w:val="22"/>
                <w:vertAlign w:val="superscript"/>
                <w:lang w:val="sr-Latn-ME" w:eastAsia="hr-HR"/>
              </w:rPr>
              <w:t>d</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[59,72]</w:t>
            </w:r>
          </w:p>
        </w:tc>
        <w:tc>
          <w:tcPr>
            <w:tcW w:w="563" w:type="pct"/>
            <w:tcBorders>
              <w:top w:val="single" w:sz="4" w:space="0" w:color="000000"/>
              <w:left w:val="single" w:sz="4" w:space="0" w:color="000000"/>
              <w:bottom w:val="single" w:sz="4" w:space="0" w:color="000000"/>
            </w:tcBorders>
            <w:shd w:val="clear" w:color="auto" w:fill="auto"/>
            <w:vAlign w:val="bottom"/>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89</w:t>
            </w:r>
            <w:r w:rsidRPr="00B90281">
              <w:rPr>
                <w:rFonts w:eastAsia="Microsoft YaHei"/>
                <w:bCs/>
                <w:color w:val="000000"/>
                <w:sz w:val="22"/>
                <w:szCs w:val="22"/>
                <w:vertAlign w:val="superscript"/>
                <w:lang w:val="sr-Latn-ME" w:eastAsia="hr-HR"/>
              </w:rPr>
              <w:t>d</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[82,95]</w:t>
            </w:r>
          </w:p>
        </w:tc>
        <w:tc>
          <w:tcPr>
            <w:tcW w:w="563" w:type="pct"/>
            <w:tcBorders>
              <w:top w:val="single" w:sz="4" w:space="0" w:color="000000"/>
              <w:left w:val="single" w:sz="4" w:space="0" w:color="000000"/>
              <w:bottom w:val="single" w:sz="4" w:space="0" w:color="000000"/>
            </w:tcBorders>
            <w:shd w:val="clear" w:color="auto" w:fill="auto"/>
            <w:vAlign w:val="bottom"/>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72</w:t>
            </w:r>
            <w:r w:rsidRPr="00B90281">
              <w:rPr>
                <w:rFonts w:eastAsia="Microsoft YaHei"/>
                <w:bCs/>
                <w:color w:val="000000"/>
                <w:sz w:val="22"/>
                <w:szCs w:val="22"/>
                <w:vertAlign w:val="superscript"/>
                <w:lang w:val="sr-Latn-ME" w:eastAsia="hr-HR"/>
              </w:rPr>
              <w:t>d</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[62,83]</w:t>
            </w:r>
          </w:p>
        </w:tc>
        <w:tc>
          <w:tcPr>
            <w:tcW w:w="601" w:type="pct"/>
            <w:tcBorders>
              <w:top w:val="single" w:sz="4" w:space="0" w:color="000000"/>
              <w:left w:val="single" w:sz="4" w:space="0" w:color="000000"/>
              <w:bottom w:val="single" w:sz="4" w:space="0" w:color="000000"/>
            </w:tcBorders>
            <w:shd w:val="clear" w:color="auto" w:fill="auto"/>
            <w:vAlign w:val="bottom"/>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73</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[64,82]</w:t>
            </w:r>
          </w:p>
        </w:tc>
        <w:tc>
          <w:tcPr>
            <w:tcW w:w="526" w:type="pct"/>
            <w:tcBorders>
              <w:top w:val="single" w:sz="4" w:space="0" w:color="000000"/>
              <w:left w:val="single" w:sz="4" w:space="0" w:color="000000"/>
              <w:bottom w:val="single" w:sz="4" w:space="0" w:color="000000"/>
            </w:tcBorders>
            <w:shd w:val="clear" w:color="auto" w:fill="auto"/>
            <w:vAlign w:val="bottom"/>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62</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[53,71]</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9768A" w:rsidRPr="00B90281" w:rsidRDefault="003F5A87" w:rsidP="003F5A87">
            <w:pPr>
              <w:suppressAutoHyphens/>
              <w:autoSpaceDE w:val="0"/>
              <w:rPr>
                <w:rFonts w:eastAsia="Mangal"/>
                <w:sz w:val="22"/>
                <w:szCs w:val="22"/>
                <w:lang w:val="sr-Latn-ME" w:eastAsia="zh-CN"/>
              </w:rPr>
            </w:pPr>
            <w:r w:rsidRPr="00B90281">
              <w:rPr>
                <w:rFonts w:eastAsia="Microsoft YaHei"/>
                <w:bCs/>
                <w:color w:val="000000"/>
                <w:sz w:val="22"/>
                <w:szCs w:val="22"/>
                <w:lang w:val="sr-Latn-ME" w:eastAsia="hr-HR"/>
              </w:rPr>
              <w:t xml:space="preserve">      </w:t>
            </w:r>
            <w:r w:rsidR="0089768A" w:rsidRPr="00B90281">
              <w:rPr>
                <w:rFonts w:eastAsia="Microsoft YaHei"/>
                <w:bCs/>
                <w:color w:val="000000"/>
                <w:sz w:val="22"/>
                <w:szCs w:val="22"/>
                <w:lang w:val="sr-Latn-ME" w:eastAsia="hr-HR"/>
              </w:rPr>
              <w:t>60</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Najbolji odgovor</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n=315</w:t>
            </w:r>
            <w:r w:rsidRPr="00B90281">
              <w:rPr>
                <w:rFonts w:eastAsia="Microsoft YaHei"/>
                <w:b/>
                <w:bCs/>
                <w:color w:val="000000"/>
                <w:sz w:val="22"/>
                <w:szCs w:val="22"/>
                <w:vertAlign w:val="superscript"/>
                <w:lang w:val="sr-Latn-ME" w:eastAsia="hr-HR"/>
              </w:rPr>
              <w:t>c</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Dex</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n=312</w:t>
            </w:r>
            <w:r w:rsidRPr="00B90281">
              <w:rPr>
                <w:rFonts w:eastAsia="Microsoft YaHei"/>
                <w:b/>
                <w:bCs/>
                <w:color w:val="000000"/>
                <w:sz w:val="22"/>
                <w:szCs w:val="22"/>
                <w:vertAlign w:val="superscript"/>
                <w:lang w:val="sr-Latn-ME" w:eastAsia="hr-HR"/>
              </w:rPr>
              <w:t>c</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n=128</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Dex</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n=110</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n=187</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Dex</w:t>
            </w:r>
          </w:p>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n=202</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Btz</w:t>
            </w:r>
          </w:p>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
                <w:bCs/>
                <w:color w:val="000000"/>
                <w:sz w:val="22"/>
                <w:szCs w:val="22"/>
                <w:lang w:val="sr-Latn-ME" w:eastAsia="hr-HR"/>
              </w:rPr>
              <w:t>n=193</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CR</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20 (6)</w:t>
            </w:r>
            <w:r w:rsidRPr="00B90281">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 (&lt;1)</w:t>
            </w:r>
            <w:r w:rsidRPr="00B90281">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8 (6)</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 (2)</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12 (6)</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0 (0)</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(4)**</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CR+nCR</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41 (13)</w:t>
            </w:r>
            <w:r w:rsidRPr="00B90281">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 (2)</w:t>
            </w:r>
            <w:r w:rsidRPr="00B90281">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16 (13)</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 (4)</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25 (13)</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 (&lt; 1)</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(10)**</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CR+nCR+PR</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121 (38)</w:t>
            </w:r>
            <w:r w:rsidRPr="00B90281">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56 (18)</w:t>
            </w:r>
            <w:r w:rsidRPr="00B90281">
              <w:rPr>
                <w:rFonts w:eastAsia="Microsoft YaHei"/>
                <w:bCs/>
                <w:color w:val="000000"/>
                <w:sz w:val="22"/>
                <w:szCs w:val="22"/>
                <w:vertAlign w:val="superscript"/>
                <w:lang w:val="sr-Latn-ME" w:eastAsia="hr-HR"/>
              </w:rPr>
              <w:t>b</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57 (45)</w:t>
            </w:r>
            <w:r w:rsidRPr="00B90281">
              <w:rPr>
                <w:rFonts w:eastAsia="Microsoft YaHei"/>
                <w:bCs/>
                <w:color w:val="000000"/>
                <w:sz w:val="22"/>
                <w:szCs w:val="22"/>
                <w:vertAlign w:val="superscript"/>
                <w:lang w:val="sr-Latn-ME" w:eastAsia="hr-HR"/>
              </w:rPr>
              <w:t>d</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29 (26)</w:t>
            </w:r>
            <w:r w:rsidRPr="00B90281">
              <w:rPr>
                <w:rFonts w:eastAsia="Microsoft YaHei"/>
                <w:bCs/>
                <w:color w:val="000000"/>
                <w:sz w:val="22"/>
                <w:szCs w:val="22"/>
                <w:vertAlign w:val="superscript"/>
                <w:lang w:val="sr-Latn-ME" w:eastAsia="hr-HR"/>
              </w:rPr>
              <w:t>d</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64 (34)</w:t>
            </w:r>
            <w:r w:rsidRPr="00B90281">
              <w:rPr>
                <w:rFonts w:eastAsia="Microsoft YaHei"/>
                <w:bCs/>
                <w:color w:val="000000"/>
                <w:sz w:val="22"/>
                <w:szCs w:val="22"/>
                <w:vertAlign w:val="superscript"/>
                <w:lang w:val="sr-Latn-ME" w:eastAsia="hr-HR"/>
              </w:rPr>
              <w:t>b</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27 (13)</w:t>
            </w:r>
            <w:r w:rsidRPr="00B90281">
              <w:rPr>
                <w:rFonts w:eastAsia="Microsoft YaHei"/>
                <w:bCs/>
                <w:color w:val="000000"/>
                <w:sz w:val="22"/>
                <w:szCs w:val="22"/>
                <w:vertAlign w:val="superscript"/>
                <w:lang w:val="sr-Latn-ME" w:eastAsia="hr-HR"/>
              </w:rPr>
              <w:t>b</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(27)**</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CR+nCR+PR+MR</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146 (46)</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108 (35)</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66 (52)</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45 (41)</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80 (43)</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63 (31)</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(35)**</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
                <w:bCs/>
                <w:color w:val="000000"/>
                <w:sz w:val="22"/>
                <w:szCs w:val="22"/>
                <w:lang w:val="sr-Latn-ME" w:eastAsia="hr-HR"/>
              </w:rPr>
              <w:t>Prosječno trajanje odgovora</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dani (mjeseci)</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242 (8,0)</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169</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(5,6)</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246 (8,1)</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189 (6,2)</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238 (7,8)</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126</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(4,1)</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385*</w:t>
            </w:r>
          </w:p>
        </w:tc>
      </w:tr>
      <w:tr w:rsidR="0089768A" w:rsidRPr="00B90281" w:rsidTr="00FC692B">
        <w:tc>
          <w:tcPr>
            <w:tcW w:w="98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
                <w:bCs/>
                <w:color w:val="000000"/>
                <w:sz w:val="22"/>
                <w:szCs w:val="22"/>
                <w:lang w:val="sr-Latn-ME" w:eastAsia="hr-HR"/>
              </w:rPr>
              <w:t>Vrijeme do odgovora</w:t>
            </w:r>
          </w:p>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CR+PR (dani)</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43</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43</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44</w:t>
            </w:r>
          </w:p>
        </w:tc>
        <w:tc>
          <w:tcPr>
            <w:tcW w:w="563"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46</w:t>
            </w:r>
          </w:p>
        </w:tc>
        <w:tc>
          <w:tcPr>
            <w:tcW w:w="601"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41</w:t>
            </w:r>
          </w:p>
        </w:tc>
        <w:tc>
          <w:tcPr>
            <w:tcW w:w="526" w:type="pct"/>
            <w:tcBorders>
              <w:top w:val="single" w:sz="4" w:space="0" w:color="000000"/>
              <w:left w:val="single" w:sz="4" w:space="0" w:color="000000"/>
              <w:bottom w:val="single" w:sz="4" w:space="0" w:color="000000"/>
            </w:tcBorders>
            <w:shd w:val="clear" w:color="auto" w:fill="auto"/>
          </w:tcPr>
          <w:p w:rsidR="0089768A" w:rsidRPr="00B90281" w:rsidRDefault="0089768A" w:rsidP="0089768A">
            <w:pPr>
              <w:suppressAutoHyphens/>
              <w:autoSpaceDE w:val="0"/>
              <w:jc w:val="center"/>
              <w:rPr>
                <w:rFonts w:eastAsia="Microsoft YaHei"/>
                <w:bCs/>
                <w:color w:val="000000"/>
                <w:sz w:val="22"/>
                <w:szCs w:val="22"/>
                <w:lang w:val="sr-Latn-ME" w:eastAsia="hr-HR"/>
              </w:rPr>
            </w:pPr>
            <w:r w:rsidRPr="00B90281">
              <w:rPr>
                <w:rFonts w:eastAsia="Microsoft YaHei"/>
                <w:bCs/>
                <w:color w:val="000000"/>
                <w:sz w:val="22"/>
                <w:szCs w:val="22"/>
                <w:lang w:val="sr-Latn-ME" w:eastAsia="hr-HR"/>
              </w:rPr>
              <w:t>27</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89768A" w:rsidRPr="00B90281" w:rsidRDefault="0089768A" w:rsidP="0089768A">
            <w:pPr>
              <w:suppressAutoHyphens/>
              <w:autoSpaceDE w:val="0"/>
              <w:jc w:val="center"/>
              <w:rPr>
                <w:rFonts w:eastAsia="Mangal"/>
                <w:sz w:val="22"/>
                <w:szCs w:val="22"/>
                <w:lang w:val="sr-Latn-ME" w:eastAsia="zh-CN"/>
              </w:rPr>
            </w:pPr>
            <w:r w:rsidRPr="00B90281">
              <w:rPr>
                <w:rFonts w:eastAsia="Microsoft YaHei"/>
                <w:bCs/>
                <w:color w:val="000000"/>
                <w:sz w:val="22"/>
                <w:szCs w:val="22"/>
                <w:lang w:val="sr-Latn-ME" w:eastAsia="hr-HR"/>
              </w:rPr>
              <w:t>38*</w:t>
            </w:r>
          </w:p>
        </w:tc>
      </w:tr>
    </w:tbl>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a</w:t>
      </w:r>
      <w:r w:rsidRPr="00D31597">
        <w:rPr>
          <w:rFonts w:eastAsia="Microsoft YaHei"/>
          <w:bCs/>
          <w:color w:val="000000"/>
          <w:sz w:val="20"/>
          <w:szCs w:val="22"/>
          <w:lang w:val="sr-Latn-ME" w:eastAsia="hr-HR"/>
        </w:rPr>
        <w:t xml:space="preserve"> Populacija pacijenata s</w:t>
      </w:r>
      <w:r w:rsidR="009D49C3" w:rsidRPr="00D31597">
        <w:rPr>
          <w:rFonts w:eastAsia="Microsoft YaHei"/>
          <w:bCs/>
          <w:color w:val="000000"/>
          <w:sz w:val="20"/>
          <w:szCs w:val="22"/>
          <w:lang w:val="sr-Latn-ME" w:eastAsia="hr-HR"/>
        </w:rPr>
        <w:t>a</w:t>
      </w:r>
      <w:r w:rsidRPr="00D31597">
        <w:rPr>
          <w:rFonts w:eastAsia="Microsoft YaHei"/>
          <w:bCs/>
          <w:color w:val="000000"/>
          <w:sz w:val="20"/>
          <w:szCs w:val="22"/>
          <w:lang w:val="sr-Latn-ME" w:eastAsia="hr-HR"/>
        </w:rPr>
        <w:t xml:space="preserve"> namjerom liječenja (ITT od engl. </w:t>
      </w:r>
      <w:r w:rsidRPr="00D31597">
        <w:rPr>
          <w:rFonts w:eastAsia="Microsoft YaHei"/>
          <w:bCs/>
          <w:i/>
          <w:color w:val="000000"/>
          <w:sz w:val="20"/>
          <w:szCs w:val="22"/>
          <w:lang w:val="sr-Latn-ME" w:eastAsia="hr-HR"/>
        </w:rPr>
        <w:t>Intent to treat).</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b</w:t>
      </w:r>
      <w:r w:rsidRPr="00D31597">
        <w:rPr>
          <w:rFonts w:eastAsia="Microsoft YaHei"/>
          <w:bCs/>
          <w:color w:val="000000"/>
          <w:sz w:val="20"/>
          <w:szCs w:val="22"/>
          <w:lang w:val="sr-Latn-ME" w:eastAsia="hr-HR"/>
        </w:rPr>
        <w:t xml:space="preserve"> p-vrijednost iz stratificiranog log-rank testa; analiza po liniji liječenja isključuje stratifikaciju po prethodnim liječenjima; p &lt; 0,0001</w:t>
      </w:r>
    </w:p>
    <w:p w:rsidR="0089768A" w:rsidRPr="00D31597" w:rsidRDefault="0089768A" w:rsidP="0089768A">
      <w:pPr>
        <w:suppressAutoHyphens/>
        <w:autoSpaceDE w:val="0"/>
        <w:jc w:val="both"/>
        <w:rPr>
          <w:rFonts w:eastAsia="Microsoft YaHei"/>
          <w:bCs/>
          <w:color w:val="000000"/>
          <w:sz w:val="20"/>
          <w:szCs w:val="22"/>
          <w:vertAlign w:val="superscript"/>
          <w:lang w:val="sr-Latn-ME" w:eastAsia="hr-HR"/>
        </w:rPr>
      </w:pPr>
      <w:r w:rsidRPr="00D31597">
        <w:rPr>
          <w:rFonts w:eastAsia="Microsoft YaHei"/>
          <w:bCs/>
          <w:color w:val="000000"/>
          <w:sz w:val="20"/>
          <w:szCs w:val="22"/>
          <w:vertAlign w:val="superscript"/>
          <w:lang w:val="sr-Latn-ME" w:eastAsia="hr-HR"/>
        </w:rPr>
        <w:t>c</w:t>
      </w:r>
      <w:r w:rsidRPr="00D31597">
        <w:rPr>
          <w:rFonts w:eastAsia="Microsoft YaHei"/>
          <w:bCs/>
          <w:color w:val="000000"/>
          <w:sz w:val="20"/>
          <w:szCs w:val="22"/>
          <w:lang w:val="sr-Latn-ME" w:eastAsia="hr-HR"/>
        </w:rPr>
        <w:t xml:space="preserve"> Populacija s</w:t>
      </w:r>
      <w:r w:rsidR="009D49C3" w:rsidRPr="00D31597">
        <w:rPr>
          <w:rFonts w:eastAsia="Microsoft YaHei"/>
          <w:bCs/>
          <w:color w:val="000000"/>
          <w:sz w:val="20"/>
          <w:szCs w:val="22"/>
          <w:lang w:val="sr-Latn-ME" w:eastAsia="hr-HR"/>
        </w:rPr>
        <w:t>a</w:t>
      </w:r>
      <w:r w:rsidRPr="00D31597">
        <w:rPr>
          <w:rFonts w:eastAsia="Microsoft YaHei"/>
          <w:bCs/>
          <w:color w:val="000000"/>
          <w:sz w:val="20"/>
          <w:szCs w:val="22"/>
          <w:lang w:val="sr-Latn-ME" w:eastAsia="hr-HR"/>
        </w:rPr>
        <w:t xml:space="preserve"> terapijskim odgovorom uključuje pacijente koji su imali mjerljivu bolesti na početku liječenja i primili su najmanje 1 dozu ispitivanog lijeka.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vertAlign w:val="superscript"/>
          <w:lang w:val="sr-Latn-ME" w:eastAsia="hr-HR"/>
        </w:rPr>
        <w:t>d</w:t>
      </w:r>
      <w:r w:rsidRPr="00D31597">
        <w:rPr>
          <w:rFonts w:eastAsia="Microsoft YaHei"/>
          <w:bCs/>
          <w:color w:val="000000"/>
          <w:sz w:val="20"/>
          <w:szCs w:val="22"/>
          <w:lang w:val="sr-Latn-ME" w:eastAsia="hr-HR"/>
        </w:rPr>
        <w:t xml:space="preserve"> p-vrijednost iz Cochran-Mantel-Haenszel-ovog hi-kvadrat testa prilagođena za faktore stratifikacije; analiza po liniji terapije isključuje stratifikaciju po prethodnim liječenjima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 CR+PR+MR **CR=CR, (IF-); nCR=CR (IF+)</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NA=nije primjenjivo, NE=nije procijenjeno</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TTP-Vrijeme do progresije bolesti</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CI=Interval pouzdanosti</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Btz=bortezomib; Dex=deksametazon</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CR=Kompletni odgovor; nCR=blizu kompletnog odgovora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PR=Parcijalni odgovor; MR=Minimalni odgovor</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studiji faze II, pacijenti koji ni</w:t>
      </w:r>
      <w:r w:rsidR="009D49C3" w:rsidRPr="00B90281">
        <w:rPr>
          <w:rFonts w:eastAsia="Microsoft YaHei"/>
          <w:bCs/>
          <w:color w:val="000000"/>
          <w:sz w:val="22"/>
          <w:szCs w:val="22"/>
          <w:lang w:val="sr-Latn-ME" w:eastAsia="hr-HR"/>
        </w:rPr>
        <w:t>je</w:t>
      </w:r>
      <w:r w:rsidRPr="00B90281">
        <w:rPr>
          <w:rFonts w:eastAsia="Microsoft YaHei"/>
          <w:bCs/>
          <w:color w:val="000000"/>
          <w:sz w:val="22"/>
          <w:szCs w:val="22"/>
          <w:lang w:val="sr-Latn-ME" w:eastAsia="hr-HR"/>
        </w:rPr>
        <w:t>su postigli optimalni terapijski odgovor kod liječenja samo bortezomibom mogli su primiti visoku dozu deksametazona zajedno sa bortezomibom. Prema planu ispitivanja, pacijenti su mogli primiti deksametazon ako je njihov odgovor na liječenje samo bortezomibom bio slabiji od optimalnog. Ukupno je kod 74 pacijenata, koje je bilo moguće  procjenjivati, primijenjen deksametazon u kombinaciji sa bortezomibom. Kod 18% pacijenata je postignut potpuni odgovor</w:t>
      </w:r>
      <w:r w:rsidR="009D49C3"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ili je poboljšan odgovor primjenom ove kombinacije [MR (11%) ili PR (7%)]</w:t>
      </w:r>
      <w:r w:rsidR="009D49C3" w:rsidRPr="00B90281">
        <w:rPr>
          <w:rFonts w:eastAsia="Microsoft YaHei"/>
          <w:bCs/>
          <w:color w:val="000000"/>
          <w:sz w:val="22"/>
          <w:szCs w:val="22"/>
          <w:lang w:val="sr-Latn-ME" w:eastAsia="hr-HR"/>
        </w:rPr>
        <w:t xml:space="preserve"> uz kombinovano liječenje</w:t>
      </w:r>
      <w:r w:rsidRPr="00B90281">
        <w:rPr>
          <w:rFonts w:eastAsia="Microsoft YaHei"/>
          <w:bCs/>
          <w:color w:val="000000"/>
          <w:sz w:val="22"/>
          <w:szCs w:val="22"/>
          <w:lang w:val="sr-Latn-ME" w:eastAsia="hr-HR"/>
        </w:rPr>
        <w:t>.</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u w:val="single"/>
          <w:lang w:val="sr-Latn-ME" w:eastAsia="hr-HR"/>
        </w:rPr>
      </w:pPr>
      <w:r w:rsidRPr="00B90281">
        <w:rPr>
          <w:rFonts w:eastAsia="Microsoft YaHei"/>
          <w:bCs/>
          <w:color w:val="000000"/>
          <w:sz w:val="22"/>
          <w:szCs w:val="22"/>
          <w:u w:val="single"/>
          <w:lang w:val="sr-Latn-ME" w:eastAsia="hr-HR"/>
        </w:rPr>
        <w:t xml:space="preserve">Klinička efikasnost </w:t>
      </w:r>
      <w:r w:rsidR="00646BFE" w:rsidRPr="00B90281">
        <w:rPr>
          <w:rFonts w:eastAsia="Microsoft YaHei"/>
          <w:bCs/>
          <w:color w:val="000000"/>
          <w:sz w:val="22"/>
          <w:szCs w:val="22"/>
          <w:u w:val="single"/>
          <w:lang w:val="sr-Latn-ME" w:eastAsia="hr-HR"/>
        </w:rPr>
        <w:t>subk</w:t>
      </w:r>
      <w:r w:rsidRPr="00B90281">
        <w:rPr>
          <w:rFonts w:eastAsia="Microsoft YaHei"/>
          <w:bCs/>
          <w:color w:val="000000"/>
          <w:sz w:val="22"/>
          <w:szCs w:val="22"/>
          <w:u w:val="single"/>
          <w:lang w:val="sr-Latn-ME" w:eastAsia="hr-HR"/>
        </w:rPr>
        <w:t>utane primjene bortezomiba kod pacijenata sa relapsom/refraktornim multiplim mijelomom</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otvorenom, randomiz</w:t>
      </w:r>
      <w:r w:rsidR="00C76B22" w:rsidRPr="00B90281">
        <w:rPr>
          <w:rFonts w:eastAsia="Microsoft YaHei"/>
          <w:bCs/>
          <w:color w:val="000000"/>
          <w:sz w:val="22"/>
          <w:szCs w:val="22"/>
          <w:lang w:val="sr-Latn-ME" w:eastAsia="hr-HR"/>
        </w:rPr>
        <w:t>ovanom</w:t>
      </w:r>
      <w:r w:rsidRPr="00B90281">
        <w:rPr>
          <w:rFonts w:eastAsia="Microsoft YaHei"/>
          <w:bCs/>
          <w:color w:val="000000"/>
          <w:sz w:val="22"/>
          <w:szCs w:val="22"/>
          <w:lang w:val="sr-Latn-ME" w:eastAsia="hr-HR"/>
        </w:rPr>
        <w:t xml:space="preserve"> ispitivanju neinferiornosti faze III, poređena je efikasnost i bezbjednost </w:t>
      </w:r>
      <w:r w:rsidR="00646BFE" w:rsidRPr="00B90281">
        <w:rPr>
          <w:rFonts w:eastAsia="Microsoft YaHei"/>
          <w:bCs/>
          <w:color w:val="000000"/>
          <w:sz w:val="22"/>
          <w:szCs w:val="22"/>
          <w:lang w:val="sr-Latn-ME" w:eastAsia="hr-HR"/>
        </w:rPr>
        <w:t>subk</w:t>
      </w:r>
      <w:r w:rsidRPr="00B90281">
        <w:rPr>
          <w:rFonts w:eastAsia="Microsoft YaHei"/>
          <w:bCs/>
          <w:color w:val="000000"/>
          <w:sz w:val="22"/>
          <w:szCs w:val="22"/>
          <w:lang w:val="sr-Latn-ME" w:eastAsia="hr-HR"/>
        </w:rPr>
        <w:t xml:space="preserve">utane primjene bortezomiba, u poređenju sa intravenskom primjenom. U ispitivanje je bilo </w:t>
      </w:r>
      <w:r w:rsidRPr="00B90281">
        <w:rPr>
          <w:rFonts w:eastAsia="Microsoft YaHei"/>
          <w:bCs/>
          <w:color w:val="000000"/>
          <w:sz w:val="22"/>
          <w:szCs w:val="22"/>
          <w:lang w:val="sr-Latn-ME" w:eastAsia="hr-HR"/>
        </w:rPr>
        <w:lastRenderedPageBreak/>
        <w:t>uključeno 222 pacijenta sa relapsom/refraktornim multiplim mijelomom, koji su bili randomizovani u odnosu 2:1, kako bi primili bortezomib u dozi od 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bilo </w:t>
      </w:r>
      <w:r w:rsidR="00646BFE" w:rsidRPr="00B90281">
        <w:rPr>
          <w:rFonts w:eastAsia="Microsoft YaHei"/>
          <w:bCs/>
          <w:color w:val="000000"/>
          <w:sz w:val="22"/>
          <w:szCs w:val="22"/>
          <w:lang w:val="sr-Latn-ME" w:eastAsia="hr-HR"/>
        </w:rPr>
        <w:t>subk</w:t>
      </w:r>
      <w:r w:rsidRPr="00B90281">
        <w:rPr>
          <w:rFonts w:eastAsia="Microsoft YaHei"/>
          <w:bCs/>
          <w:color w:val="000000"/>
          <w:sz w:val="22"/>
          <w:szCs w:val="22"/>
          <w:lang w:val="sr-Latn-ME" w:eastAsia="hr-HR"/>
        </w:rPr>
        <w:t>utano ili intravenski, u 8 ciklusa.</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Pacijenti kod kojih nije postignut optimalni odgovor (manje od potpunog terapijskog odgovora [CR]) na monoterapiju bortezomibom, nakon 4 ciklusa su primili deksametazon u dozi od 20 mg dnevno, na sam dan primjene i dan nakon primjene bortezomiba.</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Pacijenti sa osnovnom perifernom neuropatijom stepena ≥ 2 ili sa brojem trombocita &lt; 50 000/μl bili su isključeni iz daljeg ispitivanja. Ukupno je kod 218 pacijenata procjenjivan odgovor.</w:t>
      </w:r>
    </w:p>
    <w:p w:rsidR="00C76B22" w:rsidRPr="00B90281" w:rsidRDefault="00C76B22"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U ovom ispitivanju je postignut primarni </w:t>
      </w:r>
      <w:r w:rsidR="00C76B22" w:rsidRPr="00B90281">
        <w:rPr>
          <w:rFonts w:eastAsia="Microsoft YaHei"/>
          <w:bCs/>
          <w:color w:val="000000"/>
          <w:sz w:val="22"/>
          <w:szCs w:val="22"/>
          <w:lang w:val="sr-Latn-ME" w:eastAsia="hr-HR"/>
        </w:rPr>
        <w:t>cilj,</w:t>
      </w:r>
      <w:r w:rsidRPr="00B90281">
        <w:rPr>
          <w:rFonts w:eastAsia="Microsoft YaHei"/>
          <w:bCs/>
          <w:color w:val="000000"/>
          <w:sz w:val="22"/>
          <w:szCs w:val="22"/>
          <w:lang w:val="sr-Latn-ME" w:eastAsia="hr-HR"/>
        </w:rPr>
        <w:t xml:space="preserve"> neinferiornost</w:t>
      </w:r>
      <w:r w:rsidR="00C76B22" w:rsidRPr="00B90281">
        <w:rPr>
          <w:rFonts w:eastAsia="Microsoft YaHei"/>
          <w:bCs/>
          <w:color w:val="000000"/>
          <w:sz w:val="22"/>
          <w:szCs w:val="22"/>
          <w:lang w:val="sr-Latn-ME" w:eastAsia="hr-HR"/>
        </w:rPr>
        <w:t xml:space="preserve"> u</w:t>
      </w:r>
      <w:r w:rsidRPr="00B90281">
        <w:rPr>
          <w:rFonts w:eastAsia="Microsoft YaHei"/>
          <w:bCs/>
          <w:color w:val="000000"/>
          <w:sz w:val="22"/>
          <w:szCs w:val="22"/>
          <w:lang w:val="sr-Latn-ME" w:eastAsia="hr-HR"/>
        </w:rPr>
        <w:t xml:space="preserve"> stop</w:t>
      </w:r>
      <w:r w:rsidR="00C76B22" w:rsidRPr="00B90281">
        <w:rPr>
          <w:rFonts w:eastAsia="Microsoft YaHei"/>
          <w:bCs/>
          <w:color w:val="000000"/>
          <w:sz w:val="22"/>
          <w:szCs w:val="22"/>
          <w:lang w:val="sr-Latn-ME" w:eastAsia="hr-HR"/>
        </w:rPr>
        <w:t>i</w:t>
      </w:r>
      <w:r w:rsidRPr="00B90281">
        <w:rPr>
          <w:rFonts w:eastAsia="Microsoft YaHei"/>
          <w:bCs/>
          <w:color w:val="000000"/>
          <w:sz w:val="22"/>
          <w:szCs w:val="22"/>
          <w:lang w:val="sr-Latn-ME" w:eastAsia="hr-HR"/>
        </w:rPr>
        <w:t xml:space="preserve"> odgovora (CR+PR) nakon 4 terapijska ciklusa bortezomiba u monoterapiji, primijenjenog </w:t>
      </w:r>
      <w:r w:rsidR="00646BFE" w:rsidRPr="00B90281">
        <w:rPr>
          <w:rFonts w:eastAsia="Microsoft YaHei"/>
          <w:bCs/>
          <w:color w:val="000000"/>
          <w:sz w:val="22"/>
          <w:szCs w:val="22"/>
          <w:lang w:val="sr-Latn-ME" w:eastAsia="hr-HR"/>
        </w:rPr>
        <w:t>subk</w:t>
      </w:r>
      <w:r w:rsidRPr="00B90281">
        <w:rPr>
          <w:rFonts w:eastAsia="Microsoft YaHei"/>
          <w:bCs/>
          <w:color w:val="000000"/>
          <w:sz w:val="22"/>
          <w:szCs w:val="22"/>
          <w:lang w:val="sr-Latn-ME" w:eastAsia="hr-HR"/>
        </w:rPr>
        <w:t xml:space="preserve">utano kao i intravenski, a ona je iznosila 42% u obije grupe. Dodatno, sekundarni odgovor i vremenski povezani događaji sa sekundarnim parametrom efikasnosti, pokazali su dosljedne rezultate za </w:t>
      </w:r>
      <w:r w:rsidR="00646BFE" w:rsidRPr="00B90281">
        <w:rPr>
          <w:rFonts w:eastAsia="Microsoft YaHei"/>
          <w:bCs/>
          <w:color w:val="000000"/>
          <w:sz w:val="22"/>
          <w:szCs w:val="22"/>
          <w:lang w:val="sr-Latn-ME" w:eastAsia="hr-HR"/>
        </w:rPr>
        <w:t>subk</w:t>
      </w:r>
      <w:r w:rsidRPr="00B90281">
        <w:rPr>
          <w:rFonts w:eastAsia="Microsoft YaHei"/>
          <w:bCs/>
          <w:color w:val="000000"/>
          <w:sz w:val="22"/>
          <w:szCs w:val="22"/>
          <w:lang w:val="sr-Latn-ME" w:eastAsia="hr-HR"/>
        </w:rPr>
        <w:t>utanu i intravensku primjenu (Tabela 15).</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i/>
          <w:color w:val="000000"/>
          <w:sz w:val="22"/>
          <w:szCs w:val="22"/>
          <w:lang w:val="sr-Latn-ME" w:eastAsia="hr-HR"/>
        </w:rPr>
      </w:pPr>
      <w:r w:rsidRPr="00B90281">
        <w:rPr>
          <w:rFonts w:eastAsia="Microsoft YaHei"/>
          <w:bCs/>
          <w:i/>
          <w:color w:val="000000"/>
          <w:sz w:val="22"/>
          <w:szCs w:val="22"/>
          <w:lang w:val="sr-Latn-ME" w:eastAsia="hr-HR"/>
        </w:rPr>
        <w:t xml:space="preserve">Tabela 15: Sumirana analiza efikasnosti </w:t>
      </w:r>
      <w:r w:rsidR="00646BFE" w:rsidRPr="00B90281">
        <w:rPr>
          <w:rFonts w:eastAsia="Microsoft YaHei"/>
          <w:bCs/>
          <w:i/>
          <w:color w:val="000000"/>
          <w:sz w:val="22"/>
          <w:szCs w:val="22"/>
          <w:lang w:val="sr-Latn-ME" w:eastAsia="hr-HR"/>
        </w:rPr>
        <w:t>subk</w:t>
      </w:r>
      <w:r w:rsidRPr="00B90281">
        <w:rPr>
          <w:rFonts w:eastAsia="Microsoft YaHei"/>
          <w:bCs/>
          <w:i/>
          <w:color w:val="000000"/>
          <w:sz w:val="22"/>
          <w:szCs w:val="22"/>
          <w:lang w:val="sr-Latn-ME" w:eastAsia="hr-HR"/>
        </w:rPr>
        <w:t>utane i intravenske primjene bortezomiba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2427"/>
        <w:gridCol w:w="2543"/>
      </w:tblGrid>
      <w:tr w:rsidR="0089768A" w:rsidRPr="00B90281" w:rsidTr="00EC23D1">
        <w:trPr>
          <w:trHeight w:val="614"/>
        </w:trPr>
        <w:tc>
          <w:tcPr>
            <w:tcW w:w="5000" w:type="pct"/>
            <w:gridSpan w:val="3"/>
            <w:shd w:val="clear" w:color="auto" w:fill="auto"/>
          </w:tcPr>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Cs/>
                <w:color w:val="000000"/>
                <w:sz w:val="22"/>
                <w:szCs w:val="22"/>
                <w:lang w:val="sr-Latn-ME" w:eastAsia="hr-HR"/>
              </w:rPr>
              <w:t xml:space="preserve">                                                                    </w:t>
            </w:r>
            <w:r w:rsidRPr="00B90281">
              <w:rPr>
                <w:rFonts w:eastAsia="Microsoft YaHei"/>
                <w:b/>
                <w:bCs/>
                <w:color w:val="000000"/>
                <w:sz w:val="22"/>
                <w:szCs w:val="22"/>
                <w:lang w:val="sr-Latn-ME" w:eastAsia="hr-HR"/>
              </w:rPr>
              <w:t>Bortezomib primijenjen</w:t>
            </w:r>
            <w:r w:rsidRPr="00B90281">
              <w:rPr>
                <w:rFonts w:eastAsia="Mangal"/>
                <w:b/>
                <w:sz w:val="22"/>
                <w:szCs w:val="22"/>
                <w:lang w:val="sr-Latn-ME" w:eastAsia="zh-CN"/>
              </w:rPr>
              <w:t xml:space="preserve">             </w:t>
            </w:r>
            <w:r w:rsidRPr="00B90281">
              <w:rPr>
                <w:rFonts w:eastAsia="Microsoft YaHei"/>
                <w:b/>
                <w:bCs/>
                <w:color w:val="000000"/>
                <w:sz w:val="22"/>
                <w:szCs w:val="22"/>
                <w:lang w:val="sr-Latn-ME" w:eastAsia="hr-HR"/>
              </w:rPr>
              <w:t>Bortezomib primijenjen</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
                <w:bCs/>
                <w:color w:val="000000"/>
                <w:sz w:val="22"/>
                <w:szCs w:val="22"/>
                <w:lang w:val="sr-Latn-ME" w:eastAsia="hr-HR"/>
              </w:rPr>
              <w:t xml:space="preserve">                                                                         i.v.                                                        s.c.</w:t>
            </w:r>
            <w:r w:rsidRPr="00B90281">
              <w:rPr>
                <w:rFonts w:eastAsia="Microsoft YaHei"/>
                <w:bCs/>
                <w:color w:val="000000"/>
                <w:sz w:val="22"/>
                <w:szCs w:val="22"/>
                <w:lang w:val="sr-Latn-ME" w:eastAsia="hr-HR"/>
              </w:rPr>
              <w:t xml:space="preserve">                                                  </w:t>
            </w:r>
          </w:p>
        </w:tc>
      </w:tr>
      <w:tr w:rsidR="0089768A" w:rsidRPr="00B90281" w:rsidTr="00D45B76">
        <w:tc>
          <w:tcPr>
            <w:tcW w:w="2262" w:type="pct"/>
            <w:shd w:val="clear" w:color="auto" w:fill="auto"/>
          </w:tcPr>
          <w:p w:rsidR="0089768A" w:rsidRPr="00B90281" w:rsidRDefault="0089768A" w:rsidP="0089768A">
            <w:pPr>
              <w:suppressAutoHyphens/>
              <w:spacing w:after="200"/>
              <w:rPr>
                <w:rFonts w:eastAsia="Mangal"/>
                <w:b/>
                <w:sz w:val="22"/>
                <w:szCs w:val="22"/>
                <w:lang w:val="sr-Latn-ME" w:eastAsia="zh-CN"/>
              </w:rPr>
            </w:pPr>
            <w:r w:rsidRPr="00B90281">
              <w:rPr>
                <w:rFonts w:eastAsia="Mangal"/>
                <w:b/>
                <w:sz w:val="22"/>
                <w:szCs w:val="22"/>
                <w:lang w:val="sr-Latn-ME" w:eastAsia="zh-CN"/>
              </w:rPr>
              <w:t xml:space="preserve">Populacija procjenjiva na odgovor </w:t>
            </w:r>
          </w:p>
        </w:tc>
        <w:tc>
          <w:tcPr>
            <w:tcW w:w="1337" w:type="pct"/>
            <w:shd w:val="clear" w:color="auto" w:fill="auto"/>
          </w:tcPr>
          <w:p w:rsidR="0089768A" w:rsidRPr="00B90281" w:rsidRDefault="0089768A" w:rsidP="0089768A">
            <w:pPr>
              <w:suppressAutoHyphens/>
              <w:spacing w:after="200"/>
              <w:rPr>
                <w:rFonts w:eastAsia="Mangal"/>
                <w:b/>
                <w:sz w:val="22"/>
                <w:szCs w:val="22"/>
                <w:lang w:val="sr-Latn-ME" w:eastAsia="zh-CN"/>
              </w:rPr>
            </w:pPr>
            <w:r w:rsidRPr="00B90281">
              <w:rPr>
                <w:rFonts w:eastAsia="Mangal"/>
                <w:b/>
                <w:sz w:val="22"/>
                <w:szCs w:val="22"/>
                <w:lang w:val="sr-Latn-ME" w:eastAsia="zh-CN"/>
              </w:rPr>
              <w:t xml:space="preserve">n = 73 </w:t>
            </w:r>
          </w:p>
        </w:tc>
        <w:tc>
          <w:tcPr>
            <w:tcW w:w="1401" w:type="pct"/>
            <w:shd w:val="clear" w:color="auto" w:fill="auto"/>
          </w:tcPr>
          <w:p w:rsidR="0089768A" w:rsidRPr="00B90281" w:rsidRDefault="0089768A" w:rsidP="0089768A">
            <w:pPr>
              <w:suppressAutoHyphens/>
              <w:spacing w:after="200"/>
              <w:rPr>
                <w:rFonts w:eastAsia="Mangal"/>
                <w:b/>
                <w:sz w:val="22"/>
                <w:szCs w:val="22"/>
                <w:lang w:val="sr-Latn-ME" w:eastAsia="zh-CN"/>
              </w:rPr>
            </w:pPr>
            <w:r w:rsidRPr="00B90281">
              <w:rPr>
                <w:rFonts w:eastAsia="Mangal"/>
                <w:b/>
                <w:sz w:val="22"/>
                <w:szCs w:val="22"/>
                <w:lang w:val="sr-Latn-ME" w:eastAsia="zh-CN"/>
              </w:rPr>
              <w:t>n = 145</w:t>
            </w:r>
          </w:p>
        </w:tc>
      </w:tr>
      <w:tr w:rsidR="0089768A" w:rsidRPr="00B90281" w:rsidTr="00D45B76">
        <w:trPr>
          <w:trHeight w:val="2480"/>
        </w:trPr>
        <w:tc>
          <w:tcPr>
            <w:tcW w:w="2262" w:type="pct"/>
            <w:shd w:val="clear" w:color="auto" w:fill="auto"/>
          </w:tcPr>
          <w:p w:rsidR="0089768A" w:rsidRPr="00B90281" w:rsidRDefault="00C76B22" w:rsidP="0089768A">
            <w:pPr>
              <w:suppressAutoHyphens/>
              <w:spacing w:after="200"/>
              <w:rPr>
                <w:rFonts w:eastAsia="Mangal"/>
                <w:b/>
                <w:sz w:val="22"/>
                <w:szCs w:val="22"/>
                <w:lang w:val="sr-Latn-ME" w:eastAsia="zh-CN"/>
              </w:rPr>
            </w:pPr>
            <w:r w:rsidRPr="00B90281">
              <w:rPr>
                <w:rFonts w:eastAsia="Mangal"/>
                <w:b/>
                <w:sz w:val="22"/>
                <w:szCs w:val="22"/>
                <w:lang w:val="sr-Latn-ME" w:eastAsia="zh-CN"/>
              </w:rPr>
              <w:t>Stopa</w:t>
            </w:r>
            <w:r w:rsidR="0089768A" w:rsidRPr="00B90281">
              <w:rPr>
                <w:rFonts w:eastAsia="Mangal"/>
                <w:b/>
                <w:sz w:val="22"/>
                <w:szCs w:val="22"/>
                <w:lang w:val="sr-Latn-ME" w:eastAsia="zh-CN"/>
              </w:rPr>
              <w:t xml:space="preserve"> odgovora nakon 4 ciklusa</w:t>
            </w:r>
            <w:r w:rsidRPr="00B90281">
              <w:rPr>
                <w:rFonts w:eastAsia="Mangal"/>
                <w:b/>
                <w:sz w:val="22"/>
                <w:szCs w:val="22"/>
                <w:lang w:val="sr-Latn-ME" w:eastAsia="zh-CN"/>
              </w:rPr>
              <w:t xml:space="preserve"> </w:t>
            </w:r>
            <w:r w:rsidR="0089768A" w:rsidRPr="00B90281">
              <w:rPr>
                <w:rFonts w:eastAsia="Mangal"/>
                <w:b/>
                <w:sz w:val="22"/>
                <w:szCs w:val="22"/>
                <w:lang w:val="sr-Latn-ME" w:eastAsia="zh-CN"/>
              </w:rPr>
              <w:t>n (%)</w:t>
            </w:r>
          </w:p>
          <w:p w:rsidR="00C76B22"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ORR (CR+PR)</w:t>
            </w:r>
          </w:p>
          <w:p w:rsidR="0089768A" w:rsidRPr="00B90281" w:rsidRDefault="0089768A" w:rsidP="00D45B76">
            <w:pPr>
              <w:suppressAutoHyphens/>
              <w:spacing w:after="200"/>
              <w:jc w:val="both"/>
              <w:rPr>
                <w:rFonts w:eastAsia="Mangal"/>
                <w:sz w:val="22"/>
                <w:szCs w:val="22"/>
                <w:vertAlign w:val="superscript"/>
                <w:lang w:val="sr-Latn-ME" w:eastAsia="zh-CN"/>
              </w:rPr>
            </w:pPr>
            <w:r w:rsidRPr="00B90281">
              <w:rPr>
                <w:rFonts w:eastAsia="Mangal"/>
                <w:sz w:val="22"/>
                <w:szCs w:val="22"/>
                <w:lang w:val="sr-Latn-ME" w:eastAsia="zh-CN"/>
              </w:rPr>
              <w:t>p-vrijednost</w:t>
            </w:r>
            <w:r w:rsidRPr="00B90281">
              <w:rPr>
                <w:rFonts w:eastAsia="Mangal"/>
                <w:sz w:val="22"/>
                <w:szCs w:val="22"/>
                <w:vertAlign w:val="superscript"/>
                <w:lang w:val="sr-Latn-ME" w:eastAsia="zh-CN"/>
              </w:rPr>
              <w:t>a</w:t>
            </w:r>
          </w:p>
          <w:p w:rsidR="0089768A" w:rsidRPr="00B90281" w:rsidRDefault="0089768A" w:rsidP="0089768A">
            <w:pPr>
              <w:suppressAutoHyphens/>
              <w:spacing w:after="200"/>
              <w:rPr>
                <w:rFonts w:eastAsia="Mangal"/>
                <w:sz w:val="22"/>
                <w:szCs w:val="22"/>
                <w:lang w:val="sr-Latn-ME" w:eastAsia="zh-CN"/>
              </w:rPr>
            </w:pPr>
            <w:r w:rsidRPr="00B90281">
              <w:rPr>
                <w:rFonts w:eastAsia="Mangal"/>
                <w:sz w:val="22"/>
                <w:szCs w:val="22"/>
                <w:lang w:val="sr-Latn-ME" w:eastAsia="zh-CN"/>
              </w:rPr>
              <w:t>CR n (%)</w:t>
            </w:r>
          </w:p>
          <w:p w:rsidR="0089768A" w:rsidRPr="00B90281" w:rsidRDefault="0089768A" w:rsidP="0089768A">
            <w:pPr>
              <w:suppressAutoHyphens/>
              <w:spacing w:after="200"/>
              <w:rPr>
                <w:rFonts w:eastAsia="Mangal"/>
                <w:sz w:val="22"/>
                <w:szCs w:val="22"/>
                <w:lang w:val="sr-Latn-ME" w:eastAsia="zh-CN"/>
              </w:rPr>
            </w:pPr>
            <w:r w:rsidRPr="00B90281">
              <w:rPr>
                <w:rFonts w:eastAsia="Mangal"/>
                <w:sz w:val="22"/>
                <w:szCs w:val="22"/>
                <w:lang w:val="sr-Latn-ME" w:eastAsia="zh-CN"/>
              </w:rPr>
              <w:t>PR n (%)</w:t>
            </w:r>
          </w:p>
          <w:p w:rsidR="0089768A" w:rsidRPr="00B90281" w:rsidRDefault="0089768A" w:rsidP="0089768A">
            <w:pPr>
              <w:suppressAutoHyphens/>
              <w:spacing w:after="200"/>
              <w:rPr>
                <w:rFonts w:eastAsia="Mangal"/>
                <w:sz w:val="22"/>
                <w:szCs w:val="22"/>
                <w:lang w:val="sr-Latn-ME" w:eastAsia="zh-CN"/>
              </w:rPr>
            </w:pPr>
            <w:r w:rsidRPr="00B90281">
              <w:rPr>
                <w:rFonts w:eastAsia="Mangal"/>
                <w:sz w:val="22"/>
                <w:szCs w:val="22"/>
                <w:lang w:val="sr-Latn-ME" w:eastAsia="zh-CN"/>
              </w:rPr>
              <w:t>nCR n</w:t>
            </w:r>
          </w:p>
        </w:tc>
        <w:tc>
          <w:tcPr>
            <w:tcW w:w="1337" w:type="pct"/>
            <w:shd w:val="clear" w:color="auto" w:fill="auto"/>
          </w:tcPr>
          <w:p w:rsidR="0089768A" w:rsidRPr="00B90281" w:rsidRDefault="0089768A" w:rsidP="0089768A">
            <w:pPr>
              <w:suppressAutoHyphens/>
              <w:spacing w:after="200"/>
              <w:jc w:val="both"/>
              <w:rPr>
                <w:rFonts w:eastAsia="Mangal"/>
                <w:sz w:val="22"/>
                <w:szCs w:val="22"/>
                <w:lang w:val="sr-Latn-ME" w:eastAsia="zh-CN"/>
              </w:rPr>
            </w:pP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31</w:t>
            </w:r>
            <w:r w:rsidR="003F5A87" w:rsidRPr="00B90281">
              <w:rPr>
                <w:rFonts w:eastAsia="Mangal"/>
                <w:sz w:val="22"/>
                <w:szCs w:val="22"/>
                <w:lang w:val="sr-Latn-ME" w:eastAsia="zh-CN"/>
              </w:rPr>
              <w:t xml:space="preserve"> </w:t>
            </w:r>
            <w:r w:rsidRPr="00B90281">
              <w:rPr>
                <w:rFonts w:eastAsia="Mangal"/>
                <w:sz w:val="22"/>
                <w:szCs w:val="22"/>
                <w:lang w:val="sr-Latn-ME" w:eastAsia="zh-CN"/>
              </w:rPr>
              <w:t>(42)</w:t>
            </w:r>
          </w:p>
          <w:p w:rsidR="0089768A" w:rsidRPr="00B90281" w:rsidRDefault="00C76B22"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 xml:space="preserve">                           </w:t>
            </w:r>
            <w:r w:rsidR="0089768A" w:rsidRPr="00B90281">
              <w:rPr>
                <w:rFonts w:eastAsia="Mangal"/>
                <w:sz w:val="22"/>
                <w:szCs w:val="22"/>
                <w:lang w:val="sr-Latn-ME" w:eastAsia="zh-CN"/>
              </w:rPr>
              <w:t>0,00201</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6</w:t>
            </w:r>
            <w:r w:rsidR="003F5A87" w:rsidRPr="00B90281">
              <w:rPr>
                <w:rFonts w:eastAsia="Mangal"/>
                <w:sz w:val="22"/>
                <w:szCs w:val="22"/>
                <w:lang w:val="sr-Latn-ME" w:eastAsia="zh-CN"/>
              </w:rPr>
              <w:t xml:space="preserve"> </w:t>
            </w:r>
            <w:r w:rsidRPr="00B90281">
              <w:rPr>
                <w:rFonts w:eastAsia="Mangal"/>
                <w:sz w:val="22"/>
                <w:szCs w:val="22"/>
                <w:lang w:val="sr-Latn-ME" w:eastAsia="zh-CN"/>
              </w:rPr>
              <w:t>(8)</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25</w:t>
            </w:r>
            <w:r w:rsidR="003F5A87" w:rsidRPr="00B90281">
              <w:rPr>
                <w:rFonts w:eastAsia="Mangal"/>
                <w:sz w:val="22"/>
                <w:szCs w:val="22"/>
                <w:lang w:val="sr-Latn-ME" w:eastAsia="zh-CN"/>
              </w:rPr>
              <w:t xml:space="preserve"> </w:t>
            </w:r>
            <w:r w:rsidRPr="00B90281">
              <w:rPr>
                <w:rFonts w:eastAsia="Mangal"/>
                <w:sz w:val="22"/>
                <w:szCs w:val="22"/>
                <w:lang w:val="sr-Latn-ME" w:eastAsia="zh-CN"/>
              </w:rPr>
              <w:t>(34)</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4</w:t>
            </w:r>
            <w:r w:rsidR="003F5A87" w:rsidRPr="00B90281">
              <w:rPr>
                <w:rFonts w:eastAsia="Mangal"/>
                <w:sz w:val="22"/>
                <w:szCs w:val="22"/>
                <w:lang w:val="sr-Latn-ME" w:eastAsia="zh-CN"/>
              </w:rPr>
              <w:t xml:space="preserve"> </w:t>
            </w:r>
            <w:r w:rsidRPr="00B90281">
              <w:rPr>
                <w:rFonts w:eastAsia="Mangal"/>
                <w:sz w:val="22"/>
                <w:szCs w:val="22"/>
                <w:lang w:val="sr-Latn-ME" w:eastAsia="zh-CN"/>
              </w:rPr>
              <w:t>(5)</w:t>
            </w:r>
          </w:p>
        </w:tc>
        <w:tc>
          <w:tcPr>
            <w:tcW w:w="1401" w:type="pct"/>
            <w:shd w:val="clear" w:color="auto" w:fill="auto"/>
          </w:tcPr>
          <w:p w:rsidR="0089768A" w:rsidRPr="00B90281" w:rsidRDefault="0089768A" w:rsidP="0089768A">
            <w:pPr>
              <w:suppressAutoHyphens/>
              <w:spacing w:after="200"/>
              <w:rPr>
                <w:rFonts w:eastAsia="Mangal"/>
                <w:sz w:val="22"/>
                <w:szCs w:val="22"/>
                <w:lang w:val="sr-Latn-ME" w:eastAsia="zh-CN"/>
              </w:rPr>
            </w:pPr>
          </w:p>
          <w:p w:rsidR="0089768A" w:rsidRPr="00B90281" w:rsidRDefault="0089768A" w:rsidP="0089768A">
            <w:pPr>
              <w:suppressAutoHyphens/>
              <w:spacing w:after="200"/>
              <w:rPr>
                <w:rFonts w:eastAsia="Mangal"/>
                <w:sz w:val="22"/>
                <w:szCs w:val="22"/>
                <w:lang w:val="sr-Latn-ME" w:eastAsia="zh-CN"/>
              </w:rPr>
            </w:pPr>
            <w:r w:rsidRPr="00B90281">
              <w:rPr>
                <w:rFonts w:eastAsia="Mangal"/>
                <w:sz w:val="22"/>
                <w:szCs w:val="22"/>
                <w:lang w:val="sr-Latn-ME" w:eastAsia="zh-CN"/>
              </w:rPr>
              <w:t>61</w:t>
            </w:r>
            <w:r w:rsidR="003F5A87" w:rsidRPr="00B90281">
              <w:rPr>
                <w:rFonts w:eastAsia="Mangal"/>
                <w:sz w:val="22"/>
                <w:szCs w:val="22"/>
                <w:lang w:val="sr-Latn-ME" w:eastAsia="zh-CN"/>
              </w:rPr>
              <w:t xml:space="preserve"> </w:t>
            </w:r>
            <w:r w:rsidRPr="00B90281">
              <w:rPr>
                <w:rFonts w:eastAsia="Mangal"/>
                <w:sz w:val="22"/>
                <w:szCs w:val="22"/>
                <w:lang w:val="sr-Latn-ME" w:eastAsia="zh-CN"/>
              </w:rPr>
              <w:t>(42)</w:t>
            </w:r>
          </w:p>
          <w:p w:rsidR="0089768A" w:rsidRPr="00B90281" w:rsidRDefault="0089768A" w:rsidP="0089768A">
            <w:pPr>
              <w:suppressAutoHyphens/>
              <w:spacing w:after="200"/>
              <w:rPr>
                <w:rFonts w:eastAsia="Mangal"/>
                <w:sz w:val="22"/>
                <w:szCs w:val="22"/>
                <w:lang w:val="sr-Latn-ME" w:eastAsia="zh-CN"/>
              </w:rPr>
            </w:pPr>
          </w:p>
          <w:p w:rsidR="0089768A" w:rsidRPr="00B90281" w:rsidRDefault="0089768A" w:rsidP="0089768A">
            <w:pPr>
              <w:suppressAutoHyphens/>
              <w:spacing w:after="200"/>
              <w:rPr>
                <w:rFonts w:eastAsia="Mangal"/>
                <w:sz w:val="22"/>
                <w:szCs w:val="22"/>
                <w:lang w:val="sr-Latn-ME" w:eastAsia="zh-CN"/>
              </w:rPr>
            </w:pPr>
            <w:r w:rsidRPr="00B90281">
              <w:rPr>
                <w:rFonts w:eastAsia="Mangal"/>
                <w:sz w:val="22"/>
                <w:szCs w:val="22"/>
                <w:lang w:val="sr-Latn-ME" w:eastAsia="zh-CN"/>
              </w:rPr>
              <w:t>9</w:t>
            </w:r>
            <w:r w:rsidR="003F5A87" w:rsidRPr="00B90281">
              <w:rPr>
                <w:rFonts w:eastAsia="Mangal"/>
                <w:sz w:val="22"/>
                <w:szCs w:val="22"/>
                <w:lang w:val="sr-Latn-ME" w:eastAsia="zh-CN"/>
              </w:rPr>
              <w:t xml:space="preserve"> </w:t>
            </w:r>
            <w:r w:rsidRPr="00B90281">
              <w:rPr>
                <w:rFonts w:eastAsia="Mangal"/>
                <w:sz w:val="22"/>
                <w:szCs w:val="22"/>
                <w:lang w:val="sr-Latn-ME" w:eastAsia="zh-CN"/>
              </w:rPr>
              <w:t>(6)</w:t>
            </w:r>
          </w:p>
          <w:p w:rsidR="0089768A" w:rsidRPr="00B90281" w:rsidRDefault="0089768A" w:rsidP="0089768A">
            <w:pPr>
              <w:suppressAutoHyphens/>
              <w:spacing w:after="200"/>
              <w:rPr>
                <w:rFonts w:eastAsia="Mangal"/>
                <w:sz w:val="22"/>
                <w:szCs w:val="22"/>
                <w:lang w:val="sr-Latn-ME" w:eastAsia="zh-CN"/>
              </w:rPr>
            </w:pPr>
            <w:r w:rsidRPr="00B90281">
              <w:rPr>
                <w:rFonts w:eastAsia="Mangal"/>
                <w:sz w:val="22"/>
                <w:szCs w:val="22"/>
                <w:lang w:val="sr-Latn-ME" w:eastAsia="zh-CN"/>
              </w:rPr>
              <w:t>52</w:t>
            </w:r>
            <w:r w:rsidR="003F5A87" w:rsidRPr="00B90281">
              <w:rPr>
                <w:rFonts w:eastAsia="Mangal"/>
                <w:sz w:val="22"/>
                <w:szCs w:val="22"/>
                <w:lang w:val="sr-Latn-ME" w:eastAsia="zh-CN"/>
              </w:rPr>
              <w:t xml:space="preserve"> </w:t>
            </w:r>
            <w:r w:rsidRPr="00B90281">
              <w:rPr>
                <w:rFonts w:eastAsia="Mangal"/>
                <w:sz w:val="22"/>
                <w:szCs w:val="22"/>
                <w:lang w:val="sr-Latn-ME" w:eastAsia="zh-CN"/>
              </w:rPr>
              <w:t>(36)</w:t>
            </w:r>
          </w:p>
          <w:p w:rsidR="0089768A" w:rsidRPr="00B90281" w:rsidRDefault="0089768A" w:rsidP="0089768A">
            <w:pPr>
              <w:suppressAutoHyphens/>
              <w:spacing w:after="200"/>
              <w:rPr>
                <w:rFonts w:eastAsia="Mangal"/>
                <w:sz w:val="22"/>
                <w:szCs w:val="22"/>
                <w:lang w:val="sr-Latn-ME" w:eastAsia="zh-CN"/>
              </w:rPr>
            </w:pPr>
            <w:r w:rsidRPr="00B90281">
              <w:rPr>
                <w:rFonts w:eastAsia="Mangal"/>
                <w:sz w:val="22"/>
                <w:szCs w:val="22"/>
                <w:lang w:val="sr-Latn-ME" w:eastAsia="zh-CN"/>
              </w:rPr>
              <w:t>9</w:t>
            </w:r>
            <w:r w:rsidR="003F5A87" w:rsidRPr="00B90281">
              <w:rPr>
                <w:rFonts w:eastAsia="Mangal"/>
                <w:sz w:val="22"/>
                <w:szCs w:val="22"/>
                <w:lang w:val="sr-Latn-ME" w:eastAsia="zh-CN"/>
              </w:rPr>
              <w:t xml:space="preserve"> </w:t>
            </w:r>
            <w:r w:rsidRPr="00B90281">
              <w:rPr>
                <w:rFonts w:eastAsia="Mangal"/>
                <w:sz w:val="22"/>
                <w:szCs w:val="22"/>
                <w:lang w:val="sr-Latn-ME" w:eastAsia="zh-CN"/>
              </w:rPr>
              <w:t>(6)</w:t>
            </w:r>
          </w:p>
        </w:tc>
      </w:tr>
      <w:tr w:rsidR="0089768A" w:rsidRPr="00B90281" w:rsidTr="00D45B76">
        <w:trPr>
          <w:trHeight w:val="2422"/>
        </w:trPr>
        <w:tc>
          <w:tcPr>
            <w:tcW w:w="2262" w:type="pct"/>
            <w:shd w:val="clear" w:color="auto" w:fill="auto"/>
          </w:tcPr>
          <w:p w:rsidR="0089768A" w:rsidRPr="00B90281" w:rsidRDefault="00C76B22" w:rsidP="0089768A">
            <w:pPr>
              <w:suppressAutoHyphens/>
              <w:spacing w:after="200"/>
              <w:jc w:val="both"/>
              <w:rPr>
                <w:rFonts w:eastAsia="Mangal"/>
                <w:b/>
                <w:sz w:val="22"/>
                <w:szCs w:val="22"/>
                <w:lang w:val="sr-Latn-ME" w:eastAsia="zh-CN"/>
              </w:rPr>
            </w:pPr>
            <w:r w:rsidRPr="00B90281">
              <w:rPr>
                <w:rFonts w:eastAsia="Mangal"/>
                <w:b/>
                <w:sz w:val="22"/>
                <w:szCs w:val="22"/>
                <w:lang w:val="sr-Latn-ME" w:eastAsia="zh-CN"/>
              </w:rPr>
              <w:t xml:space="preserve">Stopa </w:t>
            </w:r>
            <w:r w:rsidR="0089768A" w:rsidRPr="00B90281">
              <w:rPr>
                <w:rFonts w:eastAsia="Mangal"/>
                <w:b/>
                <w:sz w:val="22"/>
                <w:szCs w:val="22"/>
                <w:lang w:val="sr-Latn-ME" w:eastAsia="zh-CN"/>
              </w:rPr>
              <w:t>odgovora nakon 8 ciklusa</w:t>
            </w:r>
            <w:r w:rsidRPr="00B90281">
              <w:rPr>
                <w:rFonts w:eastAsia="Mangal"/>
                <w:b/>
                <w:sz w:val="22"/>
                <w:szCs w:val="22"/>
                <w:lang w:val="sr-Latn-ME" w:eastAsia="zh-CN"/>
              </w:rPr>
              <w:t xml:space="preserve"> </w:t>
            </w:r>
            <w:r w:rsidR="0089768A" w:rsidRPr="00B90281">
              <w:rPr>
                <w:rFonts w:eastAsia="Mangal"/>
                <w:b/>
                <w:sz w:val="22"/>
                <w:szCs w:val="22"/>
                <w:lang w:val="sr-Latn-ME" w:eastAsia="zh-CN"/>
              </w:rPr>
              <w:t>n (%)</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ORR (CR+PR)</w:t>
            </w:r>
          </w:p>
          <w:p w:rsidR="0089768A" w:rsidRPr="00B90281" w:rsidRDefault="0089768A" w:rsidP="0089768A">
            <w:pPr>
              <w:suppressAutoHyphens/>
              <w:spacing w:after="200"/>
              <w:jc w:val="both"/>
              <w:rPr>
                <w:rFonts w:eastAsia="Mangal"/>
                <w:sz w:val="22"/>
                <w:szCs w:val="22"/>
                <w:vertAlign w:val="superscript"/>
                <w:lang w:val="sr-Latn-ME" w:eastAsia="zh-CN"/>
              </w:rPr>
            </w:pPr>
            <w:r w:rsidRPr="00B90281">
              <w:rPr>
                <w:rFonts w:eastAsia="Mangal"/>
                <w:sz w:val="22"/>
                <w:szCs w:val="22"/>
                <w:lang w:val="sr-Latn-ME" w:eastAsia="zh-CN"/>
              </w:rPr>
              <w:t>p-vrijednost</w:t>
            </w:r>
            <w:r w:rsidRPr="00B90281">
              <w:rPr>
                <w:rFonts w:eastAsia="Mangal"/>
                <w:sz w:val="22"/>
                <w:szCs w:val="22"/>
                <w:vertAlign w:val="superscript"/>
                <w:lang w:val="sr-Latn-ME" w:eastAsia="zh-CN"/>
              </w:rPr>
              <w:t>a</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CR n (%)</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PR n (%)</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nCR n</w:t>
            </w:r>
          </w:p>
        </w:tc>
        <w:tc>
          <w:tcPr>
            <w:tcW w:w="1337" w:type="pct"/>
            <w:shd w:val="clear" w:color="auto" w:fill="auto"/>
          </w:tcPr>
          <w:p w:rsidR="0089768A" w:rsidRPr="00B90281" w:rsidRDefault="0089768A" w:rsidP="0089768A">
            <w:pPr>
              <w:suppressAutoHyphens/>
              <w:spacing w:after="200"/>
              <w:jc w:val="both"/>
              <w:rPr>
                <w:rFonts w:eastAsia="Mangal"/>
                <w:sz w:val="22"/>
                <w:szCs w:val="22"/>
                <w:lang w:val="sr-Latn-ME" w:eastAsia="zh-CN"/>
              </w:rPr>
            </w:pP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38</w:t>
            </w:r>
            <w:r w:rsidR="003F5A87" w:rsidRPr="00B90281">
              <w:rPr>
                <w:rFonts w:eastAsia="Mangal"/>
                <w:sz w:val="22"/>
                <w:szCs w:val="22"/>
                <w:lang w:val="sr-Latn-ME" w:eastAsia="zh-CN"/>
              </w:rPr>
              <w:t xml:space="preserve"> </w:t>
            </w:r>
            <w:r w:rsidRPr="00B90281">
              <w:rPr>
                <w:rFonts w:eastAsia="Mangal"/>
                <w:sz w:val="22"/>
                <w:szCs w:val="22"/>
                <w:lang w:val="sr-Latn-ME" w:eastAsia="zh-CN"/>
              </w:rPr>
              <w:t>(52)</w:t>
            </w:r>
          </w:p>
          <w:p w:rsidR="0089768A" w:rsidRPr="00B90281" w:rsidRDefault="00C76B22"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 xml:space="preserve">                         </w:t>
            </w:r>
            <w:r w:rsidR="0089768A" w:rsidRPr="00B90281">
              <w:rPr>
                <w:rFonts w:eastAsia="Mangal"/>
                <w:sz w:val="22"/>
                <w:szCs w:val="22"/>
                <w:lang w:val="sr-Latn-ME" w:eastAsia="zh-CN"/>
              </w:rPr>
              <w:t>0,0001</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9</w:t>
            </w:r>
            <w:r w:rsidR="003F5A87" w:rsidRPr="00B90281">
              <w:rPr>
                <w:rFonts w:eastAsia="Mangal"/>
                <w:sz w:val="22"/>
                <w:szCs w:val="22"/>
                <w:lang w:val="sr-Latn-ME" w:eastAsia="zh-CN"/>
              </w:rPr>
              <w:t xml:space="preserve"> </w:t>
            </w:r>
            <w:r w:rsidRPr="00B90281">
              <w:rPr>
                <w:rFonts w:eastAsia="Mangal"/>
                <w:sz w:val="22"/>
                <w:szCs w:val="22"/>
                <w:lang w:val="sr-Latn-ME" w:eastAsia="zh-CN"/>
              </w:rPr>
              <w:t>(12)</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29</w:t>
            </w:r>
            <w:r w:rsidR="003F5A87" w:rsidRPr="00B90281">
              <w:rPr>
                <w:rFonts w:eastAsia="Mangal"/>
                <w:sz w:val="22"/>
                <w:szCs w:val="22"/>
                <w:lang w:val="sr-Latn-ME" w:eastAsia="zh-CN"/>
              </w:rPr>
              <w:t xml:space="preserve"> </w:t>
            </w:r>
            <w:r w:rsidRPr="00B90281">
              <w:rPr>
                <w:rFonts w:eastAsia="Mangal"/>
                <w:sz w:val="22"/>
                <w:szCs w:val="22"/>
                <w:lang w:val="sr-Latn-ME" w:eastAsia="zh-CN"/>
              </w:rPr>
              <w:t>(40)</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7</w:t>
            </w:r>
            <w:r w:rsidR="003F5A87" w:rsidRPr="00B90281">
              <w:rPr>
                <w:rFonts w:eastAsia="Mangal"/>
                <w:sz w:val="22"/>
                <w:szCs w:val="22"/>
                <w:lang w:val="sr-Latn-ME" w:eastAsia="zh-CN"/>
              </w:rPr>
              <w:t xml:space="preserve"> </w:t>
            </w:r>
            <w:r w:rsidRPr="00B90281">
              <w:rPr>
                <w:rFonts w:eastAsia="Mangal"/>
                <w:sz w:val="22"/>
                <w:szCs w:val="22"/>
                <w:lang w:val="sr-Latn-ME" w:eastAsia="zh-CN"/>
              </w:rPr>
              <w:t>(10)</w:t>
            </w:r>
          </w:p>
        </w:tc>
        <w:tc>
          <w:tcPr>
            <w:tcW w:w="1401" w:type="pct"/>
            <w:shd w:val="clear" w:color="auto" w:fill="auto"/>
          </w:tcPr>
          <w:p w:rsidR="0089768A" w:rsidRPr="00B90281" w:rsidRDefault="0089768A" w:rsidP="0089768A">
            <w:pPr>
              <w:suppressAutoHyphens/>
              <w:spacing w:after="200"/>
              <w:jc w:val="both"/>
              <w:rPr>
                <w:rFonts w:eastAsia="Mangal"/>
                <w:sz w:val="22"/>
                <w:szCs w:val="22"/>
                <w:lang w:val="sr-Latn-ME" w:eastAsia="zh-CN"/>
              </w:rPr>
            </w:pP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76 (52)</w:t>
            </w:r>
          </w:p>
          <w:p w:rsidR="0089768A" w:rsidRPr="00B90281" w:rsidRDefault="0089768A" w:rsidP="0089768A">
            <w:pPr>
              <w:suppressAutoHyphens/>
              <w:spacing w:after="200"/>
              <w:jc w:val="both"/>
              <w:rPr>
                <w:rFonts w:eastAsia="Mangal"/>
                <w:sz w:val="22"/>
                <w:szCs w:val="22"/>
                <w:lang w:val="sr-Latn-ME" w:eastAsia="zh-CN"/>
              </w:rPr>
            </w:pP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15</w:t>
            </w:r>
            <w:r w:rsidR="003F5A87" w:rsidRPr="00B90281">
              <w:rPr>
                <w:rFonts w:eastAsia="Mangal"/>
                <w:sz w:val="22"/>
                <w:szCs w:val="22"/>
                <w:lang w:val="sr-Latn-ME" w:eastAsia="zh-CN"/>
              </w:rPr>
              <w:t xml:space="preserve"> </w:t>
            </w:r>
            <w:r w:rsidRPr="00B90281">
              <w:rPr>
                <w:rFonts w:eastAsia="Mangal"/>
                <w:sz w:val="22"/>
                <w:szCs w:val="22"/>
                <w:lang w:val="sr-Latn-ME" w:eastAsia="zh-CN"/>
              </w:rPr>
              <w:t>(10)</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61</w:t>
            </w:r>
            <w:r w:rsidR="003F5A87" w:rsidRPr="00B90281">
              <w:rPr>
                <w:rFonts w:eastAsia="Mangal"/>
                <w:sz w:val="22"/>
                <w:szCs w:val="22"/>
                <w:lang w:val="sr-Latn-ME" w:eastAsia="zh-CN"/>
              </w:rPr>
              <w:t xml:space="preserve"> </w:t>
            </w:r>
            <w:r w:rsidRPr="00B90281">
              <w:rPr>
                <w:rFonts w:eastAsia="Mangal"/>
                <w:sz w:val="22"/>
                <w:szCs w:val="22"/>
                <w:lang w:val="sr-Latn-ME" w:eastAsia="zh-CN"/>
              </w:rPr>
              <w:t>(42)</w:t>
            </w:r>
          </w:p>
          <w:p w:rsidR="0089768A" w:rsidRPr="00B90281" w:rsidRDefault="0089768A" w:rsidP="0089768A">
            <w:pPr>
              <w:suppressAutoHyphens/>
              <w:spacing w:after="200"/>
              <w:jc w:val="both"/>
              <w:rPr>
                <w:rFonts w:eastAsia="Mangal"/>
                <w:sz w:val="22"/>
                <w:szCs w:val="22"/>
                <w:lang w:val="sr-Latn-ME" w:eastAsia="zh-CN"/>
              </w:rPr>
            </w:pPr>
            <w:r w:rsidRPr="00B90281">
              <w:rPr>
                <w:rFonts w:eastAsia="Mangal"/>
                <w:sz w:val="22"/>
                <w:szCs w:val="22"/>
                <w:lang w:val="sr-Latn-ME" w:eastAsia="zh-CN"/>
              </w:rPr>
              <w:t>14</w:t>
            </w:r>
            <w:r w:rsidR="003F5A87" w:rsidRPr="00B90281">
              <w:rPr>
                <w:rFonts w:eastAsia="Mangal"/>
                <w:sz w:val="22"/>
                <w:szCs w:val="22"/>
                <w:lang w:val="sr-Latn-ME" w:eastAsia="zh-CN"/>
              </w:rPr>
              <w:t xml:space="preserve"> </w:t>
            </w:r>
            <w:r w:rsidRPr="00B90281">
              <w:rPr>
                <w:rFonts w:eastAsia="Mangal"/>
                <w:sz w:val="22"/>
                <w:szCs w:val="22"/>
                <w:lang w:val="sr-Latn-ME" w:eastAsia="zh-CN"/>
              </w:rPr>
              <w:t>(10)</w:t>
            </w:r>
          </w:p>
        </w:tc>
      </w:tr>
      <w:tr w:rsidR="0089768A" w:rsidRPr="00B90281" w:rsidTr="00D45B76">
        <w:tc>
          <w:tcPr>
            <w:tcW w:w="2262" w:type="pct"/>
            <w:shd w:val="clear" w:color="auto" w:fill="auto"/>
          </w:tcPr>
          <w:p w:rsidR="0089768A" w:rsidRPr="00B90281" w:rsidRDefault="0089768A" w:rsidP="0089768A">
            <w:pPr>
              <w:suppressAutoHyphens/>
              <w:autoSpaceDE w:val="0"/>
              <w:rPr>
                <w:rFonts w:eastAsia="Microsoft YaHei"/>
                <w:b/>
                <w:bCs/>
                <w:color w:val="000000"/>
                <w:sz w:val="22"/>
                <w:szCs w:val="22"/>
                <w:vertAlign w:val="superscript"/>
                <w:lang w:val="sr-Latn-ME" w:eastAsia="hr-HR"/>
              </w:rPr>
            </w:pPr>
            <w:r w:rsidRPr="00B90281">
              <w:rPr>
                <w:rFonts w:eastAsia="Microsoft YaHei"/>
                <w:b/>
                <w:bCs/>
                <w:color w:val="000000"/>
                <w:sz w:val="22"/>
                <w:szCs w:val="22"/>
                <w:lang w:val="sr-Latn-ME" w:eastAsia="hr-HR"/>
              </w:rPr>
              <w:t>Populacija predviđena za terapiju</w:t>
            </w:r>
            <w:r w:rsidRPr="00B90281">
              <w:rPr>
                <w:rFonts w:eastAsia="Microsoft YaHei"/>
                <w:b/>
                <w:bCs/>
                <w:color w:val="000000"/>
                <w:sz w:val="22"/>
                <w:szCs w:val="22"/>
                <w:vertAlign w:val="superscript"/>
                <w:lang w:val="sr-Latn-ME" w:eastAsia="hr-HR"/>
              </w:rPr>
              <w:t>b</w:t>
            </w:r>
          </w:p>
        </w:tc>
        <w:tc>
          <w:tcPr>
            <w:tcW w:w="1337" w:type="pct"/>
            <w:shd w:val="clear" w:color="auto" w:fill="auto"/>
          </w:tcPr>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n=74</w:t>
            </w:r>
          </w:p>
        </w:tc>
        <w:tc>
          <w:tcPr>
            <w:tcW w:w="1401" w:type="pct"/>
            <w:shd w:val="clear" w:color="auto" w:fill="auto"/>
          </w:tcPr>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n=148</w:t>
            </w:r>
          </w:p>
        </w:tc>
      </w:tr>
      <w:tr w:rsidR="0089768A" w:rsidRPr="00B90281" w:rsidTr="00D45B76">
        <w:trPr>
          <w:trHeight w:val="1136"/>
        </w:trPr>
        <w:tc>
          <w:tcPr>
            <w:tcW w:w="2262" w:type="pct"/>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TTP (mjesec</w:t>
            </w:r>
            <w:r w:rsidR="0083334D" w:rsidRPr="00B90281">
              <w:rPr>
                <w:rFonts w:eastAsia="Microsoft YaHei"/>
                <w:bCs/>
                <w:color w:val="000000"/>
                <w:sz w:val="22"/>
                <w:szCs w:val="22"/>
                <w:lang w:val="sr-Latn-ME" w:eastAsia="hr-HR"/>
              </w:rPr>
              <w:t>i</w:t>
            </w:r>
            <w:r w:rsidRPr="00B90281">
              <w:rPr>
                <w:rFonts w:eastAsia="Microsoft YaHei"/>
                <w:bCs/>
                <w:color w:val="000000"/>
                <w:sz w:val="22"/>
                <w:szCs w:val="22"/>
                <w:lang w:val="sr-Latn-ME" w:eastAsia="hr-HR"/>
              </w:rPr>
              <w:t>)</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(95%CI)</w:t>
            </w:r>
          </w:p>
          <w:p w:rsidR="0089768A" w:rsidRPr="00B90281" w:rsidRDefault="0089768A" w:rsidP="0089768A">
            <w:pPr>
              <w:suppressAutoHyphens/>
              <w:spacing w:after="200"/>
              <w:rPr>
                <w:rFonts w:eastAsia="Mangal"/>
                <w:sz w:val="22"/>
                <w:szCs w:val="22"/>
                <w:vertAlign w:val="superscript"/>
                <w:lang w:val="sr-Latn-ME" w:eastAsia="hr-HR"/>
              </w:rPr>
            </w:pPr>
            <w:r w:rsidRPr="00B90281">
              <w:rPr>
                <w:rFonts w:eastAsia="Mangal"/>
                <w:sz w:val="22"/>
                <w:szCs w:val="22"/>
                <w:lang w:val="sr-Latn-ME" w:eastAsia="hr-HR"/>
              </w:rPr>
              <w:t>Odnos rizika (95%CI)</w:t>
            </w:r>
            <w:r w:rsidRPr="00B90281">
              <w:rPr>
                <w:rFonts w:eastAsia="Mangal"/>
                <w:sz w:val="22"/>
                <w:szCs w:val="22"/>
                <w:vertAlign w:val="superscript"/>
                <w:lang w:val="sr-Latn-ME" w:eastAsia="hr-HR"/>
              </w:rPr>
              <w:t>c</w:t>
            </w:r>
          </w:p>
          <w:p w:rsidR="0089768A" w:rsidRPr="00B90281" w:rsidRDefault="0089768A" w:rsidP="0089768A">
            <w:pPr>
              <w:suppressAutoHyphens/>
              <w:spacing w:after="200"/>
              <w:rPr>
                <w:rFonts w:eastAsia="Mangal"/>
                <w:sz w:val="22"/>
                <w:szCs w:val="22"/>
                <w:vertAlign w:val="superscript"/>
                <w:lang w:val="sr-Latn-ME" w:eastAsia="hr-HR"/>
              </w:rPr>
            </w:pPr>
            <w:r w:rsidRPr="00B90281">
              <w:rPr>
                <w:rFonts w:eastAsia="Mangal"/>
                <w:sz w:val="22"/>
                <w:szCs w:val="22"/>
                <w:lang w:val="sr-Latn-ME" w:eastAsia="hr-HR"/>
              </w:rPr>
              <w:t>p-vrijednost</w:t>
            </w:r>
          </w:p>
        </w:tc>
        <w:tc>
          <w:tcPr>
            <w:tcW w:w="1337" w:type="pct"/>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9,4</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(7,6;10,6)</w:t>
            </w:r>
          </w:p>
          <w:p w:rsidR="0089768A" w:rsidRPr="00B90281" w:rsidRDefault="0083334D"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       </w:t>
            </w:r>
            <w:r w:rsidR="0089768A" w:rsidRPr="00B90281">
              <w:rPr>
                <w:rFonts w:eastAsia="Microsoft YaHei"/>
                <w:bCs/>
                <w:color w:val="000000"/>
                <w:sz w:val="22"/>
                <w:szCs w:val="22"/>
                <w:lang w:val="sr-Latn-ME" w:eastAsia="hr-HR"/>
              </w:rPr>
              <w:t>0,839 (0,564;1,249)</w:t>
            </w:r>
            <w:r w:rsidR="0089768A" w:rsidRPr="00B90281">
              <w:rPr>
                <w:rFonts w:eastAsia="Microsoft YaHei"/>
                <w:bCs/>
                <w:color w:val="000000"/>
                <w:sz w:val="22"/>
                <w:szCs w:val="22"/>
                <w:vertAlign w:val="superscript"/>
                <w:lang w:val="sr-Latn-ME" w:eastAsia="hr-HR"/>
              </w:rPr>
              <w:t>..</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3334D"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                </w:t>
            </w:r>
            <w:r w:rsidR="0089768A" w:rsidRPr="00B90281">
              <w:rPr>
                <w:rFonts w:eastAsia="Microsoft YaHei"/>
                <w:bCs/>
                <w:color w:val="000000"/>
                <w:sz w:val="22"/>
                <w:szCs w:val="22"/>
                <w:lang w:val="sr-Latn-ME" w:eastAsia="hr-HR"/>
              </w:rPr>
              <w:t>0,38657</w:t>
            </w:r>
          </w:p>
        </w:tc>
        <w:tc>
          <w:tcPr>
            <w:tcW w:w="1401" w:type="pct"/>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10,4</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(8,5;11,7)</w:t>
            </w:r>
          </w:p>
          <w:p w:rsidR="0089768A" w:rsidRPr="00B90281" w:rsidRDefault="0089768A" w:rsidP="0089768A">
            <w:pPr>
              <w:suppressAutoHyphens/>
              <w:autoSpaceDE w:val="0"/>
              <w:rPr>
                <w:rFonts w:eastAsia="Microsoft YaHei"/>
                <w:bCs/>
                <w:color w:val="000000"/>
                <w:sz w:val="22"/>
                <w:szCs w:val="22"/>
                <w:lang w:val="sr-Latn-ME" w:eastAsia="hr-HR"/>
              </w:rPr>
            </w:pPr>
          </w:p>
        </w:tc>
      </w:tr>
      <w:tr w:rsidR="0089768A" w:rsidRPr="00B90281" w:rsidTr="00D45B76">
        <w:tc>
          <w:tcPr>
            <w:tcW w:w="2262" w:type="pct"/>
            <w:shd w:val="clear" w:color="auto" w:fill="auto"/>
          </w:tcPr>
          <w:p w:rsidR="0089768A" w:rsidRPr="00B90281" w:rsidRDefault="0089768A" w:rsidP="0089768A">
            <w:pPr>
              <w:suppressAutoHyphens/>
              <w:autoSpaceDE w:val="0"/>
              <w:rPr>
                <w:rFonts w:eastAsia="Microsoft YaHei"/>
                <w:b/>
                <w:bCs/>
                <w:color w:val="000000"/>
                <w:sz w:val="22"/>
                <w:szCs w:val="22"/>
                <w:lang w:val="sr-Latn-ME" w:eastAsia="hr-HR"/>
              </w:rPr>
            </w:pPr>
            <w:r w:rsidRPr="00B90281">
              <w:rPr>
                <w:rFonts w:eastAsia="Microsoft YaHei"/>
                <w:b/>
                <w:bCs/>
                <w:color w:val="000000"/>
                <w:sz w:val="22"/>
                <w:szCs w:val="22"/>
                <w:lang w:val="sr-Latn-ME" w:eastAsia="hr-HR"/>
              </w:rPr>
              <w:t>Preživljavanje bez progresije tumora (u mjesecima)</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(95%CI)</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Odnos rizika (95%CI)</w:t>
            </w:r>
            <w:r w:rsidRPr="00B90281">
              <w:rPr>
                <w:rFonts w:eastAsia="Microsoft YaHei"/>
                <w:bCs/>
                <w:color w:val="000000"/>
                <w:sz w:val="22"/>
                <w:szCs w:val="22"/>
                <w:vertAlign w:val="superscript"/>
                <w:lang w:val="sr-Latn-ME" w:eastAsia="hr-HR"/>
              </w:rPr>
              <w:t>C</w:t>
            </w:r>
          </w:p>
          <w:p w:rsidR="0089768A" w:rsidRPr="00B90281" w:rsidRDefault="0089768A" w:rsidP="0089768A">
            <w:pPr>
              <w:suppressAutoHyphens/>
              <w:autoSpaceDE w:val="0"/>
              <w:rPr>
                <w:rFonts w:eastAsia="Microsoft YaHei"/>
                <w:b/>
                <w:bCs/>
                <w:color w:val="000000"/>
                <w:sz w:val="22"/>
                <w:szCs w:val="22"/>
                <w:vertAlign w:val="superscript"/>
                <w:lang w:val="sr-Latn-ME" w:eastAsia="hr-HR"/>
              </w:rPr>
            </w:pPr>
            <w:r w:rsidRPr="00B90281">
              <w:rPr>
                <w:rFonts w:eastAsia="Microsoft YaHei"/>
                <w:bCs/>
                <w:color w:val="000000"/>
                <w:sz w:val="22"/>
                <w:szCs w:val="22"/>
                <w:lang w:val="sr-Latn-ME" w:eastAsia="hr-HR"/>
              </w:rPr>
              <w:t>p-vrijednost</w:t>
            </w:r>
            <w:r w:rsidRPr="00B90281">
              <w:rPr>
                <w:rFonts w:eastAsia="Microsoft YaHei"/>
                <w:bCs/>
                <w:color w:val="000000"/>
                <w:sz w:val="22"/>
                <w:szCs w:val="22"/>
                <w:vertAlign w:val="superscript"/>
                <w:lang w:val="sr-Latn-ME" w:eastAsia="hr-HR"/>
              </w:rPr>
              <w:t>d</w:t>
            </w:r>
          </w:p>
        </w:tc>
        <w:tc>
          <w:tcPr>
            <w:tcW w:w="1337" w:type="pct"/>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8</w:t>
            </w:r>
            <w:r w:rsidR="0083334D" w:rsidRPr="00B90281">
              <w:rPr>
                <w:rFonts w:eastAsia="Microsoft YaHei"/>
                <w:bCs/>
                <w:color w:val="000000"/>
                <w:sz w:val="22"/>
                <w:szCs w:val="22"/>
                <w:lang w:val="sr-Latn-ME" w:eastAsia="hr-HR"/>
              </w:rPr>
              <w:t>,0</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(6,7;9,8)</w:t>
            </w:r>
          </w:p>
          <w:p w:rsidR="0089768A" w:rsidRPr="00B90281" w:rsidRDefault="0083334D"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       </w:t>
            </w:r>
            <w:r w:rsidR="0089768A" w:rsidRPr="00B90281">
              <w:rPr>
                <w:rFonts w:eastAsia="Microsoft YaHei"/>
                <w:bCs/>
                <w:color w:val="000000"/>
                <w:sz w:val="22"/>
                <w:szCs w:val="22"/>
                <w:lang w:val="sr-Latn-ME" w:eastAsia="hr-HR"/>
              </w:rPr>
              <w:t>0,824 (0,574;1,183)</w:t>
            </w:r>
          </w:p>
          <w:p w:rsidR="0089768A" w:rsidRPr="00B90281" w:rsidRDefault="0083334D"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                    </w:t>
            </w:r>
            <w:r w:rsidR="0089768A" w:rsidRPr="00B90281">
              <w:rPr>
                <w:rFonts w:eastAsia="Microsoft YaHei"/>
                <w:bCs/>
                <w:color w:val="000000"/>
                <w:sz w:val="22"/>
                <w:szCs w:val="22"/>
                <w:lang w:val="sr-Latn-ME" w:eastAsia="hr-HR"/>
              </w:rPr>
              <w:t>0,295</w:t>
            </w:r>
          </w:p>
        </w:tc>
        <w:tc>
          <w:tcPr>
            <w:tcW w:w="1401" w:type="pct"/>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10,2</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(8,1;10,8)</w:t>
            </w:r>
          </w:p>
        </w:tc>
      </w:tr>
      <w:tr w:rsidR="0089768A" w:rsidRPr="00B90281" w:rsidTr="00D45B76">
        <w:tc>
          <w:tcPr>
            <w:tcW w:w="2262" w:type="pct"/>
            <w:shd w:val="clear" w:color="auto" w:fill="auto"/>
          </w:tcPr>
          <w:p w:rsidR="0089768A" w:rsidRPr="00B90281" w:rsidRDefault="0089768A" w:rsidP="0089768A">
            <w:pPr>
              <w:suppressAutoHyphens/>
              <w:autoSpaceDE w:val="0"/>
              <w:rPr>
                <w:rFonts w:eastAsia="Microsoft YaHei"/>
                <w:bCs/>
                <w:color w:val="000000"/>
                <w:sz w:val="22"/>
                <w:szCs w:val="22"/>
                <w:vertAlign w:val="superscript"/>
                <w:lang w:val="sr-Latn-ME" w:eastAsia="hr-HR"/>
              </w:rPr>
            </w:pPr>
            <w:r w:rsidRPr="00B90281">
              <w:rPr>
                <w:rFonts w:eastAsia="Microsoft YaHei"/>
                <w:bCs/>
                <w:color w:val="000000"/>
                <w:sz w:val="22"/>
                <w:szCs w:val="22"/>
                <w:lang w:val="sr-Latn-ME" w:eastAsia="hr-HR"/>
              </w:rPr>
              <w:t>Preživljavanja od jedne godine (%)</w:t>
            </w:r>
            <w:r w:rsidRPr="00B90281">
              <w:rPr>
                <w:rFonts w:eastAsia="Microsoft YaHei"/>
                <w:bCs/>
                <w:color w:val="000000"/>
                <w:sz w:val="22"/>
                <w:szCs w:val="22"/>
                <w:vertAlign w:val="superscript"/>
                <w:lang w:val="sr-Latn-ME" w:eastAsia="hr-HR"/>
              </w:rPr>
              <w:t>e</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(95%CI)</w:t>
            </w:r>
          </w:p>
        </w:tc>
        <w:tc>
          <w:tcPr>
            <w:tcW w:w="1337" w:type="pct"/>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76,7</w:t>
            </w: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(64,1;85,4)</w:t>
            </w:r>
          </w:p>
        </w:tc>
        <w:tc>
          <w:tcPr>
            <w:tcW w:w="1401" w:type="pct"/>
            <w:shd w:val="clear" w:color="auto" w:fill="auto"/>
          </w:tcPr>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72,6</w:t>
            </w:r>
          </w:p>
          <w:p w:rsidR="0089768A" w:rsidRPr="00B90281" w:rsidRDefault="003F5A87"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w:t>
            </w:r>
            <w:r w:rsidR="0089768A" w:rsidRPr="00B90281">
              <w:rPr>
                <w:rFonts w:eastAsia="Microsoft YaHei"/>
                <w:bCs/>
                <w:color w:val="000000"/>
                <w:sz w:val="22"/>
                <w:szCs w:val="22"/>
                <w:lang w:val="sr-Latn-ME" w:eastAsia="hr-HR"/>
              </w:rPr>
              <w:t>63,1;80,0)</w:t>
            </w:r>
          </w:p>
        </w:tc>
      </w:tr>
    </w:tbl>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a p-vrijednost za hipotezu neinferiornosti u s.c grupi ostaje na najmanje 60% stop</w:t>
      </w:r>
      <w:r w:rsidR="000A3EB2" w:rsidRPr="00D31597">
        <w:rPr>
          <w:rFonts w:eastAsia="Microsoft YaHei"/>
          <w:bCs/>
          <w:color w:val="000000"/>
          <w:sz w:val="20"/>
          <w:szCs w:val="22"/>
          <w:lang w:val="sr-Latn-ME" w:eastAsia="hr-HR"/>
        </w:rPr>
        <w:t>e</w:t>
      </w:r>
      <w:r w:rsidRPr="00D31597">
        <w:rPr>
          <w:rFonts w:eastAsia="Microsoft YaHei"/>
          <w:bCs/>
          <w:color w:val="000000"/>
          <w:sz w:val="20"/>
          <w:szCs w:val="22"/>
          <w:lang w:val="sr-Latn-ME" w:eastAsia="hr-HR"/>
        </w:rPr>
        <w:t xml:space="preserve"> odgovora u odnosu na i.v grupu</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b 222 ispitanika bilo je uključeno u ispitivanje; 221 ispitanik je dobijao bortezomib kao terapiju</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lastRenderedPageBreak/>
        <w:t xml:space="preserve">c Procjena odnosa rizika se bazira na Cox-ovom modelu </w:t>
      </w:r>
      <w:r w:rsidR="000A3EB2" w:rsidRPr="00D31597">
        <w:rPr>
          <w:rFonts w:eastAsia="Microsoft YaHei"/>
          <w:bCs/>
          <w:color w:val="000000"/>
          <w:sz w:val="20"/>
          <w:szCs w:val="22"/>
          <w:lang w:val="sr-Latn-ME" w:eastAsia="hr-HR"/>
        </w:rPr>
        <w:t xml:space="preserve">proporcionalnog rizika </w:t>
      </w:r>
      <w:r w:rsidRPr="00D31597">
        <w:rPr>
          <w:rFonts w:eastAsia="Microsoft YaHei"/>
          <w:bCs/>
          <w:color w:val="000000"/>
          <w:sz w:val="20"/>
          <w:szCs w:val="22"/>
          <w:lang w:val="sr-Latn-ME" w:eastAsia="hr-HR"/>
        </w:rPr>
        <w:t>prilagođenom prema faktorima stratifikacije: ISS postavka i broj prethodnih linija.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 xml:space="preserve">d Log rank test prilagođen </w:t>
      </w:r>
      <w:r w:rsidR="000A3EB2" w:rsidRPr="00D31597">
        <w:rPr>
          <w:rFonts w:eastAsia="Microsoft YaHei"/>
          <w:bCs/>
          <w:color w:val="000000"/>
          <w:sz w:val="20"/>
          <w:szCs w:val="22"/>
          <w:lang w:val="sr-Latn-ME" w:eastAsia="hr-HR"/>
        </w:rPr>
        <w:t>za</w:t>
      </w:r>
      <w:r w:rsidRPr="00D31597">
        <w:rPr>
          <w:rFonts w:eastAsia="Microsoft YaHei"/>
          <w:bCs/>
          <w:color w:val="000000"/>
          <w:sz w:val="20"/>
          <w:szCs w:val="22"/>
          <w:lang w:val="sr-Latn-ME" w:eastAsia="hr-HR"/>
        </w:rPr>
        <w:t xml:space="preserve"> faktor</w:t>
      </w:r>
      <w:r w:rsidR="000A3EB2" w:rsidRPr="00D31597">
        <w:rPr>
          <w:rFonts w:eastAsia="Microsoft YaHei"/>
          <w:bCs/>
          <w:color w:val="000000"/>
          <w:sz w:val="20"/>
          <w:szCs w:val="22"/>
          <w:lang w:val="sr-Latn-ME" w:eastAsia="hr-HR"/>
        </w:rPr>
        <w:t>e</w:t>
      </w:r>
      <w:r w:rsidRPr="00D31597">
        <w:rPr>
          <w:rFonts w:eastAsia="Microsoft YaHei"/>
          <w:bCs/>
          <w:color w:val="000000"/>
          <w:sz w:val="20"/>
          <w:szCs w:val="22"/>
          <w:lang w:val="sr-Latn-ME" w:eastAsia="hr-HR"/>
        </w:rPr>
        <w:t xml:space="preserve"> stratifikacije: ISS postavka i broj prethodnih linija.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e Medijana trajanja praćenja je 11,8 mjeseci</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i/>
          <w:iCs/>
          <w:color w:val="000000"/>
          <w:sz w:val="22"/>
          <w:szCs w:val="22"/>
          <w:lang w:val="sr-Latn-ME" w:eastAsia="hr-HR"/>
        </w:rPr>
        <w:t>Kombinovano liječenje bortezomibom sa pegilovanim lipozomalnim doksorubicinom (ispitivanje DOXIL-MMY-3001)</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Randomiz</w:t>
      </w:r>
      <w:r w:rsidR="00B9511D" w:rsidRPr="00B90281">
        <w:rPr>
          <w:rFonts w:eastAsia="Microsoft YaHei"/>
          <w:bCs/>
          <w:color w:val="000000"/>
          <w:sz w:val="22"/>
          <w:szCs w:val="22"/>
          <w:lang w:val="sr-Latn-ME" w:eastAsia="hr-HR"/>
        </w:rPr>
        <w:t>ovano</w:t>
      </w:r>
      <w:r w:rsidRPr="00B90281">
        <w:rPr>
          <w:rFonts w:eastAsia="Microsoft YaHei"/>
          <w:bCs/>
          <w:color w:val="000000"/>
          <w:sz w:val="22"/>
          <w:szCs w:val="22"/>
          <w:lang w:val="sr-Latn-ME" w:eastAsia="hr-HR"/>
        </w:rPr>
        <w:t xml:space="preserve">, otvoreno, multicentrično kliničko ispitivanje faze III sa paralelnim grupama je sprovedeno kod 646 pacijenata i poredilo je bezbjednost i efikasnost terapije bortezomibom u kombinaciji sa pegilovanim lipozomalnim doksorubicinom, u odnosu na monoterapiju bortezomibom, kod pacijenata sa multiplim mijelomom koji su barem jednom prethodno liječeni i kod kojih nije došlo do progresije dok su primali antraciklinsko liječenje. Primarni parametar efikasnosti bilo je vrijeme do progresije (TTP), dok su sekundarni ishodi bili ukupno preživljavanje (OS) ili ukupni stepen odgovora ORR (CR+PR), koristeći kriterijume Evropske grupe za hematologiju i transplantaciju kostne srži (EBMT od engl. </w:t>
      </w:r>
      <w:r w:rsidRPr="00B90281">
        <w:rPr>
          <w:rFonts w:eastAsia="Microsoft YaHei"/>
          <w:bCs/>
          <w:i/>
          <w:color w:val="000000"/>
          <w:sz w:val="22"/>
          <w:szCs w:val="22"/>
          <w:lang w:val="sr-Latn-ME" w:eastAsia="hr-HR"/>
        </w:rPr>
        <w:t>European Group for Blood and Marrow Transplantation</w:t>
      </w:r>
      <w:r w:rsidRPr="00B90281">
        <w:rPr>
          <w:rFonts w:eastAsia="Microsoft YaHei"/>
          <w:bCs/>
          <w:color w:val="000000"/>
          <w:sz w:val="22"/>
          <w:szCs w:val="22"/>
          <w:lang w:val="sr-Latn-ME" w:eastAsia="hr-HR"/>
        </w:rPr>
        <w:t>).</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Protokolom </w:t>
      </w:r>
      <w:r w:rsidR="00B9511D" w:rsidRPr="00B90281">
        <w:rPr>
          <w:rFonts w:eastAsia="Microsoft YaHei"/>
          <w:bCs/>
          <w:color w:val="000000"/>
          <w:sz w:val="22"/>
          <w:szCs w:val="22"/>
          <w:lang w:val="sr-Latn-ME" w:eastAsia="hr-HR"/>
        </w:rPr>
        <w:t xml:space="preserve">ispitivanja </w:t>
      </w:r>
      <w:r w:rsidRPr="00B90281">
        <w:rPr>
          <w:rFonts w:eastAsia="Microsoft YaHei"/>
          <w:bCs/>
          <w:color w:val="000000"/>
          <w:sz w:val="22"/>
          <w:szCs w:val="22"/>
          <w:lang w:val="sr-Latn-ME" w:eastAsia="hr-HR"/>
        </w:rPr>
        <w:t xml:space="preserve">definisana </w:t>
      </w:r>
      <w:r w:rsidR="00B9511D" w:rsidRPr="00B90281">
        <w:rPr>
          <w:rFonts w:eastAsia="Microsoft YaHei"/>
          <w:bCs/>
          <w:color w:val="000000"/>
          <w:sz w:val="22"/>
          <w:szCs w:val="22"/>
          <w:lang w:val="sr-Latn-ME" w:eastAsia="hr-HR"/>
        </w:rPr>
        <w:t xml:space="preserve">prijevremena </w:t>
      </w:r>
      <w:r w:rsidRPr="00B90281">
        <w:rPr>
          <w:rFonts w:eastAsia="Microsoft YaHei"/>
          <w:bCs/>
          <w:color w:val="000000"/>
          <w:sz w:val="22"/>
          <w:szCs w:val="22"/>
          <w:lang w:val="sr-Latn-ME" w:eastAsia="hr-HR"/>
        </w:rPr>
        <w:t xml:space="preserve">analiza (zasnovana na 249 TTP događaja) bila je okidač za prijevremeni prekid studije zbog nedostatka efikasnosti. Ova </w:t>
      </w:r>
      <w:r w:rsidR="00B9511D" w:rsidRPr="00B90281">
        <w:rPr>
          <w:rFonts w:eastAsia="Microsoft YaHei"/>
          <w:bCs/>
          <w:color w:val="000000"/>
          <w:sz w:val="22"/>
          <w:szCs w:val="22"/>
          <w:lang w:val="sr-Latn-ME" w:eastAsia="hr-HR"/>
        </w:rPr>
        <w:t xml:space="preserve">prijevremena analiza </w:t>
      </w:r>
      <w:r w:rsidRPr="00B90281">
        <w:rPr>
          <w:rFonts w:eastAsia="Microsoft YaHei"/>
          <w:bCs/>
          <w:color w:val="000000"/>
          <w:sz w:val="22"/>
          <w:szCs w:val="22"/>
          <w:lang w:val="sr-Latn-ME" w:eastAsia="hr-HR"/>
        </w:rPr>
        <w:t>je pokazala redukciju TTP rizika za 45 % (95 % CI; 29</w:t>
      </w:r>
      <w:r w:rsidRPr="00B90281">
        <w:rPr>
          <w:rFonts w:eastAsia="Microsoft YaHei"/>
          <w:bCs/>
          <w:i/>
          <w:iCs/>
          <w:color w:val="000000"/>
          <w:sz w:val="22"/>
          <w:szCs w:val="22"/>
          <w:lang w:val="sr-Latn-ME" w:eastAsia="hr-HR"/>
        </w:rPr>
        <w:t>-</w:t>
      </w:r>
      <w:r w:rsidRPr="00B90281">
        <w:rPr>
          <w:rFonts w:eastAsia="Microsoft YaHei"/>
          <w:bCs/>
          <w:color w:val="000000"/>
          <w:sz w:val="22"/>
          <w:szCs w:val="22"/>
          <w:lang w:val="sr-Latn-ME" w:eastAsia="hr-HR"/>
        </w:rPr>
        <w:t>57 %, p &lt; 0,0001) za pacijente koji su liječeni kombinacijom bortezomiba i pegilovanim lipozomaln</w:t>
      </w:r>
      <w:r w:rsidR="00B9511D" w:rsidRPr="00B90281">
        <w:rPr>
          <w:rFonts w:eastAsia="Microsoft YaHei"/>
          <w:bCs/>
          <w:color w:val="000000"/>
          <w:sz w:val="22"/>
          <w:szCs w:val="22"/>
          <w:lang w:val="sr-Latn-ME" w:eastAsia="hr-HR"/>
        </w:rPr>
        <w:t>og</w:t>
      </w:r>
      <w:r w:rsidRPr="00B90281">
        <w:rPr>
          <w:rFonts w:eastAsia="Microsoft YaHei"/>
          <w:bCs/>
          <w:color w:val="000000"/>
          <w:sz w:val="22"/>
          <w:szCs w:val="22"/>
          <w:lang w:val="sr-Latn-ME" w:eastAsia="hr-HR"/>
        </w:rPr>
        <w:t xml:space="preserve"> doksorubicin</w:t>
      </w:r>
      <w:r w:rsidR="00B9511D" w:rsidRPr="00B90281">
        <w:rPr>
          <w:rFonts w:eastAsia="Microsoft YaHei"/>
          <w:bCs/>
          <w:color w:val="000000"/>
          <w:sz w:val="22"/>
          <w:szCs w:val="22"/>
          <w:lang w:val="sr-Latn-ME" w:eastAsia="hr-HR"/>
        </w:rPr>
        <w:t>a</w:t>
      </w:r>
      <w:r w:rsidRPr="00B90281">
        <w:rPr>
          <w:rFonts w:eastAsia="Microsoft YaHei"/>
          <w:bCs/>
          <w:color w:val="000000"/>
          <w:sz w:val="22"/>
          <w:szCs w:val="22"/>
          <w:lang w:val="sr-Latn-ME" w:eastAsia="hr-HR"/>
        </w:rPr>
        <w:t xml:space="preserve">. Srednja vrijednost TTP-a je iznosila 6,5 mjeseci u grupi koja je dobijala bortezomib u monoterapiji, u odnosu </w:t>
      </w:r>
      <w:r w:rsidR="00B9511D" w:rsidRPr="00B90281">
        <w:rPr>
          <w:rFonts w:eastAsia="Microsoft YaHei"/>
          <w:bCs/>
          <w:color w:val="000000"/>
          <w:sz w:val="22"/>
          <w:szCs w:val="22"/>
          <w:lang w:val="sr-Latn-ME" w:eastAsia="hr-HR"/>
        </w:rPr>
        <w:t>n</w:t>
      </w:r>
      <w:r w:rsidRPr="00B90281">
        <w:rPr>
          <w:rFonts w:eastAsia="Microsoft YaHei"/>
          <w:bCs/>
          <w:color w:val="000000"/>
          <w:sz w:val="22"/>
          <w:szCs w:val="22"/>
          <w:lang w:val="sr-Latn-ME" w:eastAsia="hr-HR"/>
        </w:rPr>
        <w:t>a 9,3 mjeseci u grupi koja je dobijala kombinaciju bortezomiba i pegilovanog lipozomalnog doksorubicina. Ovi rezultati, iako ni</w:t>
      </w:r>
      <w:r w:rsidR="00B9511D" w:rsidRPr="00B90281">
        <w:rPr>
          <w:rFonts w:eastAsia="Microsoft YaHei"/>
          <w:bCs/>
          <w:color w:val="000000"/>
          <w:sz w:val="22"/>
          <w:szCs w:val="22"/>
          <w:lang w:val="sr-Latn-ME" w:eastAsia="hr-HR"/>
        </w:rPr>
        <w:t>je</w:t>
      </w:r>
      <w:r w:rsidRPr="00B90281">
        <w:rPr>
          <w:rFonts w:eastAsia="Microsoft YaHei"/>
          <w:bCs/>
          <w:color w:val="000000"/>
          <w:sz w:val="22"/>
          <w:szCs w:val="22"/>
          <w:lang w:val="sr-Latn-ME" w:eastAsia="hr-HR"/>
        </w:rPr>
        <w:t xml:space="preserve">su potpuno završeni, predstavljali su konačnu analizu definisanu planom ispitivanja. </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Konačna analiza za ukupno preživljavanje (OS) napravljena nakon medijane praćenja u trajanju od 8,6 godina nije pokazala značajnu razliku u OS između dvije liječene grupe. Medijana OS bila je 30,8 mjeseci (95% CI; 25,2-36,5 mjeseci) za pacijente na monoterapiji bortezomibom, i 33,0 mjeseci (95% CI; 28,9-37,1 mjeseci) za pacijente na kombinovanom liječenju bortezomibom sa pegilovanim lipozomalnim doksorubicinom.</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i/>
          <w:iCs/>
          <w:color w:val="000000"/>
          <w:sz w:val="22"/>
          <w:szCs w:val="22"/>
          <w:lang w:val="sr-Latn-ME" w:eastAsia="hr-HR"/>
        </w:rPr>
        <w:t xml:space="preserve">Kombinovano liječenje </w:t>
      </w:r>
      <w:r w:rsidRPr="00B90281">
        <w:rPr>
          <w:rFonts w:eastAsia="Microsoft YaHei"/>
          <w:bCs/>
          <w:i/>
          <w:color w:val="000000"/>
          <w:sz w:val="22"/>
          <w:szCs w:val="22"/>
          <w:lang w:val="sr-Latn-ME" w:eastAsia="hr-HR"/>
        </w:rPr>
        <w:t>bortezomibom</w:t>
      </w:r>
      <w:r w:rsidRPr="00B90281">
        <w:rPr>
          <w:rFonts w:eastAsia="Microsoft YaHei"/>
          <w:bCs/>
          <w:i/>
          <w:iCs/>
          <w:color w:val="000000"/>
          <w:sz w:val="22"/>
          <w:szCs w:val="22"/>
          <w:lang w:val="sr-Latn-ME" w:eastAsia="hr-HR"/>
        </w:rPr>
        <w:t xml:space="preserve"> sa deksametazonom</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U nedostatku studija u kojima se direktno poredi terapija bortezomibom i bortezomibom u kombinaciji sa deksametazonom kod pacijenata sa progresivnim multiplim mijelomom, sprovedena je statistička analiza </w:t>
      </w:r>
      <w:r w:rsidR="00B9511D" w:rsidRPr="00B90281">
        <w:rPr>
          <w:rFonts w:eastAsia="Microsoft YaHei"/>
          <w:bCs/>
          <w:color w:val="000000"/>
          <w:sz w:val="22"/>
          <w:szCs w:val="22"/>
          <w:lang w:val="sr-Latn-ME" w:eastAsia="hr-HR"/>
        </w:rPr>
        <w:t xml:space="preserve">odgovarajućih </w:t>
      </w:r>
      <w:r w:rsidRPr="00B90281">
        <w:rPr>
          <w:rFonts w:eastAsia="Microsoft YaHei"/>
          <w:bCs/>
          <w:color w:val="000000"/>
          <w:sz w:val="22"/>
          <w:szCs w:val="22"/>
          <w:lang w:val="sr-Latn-ME" w:eastAsia="hr-HR"/>
        </w:rPr>
        <w:t>parova (</w:t>
      </w:r>
      <w:r w:rsidRPr="00B90281">
        <w:rPr>
          <w:rFonts w:eastAsia="Microsoft YaHei"/>
          <w:bCs/>
          <w:i/>
          <w:color w:val="000000"/>
          <w:sz w:val="22"/>
          <w:szCs w:val="22"/>
          <w:lang w:val="sr-Latn-ME" w:eastAsia="hr-HR"/>
        </w:rPr>
        <w:t>matched-pair analysis</w:t>
      </w:r>
      <w:r w:rsidRPr="00B90281">
        <w:rPr>
          <w:rFonts w:eastAsia="Microsoft YaHei"/>
          <w:bCs/>
          <w:color w:val="000000"/>
          <w:sz w:val="22"/>
          <w:szCs w:val="22"/>
          <w:lang w:val="sr-Latn-ME" w:eastAsia="hr-HR"/>
        </w:rPr>
        <w:t xml:space="preserve">) sa ciljem da se uporede rezultati iz nerandomizovane grupe u kojoj je primijenjen bortezomib u kombinaciji sa deksametazonom (otvoreno ispitivanje faze II, MMY-2045), sa rezultatima dobijenim u grupi koja je dobijala bortezomib u monoterapiji, iz </w:t>
      </w:r>
      <w:r w:rsidR="00B9511D" w:rsidRPr="00B90281">
        <w:rPr>
          <w:rFonts w:eastAsia="Microsoft YaHei"/>
          <w:bCs/>
          <w:color w:val="000000"/>
          <w:sz w:val="22"/>
          <w:szCs w:val="22"/>
          <w:lang w:val="sr-Latn-ME" w:eastAsia="hr-HR"/>
        </w:rPr>
        <w:t xml:space="preserve">različitih </w:t>
      </w:r>
      <w:r w:rsidRPr="00B90281">
        <w:rPr>
          <w:rFonts w:eastAsia="Microsoft YaHei"/>
          <w:bCs/>
          <w:color w:val="000000"/>
          <w:sz w:val="22"/>
          <w:szCs w:val="22"/>
          <w:lang w:val="sr-Latn-ME" w:eastAsia="hr-HR"/>
        </w:rPr>
        <w:t xml:space="preserve">ispitivanja faze III (M34101-039 [APEX] i DOXIL MMY-3001), za istu indikaciju. </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Analiza uporednih parova je statistička metoda u kojoj su pacijenti iz terapijske grupe (npr. bortezomib u kombinaciji sa deksametazonom) i pacijenti iz poredbene grupe (npr. bortezomib u monoterapiji) mogli da budu upoređivani uzimajući u obzir varijabilne faktore, pri čemu se pacijenti individualno uparuju. Na ovaj način se minimizuju efekti skrivenih promjenjivih faktora kada se procjenjuju efekti terapije uz upotrebu nerandomizovanih podataka. </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Identifikovano je 127 odgovarajućih parova. Analiza je pokazala poboljšani ORR (CR+PR) (odnos izgleda 3,769; 95% CI 2,045-6,947; p &lt; 0,001), PFS (odnos hazarda 0,511; 95% CI 0,309-0,845; p=0,008), TTP (odnos hazarda 0,385; 95% CI 0,212-0,698; p=0,001) za bortezomib u kombinaciji sa deksametazonom u odnosu na monoterapiju bortezomibom.</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Dostupni su ograničeni podaci o ponovljenom liječenju bortezomibom pri relapsu mulitiplog mijeloma. Otvoreno ispitivanje faze II sa jednom grupom, MMY-2036 (RETRIEVE), sprovedeno je kako bi se utvrdile efikasnost i bezbjednost ponovljenog liječenja bortezomibom. 130 pacijenata (starijih od 18 godina) sa multiplim mijelomom koji su prethodno postigli barem parcijalan odgovor na terapijski režim koji je uključivao bortezomib, ponovo je dobilo istu terapiju nakon progresije tumora. Najmanje 6 mjeseci nakon prethodne terapije, inicirana je primjena bortezomiba u posljednjoj podnošljivoj dozi od 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(n=93) ili ≤ 1,0 mg/ 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(n=37) primijenjenim 1., zatim 4., 8. i 11. dana na svake 3 nedjelje u maksimalno 8 terapijskih ciklusa, bilo kao monoterapija ili u kombinaciji sa deksametazonom u skladu sa standardnim liječenjem. Deksametazon je primijenjen u kombinaciji sa bortezomibom kod 83 pacijenta u 1. ciklusu, zatim kod dodatnih 11 pacijenata koji su deksametazon primili tokom ponovog liječenja bortezomibom.</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lastRenderedPageBreak/>
        <w:t>Primarni parametar efikasnosti je predstavljao najbolji potvrđeni odgovor na ponovljenu terapiju, u skladu sa EBMT kriterijumima. Ukupni stepen najboljeg odgovora (CR + PR), za ponovljenu terapiju kod 130 pacijenata iznosio je 38,5% (95% CI: 30,1, 47,4).</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color w:val="000000"/>
          <w:sz w:val="22"/>
          <w:szCs w:val="22"/>
          <w:u w:val="single"/>
          <w:lang w:val="sr-Latn-ME" w:eastAsia="hr-HR"/>
        </w:rPr>
      </w:pPr>
      <w:r w:rsidRPr="00B90281">
        <w:rPr>
          <w:rFonts w:eastAsia="Microsoft YaHei"/>
          <w:bCs/>
          <w:color w:val="000000"/>
          <w:sz w:val="22"/>
          <w:szCs w:val="22"/>
          <w:u w:val="single"/>
          <w:lang w:val="sr-Latn-ME" w:eastAsia="hr-HR"/>
        </w:rPr>
        <w:t xml:space="preserve">Klinička efikasnost kod prethodno neliječenog limfoma </w:t>
      </w:r>
      <w:r w:rsidRPr="00B90281">
        <w:rPr>
          <w:rFonts w:eastAsia="Microsoft YaHei"/>
          <w:bCs/>
          <w:i/>
          <w:color w:val="000000"/>
          <w:sz w:val="22"/>
          <w:szCs w:val="22"/>
          <w:u w:val="single"/>
          <w:lang w:val="sr-Latn-ME" w:eastAsia="hr-HR"/>
        </w:rPr>
        <w:t>mantle</w:t>
      </w:r>
      <w:r w:rsidRPr="00B90281">
        <w:rPr>
          <w:rFonts w:eastAsia="Microsoft YaHei"/>
          <w:bCs/>
          <w:color w:val="000000"/>
          <w:sz w:val="22"/>
          <w:szCs w:val="22"/>
          <w:u w:val="single"/>
          <w:lang w:val="sr-Latn-ME" w:eastAsia="hr-HR"/>
        </w:rPr>
        <w:t xml:space="preserve"> ćelija (MCL)</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Kliničko ispitivanje LYM 3002 bilo je randomizovano, otvoreno ispitivanje faze III koje je upoređivalo efikasnost</w:t>
      </w:r>
      <w:r w:rsidR="00336272" w:rsidRPr="00B90281">
        <w:rPr>
          <w:rFonts w:eastAsia="Microsoft YaHei"/>
          <w:bCs/>
          <w:color w:val="000000"/>
          <w:sz w:val="22"/>
          <w:szCs w:val="22"/>
          <w:lang w:val="sr-Latn-ME" w:eastAsia="hr-HR"/>
        </w:rPr>
        <w:t xml:space="preserve"> </w:t>
      </w:r>
      <w:r w:rsidRPr="00B90281">
        <w:rPr>
          <w:rFonts w:eastAsia="Microsoft YaHei"/>
          <w:bCs/>
          <w:color w:val="000000"/>
          <w:sz w:val="22"/>
          <w:szCs w:val="22"/>
          <w:lang w:val="sr-Latn-ME" w:eastAsia="hr-HR"/>
        </w:rPr>
        <w:t xml:space="preserve">i bezbjednost kombinovane primjene bortezomiba, rituksimaba, ciklofosfamida, doksorubicina i prednizona (BtzR-CAP; n=243) u odnosu na rituksimab, ciklofosfamid, doksorubicin, vinkristin, i prednizon (R-CHOP; n=244) kod odraslih pacijenata sa prethodno neliječenim limfomom </w:t>
      </w:r>
      <w:r w:rsidRPr="00B90281">
        <w:rPr>
          <w:rFonts w:eastAsia="Microsoft YaHei"/>
          <w:bCs/>
          <w:i/>
          <w:color w:val="000000"/>
          <w:sz w:val="22"/>
          <w:szCs w:val="22"/>
          <w:lang w:val="sr-Latn-ME" w:eastAsia="hr-HR"/>
        </w:rPr>
        <w:t>mantle</w:t>
      </w:r>
      <w:r w:rsidRPr="00B90281">
        <w:rPr>
          <w:rFonts w:eastAsia="Microsoft YaHei"/>
          <w:bCs/>
          <w:color w:val="000000"/>
          <w:sz w:val="22"/>
          <w:szCs w:val="22"/>
          <w:lang w:val="sr-Latn-ME" w:eastAsia="hr-HR"/>
        </w:rPr>
        <w:t xml:space="preserve"> ćelija (stepen II, III ili IV). Pacijenti u grupi BtzR-CAP primili su bortezomib (1,3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u danima 1., 4., 8., 11., dani bez lijeka 12-21dan), rituksimab u dozi od 375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i.v. 1. dana; ciklofosfamid u dozi od 750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i.v. 1. dana; doksorubicin u dozi od 50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i.v. 1. dana i prednizon 100 mg/m</w:t>
      </w:r>
      <w:r w:rsidRPr="00B90281">
        <w:rPr>
          <w:rFonts w:eastAsia="Microsoft YaHei"/>
          <w:bCs/>
          <w:color w:val="000000"/>
          <w:sz w:val="22"/>
          <w:szCs w:val="22"/>
          <w:vertAlign w:val="superscript"/>
          <w:lang w:val="sr-Latn-ME" w:eastAsia="hr-HR"/>
        </w:rPr>
        <w:t xml:space="preserve">2 </w:t>
      </w:r>
      <w:r w:rsidRPr="00B90281">
        <w:rPr>
          <w:rFonts w:eastAsia="Microsoft YaHei"/>
          <w:bCs/>
          <w:color w:val="000000"/>
          <w:sz w:val="22"/>
          <w:szCs w:val="22"/>
          <w:lang w:val="sr-Latn-ME" w:eastAsia="hr-HR"/>
        </w:rPr>
        <w:t>peroralno od 1. do 5. dana tokom 21-dnevnog terapijskog ciklusa bortezomibom. Pacijentima za koje je odgovor na liječenje prvi put zabilježen u 6. ciklusu, primijenjena su dva dodatna ciklusa liječenja.</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Primarni parametar efikasnosti bilo je preživljavanje bez progresije na osnovu procjene Nezavisnog odbora za procjenu (od engl. </w:t>
      </w:r>
      <w:r w:rsidRPr="00B90281">
        <w:rPr>
          <w:rFonts w:eastAsia="Microsoft YaHei"/>
          <w:bCs/>
          <w:i/>
          <w:color w:val="000000"/>
          <w:sz w:val="22"/>
          <w:szCs w:val="22"/>
          <w:lang w:val="sr-Latn-ME" w:eastAsia="hr-HR"/>
        </w:rPr>
        <w:t>Independent Review Committee</w:t>
      </w:r>
      <w:r w:rsidRPr="00B90281">
        <w:rPr>
          <w:rFonts w:eastAsia="Microsoft YaHei"/>
          <w:bCs/>
          <w:color w:val="000000"/>
          <w:sz w:val="22"/>
          <w:szCs w:val="22"/>
          <w:lang w:val="sr-Latn-ME" w:eastAsia="hr-HR"/>
        </w:rPr>
        <w:t xml:space="preserve">, IRC). Sekundarni parametri su uključivali vrijeme do progresije (TTP), vrijeme do sljedećeg liječenja limfoma (od engl. </w:t>
      </w:r>
      <w:r w:rsidRPr="00B90281">
        <w:rPr>
          <w:rFonts w:eastAsia="Microsoft YaHei"/>
          <w:bCs/>
          <w:i/>
          <w:color w:val="000000"/>
          <w:sz w:val="22"/>
          <w:szCs w:val="22"/>
          <w:lang w:val="sr-Latn-ME" w:eastAsia="hr-HR"/>
        </w:rPr>
        <w:t>time to next anti-lymphoma</w:t>
      </w:r>
      <w:r w:rsidRPr="00B90281">
        <w:rPr>
          <w:rFonts w:eastAsia="Microsoft YaHei"/>
          <w:bCs/>
          <w:color w:val="000000"/>
          <w:sz w:val="22"/>
          <w:szCs w:val="22"/>
          <w:lang w:val="sr-Latn-ME" w:eastAsia="hr-HR"/>
        </w:rPr>
        <w:t xml:space="preserve"> </w:t>
      </w:r>
      <w:r w:rsidRPr="00B90281">
        <w:rPr>
          <w:rFonts w:eastAsia="Microsoft YaHei"/>
          <w:bCs/>
          <w:i/>
          <w:color w:val="000000"/>
          <w:sz w:val="22"/>
          <w:szCs w:val="22"/>
          <w:lang w:val="sr-Latn-ME" w:eastAsia="hr-HR"/>
        </w:rPr>
        <w:t>treatment</w:t>
      </w:r>
      <w:r w:rsidRPr="00B90281">
        <w:rPr>
          <w:rFonts w:eastAsia="Microsoft YaHei"/>
          <w:bCs/>
          <w:color w:val="000000"/>
          <w:sz w:val="22"/>
          <w:szCs w:val="22"/>
          <w:lang w:val="sr-Latn-ME" w:eastAsia="hr-HR"/>
        </w:rPr>
        <w:t xml:space="preserve">, TNT), trajanje intervala bez liječenja (od engl. </w:t>
      </w:r>
      <w:r w:rsidRPr="00B90281">
        <w:rPr>
          <w:rFonts w:eastAsia="Microsoft YaHei"/>
          <w:bCs/>
          <w:i/>
          <w:color w:val="000000"/>
          <w:sz w:val="22"/>
          <w:szCs w:val="22"/>
          <w:lang w:val="sr-Latn-ME" w:eastAsia="hr-HR"/>
        </w:rPr>
        <w:t>treatment free interval</w:t>
      </w:r>
      <w:r w:rsidRPr="00B90281">
        <w:rPr>
          <w:rFonts w:eastAsia="Microsoft YaHei"/>
          <w:bCs/>
          <w:color w:val="000000"/>
          <w:sz w:val="22"/>
          <w:szCs w:val="22"/>
          <w:lang w:val="sr-Latn-ME" w:eastAsia="hr-HR"/>
        </w:rPr>
        <w:t xml:space="preserve"> TFI), ukupn</w:t>
      </w:r>
      <w:r w:rsidR="00336272" w:rsidRPr="00B90281">
        <w:rPr>
          <w:rFonts w:eastAsia="Microsoft YaHei"/>
          <w:bCs/>
          <w:color w:val="000000"/>
          <w:sz w:val="22"/>
          <w:szCs w:val="22"/>
          <w:lang w:val="sr-Latn-ME" w:eastAsia="hr-HR"/>
        </w:rPr>
        <w:t>i</w:t>
      </w:r>
      <w:r w:rsidRPr="00B90281">
        <w:rPr>
          <w:rFonts w:eastAsia="Microsoft YaHei"/>
          <w:bCs/>
          <w:color w:val="000000"/>
          <w:sz w:val="22"/>
          <w:szCs w:val="22"/>
          <w:lang w:val="sr-Latn-ME" w:eastAsia="hr-HR"/>
        </w:rPr>
        <w:t xml:space="preserve"> stepen odgovora (od engl. </w:t>
      </w:r>
      <w:r w:rsidRPr="00B90281">
        <w:rPr>
          <w:rFonts w:eastAsia="Microsoft YaHei"/>
          <w:bCs/>
          <w:i/>
          <w:color w:val="000000"/>
          <w:sz w:val="22"/>
          <w:szCs w:val="22"/>
          <w:lang w:val="sr-Latn-ME" w:eastAsia="hr-HR"/>
        </w:rPr>
        <w:t>overall response rate</w:t>
      </w:r>
      <w:r w:rsidRPr="00B90281">
        <w:rPr>
          <w:rFonts w:eastAsia="Microsoft YaHei"/>
          <w:bCs/>
          <w:color w:val="000000"/>
          <w:sz w:val="22"/>
          <w:szCs w:val="22"/>
          <w:lang w:val="sr-Latn-ME" w:eastAsia="hr-HR"/>
        </w:rPr>
        <w:t xml:space="preserve">, ORR) i stepen kompletnog odgovora (od engl. </w:t>
      </w:r>
      <w:r w:rsidRPr="00B90281">
        <w:rPr>
          <w:rFonts w:eastAsia="Microsoft YaHei"/>
          <w:bCs/>
          <w:i/>
          <w:color w:val="000000"/>
          <w:sz w:val="22"/>
          <w:szCs w:val="22"/>
          <w:lang w:val="sr-Latn-ME" w:eastAsia="hr-HR"/>
        </w:rPr>
        <w:t>Complete</w:t>
      </w:r>
      <w:r w:rsidRPr="00B90281">
        <w:rPr>
          <w:rFonts w:eastAsia="Microsoft YaHei"/>
          <w:bCs/>
          <w:color w:val="000000"/>
          <w:sz w:val="22"/>
          <w:szCs w:val="22"/>
          <w:lang w:val="sr-Latn-ME" w:eastAsia="hr-HR"/>
        </w:rPr>
        <w:t xml:space="preserve"> </w:t>
      </w:r>
      <w:r w:rsidRPr="00B90281">
        <w:rPr>
          <w:rFonts w:eastAsia="Microsoft YaHei"/>
          <w:bCs/>
          <w:i/>
          <w:color w:val="000000"/>
          <w:sz w:val="22"/>
          <w:szCs w:val="22"/>
          <w:lang w:val="sr-Latn-ME" w:eastAsia="hr-HR"/>
        </w:rPr>
        <w:t>response</w:t>
      </w:r>
      <w:r w:rsidRPr="00B90281">
        <w:rPr>
          <w:rFonts w:eastAsia="Microsoft YaHei"/>
          <w:bCs/>
          <w:color w:val="000000"/>
          <w:sz w:val="22"/>
          <w:szCs w:val="22"/>
          <w:lang w:val="sr-Latn-ME" w:eastAsia="hr-HR"/>
        </w:rPr>
        <w:t xml:space="preserve">, CR/CRu), ukupno preživljavanje (od engl. </w:t>
      </w:r>
      <w:r w:rsidRPr="00B90281">
        <w:rPr>
          <w:rFonts w:eastAsia="Microsoft YaHei"/>
          <w:bCs/>
          <w:i/>
          <w:color w:val="000000"/>
          <w:sz w:val="22"/>
          <w:szCs w:val="22"/>
          <w:lang w:val="sr-Latn-ME" w:eastAsia="hr-HR"/>
        </w:rPr>
        <w:t>overall survival</w:t>
      </w:r>
      <w:r w:rsidRPr="00B90281">
        <w:rPr>
          <w:rFonts w:eastAsia="Microsoft YaHei"/>
          <w:bCs/>
          <w:color w:val="000000"/>
          <w:sz w:val="22"/>
          <w:szCs w:val="22"/>
          <w:lang w:val="sr-Latn-ME" w:eastAsia="hr-HR"/>
        </w:rPr>
        <w:t>, OS) i dužinu trajanja odgovora.</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Demografski podaci i karakteristike bolesti na početku ispitivanja generalno su bile dobro izbalansirane unutar dvije liječene grupe: medijana starosti pacijenata bila je 66 godina, 74% su bili muškarci, 66% su bili bijele rase, a 32% azijskog porijekla, 69% pacijenata imalo je pozitivan aspirat kostne srži i/ili pozitivnu biopsiju kostne srži na limfom </w:t>
      </w:r>
      <w:r w:rsidRPr="00B90281">
        <w:rPr>
          <w:rFonts w:eastAsia="Microsoft YaHei"/>
          <w:bCs/>
          <w:i/>
          <w:color w:val="000000"/>
          <w:sz w:val="22"/>
          <w:szCs w:val="22"/>
          <w:lang w:val="sr-Latn-ME" w:eastAsia="hr-HR"/>
        </w:rPr>
        <w:t>mantle</w:t>
      </w:r>
      <w:r w:rsidRPr="00B90281">
        <w:rPr>
          <w:rFonts w:eastAsia="Microsoft YaHei"/>
          <w:bCs/>
          <w:color w:val="000000"/>
          <w:sz w:val="22"/>
          <w:szCs w:val="22"/>
          <w:lang w:val="sr-Latn-ME" w:eastAsia="hr-HR"/>
        </w:rPr>
        <w:t xml:space="preserve"> ćelija, 54% pacijenata imalo je rezultat Internacionalnog indeksa prognoze (od engl. </w:t>
      </w:r>
      <w:r w:rsidRPr="00B90281">
        <w:rPr>
          <w:rFonts w:eastAsia="Microsoft YaHei"/>
          <w:bCs/>
          <w:i/>
          <w:color w:val="000000"/>
          <w:sz w:val="22"/>
          <w:szCs w:val="22"/>
          <w:lang w:val="sr-Latn-ME" w:eastAsia="hr-HR"/>
        </w:rPr>
        <w:t>International Prognostic Index</w:t>
      </w:r>
      <w:r w:rsidRPr="00B90281">
        <w:rPr>
          <w:rFonts w:eastAsia="Microsoft YaHei"/>
          <w:bCs/>
          <w:color w:val="000000"/>
          <w:sz w:val="22"/>
          <w:szCs w:val="22"/>
          <w:lang w:val="sr-Latn-ME" w:eastAsia="hr-HR"/>
        </w:rPr>
        <w:t>, IPI) ≥ 3, i 76% imalo je stadijum IV bolesti. Trajanje liječenja (prosjek=17 nedjelja) i trajanje praćenja (prosjek=40 mjeseci) bili su uporedivi u obje liječene grupe. Prosječno 6 ciklusa primili su pacijenti u obje liječene grupe, a 14% ispitanika u BtzR-CAP grupi i 17% pacijenata u R-CHOP grupi primilo je 2 dodatna ciklusa. Većina pacijenata u obje grupe je okončala liječenje: 80% u BtzR-CAP grupi i 82% u R-CHOP grupi. Rezultati efikasnosti prikazani su u Tabeli 16:</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i/>
          <w:color w:val="000000"/>
          <w:sz w:val="22"/>
          <w:szCs w:val="22"/>
          <w:lang w:val="sr-Latn-ME" w:eastAsia="hr-HR"/>
        </w:rPr>
      </w:pPr>
      <w:r w:rsidRPr="00B90281">
        <w:rPr>
          <w:rFonts w:eastAsia="Microsoft YaHei"/>
          <w:bCs/>
          <w:i/>
          <w:color w:val="000000"/>
          <w:sz w:val="22"/>
          <w:szCs w:val="22"/>
          <w:lang w:val="sr-Latn-ME" w:eastAsia="hr-HR"/>
        </w:rPr>
        <w:t>Tabela 16: Rezultati efikasnosti iz ispitivanja LYM-3002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202"/>
        <w:gridCol w:w="2202"/>
        <w:gridCol w:w="2342"/>
      </w:tblGrid>
      <w:tr w:rsidR="0089768A" w:rsidRPr="00B90281" w:rsidTr="00FB2946">
        <w:tc>
          <w:tcPr>
            <w:tcW w:w="2364" w:type="dxa"/>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r w:rsidRPr="00B90281">
              <w:rPr>
                <w:rFonts w:eastAsia="Liberation Sans"/>
                <w:b/>
                <w:bCs/>
                <w:color w:val="000000"/>
                <w:sz w:val="22"/>
                <w:szCs w:val="22"/>
                <w:lang w:val="sr-Latn-ME" w:eastAsia="en-GB"/>
              </w:rPr>
              <w:t>Rezultat efikasnosti</w:t>
            </w:r>
          </w:p>
        </w:tc>
        <w:tc>
          <w:tcPr>
            <w:tcW w:w="2275" w:type="dxa"/>
            <w:shd w:val="clear" w:color="auto" w:fill="auto"/>
          </w:tcPr>
          <w:p w:rsidR="0089768A" w:rsidRPr="00B90281" w:rsidRDefault="0089768A" w:rsidP="0089768A">
            <w:pPr>
              <w:jc w:val="center"/>
              <w:rPr>
                <w:rFonts w:eastAsia="Liberation Sans"/>
                <w:color w:val="000000"/>
                <w:sz w:val="22"/>
                <w:szCs w:val="22"/>
                <w:lang w:val="sr-Latn-ME" w:eastAsia="en-GB"/>
              </w:rPr>
            </w:pPr>
            <w:r w:rsidRPr="00B90281">
              <w:rPr>
                <w:rFonts w:eastAsia="Liberation Sans"/>
                <w:b/>
                <w:bCs/>
                <w:color w:val="000000"/>
                <w:sz w:val="22"/>
                <w:szCs w:val="22"/>
                <w:lang w:val="sr-Latn-ME" w:eastAsia="en-GB"/>
              </w:rPr>
              <w:t>BtzR-CAP</w:t>
            </w:r>
          </w:p>
          <w:p w:rsidR="0089768A" w:rsidRPr="00B90281" w:rsidRDefault="0089768A" w:rsidP="0089768A">
            <w:pPr>
              <w:autoSpaceDE w:val="0"/>
              <w:autoSpaceDN w:val="0"/>
              <w:adjustRightInd w:val="0"/>
              <w:jc w:val="center"/>
              <w:rPr>
                <w:rFonts w:eastAsia="Liberation Sans"/>
                <w:sz w:val="22"/>
                <w:szCs w:val="22"/>
                <w:lang w:val="sr-Latn-ME" w:eastAsia="en-GB"/>
              </w:rPr>
            </w:pPr>
          </w:p>
        </w:tc>
        <w:tc>
          <w:tcPr>
            <w:tcW w:w="2275" w:type="dxa"/>
            <w:shd w:val="clear" w:color="auto" w:fill="auto"/>
          </w:tcPr>
          <w:p w:rsidR="0089768A" w:rsidRPr="00B90281" w:rsidRDefault="0089768A" w:rsidP="0089768A">
            <w:pPr>
              <w:autoSpaceDE w:val="0"/>
              <w:autoSpaceDN w:val="0"/>
              <w:adjustRightInd w:val="0"/>
              <w:jc w:val="center"/>
              <w:rPr>
                <w:rFonts w:eastAsia="Liberation Sans"/>
                <w:b/>
                <w:sz w:val="22"/>
                <w:szCs w:val="22"/>
                <w:lang w:val="sr-Latn-ME" w:eastAsia="en-GB"/>
              </w:rPr>
            </w:pPr>
            <w:r w:rsidRPr="00B90281">
              <w:rPr>
                <w:rFonts w:eastAsia="Liberation Sans"/>
                <w:b/>
                <w:bCs/>
                <w:color w:val="000000"/>
                <w:sz w:val="22"/>
                <w:szCs w:val="22"/>
                <w:lang w:val="sr-Latn-ME" w:eastAsia="en-GB"/>
              </w:rPr>
              <w:t>R-CHOP</w:t>
            </w:r>
          </w:p>
        </w:tc>
        <w:tc>
          <w:tcPr>
            <w:tcW w:w="2374" w:type="dxa"/>
            <w:vMerge w:val="restart"/>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p>
        </w:tc>
      </w:tr>
      <w:tr w:rsidR="0089768A" w:rsidRPr="00B90281" w:rsidTr="00FB2946">
        <w:tc>
          <w:tcPr>
            <w:tcW w:w="2364"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n: ITT pacijenti</w:t>
            </w:r>
          </w:p>
        </w:tc>
        <w:tc>
          <w:tcPr>
            <w:tcW w:w="2275" w:type="dxa"/>
            <w:shd w:val="clear" w:color="auto" w:fill="auto"/>
          </w:tcPr>
          <w:p w:rsidR="0089768A" w:rsidRPr="00B90281" w:rsidRDefault="0089768A" w:rsidP="0089768A">
            <w:pPr>
              <w:jc w:val="center"/>
              <w:rPr>
                <w:rFonts w:eastAsia="Liberation Sans"/>
                <w:color w:val="000000"/>
                <w:sz w:val="22"/>
                <w:szCs w:val="22"/>
                <w:lang w:val="sr-Latn-ME" w:eastAsia="en-GB"/>
              </w:rPr>
            </w:pPr>
            <w:r w:rsidRPr="00B90281">
              <w:rPr>
                <w:rFonts w:eastAsia="Liberation Sans"/>
                <w:color w:val="000000"/>
                <w:sz w:val="22"/>
                <w:szCs w:val="22"/>
                <w:lang w:val="sr-Latn-ME" w:eastAsia="en-GB"/>
              </w:rPr>
              <w:t>243</w:t>
            </w:r>
          </w:p>
        </w:tc>
        <w:tc>
          <w:tcPr>
            <w:tcW w:w="2275" w:type="dxa"/>
            <w:shd w:val="clear" w:color="auto" w:fill="auto"/>
          </w:tcPr>
          <w:p w:rsidR="0089768A" w:rsidRPr="00B90281" w:rsidRDefault="0089768A" w:rsidP="0089768A">
            <w:pPr>
              <w:autoSpaceDE w:val="0"/>
              <w:autoSpaceDN w:val="0"/>
              <w:adjustRightInd w:val="0"/>
              <w:jc w:val="center"/>
              <w:rPr>
                <w:rFonts w:eastAsia="Liberation Sans"/>
                <w:sz w:val="22"/>
                <w:szCs w:val="22"/>
                <w:lang w:val="sr-Latn-ME" w:eastAsia="en-GB"/>
              </w:rPr>
            </w:pPr>
            <w:r w:rsidRPr="00B90281">
              <w:rPr>
                <w:rFonts w:eastAsia="Liberation Sans"/>
                <w:sz w:val="22"/>
                <w:szCs w:val="22"/>
                <w:lang w:val="sr-Latn-ME" w:eastAsia="en-GB"/>
              </w:rPr>
              <w:t>244</w:t>
            </w:r>
          </w:p>
        </w:tc>
        <w:tc>
          <w:tcPr>
            <w:tcW w:w="2374" w:type="dxa"/>
            <w:vMerge/>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p>
        </w:tc>
      </w:tr>
      <w:tr w:rsidR="0089768A" w:rsidRPr="00B90281" w:rsidTr="00FB2946">
        <w:tc>
          <w:tcPr>
            <w:tcW w:w="9288" w:type="dxa"/>
            <w:gridSpan w:val="4"/>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b/>
                <w:bCs/>
                <w:color w:val="000000"/>
                <w:sz w:val="22"/>
                <w:szCs w:val="22"/>
                <w:lang w:val="sr-Latn-ME" w:eastAsia="en-GB"/>
              </w:rPr>
              <w:t>Preživljavanje bez progresije (IRC)</w:t>
            </w:r>
            <w:r w:rsidRPr="00B90281">
              <w:rPr>
                <w:rFonts w:eastAsia="Liberation Sans"/>
                <w:b/>
                <w:bCs/>
                <w:color w:val="000000"/>
                <w:sz w:val="22"/>
                <w:szCs w:val="22"/>
                <w:vertAlign w:val="superscript"/>
                <w:lang w:val="sr-Latn-ME" w:eastAsia="en-GB"/>
              </w:rPr>
              <w:t>a</w:t>
            </w:r>
          </w:p>
        </w:tc>
      </w:tr>
      <w:tr w:rsidR="0089768A" w:rsidRPr="00B90281" w:rsidTr="00FB2946">
        <w:tc>
          <w:tcPr>
            <w:tcW w:w="2364"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Događaji n (%) </w:t>
            </w: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133 (54,7%) </w:t>
            </w: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165 (67,6%) </w:t>
            </w:r>
          </w:p>
        </w:tc>
        <w:tc>
          <w:tcPr>
            <w:tcW w:w="2374" w:type="dxa"/>
            <w:vMerge w:val="restart"/>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HR</w:t>
            </w:r>
            <w:r w:rsidRPr="00B90281">
              <w:rPr>
                <w:rFonts w:eastAsia="Liberation Sans"/>
                <w:color w:val="000000"/>
                <w:sz w:val="22"/>
                <w:szCs w:val="22"/>
                <w:vertAlign w:val="superscript"/>
                <w:lang w:val="sr-Latn-ME" w:eastAsia="en-GB"/>
              </w:rPr>
              <w:t>b</w:t>
            </w:r>
            <w:r w:rsidRPr="00B90281">
              <w:rPr>
                <w:rFonts w:eastAsia="Liberation Sans"/>
                <w:color w:val="000000"/>
                <w:sz w:val="22"/>
                <w:szCs w:val="22"/>
                <w:lang w:val="sr-Latn-ME" w:eastAsia="en-GB"/>
              </w:rPr>
              <w:t xml:space="preserve"> (95% CI)=0,63 (0,50; 0,79) </w:t>
            </w:r>
          </w:p>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p-vrijednost</w:t>
            </w:r>
            <w:r w:rsidRPr="00B90281">
              <w:rPr>
                <w:rFonts w:eastAsia="Liberation Sans"/>
                <w:color w:val="000000"/>
                <w:sz w:val="22"/>
                <w:szCs w:val="22"/>
                <w:vertAlign w:val="superscript"/>
                <w:lang w:val="sr-Latn-ME" w:eastAsia="en-GB"/>
              </w:rPr>
              <w:t xml:space="preserve">d </w:t>
            </w:r>
            <w:r w:rsidRPr="00B90281">
              <w:rPr>
                <w:rFonts w:eastAsia="Liberation Sans"/>
                <w:color w:val="000000"/>
                <w:sz w:val="22"/>
                <w:szCs w:val="22"/>
                <w:lang w:val="sr-Latn-ME" w:eastAsia="en-GB"/>
              </w:rPr>
              <w:t xml:space="preserve">&lt; 0,001 </w:t>
            </w:r>
          </w:p>
        </w:tc>
      </w:tr>
      <w:tr w:rsidR="0089768A" w:rsidRPr="00B90281" w:rsidTr="00FB2946">
        <w:tc>
          <w:tcPr>
            <w:tcW w:w="2364"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Prosjek</w:t>
            </w:r>
            <w:r w:rsidRPr="00B90281">
              <w:rPr>
                <w:rFonts w:eastAsia="Liberation Sans"/>
                <w:color w:val="000000"/>
                <w:sz w:val="22"/>
                <w:szCs w:val="22"/>
                <w:vertAlign w:val="superscript"/>
                <w:lang w:val="sr-Latn-ME" w:eastAsia="en-GB"/>
              </w:rPr>
              <w:t>c</w:t>
            </w:r>
            <w:r w:rsidRPr="00B90281">
              <w:rPr>
                <w:rFonts w:eastAsia="Liberation Sans"/>
                <w:color w:val="000000"/>
                <w:sz w:val="22"/>
                <w:szCs w:val="22"/>
                <w:lang w:val="sr-Latn-ME" w:eastAsia="en-GB"/>
              </w:rPr>
              <w:t xml:space="preserve">(95% CI) (mjeseci) </w:t>
            </w: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24,7 (19,8; 31,8) </w:t>
            </w: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14,4 (12; 16,9) </w:t>
            </w:r>
          </w:p>
        </w:tc>
        <w:tc>
          <w:tcPr>
            <w:tcW w:w="2374" w:type="dxa"/>
            <w:vMerge/>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p>
        </w:tc>
      </w:tr>
      <w:tr w:rsidR="0089768A" w:rsidRPr="00B90281" w:rsidTr="00FB2946">
        <w:tc>
          <w:tcPr>
            <w:tcW w:w="2364"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b/>
                <w:bCs/>
                <w:color w:val="000000"/>
                <w:sz w:val="22"/>
                <w:szCs w:val="22"/>
                <w:lang w:val="sr-Latn-ME" w:eastAsia="en-GB"/>
              </w:rPr>
              <w:t>Stopa odgovora</w:t>
            </w:r>
          </w:p>
        </w:tc>
        <w:tc>
          <w:tcPr>
            <w:tcW w:w="2275" w:type="dxa"/>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p>
        </w:tc>
        <w:tc>
          <w:tcPr>
            <w:tcW w:w="2275" w:type="dxa"/>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p>
        </w:tc>
        <w:tc>
          <w:tcPr>
            <w:tcW w:w="2374" w:type="dxa"/>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p>
        </w:tc>
      </w:tr>
      <w:tr w:rsidR="0089768A" w:rsidRPr="00B90281" w:rsidTr="00FB2946">
        <w:tc>
          <w:tcPr>
            <w:tcW w:w="2364"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n: pacijenti procjenjivi na odgovor</w:t>
            </w:r>
          </w:p>
        </w:tc>
        <w:tc>
          <w:tcPr>
            <w:tcW w:w="2275" w:type="dxa"/>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r w:rsidRPr="00B90281">
              <w:rPr>
                <w:rFonts w:eastAsia="Liberation Sans"/>
                <w:sz w:val="22"/>
                <w:szCs w:val="22"/>
                <w:lang w:val="sr-Latn-ME" w:eastAsia="en-GB"/>
              </w:rPr>
              <w:t>229</w:t>
            </w:r>
          </w:p>
        </w:tc>
        <w:tc>
          <w:tcPr>
            <w:tcW w:w="2275" w:type="dxa"/>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r w:rsidRPr="00B90281">
              <w:rPr>
                <w:rFonts w:eastAsia="Liberation Sans"/>
                <w:sz w:val="22"/>
                <w:szCs w:val="22"/>
                <w:lang w:val="sr-Latn-ME" w:eastAsia="en-GB"/>
              </w:rPr>
              <w:t>228</w:t>
            </w:r>
          </w:p>
        </w:tc>
        <w:tc>
          <w:tcPr>
            <w:tcW w:w="2374" w:type="dxa"/>
            <w:shd w:val="clear" w:color="auto" w:fill="auto"/>
          </w:tcPr>
          <w:p w:rsidR="0089768A" w:rsidRPr="00B90281" w:rsidRDefault="0089768A" w:rsidP="0089768A">
            <w:pPr>
              <w:autoSpaceDE w:val="0"/>
              <w:autoSpaceDN w:val="0"/>
              <w:adjustRightInd w:val="0"/>
              <w:rPr>
                <w:rFonts w:eastAsia="Liberation Sans"/>
                <w:sz w:val="22"/>
                <w:szCs w:val="22"/>
                <w:lang w:val="sr-Latn-ME" w:eastAsia="en-GB"/>
              </w:rPr>
            </w:pPr>
          </w:p>
        </w:tc>
      </w:tr>
      <w:tr w:rsidR="0089768A" w:rsidRPr="00B90281" w:rsidTr="00FB2946">
        <w:tc>
          <w:tcPr>
            <w:tcW w:w="2364" w:type="dxa"/>
            <w:shd w:val="clear" w:color="auto" w:fill="auto"/>
          </w:tcPr>
          <w:p w:rsidR="0089768A" w:rsidRPr="00B90281" w:rsidRDefault="0089768A" w:rsidP="0089768A">
            <w:pPr>
              <w:rPr>
                <w:rFonts w:eastAsia="Liberation Sans"/>
                <w:i/>
                <w:iCs/>
                <w:color w:val="000000"/>
                <w:sz w:val="22"/>
                <w:szCs w:val="22"/>
                <w:lang w:val="sr-Latn-ME" w:eastAsia="en-GB"/>
              </w:rPr>
            </w:pPr>
            <w:r w:rsidRPr="00B90281">
              <w:rPr>
                <w:rFonts w:eastAsia="Liberation Sans"/>
                <w:i/>
                <w:iCs/>
                <w:color w:val="000000"/>
                <w:sz w:val="22"/>
                <w:szCs w:val="22"/>
                <w:lang w:val="sr-Latn-ME" w:eastAsia="en-GB"/>
              </w:rPr>
              <w:t>Ukupni kompletni odgovor (CR+CRu)f n(%)</w:t>
            </w: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122 (53,3%) </w:t>
            </w:r>
          </w:p>
          <w:p w:rsidR="0089768A" w:rsidRPr="00B90281" w:rsidRDefault="0089768A" w:rsidP="0089768A">
            <w:pPr>
              <w:autoSpaceDE w:val="0"/>
              <w:autoSpaceDN w:val="0"/>
              <w:adjustRightInd w:val="0"/>
              <w:rPr>
                <w:rFonts w:eastAsia="Liberation Sans"/>
                <w:sz w:val="22"/>
                <w:szCs w:val="22"/>
                <w:lang w:val="sr-Latn-ME" w:eastAsia="en-GB"/>
              </w:rPr>
            </w:pP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95 (41,7%) </w:t>
            </w:r>
          </w:p>
          <w:p w:rsidR="0089768A" w:rsidRPr="00B90281" w:rsidRDefault="0089768A" w:rsidP="0089768A">
            <w:pPr>
              <w:autoSpaceDE w:val="0"/>
              <w:autoSpaceDN w:val="0"/>
              <w:adjustRightInd w:val="0"/>
              <w:rPr>
                <w:rFonts w:eastAsia="Liberation Sans"/>
                <w:sz w:val="22"/>
                <w:szCs w:val="22"/>
                <w:lang w:val="sr-Latn-ME" w:eastAsia="en-GB"/>
              </w:rPr>
            </w:pPr>
          </w:p>
        </w:tc>
        <w:tc>
          <w:tcPr>
            <w:tcW w:w="2374"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OR</w:t>
            </w:r>
            <w:r w:rsidRPr="00B90281">
              <w:rPr>
                <w:rFonts w:eastAsia="Liberation Sans"/>
                <w:color w:val="000000"/>
                <w:sz w:val="22"/>
                <w:szCs w:val="22"/>
                <w:vertAlign w:val="superscript"/>
                <w:lang w:val="sr-Latn-ME" w:eastAsia="en-GB"/>
              </w:rPr>
              <w:t>e</w:t>
            </w:r>
            <w:r w:rsidRPr="00B90281">
              <w:rPr>
                <w:rFonts w:eastAsia="Liberation Sans"/>
                <w:color w:val="000000"/>
                <w:sz w:val="22"/>
                <w:szCs w:val="22"/>
                <w:lang w:val="sr-Latn-ME" w:eastAsia="en-GB"/>
              </w:rPr>
              <w:t xml:space="preserve"> (95% CI)=1,688 (1,148; 2,481) </w:t>
            </w:r>
          </w:p>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p-vrijednost</w:t>
            </w:r>
            <w:r w:rsidRPr="00B90281">
              <w:rPr>
                <w:rFonts w:eastAsia="Liberation Sans"/>
                <w:color w:val="000000"/>
                <w:sz w:val="22"/>
                <w:szCs w:val="22"/>
                <w:vertAlign w:val="superscript"/>
                <w:lang w:val="sr-Latn-ME" w:eastAsia="en-GB"/>
              </w:rPr>
              <w:t>g</w:t>
            </w:r>
            <w:r w:rsidRPr="00B90281">
              <w:rPr>
                <w:rFonts w:eastAsia="Liberation Sans"/>
                <w:color w:val="000000"/>
                <w:sz w:val="22"/>
                <w:szCs w:val="22"/>
                <w:lang w:val="sr-Latn-ME" w:eastAsia="en-GB"/>
              </w:rPr>
              <w:t>=0,007</w:t>
            </w:r>
          </w:p>
        </w:tc>
      </w:tr>
      <w:tr w:rsidR="0089768A" w:rsidRPr="00B90281" w:rsidTr="00FB2946">
        <w:tc>
          <w:tcPr>
            <w:tcW w:w="2364" w:type="dxa"/>
            <w:shd w:val="clear" w:color="auto" w:fill="auto"/>
          </w:tcPr>
          <w:p w:rsidR="0089768A" w:rsidRPr="00B90281" w:rsidRDefault="0089768A" w:rsidP="0089768A">
            <w:pPr>
              <w:rPr>
                <w:rFonts w:eastAsia="Liberation Sans"/>
                <w:i/>
                <w:iCs/>
                <w:color w:val="000000"/>
                <w:sz w:val="22"/>
                <w:szCs w:val="22"/>
                <w:lang w:val="sr-Latn-ME" w:eastAsia="en-GB"/>
              </w:rPr>
            </w:pPr>
            <w:r w:rsidRPr="00B90281">
              <w:rPr>
                <w:rFonts w:eastAsia="Liberation Sans"/>
                <w:i/>
                <w:iCs/>
                <w:color w:val="000000"/>
                <w:sz w:val="22"/>
                <w:szCs w:val="22"/>
                <w:lang w:val="sr-Latn-ME" w:eastAsia="en-GB"/>
              </w:rPr>
              <w:t>Ukupni odgovor</w:t>
            </w:r>
          </w:p>
          <w:p w:rsidR="0089768A" w:rsidRPr="00B90281" w:rsidRDefault="0089768A" w:rsidP="0089768A">
            <w:pPr>
              <w:rPr>
                <w:rFonts w:eastAsia="Liberation Sans"/>
                <w:i/>
                <w:iCs/>
                <w:color w:val="000000"/>
                <w:sz w:val="22"/>
                <w:szCs w:val="22"/>
                <w:lang w:val="sr-Latn-ME" w:eastAsia="en-GB"/>
              </w:rPr>
            </w:pPr>
            <w:r w:rsidRPr="00B90281">
              <w:rPr>
                <w:rFonts w:eastAsia="Liberation Sans"/>
                <w:i/>
                <w:iCs/>
                <w:color w:val="000000"/>
                <w:sz w:val="22"/>
                <w:szCs w:val="22"/>
                <w:lang w:val="sr-Latn-ME" w:eastAsia="en-GB"/>
              </w:rPr>
              <w:t>(CR+CRu+PR)h n(%)</w:t>
            </w: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211 (92,1%) </w:t>
            </w:r>
          </w:p>
          <w:p w:rsidR="0089768A" w:rsidRPr="00B90281" w:rsidRDefault="0089768A" w:rsidP="0089768A">
            <w:pPr>
              <w:autoSpaceDE w:val="0"/>
              <w:autoSpaceDN w:val="0"/>
              <w:adjustRightInd w:val="0"/>
              <w:rPr>
                <w:rFonts w:eastAsia="Liberation Sans"/>
                <w:sz w:val="22"/>
                <w:szCs w:val="22"/>
                <w:lang w:val="sr-Latn-ME" w:eastAsia="en-GB"/>
              </w:rPr>
            </w:pPr>
          </w:p>
        </w:tc>
        <w:tc>
          <w:tcPr>
            <w:tcW w:w="2275"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 xml:space="preserve">204 (89,5%) </w:t>
            </w:r>
          </w:p>
          <w:p w:rsidR="0089768A" w:rsidRPr="00B90281" w:rsidRDefault="0089768A" w:rsidP="0089768A">
            <w:pPr>
              <w:autoSpaceDE w:val="0"/>
              <w:autoSpaceDN w:val="0"/>
              <w:adjustRightInd w:val="0"/>
              <w:rPr>
                <w:rFonts w:eastAsia="Liberation Sans"/>
                <w:sz w:val="22"/>
                <w:szCs w:val="22"/>
                <w:lang w:val="sr-Latn-ME" w:eastAsia="en-GB"/>
              </w:rPr>
            </w:pPr>
          </w:p>
        </w:tc>
        <w:tc>
          <w:tcPr>
            <w:tcW w:w="2374" w:type="dxa"/>
            <w:shd w:val="clear" w:color="auto" w:fill="auto"/>
          </w:tcPr>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OR</w:t>
            </w:r>
            <w:r w:rsidRPr="00B90281">
              <w:rPr>
                <w:rFonts w:eastAsia="Liberation Sans"/>
                <w:color w:val="000000"/>
                <w:sz w:val="22"/>
                <w:szCs w:val="22"/>
                <w:vertAlign w:val="superscript"/>
                <w:lang w:val="sr-Latn-ME" w:eastAsia="en-GB"/>
              </w:rPr>
              <w:t xml:space="preserve">e </w:t>
            </w:r>
            <w:r w:rsidRPr="00B90281">
              <w:rPr>
                <w:rFonts w:eastAsia="Liberation Sans"/>
                <w:color w:val="000000"/>
                <w:sz w:val="22"/>
                <w:szCs w:val="22"/>
                <w:lang w:val="sr-Latn-ME" w:eastAsia="en-GB"/>
              </w:rPr>
              <w:t>(95% CI)</w:t>
            </w:r>
            <w:r w:rsidRPr="00B90281">
              <w:rPr>
                <w:rFonts w:eastAsia="Liberation Sans"/>
                <w:b/>
                <w:bCs/>
                <w:color w:val="000000"/>
                <w:sz w:val="22"/>
                <w:szCs w:val="22"/>
                <w:lang w:val="sr-Latn-ME" w:eastAsia="en-GB"/>
              </w:rPr>
              <w:t>=</w:t>
            </w:r>
            <w:r w:rsidRPr="00B90281">
              <w:rPr>
                <w:rFonts w:eastAsia="Liberation Sans"/>
                <w:color w:val="000000"/>
                <w:sz w:val="22"/>
                <w:szCs w:val="22"/>
                <w:lang w:val="sr-Latn-ME" w:eastAsia="en-GB"/>
              </w:rPr>
              <w:t xml:space="preserve">1,428 (0,749; 2,722) </w:t>
            </w:r>
          </w:p>
          <w:p w:rsidR="0089768A" w:rsidRPr="00B90281" w:rsidRDefault="0089768A" w:rsidP="0089768A">
            <w:pPr>
              <w:rPr>
                <w:rFonts w:eastAsia="Liberation Sans"/>
                <w:color w:val="000000"/>
                <w:sz w:val="22"/>
                <w:szCs w:val="22"/>
                <w:lang w:val="sr-Latn-ME" w:eastAsia="en-GB"/>
              </w:rPr>
            </w:pPr>
            <w:r w:rsidRPr="00B90281">
              <w:rPr>
                <w:rFonts w:eastAsia="Liberation Sans"/>
                <w:color w:val="000000"/>
                <w:sz w:val="22"/>
                <w:szCs w:val="22"/>
                <w:lang w:val="sr-Latn-ME" w:eastAsia="en-GB"/>
              </w:rPr>
              <w:t>p-vrijednost</w:t>
            </w:r>
            <w:r w:rsidRPr="00B90281">
              <w:rPr>
                <w:rFonts w:eastAsia="Liberation Sans"/>
                <w:color w:val="000000"/>
                <w:sz w:val="22"/>
                <w:szCs w:val="22"/>
                <w:vertAlign w:val="superscript"/>
                <w:lang w:val="sr-Latn-ME" w:eastAsia="en-GB"/>
              </w:rPr>
              <w:t>g</w:t>
            </w:r>
            <w:r w:rsidRPr="00B90281">
              <w:rPr>
                <w:rFonts w:eastAsia="Liberation Sans"/>
                <w:b/>
                <w:bCs/>
                <w:color w:val="000000"/>
                <w:sz w:val="22"/>
                <w:szCs w:val="22"/>
                <w:lang w:val="sr-Latn-ME" w:eastAsia="en-GB"/>
              </w:rPr>
              <w:t>=</w:t>
            </w:r>
            <w:r w:rsidRPr="00B90281">
              <w:rPr>
                <w:rFonts w:eastAsia="Liberation Sans"/>
                <w:color w:val="000000"/>
                <w:sz w:val="22"/>
                <w:szCs w:val="22"/>
                <w:lang w:val="sr-Latn-ME" w:eastAsia="en-GB"/>
              </w:rPr>
              <w:t xml:space="preserve">0,275 </w:t>
            </w:r>
          </w:p>
        </w:tc>
      </w:tr>
    </w:tbl>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a Zasnovano na ocjeni Nezavisnog odbora za procjenu (IRC) (samo radiološki podaci).</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b Procjena odnosa hazarda temelji se na Cox-ovom modelu stratificiranom prema IPI riziku i stadiju</w:t>
      </w:r>
      <w:r w:rsidR="00336272" w:rsidRPr="00D31597">
        <w:rPr>
          <w:rFonts w:eastAsia="Microsoft YaHei"/>
          <w:bCs/>
          <w:color w:val="000000"/>
          <w:sz w:val="20"/>
          <w:szCs w:val="22"/>
          <w:lang w:val="sr-Latn-ME" w:eastAsia="hr-HR"/>
        </w:rPr>
        <w:t>mu</w:t>
      </w:r>
      <w:r w:rsidRPr="00D31597">
        <w:rPr>
          <w:rFonts w:eastAsia="Microsoft YaHei"/>
          <w:bCs/>
          <w:color w:val="000000"/>
          <w:sz w:val="20"/>
          <w:szCs w:val="22"/>
          <w:lang w:val="sr-Latn-ME" w:eastAsia="hr-HR"/>
        </w:rPr>
        <w:t xml:space="preserve"> bolesti. Odnos hazarda &lt; 1 ukazuje na prednost za BtzR-CAP.</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c Zasnovano na Kaplan-Meier-ovim procjenama.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d Zasnovano na Log rank testu stratifi</w:t>
      </w:r>
      <w:r w:rsidR="00336272" w:rsidRPr="00D31597">
        <w:rPr>
          <w:rFonts w:eastAsia="Microsoft YaHei"/>
          <w:bCs/>
          <w:color w:val="000000"/>
          <w:sz w:val="20"/>
          <w:szCs w:val="22"/>
          <w:lang w:val="sr-Latn-ME" w:eastAsia="hr-HR"/>
        </w:rPr>
        <w:t>kovanom</w:t>
      </w:r>
      <w:r w:rsidRPr="00D31597">
        <w:rPr>
          <w:rFonts w:eastAsia="Microsoft YaHei"/>
          <w:bCs/>
          <w:color w:val="000000"/>
          <w:sz w:val="20"/>
          <w:szCs w:val="22"/>
          <w:lang w:val="sr-Latn-ME" w:eastAsia="hr-HR"/>
        </w:rPr>
        <w:t xml:space="preserve"> s</w:t>
      </w:r>
      <w:r w:rsidR="00336272" w:rsidRPr="00D31597">
        <w:rPr>
          <w:rFonts w:eastAsia="Microsoft YaHei"/>
          <w:bCs/>
          <w:color w:val="000000"/>
          <w:sz w:val="20"/>
          <w:szCs w:val="22"/>
          <w:lang w:val="sr-Latn-ME" w:eastAsia="hr-HR"/>
        </w:rPr>
        <w:t>a</w:t>
      </w:r>
      <w:r w:rsidRPr="00D31597">
        <w:rPr>
          <w:rFonts w:eastAsia="Microsoft YaHei"/>
          <w:bCs/>
          <w:color w:val="000000"/>
          <w:sz w:val="20"/>
          <w:szCs w:val="22"/>
          <w:lang w:val="sr-Latn-ME" w:eastAsia="hr-HR"/>
        </w:rPr>
        <w:t xml:space="preserve"> IPI rizikom i stadijum</w:t>
      </w:r>
      <w:r w:rsidR="00336272" w:rsidRPr="00D31597">
        <w:rPr>
          <w:rFonts w:eastAsia="Microsoft YaHei"/>
          <w:bCs/>
          <w:color w:val="000000"/>
          <w:sz w:val="20"/>
          <w:szCs w:val="22"/>
          <w:lang w:val="sr-Latn-ME" w:eastAsia="hr-HR"/>
        </w:rPr>
        <w:t>om</w:t>
      </w:r>
      <w:r w:rsidRPr="00D31597">
        <w:rPr>
          <w:rFonts w:eastAsia="Microsoft YaHei"/>
          <w:bCs/>
          <w:color w:val="000000"/>
          <w:sz w:val="20"/>
          <w:szCs w:val="22"/>
          <w:lang w:val="sr-Latn-ME" w:eastAsia="hr-HR"/>
        </w:rPr>
        <w:t xml:space="preserve"> bolesti.</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lastRenderedPageBreak/>
        <w:t>e Koristi se Mantel-Haenszel-ova procjena zajedničkog odnosa izgleda za stratifi</w:t>
      </w:r>
      <w:r w:rsidR="00336272" w:rsidRPr="00D31597">
        <w:rPr>
          <w:rFonts w:eastAsia="Microsoft YaHei"/>
          <w:bCs/>
          <w:color w:val="000000"/>
          <w:sz w:val="20"/>
          <w:szCs w:val="22"/>
          <w:lang w:val="sr-Latn-ME" w:eastAsia="hr-HR"/>
        </w:rPr>
        <w:t>kovane</w:t>
      </w:r>
      <w:r w:rsidRPr="00D31597">
        <w:rPr>
          <w:rFonts w:eastAsia="Microsoft YaHei"/>
          <w:bCs/>
          <w:color w:val="000000"/>
          <w:sz w:val="20"/>
          <w:szCs w:val="22"/>
          <w:lang w:val="sr-Latn-ME" w:eastAsia="hr-HR"/>
        </w:rPr>
        <w:t xml:space="preserve"> tab</w:t>
      </w:r>
      <w:r w:rsidR="00336272" w:rsidRPr="00D31597">
        <w:rPr>
          <w:rFonts w:eastAsia="Microsoft YaHei"/>
          <w:bCs/>
          <w:color w:val="000000"/>
          <w:sz w:val="20"/>
          <w:szCs w:val="22"/>
          <w:lang w:val="sr-Latn-ME" w:eastAsia="hr-HR"/>
        </w:rPr>
        <w:t>ele sa</w:t>
      </w:r>
      <w:r w:rsidRPr="00D31597">
        <w:rPr>
          <w:rFonts w:eastAsia="Microsoft YaHei"/>
          <w:bCs/>
          <w:color w:val="000000"/>
          <w:sz w:val="20"/>
          <w:szCs w:val="22"/>
          <w:lang w:val="sr-Latn-ME" w:eastAsia="hr-HR"/>
        </w:rPr>
        <w:t xml:space="preserve"> IPI rizikom i stadijumom bolesti kao stratifikacijskim faktorima. Odnos vjerovatnoće (OR) &gt; 1 ukazuje na prednost za BtzR-CAP.</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f Uključuje sve CR + CRu, prema IRC, kostnu srž i LDH.</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g P-vrijednost Cochran Mantel-Haenszel-ovog hi-kvadrat testa, s</w:t>
      </w:r>
      <w:r w:rsidR="005F1935" w:rsidRPr="00D31597">
        <w:rPr>
          <w:rFonts w:eastAsia="Microsoft YaHei"/>
          <w:bCs/>
          <w:color w:val="000000"/>
          <w:sz w:val="20"/>
          <w:szCs w:val="22"/>
          <w:lang w:val="sr-Latn-ME" w:eastAsia="hr-HR"/>
        </w:rPr>
        <w:t>a</w:t>
      </w:r>
      <w:r w:rsidRPr="00D31597">
        <w:rPr>
          <w:rFonts w:eastAsia="Microsoft YaHei"/>
          <w:bCs/>
          <w:color w:val="000000"/>
          <w:sz w:val="20"/>
          <w:szCs w:val="22"/>
          <w:lang w:val="sr-Latn-ME" w:eastAsia="hr-HR"/>
        </w:rPr>
        <w:t xml:space="preserve"> IPI i stadijum bolesti kao stratifikacijskim faktorima.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h Uključuje sve radiološke CR+CRu+PR prema IRC nezavisno od potvrde kostnom srži i LDH.</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CR=Kompletni odgovor; CRu=Nepotvrđeni kompletni odgovor; PR=Parcijalni odgovor; CI=Interval pouzdanosti, HR=Odnos hazarda;</w:t>
      </w:r>
    </w:p>
    <w:p w:rsidR="0089768A" w:rsidRPr="00D31597" w:rsidRDefault="0089768A" w:rsidP="0089768A">
      <w:pPr>
        <w:suppressAutoHyphens/>
        <w:autoSpaceDE w:val="0"/>
        <w:jc w:val="both"/>
        <w:rPr>
          <w:rFonts w:eastAsia="Microsoft YaHei"/>
          <w:bCs/>
          <w:color w:val="000000"/>
          <w:sz w:val="20"/>
          <w:szCs w:val="22"/>
          <w:lang w:val="sr-Latn-ME" w:eastAsia="hr-HR"/>
        </w:rPr>
      </w:pPr>
      <w:r w:rsidRPr="00D31597">
        <w:rPr>
          <w:rFonts w:eastAsia="Microsoft YaHei"/>
          <w:bCs/>
          <w:color w:val="000000"/>
          <w:sz w:val="20"/>
          <w:szCs w:val="22"/>
          <w:lang w:val="sr-Latn-ME" w:eastAsia="hr-HR"/>
        </w:rPr>
        <w:t>OR=Odnos vjerovatnoće; ITT=Populacija namijenjena za liječenje</w:t>
      </w:r>
    </w:p>
    <w:p w:rsidR="0089768A" w:rsidRPr="00B90281" w:rsidRDefault="0089768A" w:rsidP="0089768A">
      <w:pPr>
        <w:suppressAutoHyphens/>
        <w:autoSpaceDE w:val="0"/>
        <w:jc w:val="both"/>
        <w:rPr>
          <w:rFonts w:eastAsia="Microsoft YaHei"/>
          <w:bCs/>
          <w:color w:val="000000"/>
          <w:sz w:val="22"/>
          <w:szCs w:val="22"/>
          <w:u w:val="single"/>
          <w:lang w:val="sr-Latn-ME" w:eastAsia="hr-HR"/>
        </w:rPr>
      </w:pPr>
    </w:p>
    <w:p w:rsidR="005E1B32" w:rsidRPr="00B90281" w:rsidRDefault="0089768A" w:rsidP="00C07CFB">
      <w:pPr>
        <w:autoSpaceDE w:val="0"/>
        <w:autoSpaceDN w:val="0"/>
        <w:adjustRightInd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Medijana preživljavanja bez progresije prema procjeni ispitivača iznosila je 30,7 mjeseci u BtzR-CAP grupi i 16,1 mjeseci u R-CHOP grupi (odnos rizika [HR]=0,51; p &lt; 0,001). Zapaženo je statistički značajno poboljšanje (p &lt; 0,001) u BtzR-CAP grupi u odnosu na R-CHOP grupu u vrijednosti parametra TTP (medijana 30,5 naspram 16,1 mjeseci), TNT (medijana 44,5 naspram 24,8 mjeseci) i TFI (medijana 40,6 naspram 20,5 mjeseci). Medijana trajanja kompletnog odgovora je iznosila 42,1 mjesec u BtzR-CAP grupi u odnosu sa 18 mjeseci u R-CHOP grupi. Trajanje ukupnog odgovora bilo je 21,4 mjeseca duže u BtzR-CAP grupi (medijana 36,5 mjeseci u odnosu 15,1 mjeseci u R-CHOP grupi). </w:t>
      </w:r>
      <w:r w:rsidR="00140AC5" w:rsidRPr="00B90281">
        <w:rPr>
          <w:rFonts w:eastAsia="Microsoft YaHei"/>
          <w:bCs/>
          <w:color w:val="000000"/>
          <w:sz w:val="22"/>
          <w:szCs w:val="22"/>
          <w:lang w:val="sr-Latn-ME" w:eastAsia="hr-HR"/>
        </w:rPr>
        <w:t xml:space="preserve"> </w:t>
      </w:r>
      <w:r w:rsidR="0024053C" w:rsidRPr="00B90281">
        <w:rPr>
          <w:rFonts w:eastAsia="Microsoft YaHei"/>
          <w:bCs/>
          <w:color w:val="000000"/>
          <w:sz w:val="22"/>
          <w:szCs w:val="22"/>
          <w:lang w:val="sr-Latn-ME" w:eastAsia="hr-HR"/>
        </w:rPr>
        <w:t>Kona</w:t>
      </w:r>
      <w:r w:rsidR="004A0BB0" w:rsidRPr="00B90281">
        <w:rPr>
          <w:rFonts w:eastAsia="Microsoft YaHei"/>
          <w:bCs/>
          <w:color w:val="000000"/>
          <w:sz w:val="22"/>
          <w:szCs w:val="22"/>
          <w:lang w:val="sr-Latn-ME" w:eastAsia="hr-HR"/>
        </w:rPr>
        <w:t>č</w:t>
      </w:r>
      <w:r w:rsidR="0024053C" w:rsidRPr="00B90281">
        <w:rPr>
          <w:rFonts w:eastAsia="Microsoft YaHei"/>
          <w:bCs/>
          <w:color w:val="000000"/>
          <w:sz w:val="22"/>
          <w:szCs w:val="22"/>
          <w:lang w:val="sr-Latn-ME" w:eastAsia="hr-HR"/>
        </w:rPr>
        <w:t>na analiza</w:t>
      </w:r>
      <w:r w:rsidR="00140AC5" w:rsidRPr="00B90281">
        <w:rPr>
          <w:rFonts w:eastAsia="Microsoft YaHei"/>
          <w:bCs/>
          <w:color w:val="000000"/>
          <w:sz w:val="22"/>
          <w:szCs w:val="22"/>
          <w:lang w:val="sr-Latn-ME" w:eastAsia="hr-HR"/>
        </w:rPr>
        <w:t xml:space="preserve"> </w:t>
      </w:r>
      <w:r w:rsidR="00DC45E9" w:rsidRPr="00B90281">
        <w:rPr>
          <w:rFonts w:eastAsia="Microsoft YaHei"/>
          <w:bCs/>
          <w:color w:val="000000"/>
          <w:sz w:val="22"/>
          <w:szCs w:val="22"/>
          <w:lang w:val="sr-Latn-ME" w:eastAsia="hr-HR"/>
        </w:rPr>
        <w:t>za ukupno</w:t>
      </w:r>
      <w:r w:rsidR="0024053C" w:rsidRPr="00B90281">
        <w:rPr>
          <w:rFonts w:eastAsia="Microsoft YaHei"/>
          <w:bCs/>
          <w:color w:val="000000"/>
          <w:sz w:val="22"/>
          <w:szCs w:val="22"/>
          <w:lang w:val="sr-Latn-ME" w:eastAsia="hr-HR"/>
        </w:rPr>
        <w:t xml:space="preserve"> pre</w:t>
      </w:r>
      <w:r w:rsidR="004A0BB0" w:rsidRPr="00B90281">
        <w:rPr>
          <w:rFonts w:eastAsia="Microsoft YaHei"/>
          <w:bCs/>
          <w:color w:val="000000"/>
          <w:sz w:val="22"/>
          <w:szCs w:val="22"/>
          <w:lang w:val="sr-Latn-ME" w:eastAsia="hr-HR"/>
        </w:rPr>
        <w:t>ž</w:t>
      </w:r>
      <w:r w:rsidR="0024053C" w:rsidRPr="00B90281">
        <w:rPr>
          <w:rFonts w:eastAsia="Microsoft YaHei"/>
          <w:bCs/>
          <w:color w:val="000000"/>
          <w:sz w:val="22"/>
          <w:szCs w:val="22"/>
          <w:lang w:val="sr-Latn-ME" w:eastAsia="hr-HR"/>
        </w:rPr>
        <w:t>ivljenj</w:t>
      </w:r>
      <w:r w:rsidR="00DC45E9" w:rsidRPr="00B90281">
        <w:rPr>
          <w:rFonts w:eastAsia="Microsoft YaHei"/>
          <w:bCs/>
          <w:color w:val="000000"/>
          <w:sz w:val="22"/>
          <w:szCs w:val="22"/>
          <w:lang w:val="sr-Latn-ME" w:eastAsia="hr-HR"/>
        </w:rPr>
        <w:t>e</w:t>
      </w:r>
      <w:r w:rsidR="00EE68C7" w:rsidRPr="00B90281">
        <w:rPr>
          <w:rFonts w:eastAsia="Microsoft YaHei"/>
          <w:bCs/>
          <w:color w:val="000000"/>
          <w:sz w:val="22"/>
          <w:szCs w:val="22"/>
          <w:lang w:val="sr-Latn-ME" w:eastAsia="hr-HR"/>
        </w:rPr>
        <w:t xml:space="preserve"> (OS)</w:t>
      </w:r>
      <w:r w:rsidR="0024053C" w:rsidRPr="00B90281">
        <w:rPr>
          <w:rFonts w:eastAsia="Microsoft YaHei"/>
          <w:bCs/>
          <w:color w:val="000000"/>
          <w:sz w:val="22"/>
          <w:szCs w:val="22"/>
          <w:lang w:val="sr-Latn-ME" w:eastAsia="hr-HR"/>
        </w:rPr>
        <w:t xml:space="preserve"> </w:t>
      </w:r>
      <w:r w:rsidR="00EE68C7" w:rsidRPr="00B90281">
        <w:rPr>
          <w:rFonts w:eastAsia="Microsoft YaHei"/>
          <w:bCs/>
          <w:color w:val="000000"/>
          <w:sz w:val="22"/>
          <w:szCs w:val="22"/>
          <w:lang w:val="sr-Latn-ME" w:eastAsia="hr-HR"/>
        </w:rPr>
        <w:t xml:space="preserve">napravljena nakon medijane praćenja u trajanju od </w:t>
      </w:r>
      <w:r w:rsidR="0024053C" w:rsidRPr="00B90281">
        <w:rPr>
          <w:rFonts w:eastAsia="Microsoft YaHei"/>
          <w:bCs/>
          <w:color w:val="000000"/>
          <w:sz w:val="22"/>
          <w:szCs w:val="22"/>
          <w:lang w:val="sr-Latn-ME" w:eastAsia="hr-HR"/>
        </w:rPr>
        <w:t>82 mjeseca. Medijan</w:t>
      </w:r>
      <w:r w:rsidR="00EE68C7" w:rsidRPr="00B90281">
        <w:rPr>
          <w:rFonts w:eastAsia="Microsoft YaHei"/>
          <w:bCs/>
          <w:color w:val="000000"/>
          <w:sz w:val="22"/>
          <w:szCs w:val="22"/>
          <w:lang w:val="sr-Latn-ME" w:eastAsia="hr-HR"/>
        </w:rPr>
        <w:t>a OS</w:t>
      </w:r>
      <w:r w:rsidR="0024053C" w:rsidRPr="00B90281">
        <w:rPr>
          <w:rFonts w:eastAsia="Microsoft YaHei"/>
          <w:bCs/>
          <w:color w:val="000000"/>
          <w:sz w:val="22"/>
          <w:szCs w:val="22"/>
          <w:lang w:val="sr-Latn-ME" w:eastAsia="hr-HR"/>
        </w:rPr>
        <w:t xml:space="preserve"> </w:t>
      </w:r>
      <w:r w:rsidR="00140AC5" w:rsidRPr="00B90281">
        <w:rPr>
          <w:rFonts w:eastAsia="Microsoft YaHei"/>
          <w:bCs/>
          <w:color w:val="000000"/>
          <w:sz w:val="22"/>
          <w:szCs w:val="22"/>
          <w:lang w:val="sr-Latn-ME" w:eastAsia="hr-HR"/>
        </w:rPr>
        <w:t xml:space="preserve"> </w:t>
      </w:r>
      <w:r w:rsidR="0024053C" w:rsidRPr="00B90281">
        <w:rPr>
          <w:rFonts w:eastAsia="Microsoft YaHei"/>
          <w:bCs/>
          <w:color w:val="000000"/>
          <w:sz w:val="22"/>
          <w:szCs w:val="22"/>
          <w:lang w:val="sr-Latn-ME" w:eastAsia="hr-HR"/>
        </w:rPr>
        <w:t>b</w:t>
      </w:r>
      <w:r w:rsidR="00EE68C7" w:rsidRPr="00B90281">
        <w:rPr>
          <w:rFonts w:eastAsia="Microsoft YaHei"/>
          <w:bCs/>
          <w:color w:val="000000"/>
          <w:sz w:val="22"/>
          <w:szCs w:val="22"/>
          <w:lang w:val="sr-Latn-ME" w:eastAsia="hr-HR"/>
        </w:rPr>
        <w:t>ila</w:t>
      </w:r>
      <w:r w:rsidR="0024053C" w:rsidRPr="00B90281">
        <w:rPr>
          <w:rFonts w:eastAsia="Microsoft YaHei"/>
          <w:bCs/>
          <w:color w:val="000000"/>
          <w:sz w:val="22"/>
          <w:szCs w:val="22"/>
          <w:lang w:val="sr-Latn-ME" w:eastAsia="hr-HR"/>
        </w:rPr>
        <w:t xml:space="preserve"> je 90,7 mjeseci </w:t>
      </w:r>
      <w:r w:rsidR="00140AC5" w:rsidRPr="00B90281">
        <w:rPr>
          <w:rFonts w:eastAsia="Microsoft YaHei"/>
          <w:bCs/>
          <w:color w:val="000000"/>
          <w:sz w:val="22"/>
          <w:szCs w:val="22"/>
          <w:lang w:val="sr-Latn-ME" w:eastAsia="hr-HR"/>
        </w:rPr>
        <w:t xml:space="preserve">BtzR-CAP grupi </w:t>
      </w:r>
      <w:r w:rsidR="0024053C" w:rsidRPr="00B90281">
        <w:rPr>
          <w:rFonts w:eastAsia="Microsoft YaHei"/>
          <w:bCs/>
          <w:color w:val="000000"/>
          <w:sz w:val="22"/>
          <w:szCs w:val="22"/>
          <w:lang w:val="sr-Latn-ME" w:eastAsia="hr-HR"/>
        </w:rPr>
        <w:t xml:space="preserve">u </w:t>
      </w:r>
      <w:r w:rsidR="00140AC5" w:rsidRPr="00B90281">
        <w:rPr>
          <w:rFonts w:eastAsia="Microsoft YaHei"/>
          <w:bCs/>
          <w:color w:val="000000"/>
          <w:sz w:val="22"/>
          <w:szCs w:val="22"/>
          <w:lang w:val="sr-Latn-ME" w:eastAsia="hr-HR"/>
        </w:rPr>
        <w:t xml:space="preserve">poređenju sa </w:t>
      </w:r>
      <w:r w:rsidR="0024053C" w:rsidRPr="00B90281">
        <w:rPr>
          <w:rFonts w:eastAsia="Microsoft YaHei"/>
          <w:bCs/>
          <w:color w:val="000000"/>
          <w:sz w:val="22"/>
          <w:szCs w:val="22"/>
          <w:lang w:val="sr-Latn-ME" w:eastAsia="hr-HR"/>
        </w:rPr>
        <w:t xml:space="preserve">55,7 mjeseci za R-CHOP </w:t>
      </w:r>
      <w:r w:rsidR="00140AC5" w:rsidRPr="00B90281">
        <w:rPr>
          <w:rFonts w:eastAsia="Microsoft YaHei"/>
          <w:bCs/>
          <w:color w:val="000000"/>
          <w:sz w:val="22"/>
          <w:szCs w:val="22"/>
          <w:lang w:val="sr-Latn-ME" w:eastAsia="hr-HR"/>
        </w:rPr>
        <w:t xml:space="preserve">grupom </w:t>
      </w:r>
      <w:r w:rsidR="0024053C" w:rsidRPr="00B90281">
        <w:rPr>
          <w:rFonts w:eastAsia="Microsoft YaHei"/>
          <w:bCs/>
          <w:color w:val="000000"/>
          <w:sz w:val="22"/>
          <w:szCs w:val="22"/>
          <w:lang w:val="sr-Latn-ME" w:eastAsia="hr-HR"/>
        </w:rPr>
        <w:t>(HR=0,66; p=0,001). Zapa</w:t>
      </w:r>
      <w:r w:rsidR="00140AC5" w:rsidRPr="00B90281">
        <w:rPr>
          <w:rFonts w:eastAsia="Microsoft YaHei"/>
          <w:bCs/>
          <w:color w:val="000000"/>
          <w:sz w:val="22"/>
          <w:szCs w:val="22"/>
          <w:lang w:val="sr-Latn-ME" w:eastAsia="hr-HR"/>
        </w:rPr>
        <w:t>ž</w:t>
      </w:r>
      <w:r w:rsidR="0024053C" w:rsidRPr="00B90281">
        <w:rPr>
          <w:rFonts w:eastAsia="Microsoft YaHei"/>
          <w:bCs/>
          <w:color w:val="000000"/>
          <w:sz w:val="22"/>
          <w:szCs w:val="22"/>
          <w:lang w:val="sr-Latn-ME" w:eastAsia="hr-HR"/>
        </w:rPr>
        <w:t>ena razlika kona</w:t>
      </w:r>
      <w:r w:rsidR="00B4681D" w:rsidRPr="00B90281">
        <w:rPr>
          <w:rFonts w:eastAsia="Microsoft YaHei"/>
          <w:bCs/>
          <w:color w:val="000000"/>
          <w:sz w:val="22"/>
          <w:szCs w:val="22"/>
          <w:lang w:val="sr-Latn-ME" w:eastAsia="hr-HR"/>
        </w:rPr>
        <w:t>č</w:t>
      </w:r>
      <w:r w:rsidR="0024053C" w:rsidRPr="00B90281">
        <w:rPr>
          <w:rFonts w:eastAsia="Microsoft YaHei"/>
          <w:bCs/>
          <w:color w:val="000000"/>
          <w:sz w:val="22"/>
          <w:szCs w:val="22"/>
          <w:lang w:val="sr-Latn-ME" w:eastAsia="hr-HR"/>
        </w:rPr>
        <w:t>nih medijana ukupnog pre</w:t>
      </w:r>
      <w:r w:rsidR="00140AC5" w:rsidRPr="00B90281">
        <w:rPr>
          <w:rFonts w:eastAsia="Microsoft YaHei"/>
          <w:bCs/>
          <w:color w:val="000000"/>
          <w:sz w:val="22"/>
          <w:szCs w:val="22"/>
          <w:lang w:val="sr-Latn-ME" w:eastAsia="hr-HR"/>
        </w:rPr>
        <w:t>ž</w:t>
      </w:r>
      <w:r w:rsidR="0024053C" w:rsidRPr="00B90281">
        <w:rPr>
          <w:rFonts w:eastAsia="Microsoft YaHei"/>
          <w:bCs/>
          <w:color w:val="000000"/>
          <w:sz w:val="22"/>
          <w:szCs w:val="22"/>
          <w:lang w:val="sr-Latn-ME" w:eastAsia="hr-HR"/>
        </w:rPr>
        <w:t>ivlj</w:t>
      </w:r>
      <w:r w:rsidR="00095646" w:rsidRPr="00B90281">
        <w:rPr>
          <w:rFonts w:eastAsia="Microsoft YaHei"/>
          <w:bCs/>
          <w:color w:val="000000"/>
          <w:sz w:val="22"/>
          <w:szCs w:val="22"/>
          <w:lang w:val="sr-Latn-ME" w:eastAsia="hr-HR"/>
        </w:rPr>
        <w:t>ava</w:t>
      </w:r>
      <w:r w:rsidR="0024053C" w:rsidRPr="00B90281">
        <w:rPr>
          <w:rFonts w:eastAsia="Microsoft YaHei"/>
          <w:bCs/>
          <w:color w:val="000000"/>
          <w:sz w:val="22"/>
          <w:szCs w:val="22"/>
          <w:lang w:val="sr-Latn-ME" w:eastAsia="hr-HR"/>
        </w:rPr>
        <w:t>nja izme</w:t>
      </w:r>
      <w:r w:rsidR="00140AC5" w:rsidRPr="00B90281">
        <w:rPr>
          <w:rFonts w:eastAsia="Microsoft YaHei"/>
          <w:bCs/>
          <w:color w:val="000000"/>
          <w:sz w:val="22"/>
          <w:szCs w:val="22"/>
          <w:lang w:val="sr-Latn-ME" w:eastAsia="hr-HR"/>
        </w:rPr>
        <w:t>đ</w:t>
      </w:r>
      <w:r w:rsidR="0024053C" w:rsidRPr="00B90281">
        <w:rPr>
          <w:rFonts w:eastAsia="Microsoft YaHei"/>
          <w:bCs/>
          <w:color w:val="000000"/>
          <w:sz w:val="22"/>
          <w:szCs w:val="22"/>
          <w:lang w:val="sr-Latn-ME" w:eastAsia="hr-HR"/>
        </w:rPr>
        <w:t>u 2 lije</w:t>
      </w:r>
      <w:r w:rsidR="00095646" w:rsidRPr="00B90281">
        <w:rPr>
          <w:rFonts w:eastAsia="Microsoft YaHei"/>
          <w:bCs/>
          <w:color w:val="000000"/>
          <w:sz w:val="22"/>
          <w:szCs w:val="22"/>
          <w:lang w:val="sr-Latn-ME" w:eastAsia="hr-HR"/>
        </w:rPr>
        <w:t>č</w:t>
      </w:r>
      <w:r w:rsidR="0024053C" w:rsidRPr="00B90281">
        <w:rPr>
          <w:rFonts w:eastAsia="Microsoft YaHei"/>
          <w:bCs/>
          <w:color w:val="000000"/>
          <w:sz w:val="22"/>
          <w:szCs w:val="22"/>
          <w:lang w:val="sr-Latn-ME" w:eastAsia="hr-HR"/>
        </w:rPr>
        <w:t>ene</w:t>
      </w:r>
      <w:r w:rsidR="00140AC5" w:rsidRPr="00B90281">
        <w:rPr>
          <w:rFonts w:eastAsia="Microsoft YaHei"/>
          <w:bCs/>
          <w:color w:val="000000"/>
          <w:sz w:val="22"/>
          <w:szCs w:val="22"/>
          <w:lang w:val="sr-Latn-ME" w:eastAsia="hr-HR"/>
        </w:rPr>
        <w:t xml:space="preserve"> grup</w:t>
      </w:r>
      <w:r w:rsidR="0024053C" w:rsidRPr="00B90281">
        <w:rPr>
          <w:rFonts w:eastAsia="Microsoft YaHei"/>
          <w:bCs/>
          <w:color w:val="000000"/>
          <w:sz w:val="22"/>
          <w:szCs w:val="22"/>
          <w:lang w:val="sr-Latn-ME" w:eastAsia="hr-HR"/>
        </w:rPr>
        <w:t>e bila je 35 mjeseci.</w:t>
      </w:r>
    </w:p>
    <w:p w:rsidR="007D08D7" w:rsidRPr="00B90281" w:rsidRDefault="007D08D7" w:rsidP="0089768A">
      <w:pPr>
        <w:suppressAutoHyphens/>
        <w:autoSpaceDE w:val="0"/>
        <w:rPr>
          <w:rFonts w:eastAsia="Microsoft YaHei"/>
          <w:bCs/>
          <w:color w:val="000000"/>
          <w:sz w:val="22"/>
          <w:szCs w:val="22"/>
          <w:u w:val="single"/>
          <w:lang w:val="sr-Latn-ME" w:eastAsia="hr-HR"/>
        </w:rPr>
      </w:pPr>
    </w:p>
    <w:p w:rsidR="0089768A" w:rsidRPr="00B90281" w:rsidRDefault="0089768A" w:rsidP="0089768A">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u w:val="single"/>
          <w:lang w:val="sr-Latn-ME" w:eastAsia="hr-HR"/>
        </w:rPr>
        <w:t>Pacijenti prethodno liječeni od amiloidoze lakih lanaca (AL)</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Sprovedeno je ispitivanje otvorenog, nerandomizovanog tipa faze I/II da bi se utvrdila bezbjednost i efikasnost primjene bortezomiba kod pacijenata prethodno liječenih od amiloidoze lakih lanaca (AL). Ni</w:t>
      </w:r>
      <w:r w:rsidR="00525CA4" w:rsidRPr="00B90281">
        <w:rPr>
          <w:rFonts w:eastAsia="Microsoft YaHei"/>
          <w:bCs/>
          <w:color w:val="000000"/>
          <w:sz w:val="22"/>
          <w:szCs w:val="22"/>
          <w:lang w:val="sr-Latn-ME" w:eastAsia="hr-HR"/>
        </w:rPr>
        <w:t>je</w:t>
      </w:r>
      <w:r w:rsidRPr="00B90281">
        <w:rPr>
          <w:rFonts w:eastAsia="Microsoft YaHei"/>
          <w:bCs/>
          <w:color w:val="000000"/>
          <w:sz w:val="22"/>
          <w:szCs w:val="22"/>
          <w:lang w:val="sr-Latn-ME" w:eastAsia="hr-HR"/>
        </w:rPr>
        <w:t xml:space="preserve">su primijećeni novi bezbjednosni pokazatelji tokom ispitivanja, a u suštini bortezomib nije doveo do pogoršanja oštećenja ciljnih organa (srce, bubreg i jetra). </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 eksplorativnoj analizi efikasnosti, stopa odgovora od 67,3% (uključujući CR stopu od 28,6%) prema mjerenju hematološkog odgovora (M-protein) zabilježena je kod 49 procijenjenih pacijenata liječenih maksimalnim dopuštenim dozama od 1,6 mg/ 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na nedjelju i 1,3 mg/m</w:t>
      </w:r>
      <w:r w:rsidRPr="00B90281">
        <w:rPr>
          <w:rFonts w:eastAsia="Microsoft YaHei"/>
          <w:bCs/>
          <w:color w:val="000000"/>
          <w:sz w:val="22"/>
          <w:szCs w:val="22"/>
          <w:vertAlign w:val="superscript"/>
          <w:lang w:val="sr-Latn-ME" w:eastAsia="hr-HR"/>
        </w:rPr>
        <w:t>2</w:t>
      </w:r>
      <w:r w:rsidRPr="00B90281">
        <w:rPr>
          <w:rFonts w:eastAsia="Microsoft YaHei"/>
          <w:bCs/>
          <w:color w:val="000000"/>
          <w:sz w:val="22"/>
          <w:szCs w:val="22"/>
          <w:lang w:val="sr-Latn-ME" w:eastAsia="hr-HR"/>
        </w:rPr>
        <w:t xml:space="preserve"> dvaput nedjeljno. U ovim kohortama prema dozi, kombinovana stopa jednogodišnjeg preživljavanja iznosila je 88,1%.</w:t>
      </w:r>
    </w:p>
    <w:p w:rsidR="0089768A" w:rsidRPr="00B90281" w:rsidRDefault="0089768A" w:rsidP="0089768A">
      <w:pPr>
        <w:suppressAutoHyphens/>
        <w:autoSpaceDE w:val="0"/>
        <w:rPr>
          <w:rFonts w:eastAsia="Microsoft YaHei"/>
          <w:bCs/>
          <w:color w:val="000000"/>
          <w:sz w:val="22"/>
          <w:szCs w:val="22"/>
          <w:lang w:val="sr-Latn-ME" w:eastAsia="hr-HR"/>
        </w:rPr>
      </w:pPr>
    </w:p>
    <w:p w:rsidR="0089768A" w:rsidRPr="00B90281" w:rsidRDefault="0089768A" w:rsidP="0089768A">
      <w:pPr>
        <w:suppressAutoHyphens/>
        <w:autoSpaceDE w:val="0"/>
        <w:rPr>
          <w:rFonts w:eastAsia="Microsoft YaHei"/>
          <w:bCs/>
          <w:color w:val="000000"/>
          <w:sz w:val="22"/>
          <w:szCs w:val="22"/>
          <w:u w:val="single"/>
          <w:lang w:val="sr-Latn-ME" w:eastAsia="hr-HR"/>
        </w:rPr>
      </w:pPr>
      <w:r w:rsidRPr="00B90281">
        <w:rPr>
          <w:rFonts w:eastAsia="Microsoft YaHei"/>
          <w:bCs/>
          <w:color w:val="000000"/>
          <w:sz w:val="22"/>
          <w:szCs w:val="22"/>
          <w:u w:val="single"/>
          <w:lang w:val="sr-Latn-ME" w:eastAsia="hr-HR"/>
        </w:rPr>
        <w:t>Pedijatrijska populacija</w:t>
      </w: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Evropska Agencija za ljekove je izuzela obavezu podnošenja rezultata ispitivanja bortezomiba u svim podgrupama pedijatrijske populacije u multiplom mijelomu i u limfomu </w:t>
      </w:r>
      <w:r w:rsidRPr="00B90281">
        <w:rPr>
          <w:rFonts w:eastAsia="Microsoft YaHei"/>
          <w:bCs/>
          <w:i/>
          <w:color w:val="000000"/>
          <w:sz w:val="22"/>
          <w:szCs w:val="22"/>
          <w:lang w:val="sr-Latn-ME" w:eastAsia="hr-HR"/>
        </w:rPr>
        <w:t>mantle</w:t>
      </w:r>
      <w:r w:rsidRPr="00B90281">
        <w:rPr>
          <w:rFonts w:eastAsia="Microsoft YaHei"/>
          <w:bCs/>
          <w:color w:val="000000"/>
          <w:sz w:val="22"/>
          <w:szCs w:val="22"/>
          <w:lang w:val="sr-Latn-ME" w:eastAsia="hr-HR"/>
        </w:rPr>
        <w:t xml:space="preserve"> ćelija (vidjeti </w:t>
      </w:r>
      <w:r w:rsidR="002771E3" w:rsidRPr="00B90281">
        <w:rPr>
          <w:rFonts w:eastAsia="Microsoft YaHei"/>
          <w:bCs/>
          <w:color w:val="000000"/>
          <w:sz w:val="22"/>
          <w:szCs w:val="22"/>
          <w:lang w:val="sr-Latn-ME" w:eastAsia="hr-HR"/>
        </w:rPr>
        <w:t>di</w:t>
      </w:r>
      <w:r w:rsidRPr="00B90281">
        <w:rPr>
          <w:rFonts w:eastAsia="Microsoft YaHei"/>
          <w:bCs/>
          <w:color w:val="000000"/>
          <w:sz w:val="22"/>
          <w:szCs w:val="22"/>
          <w:lang w:val="sr-Latn-ME" w:eastAsia="hr-HR"/>
        </w:rPr>
        <w:t>o 4.2 za informacije o pedijatrijskoj primjeni).</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Ispitivanje faze II u kojem su se ispitivali aktivnost, bezbjednost i farmakokinetika u jednoj grupi pacijenata, sprovedeno od strane Grupe za dječju onkologiju (engl. </w:t>
      </w:r>
      <w:r w:rsidRPr="00B90281">
        <w:rPr>
          <w:rFonts w:eastAsia="Microsoft YaHei"/>
          <w:bCs/>
          <w:i/>
          <w:color w:val="000000"/>
          <w:sz w:val="22"/>
          <w:szCs w:val="22"/>
          <w:lang w:val="sr-Latn-ME" w:eastAsia="hr-HR"/>
        </w:rPr>
        <w:t>Childrens Oncology Group</w:t>
      </w:r>
      <w:r w:rsidRPr="00B90281">
        <w:rPr>
          <w:rFonts w:eastAsia="Microsoft YaHei"/>
          <w:bCs/>
          <w:color w:val="000000"/>
          <w:sz w:val="22"/>
          <w:szCs w:val="22"/>
          <w:lang w:val="sr-Latn-ME" w:eastAsia="hr-HR"/>
        </w:rPr>
        <w:t>), procijenilo je aktivnost dodavanja bortezomiba u ponovno uvedenu hemioterapiju sa više ljekova kod pedijatrijskih i mladih odraslih pacijenata sa limfoidnim malignim bolestima (pre-B-ćelijska akutna limfoblastna leukemija [ALL], T-ćelijska ALL i T-ćelijski limfoblastni limfom [LL]). Efikasno ponovno uvođenje režima hemoterapije sa više ljekova bilo je primijenjeno u 3 faze. Bortezomib je bio primijenjen samo u 1. i 2. fazi zbog izbjegavanja mogućeg preklapanja toksičnosti sa istovremeno primijenjenim ljekovima u fazi 3.</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Kompletan odgovor (engl. </w:t>
      </w:r>
      <w:r w:rsidRPr="00B90281">
        <w:rPr>
          <w:rFonts w:eastAsia="Microsoft YaHei"/>
          <w:bCs/>
          <w:i/>
          <w:color w:val="000000"/>
          <w:sz w:val="22"/>
          <w:szCs w:val="22"/>
          <w:lang w:val="sr-Latn-ME" w:eastAsia="hr-HR"/>
        </w:rPr>
        <w:t>complete response</w:t>
      </w:r>
      <w:r w:rsidRPr="00B90281">
        <w:rPr>
          <w:rFonts w:eastAsia="Microsoft YaHei"/>
          <w:bCs/>
          <w:color w:val="000000"/>
          <w:sz w:val="22"/>
          <w:szCs w:val="22"/>
          <w:lang w:val="sr-Latn-ME" w:eastAsia="hr-HR"/>
        </w:rPr>
        <w:t xml:space="preserve">, CR) bio je procijenjen na kraju 1. </w:t>
      </w:r>
      <w:r w:rsidR="00525CA4" w:rsidRPr="00B90281">
        <w:rPr>
          <w:rFonts w:eastAsia="Microsoft YaHei"/>
          <w:bCs/>
          <w:color w:val="000000"/>
          <w:sz w:val="22"/>
          <w:szCs w:val="22"/>
          <w:lang w:val="sr-Latn-ME" w:eastAsia="hr-HR"/>
        </w:rPr>
        <w:t>bloka</w:t>
      </w:r>
      <w:r w:rsidRPr="00B90281">
        <w:rPr>
          <w:rFonts w:eastAsia="Microsoft YaHei"/>
          <w:bCs/>
          <w:color w:val="000000"/>
          <w:sz w:val="22"/>
          <w:szCs w:val="22"/>
          <w:lang w:val="sr-Latn-ME" w:eastAsia="hr-HR"/>
        </w:rPr>
        <w:t xml:space="preserve">. Kod pacijenata sa B-ćelijskom ALL sa relapsom unutar 18 mjeseci od dijagnoze (n = 27), stopa kompletnog odgovora bila je 67% (95% CI: 46, 84); stopa četvoromjesečnog preživljavanja bez događaja bila je 44% (95% CI: 26, 62). Kod pacijenata sa B-ćelijskom ALL sa relapsom unutar 18-36 mjeseci od dijagnoze (n = 33), stopa kompletnog odgovora bila je 79% (95% CI: 61, 91) i stopa četvoromjesečnog preživljavanja bez događaja iznosila je 73% (95% CI: 54, 85). Stepen kompletnog odgovora kod pacijenata sa T-ćelijskom ALL sa prvim relapsom (n = 22) bio je 68% (95% CI: 45, 86 ) i stopa četvoromjesečnog preživljavanja bez događaja iznosila je 67% (95% CI: 42, 83). Prijavljeni podaci o efikasnosti smatraju se neuvjerljivima (vidjeti </w:t>
      </w:r>
      <w:r w:rsidR="002771E3" w:rsidRPr="00B90281">
        <w:rPr>
          <w:rFonts w:eastAsia="Microsoft YaHei"/>
          <w:bCs/>
          <w:color w:val="000000"/>
          <w:sz w:val="22"/>
          <w:szCs w:val="22"/>
          <w:lang w:val="sr-Latn-ME" w:eastAsia="hr-HR"/>
        </w:rPr>
        <w:t>di</w:t>
      </w:r>
      <w:r w:rsidRPr="00B90281">
        <w:rPr>
          <w:rFonts w:eastAsia="Microsoft YaHei"/>
          <w:bCs/>
          <w:color w:val="000000"/>
          <w:sz w:val="22"/>
          <w:szCs w:val="22"/>
          <w:lang w:val="sr-Latn-ME" w:eastAsia="hr-HR"/>
        </w:rPr>
        <w:t>o 4.2).</w:t>
      </w:r>
    </w:p>
    <w:p w:rsidR="0089768A" w:rsidRPr="00B90281" w:rsidRDefault="0089768A" w:rsidP="0089768A">
      <w:pPr>
        <w:suppressAutoHyphens/>
        <w:autoSpaceDE w:val="0"/>
        <w:jc w:val="both"/>
        <w:rPr>
          <w:rFonts w:eastAsia="Microsoft YaHei"/>
          <w:bCs/>
          <w:color w:val="000000"/>
          <w:sz w:val="22"/>
          <w:szCs w:val="22"/>
          <w:lang w:val="sr-Latn-ME" w:eastAsia="hr-HR"/>
        </w:rPr>
      </w:pPr>
    </w:p>
    <w:p w:rsidR="0089768A" w:rsidRPr="00B90281" w:rsidRDefault="0089768A" w:rsidP="0089768A">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lastRenderedPageBreak/>
        <w:t>Ukupno je bilo uključeno i procijenjeno na bezbjednost 140 pacijenata sa ALL ili LL; medijana starosti iznosila je 10 godina (raspon od 1 do 26). Ni</w:t>
      </w:r>
      <w:r w:rsidR="00525CA4" w:rsidRPr="00B90281">
        <w:rPr>
          <w:rFonts w:eastAsia="Microsoft YaHei"/>
          <w:bCs/>
          <w:color w:val="000000"/>
          <w:sz w:val="22"/>
          <w:szCs w:val="22"/>
          <w:lang w:val="sr-Latn-ME" w:eastAsia="hr-HR"/>
        </w:rPr>
        <w:t>je</w:t>
      </w:r>
      <w:r w:rsidRPr="00B90281">
        <w:rPr>
          <w:rFonts w:eastAsia="Microsoft YaHei"/>
          <w:bCs/>
          <w:color w:val="000000"/>
          <w:sz w:val="22"/>
          <w:szCs w:val="22"/>
          <w:lang w:val="sr-Latn-ME" w:eastAsia="hr-HR"/>
        </w:rPr>
        <w:t>su zabilježena nova bezbjedonosna pitanja kada je bortezomib bio dodat standardnoj osnovnoj pedijatrijskoj hemioterapiji za pre-B-ćelijsku ALL. Sljedeća neželjena dejstva (stepena ≥ 3) zabilježena su u većoj incidenci kod režima liječenja koji sadrži bortezomib u odnosu na ispitivanje sa istorijskom kontrolom u kojem je osnovni režim davan samostalno: u 1. bloku periferna senzorna neuropatija (3% naspram 0%); ileus (2,1% naspram 0%); hipoksija (8% naspram 2%). Ni</w:t>
      </w:r>
      <w:r w:rsidR="008247F1" w:rsidRPr="00B90281">
        <w:rPr>
          <w:rFonts w:eastAsia="Microsoft YaHei"/>
          <w:bCs/>
          <w:color w:val="000000"/>
          <w:sz w:val="22"/>
          <w:szCs w:val="22"/>
          <w:lang w:val="sr-Latn-ME" w:eastAsia="hr-HR"/>
        </w:rPr>
        <w:t>je</w:t>
      </w:r>
      <w:r w:rsidRPr="00B90281">
        <w:rPr>
          <w:rFonts w:eastAsia="Microsoft YaHei"/>
          <w:bCs/>
          <w:color w:val="000000"/>
          <w:sz w:val="22"/>
          <w:szCs w:val="22"/>
          <w:lang w:val="sr-Latn-ME" w:eastAsia="hr-HR"/>
        </w:rPr>
        <w:t>su dostupne informacije o mogućim posljedicama ili stepenu povlačenja periferne neuropatije u ovom ispitivanju. Takođe su zabilježene više incidence za infekcije sa stepenom ≥ 3 neutropenije (24% naspram 19% u 1. bloku i 22% naspram 11% u 2. bloku), povišen ALT (17% naspram 8% u 2. bloku), hipokalijemija (18% naspram 6% u 1. bloku i 21% naspram 12% u 2. bloku), zatim hiponatrijemija (12% naspram 5% u 1. bloku i 4% naspram 0 u 2. bloku).</w:t>
      </w:r>
    </w:p>
    <w:p w:rsidR="002E37A5" w:rsidRPr="00B90281" w:rsidRDefault="002E37A5" w:rsidP="00480FB1">
      <w:pPr>
        <w:tabs>
          <w:tab w:val="left" w:pos="540"/>
          <w:tab w:val="left" w:pos="569"/>
        </w:tabs>
        <w:rPr>
          <w:b/>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5.2. </w:t>
      </w:r>
      <w:r w:rsidR="00480FB1" w:rsidRPr="00B90281">
        <w:rPr>
          <w:b/>
          <w:bCs/>
          <w:sz w:val="22"/>
          <w:szCs w:val="22"/>
          <w:lang w:val="sr-Latn-ME"/>
        </w:rPr>
        <w:tab/>
      </w:r>
      <w:r w:rsidRPr="00B90281">
        <w:rPr>
          <w:b/>
          <w:bCs/>
          <w:sz w:val="22"/>
          <w:szCs w:val="22"/>
          <w:lang w:val="sr-Latn-ME"/>
        </w:rPr>
        <w:t>Farmakokinetički podaci</w:t>
      </w:r>
      <w:r w:rsidR="003A7059" w:rsidRPr="00B90281">
        <w:rPr>
          <w:b/>
          <w:bCs/>
          <w:sz w:val="22"/>
          <w:szCs w:val="22"/>
          <w:lang w:val="sr-Latn-ME"/>
        </w:rPr>
        <w:t xml:space="preserve"> </w:t>
      </w:r>
    </w:p>
    <w:p w:rsidR="0072020E" w:rsidRPr="00B90281" w:rsidRDefault="0072020E" w:rsidP="00480FB1">
      <w:pPr>
        <w:tabs>
          <w:tab w:val="left" w:pos="540"/>
          <w:tab w:val="left" w:pos="569"/>
        </w:tabs>
        <w:rPr>
          <w:bCs/>
          <w:sz w:val="22"/>
          <w:szCs w:val="22"/>
          <w:lang w:val="sr-Latn-ME"/>
        </w:rPr>
      </w:pPr>
    </w:p>
    <w:p w:rsidR="00DD1857" w:rsidRPr="00B90281" w:rsidRDefault="00DD1857" w:rsidP="00DD1857">
      <w:pPr>
        <w:suppressAutoHyphens/>
        <w:autoSpaceDE w:val="0"/>
        <w:rPr>
          <w:rFonts w:eastAsia="TimesNewRoman"/>
          <w:bCs/>
          <w:color w:val="000000"/>
          <w:sz w:val="22"/>
          <w:szCs w:val="22"/>
          <w:lang w:val="sr-Latn-ME" w:eastAsia="hr-HR"/>
        </w:rPr>
      </w:pPr>
      <w:r w:rsidRPr="00B90281">
        <w:rPr>
          <w:rFonts w:eastAsia="TimesNewRoman"/>
          <w:bCs/>
          <w:color w:val="000000"/>
          <w:sz w:val="22"/>
          <w:szCs w:val="22"/>
          <w:u w:val="single"/>
          <w:lang w:val="sr-Latn-ME" w:eastAsia="hr-HR"/>
        </w:rPr>
        <w:t>Resorpcija</w:t>
      </w:r>
    </w:p>
    <w:p w:rsidR="00DD1857" w:rsidRPr="00B90281" w:rsidRDefault="00DD1857" w:rsidP="00DD1857">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Nakon intravenske primjene bolus doze od 1,0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odnosno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kod 11 pacijenata sa multiplim mijelomom čije su vrijednosti klirensa kreatinina bile više od 50 ml/min, srednje vrijednosti maksimalne koncentracije bortezomiba u plazmi nakon prve doze iznosile su 57 odnosno 112 ng/ml. Nakon sljedećih doza, primijećene srednje vrijednosti maksimalne koncentracije u plazmi bile su u opsegu od 67 do 106 ng/ml kod doze od 1,0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i 89 do 120 ng/ml kod doze od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w:t>
      </w:r>
    </w:p>
    <w:p w:rsidR="00DD1857" w:rsidRPr="00B90281" w:rsidRDefault="008247F1" w:rsidP="00D45B76">
      <w:pPr>
        <w:suppressAutoHyphens/>
        <w:autoSpaceDE w:val="0"/>
        <w:jc w:val="both"/>
        <w:rPr>
          <w:rFonts w:eastAsia="TimesNewRoman"/>
          <w:bCs/>
          <w:color w:val="000000"/>
          <w:sz w:val="22"/>
          <w:szCs w:val="22"/>
          <w:u w:val="single"/>
          <w:lang w:val="sr-Latn-ME" w:eastAsia="hr-HR"/>
        </w:rPr>
      </w:pPr>
      <w:r w:rsidRPr="00B90281">
        <w:rPr>
          <w:sz w:val="22"/>
          <w:szCs w:val="22"/>
          <w:lang w:val="sr-Latn-ME"/>
        </w:rPr>
        <w:t>Nakon intravenske bolus ili subkutane injekcije u dozi od 1,3 mg/m2 primijenjene pacijentima sa multiplim mijelomom (n=14 u intravenskoj grupi, n=17 u subkutanoj grupi), ukupna sistemska izloženost nakon primjene ponovljenih doza (PIK trajanja) bila je jednaka za subkutane i intravenske primjene. Cmax nakon subkutane primjene (20,4 ng/ml) bila je niža nego kod intravenske primjene (223 ng/ml). PIK trajanja odnosa geometrijske sredine bila je 0,99; a 90% interval pouzdanosti bio je 80,18% - 122,80%.</w:t>
      </w:r>
    </w:p>
    <w:p w:rsidR="008247F1" w:rsidRPr="00B90281" w:rsidRDefault="008247F1" w:rsidP="00DD1857">
      <w:pPr>
        <w:suppressAutoHyphens/>
        <w:autoSpaceDE w:val="0"/>
        <w:rPr>
          <w:rFonts w:eastAsia="TimesNewRoman"/>
          <w:bCs/>
          <w:color w:val="000000"/>
          <w:sz w:val="22"/>
          <w:szCs w:val="22"/>
          <w:u w:val="single"/>
          <w:lang w:val="sr-Latn-ME" w:eastAsia="hr-HR"/>
        </w:rPr>
      </w:pPr>
    </w:p>
    <w:p w:rsidR="00DD1857" w:rsidRPr="00B90281" w:rsidRDefault="00DD1857" w:rsidP="00DD1857">
      <w:pPr>
        <w:suppressAutoHyphens/>
        <w:autoSpaceDE w:val="0"/>
        <w:rPr>
          <w:rFonts w:eastAsia="TimesNewRoman"/>
          <w:bCs/>
          <w:color w:val="000000"/>
          <w:sz w:val="22"/>
          <w:szCs w:val="22"/>
          <w:lang w:val="sr-Latn-ME" w:eastAsia="hr-HR"/>
        </w:rPr>
      </w:pPr>
      <w:r w:rsidRPr="00B90281">
        <w:rPr>
          <w:rFonts w:eastAsia="TimesNewRoman"/>
          <w:bCs/>
          <w:color w:val="000000"/>
          <w:sz w:val="22"/>
          <w:szCs w:val="22"/>
          <w:u w:val="single"/>
          <w:lang w:val="sr-Latn-ME" w:eastAsia="hr-HR"/>
        </w:rPr>
        <w:t>Distribucija</w:t>
      </w:r>
    </w:p>
    <w:p w:rsidR="00DD1857" w:rsidRPr="00B90281" w:rsidRDefault="00DD1857" w:rsidP="00DD1857">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Prosječni volumen distribucije (V</w:t>
      </w:r>
      <w:r w:rsidRPr="00B90281">
        <w:rPr>
          <w:rFonts w:eastAsia="TimesNewRoman"/>
          <w:bCs/>
          <w:color w:val="000000"/>
          <w:sz w:val="22"/>
          <w:szCs w:val="22"/>
          <w:vertAlign w:val="subscript"/>
          <w:lang w:val="sr-Latn-ME" w:eastAsia="hr-HR"/>
        </w:rPr>
        <w:t>d</w:t>
      </w:r>
      <w:r w:rsidRPr="00B90281">
        <w:rPr>
          <w:rFonts w:eastAsia="TimesNewRoman"/>
          <w:bCs/>
          <w:color w:val="000000"/>
          <w:sz w:val="22"/>
          <w:szCs w:val="22"/>
          <w:lang w:val="sr-Latn-ME" w:eastAsia="hr-HR"/>
        </w:rPr>
        <w:t>) bortezomiba kretao se u opsegu od 1659 l do 3294 l,  nakon pojedinačne ili ponovljene intravenske primjene doze od 1,0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ili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kod pacijenata sa multiplim mijelomom. Ti podaci upućuju da se bortezomib u velikom stepenu distribuira u periferna tkiva. U rasponu koncentracija bortezomiba od 0,01 do 1,0 μg/ml, vezivanje za proteine u humanoj plazmi </w:t>
      </w:r>
      <w:r w:rsidRPr="00B90281">
        <w:rPr>
          <w:rFonts w:eastAsia="TimesNewRoman"/>
          <w:bCs/>
          <w:i/>
          <w:iCs/>
          <w:color w:val="000000"/>
          <w:sz w:val="22"/>
          <w:szCs w:val="22"/>
          <w:lang w:val="sr-Latn-ME" w:eastAsia="hr-HR"/>
        </w:rPr>
        <w:t xml:space="preserve">in vitro </w:t>
      </w:r>
      <w:r w:rsidRPr="00B90281">
        <w:rPr>
          <w:rFonts w:eastAsia="TimesNewRoman"/>
          <w:bCs/>
          <w:color w:val="000000"/>
          <w:sz w:val="22"/>
          <w:szCs w:val="22"/>
          <w:lang w:val="sr-Latn-ME" w:eastAsia="hr-HR"/>
        </w:rPr>
        <w:t>u prosjeku je iznosilo 82,9%. Procenat vezivanja bortezomiba za proteine plazme nije zavisio od koncentracije.</w:t>
      </w:r>
    </w:p>
    <w:p w:rsidR="00DD1857" w:rsidRPr="00B90281" w:rsidRDefault="00DD1857" w:rsidP="00DD1857">
      <w:pPr>
        <w:suppressAutoHyphens/>
        <w:autoSpaceDE w:val="0"/>
        <w:rPr>
          <w:rFonts w:eastAsia="TimesNewRoman"/>
          <w:bCs/>
          <w:color w:val="000000"/>
          <w:sz w:val="22"/>
          <w:szCs w:val="22"/>
          <w:lang w:val="sr-Latn-ME" w:eastAsia="hr-HR"/>
        </w:rPr>
      </w:pPr>
    </w:p>
    <w:p w:rsidR="00DD1857" w:rsidRPr="00B90281" w:rsidRDefault="00DD1857" w:rsidP="00DD1857">
      <w:pPr>
        <w:suppressAutoHyphens/>
        <w:autoSpaceDE w:val="0"/>
        <w:rPr>
          <w:rFonts w:eastAsia="TimesNewRoman"/>
          <w:bCs/>
          <w:i/>
          <w:iCs/>
          <w:color w:val="000000"/>
          <w:sz w:val="22"/>
          <w:szCs w:val="22"/>
          <w:lang w:val="sr-Latn-ME" w:eastAsia="hr-HR"/>
        </w:rPr>
      </w:pPr>
      <w:r w:rsidRPr="00B90281">
        <w:rPr>
          <w:rFonts w:eastAsia="TimesNewRoman"/>
          <w:bCs/>
          <w:color w:val="000000"/>
          <w:sz w:val="22"/>
          <w:szCs w:val="22"/>
          <w:u w:val="single"/>
          <w:lang w:val="sr-Latn-ME" w:eastAsia="hr-HR"/>
        </w:rPr>
        <w:t>Metabolizam</w:t>
      </w:r>
    </w:p>
    <w:p w:rsidR="00DD1857" w:rsidRPr="00B90281" w:rsidRDefault="00DD1857" w:rsidP="00DD1857">
      <w:pPr>
        <w:suppressAutoHyphens/>
        <w:autoSpaceDE w:val="0"/>
        <w:jc w:val="both"/>
        <w:rPr>
          <w:rFonts w:eastAsia="TimesNewRoman"/>
          <w:bCs/>
          <w:color w:val="000000"/>
          <w:sz w:val="22"/>
          <w:szCs w:val="22"/>
          <w:lang w:val="sr-Latn-ME" w:eastAsia="hr-HR"/>
        </w:rPr>
      </w:pPr>
      <w:r w:rsidRPr="00B90281">
        <w:rPr>
          <w:rFonts w:eastAsia="TimesNewRoman"/>
          <w:bCs/>
          <w:i/>
          <w:iCs/>
          <w:color w:val="000000"/>
          <w:sz w:val="22"/>
          <w:szCs w:val="22"/>
          <w:lang w:val="sr-Latn-ME" w:eastAsia="hr-HR"/>
        </w:rPr>
        <w:t xml:space="preserve">In vitro </w:t>
      </w:r>
      <w:r w:rsidRPr="00B90281">
        <w:rPr>
          <w:rFonts w:eastAsia="TimesNewRoman"/>
          <w:bCs/>
          <w:color w:val="000000"/>
          <w:sz w:val="22"/>
          <w:szCs w:val="22"/>
          <w:lang w:val="sr-Latn-ME" w:eastAsia="hr-HR"/>
        </w:rPr>
        <w:t xml:space="preserve">ispitivanja na humanim mikrozomima jetre i humanim izoenzimima citohroma P450 sa ekspresijom cDNK pokazuju da se bortezomib primarno oksidativno metaboliše preko enzima citohroma P450, 3A4, 2C19 i 1A2. Glavni metabolički put je </w:t>
      </w:r>
      <w:r w:rsidR="00D84036" w:rsidRPr="00B90281">
        <w:rPr>
          <w:rFonts w:eastAsia="TimesNewRoman"/>
          <w:bCs/>
          <w:color w:val="000000"/>
          <w:sz w:val="22"/>
          <w:szCs w:val="22"/>
          <w:lang w:val="sr-Latn-ME" w:eastAsia="hr-HR"/>
        </w:rPr>
        <w:t xml:space="preserve">deboronacija čime se oblikuju dva deboronirana </w:t>
      </w:r>
      <w:r w:rsidRPr="00B90281">
        <w:rPr>
          <w:rFonts w:eastAsia="TimesNewRoman"/>
          <w:bCs/>
          <w:color w:val="000000"/>
          <w:sz w:val="22"/>
          <w:szCs w:val="22"/>
          <w:lang w:val="sr-Latn-ME" w:eastAsia="hr-HR"/>
        </w:rPr>
        <w:t xml:space="preserve">metabolita koji </w:t>
      </w:r>
      <w:r w:rsidR="00D84036"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nakon toga podliježu hidroksilaciji</w:t>
      </w:r>
      <w:r w:rsidR="00D84036" w:rsidRPr="00B90281">
        <w:rPr>
          <w:rFonts w:eastAsia="TimesNewRoman"/>
          <w:bCs/>
          <w:color w:val="000000"/>
          <w:sz w:val="22"/>
          <w:szCs w:val="22"/>
          <w:lang w:val="sr-Latn-ME" w:eastAsia="hr-HR"/>
        </w:rPr>
        <w:t xml:space="preserve"> do nekoliko metabolita</w:t>
      </w:r>
      <w:r w:rsidRPr="00B90281">
        <w:rPr>
          <w:rFonts w:eastAsia="TimesNewRoman"/>
          <w:bCs/>
          <w:color w:val="000000"/>
          <w:sz w:val="22"/>
          <w:szCs w:val="22"/>
          <w:lang w:val="sr-Latn-ME" w:eastAsia="hr-HR"/>
        </w:rPr>
        <w:t>. Deboronirani metaboliti bortezomiba ne djeluju kao inhibitori 26S proteazoma.</w:t>
      </w:r>
      <w:r w:rsidRPr="00B90281">
        <w:rPr>
          <w:rFonts w:eastAsia="Calibri"/>
          <w:sz w:val="22"/>
          <w:szCs w:val="22"/>
          <w:lang w:val="sr-Latn-ME" w:eastAsia="zh-CN"/>
        </w:rPr>
        <w:t xml:space="preserve"> </w:t>
      </w:r>
    </w:p>
    <w:p w:rsidR="00DD1857" w:rsidRPr="00B90281" w:rsidRDefault="00DD1857" w:rsidP="00DD1857">
      <w:pPr>
        <w:suppressAutoHyphens/>
        <w:autoSpaceDE w:val="0"/>
        <w:rPr>
          <w:rFonts w:eastAsia="TimesNewRoman"/>
          <w:bCs/>
          <w:color w:val="000000"/>
          <w:sz w:val="22"/>
          <w:szCs w:val="22"/>
          <w:lang w:val="sr-Latn-ME" w:eastAsia="hr-HR"/>
        </w:rPr>
      </w:pPr>
    </w:p>
    <w:p w:rsidR="00DD1857" w:rsidRPr="00B90281" w:rsidRDefault="00DD1857" w:rsidP="00DD1857">
      <w:pPr>
        <w:suppressAutoHyphens/>
        <w:autoSpaceDE w:val="0"/>
        <w:rPr>
          <w:rFonts w:eastAsia="TimesNewRoman"/>
          <w:bCs/>
          <w:color w:val="000000"/>
          <w:sz w:val="22"/>
          <w:szCs w:val="22"/>
          <w:lang w:val="sr-Latn-ME" w:eastAsia="hr-HR"/>
        </w:rPr>
      </w:pPr>
      <w:r w:rsidRPr="00B90281">
        <w:rPr>
          <w:rFonts w:eastAsia="TimesNewRoman"/>
          <w:bCs/>
          <w:color w:val="000000"/>
          <w:sz w:val="22"/>
          <w:szCs w:val="22"/>
          <w:u w:val="single"/>
          <w:lang w:val="sr-Latn-ME" w:eastAsia="hr-HR"/>
        </w:rPr>
        <w:t>Eliminacija</w:t>
      </w:r>
    </w:p>
    <w:p w:rsidR="00DD1857" w:rsidRPr="00B90281" w:rsidRDefault="00DD1857" w:rsidP="00DD1857">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Prosječno poluvrijeme eliminacije (t</w:t>
      </w:r>
      <w:r w:rsidRPr="00B90281">
        <w:rPr>
          <w:rFonts w:eastAsia="TimesNewRoman"/>
          <w:bCs/>
          <w:color w:val="000000"/>
          <w:sz w:val="22"/>
          <w:szCs w:val="22"/>
          <w:vertAlign w:val="subscript"/>
          <w:lang w:val="sr-Latn-ME" w:eastAsia="hr-HR"/>
        </w:rPr>
        <w:t>1/2</w:t>
      </w:r>
      <w:r w:rsidRPr="00B90281">
        <w:rPr>
          <w:rFonts w:eastAsia="TimesNewRoman"/>
          <w:bCs/>
          <w:color w:val="000000"/>
          <w:sz w:val="22"/>
          <w:szCs w:val="22"/>
          <w:lang w:val="sr-Latn-ME" w:eastAsia="hr-HR"/>
        </w:rPr>
        <w:t>) bortezomiba nakon ponovljenog doziranja kretalo se u rasponu od 40 do193 sata. Bortezomib se brže eliminiše nakon prve doze u odnosu na naredne. Ukupan srednji  klirens nakon prve doze iznosio je 102 l/h kod doze od 1,0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i 112 l/h kod doze od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a nakon sljedećih doza kretao se u rasponu od 15 do 32 l/h kod doze od 1,0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i 18 do 32 l/h kod doze od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w:t>
      </w:r>
    </w:p>
    <w:p w:rsidR="00DD1857" w:rsidRPr="00B90281" w:rsidRDefault="00DD1857" w:rsidP="00DD1857">
      <w:pPr>
        <w:suppressAutoHyphens/>
        <w:autoSpaceDE w:val="0"/>
        <w:rPr>
          <w:rFonts w:eastAsia="TimesNewRoman"/>
          <w:bCs/>
          <w:color w:val="000000"/>
          <w:sz w:val="22"/>
          <w:szCs w:val="22"/>
          <w:lang w:val="sr-Latn-ME" w:eastAsia="hr-HR"/>
        </w:rPr>
      </w:pPr>
    </w:p>
    <w:p w:rsidR="00DD1857" w:rsidRPr="00B90281" w:rsidRDefault="00DD1857" w:rsidP="00DD1857">
      <w:pPr>
        <w:suppressAutoHyphens/>
        <w:autoSpaceDE w:val="0"/>
        <w:rPr>
          <w:rFonts w:eastAsia="TimesNewRoman"/>
          <w:bCs/>
          <w:color w:val="000000"/>
          <w:sz w:val="22"/>
          <w:szCs w:val="22"/>
          <w:u w:val="single"/>
          <w:lang w:val="sr-Latn-ME" w:eastAsia="hr-HR"/>
        </w:rPr>
      </w:pPr>
      <w:r w:rsidRPr="00B90281">
        <w:rPr>
          <w:rFonts w:eastAsia="TimesNewRoman"/>
          <w:bCs/>
          <w:color w:val="000000"/>
          <w:sz w:val="22"/>
          <w:szCs w:val="22"/>
          <w:u w:val="single"/>
          <w:lang w:val="sr-Latn-ME" w:eastAsia="hr-HR"/>
        </w:rPr>
        <w:t>Posebne populacije</w:t>
      </w:r>
    </w:p>
    <w:p w:rsidR="00DD1857" w:rsidRPr="00B90281" w:rsidRDefault="00DD1857" w:rsidP="00DD1857">
      <w:pPr>
        <w:suppressAutoHyphens/>
        <w:autoSpaceDE w:val="0"/>
        <w:rPr>
          <w:rFonts w:eastAsia="TimesNewRoman"/>
          <w:bCs/>
          <w:i/>
          <w:iCs/>
          <w:color w:val="000000"/>
          <w:sz w:val="22"/>
          <w:szCs w:val="22"/>
          <w:lang w:val="sr-Latn-ME" w:eastAsia="hr-HR"/>
        </w:rPr>
      </w:pPr>
    </w:p>
    <w:p w:rsidR="00DD1857" w:rsidRPr="00B90281" w:rsidRDefault="00DD1857" w:rsidP="00DD1857">
      <w:pPr>
        <w:suppressAutoHyphens/>
        <w:autoSpaceDE w:val="0"/>
        <w:rPr>
          <w:rFonts w:eastAsia="TimesNewRoman"/>
          <w:bCs/>
          <w:color w:val="000000"/>
          <w:sz w:val="22"/>
          <w:szCs w:val="22"/>
          <w:lang w:val="sr-Latn-ME" w:eastAsia="hr-HR"/>
        </w:rPr>
      </w:pPr>
      <w:r w:rsidRPr="00B90281">
        <w:rPr>
          <w:rFonts w:eastAsia="TimesNewRoman"/>
          <w:bCs/>
          <w:i/>
          <w:iCs/>
          <w:color w:val="000000"/>
          <w:sz w:val="22"/>
          <w:szCs w:val="22"/>
          <w:lang w:val="sr-Latn-ME" w:eastAsia="hr-HR"/>
        </w:rPr>
        <w:t>Insuficijencija  jetre</w:t>
      </w:r>
    </w:p>
    <w:p w:rsidR="00DD1857" w:rsidRPr="00B90281" w:rsidRDefault="00DD1857" w:rsidP="00DD1857">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Uticaj insuficijencije jetre na farmakokinetiku bortezomiba procijenjen je u ispitivanju faze I tokom prvog ciklusa liječenja, uključujući 61 pacijenta sa primarno solidnim tumorima i različitim stepenom oštećenja funkcije jetre pri dozama bortezomiba u rasponu od 0,5 do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w:t>
      </w:r>
    </w:p>
    <w:p w:rsidR="00DD1857" w:rsidRPr="00B90281" w:rsidRDefault="00DD1857" w:rsidP="00DD1857">
      <w:pPr>
        <w:suppressAutoHyphens/>
        <w:autoSpaceDE w:val="0"/>
        <w:rPr>
          <w:rFonts w:eastAsia="TimesNewRoman"/>
          <w:bCs/>
          <w:color w:val="000000"/>
          <w:sz w:val="22"/>
          <w:szCs w:val="22"/>
          <w:lang w:val="sr-Latn-ME" w:eastAsia="hr-HR"/>
        </w:rPr>
      </w:pPr>
    </w:p>
    <w:p w:rsidR="00DD1857" w:rsidRPr="00B90281" w:rsidRDefault="00DD1857" w:rsidP="00DD1857">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lastRenderedPageBreak/>
        <w:t xml:space="preserve">Kod pacijenata sa blagom insuficijencijom jetre, nije bilo promjene vrijednosti dozno-prilagođenih </w:t>
      </w:r>
      <w:r w:rsidR="007B7689" w:rsidRPr="00B90281">
        <w:rPr>
          <w:rFonts w:eastAsia="TimesNewRoman"/>
          <w:bCs/>
          <w:color w:val="000000"/>
          <w:sz w:val="22"/>
          <w:szCs w:val="22"/>
          <w:lang w:val="sr-Latn-ME" w:eastAsia="hr-HR"/>
        </w:rPr>
        <w:t xml:space="preserve">PIK </w:t>
      </w:r>
      <w:r w:rsidRPr="00B90281">
        <w:rPr>
          <w:rFonts w:eastAsia="TimesNewRoman"/>
          <w:bCs/>
          <w:color w:val="000000"/>
          <w:sz w:val="22"/>
          <w:szCs w:val="22"/>
          <w:lang w:val="sr-Latn-ME" w:eastAsia="hr-HR"/>
        </w:rPr>
        <w:t xml:space="preserve">bortezomiba, u poređenju sa pacijentima sa normalnom funkcijom jetre. Međutim, srednje vrijednosti dozno-prilagođenih </w:t>
      </w:r>
      <w:r w:rsidR="007B7689" w:rsidRPr="00B90281">
        <w:rPr>
          <w:rFonts w:eastAsia="TimesNewRoman"/>
          <w:bCs/>
          <w:color w:val="000000"/>
          <w:sz w:val="22"/>
          <w:szCs w:val="22"/>
          <w:lang w:val="sr-Latn-ME" w:eastAsia="hr-HR"/>
        </w:rPr>
        <w:t>PIK</w:t>
      </w:r>
      <w:r w:rsidRPr="00B90281">
        <w:rPr>
          <w:rFonts w:eastAsia="TimesNewRoman"/>
          <w:bCs/>
          <w:color w:val="000000"/>
          <w:sz w:val="22"/>
          <w:szCs w:val="22"/>
          <w:lang w:val="sr-Latn-ME" w:eastAsia="hr-HR"/>
        </w:rPr>
        <w:t xml:space="preserve"> bile su povećane za približno 60% kod pacijenata sa umjerenim ili teškim oštećenjem funkcije jetre. Kod pacijenata sa umjerenim ili teškim oštećenjem jetre preporučuju se niže početne doze lijeka i ove je pacijente potrebno pažljivo pratiti (vidjeti </w:t>
      </w:r>
      <w:r w:rsidR="00F71C77" w:rsidRPr="00B90281">
        <w:rPr>
          <w:rFonts w:eastAsia="TimesNewRoman"/>
          <w:bCs/>
          <w:color w:val="000000"/>
          <w:sz w:val="22"/>
          <w:szCs w:val="22"/>
          <w:lang w:val="sr-Latn-ME" w:eastAsia="hr-HR"/>
        </w:rPr>
        <w:t>di</w:t>
      </w:r>
      <w:r w:rsidRPr="00B90281">
        <w:rPr>
          <w:rFonts w:eastAsia="TimesNewRoman"/>
          <w:bCs/>
          <w:color w:val="000000"/>
          <w:sz w:val="22"/>
          <w:szCs w:val="22"/>
          <w:lang w:val="sr-Latn-ME" w:eastAsia="hr-HR"/>
        </w:rPr>
        <w:t>o 4.2, Tabela 6).</w:t>
      </w:r>
    </w:p>
    <w:p w:rsidR="00DD1857" w:rsidRPr="00B90281" w:rsidRDefault="00DD1857" w:rsidP="00DD1857">
      <w:pPr>
        <w:suppressAutoHyphens/>
        <w:autoSpaceDE w:val="0"/>
        <w:rPr>
          <w:rFonts w:eastAsia="TimesNewRoman"/>
          <w:bCs/>
          <w:color w:val="000000"/>
          <w:sz w:val="22"/>
          <w:szCs w:val="22"/>
          <w:lang w:val="sr-Latn-ME" w:eastAsia="hr-HR"/>
        </w:rPr>
      </w:pPr>
    </w:p>
    <w:p w:rsidR="007B7689" w:rsidRPr="00B90281" w:rsidRDefault="00DD1857" w:rsidP="00DD1857">
      <w:pPr>
        <w:suppressAutoHyphens/>
        <w:autoSpaceDE w:val="0"/>
        <w:rPr>
          <w:rFonts w:eastAsia="TimesNewRoman"/>
          <w:bCs/>
          <w:color w:val="000000"/>
          <w:sz w:val="22"/>
          <w:szCs w:val="22"/>
          <w:lang w:val="sr-Latn-ME" w:eastAsia="hr-HR"/>
        </w:rPr>
      </w:pPr>
      <w:r w:rsidRPr="00B90281">
        <w:rPr>
          <w:rFonts w:eastAsia="TimesNewRoman"/>
          <w:bCs/>
          <w:i/>
          <w:iCs/>
          <w:color w:val="000000"/>
          <w:sz w:val="22"/>
          <w:szCs w:val="22"/>
          <w:lang w:val="sr-Latn-ME" w:eastAsia="hr-HR"/>
        </w:rPr>
        <w:t>Insuficijencija bubrega</w:t>
      </w:r>
      <w:r w:rsidR="007B7689" w:rsidRPr="00B90281">
        <w:rPr>
          <w:rFonts w:eastAsia="TimesNewRoman"/>
          <w:bCs/>
          <w:color w:val="000000"/>
          <w:sz w:val="22"/>
          <w:szCs w:val="22"/>
          <w:lang w:val="sr-Latn-ME" w:eastAsia="hr-HR"/>
        </w:rPr>
        <w:t xml:space="preserve"> </w:t>
      </w:r>
    </w:p>
    <w:p w:rsidR="00DD1857" w:rsidRPr="00B90281" w:rsidRDefault="00DD1857">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Sprovedeno</w:t>
      </w:r>
      <w:r w:rsidR="007B7689"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je farmakokinetičko ispitivanje kod pacijenata sa različitim stepenom renalne insuficijencije koji su prema vrijednostima klirensa kreatinina (CrCL) klasifikovani u sljedeće grupe: normalno (CrCL ≥ 60 ml/min/1,73m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n=12), blago (CrCL=40-59 ml/min/1,73 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n=10), umjereno (CrCL=20-39 ml/min/1,73 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n=9) i teško (CrCL &lt; 20 ml/min/1,73 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n=3). Grupa  pacijenata na dijalizi koji su primali dozu nakon dijalize takođe je uključena u ispitivanje (n=8). Pacijentima su primijenjene intravenske doze od 0,7 do 1,3 mg/m</w:t>
      </w:r>
      <w:r w:rsidRPr="00B90281">
        <w:rPr>
          <w:rFonts w:eastAsia="TimesNewRoman"/>
          <w:bCs/>
          <w:color w:val="000000"/>
          <w:sz w:val="22"/>
          <w:szCs w:val="22"/>
          <w:vertAlign w:val="superscript"/>
          <w:lang w:val="sr-Latn-ME" w:eastAsia="hr-HR"/>
        </w:rPr>
        <w:t>2</w:t>
      </w:r>
      <w:r w:rsidRPr="00B90281">
        <w:rPr>
          <w:rFonts w:eastAsia="TimesNewRoman"/>
          <w:bCs/>
          <w:color w:val="000000"/>
          <w:sz w:val="22"/>
          <w:szCs w:val="22"/>
          <w:lang w:val="sr-Latn-ME" w:eastAsia="hr-HR"/>
        </w:rPr>
        <w:t xml:space="preserve"> bortezomiba dva puta nedjeljno. Izloženost bortezomibu (dozno-prilagođeni </w:t>
      </w:r>
      <w:r w:rsidR="007B7689" w:rsidRPr="00B90281">
        <w:rPr>
          <w:rFonts w:eastAsia="TimesNewRoman"/>
          <w:bCs/>
          <w:color w:val="000000"/>
          <w:sz w:val="22"/>
          <w:szCs w:val="22"/>
          <w:lang w:val="sr-Latn-ME" w:eastAsia="hr-HR"/>
        </w:rPr>
        <w:t>PIK</w:t>
      </w:r>
      <w:r w:rsidRPr="00B90281">
        <w:rPr>
          <w:rFonts w:eastAsia="TimesNewRoman"/>
          <w:bCs/>
          <w:color w:val="000000"/>
          <w:sz w:val="22"/>
          <w:szCs w:val="22"/>
          <w:lang w:val="sr-Latn-ME" w:eastAsia="hr-HR"/>
        </w:rPr>
        <w:t xml:space="preserve"> i C</w:t>
      </w:r>
      <w:r w:rsidRPr="00B90281">
        <w:rPr>
          <w:rFonts w:eastAsia="TimesNewRoman"/>
          <w:bCs/>
          <w:color w:val="000000"/>
          <w:sz w:val="22"/>
          <w:szCs w:val="22"/>
          <w:vertAlign w:val="subscript"/>
          <w:lang w:val="sr-Latn-ME" w:eastAsia="hr-HR"/>
        </w:rPr>
        <w:t>max</w:t>
      </w:r>
      <w:r w:rsidRPr="00B90281">
        <w:rPr>
          <w:rFonts w:eastAsia="TimesNewRoman"/>
          <w:bCs/>
          <w:color w:val="000000"/>
          <w:sz w:val="22"/>
          <w:szCs w:val="22"/>
          <w:lang w:val="sr-Latn-ME" w:eastAsia="hr-HR"/>
        </w:rPr>
        <w:t xml:space="preserve">) bila je komparabilna  unutar svih grupa (vidjeti </w:t>
      </w:r>
      <w:r w:rsidR="00472958" w:rsidRPr="00B90281">
        <w:rPr>
          <w:rFonts w:eastAsia="TimesNewRoman"/>
          <w:bCs/>
          <w:color w:val="000000"/>
          <w:sz w:val="22"/>
          <w:szCs w:val="22"/>
          <w:lang w:val="sr-Latn-ME" w:eastAsia="hr-HR"/>
        </w:rPr>
        <w:t>di</w:t>
      </w:r>
      <w:r w:rsidRPr="00B90281">
        <w:rPr>
          <w:rFonts w:eastAsia="TimesNewRoman"/>
          <w:bCs/>
          <w:color w:val="000000"/>
          <w:sz w:val="22"/>
          <w:szCs w:val="22"/>
          <w:lang w:val="sr-Latn-ME" w:eastAsia="hr-HR"/>
        </w:rPr>
        <w:t>o 4.2).</w:t>
      </w:r>
    </w:p>
    <w:p w:rsidR="00DD1857" w:rsidRPr="00B90281" w:rsidRDefault="00DD1857" w:rsidP="00DD1857">
      <w:pPr>
        <w:jc w:val="both"/>
        <w:rPr>
          <w:sz w:val="22"/>
          <w:szCs w:val="22"/>
          <w:lang w:val="sr-Latn-ME"/>
        </w:rPr>
      </w:pPr>
    </w:p>
    <w:p w:rsidR="00DD1857" w:rsidRPr="00B90281" w:rsidRDefault="00DD1857" w:rsidP="00DD1857">
      <w:pPr>
        <w:jc w:val="both"/>
        <w:rPr>
          <w:i/>
          <w:sz w:val="22"/>
          <w:szCs w:val="22"/>
          <w:lang w:val="sr-Latn-ME"/>
        </w:rPr>
      </w:pPr>
      <w:r w:rsidRPr="00B90281">
        <w:rPr>
          <w:i/>
          <w:sz w:val="22"/>
          <w:szCs w:val="22"/>
          <w:lang w:val="sr-Latn-ME"/>
        </w:rPr>
        <w:t>Uzrast</w:t>
      </w:r>
    </w:p>
    <w:p w:rsidR="00DD1857" w:rsidRPr="00B90281" w:rsidRDefault="00DD1857" w:rsidP="00DD1857">
      <w:pPr>
        <w:suppressAutoHyphens/>
        <w:autoSpaceDE w:val="0"/>
        <w:jc w:val="both"/>
        <w:rPr>
          <w:rFonts w:eastAsia="TimesNewRoman"/>
          <w:bCs/>
          <w:color w:val="000000"/>
          <w:sz w:val="22"/>
          <w:szCs w:val="22"/>
          <w:lang w:val="sr-Latn-ME" w:eastAsia="hr-HR"/>
        </w:rPr>
      </w:pPr>
      <w:r w:rsidRPr="00B90281">
        <w:rPr>
          <w:sz w:val="22"/>
          <w:szCs w:val="22"/>
          <w:lang w:val="sr-Latn-ME"/>
        </w:rPr>
        <w:t>Farmakokinetika bortezomiba bila je okarakterisirana nakon primjene intravenske bolus injekcije dva puta nedjeljno u dozi od 1,3 mg/m</w:t>
      </w:r>
      <w:r w:rsidRPr="00B90281">
        <w:rPr>
          <w:sz w:val="22"/>
          <w:szCs w:val="22"/>
          <w:vertAlign w:val="superscript"/>
          <w:lang w:val="sr-Latn-ME"/>
        </w:rPr>
        <w:t>2</w:t>
      </w:r>
      <w:r w:rsidRPr="00B90281">
        <w:rPr>
          <w:sz w:val="22"/>
          <w:szCs w:val="22"/>
          <w:lang w:val="sr-Latn-ME"/>
        </w:rPr>
        <w:t xml:space="preserve"> kod 104 pedijatrijska pacijenta (uzrasta od 2 do 16 godina) s</w:t>
      </w:r>
      <w:r w:rsidR="007B7689" w:rsidRPr="00B90281">
        <w:rPr>
          <w:sz w:val="22"/>
          <w:szCs w:val="22"/>
          <w:lang w:val="sr-Latn-ME"/>
        </w:rPr>
        <w:t>a</w:t>
      </w:r>
      <w:r w:rsidRPr="00B90281">
        <w:rPr>
          <w:sz w:val="22"/>
          <w:szCs w:val="22"/>
          <w:lang w:val="sr-Latn-ME"/>
        </w:rPr>
        <w:t xml:space="preserve"> akutnom limfoblastičnom leukemijom (ALL) ili akutnom mijeloidnom leukemijom (AML). Na osnovu populacijske farmakokinetičke analize, klirens bortezomiba povećavao se s</w:t>
      </w:r>
      <w:r w:rsidR="007B7689" w:rsidRPr="00B90281">
        <w:rPr>
          <w:sz w:val="22"/>
          <w:szCs w:val="22"/>
          <w:lang w:val="sr-Latn-ME"/>
        </w:rPr>
        <w:t>a</w:t>
      </w:r>
      <w:r w:rsidRPr="00B90281">
        <w:rPr>
          <w:sz w:val="22"/>
          <w:szCs w:val="22"/>
          <w:lang w:val="sr-Latn-ME"/>
        </w:rPr>
        <w:t xml:space="preserve"> porastom površine tijela (engl. </w:t>
      </w:r>
      <w:r w:rsidRPr="00B90281">
        <w:rPr>
          <w:i/>
          <w:sz w:val="22"/>
          <w:szCs w:val="22"/>
          <w:lang w:val="sr-Latn-ME"/>
        </w:rPr>
        <w:t>body surface area</w:t>
      </w:r>
      <w:r w:rsidRPr="00B90281">
        <w:rPr>
          <w:sz w:val="22"/>
          <w:szCs w:val="22"/>
          <w:lang w:val="sr-Latn-ME"/>
        </w:rPr>
        <w:t>, BSA). Geometrijska sredina (%CV) klirensa bila je 7,79 (25%) l/h/m</w:t>
      </w:r>
      <w:r w:rsidRPr="00B90281">
        <w:rPr>
          <w:sz w:val="22"/>
          <w:szCs w:val="22"/>
          <w:vertAlign w:val="superscript"/>
          <w:lang w:val="sr-Latn-ME"/>
        </w:rPr>
        <w:t>2</w:t>
      </w:r>
      <w:r w:rsidRPr="00B90281">
        <w:rPr>
          <w:sz w:val="22"/>
          <w:szCs w:val="22"/>
          <w:lang w:val="sr-Latn-ME"/>
        </w:rPr>
        <w:t>, volumen distribucije u stanju dinamičke ravnoteže bio je 834 (39%) l/m</w:t>
      </w:r>
      <w:r w:rsidRPr="00B90281">
        <w:rPr>
          <w:sz w:val="22"/>
          <w:szCs w:val="22"/>
          <w:vertAlign w:val="superscript"/>
          <w:lang w:val="sr-Latn-ME"/>
        </w:rPr>
        <w:t>2</w:t>
      </w:r>
      <w:r w:rsidRPr="00B90281">
        <w:rPr>
          <w:sz w:val="22"/>
          <w:szCs w:val="22"/>
          <w:lang w:val="sr-Latn-ME"/>
        </w:rPr>
        <w:t xml:space="preserve"> i poluvrijeme eliminacije bilo je 100 (44%) sati. Nakon korekcije za BSA efekat, drugi demografski podaci kao što su uzrast, tjelesna težina i pol ni</w:t>
      </w:r>
      <w:r w:rsidR="007B7689" w:rsidRPr="00B90281">
        <w:rPr>
          <w:sz w:val="22"/>
          <w:szCs w:val="22"/>
          <w:lang w:val="sr-Latn-ME"/>
        </w:rPr>
        <w:t>je</w:t>
      </w:r>
      <w:r w:rsidRPr="00B90281">
        <w:rPr>
          <w:sz w:val="22"/>
          <w:szCs w:val="22"/>
          <w:lang w:val="sr-Latn-ME"/>
        </w:rPr>
        <w:t>su imali klinički značajna dejstva na klirens bortezomiba. BSA-normalizovani klirens bortezomiba kod pedijatrijskih pacijenata bio je sličan onom zabilježenom kod odraslih.</w:t>
      </w:r>
    </w:p>
    <w:p w:rsidR="00DD1857" w:rsidRPr="00B90281" w:rsidRDefault="00DD1857" w:rsidP="00480FB1">
      <w:pPr>
        <w:tabs>
          <w:tab w:val="left" w:pos="540"/>
          <w:tab w:val="left" w:pos="569"/>
        </w:tabs>
        <w:rPr>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5.3. </w:t>
      </w:r>
      <w:r w:rsidR="00480FB1" w:rsidRPr="00B90281">
        <w:rPr>
          <w:b/>
          <w:bCs/>
          <w:sz w:val="22"/>
          <w:szCs w:val="22"/>
          <w:lang w:val="sr-Latn-ME"/>
        </w:rPr>
        <w:tab/>
      </w:r>
      <w:r w:rsidRPr="00B90281">
        <w:rPr>
          <w:b/>
          <w:bCs/>
          <w:sz w:val="22"/>
          <w:szCs w:val="22"/>
          <w:lang w:val="sr-Latn-ME"/>
        </w:rPr>
        <w:t xml:space="preserve">Pretklinički podaci o bezbjednosti </w:t>
      </w:r>
    </w:p>
    <w:p w:rsidR="00836B35" w:rsidRPr="00B90281" w:rsidRDefault="00836B35" w:rsidP="00480FB1">
      <w:pPr>
        <w:tabs>
          <w:tab w:val="left" w:pos="540"/>
          <w:tab w:val="left" w:pos="569"/>
        </w:tabs>
        <w:rPr>
          <w:bCs/>
          <w:sz w:val="22"/>
          <w:szCs w:val="22"/>
          <w:lang w:val="sr-Latn-ME"/>
        </w:rPr>
      </w:pPr>
    </w:p>
    <w:p w:rsidR="00C93865" w:rsidRPr="00B90281" w:rsidRDefault="00C93865" w:rsidP="00C93865">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Pri koncentracijama od samo 3,125 μg/ml, što je bila najniža ispitivana koncentracija, bortezomib je pokazao klastogenu aktivnost (strukturne hromozomske aberacije) u </w:t>
      </w:r>
      <w:r w:rsidRPr="00B90281">
        <w:rPr>
          <w:rFonts w:eastAsia="TimesNewRoman"/>
          <w:bCs/>
          <w:i/>
          <w:iCs/>
          <w:color w:val="000000"/>
          <w:sz w:val="22"/>
          <w:szCs w:val="22"/>
          <w:lang w:val="sr-Latn-ME" w:eastAsia="hr-HR"/>
        </w:rPr>
        <w:t xml:space="preserve">in vitro </w:t>
      </w:r>
      <w:r w:rsidRPr="00B90281">
        <w:rPr>
          <w:rFonts w:eastAsia="TimesNewRoman"/>
          <w:bCs/>
          <w:color w:val="000000"/>
          <w:sz w:val="22"/>
          <w:szCs w:val="22"/>
          <w:lang w:val="sr-Latn-ME" w:eastAsia="hr-HR"/>
        </w:rPr>
        <w:t xml:space="preserve">ispitivanju hromozomskih aberacija korišćenjem jajnih ćelija kineskog hrčka (CHO od engl. </w:t>
      </w:r>
      <w:r w:rsidRPr="00B90281">
        <w:rPr>
          <w:rFonts w:eastAsia="TimesNewRoman"/>
          <w:bCs/>
          <w:i/>
          <w:iCs/>
          <w:color w:val="000000"/>
          <w:sz w:val="22"/>
          <w:szCs w:val="22"/>
          <w:lang w:val="sr-Latn-ME" w:eastAsia="hr-HR"/>
        </w:rPr>
        <w:t>Chinese hamster ovary</w:t>
      </w:r>
      <w:r w:rsidRPr="00B90281">
        <w:rPr>
          <w:rFonts w:eastAsia="TimesNewRoman"/>
          <w:bCs/>
          <w:color w:val="000000"/>
          <w:sz w:val="22"/>
          <w:szCs w:val="22"/>
          <w:lang w:val="sr-Latn-ME" w:eastAsia="hr-HR"/>
        </w:rPr>
        <w:t xml:space="preserve">). Bortezomib nije pokazao genotoksičnost u </w:t>
      </w:r>
      <w:r w:rsidRPr="00B90281">
        <w:rPr>
          <w:rFonts w:eastAsia="TimesNewRoman"/>
          <w:bCs/>
          <w:i/>
          <w:iCs/>
          <w:color w:val="000000"/>
          <w:sz w:val="22"/>
          <w:szCs w:val="22"/>
          <w:lang w:val="sr-Latn-ME" w:eastAsia="hr-HR"/>
        </w:rPr>
        <w:t xml:space="preserve">in vitro </w:t>
      </w:r>
      <w:r w:rsidRPr="00B90281">
        <w:rPr>
          <w:rFonts w:eastAsia="TimesNewRoman"/>
          <w:bCs/>
          <w:iCs/>
          <w:color w:val="000000"/>
          <w:sz w:val="22"/>
          <w:szCs w:val="22"/>
          <w:lang w:val="sr-Latn-ME" w:eastAsia="hr-HR"/>
        </w:rPr>
        <w:t>ispitivanju</w:t>
      </w:r>
      <w:r w:rsidRPr="00B90281">
        <w:rPr>
          <w:rFonts w:eastAsia="TimesNewRoman"/>
          <w:bCs/>
          <w:i/>
          <w:iCs/>
          <w:color w:val="000000"/>
          <w:sz w:val="22"/>
          <w:szCs w:val="22"/>
          <w:lang w:val="sr-Latn-ME" w:eastAsia="hr-HR"/>
        </w:rPr>
        <w:t xml:space="preserve"> </w:t>
      </w:r>
      <w:r w:rsidRPr="00B90281">
        <w:rPr>
          <w:rFonts w:eastAsia="TimesNewRoman"/>
          <w:bCs/>
          <w:color w:val="000000"/>
          <w:sz w:val="22"/>
          <w:szCs w:val="22"/>
          <w:lang w:val="sr-Latn-ME" w:eastAsia="hr-HR"/>
        </w:rPr>
        <w:t xml:space="preserve">mutagenosti (Ames-ov test) i </w:t>
      </w:r>
      <w:r w:rsidRPr="00B90281">
        <w:rPr>
          <w:rFonts w:eastAsia="TimesNewRoman"/>
          <w:bCs/>
          <w:i/>
          <w:iCs/>
          <w:color w:val="000000"/>
          <w:sz w:val="22"/>
          <w:szCs w:val="22"/>
          <w:lang w:val="sr-Latn-ME" w:eastAsia="hr-HR"/>
        </w:rPr>
        <w:t xml:space="preserve">in vivo </w:t>
      </w:r>
      <w:r w:rsidRPr="00B90281">
        <w:rPr>
          <w:rFonts w:eastAsia="TimesNewRoman"/>
          <w:bCs/>
          <w:iCs/>
          <w:color w:val="000000"/>
          <w:sz w:val="22"/>
          <w:szCs w:val="22"/>
          <w:lang w:val="sr-Latn-ME" w:eastAsia="hr-HR"/>
        </w:rPr>
        <w:t xml:space="preserve">ispitivanju </w:t>
      </w:r>
      <w:r w:rsidRPr="00B90281">
        <w:rPr>
          <w:rFonts w:eastAsia="TimesNewRoman"/>
          <w:bCs/>
          <w:color w:val="000000"/>
          <w:sz w:val="22"/>
          <w:szCs w:val="22"/>
          <w:lang w:val="sr-Latn-ME" w:eastAsia="hr-HR"/>
        </w:rPr>
        <w:t>mikronukleusa kod miševa.</w:t>
      </w:r>
    </w:p>
    <w:p w:rsidR="00C93865" w:rsidRPr="00B90281" w:rsidRDefault="00C93865" w:rsidP="00C93865">
      <w:pPr>
        <w:suppressAutoHyphens/>
        <w:autoSpaceDE w:val="0"/>
        <w:rPr>
          <w:rFonts w:eastAsia="TimesNewRoman"/>
          <w:bCs/>
          <w:color w:val="000000"/>
          <w:sz w:val="22"/>
          <w:szCs w:val="22"/>
          <w:lang w:val="sr-Latn-ME" w:eastAsia="hr-HR"/>
        </w:rPr>
      </w:pPr>
    </w:p>
    <w:p w:rsidR="00C93865" w:rsidRPr="00B90281" w:rsidRDefault="00C93865" w:rsidP="00C93865">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Ispitivanja razvojne toksičnosti kod pacova i kunića  pokazala su embriofetalne letalne efekte pri dozama toksičnim za skotnu ženku, ali ne i direktnu embriofetalnu toksičnost pri dozama nižim od onih toksičnih po</w:t>
      </w:r>
      <w:r w:rsidR="00E54900"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skotnu ženku.</w:t>
      </w:r>
      <w:r w:rsidR="00E54900"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Ni</w:t>
      </w:r>
      <w:r w:rsidR="00E54900" w:rsidRPr="00B90281">
        <w:rPr>
          <w:rFonts w:eastAsia="TimesNewRoman"/>
          <w:bCs/>
          <w:color w:val="000000"/>
          <w:sz w:val="22"/>
          <w:szCs w:val="22"/>
          <w:lang w:val="sr-Latn-ME" w:eastAsia="hr-HR"/>
        </w:rPr>
        <w:t>je</w:t>
      </w:r>
      <w:r w:rsidRPr="00B90281">
        <w:rPr>
          <w:rFonts w:eastAsia="TimesNewRoman"/>
          <w:bCs/>
          <w:color w:val="000000"/>
          <w:sz w:val="22"/>
          <w:szCs w:val="22"/>
          <w:lang w:val="sr-Latn-ME" w:eastAsia="hr-HR"/>
        </w:rPr>
        <w:t>su sprovedena ispitivanja uticaja na plodnost, ali je urađena</w:t>
      </w:r>
      <w:r w:rsidR="00E54900"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procjena reproduktivnih tkiva u opštim studijima toksičnosti. U šestomjesečnom ispitivanju na pacovima, zapaženi su degenerativni efekti  kako na testisima tako i na jajnicima. Stoga postoji velika vjerovatnoća da bi bortezomib mogao djelovati i na muški i na ženski fertilitet. Peri- i postnatalna ispitivanja toksičnosti ni</w:t>
      </w:r>
      <w:r w:rsidR="00E54900" w:rsidRPr="00B90281">
        <w:rPr>
          <w:rFonts w:eastAsia="TimesNewRoman"/>
          <w:bCs/>
          <w:color w:val="000000"/>
          <w:sz w:val="22"/>
          <w:szCs w:val="22"/>
          <w:lang w:val="sr-Latn-ME" w:eastAsia="hr-HR"/>
        </w:rPr>
        <w:t>je</w:t>
      </w:r>
      <w:r w:rsidRPr="00B90281">
        <w:rPr>
          <w:rFonts w:eastAsia="TimesNewRoman"/>
          <w:bCs/>
          <w:color w:val="000000"/>
          <w:sz w:val="22"/>
          <w:szCs w:val="22"/>
          <w:lang w:val="sr-Latn-ME" w:eastAsia="hr-HR"/>
        </w:rPr>
        <w:t>su sprovedena.</w:t>
      </w:r>
    </w:p>
    <w:p w:rsidR="00C93865" w:rsidRPr="00B90281" w:rsidRDefault="00C93865" w:rsidP="00C93865">
      <w:pPr>
        <w:suppressAutoHyphens/>
        <w:autoSpaceDE w:val="0"/>
        <w:jc w:val="both"/>
        <w:rPr>
          <w:rFonts w:eastAsia="TimesNewRoman"/>
          <w:bCs/>
          <w:color w:val="000000"/>
          <w:sz w:val="22"/>
          <w:szCs w:val="22"/>
          <w:lang w:val="sr-Latn-ME" w:eastAsia="hr-HR"/>
        </w:rPr>
      </w:pPr>
    </w:p>
    <w:p w:rsidR="00C93865" w:rsidRPr="00B90281" w:rsidRDefault="00C93865" w:rsidP="00C93865">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U multicikličnim </w:t>
      </w:r>
      <w:r w:rsidR="00E54900" w:rsidRPr="00B90281">
        <w:rPr>
          <w:rFonts w:eastAsia="TimesNewRoman"/>
          <w:bCs/>
          <w:color w:val="000000"/>
          <w:sz w:val="22"/>
          <w:szCs w:val="22"/>
          <w:lang w:val="sr-Latn-ME" w:eastAsia="hr-HR"/>
        </w:rPr>
        <w:t xml:space="preserve">ispitivanjima </w:t>
      </w:r>
      <w:r w:rsidRPr="00B90281">
        <w:rPr>
          <w:rFonts w:eastAsia="TimesNewRoman"/>
          <w:bCs/>
          <w:color w:val="000000"/>
          <w:sz w:val="22"/>
          <w:szCs w:val="22"/>
          <w:lang w:val="sr-Latn-ME" w:eastAsia="hr-HR"/>
        </w:rPr>
        <w:t xml:space="preserve">opšte toksičnosti na pacovima i majmunima, ciljni organi </w:t>
      </w:r>
      <w:r w:rsidR="00E54900" w:rsidRPr="00B90281">
        <w:rPr>
          <w:rFonts w:eastAsia="TimesNewRoman"/>
          <w:bCs/>
          <w:color w:val="000000"/>
          <w:sz w:val="22"/>
          <w:szCs w:val="22"/>
          <w:lang w:val="sr-Latn-ME" w:eastAsia="hr-HR"/>
        </w:rPr>
        <w:t xml:space="preserve">toksičnosti </w:t>
      </w:r>
      <w:r w:rsidRPr="00B90281">
        <w:rPr>
          <w:rFonts w:eastAsia="TimesNewRoman"/>
          <w:bCs/>
          <w:color w:val="000000"/>
          <w:sz w:val="22"/>
          <w:szCs w:val="22"/>
          <w:lang w:val="sr-Latn-ME" w:eastAsia="hr-HR"/>
        </w:rPr>
        <w:t>bili su gastrointestinalni trakt, što je za rezultat imalo povraćanje i/ili dijareju; hematopoetska i limfatična</w:t>
      </w:r>
      <w:r w:rsidR="00E54900" w:rsidRPr="00B90281">
        <w:rPr>
          <w:rFonts w:eastAsia="TimesNewRoman"/>
          <w:bCs/>
          <w:color w:val="000000"/>
          <w:sz w:val="22"/>
          <w:szCs w:val="22"/>
          <w:lang w:val="sr-Latn-ME" w:eastAsia="hr-HR"/>
        </w:rPr>
        <w:t xml:space="preserve"> </w:t>
      </w:r>
      <w:r w:rsidRPr="00B90281">
        <w:rPr>
          <w:rFonts w:eastAsia="TimesNewRoman"/>
          <w:bCs/>
          <w:color w:val="000000"/>
          <w:sz w:val="22"/>
          <w:szCs w:val="22"/>
          <w:lang w:val="sr-Latn-ME" w:eastAsia="hr-HR"/>
        </w:rPr>
        <w:t xml:space="preserve">tkiva, što </w:t>
      </w:r>
      <w:r w:rsidR="00E54900" w:rsidRPr="00B90281">
        <w:rPr>
          <w:rFonts w:eastAsia="TimesNewRoman"/>
          <w:bCs/>
          <w:color w:val="000000"/>
          <w:sz w:val="22"/>
          <w:szCs w:val="22"/>
          <w:lang w:val="sr-Latn-ME" w:eastAsia="hr-HR"/>
        </w:rPr>
        <w:t>je rezultiralo</w:t>
      </w:r>
      <w:r w:rsidRPr="00B90281">
        <w:rPr>
          <w:rFonts w:eastAsia="TimesNewRoman"/>
          <w:bCs/>
          <w:color w:val="000000"/>
          <w:sz w:val="22"/>
          <w:szCs w:val="22"/>
          <w:lang w:val="sr-Latn-ME" w:eastAsia="hr-HR"/>
        </w:rPr>
        <w:t xml:space="preserve"> citopenijama u perifernoj krvi, atrofijom limfnog tkiva i hematopoetskom hipocelularnošću kostne srži; periferna neuropatija (zapažena kod majmuna, miševa i pasa) koja je zahvatala aksone senzornih nerava; i blage promjene na bubrezima. Svi ovi ciljni organi djelimično su se ili potpuno oporavili nakon prestanka liječenja.</w:t>
      </w:r>
    </w:p>
    <w:p w:rsidR="00C93865" w:rsidRPr="00B90281" w:rsidRDefault="00C93865" w:rsidP="00C93865">
      <w:pPr>
        <w:suppressAutoHyphens/>
        <w:autoSpaceDE w:val="0"/>
        <w:rPr>
          <w:rFonts w:eastAsia="TimesNewRoman"/>
          <w:bCs/>
          <w:color w:val="000000"/>
          <w:sz w:val="22"/>
          <w:szCs w:val="22"/>
          <w:lang w:val="sr-Latn-ME" w:eastAsia="hr-HR"/>
        </w:rPr>
      </w:pPr>
    </w:p>
    <w:p w:rsidR="00C93865" w:rsidRPr="00B90281" w:rsidRDefault="00C93865" w:rsidP="00C93865">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Na osnovu ispitivanja na životinjama, čini se da je prolaz bortezomiba kroz krvno-moždanu barijeru ograničen, ukoliko uopšte postoji, a značaj kod ljudi nije poznat.</w:t>
      </w:r>
    </w:p>
    <w:p w:rsidR="00C93865" w:rsidRPr="00B90281" w:rsidRDefault="00C93865" w:rsidP="00C93865">
      <w:pPr>
        <w:suppressAutoHyphens/>
        <w:autoSpaceDE w:val="0"/>
        <w:jc w:val="both"/>
        <w:rPr>
          <w:rFonts w:eastAsia="TimesNewRoman"/>
          <w:bCs/>
          <w:color w:val="000000"/>
          <w:sz w:val="22"/>
          <w:szCs w:val="22"/>
          <w:lang w:val="sr-Latn-ME" w:eastAsia="hr-HR"/>
        </w:rPr>
      </w:pPr>
    </w:p>
    <w:p w:rsidR="00C93865" w:rsidRPr="00B90281" w:rsidRDefault="00E54900" w:rsidP="00C93865">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Ispitivanja </w:t>
      </w:r>
      <w:r w:rsidR="00C93865" w:rsidRPr="00B90281">
        <w:rPr>
          <w:rFonts w:eastAsia="TimesNewRoman"/>
          <w:bCs/>
          <w:color w:val="000000"/>
          <w:sz w:val="22"/>
          <w:szCs w:val="22"/>
          <w:lang w:val="sr-Latn-ME" w:eastAsia="hr-HR"/>
        </w:rPr>
        <w:t>kardiovaskularne bezbjednos</w:t>
      </w:r>
      <w:r w:rsidRPr="00B90281">
        <w:rPr>
          <w:rFonts w:eastAsia="TimesNewRoman"/>
          <w:bCs/>
          <w:color w:val="000000"/>
          <w:sz w:val="22"/>
          <w:szCs w:val="22"/>
          <w:lang w:val="sr-Latn-ME" w:eastAsia="hr-HR"/>
        </w:rPr>
        <w:t xml:space="preserve">ne farmakologije </w:t>
      </w:r>
      <w:r w:rsidR="00C93865" w:rsidRPr="00B90281">
        <w:rPr>
          <w:rFonts w:eastAsia="TimesNewRoman"/>
          <w:bCs/>
          <w:color w:val="000000"/>
          <w:sz w:val="22"/>
          <w:szCs w:val="22"/>
          <w:lang w:val="sr-Latn-ME" w:eastAsia="hr-HR"/>
        </w:rPr>
        <w:t>na majmunima i psima pokaz</w:t>
      </w:r>
      <w:r w:rsidRPr="00B90281">
        <w:rPr>
          <w:rFonts w:eastAsia="TimesNewRoman"/>
          <w:bCs/>
          <w:color w:val="000000"/>
          <w:sz w:val="22"/>
          <w:szCs w:val="22"/>
          <w:lang w:val="sr-Latn-ME" w:eastAsia="hr-HR"/>
        </w:rPr>
        <w:t>ale su</w:t>
      </w:r>
      <w:r w:rsidR="00C93865" w:rsidRPr="00B90281">
        <w:rPr>
          <w:rFonts w:eastAsia="TimesNewRoman"/>
          <w:bCs/>
          <w:color w:val="000000"/>
          <w:sz w:val="22"/>
          <w:szCs w:val="22"/>
          <w:lang w:val="sr-Latn-ME" w:eastAsia="hr-HR"/>
        </w:rPr>
        <w:t xml:space="preserve"> da su intravenske doze </w:t>
      </w:r>
      <w:r w:rsidRPr="00B90281">
        <w:rPr>
          <w:rFonts w:eastAsia="TimesNewRoman"/>
          <w:bCs/>
          <w:color w:val="000000"/>
          <w:sz w:val="22"/>
          <w:szCs w:val="22"/>
          <w:lang w:val="sr-Latn-ME" w:eastAsia="hr-HR"/>
        </w:rPr>
        <w:t xml:space="preserve">koje su </w:t>
      </w:r>
      <w:r w:rsidR="00C93865" w:rsidRPr="00B90281">
        <w:rPr>
          <w:rFonts w:eastAsia="TimesNewRoman"/>
          <w:bCs/>
          <w:color w:val="000000"/>
          <w:sz w:val="22"/>
          <w:szCs w:val="22"/>
          <w:lang w:val="sr-Latn-ME" w:eastAsia="hr-HR"/>
        </w:rPr>
        <w:t>približno dva do tri puta veće od preporučene kliničke doze na bazi mg/m</w:t>
      </w:r>
      <w:r w:rsidR="00C93865" w:rsidRPr="00B90281">
        <w:rPr>
          <w:rFonts w:eastAsia="TimesNewRoman"/>
          <w:bCs/>
          <w:color w:val="000000"/>
          <w:sz w:val="22"/>
          <w:szCs w:val="22"/>
          <w:vertAlign w:val="superscript"/>
          <w:lang w:val="sr-Latn-ME" w:eastAsia="hr-HR"/>
        </w:rPr>
        <w:t>2</w:t>
      </w:r>
      <w:r w:rsidR="00C93865" w:rsidRPr="00B90281">
        <w:rPr>
          <w:rFonts w:eastAsia="TimesNewRoman"/>
          <w:bCs/>
          <w:color w:val="000000"/>
          <w:sz w:val="22"/>
          <w:szCs w:val="22"/>
          <w:lang w:val="sr-Latn-ME" w:eastAsia="hr-HR"/>
        </w:rPr>
        <w:t xml:space="preserve"> povezane sa ubrzanjem srčanog rada, smanjenjem kontraktilnosti, hipotenzijom i smrću. Kod  pasa su smanjena srčana kontraktilnost i hipotenzija reagoval</w:t>
      </w:r>
      <w:r w:rsidR="008B1A8D" w:rsidRPr="00B90281">
        <w:rPr>
          <w:rFonts w:eastAsia="TimesNewRoman"/>
          <w:bCs/>
          <w:color w:val="000000"/>
          <w:sz w:val="22"/>
          <w:szCs w:val="22"/>
          <w:lang w:val="sr-Latn-ME" w:eastAsia="hr-HR"/>
        </w:rPr>
        <w:t>e</w:t>
      </w:r>
      <w:r w:rsidR="00C93865" w:rsidRPr="00B90281">
        <w:rPr>
          <w:rFonts w:eastAsia="TimesNewRoman"/>
          <w:bCs/>
          <w:color w:val="000000"/>
          <w:sz w:val="22"/>
          <w:szCs w:val="22"/>
          <w:lang w:val="sr-Latn-ME" w:eastAsia="hr-HR"/>
        </w:rPr>
        <w:t xml:space="preserve"> na akutnu intervenciju primjenom pozitivnih </w:t>
      </w:r>
      <w:r w:rsidR="00C93865" w:rsidRPr="00B90281">
        <w:rPr>
          <w:rFonts w:eastAsia="TimesNewRoman"/>
          <w:bCs/>
          <w:color w:val="000000"/>
          <w:sz w:val="22"/>
          <w:szCs w:val="22"/>
          <w:lang w:val="sr-Latn-ME" w:eastAsia="hr-HR"/>
        </w:rPr>
        <w:lastRenderedPageBreak/>
        <w:t>inotropnih  ili vazokonstriktornih ljekova. Pored toga, u ispitivanjima na psima zapažen je blagi porast korigovanog QT intervala.</w:t>
      </w:r>
    </w:p>
    <w:p w:rsidR="00396DFD" w:rsidRPr="00B90281" w:rsidRDefault="00396DFD" w:rsidP="00480FB1">
      <w:pPr>
        <w:tabs>
          <w:tab w:val="left" w:pos="540"/>
          <w:tab w:val="left" w:pos="569"/>
        </w:tabs>
        <w:rPr>
          <w:b/>
          <w:bCs/>
          <w:sz w:val="22"/>
          <w:szCs w:val="22"/>
          <w:lang w:val="sr-Latn-ME"/>
        </w:rPr>
      </w:pPr>
    </w:p>
    <w:p w:rsidR="00F97456" w:rsidRPr="00B90281" w:rsidRDefault="00F97456" w:rsidP="00480FB1">
      <w:pPr>
        <w:tabs>
          <w:tab w:val="left" w:pos="540"/>
          <w:tab w:val="left" w:pos="569"/>
        </w:tabs>
        <w:rPr>
          <w:b/>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6. </w:t>
      </w:r>
      <w:r w:rsidR="00480FB1" w:rsidRPr="00B90281">
        <w:rPr>
          <w:b/>
          <w:bCs/>
          <w:sz w:val="22"/>
          <w:szCs w:val="22"/>
          <w:lang w:val="sr-Latn-ME"/>
        </w:rPr>
        <w:tab/>
      </w:r>
      <w:r w:rsidRPr="00B90281">
        <w:rPr>
          <w:b/>
          <w:bCs/>
          <w:sz w:val="22"/>
          <w:szCs w:val="22"/>
          <w:lang w:val="sr-Latn-ME"/>
        </w:rPr>
        <w:t>FARMACEUTSKI PODACI</w:t>
      </w:r>
    </w:p>
    <w:p w:rsidR="00836B35" w:rsidRPr="00B90281" w:rsidRDefault="00836B35" w:rsidP="00480FB1">
      <w:pPr>
        <w:tabs>
          <w:tab w:val="left" w:pos="540"/>
          <w:tab w:val="left" w:pos="569"/>
        </w:tabs>
        <w:rPr>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6.1. </w:t>
      </w:r>
      <w:r w:rsidR="00480FB1" w:rsidRPr="00B90281">
        <w:rPr>
          <w:b/>
          <w:bCs/>
          <w:sz w:val="22"/>
          <w:szCs w:val="22"/>
          <w:lang w:val="sr-Latn-ME"/>
        </w:rPr>
        <w:tab/>
      </w:r>
      <w:r w:rsidRPr="00B90281">
        <w:rPr>
          <w:b/>
          <w:bCs/>
          <w:sz w:val="22"/>
          <w:szCs w:val="22"/>
          <w:lang w:val="sr-Latn-ME"/>
        </w:rPr>
        <w:t>Lista pomoćnih supstanci</w:t>
      </w:r>
      <w:r w:rsidR="002E0135" w:rsidRPr="00B90281">
        <w:rPr>
          <w:b/>
          <w:bCs/>
          <w:sz w:val="22"/>
          <w:szCs w:val="22"/>
          <w:lang w:val="sr-Latn-ME"/>
        </w:rPr>
        <w:t xml:space="preserve"> (ekscipijenasa)</w:t>
      </w:r>
    </w:p>
    <w:p w:rsidR="0072020E" w:rsidRPr="00B90281" w:rsidRDefault="0072020E" w:rsidP="00480FB1">
      <w:pPr>
        <w:tabs>
          <w:tab w:val="left" w:pos="540"/>
          <w:tab w:val="left" w:pos="569"/>
        </w:tabs>
        <w:rPr>
          <w:bCs/>
          <w:sz w:val="22"/>
          <w:szCs w:val="22"/>
          <w:lang w:val="sr-Latn-ME"/>
        </w:rPr>
      </w:pPr>
    </w:p>
    <w:p w:rsidR="00B81E71" w:rsidRPr="00B90281" w:rsidRDefault="00B81E71" w:rsidP="00B81E71">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manitol (E 421)</w:t>
      </w:r>
    </w:p>
    <w:p w:rsidR="00B81E71" w:rsidRPr="00B90281" w:rsidRDefault="00B81E71" w:rsidP="00480FB1">
      <w:pPr>
        <w:tabs>
          <w:tab w:val="left" w:pos="540"/>
          <w:tab w:val="left" w:pos="569"/>
        </w:tabs>
        <w:rPr>
          <w:bCs/>
          <w:sz w:val="22"/>
          <w:szCs w:val="22"/>
          <w:highlight w:val="yellow"/>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6.2. </w:t>
      </w:r>
      <w:r w:rsidR="00480FB1" w:rsidRPr="00B90281">
        <w:rPr>
          <w:b/>
          <w:bCs/>
          <w:sz w:val="22"/>
          <w:szCs w:val="22"/>
          <w:lang w:val="sr-Latn-ME"/>
        </w:rPr>
        <w:tab/>
      </w:r>
      <w:r w:rsidRPr="00B90281">
        <w:rPr>
          <w:b/>
          <w:bCs/>
          <w:sz w:val="22"/>
          <w:szCs w:val="22"/>
          <w:lang w:val="sr-Latn-ME"/>
        </w:rPr>
        <w:t>Inkompatibilnost</w:t>
      </w:r>
      <w:r w:rsidR="002846DB" w:rsidRPr="00B90281">
        <w:rPr>
          <w:b/>
          <w:bCs/>
          <w:sz w:val="22"/>
          <w:szCs w:val="22"/>
          <w:lang w:val="sr-Latn-ME"/>
        </w:rPr>
        <w:t>i</w:t>
      </w:r>
    </w:p>
    <w:p w:rsidR="0072020E" w:rsidRPr="00B90281" w:rsidRDefault="0072020E" w:rsidP="00480FB1">
      <w:pPr>
        <w:tabs>
          <w:tab w:val="left" w:pos="540"/>
          <w:tab w:val="left" w:pos="569"/>
        </w:tabs>
        <w:rPr>
          <w:bCs/>
          <w:sz w:val="22"/>
          <w:szCs w:val="22"/>
          <w:lang w:val="sr-Latn-ME"/>
        </w:rPr>
      </w:pPr>
    </w:p>
    <w:p w:rsidR="00B81E71" w:rsidRPr="00B90281" w:rsidRDefault="00B81E71" w:rsidP="00B81E71">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Lijek se ne smije miješati sa drugim ljekovima, osim onih navedenih u dijelu 6.6.</w:t>
      </w:r>
    </w:p>
    <w:p w:rsidR="00B81E71" w:rsidRPr="00B90281" w:rsidRDefault="00B81E71" w:rsidP="00480FB1">
      <w:pPr>
        <w:tabs>
          <w:tab w:val="left" w:pos="540"/>
          <w:tab w:val="left" w:pos="569"/>
        </w:tabs>
        <w:rPr>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6.3.</w:t>
      </w:r>
      <w:r w:rsidR="00C05DF8" w:rsidRPr="00B90281">
        <w:rPr>
          <w:b/>
          <w:bCs/>
          <w:sz w:val="22"/>
          <w:szCs w:val="22"/>
          <w:lang w:val="sr-Latn-ME"/>
        </w:rPr>
        <w:t xml:space="preserve"> </w:t>
      </w:r>
      <w:r w:rsidR="00480FB1" w:rsidRPr="00B90281">
        <w:rPr>
          <w:b/>
          <w:bCs/>
          <w:sz w:val="22"/>
          <w:szCs w:val="22"/>
          <w:lang w:val="sr-Latn-ME"/>
        </w:rPr>
        <w:tab/>
      </w:r>
      <w:r w:rsidRPr="00B90281">
        <w:rPr>
          <w:b/>
          <w:bCs/>
          <w:sz w:val="22"/>
          <w:szCs w:val="22"/>
          <w:lang w:val="sr-Latn-ME"/>
        </w:rPr>
        <w:t>Rok upotrebe</w:t>
      </w:r>
    </w:p>
    <w:p w:rsidR="0072020E" w:rsidRPr="00B90281" w:rsidRDefault="0072020E" w:rsidP="00480FB1">
      <w:pPr>
        <w:tabs>
          <w:tab w:val="left" w:pos="540"/>
          <w:tab w:val="left" w:pos="569"/>
        </w:tabs>
        <w:rPr>
          <w:bCs/>
          <w:sz w:val="22"/>
          <w:szCs w:val="22"/>
          <w:lang w:val="sr-Latn-ME"/>
        </w:rPr>
      </w:pPr>
    </w:p>
    <w:p w:rsidR="00D45B76" w:rsidRPr="00B90281" w:rsidRDefault="00D45B76" w:rsidP="00D45B76">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u w:val="single"/>
          <w:lang w:val="sr-Latn-ME" w:eastAsia="hr-HR"/>
        </w:rPr>
        <w:t>Neotvorena bočica</w:t>
      </w:r>
    </w:p>
    <w:p w:rsidR="00D45B76" w:rsidRPr="00B90281" w:rsidRDefault="00D45B76" w:rsidP="00D45B76">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3 godine</w:t>
      </w:r>
    </w:p>
    <w:p w:rsidR="00D45B76" w:rsidRPr="00B90281" w:rsidRDefault="00D45B76" w:rsidP="00D45B76">
      <w:pPr>
        <w:suppressAutoHyphens/>
        <w:autoSpaceDE w:val="0"/>
        <w:rPr>
          <w:rFonts w:eastAsia="TimesNewRoman"/>
          <w:bCs/>
          <w:color w:val="000000"/>
          <w:sz w:val="22"/>
          <w:szCs w:val="22"/>
          <w:highlight w:val="yellow"/>
          <w:lang w:val="sr-Latn-ME" w:eastAsia="hr-HR"/>
        </w:rPr>
      </w:pPr>
    </w:p>
    <w:p w:rsidR="00D45B76" w:rsidRPr="00B90281" w:rsidRDefault="00D45B76" w:rsidP="00D45B76">
      <w:pPr>
        <w:pStyle w:val="Default"/>
        <w:rPr>
          <w:color w:val="auto"/>
          <w:sz w:val="22"/>
          <w:szCs w:val="22"/>
          <w:lang w:val="sr-Latn-ME"/>
        </w:rPr>
      </w:pPr>
      <w:r w:rsidRPr="00B90281">
        <w:rPr>
          <w:i/>
          <w:iCs/>
          <w:color w:val="auto"/>
          <w:sz w:val="22"/>
          <w:szCs w:val="22"/>
          <w:lang w:val="sr-Latn-ME"/>
        </w:rPr>
        <w:t xml:space="preserve">Intravenska primjena </w:t>
      </w:r>
    </w:p>
    <w:p w:rsidR="00D45B76" w:rsidRPr="00B90281" w:rsidRDefault="00D45B76" w:rsidP="00D31597">
      <w:pPr>
        <w:pStyle w:val="Default"/>
        <w:jc w:val="both"/>
        <w:rPr>
          <w:color w:val="auto"/>
          <w:sz w:val="22"/>
          <w:szCs w:val="22"/>
          <w:lang w:val="sr-Latn-ME"/>
        </w:rPr>
      </w:pPr>
      <w:r w:rsidRPr="00B90281">
        <w:rPr>
          <w:color w:val="auto"/>
          <w:sz w:val="22"/>
          <w:szCs w:val="22"/>
          <w:lang w:val="sr-Latn-ME"/>
        </w:rPr>
        <w:t xml:space="preserve">Dokazana hemijska i fizička stabilnost rekonstitutisanog rastvora u koncentraciji od 1 mg/ml u primjeni je 3 dana na temperaturi od 20°C do 25°C kad se prije primjene čuva u originalnoj bočici i/ili špricu. Sa mikrobiološke tačke gledišta, rekonstituisani rastvor se mora primijeniti odmah nakon pripreme osim ako način otvaranja/rekonstitucije/razblaživanja ne isključuje opasnost od mikrobiološke kontaminacije. Ako se ne primijeni odmah, vrijeme i uslovi čuvanja pripremljenog rastvora do njegove primjene su odgovornost  korisnika. </w:t>
      </w:r>
    </w:p>
    <w:p w:rsidR="00D45B76" w:rsidRPr="00B90281" w:rsidRDefault="00D45B76" w:rsidP="00D45B76">
      <w:pPr>
        <w:pStyle w:val="Default"/>
        <w:rPr>
          <w:color w:val="auto"/>
          <w:sz w:val="22"/>
          <w:szCs w:val="22"/>
          <w:lang w:val="sr-Latn-ME"/>
        </w:rPr>
      </w:pPr>
    </w:p>
    <w:p w:rsidR="00D45B76" w:rsidRPr="00B90281" w:rsidRDefault="00D45B76" w:rsidP="00D45B76">
      <w:pPr>
        <w:pStyle w:val="Default"/>
        <w:rPr>
          <w:color w:val="auto"/>
          <w:sz w:val="22"/>
          <w:szCs w:val="22"/>
          <w:lang w:val="sr-Latn-ME"/>
        </w:rPr>
      </w:pPr>
      <w:r w:rsidRPr="00B90281">
        <w:rPr>
          <w:i/>
          <w:iCs/>
          <w:color w:val="auto"/>
          <w:sz w:val="22"/>
          <w:szCs w:val="22"/>
          <w:lang w:val="sr-Latn-ME"/>
        </w:rPr>
        <w:t xml:space="preserve">Subkutana primjena </w:t>
      </w:r>
    </w:p>
    <w:p w:rsidR="00D45B76" w:rsidRPr="00B90281" w:rsidRDefault="00D45B76" w:rsidP="00D31597">
      <w:pPr>
        <w:pStyle w:val="Default"/>
        <w:jc w:val="both"/>
        <w:rPr>
          <w:rFonts w:eastAsia="TimesNewRoman"/>
          <w:bCs/>
          <w:sz w:val="22"/>
          <w:szCs w:val="22"/>
          <w:highlight w:val="yellow"/>
          <w:lang w:val="sr-Latn-ME" w:eastAsia="hr-HR"/>
        </w:rPr>
      </w:pPr>
      <w:r w:rsidRPr="00B90281">
        <w:rPr>
          <w:color w:val="auto"/>
          <w:sz w:val="22"/>
          <w:szCs w:val="22"/>
          <w:lang w:val="sr-Latn-ME"/>
        </w:rPr>
        <w:t>Dokazana hemijska i fizička stabilnost rekonstitutisanog rastvora od 2,5 mg/ml u primjeni je 8 sati na temperaturi od 20°C do 25°C kad se prije primjene čuva u originalnoj bočici i/ili špricu.</w:t>
      </w:r>
      <w:r w:rsidR="00D31597">
        <w:rPr>
          <w:color w:val="auto"/>
          <w:sz w:val="22"/>
          <w:szCs w:val="22"/>
          <w:lang w:val="sr-Latn-ME"/>
        </w:rPr>
        <w:t xml:space="preserve"> </w:t>
      </w:r>
      <w:r w:rsidRPr="00B90281">
        <w:rPr>
          <w:sz w:val="22"/>
          <w:szCs w:val="22"/>
          <w:lang w:val="sr-Latn-ME"/>
        </w:rPr>
        <w:t>Sa mikrobiološke tačke gledišta, rekonstituisani rastvor se mora primijeniti odmah nakon pripreme osim ako način otvaranja/rekonstitucije/razblaživanja ne isključuje opasnost od mikrobiološke kontaminacije. Ako se ne primijeni odmah, vrijeme i uslovi čuvanja pripremljenog rastvora do njegove primjene su odgovornost korisnika.</w:t>
      </w:r>
    </w:p>
    <w:p w:rsidR="00D45B76" w:rsidRPr="00B90281" w:rsidRDefault="00D45B76" w:rsidP="00D45B76">
      <w:pPr>
        <w:suppressAutoHyphens/>
        <w:autoSpaceDE w:val="0"/>
        <w:rPr>
          <w:rFonts w:eastAsia="TimesNewRoman"/>
          <w:bCs/>
          <w:color w:val="000000"/>
          <w:sz w:val="22"/>
          <w:szCs w:val="22"/>
          <w:highlight w:val="yellow"/>
          <w:lang w:val="sr-Latn-ME" w:eastAsia="hr-HR"/>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6.4. </w:t>
      </w:r>
      <w:r w:rsidR="00480FB1" w:rsidRPr="00B90281">
        <w:rPr>
          <w:b/>
          <w:bCs/>
          <w:sz w:val="22"/>
          <w:szCs w:val="22"/>
          <w:lang w:val="sr-Latn-ME"/>
        </w:rPr>
        <w:tab/>
      </w:r>
      <w:r w:rsidRPr="00B90281">
        <w:rPr>
          <w:b/>
          <w:bCs/>
          <w:sz w:val="22"/>
          <w:szCs w:val="22"/>
          <w:lang w:val="sr-Latn-ME"/>
        </w:rPr>
        <w:t>Posebne mjere upozorenja pri čuvanju</w:t>
      </w:r>
      <w:r w:rsidR="00F8570A" w:rsidRPr="00B90281">
        <w:rPr>
          <w:b/>
          <w:bCs/>
          <w:sz w:val="22"/>
          <w:szCs w:val="22"/>
          <w:lang w:val="sr-Latn-ME"/>
        </w:rPr>
        <w:t xml:space="preserve"> lijeka</w:t>
      </w:r>
    </w:p>
    <w:p w:rsidR="00EC2532" w:rsidRPr="00B90281" w:rsidRDefault="00EC2532" w:rsidP="00480FB1">
      <w:pPr>
        <w:tabs>
          <w:tab w:val="left" w:pos="540"/>
          <w:tab w:val="left" w:pos="569"/>
        </w:tabs>
        <w:rPr>
          <w:bCs/>
          <w:sz w:val="22"/>
          <w:szCs w:val="22"/>
          <w:lang w:val="sr-Latn-ME"/>
        </w:rPr>
      </w:pPr>
    </w:p>
    <w:p w:rsidR="000844C7" w:rsidRPr="00B90281" w:rsidRDefault="000844C7" w:rsidP="000844C7">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Lijek ne zahtijeva čuvanje na određenoj temperaturi.</w:t>
      </w:r>
    </w:p>
    <w:p w:rsidR="000844C7" w:rsidRPr="00B90281" w:rsidRDefault="000844C7" w:rsidP="000844C7">
      <w:pPr>
        <w:suppressAutoHyphens/>
        <w:autoSpaceDE w:val="0"/>
        <w:jc w:val="both"/>
        <w:rPr>
          <w:rFonts w:eastAsia="Microsoft YaHei"/>
          <w:bCs/>
          <w:color w:val="000000"/>
          <w:sz w:val="22"/>
          <w:szCs w:val="22"/>
          <w:lang w:val="sr-Latn-ME" w:eastAsia="hr-HR"/>
        </w:rPr>
      </w:pPr>
    </w:p>
    <w:p w:rsidR="000844C7" w:rsidRPr="00B90281" w:rsidRDefault="000844C7" w:rsidP="000844C7">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Bočicu čuvati u spoljašnjoj kartonskoj kutiji radi zaštite od svjetlosti.</w:t>
      </w:r>
    </w:p>
    <w:p w:rsidR="000844C7" w:rsidRPr="00B90281" w:rsidRDefault="000844C7" w:rsidP="000844C7">
      <w:pPr>
        <w:suppressAutoHyphens/>
        <w:autoSpaceDE w:val="0"/>
        <w:jc w:val="both"/>
        <w:rPr>
          <w:rFonts w:eastAsia="Microsoft YaHei"/>
          <w:bCs/>
          <w:color w:val="000000"/>
          <w:sz w:val="22"/>
          <w:szCs w:val="22"/>
          <w:lang w:val="sr-Latn-ME" w:eastAsia="hr-HR"/>
        </w:rPr>
      </w:pPr>
    </w:p>
    <w:p w:rsidR="000844C7" w:rsidRPr="00B90281" w:rsidRDefault="001A551C" w:rsidP="000844C7">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U</w:t>
      </w:r>
      <w:r w:rsidR="000844C7" w:rsidRPr="00B90281">
        <w:rPr>
          <w:rFonts w:eastAsia="Microsoft YaHei"/>
          <w:bCs/>
          <w:color w:val="000000"/>
          <w:sz w:val="22"/>
          <w:szCs w:val="22"/>
          <w:lang w:val="sr-Latn-ME" w:eastAsia="hr-HR"/>
        </w:rPr>
        <w:t xml:space="preserve">slove čuvanja nakon rekonstitucije lijeka vidjeti </w:t>
      </w:r>
      <w:r w:rsidRPr="00B90281">
        <w:rPr>
          <w:rFonts w:eastAsia="Microsoft YaHei"/>
          <w:bCs/>
          <w:color w:val="000000"/>
          <w:sz w:val="22"/>
          <w:szCs w:val="22"/>
          <w:lang w:val="sr-Latn-ME" w:eastAsia="hr-HR"/>
        </w:rPr>
        <w:t xml:space="preserve">u dijelu </w:t>
      </w:r>
      <w:r w:rsidR="000844C7" w:rsidRPr="00B90281">
        <w:rPr>
          <w:rFonts w:eastAsia="Microsoft YaHei"/>
          <w:bCs/>
          <w:color w:val="000000"/>
          <w:sz w:val="22"/>
          <w:szCs w:val="22"/>
          <w:lang w:val="sr-Latn-ME" w:eastAsia="hr-HR"/>
        </w:rPr>
        <w:t>6.3.</w:t>
      </w:r>
    </w:p>
    <w:p w:rsidR="00D02B3B" w:rsidRPr="00B90281" w:rsidRDefault="00D02B3B" w:rsidP="00480FB1">
      <w:pPr>
        <w:tabs>
          <w:tab w:val="left" w:pos="540"/>
          <w:tab w:val="left" w:pos="569"/>
        </w:tabs>
        <w:rPr>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6.5. </w:t>
      </w:r>
      <w:r w:rsidR="00480FB1" w:rsidRPr="00B90281">
        <w:rPr>
          <w:b/>
          <w:bCs/>
          <w:sz w:val="22"/>
          <w:szCs w:val="22"/>
          <w:lang w:val="sr-Latn-ME"/>
        </w:rPr>
        <w:tab/>
      </w:r>
      <w:r w:rsidR="002846DB" w:rsidRPr="00B90281">
        <w:rPr>
          <w:b/>
          <w:bCs/>
          <w:sz w:val="22"/>
          <w:szCs w:val="22"/>
          <w:lang w:val="sr-Latn-ME"/>
        </w:rPr>
        <w:t xml:space="preserve">Vrsta i sadržaj </w:t>
      </w:r>
      <w:r w:rsidR="00F8570A" w:rsidRPr="00B90281">
        <w:rPr>
          <w:b/>
          <w:bCs/>
          <w:sz w:val="22"/>
          <w:szCs w:val="22"/>
          <w:lang w:val="sr-Latn-ME"/>
        </w:rPr>
        <w:t>pakovanja</w:t>
      </w:r>
      <w:r w:rsidR="00C06864" w:rsidRPr="00B90281">
        <w:rPr>
          <w:b/>
          <w:bCs/>
          <w:sz w:val="22"/>
          <w:szCs w:val="22"/>
          <w:lang w:val="sr-Latn-ME"/>
        </w:rPr>
        <w:t xml:space="preserve"> </w:t>
      </w:r>
    </w:p>
    <w:p w:rsidR="0072020E" w:rsidRPr="00B90281" w:rsidRDefault="0072020E" w:rsidP="00480FB1">
      <w:pPr>
        <w:tabs>
          <w:tab w:val="left" w:pos="540"/>
          <w:tab w:val="left" w:pos="569"/>
        </w:tabs>
        <w:rPr>
          <w:bCs/>
          <w:sz w:val="22"/>
          <w:szCs w:val="22"/>
          <w:lang w:val="sr-Latn-ME"/>
        </w:rPr>
      </w:pPr>
    </w:p>
    <w:p w:rsidR="00951943" w:rsidRPr="00B90281" w:rsidRDefault="00951943" w:rsidP="00951943">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Sta</w:t>
      </w:r>
      <w:r w:rsidR="00746508" w:rsidRPr="00B90281">
        <w:rPr>
          <w:rFonts w:eastAsia="TimesNewRoman"/>
          <w:bCs/>
          <w:color w:val="000000"/>
          <w:sz w:val="22"/>
          <w:szCs w:val="22"/>
          <w:lang w:val="sr-Latn-ME" w:eastAsia="hr-HR"/>
        </w:rPr>
        <w:t>klena bočica (staklo tip I) od 10</w:t>
      </w:r>
      <w:r w:rsidRPr="00B90281">
        <w:rPr>
          <w:rFonts w:eastAsia="TimesNewRoman"/>
          <w:bCs/>
          <w:color w:val="000000"/>
          <w:sz w:val="22"/>
          <w:szCs w:val="22"/>
          <w:lang w:val="sr-Latn-ME" w:eastAsia="hr-HR"/>
        </w:rPr>
        <w:t xml:space="preserve"> ml sa sivim čepom </w:t>
      </w:r>
      <w:r w:rsidR="003A1B65" w:rsidRPr="00B90281">
        <w:rPr>
          <w:rFonts w:eastAsia="TimesNewRoman"/>
          <w:bCs/>
          <w:color w:val="000000"/>
          <w:sz w:val="22"/>
          <w:szCs w:val="22"/>
          <w:lang w:val="sr-Latn-ME" w:eastAsia="hr-HR"/>
        </w:rPr>
        <w:t>od hlorobutilne gume sa aluminijskim prsteno</w:t>
      </w:r>
      <w:r w:rsidRPr="00B90281">
        <w:rPr>
          <w:rFonts w:eastAsia="TimesNewRoman"/>
          <w:bCs/>
          <w:color w:val="000000"/>
          <w:sz w:val="22"/>
          <w:szCs w:val="22"/>
          <w:lang w:val="sr-Latn-ME" w:eastAsia="hr-HR"/>
        </w:rPr>
        <w:t>m</w:t>
      </w:r>
      <w:r w:rsidR="003A1B65" w:rsidRPr="00B90281">
        <w:rPr>
          <w:rFonts w:eastAsia="TimesNewRoman"/>
          <w:bCs/>
          <w:color w:val="000000"/>
          <w:sz w:val="22"/>
          <w:szCs w:val="22"/>
          <w:lang w:val="sr-Latn-ME" w:eastAsia="hr-HR"/>
        </w:rPr>
        <w:t xml:space="preserve"> i sa crvenom kapicom, </w:t>
      </w:r>
      <w:r w:rsidR="001F6AC5" w:rsidRPr="00B90281">
        <w:rPr>
          <w:rFonts w:eastAsia="TimesNewRoman"/>
          <w:bCs/>
          <w:color w:val="000000"/>
          <w:sz w:val="22"/>
          <w:szCs w:val="22"/>
          <w:lang w:val="sr-Latn-ME" w:eastAsia="hr-HR"/>
        </w:rPr>
        <w:t xml:space="preserve">koja sadrži </w:t>
      </w:r>
      <w:r w:rsidR="00206D7D">
        <w:rPr>
          <w:rFonts w:eastAsia="TimesNewRoman"/>
          <w:bCs/>
          <w:color w:val="000000"/>
          <w:sz w:val="22"/>
          <w:szCs w:val="22"/>
          <w:lang w:val="sr-Latn-ME" w:eastAsia="hr-HR"/>
        </w:rPr>
        <w:t>3.5</w:t>
      </w:r>
      <w:r w:rsidRPr="00B90281">
        <w:rPr>
          <w:rFonts w:eastAsia="TimesNewRoman"/>
          <w:bCs/>
          <w:color w:val="000000"/>
          <w:sz w:val="22"/>
          <w:szCs w:val="22"/>
          <w:lang w:val="sr-Latn-ME" w:eastAsia="hr-HR"/>
        </w:rPr>
        <w:t xml:space="preserve"> mg bortezomiba.</w:t>
      </w:r>
    </w:p>
    <w:p w:rsidR="00951943" w:rsidRPr="00B90281" w:rsidRDefault="00951943" w:rsidP="00951943">
      <w:pPr>
        <w:suppressAutoHyphens/>
        <w:autoSpaceDE w:val="0"/>
        <w:jc w:val="both"/>
        <w:rPr>
          <w:rFonts w:eastAsia="TimesNewRoman"/>
          <w:bCs/>
          <w:color w:val="000000"/>
          <w:sz w:val="22"/>
          <w:szCs w:val="22"/>
          <w:lang w:val="sr-Latn-ME" w:eastAsia="hr-HR"/>
        </w:rPr>
      </w:pPr>
    </w:p>
    <w:p w:rsidR="00951943" w:rsidRPr="00B90281" w:rsidRDefault="00951943" w:rsidP="00951943">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Jedno pakovanje sadrži </w:t>
      </w:r>
      <w:r w:rsidR="00BE682D" w:rsidRPr="00B90281">
        <w:rPr>
          <w:rFonts w:eastAsia="TimesNewRoman"/>
          <w:bCs/>
          <w:color w:val="000000"/>
          <w:sz w:val="22"/>
          <w:szCs w:val="22"/>
          <w:lang w:val="sr-Latn-ME" w:eastAsia="hr-HR"/>
        </w:rPr>
        <w:t>1 bočicu</w:t>
      </w:r>
      <w:r w:rsidRPr="00B90281">
        <w:rPr>
          <w:rFonts w:eastAsia="TimesNewRoman"/>
          <w:bCs/>
          <w:color w:val="000000"/>
          <w:sz w:val="22"/>
          <w:szCs w:val="22"/>
          <w:lang w:val="sr-Latn-ME" w:eastAsia="hr-HR"/>
        </w:rPr>
        <w:t>.</w:t>
      </w:r>
    </w:p>
    <w:p w:rsidR="00951943" w:rsidRPr="00B90281" w:rsidRDefault="00951943" w:rsidP="00480FB1">
      <w:pPr>
        <w:tabs>
          <w:tab w:val="left" w:pos="540"/>
          <w:tab w:val="left" w:pos="569"/>
        </w:tabs>
        <w:rPr>
          <w:bCs/>
          <w:sz w:val="22"/>
          <w:szCs w:val="22"/>
          <w:lang w:val="sr-Latn-ME"/>
        </w:rPr>
      </w:pPr>
    </w:p>
    <w:p w:rsidR="002846DB"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6.6. </w:t>
      </w:r>
      <w:r w:rsidR="00480FB1" w:rsidRPr="00B90281">
        <w:rPr>
          <w:b/>
          <w:bCs/>
          <w:sz w:val="22"/>
          <w:szCs w:val="22"/>
          <w:lang w:val="sr-Latn-ME"/>
        </w:rPr>
        <w:tab/>
      </w:r>
      <w:r w:rsidRPr="00B90281">
        <w:rPr>
          <w:b/>
          <w:bCs/>
          <w:color w:val="000000"/>
          <w:sz w:val="22"/>
          <w:szCs w:val="22"/>
          <w:lang w:val="sr-Latn-ME"/>
        </w:rPr>
        <w:t>Posebne mjere opreza pri odlaganju materijala koji treba odbaciti nakon primjene lijeka</w:t>
      </w:r>
      <w:r w:rsidRPr="00B90281">
        <w:rPr>
          <w:b/>
          <w:bCs/>
          <w:sz w:val="22"/>
          <w:szCs w:val="22"/>
          <w:lang w:val="sr-Latn-ME"/>
        </w:rPr>
        <w:t xml:space="preserve"> </w:t>
      </w:r>
      <w:r w:rsidR="00310F03" w:rsidRPr="00B90281">
        <w:rPr>
          <w:b/>
          <w:bCs/>
          <w:sz w:val="22"/>
          <w:szCs w:val="22"/>
          <w:lang w:val="sr-Latn-ME"/>
        </w:rPr>
        <w:t>(i druga uputs</w:t>
      </w:r>
      <w:r w:rsidR="00D45B76" w:rsidRPr="00B90281">
        <w:rPr>
          <w:b/>
          <w:bCs/>
          <w:sz w:val="22"/>
          <w:szCs w:val="22"/>
          <w:lang w:val="sr-Latn-ME"/>
        </w:rPr>
        <w:t>t</w:t>
      </w:r>
      <w:r w:rsidR="00310F03" w:rsidRPr="00B90281">
        <w:rPr>
          <w:b/>
          <w:bCs/>
          <w:sz w:val="22"/>
          <w:szCs w:val="22"/>
          <w:lang w:val="sr-Latn-ME"/>
        </w:rPr>
        <w:t xml:space="preserve">va za rukovanje lijekom) </w:t>
      </w:r>
    </w:p>
    <w:p w:rsidR="00B66A70" w:rsidRPr="00B90281" w:rsidRDefault="00B66A70" w:rsidP="00480FB1">
      <w:pPr>
        <w:tabs>
          <w:tab w:val="left" w:pos="540"/>
          <w:tab w:val="left" w:pos="569"/>
        </w:tabs>
        <w:rPr>
          <w:b/>
          <w:bCs/>
          <w:sz w:val="22"/>
          <w:szCs w:val="22"/>
          <w:highlight w:val="yellow"/>
          <w:lang w:val="sr-Latn-ME"/>
        </w:rPr>
      </w:pPr>
    </w:p>
    <w:p w:rsidR="00C93584" w:rsidRPr="00B90281" w:rsidRDefault="00C93584" w:rsidP="00C93584">
      <w:pPr>
        <w:suppressAutoHyphens/>
        <w:autoSpaceDE w:val="0"/>
        <w:rPr>
          <w:rFonts w:eastAsia="TimesNewRoman"/>
          <w:bCs/>
          <w:color w:val="000000"/>
          <w:sz w:val="22"/>
          <w:szCs w:val="22"/>
          <w:lang w:val="sr-Latn-ME" w:eastAsia="hr-HR"/>
        </w:rPr>
      </w:pPr>
      <w:r w:rsidRPr="00B90281">
        <w:rPr>
          <w:rFonts w:eastAsia="TimesNewRoman"/>
          <w:bCs/>
          <w:color w:val="000000"/>
          <w:sz w:val="22"/>
          <w:szCs w:val="22"/>
          <w:u w:val="single"/>
          <w:lang w:val="sr-Latn-ME" w:eastAsia="hr-HR"/>
        </w:rPr>
        <w:t xml:space="preserve">Generalna upozorenja </w:t>
      </w:r>
    </w:p>
    <w:p w:rsidR="00C93584" w:rsidRPr="00B90281" w:rsidRDefault="00C93584" w:rsidP="00C93584">
      <w:pPr>
        <w:suppressAutoHyphens/>
        <w:autoSpaceDE w:val="0"/>
        <w:jc w:val="both"/>
        <w:rPr>
          <w:rFonts w:eastAsia="TimesNewRoman"/>
          <w:bCs/>
          <w:color w:val="000000"/>
          <w:sz w:val="22"/>
          <w:szCs w:val="22"/>
          <w:lang w:val="sr-Latn-ME" w:eastAsia="hr-HR"/>
        </w:rPr>
      </w:pPr>
      <w:r w:rsidRPr="00B90281">
        <w:rPr>
          <w:rFonts w:eastAsia="TimesNewRoman"/>
          <w:bCs/>
          <w:color w:val="000000"/>
          <w:sz w:val="22"/>
          <w:szCs w:val="22"/>
          <w:lang w:val="sr-Latn-ME" w:eastAsia="hr-HR"/>
        </w:rPr>
        <w:t xml:space="preserve">Lijek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xml:space="preserve"> je citotoksični agens. Zbog toga je potreban oprez prilikom rukovanja i pripreme lijeka Bortezomib </w:t>
      </w:r>
      <w:r w:rsidR="00640DA2" w:rsidRPr="00B90281">
        <w:rPr>
          <w:rFonts w:eastAsia="TimesNewRoman"/>
          <w:bCs/>
          <w:color w:val="000000"/>
          <w:sz w:val="22"/>
          <w:szCs w:val="22"/>
          <w:lang w:val="sr-Latn-ME" w:eastAsia="hr-HR"/>
        </w:rPr>
        <w:t>Accord</w:t>
      </w:r>
      <w:r w:rsidRPr="00B90281">
        <w:rPr>
          <w:rFonts w:eastAsia="TimesNewRoman"/>
          <w:bCs/>
          <w:color w:val="000000"/>
          <w:sz w:val="22"/>
          <w:szCs w:val="22"/>
          <w:lang w:val="sr-Latn-ME" w:eastAsia="hr-HR"/>
        </w:rPr>
        <w:t>. Preporučuje se nošenje rukavica i druge zaštitne odjeće kako bi se spriječio kontakt sa kožom.</w:t>
      </w:r>
    </w:p>
    <w:p w:rsidR="00C93584" w:rsidRPr="00B90281" w:rsidRDefault="00C93584" w:rsidP="00C93584">
      <w:pPr>
        <w:suppressAutoHyphens/>
        <w:autoSpaceDE w:val="0"/>
        <w:rPr>
          <w:rFonts w:eastAsia="TimesNewRoman"/>
          <w:bCs/>
          <w:color w:val="000000"/>
          <w:sz w:val="22"/>
          <w:szCs w:val="22"/>
          <w:highlight w:val="yellow"/>
          <w:lang w:val="sr-Latn-ME" w:eastAsia="hr-HR"/>
        </w:rPr>
      </w:pPr>
    </w:p>
    <w:p w:rsidR="00C93584" w:rsidRPr="00B90281" w:rsidRDefault="00C93584" w:rsidP="00C93584">
      <w:pPr>
        <w:suppressAutoHyphens/>
        <w:autoSpaceDE w:val="0"/>
        <w:jc w:val="both"/>
        <w:rPr>
          <w:rFonts w:eastAsia="TimesNewRoman"/>
          <w:bCs/>
          <w:color w:val="000000"/>
          <w:sz w:val="22"/>
          <w:szCs w:val="22"/>
          <w:lang w:val="sr-Latn-ME" w:eastAsia="hr-HR"/>
        </w:rPr>
      </w:pPr>
      <w:r w:rsidRPr="00B90281">
        <w:rPr>
          <w:rFonts w:eastAsia="TimesNewRoman"/>
          <w:b/>
          <w:bCs/>
          <w:color w:val="000000"/>
          <w:sz w:val="22"/>
          <w:szCs w:val="22"/>
          <w:lang w:val="sr-Latn-ME" w:eastAsia="hr-HR"/>
        </w:rPr>
        <w:t xml:space="preserve">Obavezno je strogo pridržavanje aseptičnih uslova tokom rukovanja lijekom Bortezomib </w:t>
      </w:r>
      <w:r w:rsidR="00640DA2" w:rsidRPr="00B90281">
        <w:rPr>
          <w:rFonts w:eastAsia="TimesNewRoman"/>
          <w:b/>
          <w:bCs/>
          <w:color w:val="000000"/>
          <w:sz w:val="22"/>
          <w:szCs w:val="22"/>
          <w:lang w:val="sr-Latn-ME" w:eastAsia="hr-HR"/>
        </w:rPr>
        <w:t>Accord</w:t>
      </w:r>
      <w:r w:rsidRPr="00B90281">
        <w:rPr>
          <w:rFonts w:eastAsia="TimesNewRoman"/>
          <w:b/>
          <w:bCs/>
          <w:color w:val="000000"/>
          <w:sz w:val="22"/>
          <w:szCs w:val="22"/>
          <w:lang w:val="sr-Latn-ME" w:eastAsia="hr-HR"/>
        </w:rPr>
        <w:t xml:space="preserve"> jer lijek ne sadrži konzervanse.</w:t>
      </w:r>
    </w:p>
    <w:p w:rsidR="00C93584" w:rsidRPr="00B90281" w:rsidRDefault="00C93584" w:rsidP="00C93584">
      <w:pPr>
        <w:suppressAutoHyphens/>
        <w:autoSpaceDE w:val="0"/>
        <w:jc w:val="both"/>
        <w:rPr>
          <w:rFonts w:eastAsia="TimesNewRoman"/>
          <w:bCs/>
          <w:color w:val="000000"/>
          <w:sz w:val="22"/>
          <w:szCs w:val="22"/>
          <w:highlight w:val="yellow"/>
          <w:lang w:val="sr-Latn-ME" w:eastAsia="hr-HR"/>
        </w:rPr>
      </w:pPr>
    </w:p>
    <w:p w:rsidR="00DB62AA" w:rsidRPr="00B90281" w:rsidRDefault="008A1D65" w:rsidP="008A1D65">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Nenamjerna intratekalna primjena bortezomiba dovela je do smrtnih slučajeva. Lijek Bortezomib </w:t>
      </w:r>
      <w:r w:rsidR="00640DA2" w:rsidRPr="00B90281">
        <w:rPr>
          <w:rFonts w:eastAsia="Microsoft YaHei"/>
          <w:bCs/>
          <w:color w:val="000000"/>
          <w:sz w:val="22"/>
          <w:szCs w:val="22"/>
          <w:lang w:val="sr-Latn-ME" w:eastAsia="hr-HR"/>
        </w:rPr>
        <w:t>Accord</w:t>
      </w:r>
      <w:r w:rsidRPr="00B90281">
        <w:rPr>
          <w:rFonts w:eastAsia="Microsoft YaHei"/>
          <w:bCs/>
          <w:color w:val="000000"/>
          <w:sz w:val="22"/>
          <w:szCs w:val="22"/>
          <w:lang w:val="sr-Latn-ME" w:eastAsia="hr-HR"/>
        </w:rPr>
        <w:t xml:space="preserve"> </w:t>
      </w:r>
      <w:r w:rsidR="00206D7D">
        <w:rPr>
          <w:rFonts w:eastAsia="Microsoft YaHei"/>
          <w:bCs/>
          <w:color w:val="000000"/>
          <w:sz w:val="22"/>
          <w:szCs w:val="22"/>
          <w:lang w:val="sr-Latn-ME" w:eastAsia="hr-HR"/>
        </w:rPr>
        <w:t>3.5</w:t>
      </w:r>
      <w:r w:rsidRPr="00B90281">
        <w:rPr>
          <w:rFonts w:eastAsia="Microsoft YaHei"/>
          <w:bCs/>
          <w:color w:val="000000"/>
          <w:sz w:val="22"/>
          <w:szCs w:val="22"/>
          <w:lang w:val="sr-Latn-ME" w:eastAsia="hr-HR"/>
        </w:rPr>
        <w:t xml:space="preserve"> mg prašak za rastvor za injekciju nami</w:t>
      </w:r>
      <w:r w:rsidR="00646BFE" w:rsidRPr="00B90281">
        <w:rPr>
          <w:rFonts w:eastAsia="Microsoft YaHei"/>
          <w:bCs/>
          <w:color w:val="000000"/>
          <w:sz w:val="22"/>
          <w:szCs w:val="22"/>
          <w:lang w:val="sr-Latn-ME" w:eastAsia="hr-HR"/>
        </w:rPr>
        <w:t>jenjen je za intravensku ili sub</w:t>
      </w:r>
      <w:r w:rsidRPr="00B90281">
        <w:rPr>
          <w:rFonts w:eastAsia="Microsoft YaHei"/>
          <w:bCs/>
          <w:color w:val="000000"/>
          <w:sz w:val="22"/>
          <w:szCs w:val="22"/>
          <w:lang w:val="sr-Latn-ME" w:eastAsia="hr-HR"/>
        </w:rPr>
        <w:t>kutanu primjenu</w:t>
      </w:r>
      <w:r w:rsidR="00DB62AA" w:rsidRPr="00B90281">
        <w:rPr>
          <w:rFonts w:eastAsia="Microsoft YaHei"/>
          <w:bCs/>
          <w:color w:val="000000"/>
          <w:sz w:val="22"/>
          <w:szCs w:val="22"/>
          <w:lang w:val="sr-Latn-ME" w:eastAsia="hr-HR"/>
        </w:rPr>
        <w:t xml:space="preserve">. </w:t>
      </w:r>
    </w:p>
    <w:p w:rsidR="008A1D65" w:rsidRPr="00B90281" w:rsidRDefault="008A1D65" w:rsidP="008A1D65">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Lijek Bortezomib </w:t>
      </w:r>
      <w:r w:rsidR="00640DA2" w:rsidRPr="00B90281">
        <w:rPr>
          <w:rFonts w:eastAsia="Microsoft YaHei"/>
          <w:bCs/>
          <w:color w:val="000000"/>
          <w:sz w:val="22"/>
          <w:szCs w:val="22"/>
          <w:lang w:val="sr-Latn-ME" w:eastAsia="hr-HR"/>
        </w:rPr>
        <w:t>Accord</w:t>
      </w:r>
      <w:r w:rsidRPr="00B90281">
        <w:rPr>
          <w:rFonts w:eastAsia="Microsoft YaHei"/>
          <w:bCs/>
          <w:color w:val="000000"/>
          <w:sz w:val="22"/>
          <w:szCs w:val="22"/>
          <w:lang w:val="sr-Latn-ME" w:eastAsia="hr-HR"/>
        </w:rPr>
        <w:t xml:space="preserve"> ne smije se primijeniti intratekalno.</w:t>
      </w:r>
    </w:p>
    <w:p w:rsidR="00C93584" w:rsidRPr="00B90281" w:rsidRDefault="00C93584" w:rsidP="00C93584">
      <w:pPr>
        <w:suppressAutoHyphens/>
        <w:autoSpaceDE w:val="0"/>
        <w:rPr>
          <w:rFonts w:eastAsia="TimesNewRoman"/>
          <w:bCs/>
          <w:color w:val="000000"/>
          <w:sz w:val="22"/>
          <w:szCs w:val="22"/>
          <w:highlight w:val="yellow"/>
          <w:lang w:val="sr-Latn-ME" w:eastAsia="hr-HR"/>
        </w:rPr>
      </w:pPr>
    </w:p>
    <w:p w:rsidR="007836FE" w:rsidRPr="00B90281" w:rsidRDefault="007836FE" w:rsidP="007836FE">
      <w:pPr>
        <w:suppressAutoHyphens/>
        <w:autoSpaceDE w:val="0"/>
        <w:jc w:val="both"/>
        <w:rPr>
          <w:rFonts w:eastAsia="Microsoft YaHei"/>
          <w:bCs/>
          <w:color w:val="000000"/>
          <w:sz w:val="22"/>
          <w:szCs w:val="22"/>
          <w:u w:val="single"/>
          <w:lang w:val="sr-Latn-ME" w:eastAsia="hr-HR"/>
        </w:rPr>
      </w:pPr>
      <w:r w:rsidRPr="00B90281">
        <w:rPr>
          <w:rFonts w:eastAsia="Microsoft YaHei"/>
          <w:bCs/>
          <w:color w:val="000000"/>
          <w:sz w:val="22"/>
          <w:szCs w:val="22"/>
          <w:u w:val="single"/>
          <w:lang w:val="sr-Latn-ME" w:eastAsia="hr-HR"/>
        </w:rPr>
        <w:t xml:space="preserve">Uputstvo za pripremu </w:t>
      </w:r>
    </w:p>
    <w:p w:rsidR="007836FE" w:rsidRPr="00B90281" w:rsidRDefault="00FD4B39" w:rsidP="00D800C8">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Lijek Bortezomib Accord mora rekonstituisati zdravstveni radnik.</w:t>
      </w:r>
    </w:p>
    <w:p w:rsidR="00FD4B39" w:rsidRPr="00B90281" w:rsidRDefault="00FD4B39" w:rsidP="00D800C8">
      <w:pPr>
        <w:suppressAutoHyphens/>
        <w:autoSpaceDE w:val="0"/>
        <w:jc w:val="both"/>
        <w:rPr>
          <w:rFonts w:eastAsia="Microsoft YaHei"/>
          <w:bCs/>
          <w:i/>
          <w:color w:val="000000"/>
          <w:sz w:val="22"/>
          <w:szCs w:val="22"/>
          <w:highlight w:val="yellow"/>
          <w:u w:val="single"/>
          <w:lang w:val="sr-Latn-ME" w:eastAsia="hr-HR"/>
        </w:rPr>
      </w:pPr>
    </w:p>
    <w:p w:rsidR="00D92715" w:rsidRPr="00D31597" w:rsidRDefault="00D92715" w:rsidP="00D92715">
      <w:pPr>
        <w:suppressAutoHyphens/>
        <w:autoSpaceDE w:val="0"/>
        <w:jc w:val="both"/>
        <w:rPr>
          <w:rFonts w:eastAsia="Microsoft YaHei"/>
          <w:bCs/>
          <w:color w:val="000000"/>
          <w:sz w:val="22"/>
          <w:szCs w:val="22"/>
          <w:u w:val="single"/>
          <w:lang w:val="sr-Latn-ME" w:eastAsia="hr-HR"/>
        </w:rPr>
      </w:pPr>
      <w:r w:rsidRPr="00D31597">
        <w:rPr>
          <w:rFonts w:eastAsia="Microsoft YaHei"/>
          <w:bCs/>
          <w:i/>
          <w:color w:val="000000"/>
          <w:sz w:val="22"/>
          <w:szCs w:val="22"/>
          <w:u w:val="single"/>
          <w:lang w:val="sr-Latn-ME" w:eastAsia="hr-HR"/>
        </w:rPr>
        <w:t>Intravenska injekcija</w:t>
      </w:r>
    </w:p>
    <w:p w:rsidR="00FD4B39" w:rsidRPr="00B90281" w:rsidRDefault="00FD4B39" w:rsidP="00FD4B39">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Bočica od 10 ml lijeka Bortezomib Accord se mora pažljivo rekonstituisati pomoću </w:t>
      </w:r>
      <w:r w:rsidR="00206D7D">
        <w:rPr>
          <w:rFonts w:eastAsia="Microsoft YaHei"/>
          <w:bCs/>
          <w:color w:val="000000"/>
          <w:sz w:val="22"/>
          <w:szCs w:val="22"/>
          <w:lang w:val="sr-Latn-ME" w:eastAsia="hr-HR"/>
        </w:rPr>
        <w:t>3.5</w:t>
      </w:r>
      <w:r w:rsidRPr="00B90281">
        <w:rPr>
          <w:rFonts w:eastAsia="Microsoft YaHei"/>
          <w:bCs/>
          <w:color w:val="000000"/>
          <w:sz w:val="22"/>
          <w:szCs w:val="22"/>
          <w:lang w:val="sr-Latn-ME" w:eastAsia="hr-HR"/>
        </w:rPr>
        <w:t xml:space="preserve"> ml 0,9% </w:t>
      </w:r>
    </w:p>
    <w:p w:rsidR="00FD4B39" w:rsidRPr="00B90281" w:rsidRDefault="00FD4B39" w:rsidP="00FD4B39">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(9 mg/ml) rastvora natrijum hlorida za injekciju, uz korištenje šprica odgovarajuće veličine, bez uklanjanja čepa bočice. </w:t>
      </w:r>
    </w:p>
    <w:p w:rsidR="00FD4B39" w:rsidRPr="00B90281" w:rsidRDefault="00FD4B39" w:rsidP="00FD4B39">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Rastvaranje liofilizovanog praška traje manje od 2 minuta. </w:t>
      </w:r>
    </w:p>
    <w:p w:rsidR="00FD4B39" w:rsidRPr="00B90281" w:rsidRDefault="00FD4B39" w:rsidP="00FD4B39">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Nakon rekonstitucije, jedan ml rastvora sadrži 1 mg bortezomiba. Rekonstituisani rastvor je bistar i bezbojan, sa konačnom vrijednošću pH od 4 do 7. </w:t>
      </w:r>
    </w:p>
    <w:p w:rsidR="00D92715" w:rsidRPr="00B90281" w:rsidRDefault="00FD4B39" w:rsidP="00FD4B39">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Prije primjene, pripremljen rastvor treba vizualno pregledati na prisustvo čestica i promjenu boje. Ako se primijeti promjena boje ili prisustvo čestica, pripremljen rastvor se mora odbaciti.</w:t>
      </w:r>
    </w:p>
    <w:p w:rsidR="00FD4B39" w:rsidRPr="00B90281" w:rsidRDefault="00FD4B39" w:rsidP="00FD4B39">
      <w:pPr>
        <w:suppressAutoHyphens/>
        <w:autoSpaceDE w:val="0"/>
        <w:jc w:val="both"/>
        <w:rPr>
          <w:rFonts w:eastAsia="Microsoft YaHei"/>
          <w:bCs/>
          <w:color w:val="000000"/>
          <w:sz w:val="22"/>
          <w:szCs w:val="22"/>
          <w:lang w:val="sr-Latn-ME" w:eastAsia="hr-HR"/>
        </w:rPr>
      </w:pPr>
    </w:p>
    <w:p w:rsidR="00D92715" w:rsidRPr="00D31597" w:rsidRDefault="00D92715" w:rsidP="00D92715">
      <w:pPr>
        <w:suppressAutoHyphens/>
        <w:autoSpaceDE w:val="0"/>
        <w:jc w:val="both"/>
        <w:rPr>
          <w:rFonts w:eastAsia="Microsoft YaHei"/>
          <w:bCs/>
          <w:i/>
          <w:color w:val="000000"/>
          <w:sz w:val="22"/>
          <w:szCs w:val="22"/>
          <w:u w:val="single"/>
          <w:lang w:val="sr-Latn-ME" w:eastAsia="hr-HR"/>
        </w:rPr>
      </w:pPr>
      <w:r w:rsidRPr="00D31597">
        <w:rPr>
          <w:rFonts w:eastAsia="Microsoft YaHei"/>
          <w:bCs/>
          <w:i/>
          <w:color w:val="000000"/>
          <w:sz w:val="22"/>
          <w:szCs w:val="22"/>
          <w:u w:val="single"/>
          <w:lang w:val="sr-Latn-ME" w:eastAsia="hr-HR"/>
        </w:rPr>
        <w:t>Subkutana injekcija</w:t>
      </w:r>
    </w:p>
    <w:p w:rsidR="00FD4B39" w:rsidRPr="00B90281" w:rsidRDefault="00FD4B39" w:rsidP="00FD4B39">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Bočica od 10 ml lijeka Bortezomib Accord se mora pažljivo rekonstituisati pomoću 1,4 ml 0,9% </w:t>
      </w:r>
    </w:p>
    <w:p w:rsidR="00FD4B39" w:rsidRPr="00B90281" w:rsidRDefault="00FD4B39" w:rsidP="00FD4B39">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(9 mg/ml) rastvora natrijum hlorida za injekciju, uz korištenje šprica odgovarajuće veličine, bez uklanjanja čepa bočice. </w:t>
      </w:r>
    </w:p>
    <w:p w:rsidR="00FD4B39" w:rsidRPr="00B90281" w:rsidRDefault="00FD4B39" w:rsidP="00FD4B39">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Rastvaranje liofilizovanog praška traje manje od 2 minuta. </w:t>
      </w:r>
    </w:p>
    <w:p w:rsidR="00FD4B39" w:rsidRPr="00B90281" w:rsidRDefault="00FD4B39" w:rsidP="00FD4B39">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 xml:space="preserve">Nakon rekonstitucije, jedan ml rastvora sadrži 2,5 mg bortezomiba. Pripremljen rastvor je bistar i bezbojan, sa konačnom vrijednošću pH od 4 do 7. </w:t>
      </w:r>
    </w:p>
    <w:p w:rsidR="00036270" w:rsidRPr="00B90281" w:rsidRDefault="00FD4B39" w:rsidP="00FD4B39">
      <w:pPr>
        <w:suppressAutoHyphens/>
        <w:autoSpaceDE w:val="0"/>
        <w:rPr>
          <w:rFonts w:eastAsia="Microsoft YaHei"/>
          <w:bCs/>
          <w:color w:val="000000"/>
          <w:sz w:val="22"/>
          <w:szCs w:val="22"/>
          <w:lang w:val="sr-Latn-ME" w:eastAsia="hr-HR"/>
        </w:rPr>
      </w:pPr>
      <w:r w:rsidRPr="00B90281">
        <w:rPr>
          <w:rFonts w:eastAsia="Microsoft YaHei"/>
          <w:bCs/>
          <w:color w:val="000000"/>
          <w:sz w:val="22"/>
          <w:szCs w:val="22"/>
          <w:lang w:val="sr-Latn-ME" w:eastAsia="hr-HR"/>
        </w:rPr>
        <w:t>Prije primjene, pripremljen rastvor treba vizualno pregledati na prisustvo čestica i promjenu boje. Ako se primijeti promjena boje ili prisustvo čestica, pripremljen rastvor se mora odbaciti.</w:t>
      </w:r>
    </w:p>
    <w:p w:rsidR="00FD4B39" w:rsidRPr="00B90281" w:rsidRDefault="00FD4B39" w:rsidP="00FD4B39">
      <w:pPr>
        <w:suppressAutoHyphens/>
        <w:autoSpaceDE w:val="0"/>
        <w:rPr>
          <w:rFonts w:eastAsia="Microsoft YaHei"/>
          <w:bCs/>
          <w:color w:val="000000"/>
          <w:sz w:val="22"/>
          <w:szCs w:val="22"/>
          <w:highlight w:val="yellow"/>
          <w:lang w:val="sr-Latn-ME" w:eastAsia="hr-HR"/>
        </w:rPr>
      </w:pPr>
    </w:p>
    <w:p w:rsidR="00036270" w:rsidRPr="00B90281" w:rsidRDefault="00036270" w:rsidP="00036270">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u w:val="single"/>
          <w:lang w:val="sr-Latn-ME" w:eastAsia="hr-HR"/>
        </w:rPr>
        <w:t xml:space="preserve">Odlaganje </w:t>
      </w:r>
    </w:p>
    <w:p w:rsidR="00036270" w:rsidRPr="00B90281" w:rsidRDefault="00036270" w:rsidP="00036270">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Lijek Bortezomib Accord je samo za jednokratnu primjenu.</w:t>
      </w:r>
    </w:p>
    <w:p w:rsidR="00036270" w:rsidRPr="00B90281" w:rsidRDefault="00036270" w:rsidP="00036270">
      <w:pPr>
        <w:suppressAutoHyphens/>
        <w:autoSpaceDE w:val="0"/>
        <w:jc w:val="both"/>
        <w:rPr>
          <w:rFonts w:eastAsia="Microsoft YaHei"/>
          <w:bCs/>
          <w:color w:val="000000"/>
          <w:sz w:val="22"/>
          <w:szCs w:val="22"/>
          <w:lang w:val="sr-Latn-ME" w:eastAsia="hr-HR"/>
        </w:rPr>
      </w:pPr>
      <w:r w:rsidRPr="00B90281">
        <w:rPr>
          <w:rFonts w:eastAsia="Microsoft YaHei"/>
          <w:bCs/>
          <w:color w:val="000000"/>
          <w:sz w:val="22"/>
          <w:szCs w:val="22"/>
          <w:lang w:val="sr-Latn-ME" w:eastAsia="hr-HR"/>
        </w:rPr>
        <w:t>Neiskorišten lijek ili otpadni materijal treba odložiti u skladu sa lokalnim propisima.</w:t>
      </w:r>
    </w:p>
    <w:p w:rsidR="00036270" w:rsidRPr="00B90281" w:rsidRDefault="00036270" w:rsidP="00036270">
      <w:pPr>
        <w:tabs>
          <w:tab w:val="left" w:pos="540"/>
          <w:tab w:val="left" w:pos="569"/>
        </w:tabs>
        <w:rPr>
          <w:bCs/>
          <w:sz w:val="22"/>
          <w:szCs w:val="22"/>
          <w:lang w:val="sr-Latn-ME"/>
        </w:rPr>
      </w:pPr>
    </w:p>
    <w:p w:rsidR="0072020E" w:rsidRPr="00B90281" w:rsidRDefault="0072020E" w:rsidP="00480FB1">
      <w:pPr>
        <w:tabs>
          <w:tab w:val="left" w:pos="540"/>
          <w:tab w:val="left" w:pos="569"/>
        </w:tabs>
        <w:rPr>
          <w:bCs/>
          <w:sz w:val="22"/>
          <w:szCs w:val="22"/>
          <w:lang w:val="sr-Latn-ME"/>
        </w:rPr>
      </w:pPr>
    </w:p>
    <w:p w:rsidR="00F8570A"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7. </w:t>
      </w:r>
      <w:r w:rsidR="00480FB1" w:rsidRPr="00B90281">
        <w:rPr>
          <w:b/>
          <w:bCs/>
          <w:sz w:val="22"/>
          <w:szCs w:val="22"/>
          <w:lang w:val="sr-Latn-ME"/>
        </w:rPr>
        <w:tab/>
      </w:r>
      <w:r w:rsidRPr="00B90281">
        <w:rPr>
          <w:b/>
          <w:bCs/>
          <w:sz w:val="22"/>
          <w:szCs w:val="22"/>
          <w:lang w:val="sr-Latn-ME"/>
        </w:rPr>
        <w:t>NOSILAC DOZVOLE</w:t>
      </w:r>
      <w:r w:rsidR="00483928" w:rsidRPr="00B90281">
        <w:rPr>
          <w:b/>
          <w:bCs/>
          <w:sz w:val="22"/>
          <w:szCs w:val="22"/>
          <w:lang w:val="sr-Latn-ME"/>
        </w:rPr>
        <w:t xml:space="preserve"> </w:t>
      </w:r>
    </w:p>
    <w:p w:rsidR="00C61BE0" w:rsidRPr="00B90281" w:rsidRDefault="00C61BE0" w:rsidP="00480FB1">
      <w:pPr>
        <w:tabs>
          <w:tab w:val="left" w:pos="540"/>
          <w:tab w:val="left" w:pos="569"/>
        </w:tabs>
        <w:rPr>
          <w:bCs/>
          <w:sz w:val="22"/>
          <w:szCs w:val="22"/>
          <w:lang w:val="sr-Latn-ME"/>
        </w:rPr>
      </w:pPr>
    </w:p>
    <w:p w:rsidR="008B7E39" w:rsidRPr="00B90281" w:rsidRDefault="008B7E39" w:rsidP="008B7E39">
      <w:pPr>
        <w:tabs>
          <w:tab w:val="left" w:pos="540"/>
          <w:tab w:val="left" w:pos="569"/>
        </w:tabs>
        <w:rPr>
          <w:bCs/>
          <w:sz w:val="22"/>
          <w:szCs w:val="22"/>
          <w:lang w:val="sr-Latn-ME"/>
        </w:rPr>
      </w:pPr>
      <w:r w:rsidRPr="00B90281">
        <w:rPr>
          <w:bCs/>
          <w:sz w:val="22"/>
          <w:szCs w:val="22"/>
          <w:lang w:val="sr-Latn-ME"/>
        </w:rPr>
        <w:t>Evropa Lek Pharma d.o.o. Podgorica</w:t>
      </w:r>
    </w:p>
    <w:p w:rsidR="008B7E39" w:rsidRPr="00B90281" w:rsidRDefault="008B7E39" w:rsidP="008B7E39">
      <w:pPr>
        <w:tabs>
          <w:tab w:val="left" w:pos="540"/>
          <w:tab w:val="left" w:pos="569"/>
        </w:tabs>
        <w:rPr>
          <w:bCs/>
          <w:sz w:val="22"/>
          <w:szCs w:val="22"/>
          <w:lang w:val="sr-Latn-ME"/>
        </w:rPr>
      </w:pPr>
      <w:r w:rsidRPr="00B90281">
        <w:rPr>
          <w:bCs/>
          <w:sz w:val="22"/>
          <w:szCs w:val="22"/>
          <w:lang w:val="sr-Latn-ME"/>
        </w:rPr>
        <w:t>Kritskog odreda 4/1,</w:t>
      </w:r>
      <w:r w:rsidR="00C506AD" w:rsidRPr="00B90281">
        <w:rPr>
          <w:bCs/>
          <w:sz w:val="22"/>
          <w:szCs w:val="22"/>
          <w:lang w:val="sr-Latn-ME"/>
        </w:rPr>
        <w:t xml:space="preserve"> </w:t>
      </w:r>
      <w:r w:rsidRPr="00B90281">
        <w:rPr>
          <w:bCs/>
          <w:sz w:val="22"/>
          <w:szCs w:val="22"/>
          <w:lang w:val="sr-Latn-ME"/>
        </w:rPr>
        <w:t>81000 Podgorica,</w:t>
      </w:r>
      <w:r w:rsidR="00BD0651" w:rsidRPr="00B90281">
        <w:rPr>
          <w:bCs/>
          <w:sz w:val="22"/>
          <w:szCs w:val="22"/>
          <w:lang w:val="sr-Latn-ME"/>
        </w:rPr>
        <w:t xml:space="preserve"> </w:t>
      </w:r>
      <w:r w:rsidRPr="00B90281">
        <w:rPr>
          <w:bCs/>
          <w:sz w:val="22"/>
          <w:szCs w:val="22"/>
          <w:lang w:val="sr-Latn-ME"/>
        </w:rPr>
        <w:t>Crna Gora</w:t>
      </w:r>
    </w:p>
    <w:p w:rsidR="00C37FD7" w:rsidRDefault="00C37FD7" w:rsidP="00480FB1">
      <w:pPr>
        <w:tabs>
          <w:tab w:val="left" w:pos="540"/>
          <w:tab w:val="left" w:pos="569"/>
        </w:tabs>
        <w:rPr>
          <w:bCs/>
          <w:sz w:val="22"/>
          <w:szCs w:val="22"/>
          <w:lang w:val="sr-Latn-ME"/>
        </w:rPr>
      </w:pPr>
    </w:p>
    <w:p w:rsidR="000B3629" w:rsidRPr="00B90281" w:rsidRDefault="000B3629" w:rsidP="00480FB1">
      <w:pPr>
        <w:tabs>
          <w:tab w:val="left" w:pos="540"/>
          <w:tab w:val="left" w:pos="569"/>
        </w:tabs>
        <w:rPr>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8. </w:t>
      </w:r>
      <w:r w:rsidR="00480FB1" w:rsidRPr="00B90281">
        <w:rPr>
          <w:b/>
          <w:bCs/>
          <w:sz w:val="22"/>
          <w:szCs w:val="22"/>
          <w:lang w:val="sr-Latn-ME"/>
        </w:rPr>
        <w:tab/>
      </w:r>
      <w:r w:rsidRPr="00B90281">
        <w:rPr>
          <w:b/>
          <w:bCs/>
          <w:sz w:val="22"/>
          <w:szCs w:val="22"/>
          <w:lang w:val="sr-Latn-ME"/>
        </w:rPr>
        <w:t>BROJ DOZVOLE</w:t>
      </w:r>
      <w:r w:rsidR="008A6D43" w:rsidRPr="00B90281">
        <w:rPr>
          <w:b/>
          <w:bCs/>
          <w:sz w:val="22"/>
          <w:szCs w:val="22"/>
          <w:lang w:val="sr-Latn-ME"/>
        </w:rPr>
        <w:t xml:space="preserve"> ZA STAVLJANJE LIJEKA U PROMET</w:t>
      </w:r>
    </w:p>
    <w:p w:rsidR="0072020E" w:rsidRDefault="0072020E" w:rsidP="00480FB1">
      <w:pPr>
        <w:tabs>
          <w:tab w:val="left" w:pos="540"/>
          <w:tab w:val="left" w:pos="569"/>
        </w:tabs>
        <w:rPr>
          <w:bCs/>
          <w:sz w:val="22"/>
          <w:szCs w:val="22"/>
          <w:lang w:val="sr-Latn-ME"/>
        </w:rPr>
      </w:pPr>
    </w:p>
    <w:p w:rsidR="006B655D" w:rsidRPr="00B90281" w:rsidRDefault="006B655D" w:rsidP="00480FB1">
      <w:pPr>
        <w:tabs>
          <w:tab w:val="left" w:pos="540"/>
          <w:tab w:val="left" w:pos="569"/>
        </w:tabs>
        <w:rPr>
          <w:bCs/>
          <w:sz w:val="22"/>
          <w:szCs w:val="22"/>
          <w:lang w:val="sr-Latn-ME"/>
        </w:rPr>
      </w:pPr>
      <w:r w:rsidRPr="006B655D">
        <w:rPr>
          <w:bCs/>
          <w:sz w:val="22"/>
          <w:szCs w:val="22"/>
          <w:lang w:val="sr-Latn-ME"/>
        </w:rPr>
        <w:t>Bortezomib Accord, prašak za rastvor za injekciju, 3</w:t>
      </w:r>
      <w:r w:rsidR="00231834">
        <w:rPr>
          <w:bCs/>
          <w:sz w:val="22"/>
          <w:szCs w:val="22"/>
          <w:lang w:val="sr-Latn-ME"/>
        </w:rPr>
        <w:t>.</w:t>
      </w:r>
      <w:r w:rsidRPr="006B655D">
        <w:rPr>
          <w:bCs/>
          <w:sz w:val="22"/>
          <w:szCs w:val="22"/>
          <w:lang w:val="sr-Latn-ME"/>
        </w:rPr>
        <w:t>5</w:t>
      </w:r>
      <w:r w:rsidR="00D05B35">
        <w:rPr>
          <w:bCs/>
          <w:sz w:val="22"/>
          <w:szCs w:val="22"/>
          <w:lang w:val="sr-Latn-ME"/>
        </w:rPr>
        <w:t xml:space="preserve"> </w:t>
      </w:r>
      <w:r w:rsidRPr="006B655D">
        <w:rPr>
          <w:bCs/>
          <w:sz w:val="22"/>
          <w:szCs w:val="22"/>
          <w:lang w:val="sr-Latn-ME"/>
        </w:rPr>
        <w:t>mg, bočica, 1x3.5</w:t>
      </w:r>
      <w:r w:rsidR="00D05B35">
        <w:rPr>
          <w:bCs/>
          <w:sz w:val="22"/>
          <w:szCs w:val="22"/>
          <w:lang w:val="sr-Latn-ME"/>
        </w:rPr>
        <w:t xml:space="preserve"> </w:t>
      </w:r>
      <w:r w:rsidRPr="006B655D">
        <w:rPr>
          <w:bCs/>
          <w:sz w:val="22"/>
          <w:szCs w:val="22"/>
          <w:lang w:val="sr-Latn-ME"/>
        </w:rPr>
        <w:t>mg</w:t>
      </w:r>
      <w:r>
        <w:rPr>
          <w:bCs/>
          <w:sz w:val="22"/>
          <w:szCs w:val="22"/>
          <w:lang w:val="sr-Latn-ME"/>
        </w:rPr>
        <w:t xml:space="preserve">: </w:t>
      </w:r>
      <w:r w:rsidR="00316B50" w:rsidRPr="00316B50">
        <w:rPr>
          <w:sz w:val="22"/>
          <w:szCs w:val="22"/>
          <w:lang w:val="sr-Latn-ME"/>
        </w:rPr>
        <w:t>2030/21/429 - 4618</w:t>
      </w:r>
    </w:p>
    <w:p w:rsidR="00735E6E" w:rsidRPr="00B90281" w:rsidRDefault="00735E6E" w:rsidP="00480FB1">
      <w:pPr>
        <w:tabs>
          <w:tab w:val="left" w:pos="540"/>
          <w:tab w:val="left" w:pos="569"/>
        </w:tabs>
        <w:rPr>
          <w:bCs/>
          <w:sz w:val="22"/>
          <w:szCs w:val="22"/>
          <w:lang w:val="sr-Latn-ME"/>
        </w:rPr>
      </w:pPr>
    </w:p>
    <w:p w:rsidR="000B3629" w:rsidRDefault="000B3629" w:rsidP="00480FB1">
      <w:pPr>
        <w:tabs>
          <w:tab w:val="left" w:pos="540"/>
          <w:tab w:val="left" w:pos="569"/>
        </w:tabs>
        <w:rPr>
          <w:b/>
          <w:bCs/>
          <w:sz w:val="22"/>
          <w:szCs w:val="22"/>
          <w:lang w:val="sr-Latn-ME"/>
        </w:rPr>
      </w:pPr>
    </w:p>
    <w:p w:rsidR="0072020E" w:rsidRPr="00B90281" w:rsidRDefault="0072020E" w:rsidP="00480FB1">
      <w:pPr>
        <w:tabs>
          <w:tab w:val="left" w:pos="540"/>
          <w:tab w:val="left" w:pos="569"/>
        </w:tabs>
        <w:rPr>
          <w:b/>
          <w:bCs/>
          <w:sz w:val="22"/>
          <w:szCs w:val="22"/>
          <w:lang w:val="sr-Latn-ME"/>
        </w:rPr>
      </w:pPr>
      <w:r w:rsidRPr="00B90281">
        <w:rPr>
          <w:b/>
          <w:bCs/>
          <w:sz w:val="22"/>
          <w:szCs w:val="22"/>
          <w:lang w:val="sr-Latn-ME"/>
        </w:rPr>
        <w:t xml:space="preserve">9. </w:t>
      </w:r>
      <w:r w:rsidR="00480FB1" w:rsidRPr="00B90281">
        <w:rPr>
          <w:b/>
          <w:bCs/>
          <w:sz w:val="22"/>
          <w:szCs w:val="22"/>
          <w:lang w:val="sr-Latn-ME"/>
        </w:rPr>
        <w:tab/>
      </w:r>
      <w:r w:rsidRPr="00B90281">
        <w:rPr>
          <w:b/>
          <w:bCs/>
          <w:sz w:val="22"/>
          <w:szCs w:val="22"/>
          <w:lang w:val="sr-Latn-ME"/>
        </w:rPr>
        <w:t xml:space="preserve">DATUM </w:t>
      </w:r>
      <w:r w:rsidR="00C05DF8" w:rsidRPr="00B90281">
        <w:rPr>
          <w:b/>
          <w:bCs/>
          <w:sz w:val="22"/>
          <w:szCs w:val="22"/>
          <w:lang w:val="sr-Latn-ME"/>
        </w:rPr>
        <w:t xml:space="preserve">PRVE </w:t>
      </w:r>
      <w:r w:rsidR="008A6D43" w:rsidRPr="00B90281">
        <w:rPr>
          <w:b/>
          <w:bCs/>
          <w:sz w:val="22"/>
          <w:szCs w:val="22"/>
          <w:lang w:val="sr-Latn-ME"/>
        </w:rPr>
        <w:t>DOZVOLE</w:t>
      </w:r>
      <w:r w:rsidR="00C05DF8" w:rsidRPr="00B90281">
        <w:rPr>
          <w:b/>
          <w:bCs/>
          <w:sz w:val="22"/>
          <w:szCs w:val="22"/>
          <w:lang w:val="sr-Latn-ME"/>
        </w:rPr>
        <w:t>/OBNOVE DOZVOLE</w:t>
      </w:r>
      <w:r w:rsidR="008A6D43" w:rsidRPr="00B90281">
        <w:rPr>
          <w:b/>
          <w:bCs/>
          <w:sz w:val="22"/>
          <w:szCs w:val="22"/>
          <w:lang w:val="sr-Latn-ME"/>
        </w:rPr>
        <w:t xml:space="preserve"> ZA STAVLJANJE LIJEKA U PROMET</w:t>
      </w:r>
    </w:p>
    <w:p w:rsidR="000B3629" w:rsidRDefault="000B3629" w:rsidP="00480FB1">
      <w:pPr>
        <w:tabs>
          <w:tab w:val="left" w:pos="540"/>
          <w:tab w:val="left" w:pos="569"/>
        </w:tabs>
        <w:rPr>
          <w:bCs/>
          <w:sz w:val="22"/>
          <w:szCs w:val="22"/>
          <w:lang w:val="sr-Latn-ME"/>
        </w:rPr>
      </w:pPr>
    </w:p>
    <w:p w:rsidR="000B3629" w:rsidRDefault="006B655D" w:rsidP="000B3629">
      <w:pPr>
        <w:tabs>
          <w:tab w:val="left" w:pos="540"/>
          <w:tab w:val="left" w:pos="569"/>
        </w:tabs>
        <w:rPr>
          <w:bCs/>
          <w:sz w:val="22"/>
          <w:szCs w:val="22"/>
          <w:lang w:val="sr-Latn-ME"/>
        </w:rPr>
      </w:pPr>
      <w:r w:rsidRPr="006B655D">
        <w:rPr>
          <w:bCs/>
          <w:sz w:val="22"/>
          <w:szCs w:val="22"/>
          <w:lang w:val="sr-Latn-ME"/>
        </w:rPr>
        <w:t>Bortezomib Accord, prašak za rastvor za injekciju, 3.5</w:t>
      </w:r>
      <w:r w:rsidR="00D05B35">
        <w:rPr>
          <w:bCs/>
          <w:sz w:val="22"/>
          <w:szCs w:val="22"/>
          <w:lang w:val="sr-Latn-ME"/>
        </w:rPr>
        <w:t xml:space="preserve"> </w:t>
      </w:r>
      <w:r w:rsidRPr="006B655D">
        <w:rPr>
          <w:bCs/>
          <w:sz w:val="22"/>
          <w:szCs w:val="22"/>
          <w:lang w:val="sr-Latn-ME"/>
        </w:rPr>
        <w:t>mg, bočica, 1x3.5</w:t>
      </w:r>
      <w:r w:rsidR="00D05B35">
        <w:rPr>
          <w:bCs/>
          <w:sz w:val="22"/>
          <w:szCs w:val="22"/>
          <w:lang w:val="sr-Latn-ME"/>
        </w:rPr>
        <w:t xml:space="preserve"> </w:t>
      </w:r>
      <w:r w:rsidRPr="006B655D">
        <w:rPr>
          <w:bCs/>
          <w:sz w:val="22"/>
          <w:szCs w:val="22"/>
          <w:lang w:val="sr-Latn-ME"/>
        </w:rPr>
        <w:t>mg</w:t>
      </w:r>
      <w:r>
        <w:rPr>
          <w:bCs/>
          <w:sz w:val="22"/>
          <w:szCs w:val="22"/>
          <w:lang w:val="sr-Latn-ME"/>
        </w:rPr>
        <w:t>:</w:t>
      </w:r>
      <w:r w:rsidR="00A6038A">
        <w:rPr>
          <w:bCs/>
          <w:sz w:val="22"/>
          <w:szCs w:val="22"/>
          <w:lang w:val="sr-Latn-ME"/>
        </w:rPr>
        <w:t xml:space="preserve"> </w:t>
      </w:r>
      <w:r w:rsidR="00CF3103">
        <w:rPr>
          <w:bCs/>
          <w:sz w:val="22"/>
          <w:szCs w:val="22"/>
          <w:lang w:val="sr-Latn-ME"/>
        </w:rPr>
        <w:t>1</w:t>
      </w:r>
      <w:r w:rsidR="00316B50">
        <w:rPr>
          <w:bCs/>
          <w:sz w:val="22"/>
          <w:szCs w:val="22"/>
          <w:lang w:val="sr-Latn-ME"/>
        </w:rPr>
        <w:t>6</w:t>
      </w:r>
      <w:r w:rsidR="00A6038A" w:rsidRPr="00A6038A">
        <w:rPr>
          <w:bCs/>
          <w:sz w:val="22"/>
          <w:szCs w:val="22"/>
          <w:lang w:val="sr-Latn-ME"/>
        </w:rPr>
        <w:t>.03.2021. godine</w:t>
      </w:r>
    </w:p>
    <w:p w:rsidR="000B3629" w:rsidRDefault="000B3629" w:rsidP="000B3629">
      <w:pPr>
        <w:tabs>
          <w:tab w:val="left" w:pos="540"/>
          <w:tab w:val="left" w:pos="569"/>
        </w:tabs>
        <w:rPr>
          <w:bCs/>
          <w:sz w:val="22"/>
          <w:szCs w:val="22"/>
          <w:lang w:val="sr-Latn-ME"/>
        </w:rPr>
      </w:pPr>
      <w:bookmarkStart w:id="0" w:name="_GoBack"/>
      <w:bookmarkEnd w:id="0"/>
    </w:p>
    <w:p w:rsidR="000B3629" w:rsidRDefault="000B3629" w:rsidP="000B3629">
      <w:pPr>
        <w:tabs>
          <w:tab w:val="left" w:pos="540"/>
          <w:tab w:val="left" w:pos="569"/>
        </w:tabs>
        <w:rPr>
          <w:bCs/>
          <w:sz w:val="22"/>
          <w:szCs w:val="22"/>
          <w:lang w:val="sr-Latn-ME"/>
        </w:rPr>
      </w:pPr>
    </w:p>
    <w:p w:rsidR="003F6A59" w:rsidRPr="00B90281" w:rsidRDefault="0072020E" w:rsidP="000B3629">
      <w:pPr>
        <w:tabs>
          <w:tab w:val="left" w:pos="540"/>
          <w:tab w:val="left" w:pos="569"/>
        </w:tabs>
        <w:rPr>
          <w:bCs/>
          <w:sz w:val="22"/>
          <w:szCs w:val="22"/>
          <w:lang w:val="sr-Latn-ME"/>
        </w:rPr>
      </w:pPr>
      <w:r w:rsidRPr="00B90281">
        <w:rPr>
          <w:b/>
          <w:bCs/>
          <w:sz w:val="22"/>
          <w:szCs w:val="22"/>
          <w:lang w:val="sr-Latn-ME"/>
        </w:rPr>
        <w:t xml:space="preserve">10. </w:t>
      </w:r>
      <w:r w:rsidR="00480FB1" w:rsidRPr="00B90281">
        <w:rPr>
          <w:b/>
          <w:bCs/>
          <w:sz w:val="22"/>
          <w:szCs w:val="22"/>
          <w:lang w:val="sr-Latn-ME"/>
        </w:rPr>
        <w:tab/>
      </w:r>
      <w:r w:rsidR="002846DB" w:rsidRPr="00B90281">
        <w:rPr>
          <w:b/>
          <w:bCs/>
          <w:sz w:val="22"/>
          <w:szCs w:val="22"/>
          <w:lang w:val="sr-Latn-ME"/>
        </w:rPr>
        <w:t>D</w:t>
      </w:r>
      <w:r w:rsidR="00EC2532" w:rsidRPr="00B90281">
        <w:rPr>
          <w:b/>
          <w:bCs/>
          <w:sz w:val="22"/>
          <w:szCs w:val="22"/>
          <w:lang w:val="sr-Latn-ME"/>
        </w:rPr>
        <w:t xml:space="preserve">ATUM REVIZIJE TEKSTA </w:t>
      </w:r>
    </w:p>
    <w:p w:rsidR="003F6A59" w:rsidRPr="00B90281" w:rsidRDefault="003F6A59" w:rsidP="00480FB1">
      <w:pPr>
        <w:tabs>
          <w:tab w:val="left" w:pos="540"/>
          <w:tab w:val="left" w:pos="569"/>
        </w:tabs>
        <w:rPr>
          <w:bCs/>
          <w:sz w:val="22"/>
          <w:szCs w:val="22"/>
          <w:lang w:val="sr-Latn-ME"/>
        </w:rPr>
      </w:pPr>
    </w:p>
    <w:p w:rsidR="003F6A59" w:rsidRPr="00B90281" w:rsidRDefault="006B655D" w:rsidP="00DE3F5C">
      <w:pPr>
        <w:rPr>
          <w:sz w:val="22"/>
          <w:szCs w:val="22"/>
          <w:lang w:val="sr-Latn-ME"/>
        </w:rPr>
      </w:pPr>
      <w:r>
        <w:rPr>
          <w:sz w:val="22"/>
          <w:szCs w:val="22"/>
          <w:lang w:val="sr-Latn-ME"/>
        </w:rPr>
        <w:t>Mart, 2021. godine</w:t>
      </w:r>
    </w:p>
    <w:sectPr w:rsidR="003F6A59" w:rsidRPr="00B90281"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EA0" w:rsidRDefault="00727EA0">
      <w:r>
        <w:separator/>
      </w:r>
    </w:p>
  </w:endnote>
  <w:endnote w:type="continuationSeparator" w:id="0">
    <w:p w:rsidR="00727EA0" w:rsidRDefault="0072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8CB" w:rsidRPr="00B23F69" w:rsidRDefault="00D868C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B3629">
      <w:rPr>
        <w:noProof/>
        <w:sz w:val="22"/>
        <w:szCs w:val="22"/>
      </w:rPr>
      <w:t>35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B3629">
      <w:rPr>
        <w:noProof/>
        <w:sz w:val="22"/>
        <w:szCs w:val="22"/>
      </w:rPr>
      <w:t>36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EA0" w:rsidRDefault="00727EA0">
      <w:r>
        <w:separator/>
      </w:r>
    </w:p>
  </w:footnote>
  <w:footnote w:type="continuationSeparator" w:id="0">
    <w:p w:rsidR="00727EA0" w:rsidRDefault="0072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 o:bullet="t">
        <v:imagedata r:id="rId1" o:title="BT_1000x858px"/>
      </v:shape>
    </w:pict>
  </w:numPicBullet>
  <w:abstractNum w:abstractNumId="0" w15:restartNumberingAfterBreak="0">
    <w:nsid w:val="048215D7"/>
    <w:multiLevelType w:val="multilevel"/>
    <w:tmpl w:val="D38ADD28"/>
    <w:lvl w:ilvl="0">
      <w:start w:val="1"/>
      <w:numFmt w:val="decimal"/>
      <w:lvlText w:val="%1."/>
      <w:lvlJc w:val="left"/>
      <w:pPr>
        <w:ind w:left="360" w:hanging="360"/>
      </w:pPr>
      <w:rPr>
        <w:b/>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59474D"/>
    <w:multiLevelType w:val="hybridMultilevel"/>
    <w:tmpl w:val="5706F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6135F5"/>
    <w:multiLevelType w:val="hybridMultilevel"/>
    <w:tmpl w:val="4646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C43EE"/>
    <w:multiLevelType w:val="hybridMultilevel"/>
    <w:tmpl w:val="7006180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F1088"/>
    <w:multiLevelType w:val="hybridMultilevel"/>
    <w:tmpl w:val="E410C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EA7C5C"/>
    <w:multiLevelType w:val="hybridMultilevel"/>
    <w:tmpl w:val="3832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06923"/>
    <w:multiLevelType w:val="hybridMultilevel"/>
    <w:tmpl w:val="4470E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0322455"/>
    <w:multiLevelType w:val="hybridMultilevel"/>
    <w:tmpl w:val="BFA80A58"/>
    <w:lvl w:ilvl="0" w:tplc="54C8E0E2">
      <w:start w:val="1"/>
      <w:numFmt w:val="bullet"/>
      <w:lvlText w:val="-"/>
      <w:lvlJc w:val="left"/>
      <w:pPr>
        <w:ind w:left="720" w:hanging="360"/>
      </w:pPr>
      <w:rPr>
        <w:rFonts w:ascii="Times New Roman" w:eastAsia="TimesNew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37026C"/>
    <w:multiLevelType w:val="hybridMultilevel"/>
    <w:tmpl w:val="0DBC3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66F3D"/>
    <w:multiLevelType w:val="hybridMultilevel"/>
    <w:tmpl w:val="9ED85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0548F1"/>
    <w:multiLevelType w:val="hybridMultilevel"/>
    <w:tmpl w:val="01B86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2235F8"/>
    <w:multiLevelType w:val="hybridMultilevel"/>
    <w:tmpl w:val="572A81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931C14"/>
    <w:multiLevelType w:val="hybridMultilevel"/>
    <w:tmpl w:val="CC80F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9A6155"/>
    <w:multiLevelType w:val="hybridMultilevel"/>
    <w:tmpl w:val="72EC2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236C40"/>
    <w:multiLevelType w:val="hybridMultilevel"/>
    <w:tmpl w:val="50764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9"/>
  </w:num>
  <w:num w:numId="5">
    <w:abstractNumId w:val="10"/>
  </w:num>
  <w:num w:numId="6">
    <w:abstractNumId w:val="3"/>
  </w:num>
  <w:num w:numId="7">
    <w:abstractNumId w:val="18"/>
  </w:num>
  <w:num w:numId="8">
    <w:abstractNumId w:val="9"/>
  </w:num>
  <w:num w:numId="9">
    <w:abstractNumId w:val="13"/>
  </w:num>
  <w:num w:numId="10">
    <w:abstractNumId w:val="25"/>
  </w:num>
  <w:num w:numId="11">
    <w:abstractNumId w:val="11"/>
  </w:num>
  <w:num w:numId="12">
    <w:abstractNumId w:val="14"/>
  </w:num>
  <w:num w:numId="13">
    <w:abstractNumId w:val="17"/>
  </w:num>
  <w:num w:numId="14">
    <w:abstractNumId w:val="7"/>
  </w:num>
  <w:num w:numId="15">
    <w:abstractNumId w:val="20"/>
  </w:num>
  <w:num w:numId="16">
    <w:abstractNumId w:val="21"/>
  </w:num>
  <w:num w:numId="17">
    <w:abstractNumId w:val="16"/>
  </w:num>
  <w:num w:numId="18">
    <w:abstractNumId w:val="6"/>
  </w:num>
  <w:num w:numId="19">
    <w:abstractNumId w:val="23"/>
  </w:num>
  <w:num w:numId="20">
    <w:abstractNumId w:val="22"/>
  </w:num>
  <w:num w:numId="21">
    <w:abstractNumId w:val="12"/>
  </w:num>
  <w:num w:numId="22">
    <w:abstractNumId w:val="0"/>
  </w:num>
  <w:num w:numId="23">
    <w:abstractNumId w:val="15"/>
  </w:num>
  <w:num w:numId="24">
    <w:abstractNumId w:val="4"/>
  </w:num>
  <w:num w:numId="25">
    <w:abstractNumId w:val="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8DC"/>
    <w:rsid w:val="0001468C"/>
    <w:rsid w:val="000176CA"/>
    <w:rsid w:val="00022D95"/>
    <w:rsid w:val="000341F6"/>
    <w:rsid w:val="00036270"/>
    <w:rsid w:val="00036FA0"/>
    <w:rsid w:val="0003793F"/>
    <w:rsid w:val="00040798"/>
    <w:rsid w:val="00044F2C"/>
    <w:rsid w:val="00054C7D"/>
    <w:rsid w:val="00057E35"/>
    <w:rsid w:val="00071180"/>
    <w:rsid w:val="00073B45"/>
    <w:rsid w:val="00076726"/>
    <w:rsid w:val="00080303"/>
    <w:rsid w:val="000844C7"/>
    <w:rsid w:val="000845FB"/>
    <w:rsid w:val="000846C5"/>
    <w:rsid w:val="00095646"/>
    <w:rsid w:val="000A1CAF"/>
    <w:rsid w:val="000A3EB2"/>
    <w:rsid w:val="000A3F58"/>
    <w:rsid w:val="000B3629"/>
    <w:rsid w:val="000D2343"/>
    <w:rsid w:val="000D3449"/>
    <w:rsid w:val="000D425A"/>
    <w:rsid w:val="000D60CC"/>
    <w:rsid w:val="000E2084"/>
    <w:rsid w:val="000E6F55"/>
    <w:rsid w:val="000F77FA"/>
    <w:rsid w:val="00103CAF"/>
    <w:rsid w:val="00105F1A"/>
    <w:rsid w:val="00107BF7"/>
    <w:rsid w:val="0011164E"/>
    <w:rsid w:val="00115EDC"/>
    <w:rsid w:val="00126F53"/>
    <w:rsid w:val="00133AF7"/>
    <w:rsid w:val="0014042B"/>
    <w:rsid w:val="00140AC5"/>
    <w:rsid w:val="0014766D"/>
    <w:rsid w:val="001536CC"/>
    <w:rsid w:val="00163EE8"/>
    <w:rsid w:val="00191D7F"/>
    <w:rsid w:val="00194883"/>
    <w:rsid w:val="001A3FBA"/>
    <w:rsid w:val="001A4921"/>
    <w:rsid w:val="001A5518"/>
    <w:rsid w:val="001A551C"/>
    <w:rsid w:val="001A6189"/>
    <w:rsid w:val="001B1C6A"/>
    <w:rsid w:val="001B7148"/>
    <w:rsid w:val="001C1263"/>
    <w:rsid w:val="001C1417"/>
    <w:rsid w:val="001E390B"/>
    <w:rsid w:val="001F2C9C"/>
    <w:rsid w:val="001F303A"/>
    <w:rsid w:val="001F42FB"/>
    <w:rsid w:val="001F6AC5"/>
    <w:rsid w:val="001F719A"/>
    <w:rsid w:val="002031B3"/>
    <w:rsid w:val="0020390F"/>
    <w:rsid w:val="00204D4C"/>
    <w:rsid w:val="00206D7D"/>
    <w:rsid w:val="00215931"/>
    <w:rsid w:val="00227BDB"/>
    <w:rsid w:val="00231834"/>
    <w:rsid w:val="00234CB1"/>
    <w:rsid w:val="002352F8"/>
    <w:rsid w:val="0024053C"/>
    <w:rsid w:val="002510A5"/>
    <w:rsid w:val="00254A0A"/>
    <w:rsid w:val="002555B6"/>
    <w:rsid w:val="0025633D"/>
    <w:rsid w:val="0025680C"/>
    <w:rsid w:val="002600F2"/>
    <w:rsid w:val="00266046"/>
    <w:rsid w:val="002771E3"/>
    <w:rsid w:val="002846DB"/>
    <w:rsid w:val="00284CCD"/>
    <w:rsid w:val="002918EE"/>
    <w:rsid w:val="00292AA9"/>
    <w:rsid w:val="002C4492"/>
    <w:rsid w:val="002C6637"/>
    <w:rsid w:val="002E0135"/>
    <w:rsid w:val="002E37A5"/>
    <w:rsid w:val="00310F03"/>
    <w:rsid w:val="00311BF4"/>
    <w:rsid w:val="00315BF8"/>
    <w:rsid w:val="00316B50"/>
    <w:rsid w:val="003247D2"/>
    <w:rsid w:val="003320FD"/>
    <w:rsid w:val="00336272"/>
    <w:rsid w:val="003445C1"/>
    <w:rsid w:val="00355B61"/>
    <w:rsid w:val="00362686"/>
    <w:rsid w:val="00371510"/>
    <w:rsid w:val="00387D84"/>
    <w:rsid w:val="00396DFD"/>
    <w:rsid w:val="003A0B48"/>
    <w:rsid w:val="003A1B65"/>
    <w:rsid w:val="003A7059"/>
    <w:rsid w:val="003B7A36"/>
    <w:rsid w:val="003C17AB"/>
    <w:rsid w:val="003C7823"/>
    <w:rsid w:val="003E1DCC"/>
    <w:rsid w:val="003F5A87"/>
    <w:rsid w:val="003F698D"/>
    <w:rsid w:val="003F6A59"/>
    <w:rsid w:val="003F7CE3"/>
    <w:rsid w:val="00400414"/>
    <w:rsid w:val="00406337"/>
    <w:rsid w:val="004065C8"/>
    <w:rsid w:val="00411370"/>
    <w:rsid w:val="00411B4B"/>
    <w:rsid w:val="00415BEE"/>
    <w:rsid w:val="00417538"/>
    <w:rsid w:val="00427F85"/>
    <w:rsid w:val="00436F42"/>
    <w:rsid w:val="004378B4"/>
    <w:rsid w:val="00451314"/>
    <w:rsid w:val="00452E9D"/>
    <w:rsid w:val="004534C7"/>
    <w:rsid w:val="004671AA"/>
    <w:rsid w:val="00472958"/>
    <w:rsid w:val="00480FB1"/>
    <w:rsid w:val="004826A5"/>
    <w:rsid w:val="00483928"/>
    <w:rsid w:val="00492E10"/>
    <w:rsid w:val="004A0BB0"/>
    <w:rsid w:val="004A1694"/>
    <w:rsid w:val="004A21A7"/>
    <w:rsid w:val="004C1BA3"/>
    <w:rsid w:val="004C3077"/>
    <w:rsid w:val="004C61F5"/>
    <w:rsid w:val="004D0266"/>
    <w:rsid w:val="004D6103"/>
    <w:rsid w:val="004E3BCE"/>
    <w:rsid w:val="004F0E97"/>
    <w:rsid w:val="004F24BA"/>
    <w:rsid w:val="00515C21"/>
    <w:rsid w:val="00516184"/>
    <w:rsid w:val="00523FF2"/>
    <w:rsid w:val="00525CA4"/>
    <w:rsid w:val="00530BD7"/>
    <w:rsid w:val="00536D72"/>
    <w:rsid w:val="00545CD2"/>
    <w:rsid w:val="005476F3"/>
    <w:rsid w:val="005554D8"/>
    <w:rsid w:val="0056096C"/>
    <w:rsid w:val="00565C7F"/>
    <w:rsid w:val="00567B67"/>
    <w:rsid w:val="00572527"/>
    <w:rsid w:val="00573E40"/>
    <w:rsid w:val="00576348"/>
    <w:rsid w:val="0058434D"/>
    <w:rsid w:val="005A0B2E"/>
    <w:rsid w:val="005A125F"/>
    <w:rsid w:val="005A23D2"/>
    <w:rsid w:val="005A285F"/>
    <w:rsid w:val="005A36CB"/>
    <w:rsid w:val="005B16ED"/>
    <w:rsid w:val="005B266E"/>
    <w:rsid w:val="005B49B8"/>
    <w:rsid w:val="005C0741"/>
    <w:rsid w:val="005C5EF4"/>
    <w:rsid w:val="005C7697"/>
    <w:rsid w:val="005D3F99"/>
    <w:rsid w:val="005D5617"/>
    <w:rsid w:val="005E1B32"/>
    <w:rsid w:val="005E2E0B"/>
    <w:rsid w:val="005E625F"/>
    <w:rsid w:val="005E7A7D"/>
    <w:rsid w:val="005F1935"/>
    <w:rsid w:val="005F3558"/>
    <w:rsid w:val="006003C9"/>
    <w:rsid w:val="00605270"/>
    <w:rsid w:val="00614C55"/>
    <w:rsid w:val="006214CB"/>
    <w:rsid w:val="00632FCB"/>
    <w:rsid w:val="00635642"/>
    <w:rsid w:val="00640DA2"/>
    <w:rsid w:val="0064642C"/>
    <w:rsid w:val="00646BD1"/>
    <w:rsid w:val="00646BFE"/>
    <w:rsid w:val="00652624"/>
    <w:rsid w:val="00653A06"/>
    <w:rsid w:val="006561C2"/>
    <w:rsid w:val="00671CB3"/>
    <w:rsid w:val="00674BAF"/>
    <w:rsid w:val="00680ED7"/>
    <w:rsid w:val="00682200"/>
    <w:rsid w:val="00691ACE"/>
    <w:rsid w:val="00696038"/>
    <w:rsid w:val="006A1497"/>
    <w:rsid w:val="006B0BD1"/>
    <w:rsid w:val="006B5193"/>
    <w:rsid w:val="006B5E99"/>
    <w:rsid w:val="006B655D"/>
    <w:rsid w:val="006D20A5"/>
    <w:rsid w:val="006D37BF"/>
    <w:rsid w:val="006D3BE8"/>
    <w:rsid w:val="006E6B5D"/>
    <w:rsid w:val="006E6EB8"/>
    <w:rsid w:val="006F300B"/>
    <w:rsid w:val="00702E22"/>
    <w:rsid w:val="0071406F"/>
    <w:rsid w:val="0072020E"/>
    <w:rsid w:val="00727EA0"/>
    <w:rsid w:val="00735E6E"/>
    <w:rsid w:val="00746508"/>
    <w:rsid w:val="007619CE"/>
    <w:rsid w:val="007703F0"/>
    <w:rsid w:val="00771BFF"/>
    <w:rsid w:val="007800D6"/>
    <w:rsid w:val="007836FE"/>
    <w:rsid w:val="00784F2E"/>
    <w:rsid w:val="00786071"/>
    <w:rsid w:val="007A3ECB"/>
    <w:rsid w:val="007B66BA"/>
    <w:rsid w:val="007B7689"/>
    <w:rsid w:val="007D08D7"/>
    <w:rsid w:val="00810CDA"/>
    <w:rsid w:val="008247F1"/>
    <w:rsid w:val="00824AB9"/>
    <w:rsid w:val="00825AED"/>
    <w:rsid w:val="0083334D"/>
    <w:rsid w:val="00835763"/>
    <w:rsid w:val="00836B35"/>
    <w:rsid w:val="00843BDE"/>
    <w:rsid w:val="00864076"/>
    <w:rsid w:val="00870D7F"/>
    <w:rsid w:val="0087233F"/>
    <w:rsid w:val="00880FCC"/>
    <w:rsid w:val="00886870"/>
    <w:rsid w:val="00893849"/>
    <w:rsid w:val="0089421B"/>
    <w:rsid w:val="0089705C"/>
    <w:rsid w:val="0089768A"/>
    <w:rsid w:val="008A1D65"/>
    <w:rsid w:val="008A489E"/>
    <w:rsid w:val="008A6D43"/>
    <w:rsid w:val="008B028C"/>
    <w:rsid w:val="008B1A8D"/>
    <w:rsid w:val="008B491E"/>
    <w:rsid w:val="008B7E39"/>
    <w:rsid w:val="008C082D"/>
    <w:rsid w:val="008C1A28"/>
    <w:rsid w:val="008C2E98"/>
    <w:rsid w:val="008D1CF7"/>
    <w:rsid w:val="008D54EC"/>
    <w:rsid w:val="008E1735"/>
    <w:rsid w:val="008E49BD"/>
    <w:rsid w:val="008E53E9"/>
    <w:rsid w:val="008E5771"/>
    <w:rsid w:val="008F17BC"/>
    <w:rsid w:val="00906255"/>
    <w:rsid w:val="009079B6"/>
    <w:rsid w:val="00924154"/>
    <w:rsid w:val="0092708E"/>
    <w:rsid w:val="00927D8A"/>
    <w:rsid w:val="00932C4B"/>
    <w:rsid w:val="0094092E"/>
    <w:rsid w:val="00940B9B"/>
    <w:rsid w:val="00951943"/>
    <w:rsid w:val="00951E4F"/>
    <w:rsid w:val="0095676E"/>
    <w:rsid w:val="00956983"/>
    <w:rsid w:val="009603B8"/>
    <w:rsid w:val="00963CF0"/>
    <w:rsid w:val="00964BB1"/>
    <w:rsid w:val="009775D9"/>
    <w:rsid w:val="00983B46"/>
    <w:rsid w:val="009849DA"/>
    <w:rsid w:val="00992196"/>
    <w:rsid w:val="00997175"/>
    <w:rsid w:val="009A1847"/>
    <w:rsid w:val="009A3168"/>
    <w:rsid w:val="009A6679"/>
    <w:rsid w:val="009B062A"/>
    <w:rsid w:val="009D0C9E"/>
    <w:rsid w:val="009D49C3"/>
    <w:rsid w:val="009E4428"/>
    <w:rsid w:val="009E7C6F"/>
    <w:rsid w:val="009F1793"/>
    <w:rsid w:val="009F2D23"/>
    <w:rsid w:val="00A01D69"/>
    <w:rsid w:val="00A02335"/>
    <w:rsid w:val="00A04214"/>
    <w:rsid w:val="00A111DE"/>
    <w:rsid w:val="00A255B0"/>
    <w:rsid w:val="00A414A5"/>
    <w:rsid w:val="00A41BFC"/>
    <w:rsid w:val="00A46C9A"/>
    <w:rsid w:val="00A537A0"/>
    <w:rsid w:val="00A6038A"/>
    <w:rsid w:val="00A619F3"/>
    <w:rsid w:val="00A62A73"/>
    <w:rsid w:val="00A71C3D"/>
    <w:rsid w:val="00A759FD"/>
    <w:rsid w:val="00A76F65"/>
    <w:rsid w:val="00A818C0"/>
    <w:rsid w:val="00A87FF6"/>
    <w:rsid w:val="00A9013F"/>
    <w:rsid w:val="00A92D10"/>
    <w:rsid w:val="00A961A9"/>
    <w:rsid w:val="00AA0783"/>
    <w:rsid w:val="00AA0A3B"/>
    <w:rsid w:val="00AA624F"/>
    <w:rsid w:val="00AB50CA"/>
    <w:rsid w:val="00AC53CE"/>
    <w:rsid w:val="00AD12FC"/>
    <w:rsid w:val="00AD2193"/>
    <w:rsid w:val="00AD2CF1"/>
    <w:rsid w:val="00AD3463"/>
    <w:rsid w:val="00AF2154"/>
    <w:rsid w:val="00AF2180"/>
    <w:rsid w:val="00AF2AC7"/>
    <w:rsid w:val="00AF40E2"/>
    <w:rsid w:val="00AF6060"/>
    <w:rsid w:val="00AF74CE"/>
    <w:rsid w:val="00B01D47"/>
    <w:rsid w:val="00B208DB"/>
    <w:rsid w:val="00B2313F"/>
    <w:rsid w:val="00B23F69"/>
    <w:rsid w:val="00B34164"/>
    <w:rsid w:val="00B379B2"/>
    <w:rsid w:val="00B37D41"/>
    <w:rsid w:val="00B4298C"/>
    <w:rsid w:val="00B433E1"/>
    <w:rsid w:val="00B43DFB"/>
    <w:rsid w:val="00B4681D"/>
    <w:rsid w:val="00B47210"/>
    <w:rsid w:val="00B5677C"/>
    <w:rsid w:val="00B60619"/>
    <w:rsid w:val="00B65DCE"/>
    <w:rsid w:val="00B66A70"/>
    <w:rsid w:val="00B67366"/>
    <w:rsid w:val="00B74A9C"/>
    <w:rsid w:val="00B75909"/>
    <w:rsid w:val="00B80EE1"/>
    <w:rsid w:val="00B81E71"/>
    <w:rsid w:val="00B822EB"/>
    <w:rsid w:val="00B84135"/>
    <w:rsid w:val="00B87323"/>
    <w:rsid w:val="00B87501"/>
    <w:rsid w:val="00B90281"/>
    <w:rsid w:val="00B9511D"/>
    <w:rsid w:val="00BA0CC3"/>
    <w:rsid w:val="00BA1321"/>
    <w:rsid w:val="00BA5F0B"/>
    <w:rsid w:val="00BD0651"/>
    <w:rsid w:val="00BE682D"/>
    <w:rsid w:val="00BF5BFE"/>
    <w:rsid w:val="00C04D34"/>
    <w:rsid w:val="00C05DF8"/>
    <w:rsid w:val="00C06864"/>
    <w:rsid w:val="00C0728C"/>
    <w:rsid w:val="00C07CFB"/>
    <w:rsid w:val="00C07D90"/>
    <w:rsid w:val="00C10F54"/>
    <w:rsid w:val="00C10F83"/>
    <w:rsid w:val="00C213D2"/>
    <w:rsid w:val="00C23D8D"/>
    <w:rsid w:val="00C37AA3"/>
    <w:rsid w:val="00C37FD7"/>
    <w:rsid w:val="00C43419"/>
    <w:rsid w:val="00C44CF3"/>
    <w:rsid w:val="00C506AD"/>
    <w:rsid w:val="00C51BF6"/>
    <w:rsid w:val="00C569B1"/>
    <w:rsid w:val="00C57C5B"/>
    <w:rsid w:val="00C60D98"/>
    <w:rsid w:val="00C61BE0"/>
    <w:rsid w:val="00C7058E"/>
    <w:rsid w:val="00C70B0E"/>
    <w:rsid w:val="00C728AC"/>
    <w:rsid w:val="00C76B22"/>
    <w:rsid w:val="00C773CA"/>
    <w:rsid w:val="00C81D65"/>
    <w:rsid w:val="00C83785"/>
    <w:rsid w:val="00C87078"/>
    <w:rsid w:val="00C93584"/>
    <w:rsid w:val="00C93865"/>
    <w:rsid w:val="00C94C0D"/>
    <w:rsid w:val="00CA1FEB"/>
    <w:rsid w:val="00CB4A4B"/>
    <w:rsid w:val="00CD4F85"/>
    <w:rsid w:val="00CD6F02"/>
    <w:rsid w:val="00CE1599"/>
    <w:rsid w:val="00CE2233"/>
    <w:rsid w:val="00CE246D"/>
    <w:rsid w:val="00CF07A0"/>
    <w:rsid w:val="00CF3103"/>
    <w:rsid w:val="00CF3E03"/>
    <w:rsid w:val="00D0082A"/>
    <w:rsid w:val="00D02B3B"/>
    <w:rsid w:val="00D05B35"/>
    <w:rsid w:val="00D21455"/>
    <w:rsid w:val="00D223D1"/>
    <w:rsid w:val="00D30409"/>
    <w:rsid w:val="00D31597"/>
    <w:rsid w:val="00D3545B"/>
    <w:rsid w:val="00D413D2"/>
    <w:rsid w:val="00D45B76"/>
    <w:rsid w:val="00D4723D"/>
    <w:rsid w:val="00D47634"/>
    <w:rsid w:val="00D52466"/>
    <w:rsid w:val="00D6101D"/>
    <w:rsid w:val="00D67338"/>
    <w:rsid w:val="00D709B3"/>
    <w:rsid w:val="00D7317C"/>
    <w:rsid w:val="00D76BC7"/>
    <w:rsid w:val="00D800C8"/>
    <w:rsid w:val="00D81B61"/>
    <w:rsid w:val="00D84036"/>
    <w:rsid w:val="00D847FD"/>
    <w:rsid w:val="00D868CB"/>
    <w:rsid w:val="00D926E6"/>
    <w:rsid w:val="00D92715"/>
    <w:rsid w:val="00D9456B"/>
    <w:rsid w:val="00D967A2"/>
    <w:rsid w:val="00D9724C"/>
    <w:rsid w:val="00DA2ED6"/>
    <w:rsid w:val="00DB30D6"/>
    <w:rsid w:val="00DB62AA"/>
    <w:rsid w:val="00DB76B8"/>
    <w:rsid w:val="00DC2EA1"/>
    <w:rsid w:val="00DC45E9"/>
    <w:rsid w:val="00DD07D2"/>
    <w:rsid w:val="00DD1857"/>
    <w:rsid w:val="00DD6AAF"/>
    <w:rsid w:val="00DD6C78"/>
    <w:rsid w:val="00DE3F5C"/>
    <w:rsid w:val="00DE5659"/>
    <w:rsid w:val="00DF1D20"/>
    <w:rsid w:val="00DF5116"/>
    <w:rsid w:val="00DF57D1"/>
    <w:rsid w:val="00E21324"/>
    <w:rsid w:val="00E246B9"/>
    <w:rsid w:val="00E31FEA"/>
    <w:rsid w:val="00E44BCF"/>
    <w:rsid w:val="00E45169"/>
    <w:rsid w:val="00E47787"/>
    <w:rsid w:val="00E51C30"/>
    <w:rsid w:val="00E54291"/>
    <w:rsid w:val="00E54900"/>
    <w:rsid w:val="00E64180"/>
    <w:rsid w:val="00E710F2"/>
    <w:rsid w:val="00E74AEE"/>
    <w:rsid w:val="00E826BF"/>
    <w:rsid w:val="00E84963"/>
    <w:rsid w:val="00E868E5"/>
    <w:rsid w:val="00E9237A"/>
    <w:rsid w:val="00E939FA"/>
    <w:rsid w:val="00EA2FA5"/>
    <w:rsid w:val="00EA5765"/>
    <w:rsid w:val="00EA6F31"/>
    <w:rsid w:val="00EB1062"/>
    <w:rsid w:val="00EC23D1"/>
    <w:rsid w:val="00EC2532"/>
    <w:rsid w:val="00EC7967"/>
    <w:rsid w:val="00ED7812"/>
    <w:rsid w:val="00EE61EB"/>
    <w:rsid w:val="00EE68C7"/>
    <w:rsid w:val="00EF3B86"/>
    <w:rsid w:val="00EF6679"/>
    <w:rsid w:val="00F23BBF"/>
    <w:rsid w:val="00F27EF7"/>
    <w:rsid w:val="00F317E9"/>
    <w:rsid w:val="00F34554"/>
    <w:rsid w:val="00F3753B"/>
    <w:rsid w:val="00F45F77"/>
    <w:rsid w:val="00F5167F"/>
    <w:rsid w:val="00F52258"/>
    <w:rsid w:val="00F63A43"/>
    <w:rsid w:val="00F6569C"/>
    <w:rsid w:val="00F71C77"/>
    <w:rsid w:val="00F8570A"/>
    <w:rsid w:val="00F91C7B"/>
    <w:rsid w:val="00F967E8"/>
    <w:rsid w:val="00F97456"/>
    <w:rsid w:val="00FA3ECA"/>
    <w:rsid w:val="00FB109A"/>
    <w:rsid w:val="00FB2946"/>
    <w:rsid w:val="00FC3168"/>
    <w:rsid w:val="00FC692B"/>
    <w:rsid w:val="00FD4B39"/>
    <w:rsid w:val="00FE1CD1"/>
    <w:rsid w:val="00FE2D6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8218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numbering" w:customStyle="1" w:styleId="NoList1">
    <w:name w:val="No List1"/>
    <w:next w:val="NoList"/>
    <w:uiPriority w:val="99"/>
    <w:semiHidden/>
    <w:unhideWhenUsed/>
    <w:rsid w:val="006B5E99"/>
  </w:style>
  <w:style w:type="paragraph" w:customStyle="1" w:styleId="Heading">
    <w:name w:val="Heading"/>
    <w:basedOn w:val="Normal"/>
    <w:next w:val="BodyText"/>
    <w:rsid w:val="006B5E99"/>
    <w:pPr>
      <w:keepNext/>
      <w:suppressAutoHyphens/>
      <w:spacing w:before="240" w:after="120" w:line="276" w:lineRule="auto"/>
    </w:pPr>
    <w:rPr>
      <w:rFonts w:ascii="Liberation Sans" w:eastAsia="Microsoft YaHei" w:hAnsi="Liberation Sans" w:cs="Mangal"/>
      <w:sz w:val="28"/>
      <w:szCs w:val="28"/>
      <w:lang w:val="hr-HR" w:eastAsia="zh-CN"/>
    </w:rPr>
  </w:style>
  <w:style w:type="paragraph" w:styleId="BodyText">
    <w:name w:val="Body Text"/>
    <w:basedOn w:val="Normal"/>
    <w:link w:val="BodyTextChar"/>
    <w:rsid w:val="006B5E99"/>
    <w:pPr>
      <w:suppressAutoHyphens/>
      <w:spacing w:after="140" w:line="288" w:lineRule="auto"/>
    </w:pPr>
    <w:rPr>
      <w:rFonts w:ascii="Calibri" w:eastAsia="Calibri" w:hAnsi="Calibri"/>
      <w:sz w:val="22"/>
      <w:szCs w:val="22"/>
      <w:lang w:val="hr-HR" w:eastAsia="zh-CN"/>
    </w:rPr>
  </w:style>
  <w:style w:type="character" w:customStyle="1" w:styleId="BodyTextChar">
    <w:name w:val="Body Text Char"/>
    <w:basedOn w:val="DefaultParagraphFont"/>
    <w:link w:val="BodyText"/>
    <w:rsid w:val="006B5E99"/>
    <w:rPr>
      <w:rFonts w:ascii="Calibri" w:eastAsia="Calibri" w:hAnsi="Calibri"/>
      <w:sz w:val="22"/>
      <w:szCs w:val="22"/>
      <w:lang w:val="hr-HR" w:eastAsia="zh-CN"/>
    </w:rPr>
  </w:style>
  <w:style w:type="paragraph" w:styleId="List">
    <w:name w:val="List"/>
    <w:basedOn w:val="BodyText"/>
    <w:rsid w:val="006B5E99"/>
    <w:rPr>
      <w:rFonts w:cs="Mangal"/>
    </w:rPr>
  </w:style>
  <w:style w:type="paragraph" w:styleId="Caption">
    <w:name w:val="caption"/>
    <w:basedOn w:val="Normal"/>
    <w:qFormat/>
    <w:rsid w:val="006B5E99"/>
    <w:pPr>
      <w:suppressLineNumbers/>
      <w:suppressAutoHyphens/>
      <w:spacing w:before="120" w:after="120" w:line="276" w:lineRule="auto"/>
    </w:pPr>
    <w:rPr>
      <w:rFonts w:ascii="Calibri" w:eastAsia="Calibri" w:hAnsi="Calibri" w:cs="Mangal"/>
      <w:i/>
      <w:iCs/>
      <w:lang w:val="hr-HR" w:eastAsia="zh-CN"/>
    </w:rPr>
  </w:style>
  <w:style w:type="paragraph" w:customStyle="1" w:styleId="Index">
    <w:name w:val="Index"/>
    <w:basedOn w:val="Normal"/>
    <w:rsid w:val="006B5E99"/>
    <w:pPr>
      <w:suppressLineNumbers/>
      <w:suppressAutoHyphens/>
      <w:spacing w:after="200" w:line="276" w:lineRule="auto"/>
    </w:pPr>
    <w:rPr>
      <w:rFonts w:ascii="Calibri" w:eastAsia="Calibri" w:hAnsi="Calibri" w:cs="Mangal"/>
      <w:sz w:val="22"/>
      <w:szCs w:val="22"/>
      <w:lang w:val="hr-HR" w:eastAsia="zh-CN"/>
    </w:rPr>
  </w:style>
  <w:style w:type="paragraph" w:customStyle="1" w:styleId="TableContents">
    <w:name w:val="Table Contents"/>
    <w:basedOn w:val="Normal"/>
    <w:rsid w:val="006B5E99"/>
    <w:pPr>
      <w:suppressLineNumbers/>
      <w:suppressAutoHyphens/>
      <w:spacing w:after="200" w:line="276" w:lineRule="auto"/>
    </w:pPr>
    <w:rPr>
      <w:rFonts w:ascii="Calibri" w:eastAsia="Calibri" w:hAnsi="Calibri"/>
      <w:sz w:val="22"/>
      <w:szCs w:val="22"/>
      <w:lang w:val="hr-HR" w:eastAsia="zh-CN"/>
    </w:rPr>
  </w:style>
  <w:style w:type="paragraph" w:customStyle="1" w:styleId="TableHeading">
    <w:name w:val="Table Heading"/>
    <w:basedOn w:val="TableContents"/>
    <w:rsid w:val="006B5E99"/>
    <w:pPr>
      <w:jc w:val="center"/>
    </w:pPr>
    <w:rPr>
      <w:b/>
      <w:bCs/>
    </w:rPr>
  </w:style>
  <w:style w:type="character" w:customStyle="1" w:styleId="BalloonTextChar">
    <w:name w:val="Balloon Text Char"/>
    <w:link w:val="BalloonText"/>
    <w:uiPriority w:val="99"/>
    <w:semiHidden/>
    <w:rsid w:val="006B5E99"/>
    <w:rPr>
      <w:rFonts w:ascii="Tahoma" w:hAnsi="Tahoma" w:cs="Tahoma"/>
      <w:sz w:val="16"/>
      <w:szCs w:val="16"/>
      <w:lang w:val="en-US" w:eastAsia="en-US"/>
    </w:rPr>
  </w:style>
  <w:style w:type="character" w:customStyle="1" w:styleId="HeaderChar">
    <w:name w:val="Header Char"/>
    <w:link w:val="Header"/>
    <w:uiPriority w:val="99"/>
    <w:rsid w:val="006B5E99"/>
    <w:rPr>
      <w:sz w:val="24"/>
      <w:szCs w:val="24"/>
      <w:lang w:val="en-US" w:eastAsia="en-US"/>
    </w:rPr>
  </w:style>
  <w:style w:type="character" w:customStyle="1" w:styleId="FooterChar">
    <w:name w:val="Footer Char"/>
    <w:link w:val="Footer"/>
    <w:uiPriority w:val="99"/>
    <w:rsid w:val="006B5E99"/>
    <w:rPr>
      <w:sz w:val="24"/>
      <w:szCs w:val="24"/>
      <w:lang w:val="en-US" w:eastAsia="en-US"/>
    </w:rPr>
  </w:style>
  <w:style w:type="character" w:styleId="Hyperlink">
    <w:name w:val="Hyperlink"/>
    <w:uiPriority w:val="99"/>
    <w:unhideWhenUsed/>
    <w:rsid w:val="006B5E99"/>
    <w:rPr>
      <w:color w:val="0000FF"/>
      <w:u w:val="single"/>
    </w:rPr>
  </w:style>
  <w:style w:type="character" w:customStyle="1" w:styleId="Heading2Char">
    <w:name w:val="Heading 2 Char"/>
    <w:link w:val="Heading2"/>
    <w:rsid w:val="006B5E99"/>
    <w:rPr>
      <w:rFonts w:ascii="Arial" w:hAnsi="Arial" w:cs="Arial"/>
      <w:i/>
      <w:iCs/>
      <w:color w:val="999999"/>
      <w:sz w:val="18"/>
      <w:szCs w:val="24"/>
      <w:lang w:val="en-US" w:eastAsia="en-US"/>
    </w:rPr>
  </w:style>
  <w:style w:type="numbering" w:customStyle="1" w:styleId="NoList2">
    <w:name w:val="No List2"/>
    <w:next w:val="NoList"/>
    <w:uiPriority w:val="99"/>
    <w:semiHidden/>
    <w:unhideWhenUsed/>
    <w:rsid w:val="00FB109A"/>
  </w:style>
  <w:style w:type="numbering" w:customStyle="1" w:styleId="NoList3">
    <w:name w:val="No List3"/>
    <w:next w:val="NoList"/>
    <w:uiPriority w:val="99"/>
    <w:semiHidden/>
    <w:unhideWhenUsed/>
    <w:rsid w:val="00B37D41"/>
  </w:style>
  <w:style w:type="numbering" w:customStyle="1" w:styleId="NoList4">
    <w:name w:val="No List4"/>
    <w:next w:val="NoList"/>
    <w:uiPriority w:val="99"/>
    <w:semiHidden/>
    <w:unhideWhenUsed/>
    <w:rsid w:val="00CE1599"/>
  </w:style>
  <w:style w:type="table" w:styleId="TableGrid">
    <w:name w:val="Table Grid"/>
    <w:basedOn w:val="TableNormal"/>
    <w:uiPriority w:val="59"/>
    <w:rsid w:val="00CE1599"/>
    <w:rPr>
      <w:rFonts w:ascii="Liberation Sans" w:eastAsia="Liberation Sans" w:hAnsi="Liberation Sans" w:cs="Liberation San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9768A"/>
  </w:style>
  <w:style w:type="paragraph" w:customStyle="1" w:styleId="Default">
    <w:name w:val="Default"/>
    <w:rsid w:val="00FB2946"/>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DD1A-8EBE-416A-B299-6FF777E7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36</Pages>
  <Words>17616</Words>
  <Characters>100413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117794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Tatjana Banković</cp:lastModifiedBy>
  <cp:revision>22</cp:revision>
  <dcterms:created xsi:type="dcterms:W3CDTF">2021-03-04T08:11:00Z</dcterms:created>
  <dcterms:modified xsi:type="dcterms:W3CDTF">2021-03-16T07:26:00Z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