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C4FD7" w14:textId="0839C2C7" w:rsidR="00DD2A82" w:rsidRPr="00711E68" w:rsidRDefault="00DD2A82" w:rsidP="00711E68">
      <w:pPr>
        <w:rPr>
          <w:szCs w:val="22"/>
          <w:lang w:val="sr-Latn-RS"/>
        </w:rPr>
      </w:pPr>
    </w:p>
    <w:p w14:paraId="2C7FC086" w14:textId="70FD3023" w:rsidR="00CE09F3" w:rsidRPr="00711E68" w:rsidRDefault="00CE09F3" w:rsidP="00711E68">
      <w:pPr>
        <w:jc w:val="center"/>
        <w:rPr>
          <w:b/>
          <w:bCs/>
          <w:iCs/>
          <w:szCs w:val="22"/>
          <w:u w:val="single"/>
          <w:lang w:val="sr-Latn-RS"/>
        </w:rPr>
      </w:pPr>
      <w:r w:rsidRPr="00711E68">
        <w:rPr>
          <w:b/>
          <w:bCs/>
          <w:iCs/>
          <w:szCs w:val="22"/>
          <w:u w:val="single"/>
          <w:lang w:val="sr-Latn-RS"/>
        </w:rPr>
        <w:t>SAŽETAK KARAKTERISTIKA L</w:t>
      </w:r>
      <w:r w:rsidR="002152EF" w:rsidRPr="00711E68">
        <w:rPr>
          <w:b/>
          <w:bCs/>
          <w:iCs/>
          <w:szCs w:val="22"/>
          <w:u w:val="single"/>
          <w:lang w:val="sr-Latn-RS"/>
        </w:rPr>
        <w:t>IJ</w:t>
      </w:r>
      <w:r w:rsidRPr="00711E68">
        <w:rPr>
          <w:b/>
          <w:bCs/>
          <w:iCs/>
          <w:szCs w:val="22"/>
          <w:u w:val="single"/>
          <w:lang w:val="sr-Latn-RS"/>
        </w:rPr>
        <w:t>EKA</w:t>
      </w:r>
    </w:p>
    <w:p w14:paraId="3C09B137" w14:textId="77777777" w:rsidR="00383195" w:rsidRPr="00711E68" w:rsidRDefault="003E3EC7" w:rsidP="00711E68">
      <w:pPr>
        <w:rPr>
          <w:szCs w:val="22"/>
          <w:lang w:val="sr-Latn-RS"/>
        </w:rPr>
      </w:pPr>
      <w:r w:rsidRPr="00711E68">
        <w:rPr>
          <w:szCs w:val="22"/>
          <w:lang w:val="sr-Latn-RS"/>
        </w:rPr>
        <w:t xml:space="preserve"> </w:t>
      </w:r>
    </w:p>
    <w:p w14:paraId="7E6175BD" w14:textId="77777777" w:rsidR="00F745AA" w:rsidRPr="00711E68" w:rsidRDefault="00F745AA" w:rsidP="00711E68">
      <w:pPr>
        <w:rPr>
          <w:szCs w:val="22"/>
          <w:lang w:val="sr-Latn-RS"/>
        </w:rPr>
      </w:pPr>
    </w:p>
    <w:p w14:paraId="20439AC5" w14:textId="3BFB86BD" w:rsidR="00E50CD3" w:rsidRPr="00711E68" w:rsidRDefault="009946F8" w:rsidP="00711E68">
      <w:pPr>
        <w:rPr>
          <w:bCs/>
          <w:szCs w:val="22"/>
          <w:lang w:val="sr-Latn-RS"/>
        </w:rPr>
      </w:pPr>
      <w:r w:rsidRPr="00711E68">
        <w:rPr>
          <w:bCs/>
          <w:noProof/>
          <w:szCs w:val="22"/>
        </w:rPr>
        <w:drawing>
          <wp:inline distT="0" distB="0" distL="0" distR="0" wp14:anchorId="71B469EB" wp14:editId="31504905">
            <wp:extent cx="200025" cy="171450"/>
            <wp:effectExtent l="19050" t="0" r="9525" b="0"/>
            <wp:docPr id="2"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00E50CD3" w:rsidRPr="00711E68">
        <w:rPr>
          <w:bCs/>
          <w:szCs w:val="22"/>
          <w:lang w:val="sr-Latn-RS"/>
        </w:rPr>
        <w:t xml:space="preserve"> Ovaj l</w:t>
      </w:r>
      <w:r w:rsidR="002152EF" w:rsidRPr="00711E68">
        <w:rPr>
          <w:bCs/>
          <w:szCs w:val="22"/>
          <w:lang w:val="sr-Latn-RS"/>
        </w:rPr>
        <w:t>ij</w:t>
      </w:r>
      <w:r w:rsidR="00E50CD3" w:rsidRPr="00711E68">
        <w:rPr>
          <w:bCs/>
          <w:szCs w:val="22"/>
          <w:lang w:val="sr-Latn-RS"/>
        </w:rPr>
        <w:t>ek je pod dodatnim praćenjem. Time se omogućava brzo otkrivanje novih bezb</w:t>
      </w:r>
      <w:r w:rsidR="002152EF" w:rsidRPr="00711E68">
        <w:rPr>
          <w:bCs/>
          <w:szCs w:val="22"/>
          <w:lang w:val="sr-Latn-RS"/>
        </w:rPr>
        <w:t>j</w:t>
      </w:r>
      <w:r w:rsidR="00E50CD3" w:rsidRPr="00711E68">
        <w:rPr>
          <w:bCs/>
          <w:szCs w:val="22"/>
          <w:lang w:val="sr-Latn-RS"/>
        </w:rPr>
        <w:t>ednosnih informacija. Zdravstveni radnici treba da prijave svaku sumnju na neželjen</w:t>
      </w:r>
      <w:r w:rsidR="0015240F" w:rsidRPr="00711E68">
        <w:rPr>
          <w:bCs/>
          <w:szCs w:val="22"/>
          <w:lang w:val="sr-Latn-RS"/>
        </w:rPr>
        <w:t>o dejstvo</w:t>
      </w:r>
      <w:r w:rsidR="00E50CD3" w:rsidRPr="00711E68">
        <w:rPr>
          <w:bCs/>
          <w:szCs w:val="22"/>
          <w:lang w:val="sr-Latn-RS"/>
        </w:rPr>
        <w:t xml:space="preserve"> ov</w:t>
      </w:r>
      <w:r w:rsidR="0015240F" w:rsidRPr="00711E68">
        <w:rPr>
          <w:bCs/>
          <w:szCs w:val="22"/>
          <w:lang w:val="sr-Latn-RS"/>
        </w:rPr>
        <w:t>og</w:t>
      </w:r>
      <w:r w:rsidR="00E50CD3" w:rsidRPr="00711E68">
        <w:rPr>
          <w:bCs/>
          <w:szCs w:val="22"/>
          <w:lang w:val="sr-Latn-RS"/>
        </w:rPr>
        <w:t xml:space="preserve"> l</w:t>
      </w:r>
      <w:r w:rsidR="002152EF" w:rsidRPr="00711E68">
        <w:rPr>
          <w:bCs/>
          <w:szCs w:val="22"/>
          <w:lang w:val="sr-Latn-RS"/>
        </w:rPr>
        <w:t>ij</w:t>
      </w:r>
      <w:r w:rsidR="00E50CD3" w:rsidRPr="00711E68">
        <w:rPr>
          <w:bCs/>
          <w:szCs w:val="22"/>
          <w:lang w:val="sr-Latn-RS"/>
        </w:rPr>
        <w:t>ek</w:t>
      </w:r>
      <w:r w:rsidR="0015240F" w:rsidRPr="00711E68">
        <w:rPr>
          <w:bCs/>
          <w:szCs w:val="22"/>
          <w:lang w:val="sr-Latn-RS"/>
        </w:rPr>
        <w:t>a</w:t>
      </w:r>
      <w:r w:rsidR="00E50CD3" w:rsidRPr="00711E68">
        <w:rPr>
          <w:bCs/>
          <w:szCs w:val="22"/>
          <w:lang w:val="sr-Latn-RS"/>
        </w:rPr>
        <w:t xml:space="preserve">. Za način prijavljivanja neželjenih </w:t>
      </w:r>
      <w:r w:rsidR="0015240F" w:rsidRPr="00711E68">
        <w:rPr>
          <w:bCs/>
          <w:szCs w:val="22"/>
          <w:lang w:val="sr-Latn-RS"/>
        </w:rPr>
        <w:t>dejstava</w:t>
      </w:r>
      <w:r w:rsidR="00E50CD3" w:rsidRPr="00711E68">
        <w:rPr>
          <w:bCs/>
          <w:szCs w:val="22"/>
          <w:lang w:val="sr-Latn-RS"/>
        </w:rPr>
        <w:t xml:space="preserve"> vid</w:t>
      </w:r>
      <w:r w:rsidR="00355380" w:rsidRPr="00711E68">
        <w:rPr>
          <w:bCs/>
          <w:szCs w:val="22"/>
          <w:lang w:val="sr-Latn-RS"/>
        </w:rPr>
        <w:t>j</w:t>
      </w:r>
      <w:r w:rsidR="00E50CD3" w:rsidRPr="00711E68">
        <w:rPr>
          <w:bCs/>
          <w:szCs w:val="22"/>
          <w:lang w:val="sr-Latn-RS"/>
        </w:rPr>
        <w:t xml:space="preserve">eti </w:t>
      </w:r>
      <w:r w:rsidR="00355380" w:rsidRPr="00711E68">
        <w:rPr>
          <w:bCs/>
          <w:szCs w:val="22"/>
          <w:lang w:val="sr-Latn-RS"/>
        </w:rPr>
        <w:t>dio</w:t>
      </w:r>
      <w:r w:rsidR="00E50CD3" w:rsidRPr="00711E68">
        <w:rPr>
          <w:bCs/>
          <w:szCs w:val="22"/>
          <w:lang w:val="sr-Latn-RS"/>
        </w:rPr>
        <w:t xml:space="preserve"> 4.8.</w:t>
      </w:r>
    </w:p>
    <w:p w14:paraId="5C9528CC" w14:textId="7DF3AF40" w:rsidR="00CE09F3" w:rsidRPr="00711E68" w:rsidRDefault="00CE09F3" w:rsidP="00711E68">
      <w:pPr>
        <w:rPr>
          <w:b/>
          <w:bCs/>
          <w:szCs w:val="22"/>
          <w:lang w:val="sr-Latn-RS"/>
        </w:rPr>
      </w:pPr>
    </w:p>
    <w:p w14:paraId="08971C25" w14:textId="77777777" w:rsidR="00853870" w:rsidRPr="00711E68" w:rsidRDefault="00853870" w:rsidP="00711E68">
      <w:pPr>
        <w:rPr>
          <w:b/>
          <w:bCs/>
          <w:szCs w:val="22"/>
          <w:lang w:val="sr-Latn-RS"/>
        </w:rPr>
      </w:pPr>
    </w:p>
    <w:p w14:paraId="614AF18D" w14:textId="6046BBB2" w:rsidR="00CE09F3" w:rsidRPr="00711E68" w:rsidRDefault="00CE09F3" w:rsidP="00711E68">
      <w:pPr>
        <w:pStyle w:val="NASLOV123"/>
        <w:spacing w:before="0" w:after="0"/>
        <w:rPr>
          <w:lang w:val="sr-Latn-RS"/>
        </w:rPr>
      </w:pPr>
      <w:r w:rsidRPr="00711E68">
        <w:rPr>
          <w:lang w:val="sr-Latn-RS"/>
        </w:rPr>
        <w:t xml:space="preserve">1. </w:t>
      </w:r>
      <w:r w:rsidR="002152EF" w:rsidRPr="00711E68">
        <w:rPr>
          <w:lang w:val="sr-Latn-RS"/>
        </w:rPr>
        <w:t>NAZIV</w:t>
      </w:r>
      <w:r w:rsidRPr="00711E68">
        <w:rPr>
          <w:lang w:val="sr-Latn-RS"/>
        </w:rPr>
        <w:t xml:space="preserve"> L</w:t>
      </w:r>
      <w:r w:rsidR="002152EF" w:rsidRPr="00711E68">
        <w:rPr>
          <w:lang w:val="sr-Latn-RS"/>
        </w:rPr>
        <w:t>IJ</w:t>
      </w:r>
      <w:r w:rsidRPr="00711E68">
        <w:rPr>
          <w:lang w:val="sr-Latn-RS"/>
        </w:rPr>
        <w:t>EKA</w:t>
      </w:r>
    </w:p>
    <w:p w14:paraId="7047E3F6" w14:textId="0D4C23ED" w:rsidR="00CE09F3" w:rsidRPr="00711E68" w:rsidRDefault="00CE09F3" w:rsidP="00711E68">
      <w:pPr>
        <w:rPr>
          <w:bCs/>
          <w:i/>
          <w:iCs/>
          <w:szCs w:val="22"/>
          <w:lang w:val="sr-Latn-RS"/>
        </w:rPr>
      </w:pPr>
    </w:p>
    <w:p w14:paraId="3D0B013B" w14:textId="5790CC84" w:rsidR="00F745AA" w:rsidRPr="00711E68" w:rsidRDefault="00F745AA" w:rsidP="00711E68">
      <w:pPr>
        <w:rPr>
          <w:bCs/>
          <w:iCs/>
          <w:szCs w:val="22"/>
          <w:lang w:val="sr-Latn-RS"/>
        </w:rPr>
      </w:pPr>
      <w:r w:rsidRPr="00711E68">
        <w:rPr>
          <w:bCs/>
          <w:iCs/>
          <w:szCs w:val="22"/>
          <w:lang w:val="sr-Latn-RS"/>
        </w:rPr>
        <w:t>Skyrizi</w:t>
      </w:r>
      <w:r w:rsidR="00170C26" w:rsidRPr="00711E68">
        <w:rPr>
          <w:bCs/>
          <w:iCs/>
          <w:szCs w:val="22"/>
          <w:lang w:val="sr-Latn-RS"/>
        </w:rPr>
        <w:t>,</w:t>
      </w:r>
      <w:r w:rsidR="00A563E5" w:rsidRPr="00711E68">
        <w:rPr>
          <w:bCs/>
          <w:iCs/>
          <w:szCs w:val="22"/>
          <w:lang w:val="sr-Latn-RS"/>
        </w:rPr>
        <w:t xml:space="preserve"> rastv</w:t>
      </w:r>
      <w:r w:rsidRPr="00711E68">
        <w:rPr>
          <w:bCs/>
          <w:iCs/>
          <w:szCs w:val="22"/>
          <w:lang w:val="sr-Latn-RS"/>
        </w:rPr>
        <w:t>or za injekciju u napunjenom injekcionom špricu</w:t>
      </w:r>
      <w:r w:rsidR="00F85A9E" w:rsidRPr="00711E68">
        <w:rPr>
          <w:bCs/>
          <w:iCs/>
          <w:szCs w:val="22"/>
          <w:lang w:val="sr-Latn-RS"/>
        </w:rPr>
        <w:t>,</w:t>
      </w:r>
      <w:r w:rsidR="002105B6" w:rsidRPr="00711E68">
        <w:rPr>
          <w:bCs/>
          <w:iCs/>
          <w:szCs w:val="22"/>
          <w:lang w:val="sr-Latn-RS"/>
        </w:rPr>
        <w:t xml:space="preserve"> </w:t>
      </w:r>
      <w:r w:rsidR="00F85A9E" w:rsidRPr="00711E68">
        <w:rPr>
          <w:bCs/>
          <w:iCs/>
          <w:szCs w:val="22"/>
          <w:lang w:val="sr-Latn-RS"/>
        </w:rPr>
        <w:t>75</w:t>
      </w:r>
      <w:r w:rsidR="002105B6" w:rsidRPr="00711E68">
        <w:rPr>
          <w:bCs/>
          <w:iCs/>
          <w:szCs w:val="22"/>
          <w:lang w:val="sr-Latn-RS"/>
        </w:rPr>
        <w:t xml:space="preserve"> </w:t>
      </w:r>
      <w:r w:rsidR="00F85A9E" w:rsidRPr="00711E68">
        <w:rPr>
          <w:bCs/>
          <w:iCs/>
          <w:szCs w:val="22"/>
          <w:lang w:val="sr-Latn-RS"/>
        </w:rPr>
        <w:t>mg/</w:t>
      </w:r>
      <w:r w:rsidR="004A1F64" w:rsidRPr="00711E68">
        <w:rPr>
          <w:bCs/>
          <w:iCs/>
          <w:szCs w:val="22"/>
          <w:lang w:val="sr-Latn-RS"/>
        </w:rPr>
        <w:t>0.83</w:t>
      </w:r>
      <w:r w:rsidR="002105B6" w:rsidRPr="00711E68">
        <w:rPr>
          <w:bCs/>
          <w:iCs/>
          <w:szCs w:val="22"/>
          <w:lang w:val="sr-Latn-RS"/>
        </w:rPr>
        <w:t xml:space="preserve"> </w:t>
      </w:r>
      <w:r w:rsidR="004A1F64" w:rsidRPr="00711E68">
        <w:rPr>
          <w:bCs/>
          <w:iCs/>
          <w:szCs w:val="22"/>
          <w:lang w:val="sr-Latn-RS"/>
        </w:rPr>
        <w:t>ml</w:t>
      </w:r>
    </w:p>
    <w:p w14:paraId="0D50D180" w14:textId="77777777" w:rsidR="00F745AA" w:rsidRPr="00711E68" w:rsidRDefault="00F745AA" w:rsidP="00711E68">
      <w:pPr>
        <w:rPr>
          <w:bCs/>
          <w:szCs w:val="22"/>
          <w:lang w:val="sr-Latn-RS"/>
        </w:rPr>
      </w:pPr>
    </w:p>
    <w:p w14:paraId="11014609" w14:textId="5981FE5F" w:rsidR="00CE09F3" w:rsidRPr="00711E68" w:rsidRDefault="00CE09F3" w:rsidP="00711E68">
      <w:pPr>
        <w:rPr>
          <w:szCs w:val="22"/>
          <w:lang w:val="sr-Latn-RS"/>
        </w:rPr>
      </w:pPr>
      <w:r w:rsidRPr="00711E68">
        <w:rPr>
          <w:szCs w:val="22"/>
          <w:lang w:val="sr-Latn-RS"/>
        </w:rPr>
        <w:t>INN:</w:t>
      </w:r>
      <w:r w:rsidR="00F745AA" w:rsidRPr="00711E68">
        <w:rPr>
          <w:szCs w:val="22"/>
          <w:lang w:val="sr-Latn-RS"/>
        </w:rPr>
        <w:t xml:space="preserve"> risankizumab</w:t>
      </w:r>
    </w:p>
    <w:p w14:paraId="141A3284" w14:textId="77777777" w:rsidR="00CE09F3" w:rsidRPr="00711E68" w:rsidRDefault="00CE09F3" w:rsidP="00711E68">
      <w:pPr>
        <w:rPr>
          <w:b/>
          <w:bCs/>
          <w:szCs w:val="22"/>
          <w:lang w:val="sr-Latn-RS"/>
        </w:rPr>
      </w:pPr>
    </w:p>
    <w:p w14:paraId="6CD8D5CF" w14:textId="77777777" w:rsidR="00711E68" w:rsidRDefault="00711E68" w:rsidP="00711E68">
      <w:pPr>
        <w:pStyle w:val="NASLOV123"/>
        <w:spacing w:before="0" w:after="0"/>
        <w:rPr>
          <w:lang w:val="sr-Latn-RS"/>
        </w:rPr>
      </w:pPr>
    </w:p>
    <w:p w14:paraId="4C109BB0" w14:textId="6337C04B" w:rsidR="00CE09F3" w:rsidRPr="00711E68" w:rsidRDefault="00CE09F3" w:rsidP="00711E68">
      <w:pPr>
        <w:pStyle w:val="NASLOV123"/>
        <w:spacing w:before="0" w:after="0"/>
        <w:rPr>
          <w:lang w:val="sr-Latn-RS"/>
        </w:rPr>
      </w:pPr>
      <w:r w:rsidRPr="00711E68">
        <w:rPr>
          <w:lang w:val="sr-Latn-RS"/>
        </w:rPr>
        <w:t>2. KVALITATIVNI I KVANTITATIVNI SASTAV</w:t>
      </w:r>
    </w:p>
    <w:p w14:paraId="5296F9B3" w14:textId="77777777" w:rsidR="00711E68" w:rsidRDefault="00711E68" w:rsidP="00711E68">
      <w:pPr>
        <w:rPr>
          <w:szCs w:val="22"/>
          <w:lang w:val="sr-Latn-RS"/>
        </w:rPr>
      </w:pPr>
    </w:p>
    <w:p w14:paraId="34318F72" w14:textId="489D353B" w:rsidR="00CE09F3" w:rsidRPr="00711E68" w:rsidRDefault="00F745AA" w:rsidP="00711E68">
      <w:pPr>
        <w:rPr>
          <w:szCs w:val="22"/>
          <w:lang w:val="sr-Latn-RS"/>
        </w:rPr>
      </w:pPr>
      <w:r w:rsidRPr="00711E68">
        <w:rPr>
          <w:szCs w:val="22"/>
          <w:lang w:val="sr-Latn-RS"/>
        </w:rPr>
        <w:t>Jedan napunjeni injekcioni špric</w:t>
      </w:r>
      <w:r w:rsidR="003C3369">
        <w:rPr>
          <w:szCs w:val="22"/>
          <w:lang w:val="sr-Latn-RS"/>
        </w:rPr>
        <w:t xml:space="preserve"> sadrži 75 mg risankizumaba u 0.</w:t>
      </w:r>
      <w:r w:rsidRPr="00711E68">
        <w:rPr>
          <w:szCs w:val="22"/>
          <w:lang w:val="sr-Latn-RS"/>
        </w:rPr>
        <w:t>83 m</w:t>
      </w:r>
      <w:r w:rsidR="00CA6632" w:rsidRPr="00711E68">
        <w:rPr>
          <w:szCs w:val="22"/>
          <w:lang w:val="sr-Latn-RS"/>
        </w:rPr>
        <w:t>l</w:t>
      </w:r>
      <w:r w:rsidRPr="00711E68">
        <w:rPr>
          <w:szCs w:val="22"/>
          <w:lang w:val="sr-Latn-RS"/>
        </w:rPr>
        <w:t xml:space="preserve"> rastvora.</w:t>
      </w:r>
    </w:p>
    <w:p w14:paraId="14B805C6" w14:textId="72C24622" w:rsidR="00F745AA" w:rsidRPr="00711E68" w:rsidRDefault="00F745AA" w:rsidP="00711E68">
      <w:pPr>
        <w:rPr>
          <w:szCs w:val="22"/>
          <w:lang w:val="sr-Latn-RS"/>
        </w:rPr>
      </w:pPr>
    </w:p>
    <w:p w14:paraId="220971F3" w14:textId="37C501A9" w:rsidR="00F745AA" w:rsidRPr="00711E68" w:rsidRDefault="00F745AA" w:rsidP="00711E68">
      <w:pPr>
        <w:rPr>
          <w:szCs w:val="22"/>
          <w:lang w:val="sr-Latn-RS"/>
        </w:rPr>
      </w:pPr>
      <w:r w:rsidRPr="00711E68">
        <w:rPr>
          <w:szCs w:val="22"/>
          <w:lang w:val="sr-Latn-RS"/>
        </w:rPr>
        <w:t>Risankizumab je humanizovano imunoglobulin</w:t>
      </w:r>
      <w:r w:rsidR="009D4923" w:rsidRPr="00711E68">
        <w:rPr>
          <w:szCs w:val="22"/>
          <w:lang w:val="sr-Latn-RS"/>
        </w:rPr>
        <w:t>sko</w:t>
      </w:r>
      <w:r w:rsidRPr="00711E68">
        <w:rPr>
          <w:szCs w:val="22"/>
          <w:lang w:val="sr-Latn-RS"/>
        </w:rPr>
        <w:t xml:space="preserve"> G1 (IgG1) monoklonsko antit</w:t>
      </w:r>
      <w:r w:rsidR="002152EF" w:rsidRPr="00711E68">
        <w:rPr>
          <w:szCs w:val="22"/>
          <w:lang w:val="sr-Latn-RS"/>
        </w:rPr>
        <w:t>ij</w:t>
      </w:r>
      <w:r w:rsidRPr="00711E68">
        <w:rPr>
          <w:szCs w:val="22"/>
          <w:lang w:val="sr-Latn-RS"/>
        </w:rPr>
        <w:t xml:space="preserve">elo selektivno </w:t>
      </w:r>
      <w:r w:rsidR="009D4923" w:rsidRPr="00711E68">
        <w:rPr>
          <w:szCs w:val="22"/>
          <w:lang w:val="sr-Latn-RS"/>
        </w:rPr>
        <w:t>z</w:t>
      </w:r>
      <w:r w:rsidRPr="00711E68">
        <w:rPr>
          <w:szCs w:val="22"/>
          <w:lang w:val="sr-Latn-RS"/>
        </w:rPr>
        <w:t xml:space="preserve">a interleukin (IL)-23 protein, </w:t>
      </w:r>
      <w:r w:rsidR="009D4923" w:rsidRPr="00711E68">
        <w:rPr>
          <w:szCs w:val="22"/>
          <w:lang w:val="sr-Latn-RS"/>
        </w:rPr>
        <w:t>proizvedeno</w:t>
      </w:r>
      <w:r w:rsidRPr="00711E68">
        <w:rPr>
          <w:szCs w:val="22"/>
          <w:lang w:val="sr-Latn-RS"/>
        </w:rPr>
        <w:t xml:space="preserve"> u ćelijama jajnika kineskog hrčka rekombinantnom DNK tehnologijom.</w:t>
      </w:r>
    </w:p>
    <w:p w14:paraId="16725D3E" w14:textId="77777777" w:rsidR="00F745AA" w:rsidRPr="00711E68" w:rsidRDefault="00F745AA" w:rsidP="00711E68">
      <w:pPr>
        <w:rPr>
          <w:szCs w:val="22"/>
          <w:lang w:val="sr-Latn-RS"/>
        </w:rPr>
      </w:pPr>
    </w:p>
    <w:p w14:paraId="2AF7F138" w14:textId="558C95CD" w:rsidR="00F745AA" w:rsidRPr="00711E68" w:rsidRDefault="00F745AA" w:rsidP="00711E68">
      <w:pPr>
        <w:rPr>
          <w:szCs w:val="22"/>
          <w:u w:val="single"/>
          <w:lang w:val="sr-Latn-RS"/>
        </w:rPr>
      </w:pPr>
      <w:r w:rsidRPr="00711E68">
        <w:rPr>
          <w:szCs w:val="22"/>
          <w:u w:val="single"/>
          <w:lang w:val="sr-Latn-RS"/>
        </w:rPr>
        <w:t>Pomoćn</w:t>
      </w:r>
      <w:r w:rsidR="00476FFE" w:rsidRPr="00711E68">
        <w:rPr>
          <w:szCs w:val="22"/>
          <w:u w:val="single"/>
          <w:lang w:val="sr-Latn-RS"/>
        </w:rPr>
        <w:t>e</w:t>
      </w:r>
      <w:r w:rsidRPr="00711E68">
        <w:rPr>
          <w:szCs w:val="22"/>
          <w:u w:val="single"/>
          <w:lang w:val="sr-Latn-RS"/>
        </w:rPr>
        <w:t xml:space="preserve"> supstanc</w:t>
      </w:r>
      <w:r w:rsidR="00476FFE" w:rsidRPr="00711E68">
        <w:rPr>
          <w:szCs w:val="22"/>
          <w:u w:val="single"/>
          <w:lang w:val="sr-Latn-RS"/>
        </w:rPr>
        <w:t>e</w:t>
      </w:r>
      <w:r w:rsidRPr="00711E68">
        <w:rPr>
          <w:szCs w:val="22"/>
          <w:u w:val="single"/>
          <w:lang w:val="sr-Latn-RS"/>
        </w:rPr>
        <w:t xml:space="preserve"> sa potvrđenim dejstvom</w:t>
      </w:r>
    </w:p>
    <w:p w14:paraId="66D75A05" w14:textId="52BE78BB" w:rsidR="00711E68" w:rsidRPr="00711E68" w:rsidRDefault="00F745AA" w:rsidP="00711E68">
      <w:pPr>
        <w:rPr>
          <w:szCs w:val="22"/>
          <w:lang w:val="sr-Latn-RS"/>
        </w:rPr>
      </w:pPr>
      <w:r w:rsidRPr="00711E68">
        <w:rPr>
          <w:szCs w:val="22"/>
          <w:lang w:val="sr-Latn-RS"/>
        </w:rPr>
        <w:t>Ovaj l</w:t>
      </w:r>
      <w:r w:rsidR="002152EF" w:rsidRPr="00711E68">
        <w:rPr>
          <w:szCs w:val="22"/>
          <w:lang w:val="sr-Latn-RS"/>
        </w:rPr>
        <w:t>ij</w:t>
      </w:r>
      <w:r w:rsidRPr="00711E68">
        <w:rPr>
          <w:szCs w:val="22"/>
          <w:lang w:val="sr-Latn-RS"/>
        </w:rPr>
        <w:t xml:space="preserve">ek sadrži 68,0 mg sorbitola </w:t>
      </w:r>
      <w:r w:rsidR="00740149" w:rsidRPr="00711E68">
        <w:rPr>
          <w:szCs w:val="22"/>
          <w:lang w:val="sr-Latn-RS"/>
        </w:rPr>
        <w:t>u</w:t>
      </w:r>
      <w:r w:rsidRPr="00711E68">
        <w:rPr>
          <w:szCs w:val="22"/>
          <w:lang w:val="sr-Latn-RS"/>
        </w:rPr>
        <w:t xml:space="preserve"> dozi od 150 mg</w:t>
      </w:r>
      <w:r w:rsidR="00740149" w:rsidRPr="00711E68">
        <w:rPr>
          <w:szCs w:val="22"/>
          <w:lang w:val="sr-Latn-RS"/>
        </w:rPr>
        <w:t xml:space="preserve"> l</w:t>
      </w:r>
      <w:r w:rsidR="002152EF" w:rsidRPr="00711E68">
        <w:rPr>
          <w:szCs w:val="22"/>
          <w:lang w:val="sr-Latn-RS"/>
        </w:rPr>
        <w:t>ij</w:t>
      </w:r>
      <w:r w:rsidR="00740149" w:rsidRPr="00711E68">
        <w:rPr>
          <w:szCs w:val="22"/>
          <w:lang w:val="sr-Latn-RS"/>
        </w:rPr>
        <w:t>eka</w:t>
      </w:r>
      <w:r w:rsidRPr="00711E68">
        <w:rPr>
          <w:szCs w:val="22"/>
          <w:lang w:val="sr-Latn-RS"/>
        </w:rPr>
        <w:t>.</w:t>
      </w:r>
    </w:p>
    <w:p w14:paraId="4C5ACC62" w14:textId="6902C775" w:rsidR="00F745AA" w:rsidRPr="00711E68" w:rsidRDefault="00F745AA" w:rsidP="00711E68">
      <w:pPr>
        <w:rPr>
          <w:szCs w:val="22"/>
          <w:lang w:val="sr-Latn-RS"/>
        </w:rPr>
      </w:pPr>
      <w:r w:rsidRPr="00711E68">
        <w:rPr>
          <w:szCs w:val="22"/>
          <w:lang w:val="sr-Latn-RS"/>
        </w:rPr>
        <w:t>Ovaj l</w:t>
      </w:r>
      <w:r w:rsidR="002152EF" w:rsidRPr="00711E68">
        <w:rPr>
          <w:szCs w:val="22"/>
          <w:lang w:val="sr-Latn-RS"/>
        </w:rPr>
        <w:t>ij</w:t>
      </w:r>
      <w:r w:rsidRPr="00711E68">
        <w:rPr>
          <w:szCs w:val="22"/>
          <w:lang w:val="sr-Latn-RS"/>
        </w:rPr>
        <w:t xml:space="preserve">ek sadrži manje od 1 mmol natrijuma (23 mg) </w:t>
      </w:r>
      <w:r w:rsidR="00740149" w:rsidRPr="00711E68">
        <w:rPr>
          <w:szCs w:val="22"/>
          <w:lang w:val="sr-Latn-RS"/>
        </w:rPr>
        <w:t>u</w:t>
      </w:r>
      <w:r w:rsidRPr="00711E68">
        <w:rPr>
          <w:szCs w:val="22"/>
          <w:lang w:val="sr-Latn-RS"/>
        </w:rPr>
        <w:t xml:space="preserve"> dozi od 150 mg</w:t>
      </w:r>
      <w:r w:rsidR="00B56EBD" w:rsidRPr="00711E68">
        <w:rPr>
          <w:szCs w:val="22"/>
          <w:lang w:val="sr-Latn-RS"/>
        </w:rPr>
        <w:t xml:space="preserve">, tj. zanemarljive količine </w:t>
      </w:r>
      <w:r w:rsidRPr="00711E68">
        <w:rPr>
          <w:szCs w:val="22"/>
          <w:lang w:val="sr-Latn-RS"/>
        </w:rPr>
        <w:t>natrijuma.</w:t>
      </w:r>
    </w:p>
    <w:p w14:paraId="729B47EB" w14:textId="77777777" w:rsidR="00F745AA" w:rsidRPr="00711E68" w:rsidRDefault="00F745AA" w:rsidP="00711E68">
      <w:pPr>
        <w:rPr>
          <w:szCs w:val="22"/>
          <w:lang w:val="sr-Latn-RS"/>
        </w:rPr>
      </w:pPr>
    </w:p>
    <w:p w14:paraId="1C064CC5" w14:textId="256DEB49" w:rsidR="00F745AA" w:rsidRPr="00711E68" w:rsidRDefault="00F745AA" w:rsidP="00711E68">
      <w:pPr>
        <w:rPr>
          <w:szCs w:val="22"/>
          <w:lang w:val="sr-Latn-CS"/>
        </w:rPr>
      </w:pPr>
      <w:r w:rsidRPr="00711E68">
        <w:rPr>
          <w:szCs w:val="22"/>
          <w:lang w:val="sr-Latn-RS"/>
        </w:rPr>
        <w:t xml:space="preserve">Za </w:t>
      </w:r>
      <w:r w:rsidR="00001B7E" w:rsidRPr="00711E68">
        <w:rPr>
          <w:szCs w:val="22"/>
          <w:lang w:val="sr-Latn-RS"/>
        </w:rPr>
        <w:t>spisak</w:t>
      </w:r>
      <w:r w:rsidRPr="00711E68">
        <w:rPr>
          <w:szCs w:val="22"/>
          <w:lang w:val="sr-Latn-RS"/>
        </w:rPr>
        <w:t xml:space="preserve"> </w:t>
      </w:r>
      <w:r w:rsidR="00F11694" w:rsidRPr="00711E68">
        <w:rPr>
          <w:szCs w:val="22"/>
          <w:lang w:val="sr-Latn-CS"/>
        </w:rPr>
        <w:t>svih ekscipijenasa, pogledati dio 6.1.</w:t>
      </w:r>
    </w:p>
    <w:p w14:paraId="04E81DD3" w14:textId="63D864B4" w:rsidR="00F11694" w:rsidRPr="00711E68" w:rsidRDefault="00F11694" w:rsidP="00711E68">
      <w:pPr>
        <w:rPr>
          <w:szCs w:val="22"/>
          <w:lang w:val="sr-Latn-RS"/>
        </w:rPr>
      </w:pPr>
    </w:p>
    <w:p w14:paraId="7F9C2D12" w14:textId="77777777" w:rsidR="00853870" w:rsidRPr="00711E68" w:rsidRDefault="00853870" w:rsidP="00711E68">
      <w:pPr>
        <w:rPr>
          <w:szCs w:val="22"/>
          <w:lang w:val="sr-Latn-RS"/>
        </w:rPr>
      </w:pPr>
    </w:p>
    <w:p w14:paraId="28A7AC64" w14:textId="41AFCE93" w:rsidR="00CE09F3" w:rsidRPr="00711E68" w:rsidRDefault="00CE09F3" w:rsidP="00711E68">
      <w:pPr>
        <w:pStyle w:val="NASLOV123"/>
        <w:spacing w:before="0" w:after="0"/>
        <w:rPr>
          <w:lang w:val="sr-Latn-RS"/>
        </w:rPr>
      </w:pPr>
      <w:r w:rsidRPr="00711E68">
        <w:rPr>
          <w:lang w:val="sr-Latn-RS"/>
        </w:rPr>
        <w:t>3. FARMACEUTSKI OBLIK</w:t>
      </w:r>
    </w:p>
    <w:p w14:paraId="1094B3B9" w14:textId="77777777" w:rsidR="00853870" w:rsidRPr="00711E68" w:rsidRDefault="00853870" w:rsidP="00711E68">
      <w:pPr>
        <w:pStyle w:val="NASLOV123"/>
        <w:spacing w:before="0" w:after="0"/>
        <w:rPr>
          <w:lang w:val="sr-Latn-RS"/>
        </w:rPr>
      </w:pPr>
    </w:p>
    <w:p w14:paraId="7521CC78" w14:textId="7755D363" w:rsidR="00F745AA" w:rsidRPr="00711E68" w:rsidRDefault="00F745AA" w:rsidP="00711E68">
      <w:pPr>
        <w:pStyle w:val="Header"/>
        <w:tabs>
          <w:tab w:val="clear" w:pos="4536"/>
          <w:tab w:val="clear" w:pos="9072"/>
          <w:tab w:val="left" w:pos="284"/>
        </w:tabs>
        <w:jc w:val="left"/>
        <w:rPr>
          <w:bCs/>
          <w:iCs/>
          <w:szCs w:val="22"/>
          <w:lang w:val="sr-Latn-RS"/>
        </w:rPr>
      </w:pPr>
      <w:r w:rsidRPr="00711E68">
        <w:rPr>
          <w:bCs/>
          <w:iCs/>
          <w:szCs w:val="22"/>
          <w:lang w:val="sr-Latn-RS"/>
        </w:rPr>
        <w:t>Rastvor za injekciju u napunjenom injekcionom špricu.</w:t>
      </w:r>
    </w:p>
    <w:p w14:paraId="2CAE11A7" w14:textId="286DBCDD" w:rsidR="00F745AA" w:rsidRPr="00711E68" w:rsidRDefault="00F745AA" w:rsidP="00711E68">
      <w:pPr>
        <w:rPr>
          <w:szCs w:val="22"/>
          <w:lang w:val="sr-Latn-RS"/>
        </w:rPr>
      </w:pPr>
      <w:r w:rsidRPr="00711E68">
        <w:rPr>
          <w:szCs w:val="22"/>
          <w:lang w:val="sr-Latn-RS"/>
        </w:rPr>
        <w:t xml:space="preserve">Bezbojan do </w:t>
      </w:r>
      <w:r w:rsidR="004B7F04" w:rsidRPr="00711E68">
        <w:rPr>
          <w:szCs w:val="22"/>
          <w:lang w:val="sr-Latn-RS"/>
        </w:rPr>
        <w:t>sv</w:t>
      </w:r>
      <w:r w:rsidR="006022B0" w:rsidRPr="00711E68">
        <w:rPr>
          <w:szCs w:val="22"/>
          <w:lang w:val="sr-Latn-RS"/>
        </w:rPr>
        <w:t>i</w:t>
      </w:r>
      <w:r w:rsidR="004B7F04" w:rsidRPr="00711E68">
        <w:rPr>
          <w:szCs w:val="22"/>
          <w:lang w:val="sr-Latn-RS"/>
        </w:rPr>
        <w:t>jetl</w:t>
      </w:r>
      <w:r w:rsidRPr="00711E68">
        <w:rPr>
          <w:szCs w:val="22"/>
          <w:lang w:val="sr-Latn-RS"/>
        </w:rPr>
        <w:t>ožut i bistar do blago zamućen rastvor.</w:t>
      </w:r>
    </w:p>
    <w:p w14:paraId="1D1DA9BF" w14:textId="77777777" w:rsidR="00CE09F3" w:rsidRPr="00711E68" w:rsidRDefault="00CE09F3" w:rsidP="00711E68">
      <w:pPr>
        <w:rPr>
          <w:szCs w:val="22"/>
          <w:lang w:val="sr-Latn-RS"/>
        </w:rPr>
      </w:pPr>
    </w:p>
    <w:p w14:paraId="553350D2" w14:textId="77777777" w:rsidR="00711E68" w:rsidRDefault="00711E68" w:rsidP="00711E68">
      <w:pPr>
        <w:pStyle w:val="NASLOV123"/>
        <w:spacing w:before="0" w:after="0"/>
        <w:rPr>
          <w:lang w:val="sr-Latn-RS"/>
        </w:rPr>
      </w:pPr>
    </w:p>
    <w:p w14:paraId="1605CFB1" w14:textId="35A34FA6" w:rsidR="00CE09F3" w:rsidRPr="00711E68" w:rsidRDefault="00CE09F3" w:rsidP="00711E68">
      <w:pPr>
        <w:pStyle w:val="NASLOV123"/>
        <w:spacing w:before="0" w:after="0"/>
        <w:rPr>
          <w:lang w:val="sr-Latn-RS"/>
        </w:rPr>
      </w:pPr>
      <w:r w:rsidRPr="00711E68">
        <w:rPr>
          <w:lang w:val="sr-Latn-RS"/>
        </w:rPr>
        <w:t>4. KLINIČKI PODACI</w:t>
      </w:r>
    </w:p>
    <w:p w14:paraId="505A41D6" w14:textId="77777777" w:rsidR="00711E68" w:rsidRDefault="00711E68" w:rsidP="00711E68">
      <w:pPr>
        <w:rPr>
          <w:b/>
          <w:bCs/>
          <w:szCs w:val="22"/>
          <w:lang w:val="sr-Latn-RS"/>
        </w:rPr>
      </w:pPr>
    </w:p>
    <w:p w14:paraId="77FD81D4" w14:textId="27E67D1B" w:rsidR="00CE09F3" w:rsidRPr="00711E68" w:rsidRDefault="00CE09F3" w:rsidP="00711E68">
      <w:pPr>
        <w:rPr>
          <w:b/>
          <w:bCs/>
          <w:szCs w:val="22"/>
          <w:lang w:val="sr-Latn-RS"/>
        </w:rPr>
      </w:pPr>
      <w:r w:rsidRPr="00711E68">
        <w:rPr>
          <w:b/>
          <w:bCs/>
          <w:szCs w:val="22"/>
          <w:lang w:val="sr-Latn-RS"/>
        </w:rPr>
        <w:t>4.1. Terapijske indikacije</w:t>
      </w:r>
    </w:p>
    <w:p w14:paraId="536A9BA0" w14:textId="45DF44FF" w:rsidR="00CE09F3" w:rsidRPr="00711E68" w:rsidRDefault="00CE09F3" w:rsidP="00711E68">
      <w:pPr>
        <w:rPr>
          <w:szCs w:val="22"/>
          <w:lang w:val="sr-Latn-RS"/>
        </w:rPr>
      </w:pPr>
    </w:p>
    <w:p w14:paraId="2166CAEC" w14:textId="2346F2B9" w:rsidR="00F745AA" w:rsidRPr="00711E68" w:rsidRDefault="00F745AA" w:rsidP="00711E68">
      <w:pPr>
        <w:pStyle w:val="Header"/>
        <w:tabs>
          <w:tab w:val="clear" w:pos="4536"/>
          <w:tab w:val="clear" w:pos="9072"/>
        </w:tabs>
        <w:snapToGrid w:val="0"/>
        <w:rPr>
          <w:szCs w:val="22"/>
          <w:lang w:val="sr-Latn-RS"/>
        </w:rPr>
      </w:pPr>
      <w:r w:rsidRPr="00711E68">
        <w:rPr>
          <w:szCs w:val="22"/>
          <w:lang w:val="sr-Latn-RS"/>
        </w:rPr>
        <w:t>L</w:t>
      </w:r>
      <w:r w:rsidR="002C3F8F" w:rsidRPr="00711E68">
        <w:rPr>
          <w:szCs w:val="22"/>
          <w:lang w:val="sr-Latn-RS"/>
        </w:rPr>
        <w:t>ij</w:t>
      </w:r>
      <w:r w:rsidRPr="00711E68">
        <w:rPr>
          <w:szCs w:val="22"/>
          <w:lang w:val="sr-Latn-RS"/>
        </w:rPr>
        <w:t>ek Skyrizi je indikovan za terapiju um</w:t>
      </w:r>
      <w:r w:rsidR="002C3F8F" w:rsidRPr="00711E68">
        <w:rPr>
          <w:szCs w:val="22"/>
          <w:lang w:val="sr-Latn-RS"/>
        </w:rPr>
        <w:t>j</w:t>
      </w:r>
      <w:r w:rsidRPr="00711E68">
        <w:rPr>
          <w:szCs w:val="22"/>
          <w:lang w:val="sr-Latn-RS"/>
        </w:rPr>
        <w:t>erene do teške plak psorijaze kod odraslih pacijenata koji su kandidati za sistemsku terapiju.</w:t>
      </w:r>
    </w:p>
    <w:p w14:paraId="3BE11B79" w14:textId="6A67A779" w:rsidR="00CE09F3" w:rsidRPr="00711E68" w:rsidRDefault="002F5C85" w:rsidP="00711E68">
      <w:pPr>
        <w:tabs>
          <w:tab w:val="clear" w:pos="284"/>
          <w:tab w:val="center" w:pos="4536"/>
          <w:tab w:val="right" w:pos="8931"/>
          <w:tab w:val="right" w:pos="9072"/>
        </w:tabs>
        <w:ind w:right="96"/>
        <w:rPr>
          <w:szCs w:val="22"/>
          <w:lang w:val="sr-Latn-RS"/>
        </w:rPr>
      </w:pPr>
      <w:r w:rsidRPr="00711E68">
        <w:rPr>
          <w:szCs w:val="22"/>
        </w:rPr>
        <w:t xml:space="preserve">                                                                                                                                                                  </w:t>
      </w:r>
    </w:p>
    <w:p w14:paraId="45E7BC56" w14:textId="77C149C4" w:rsidR="00CE09F3" w:rsidRPr="00711E68" w:rsidRDefault="00CE09F3" w:rsidP="00711E68">
      <w:pPr>
        <w:rPr>
          <w:b/>
          <w:bCs/>
          <w:szCs w:val="22"/>
          <w:lang w:val="sr-Latn-RS"/>
        </w:rPr>
      </w:pPr>
      <w:r w:rsidRPr="00711E68">
        <w:rPr>
          <w:b/>
          <w:bCs/>
          <w:szCs w:val="22"/>
          <w:lang w:val="sr-Latn-RS"/>
        </w:rPr>
        <w:t>4.2. Doziranje i način prim</w:t>
      </w:r>
      <w:r w:rsidR="002C3F8F" w:rsidRPr="00711E68">
        <w:rPr>
          <w:b/>
          <w:bCs/>
          <w:szCs w:val="22"/>
          <w:lang w:val="sr-Latn-RS"/>
        </w:rPr>
        <w:t>j</w:t>
      </w:r>
      <w:r w:rsidRPr="00711E68">
        <w:rPr>
          <w:b/>
          <w:bCs/>
          <w:szCs w:val="22"/>
          <w:lang w:val="sr-Latn-RS"/>
        </w:rPr>
        <w:t>ene</w:t>
      </w:r>
    </w:p>
    <w:p w14:paraId="6630FEBD" w14:textId="77777777" w:rsidR="00CE09F3" w:rsidRPr="00711E68" w:rsidRDefault="00CE09F3" w:rsidP="00711E68">
      <w:pPr>
        <w:rPr>
          <w:szCs w:val="22"/>
          <w:lang w:val="sr-Latn-RS"/>
        </w:rPr>
      </w:pPr>
    </w:p>
    <w:p w14:paraId="00A98E27" w14:textId="3AE2A032" w:rsidR="00CE09F3" w:rsidRPr="00711E68" w:rsidRDefault="00F745AA" w:rsidP="00711E68">
      <w:pPr>
        <w:rPr>
          <w:szCs w:val="22"/>
          <w:lang w:val="sr-Latn-RS"/>
        </w:rPr>
      </w:pPr>
      <w:r w:rsidRPr="00711E68">
        <w:rPr>
          <w:szCs w:val="22"/>
          <w:lang w:val="sr-Latn-RS"/>
        </w:rPr>
        <w:t>L</w:t>
      </w:r>
      <w:r w:rsidR="002C3F8F" w:rsidRPr="00711E68">
        <w:rPr>
          <w:szCs w:val="22"/>
          <w:lang w:val="sr-Latn-RS"/>
        </w:rPr>
        <w:t>ij</w:t>
      </w:r>
      <w:r w:rsidRPr="00711E68">
        <w:rPr>
          <w:szCs w:val="22"/>
          <w:lang w:val="sr-Latn-RS"/>
        </w:rPr>
        <w:t>ek Skyrizi je nam</w:t>
      </w:r>
      <w:r w:rsidR="002C3F8F" w:rsidRPr="00711E68">
        <w:rPr>
          <w:szCs w:val="22"/>
          <w:lang w:val="sr-Latn-RS"/>
        </w:rPr>
        <w:t>ij</w:t>
      </w:r>
      <w:r w:rsidRPr="00711E68">
        <w:rPr>
          <w:szCs w:val="22"/>
          <w:lang w:val="sr-Latn-RS"/>
        </w:rPr>
        <w:t>enjen za prim</w:t>
      </w:r>
      <w:r w:rsidR="002C3F8F" w:rsidRPr="00711E68">
        <w:rPr>
          <w:szCs w:val="22"/>
          <w:lang w:val="sr-Latn-RS"/>
        </w:rPr>
        <w:t>j</w:t>
      </w:r>
      <w:r w:rsidRPr="00711E68">
        <w:rPr>
          <w:szCs w:val="22"/>
          <w:lang w:val="sr-Latn-RS"/>
        </w:rPr>
        <w:t xml:space="preserve">enu </w:t>
      </w:r>
      <w:r w:rsidR="00967CDB" w:rsidRPr="00711E68">
        <w:rPr>
          <w:szCs w:val="22"/>
          <w:lang w:val="sr-Latn-RS"/>
        </w:rPr>
        <w:t>pod</w:t>
      </w:r>
      <w:r w:rsidR="00A54291" w:rsidRPr="00711E68">
        <w:rPr>
          <w:szCs w:val="22"/>
          <w:lang w:val="sr-Latn-RS"/>
        </w:rPr>
        <w:t xml:space="preserve"> vođstvom i</w:t>
      </w:r>
      <w:r w:rsidR="00967CDB" w:rsidRPr="00711E68">
        <w:rPr>
          <w:szCs w:val="22"/>
          <w:lang w:val="sr-Latn-RS"/>
        </w:rPr>
        <w:t xml:space="preserve"> </w:t>
      </w:r>
      <w:r w:rsidRPr="00711E68">
        <w:rPr>
          <w:szCs w:val="22"/>
          <w:lang w:val="sr-Latn-RS"/>
        </w:rPr>
        <w:t>nadzorom l</w:t>
      </w:r>
      <w:r w:rsidR="002C3F8F" w:rsidRPr="00711E68">
        <w:rPr>
          <w:szCs w:val="22"/>
          <w:lang w:val="sr-Latn-RS"/>
        </w:rPr>
        <w:t>j</w:t>
      </w:r>
      <w:r w:rsidRPr="00711E68">
        <w:rPr>
          <w:szCs w:val="22"/>
          <w:lang w:val="sr-Latn-RS"/>
        </w:rPr>
        <w:t xml:space="preserve">ekara </w:t>
      </w:r>
      <w:r w:rsidR="002D6E45" w:rsidRPr="00711E68">
        <w:rPr>
          <w:szCs w:val="22"/>
          <w:lang w:val="sr-Latn-RS"/>
        </w:rPr>
        <w:t xml:space="preserve">koji ima </w:t>
      </w:r>
      <w:r w:rsidR="00796D3A" w:rsidRPr="00711E68">
        <w:rPr>
          <w:szCs w:val="22"/>
          <w:lang w:val="sr-Latn-RS"/>
        </w:rPr>
        <w:t>iskus</w:t>
      </w:r>
      <w:r w:rsidR="002D6E45" w:rsidRPr="00711E68">
        <w:rPr>
          <w:szCs w:val="22"/>
          <w:lang w:val="sr-Latn-RS"/>
        </w:rPr>
        <w:t xml:space="preserve">tva </w:t>
      </w:r>
      <w:r w:rsidR="002E042B" w:rsidRPr="00711E68">
        <w:rPr>
          <w:szCs w:val="22"/>
          <w:lang w:val="sr-Latn-RS"/>
        </w:rPr>
        <w:t>sa</w:t>
      </w:r>
      <w:r w:rsidRPr="00711E68">
        <w:rPr>
          <w:szCs w:val="22"/>
          <w:lang w:val="sr-Latn-RS"/>
        </w:rPr>
        <w:t xml:space="preserve"> dijagnost</w:t>
      </w:r>
      <w:r w:rsidR="002E042B" w:rsidRPr="00711E68">
        <w:rPr>
          <w:szCs w:val="22"/>
          <w:lang w:val="sr-Latn-RS"/>
        </w:rPr>
        <w:t>i</w:t>
      </w:r>
      <w:r w:rsidR="00A54291" w:rsidRPr="00711E68">
        <w:rPr>
          <w:szCs w:val="22"/>
          <w:lang w:val="sr-Latn-RS"/>
        </w:rPr>
        <w:t>kov</w:t>
      </w:r>
      <w:r w:rsidR="002E042B" w:rsidRPr="00711E68">
        <w:rPr>
          <w:szCs w:val="22"/>
          <w:lang w:val="sr-Latn-RS"/>
        </w:rPr>
        <w:t>anjem</w:t>
      </w:r>
      <w:r w:rsidRPr="00711E68">
        <w:rPr>
          <w:szCs w:val="22"/>
          <w:lang w:val="sr-Latn-RS"/>
        </w:rPr>
        <w:t xml:space="preserve"> i l</w:t>
      </w:r>
      <w:r w:rsidR="002C3F8F" w:rsidRPr="00711E68">
        <w:rPr>
          <w:szCs w:val="22"/>
          <w:lang w:val="sr-Latn-RS"/>
        </w:rPr>
        <w:t>ij</w:t>
      </w:r>
      <w:r w:rsidRPr="00711E68">
        <w:rPr>
          <w:szCs w:val="22"/>
          <w:lang w:val="sr-Latn-RS"/>
        </w:rPr>
        <w:t>ečenj</w:t>
      </w:r>
      <w:r w:rsidR="002E042B" w:rsidRPr="00711E68">
        <w:rPr>
          <w:szCs w:val="22"/>
          <w:lang w:val="sr-Latn-RS"/>
        </w:rPr>
        <w:t>em</w:t>
      </w:r>
      <w:r w:rsidRPr="00711E68">
        <w:rPr>
          <w:szCs w:val="22"/>
          <w:lang w:val="sr-Latn-RS"/>
        </w:rPr>
        <w:t xml:space="preserve"> psorijaze.</w:t>
      </w:r>
    </w:p>
    <w:p w14:paraId="1E005B69" w14:textId="0EBF800D" w:rsidR="00796D3A" w:rsidRPr="00711E68" w:rsidRDefault="00796D3A" w:rsidP="00711E68">
      <w:pPr>
        <w:rPr>
          <w:szCs w:val="22"/>
          <w:lang w:val="sr-Latn-RS"/>
        </w:rPr>
      </w:pPr>
    </w:p>
    <w:p w14:paraId="63A01FFA" w14:textId="276171AD" w:rsidR="00796D3A" w:rsidRPr="00711E68" w:rsidRDefault="00796D3A" w:rsidP="00711E68">
      <w:pPr>
        <w:rPr>
          <w:szCs w:val="22"/>
          <w:u w:val="single"/>
          <w:lang w:val="sr-Latn-RS"/>
        </w:rPr>
      </w:pPr>
      <w:r w:rsidRPr="00711E68">
        <w:rPr>
          <w:szCs w:val="22"/>
          <w:u w:val="single"/>
          <w:lang w:val="sr-Latn-RS"/>
        </w:rPr>
        <w:t>Doziranje</w:t>
      </w:r>
    </w:p>
    <w:p w14:paraId="6052B497" w14:textId="77777777" w:rsidR="00740149" w:rsidRPr="00711E68" w:rsidRDefault="00740149" w:rsidP="00711E68">
      <w:pPr>
        <w:rPr>
          <w:szCs w:val="22"/>
          <w:u w:val="single"/>
          <w:lang w:val="sr-Latn-RS"/>
        </w:rPr>
      </w:pPr>
    </w:p>
    <w:p w14:paraId="514B4D28" w14:textId="049AADC3" w:rsidR="00796D3A" w:rsidRPr="00711E68" w:rsidRDefault="00796D3A" w:rsidP="00711E68">
      <w:pPr>
        <w:rPr>
          <w:szCs w:val="22"/>
          <w:lang w:val="sr-Latn-RS"/>
        </w:rPr>
      </w:pPr>
      <w:r w:rsidRPr="00711E68">
        <w:rPr>
          <w:szCs w:val="22"/>
          <w:lang w:val="sr-Latn-RS"/>
        </w:rPr>
        <w:t>Preporučena doza je 150 mg (dv</w:t>
      </w:r>
      <w:r w:rsidR="002C3F8F" w:rsidRPr="00711E68">
        <w:rPr>
          <w:szCs w:val="22"/>
          <w:lang w:val="sr-Latn-RS"/>
        </w:rPr>
        <w:t>ij</w:t>
      </w:r>
      <w:r w:rsidRPr="00711E68">
        <w:rPr>
          <w:szCs w:val="22"/>
          <w:lang w:val="sr-Latn-RS"/>
        </w:rPr>
        <w:t>e injekcije od 75 mg) prim</w:t>
      </w:r>
      <w:r w:rsidR="002C3F8F" w:rsidRPr="00711E68">
        <w:rPr>
          <w:szCs w:val="22"/>
          <w:lang w:val="sr-Latn-RS"/>
        </w:rPr>
        <w:t>ij</w:t>
      </w:r>
      <w:r w:rsidRPr="00711E68">
        <w:rPr>
          <w:szCs w:val="22"/>
          <w:lang w:val="sr-Latn-RS"/>
        </w:rPr>
        <w:t>enjen</w:t>
      </w:r>
      <w:r w:rsidR="00740149" w:rsidRPr="00711E68">
        <w:rPr>
          <w:szCs w:val="22"/>
          <w:lang w:val="sr-Latn-RS"/>
        </w:rPr>
        <w:t>a</w:t>
      </w:r>
      <w:r w:rsidRPr="00711E68">
        <w:rPr>
          <w:szCs w:val="22"/>
          <w:lang w:val="sr-Latn-RS"/>
        </w:rPr>
        <w:t xml:space="preserve"> </w:t>
      </w:r>
      <w:r w:rsidR="006022B0" w:rsidRPr="00711E68">
        <w:rPr>
          <w:szCs w:val="22"/>
          <w:lang w:val="sr-Latn-RS"/>
        </w:rPr>
        <w:t xml:space="preserve">subkutanom </w:t>
      </w:r>
      <w:r w:rsidRPr="00711E68">
        <w:rPr>
          <w:szCs w:val="22"/>
          <w:lang w:val="sr-Latn-RS"/>
        </w:rPr>
        <w:t>injekcij</w:t>
      </w:r>
      <w:r w:rsidR="004365E2" w:rsidRPr="00711E68">
        <w:rPr>
          <w:szCs w:val="22"/>
          <w:lang w:val="sr-Latn-RS"/>
        </w:rPr>
        <w:t>om</w:t>
      </w:r>
      <w:r w:rsidRPr="00711E68">
        <w:rPr>
          <w:szCs w:val="22"/>
          <w:lang w:val="sr-Latn-RS"/>
        </w:rPr>
        <w:t xml:space="preserve"> u </w:t>
      </w:r>
      <w:r w:rsidR="00A54291" w:rsidRPr="00711E68">
        <w:rPr>
          <w:szCs w:val="22"/>
          <w:lang w:val="sr-Latn-RS"/>
        </w:rPr>
        <w:t xml:space="preserve">0. </w:t>
      </w:r>
      <w:r w:rsidRPr="00711E68">
        <w:rPr>
          <w:szCs w:val="22"/>
          <w:lang w:val="sr-Latn-RS"/>
        </w:rPr>
        <w:t>ned</w:t>
      </w:r>
      <w:r w:rsidR="00A54291" w:rsidRPr="00711E68">
        <w:rPr>
          <w:szCs w:val="22"/>
          <w:lang w:val="sr-Latn-RS"/>
        </w:rPr>
        <w:t>j</w:t>
      </w:r>
      <w:r w:rsidRPr="00711E68">
        <w:rPr>
          <w:szCs w:val="22"/>
          <w:lang w:val="sr-Latn-RS"/>
        </w:rPr>
        <w:t xml:space="preserve">elji, </w:t>
      </w:r>
      <w:r w:rsidR="00A54291" w:rsidRPr="00711E68">
        <w:rPr>
          <w:szCs w:val="22"/>
          <w:lang w:val="sr-Latn-RS"/>
        </w:rPr>
        <w:t xml:space="preserve">4. </w:t>
      </w:r>
      <w:r w:rsidRPr="00711E68">
        <w:rPr>
          <w:szCs w:val="22"/>
          <w:lang w:val="sr-Latn-RS"/>
        </w:rPr>
        <w:t>ned</w:t>
      </w:r>
      <w:r w:rsidR="00A54291" w:rsidRPr="00711E68">
        <w:rPr>
          <w:szCs w:val="22"/>
          <w:lang w:val="sr-Latn-RS"/>
        </w:rPr>
        <w:t>j</w:t>
      </w:r>
      <w:r w:rsidRPr="00711E68">
        <w:rPr>
          <w:szCs w:val="22"/>
          <w:lang w:val="sr-Latn-RS"/>
        </w:rPr>
        <w:t xml:space="preserve">elji, i </w:t>
      </w:r>
      <w:r w:rsidR="004927C7" w:rsidRPr="00711E68">
        <w:rPr>
          <w:szCs w:val="22"/>
          <w:lang w:val="sr-Latn-RS"/>
        </w:rPr>
        <w:t xml:space="preserve">zatim </w:t>
      </w:r>
      <w:r w:rsidRPr="00711E68">
        <w:rPr>
          <w:szCs w:val="22"/>
          <w:lang w:val="sr-Latn-RS"/>
        </w:rPr>
        <w:t>svakih 12 ned</w:t>
      </w:r>
      <w:r w:rsidR="00A54291" w:rsidRPr="00711E68">
        <w:rPr>
          <w:szCs w:val="22"/>
          <w:lang w:val="sr-Latn-RS"/>
        </w:rPr>
        <w:t>j</w:t>
      </w:r>
      <w:r w:rsidRPr="00711E68">
        <w:rPr>
          <w:szCs w:val="22"/>
          <w:lang w:val="sr-Latn-RS"/>
        </w:rPr>
        <w:t>elja</w:t>
      </w:r>
      <w:r w:rsidR="004927C7" w:rsidRPr="00711E68">
        <w:rPr>
          <w:szCs w:val="22"/>
          <w:lang w:val="sr-Latn-RS"/>
        </w:rPr>
        <w:t>.</w:t>
      </w:r>
    </w:p>
    <w:p w14:paraId="229B0AA4" w14:textId="30F40B72" w:rsidR="00796D3A" w:rsidRPr="00711E68" w:rsidRDefault="00796D3A" w:rsidP="00711E68">
      <w:pPr>
        <w:rPr>
          <w:szCs w:val="22"/>
          <w:lang w:val="sr-Latn-RS"/>
        </w:rPr>
      </w:pPr>
    </w:p>
    <w:p w14:paraId="1D67F466" w14:textId="1A1E1BF8" w:rsidR="00796D3A" w:rsidRPr="00711E68" w:rsidRDefault="00CC61B6" w:rsidP="00711E68">
      <w:pPr>
        <w:rPr>
          <w:szCs w:val="22"/>
          <w:lang w:val="sr-Latn-RS"/>
        </w:rPr>
      </w:pPr>
      <w:r w:rsidRPr="00711E68">
        <w:rPr>
          <w:szCs w:val="22"/>
          <w:lang w:val="sr-Latn-RS"/>
        </w:rPr>
        <w:t>K</w:t>
      </w:r>
      <w:r w:rsidR="00796D3A" w:rsidRPr="00711E68">
        <w:rPr>
          <w:szCs w:val="22"/>
          <w:lang w:val="sr-Latn-RS"/>
        </w:rPr>
        <w:t>od pacijenata ko</w:t>
      </w:r>
      <w:r w:rsidRPr="00711E68">
        <w:rPr>
          <w:szCs w:val="22"/>
          <w:lang w:val="sr-Latn-RS"/>
        </w:rPr>
        <w:t xml:space="preserve">d </w:t>
      </w:r>
      <w:r w:rsidR="00796D3A" w:rsidRPr="00711E68">
        <w:rPr>
          <w:szCs w:val="22"/>
          <w:lang w:val="sr-Latn-RS"/>
        </w:rPr>
        <w:t xml:space="preserve">kojih nije postignut </w:t>
      </w:r>
      <w:r w:rsidRPr="00711E68">
        <w:rPr>
          <w:szCs w:val="22"/>
          <w:lang w:val="sr-Latn-RS"/>
        </w:rPr>
        <w:t xml:space="preserve">nikakav </w:t>
      </w:r>
      <w:r w:rsidR="00796D3A" w:rsidRPr="00711E68">
        <w:rPr>
          <w:szCs w:val="22"/>
          <w:lang w:val="sr-Latn-RS"/>
        </w:rPr>
        <w:t>odgovor nakon 16 ned</w:t>
      </w:r>
      <w:r w:rsidR="00A54291" w:rsidRPr="00711E68">
        <w:rPr>
          <w:szCs w:val="22"/>
          <w:lang w:val="sr-Latn-RS"/>
        </w:rPr>
        <w:t>j</w:t>
      </w:r>
      <w:r w:rsidR="00796D3A" w:rsidRPr="00711E68">
        <w:rPr>
          <w:szCs w:val="22"/>
          <w:lang w:val="sr-Latn-RS"/>
        </w:rPr>
        <w:t xml:space="preserve">elja </w:t>
      </w:r>
      <w:r w:rsidR="00CB77C4" w:rsidRPr="00711E68">
        <w:rPr>
          <w:szCs w:val="22"/>
          <w:lang w:val="sr-Latn-RS"/>
        </w:rPr>
        <w:t>liječenja potrebno je razmotriti preki</w:t>
      </w:r>
      <w:r w:rsidR="00A25810" w:rsidRPr="00711E68">
        <w:rPr>
          <w:szCs w:val="22"/>
          <w:lang w:val="sr-Latn-RS"/>
        </w:rPr>
        <w:t>d liječenja.</w:t>
      </w:r>
      <w:r w:rsidR="00796D3A" w:rsidRPr="00711E68">
        <w:rPr>
          <w:szCs w:val="22"/>
          <w:lang w:val="sr-Latn-RS"/>
        </w:rPr>
        <w:t xml:space="preserve"> Neki</w:t>
      </w:r>
      <w:r w:rsidR="00A25810" w:rsidRPr="00711E68">
        <w:rPr>
          <w:szCs w:val="22"/>
          <w:lang w:val="sr-Latn-RS"/>
        </w:rPr>
        <w:t>m</w:t>
      </w:r>
      <w:r w:rsidR="00796D3A" w:rsidRPr="00711E68">
        <w:rPr>
          <w:szCs w:val="22"/>
          <w:lang w:val="sr-Latn-RS"/>
        </w:rPr>
        <w:t xml:space="preserve"> pacijenti</w:t>
      </w:r>
      <w:r w:rsidR="00A25810" w:rsidRPr="00711E68">
        <w:rPr>
          <w:szCs w:val="22"/>
          <w:lang w:val="sr-Latn-RS"/>
        </w:rPr>
        <w:t xml:space="preserve">ma koji </w:t>
      </w:r>
      <w:r w:rsidR="00162435" w:rsidRPr="00711E68">
        <w:rPr>
          <w:szCs w:val="22"/>
          <w:lang w:val="sr-Latn-RS"/>
        </w:rPr>
        <w:t xml:space="preserve">prvobitno ostvare </w:t>
      </w:r>
      <w:r w:rsidR="00740149" w:rsidRPr="00711E68">
        <w:rPr>
          <w:szCs w:val="22"/>
          <w:lang w:val="sr-Latn-RS"/>
        </w:rPr>
        <w:t>d</w:t>
      </w:r>
      <w:r w:rsidR="002C3F8F" w:rsidRPr="00711E68">
        <w:rPr>
          <w:szCs w:val="22"/>
          <w:lang w:val="sr-Latn-RS"/>
        </w:rPr>
        <w:t>j</w:t>
      </w:r>
      <w:r w:rsidR="00740149" w:rsidRPr="00711E68">
        <w:rPr>
          <w:szCs w:val="22"/>
          <w:lang w:val="sr-Latn-RS"/>
        </w:rPr>
        <w:t>elimič</w:t>
      </w:r>
      <w:r w:rsidR="00162435" w:rsidRPr="00711E68">
        <w:rPr>
          <w:szCs w:val="22"/>
          <w:lang w:val="sr-Latn-RS"/>
        </w:rPr>
        <w:t>a</w:t>
      </w:r>
      <w:r w:rsidR="00740149" w:rsidRPr="00711E68">
        <w:rPr>
          <w:szCs w:val="22"/>
          <w:lang w:val="sr-Latn-RS"/>
        </w:rPr>
        <w:t>n</w:t>
      </w:r>
      <w:r w:rsidR="00162435" w:rsidRPr="00711E68">
        <w:rPr>
          <w:szCs w:val="22"/>
          <w:lang w:val="sr-Latn-RS"/>
        </w:rPr>
        <w:t xml:space="preserve"> </w:t>
      </w:r>
      <w:r w:rsidR="00796D3A" w:rsidRPr="00711E68">
        <w:rPr>
          <w:szCs w:val="22"/>
          <w:lang w:val="sr-Latn-RS"/>
        </w:rPr>
        <w:t>odgovor</w:t>
      </w:r>
      <w:r w:rsidR="00533FF3" w:rsidRPr="00711E68">
        <w:rPr>
          <w:szCs w:val="22"/>
          <w:lang w:val="sr-Latn-RS"/>
        </w:rPr>
        <w:t xml:space="preserve"> stanje se naknadno </w:t>
      </w:r>
      <w:r w:rsidR="00796D3A" w:rsidRPr="00711E68">
        <w:rPr>
          <w:szCs w:val="22"/>
          <w:lang w:val="sr-Latn-RS"/>
        </w:rPr>
        <w:t>mo</w:t>
      </w:r>
      <w:r w:rsidR="00533FF3" w:rsidRPr="00711E68">
        <w:rPr>
          <w:szCs w:val="22"/>
          <w:lang w:val="sr-Latn-RS"/>
        </w:rPr>
        <w:t>že</w:t>
      </w:r>
      <w:r w:rsidR="00796D3A" w:rsidRPr="00711E68">
        <w:rPr>
          <w:szCs w:val="22"/>
          <w:lang w:val="sr-Latn-RS"/>
        </w:rPr>
        <w:t xml:space="preserve"> </w:t>
      </w:r>
      <w:r w:rsidR="00533FF3" w:rsidRPr="00711E68">
        <w:rPr>
          <w:szCs w:val="22"/>
          <w:lang w:val="sr-Latn-RS"/>
        </w:rPr>
        <w:t>poboljšati sa nastavkom liječenja nakon 16 ned</w:t>
      </w:r>
      <w:r w:rsidR="002009A9" w:rsidRPr="00711E68">
        <w:rPr>
          <w:szCs w:val="22"/>
          <w:lang w:val="sr-Latn-RS"/>
        </w:rPr>
        <w:t>j</w:t>
      </w:r>
      <w:r w:rsidR="00533FF3" w:rsidRPr="00711E68">
        <w:rPr>
          <w:szCs w:val="22"/>
          <w:lang w:val="sr-Latn-RS"/>
        </w:rPr>
        <w:t>elja.</w:t>
      </w:r>
    </w:p>
    <w:p w14:paraId="1B661F46" w14:textId="18D1B469" w:rsidR="00796D3A" w:rsidRPr="00711E68" w:rsidRDefault="00796D3A" w:rsidP="00711E68">
      <w:pPr>
        <w:rPr>
          <w:szCs w:val="22"/>
          <w:u w:val="single"/>
          <w:lang w:val="sr-Latn-RS"/>
        </w:rPr>
      </w:pPr>
      <w:r w:rsidRPr="00711E68">
        <w:rPr>
          <w:szCs w:val="22"/>
          <w:u w:val="single"/>
          <w:lang w:val="sr-Latn-RS"/>
        </w:rPr>
        <w:lastRenderedPageBreak/>
        <w:t>Propuštena doza</w:t>
      </w:r>
    </w:p>
    <w:p w14:paraId="7E3BAC44" w14:textId="4002CFCD" w:rsidR="00F745AA" w:rsidRPr="00711E68" w:rsidRDefault="00F745AA" w:rsidP="00711E68">
      <w:pPr>
        <w:rPr>
          <w:szCs w:val="22"/>
          <w:lang w:val="sr-Latn-RS"/>
        </w:rPr>
      </w:pPr>
    </w:p>
    <w:p w14:paraId="46EAB307" w14:textId="774EF8A1" w:rsidR="00796D3A" w:rsidRPr="00711E68" w:rsidRDefault="00533FF3" w:rsidP="00711E68">
      <w:pPr>
        <w:rPr>
          <w:szCs w:val="22"/>
          <w:lang w:val="sr-Latn-RS"/>
        </w:rPr>
      </w:pPr>
      <w:r w:rsidRPr="00711E68">
        <w:rPr>
          <w:szCs w:val="22"/>
          <w:lang w:val="sr-Latn-RS"/>
        </w:rPr>
        <w:t xml:space="preserve">Ako </w:t>
      </w:r>
      <w:r w:rsidR="00740149" w:rsidRPr="00711E68">
        <w:rPr>
          <w:szCs w:val="22"/>
          <w:lang w:val="sr-Latn-RS"/>
        </w:rPr>
        <w:t>se propusti prim</w:t>
      </w:r>
      <w:r w:rsidR="002C3F8F" w:rsidRPr="00711E68">
        <w:rPr>
          <w:szCs w:val="22"/>
          <w:lang w:val="sr-Latn-RS"/>
        </w:rPr>
        <w:t>j</w:t>
      </w:r>
      <w:r w:rsidR="00740149" w:rsidRPr="00711E68">
        <w:rPr>
          <w:szCs w:val="22"/>
          <w:lang w:val="sr-Latn-RS"/>
        </w:rPr>
        <w:t>ena</w:t>
      </w:r>
      <w:r w:rsidR="00796D3A" w:rsidRPr="00711E68">
        <w:rPr>
          <w:szCs w:val="22"/>
          <w:lang w:val="sr-Latn-RS"/>
        </w:rPr>
        <w:t xml:space="preserve"> doze, </w:t>
      </w:r>
      <w:r w:rsidRPr="00711E68">
        <w:rPr>
          <w:szCs w:val="22"/>
          <w:lang w:val="sr-Latn-RS"/>
        </w:rPr>
        <w:t xml:space="preserve">potrebno je </w:t>
      </w:r>
      <w:r w:rsidR="00740149" w:rsidRPr="00711E68">
        <w:rPr>
          <w:szCs w:val="22"/>
          <w:lang w:val="sr-Latn-RS"/>
        </w:rPr>
        <w:t xml:space="preserve">propuštenu </w:t>
      </w:r>
      <w:r w:rsidR="00796D3A" w:rsidRPr="00711E68">
        <w:rPr>
          <w:szCs w:val="22"/>
          <w:lang w:val="sr-Latn-RS"/>
        </w:rPr>
        <w:t>dozu prim</w:t>
      </w:r>
      <w:r w:rsidR="002C3F8F" w:rsidRPr="00711E68">
        <w:rPr>
          <w:szCs w:val="22"/>
          <w:lang w:val="sr-Latn-RS"/>
        </w:rPr>
        <w:t>ij</w:t>
      </w:r>
      <w:r w:rsidR="00796D3A" w:rsidRPr="00711E68">
        <w:rPr>
          <w:szCs w:val="22"/>
          <w:lang w:val="sr-Latn-RS"/>
        </w:rPr>
        <w:t xml:space="preserve">eniti što je </w:t>
      </w:r>
      <w:r w:rsidR="00076150" w:rsidRPr="00711E68">
        <w:rPr>
          <w:szCs w:val="22"/>
          <w:lang w:val="sr-Latn-RS"/>
        </w:rPr>
        <w:t>pr</w:t>
      </w:r>
      <w:r w:rsidR="002C3F8F" w:rsidRPr="00711E68">
        <w:rPr>
          <w:szCs w:val="22"/>
          <w:lang w:val="sr-Latn-RS"/>
        </w:rPr>
        <w:t>ij</w:t>
      </w:r>
      <w:r w:rsidR="00076150" w:rsidRPr="00711E68">
        <w:rPr>
          <w:szCs w:val="22"/>
          <w:lang w:val="sr-Latn-RS"/>
        </w:rPr>
        <w:t>e</w:t>
      </w:r>
      <w:r w:rsidR="00796D3A" w:rsidRPr="00711E68">
        <w:rPr>
          <w:szCs w:val="22"/>
          <w:lang w:val="sr-Latn-RS"/>
        </w:rPr>
        <w:t xml:space="preserve"> moguće. Nakon toga, </w:t>
      </w:r>
      <w:r w:rsidR="00EF5AA4" w:rsidRPr="00711E68">
        <w:rPr>
          <w:szCs w:val="22"/>
          <w:lang w:val="sr-Latn-RS"/>
        </w:rPr>
        <w:t>potrebno je nastaviti sa primjenom</w:t>
      </w:r>
      <w:r w:rsidR="006B7539" w:rsidRPr="00711E68">
        <w:rPr>
          <w:szCs w:val="22"/>
          <w:lang w:val="sr-Latn-RS"/>
        </w:rPr>
        <w:t xml:space="preserve"> prema uobičaj</w:t>
      </w:r>
      <w:r w:rsidR="00A54291" w:rsidRPr="00711E68">
        <w:rPr>
          <w:szCs w:val="22"/>
          <w:lang w:val="sr-Latn-RS"/>
        </w:rPr>
        <w:t>e</w:t>
      </w:r>
      <w:r w:rsidR="006B7539" w:rsidRPr="00711E68">
        <w:rPr>
          <w:szCs w:val="22"/>
          <w:lang w:val="sr-Latn-RS"/>
        </w:rPr>
        <w:t>nom</w:t>
      </w:r>
      <w:r w:rsidR="00796D3A" w:rsidRPr="00711E68">
        <w:rPr>
          <w:szCs w:val="22"/>
          <w:lang w:val="sr-Latn-RS"/>
        </w:rPr>
        <w:t xml:space="preserve"> rasporedu.</w:t>
      </w:r>
    </w:p>
    <w:p w14:paraId="70DA47F6" w14:textId="0107A521" w:rsidR="00796D3A" w:rsidRPr="00711E68" w:rsidRDefault="00796D3A" w:rsidP="00711E68">
      <w:pPr>
        <w:rPr>
          <w:szCs w:val="22"/>
          <w:lang w:val="sr-Latn-RS"/>
        </w:rPr>
      </w:pPr>
    </w:p>
    <w:p w14:paraId="6BC68545" w14:textId="77777777" w:rsidR="00796D3A" w:rsidRPr="00711E68" w:rsidRDefault="00796D3A" w:rsidP="00711E68">
      <w:pPr>
        <w:pStyle w:val="Header"/>
        <w:tabs>
          <w:tab w:val="clear" w:pos="4536"/>
          <w:tab w:val="clear" w:pos="9072"/>
        </w:tabs>
        <w:snapToGrid w:val="0"/>
        <w:rPr>
          <w:szCs w:val="22"/>
          <w:u w:val="single"/>
          <w:lang w:val="sr-Latn-RS"/>
        </w:rPr>
      </w:pPr>
      <w:r w:rsidRPr="00711E68">
        <w:rPr>
          <w:szCs w:val="22"/>
          <w:u w:val="single"/>
          <w:lang w:val="sr-Latn-RS"/>
        </w:rPr>
        <w:t>Posebne populacije</w:t>
      </w:r>
    </w:p>
    <w:p w14:paraId="1D5680BD" w14:textId="2670F508" w:rsidR="00796D3A" w:rsidRPr="00711E68" w:rsidRDefault="00796D3A" w:rsidP="00711E68">
      <w:pPr>
        <w:rPr>
          <w:szCs w:val="22"/>
          <w:lang w:val="sr-Latn-RS"/>
        </w:rPr>
      </w:pPr>
    </w:p>
    <w:p w14:paraId="56750A99" w14:textId="139AD0B5" w:rsidR="00796D3A" w:rsidRPr="00711E68" w:rsidRDefault="00796D3A" w:rsidP="00711E68">
      <w:pPr>
        <w:rPr>
          <w:i/>
          <w:szCs w:val="22"/>
          <w:lang w:val="sr-Latn-RS"/>
        </w:rPr>
      </w:pPr>
      <w:r w:rsidRPr="00711E68">
        <w:rPr>
          <w:i/>
          <w:szCs w:val="22"/>
          <w:lang w:val="sr-Latn-RS"/>
        </w:rPr>
        <w:t>Stariji pacijenti (</w:t>
      </w:r>
      <w:r w:rsidR="001567E8" w:rsidRPr="00711E68">
        <w:rPr>
          <w:i/>
          <w:szCs w:val="22"/>
          <w:lang w:val="sr-Latn-RS"/>
        </w:rPr>
        <w:t>starosti</w:t>
      </w:r>
      <w:r w:rsidRPr="00711E68">
        <w:rPr>
          <w:i/>
          <w:szCs w:val="22"/>
          <w:lang w:val="sr-Latn-RS"/>
        </w:rPr>
        <w:t xml:space="preserve"> 65 </w:t>
      </w:r>
      <w:r w:rsidR="009A265F" w:rsidRPr="00711E68">
        <w:rPr>
          <w:i/>
          <w:szCs w:val="22"/>
          <w:lang w:val="sr-Latn-RS"/>
        </w:rPr>
        <w:t>i više godina</w:t>
      </w:r>
      <w:r w:rsidRPr="00711E68">
        <w:rPr>
          <w:i/>
          <w:szCs w:val="22"/>
          <w:lang w:val="sr-Latn-RS"/>
        </w:rPr>
        <w:t>)</w:t>
      </w:r>
    </w:p>
    <w:p w14:paraId="1BB4BF08" w14:textId="77777777" w:rsidR="00796D3A" w:rsidRPr="00711E68" w:rsidRDefault="00796D3A" w:rsidP="00711E68">
      <w:pPr>
        <w:rPr>
          <w:i/>
          <w:szCs w:val="22"/>
          <w:lang w:val="sr-Latn-RS"/>
        </w:rPr>
      </w:pPr>
    </w:p>
    <w:p w14:paraId="2134CBAE" w14:textId="414450BF" w:rsidR="00796D3A" w:rsidRPr="00711E68" w:rsidRDefault="00796D3A" w:rsidP="00711E68">
      <w:pPr>
        <w:pStyle w:val="Header"/>
        <w:tabs>
          <w:tab w:val="clear" w:pos="4536"/>
          <w:tab w:val="clear" w:pos="9072"/>
        </w:tabs>
        <w:snapToGrid w:val="0"/>
        <w:rPr>
          <w:szCs w:val="22"/>
          <w:lang w:val="sr-Latn-RS"/>
        </w:rPr>
      </w:pPr>
      <w:r w:rsidRPr="00711E68">
        <w:rPr>
          <w:szCs w:val="22"/>
          <w:lang w:val="sr-Latn-RS"/>
        </w:rPr>
        <w:t>Nije potrebno prilagođavanje doze (vid</w:t>
      </w:r>
      <w:r w:rsidR="002C3F8F" w:rsidRPr="00711E68">
        <w:rPr>
          <w:szCs w:val="22"/>
          <w:lang w:val="sr-Latn-RS"/>
        </w:rPr>
        <w:t>j</w:t>
      </w:r>
      <w:r w:rsidRPr="00711E68">
        <w:rPr>
          <w:szCs w:val="22"/>
          <w:lang w:val="sr-Latn-RS"/>
        </w:rPr>
        <w:t xml:space="preserve">eti </w:t>
      </w:r>
      <w:r w:rsidR="0022483D" w:rsidRPr="00711E68">
        <w:rPr>
          <w:szCs w:val="22"/>
          <w:lang w:val="sr-Latn-RS"/>
        </w:rPr>
        <w:t>dio</w:t>
      </w:r>
      <w:r w:rsidRPr="00711E68">
        <w:rPr>
          <w:szCs w:val="22"/>
          <w:lang w:val="sr-Latn-RS"/>
        </w:rPr>
        <w:t xml:space="preserve"> 5.2).</w:t>
      </w:r>
    </w:p>
    <w:p w14:paraId="20AACD4B" w14:textId="02BF4810" w:rsidR="00796D3A" w:rsidRPr="00711E68" w:rsidRDefault="00796D3A" w:rsidP="00711E68">
      <w:pPr>
        <w:pStyle w:val="Header"/>
        <w:tabs>
          <w:tab w:val="clear" w:pos="4536"/>
          <w:tab w:val="clear" w:pos="9072"/>
        </w:tabs>
        <w:snapToGrid w:val="0"/>
        <w:rPr>
          <w:szCs w:val="22"/>
          <w:lang w:val="sr-Latn-RS"/>
        </w:rPr>
      </w:pPr>
      <w:r w:rsidRPr="00711E68">
        <w:rPr>
          <w:szCs w:val="22"/>
          <w:lang w:val="sr-Latn-RS"/>
        </w:rPr>
        <w:t>Postoje ograničeni podaci o prim</w:t>
      </w:r>
      <w:r w:rsidR="002C3F8F" w:rsidRPr="00711E68">
        <w:rPr>
          <w:szCs w:val="22"/>
          <w:lang w:val="sr-Latn-RS"/>
        </w:rPr>
        <w:t>j</w:t>
      </w:r>
      <w:r w:rsidRPr="00711E68">
        <w:rPr>
          <w:szCs w:val="22"/>
          <w:lang w:val="sr-Latn-RS"/>
        </w:rPr>
        <w:t>eni l</w:t>
      </w:r>
      <w:r w:rsidR="002C3F8F" w:rsidRPr="00711E68">
        <w:rPr>
          <w:szCs w:val="22"/>
          <w:lang w:val="sr-Latn-RS"/>
        </w:rPr>
        <w:t>ij</w:t>
      </w:r>
      <w:r w:rsidRPr="00711E68">
        <w:rPr>
          <w:szCs w:val="22"/>
          <w:lang w:val="sr-Latn-RS"/>
        </w:rPr>
        <w:t xml:space="preserve">eka kod pacijenata </w:t>
      </w:r>
      <w:r w:rsidRPr="00711E68">
        <w:rPr>
          <w:rFonts w:eastAsia="TimesNewRoman"/>
          <w:szCs w:val="22"/>
          <w:lang w:val="sr-Latn-RS"/>
        </w:rPr>
        <w:t>≥</w:t>
      </w:r>
      <w:r w:rsidRPr="00711E68">
        <w:rPr>
          <w:bCs/>
          <w:iCs/>
          <w:szCs w:val="22"/>
          <w:lang w:val="sr-Latn-RS"/>
        </w:rPr>
        <w:t>65 godina.</w:t>
      </w:r>
    </w:p>
    <w:p w14:paraId="5456D339" w14:textId="421E81FC" w:rsidR="00796D3A" w:rsidRPr="00711E68" w:rsidRDefault="00796D3A" w:rsidP="00711E68">
      <w:pPr>
        <w:rPr>
          <w:szCs w:val="22"/>
          <w:lang w:val="sr-Latn-RS"/>
        </w:rPr>
      </w:pPr>
    </w:p>
    <w:p w14:paraId="2ED1B011" w14:textId="48B1C2AE" w:rsidR="00796D3A" w:rsidRPr="00711E68" w:rsidRDefault="00796D3A" w:rsidP="00711E68">
      <w:pPr>
        <w:rPr>
          <w:i/>
          <w:szCs w:val="22"/>
          <w:lang w:val="sr-Latn-RS"/>
        </w:rPr>
      </w:pPr>
      <w:r w:rsidRPr="00711E68">
        <w:rPr>
          <w:i/>
          <w:szCs w:val="22"/>
          <w:lang w:val="sr-Latn-RS"/>
        </w:rPr>
        <w:t>Oštećena funkcija jetre ili bubrega</w:t>
      </w:r>
    </w:p>
    <w:p w14:paraId="276D7FEF" w14:textId="77777777" w:rsidR="00796D3A" w:rsidRPr="00711E68" w:rsidRDefault="00796D3A" w:rsidP="00711E68">
      <w:pPr>
        <w:rPr>
          <w:szCs w:val="22"/>
          <w:lang w:val="sr-Latn-RS"/>
        </w:rPr>
      </w:pPr>
    </w:p>
    <w:p w14:paraId="60B428DF" w14:textId="4CF2B1FB" w:rsidR="00796D3A" w:rsidRPr="00711E68" w:rsidRDefault="00796D3A" w:rsidP="00711E68">
      <w:pPr>
        <w:rPr>
          <w:szCs w:val="22"/>
          <w:lang w:val="sr-Latn-RS"/>
        </w:rPr>
      </w:pPr>
      <w:r w:rsidRPr="00711E68">
        <w:rPr>
          <w:szCs w:val="22"/>
          <w:lang w:val="sr-Latn-RS"/>
        </w:rPr>
        <w:t>Nisu sprovođene</w:t>
      </w:r>
      <w:r w:rsidR="009A265F" w:rsidRPr="00711E68">
        <w:rPr>
          <w:szCs w:val="22"/>
          <w:lang w:val="sr-Latn-RS"/>
        </w:rPr>
        <w:t xml:space="preserve"> posebne</w:t>
      </w:r>
      <w:r w:rsidRPr="00711E68">
        <w:rPr>
          <w:szCs w:val="22"/>
          <w:lang w:val="sr-Latn-RS"/>
        </w:rPr>
        <w:t xml:space="preserve"> studije sa</w:t>
      </w:r>
      <w:r w:rsidR="00076150" w:rsidRPr="00711E68">
        <w:rPr>
          <w:szCs w:val="22"/>
          <w:lang w:val="sr-Latn-RS"/>
        </w:rPr>
        <w:t xml:space="preserve"> </w:t>
      </w:r>
      <w:r w:rsidRPr="00711E68">
        <w:rPr>
          <w:szCs w:val="22"/>
          <w:lang w:val="sr-Latn-RS"/>
        </w:rPr>
        <w:t>svrhom proc</w:t>
      </w:r>
      <w:r w:rsidR="002C3F8F" w:rsidRPr="00711E68">
        <w:rPr>
          <w:szCs w:val="22"/>
          <w:lang w:val="sr-Latn-RS"/>
        </w:rPr>
        <w:t>j</w:t>
      </w:r>
      <w:r w:rsidRPr="00711E68">
        <w:rPr>
          <w:szCs w:val="22"/>
          <w:lang w:val="sr-Latn-RS"/>
        </w:rPr>
        <w:t>ene efekta</w:t>
      </w:r>
      <w:r w:rsidR="00076150" w:rsidRPr="00711E68">
        <w:rPr>
          <w:szCs w:val="22"/>
          <w:lang w:val="sr-Latn-RS"/>
        </w:rPr>
        <w:t xml:space="preserve"> koji</w:t>
      </w:r>
      <w:r w:rsidRPr="00711E68">
        <w:rPr>
          <w:szCs w:val="22"/>
          <w:lang w:val="sr-Latn-RS"/>
        </w:rPr>
        <w:t xml:space="preserve"> </w:t>
      </w:r>
      <w:r w:rsidR="009A265F" w:rsidRPr="00711E68">
        <w:rPr>
          <w:szCs w:val="22"/>
          <w:lang w:val="sr-Latn-RS"/>
        </w:rPr>
        <w:t xml:space="preserve">bi </w:t>
      </w:r>
      <w:r w:rsidRPr="00711E68">
        <w:rPr>
          <w:szCs w:val="22"/>
          <w:lang w:val="sr-Latn-RS"/>
        </w:rPr>
        <w:t>oštećen</w:t>
      </w:r>
      <w:r w:rsidR="009A265F" w:rsidRPr="00711E68">
        <w:rPr>
          <w:szCs w:val="22"/>
          <w:lang w:val="sr-Latn-RS"/>
        </w:rPr>
        <w:t>a</w:t>
      </w:r>
      <w:r w:rsidRPr="00711E68">
        <w:rPr>
          <w:szCs w:val="22"/>
          <w:lang w:val="sr-Latn-RS"/>
        </w:rPr>
        <w:t xml:space="preserve"> </w:t>
      </w:r>
      <w:r w:rsidR="003D4201" w:rsidRPr="00711E68">
        <w:rPr>
          <w:szCs w:val="22"/>
          <w:lang w:val="sr-Latn-RS"/>
        </w:rPr>
        <w:t>funkcij</w:t>
      </w:r>
      <w:r w:rsidR="009A265F" w:rsidRPr="00711E68">
        <w:rPr>
          <w:szCs w:val="22"/>
          <w:lang w:val="sr-Latn-RS"/>
        </w:rPr>
        <w:t>a</w:t>
      </w:r>
      <w:r w:rsidR="003D4201" w:rsidRPr="00711E68">
        <w:rPr>
          <w:szCs w:val="22"/>
          <w:lang w:val="sr-Latn-RS"/>
        </w:rPr>
        <w:t xml:space="preserve"> jetre ili bubrega</w:t>
      </w:r>
      <w:r w:rsidR="00C85BAE" w:rsidRPr="00711E68">
        <w:rPr>
          <w:szCs w:val="22"/>
          <w:lang w:val="sr-Latn-RS"/>
        </w:rPr>
        <w:t xml:space="preserve"> ima</w:t>
      </w:r>
      <w:r w:rsidR="009A265F" w:rsidRPr="00711E68">
        <w:rPr>
          <w:szCs w:val="22"/>
          <w:lang w:val="sr-Latn-RS"/>
        </w:rPr>
        <w:t>la</w:t>
      </w:r>
      <w:r w:rsidR="00C85BAE" w:rsidRPr="00711E68">
        <w:rPr>
          <w:szCs w:val="22"/>
          <w:lang w:val="sr-Latn-RS"/>
        </w:rPr>
        <w:t xml:space="preserve"> </w:t>
      </w:r>
      <w:r w:rsidR="003D4201" w:rsidRPr="00711E68">
        <w:rPr>
          <w:szCs w:val="22"/>
          <w:lang w:val="sr-Latn-RS"/>
        </w:rPr>
        <w:t xml:space="preserve"> na farmakokinetiku l</w:t>
      </w:r>
      <w:r w:rsidR="002C3F8F" w:rsidRPr="00711E68">
        <w:rPr>
          <w:szCs w:val="22"/>
          <w:lang w:val="sr-Latn-RS"/>
        </w:rPr>
        <w:t>ij</w:t>
      </w:r>
      <w:r w:rsidR="003D4201" w:rsidRPr="00711E68">
        <w:rPr>
          <w:szCs w:val="22"/>
          <w:lang w:val="sr-Latn-RS"/>
        </w:rPr>
        <w:t>eka Skyrizi. Uopšteno se ne očekuje da pomenuta stanja imaju značaj</w:t>
      </w:r>
      <w:r w:rsidR="00076150" w:rsidRPr="00711E68">
        <w:rPr>
          <w:szCs w:val="22"/>
          <w:lang w:val="sr-Latn-RS"/>
        </w:rPr>
        <w:t>niji</w:t>
      </w:r>
      <w:r w:rsidR="003D4201" w:rsidRPr="00711E68">
        <w:rPr>
          <w:szCs w:val="22"/>
          <w:lang w:val="sr-Latn-RS"/>
        </w:rPr>
        <w:t xml:space="preserve"> uticaj na farmakokinetiku monoklonskih antit</w:t>
      </w:r>
      <w:r w:rsidR="002C3F8F" w:rsidRPr="00711E68">
        <w:rPr>
          <w:szCs w:val="22"/>
          <w:lang w:val="sr-Latn-RS"/>
        </w:rPr>
        <w:t>ij</w:t>
      </w:r>
      <w:r w:rsidR="003D4201" w:rsidRPr="00711E68">
        <w:rPr>
          <w:szCs w:val="22"/>
          <w:lang w:val="sr-Latn-RS"/>
        </w:rPr>
        <w:t>ela i smatra se da prilagođavanje doze nije potrebno (vid</w:t>
      </w:r>
      <w:r w:rsidR="002C3F8F" w:rsidRPr="00711E68">
        <w:rPr>
          <w:szCs w:val="22"/>
          <w:lang w:val="sr-Latn-RS"/>
        </w:rPr>
        <w:t>j</w:t>
      </w:r>
      <w:r w:rsidR="003D4201" w:rsidRPr="00711E68">
        <w:rPr>
          <w:szCs w:val="22"/>
          <w:lang w:val="sr-Latn-RS"/>
        </w:rPr>
        <w:t xml:space="preserve">eti </w:t>
      </w:r>
      <w:r w:rsidR="0022483D" w:rsidRPr="00711E68">
        <w:rPr>
          <w:szCs w:val="22"/>
          <w:lang w:val="sr-Latn-RS"/>
        </w:rPr>
        <w:t>dio</w:t>
      </w:r>
      <w:r w:rsidR="003D4201" w:rsidRPr="00711E68">
        <w:rPr>
          <w:szCs w:val="22"/>
          <w:lang w:val="sr-Latn-RS"/>
        </w:rPr>
        <w:t xml:space="preserve"> 5.2).</w:t>
      </w:r>
    </w:p>
    <w:p w14:paraId="359122CD" w14:textId="1BF0F262" w:rsidR="003D4201" w:rsidRPr="00711E68" w:rsidRDefault="003D4201" w:rsidP="00711E68">
      <w:pPr>
        <w:rPr>
          <w:szCs w:val="22"/>
          <w:lang w:val="sr-Latn-RS"/>
        </w:rPr>
      </w:pPr>
    </w:p>
    <w:p w14:paraId="058F6043" w14:textId="2D6324E3" w:rsidR="003D4201" w:rsidRPr="00711E68" w:rsidRDefault="003D4201" w:rsidP="00711E68">
      <w:pPr>
        <w:rPr>
          <w:i/>
          <w:szCs w:val="22"/>
          <w:lang w:val="sr-Latn-RS"/>
        </w:rPr>
      </w:pPr>
      <w:r w:rsidRPr="00711E68">
        <w:rPr>
          <w:i/>
          <w:szCs w:val="22"/>
          <w:lang w:val="sr-Latn-RS"/>
        </w:rPr>
        <w:t>Pedijatrijska populacija</w:t>
      </w:r>
    </w:p>
    <w:p w14:paraId="4F8AE484" w14:textId="1E6D83CE" w:rsidR="003D4201" w:rsidRPr="00711E68" w:rsidRDefault="003D4201" w:rsidP="00711E68">
      <w:pPr>
        <w:rPr>
          <w:szCs w:val="22"/>
          <w:lang w:val="sr-Latn-RS"/>
        </w:rPr>
      </w:pPr>
    </w:p>
    <w:p w14:paraId="6A66463B" w14:textId="5D170D81" w:rsidR="003D4201" w:rsidRPr="00711E68" w:rsidRDefault="003D4201" w:rsidP="00711E68">
      <w:pPr>
        <w:rPr>
          <w:szCs w:val="22"/>
          <w:lang w:val="sr-Latn-RS"/>
        </w:rPr>
      </w:pPr>
      <w:r w:rsidRPr="00711E68">
        <w:rPr>
          <w:szCs w:val="22"/>
          <w:lang w:val="sr-Latn-RS"/>
        </w:rPr>
        <w:t>Bezb</w:t>
      </w:r>
      <w:r w:rsidR="002C3F8F" w:rsidRPr="00711E68">
        <w:rPr>
          <w:szCs w:val="22"/>
          <w:lang w:val="sr-Latn-RS"/>
        </w:rPr>
        <w:t>j</w:t>
      </w:r>
      <w:r w:rsidRPr="00711E68">
        <w:rPr>
          <w:szCs w:val="22"/>
          <w:lang w:val="sr-Latn-RS"/>
        </w:rPr>
        <w:t>ednost i efikasnost l</w:t>
      </w:r>
      <w:r w:rsidR="002C3F8F" w:rsidRPr="00711E68">
        <w:rPr>
          <w:szCs w:val="22"/>
          <w:lang w:val="sr-Latn-RS"/>
        </w:rPr>
        <w:t>ij</w:t>
      </w:r>
      <w:r w:rsidRPr="00711E68">
        <w:rPr>
          <w:szCs w:val="22"/>
          <w:lang w:val="sr-Latn-RS"/>
        </w:rPr>
        <w:t>eka Skyrizi kod d</w:t>
      </w:r>
      <w:r w:rsidR="002C3F8F" w:rsidRPr="00711E68">
        <w:rPr>
          <w:szCs w:val="22"/>
          <w:lang w:val="sr-Latn-RS"/>
        </w:rPr>
        <w:t>j</w:t>
      </w:r>
      <w:r w:rsidRPr="00711E68">
        <w:rPr>
          <w:szCs w:val="22"/>
          <w:lang w:val="sr-Latn-RS"/>
        </w:rPr>
        <w:t>ece i adolescenata uzrasta od 6 do 18 godina ni</w:t>
      </w:r>
      <w:r w:rsidR="008F0BE7" w:rsidRPr="00711E68">
        <w:rPr>
          <w:szCs w:val="22"/>
          <w:lang w:val="sr-Latn-RS"/>
        </w:rPr>
        <w:t>je</w:t>
      </w:r>
      <w:r w:rsidRPr="00711E68">
        <w:rPr>
          <w:szCs w:val="22"/>
          <w:lang w:val="sr-Latn-RS"/>
        </w:rPr>
        <w:t xml:space="preserve">su </w:t>
      </w:r>
      <w:r w:rsidR="006B7539" w:rsidRPr="00711E68">
        <w:rPr>
          <w:szCs w:val="22"/>
          <w:lang w:val="sr-Latn-RS"/>
        </w:rPr>
        <w:t xml:space="preserve">još </w:t>
      </w:r>
      <w:r w:rsidRPr="00711E68">
        <w:rPr>
          <w:szCs w:val="22"/>
          <w:lang w:val="sr-Latn-RS"/>
        </w:rPr>
        <w:t>ustanovljene. Nema dostupnih podataka.</w:t>
      </w:r>
    </w:p>
    <w:p w14:paraId="3FFB646B" w14:textId="2A482BFF" w:rsidR="003D4201" w:rsidRPr="00711E68" w:rsidRDefault="003D4201" w:rsidP="00711E68">
      <w:pPr>
        <w:rPr>
          <w:szCs w:val="22"/>
          <w:lang w:val="sr-Latn-RS"/>
        </w:rPr>
      </w:pPr>
    </w:p>
    <w:p w14:paraId="2DCCA849" w14:textId="66CFD211" w:rsidR="003D4201" w:rsidRPr="00711E68" w:rsidRDefault="003D4201" w:rsidP="00711E68">
      <w:pPr>
        <w:rPr>
          <w:szCs w:val="22"/>
          <w:lang w:val="sr-Latn-RS"/>
        </w:rPr>
      </w:pPr>
      <w:r w:rsidRPr="00711E68">
        <w:rPr>
          <w:szCs w:val="22"/>
          <w:lang w:val="sr-Latn-RS"/>
        </w:rPr>
        <w:t>Nema relevantne prim</w:t>
      </w:r>
      <w:r w:rsidR="00F61553" w:rsidRPr="00711E68">
        <w:rPr>
          <w:szCs w:val="22"/>
          <w:lang w:val="sr-Latn-RS"/>
        </w:rPr>
        <w:t>j</w:t>
      </w:r>
      <w:r w:rsidRPr="00711E68">
        <w:rPr>
          <w:szCs w:val="22"/>
          <w:lang w:val="sr-Latn-RS"/>
        </w:rPr>
        <w:t>ene l</w:t>
      </w:r>
      <w:r w:rsidR="00A74CAF" w:rsidRPr="00711E68">
        <w:rPr>
          <w:szCs w:val="22"/>
          <w:lang w:val="sr-Latn-RS"/>
        </w:rPr>
        <w:t>ij</w:t>
      </w:r>
      <w:r w:rsidRPr="00711E68">
        <w:rPr>
          <w:szCs w:val="22"/>
          <w:lang w:val="sr-Latn-RS"/>
        </w:rPr>
        <w:t>eka Skyrizi kod d</w:t>
      </w:r>
      <w:r w:rsidR="00F61553" w:rsidRPr="00711E68">
        <w:rPr>
          <w:szCs w:val="22"/>
          <w:lang w:val="sr-Latn-RS"/>
        </w:rPr>
        <w:t>j</w:t>
      </w:r>
      <w:r w:rsidRPr="00711E68">
        <w:rPr>
          <w:szCs w:val="22"/>
          <w:lang w:val="sr-Latn-RS"/>
        </w:rPr>
        <w:t>ece mlađe od 6 godina u indikaciji um</w:t>
      </w:r>
      <w:r w:rsidR="000E119C" w:rsidRPr="00711E68">
        <w:rPr>
          <w:szCs w:val="22"/>
          <w:lang w:val="sr-Latn-RS"/>
        </w:rPr>
        <w:t>j</w:t>
      </w:r>
      <w:r w:rsidRPr="00711E68">
        <w:rPr>
          <w:szCs w:val="22"/>
          <w:lang w:val="sr-Latn-RS"/>
        </w:rPr>
        <w:t>erene do teške plak psorijaze.</w:t>
      </w:r>
    </w:p>
    <w:p w14:paraId="7741492A" w14:textId="495CEBB4" w:rsidR="003D4201" w:rsidRPr="00711E68" w:rsidRDefault="003D4201" w:rsidP="00711E68">
      <w:pPr>
        <w:rPr>
          <w:i/>
          <w:szCs w:val="22"/>
          <w:lang w:val="sr-Latn-RS"/>
        </w:rPr>
      </w:pPr>
    </w:p>
    <w:p w14:paraId="0CCB2439" w14:textId="35455B70" w:rsidR="003D4201" w:rsidRPr="00711E68" w:rsidRDefault="00224A0E" w:rsidP="00711E68">
      <w:pPr>
        <w:rPr>
          <w:i/>
          <w:szCs w:val="22"/>
          <w:lang w:val="sr-Latn-RS"/>
        </w:rPr>
      </w:pPr>
      <w:r w:rsidRPr="00711E68">
        <w:rPr>
          <w:i/>
          <w:szCs w:val="22"/>
          <w:lang w:val="sr-Latn-RS"/>
        </w:rPr>
        <w:t xml:space="preserve">Pacijenti </w:t>
      </w:r>
      <w:r w:rsidR="00A74CAF" w:rsidRPr="00711E68">
        <w:rPr>
          <w:i/>
          <w:szCs w:val="22"/>
          <w:lang w:val="sr-Latn-RS"/>
        </w:rPr>
        <w:t xml:space="preserve">sa </w:t>
      </w:r>
      <w:r w:rsidRPr="00711E68">
        <w:rPr>
          <w:i/>
          <w:szCs w:val="22"/>
          <w:lang w:val="sr-Latn-RS"/>
        </w:rPr>
        <w:t>prekom</w:t>
      </w:r>
      <w:r w:rsidR="000E119C" w:rsidRPr="00711E68">
        <w:rPr>
          <w:i/>
          <w:szCs w:val="22"/>
          <w:lang w:val="sr-Latn-RS"/>
        </w:rPr>
        <w:t>j</w:t>
      </w:r>
      <w:r w:rsidRPr="00711E68">
        <w:rPr>
          <w:i/>
          <w:szCs w:val="22"/>
          <w:lang w:val="sr-Latn-RS"/>
        </w:rPr>
        <w:t>ern</w:t>
      </w:r>
      <w:r w:rsidR="00A74CAF" w:rsidRPr="00711E68">
        <w:rPr>
          <w:i/>
          <w:szCs w:val="22"/>
          <w:lang w:val="sr-Latn-RS"/>
        </w:rPr>
        <w:t>om</w:t>
      </w:r>
      <w:r w:rsidRPr="00711E68">
        <w:rPr>
          <w:i/>
          <w:szCs w:val="22"/>
          <w:lang w:val="sr-Latn-RS"/>
        </w:rPr>
        <w:t xml:space="preserve"> t</w:t>
      </w:r>
      <w:r w:rsidR="000E119C" w:rsidRPr="00711E68">
        <w:rPr>
          <w:i/>
          <w:szCs w:val="22"/>
          <w:lang w:val="sr-Latn-RS"/>
        </w:rPr>
        <w:t>j</w:t>
      </w:r>
      <w:r w:rsidRPr="00711E68">
        <w:rPr>
          <w:i/>
          <w:szCs w:val="22"/>
          <w:lang w:val="sr-Latn-RS"/>
        </w:rPr>
        <w:t>elesn</w:t>
      </w:r>
      <w:r w:rsidR="00A74CAF" w:rsidRPr="00711E68">
        <w:rPr>
          <w:i/>
          <w:szCs w:val="22"/>
          <w:lang w:val="sr-Latn-RS"/>
        </w:rPr>
        <w:t>om</w:t>
      </w:r>
      <w:r w:rsidRPr="00711E68">
        <w:rPr>
          <w:i/>
          <w:szCs w:val="22"/>
          <w:lang w:val="sr-Latn-RS"/>
        </w:rPr>
        <w:t xml:space="preserve"> </w:t>
      </w:r>
      <w:r w:rsidR="00FB2F54" w:rsidRPr="00711E68">
        <w:rPr>
          <w:i/>
          <w:szCs w:val="22"/>
          <w:lang w:val="sr-Latn-RS"/>
        </w:rPr>
        <w:t>masom</w:t>
      </w:r>
    </w:p>
    <w:p w14:paraId="5EF97065" w14:textId="77777777" w:rsidR="003D4201" w:rsidRPr="00711E68" w:rsidRDefault="003D4201" w:rsidP="00711E68">
      <w:pPr>
        <w:rPr>
          <w:szCs w:val="22"/>
          <w:lang w:val="sr-Latn-RS"/>
        </w:rPr>
      </w:pPr>
    </w:p>
    <w:p w14:paraId="6704B705" w14:textId="616575B7" w:rsidR="003D4201" w:rsidRPr="00711E68" w:rsidRDefault="003D4201" w:rsidP="00711E68">
      <w:pPr>
        <w:pStyle w:val="Header"/>
        <w:tabs>
          <w:tab w:val="clear" w:pos="4536"/>
          <w:tab w:val="clear" w:pos="9072"/>
        </w:tabs>
        <w:snapToGrid w:val="0"/>
        <w:rPr>
          <w:szCs w:val="22"/>
          <w:lang w:val="sr-Latn-RS"/>
        </w:rPr>
      </w:pPr>
      <w:r w:rsidRPr="00711E68">
        <w:rPr>
          <w:szCs w:val="22"/>
          <w:lang w:val="sr-Latn-RS"/>
        </w:rPr>
        <w:t>Nije potrebno prilagođavanje doze (vid</w:t>
      </w:r>
      <w:r w:rsidR="000E119C" w:rsidRPr="00711E68">
        <w:rPr>
          <w:szCs w:val="22"/>
          <w:lang w:val="sr-Latn-RS"/>
        </w:rPr>
        <w:t>j</w:t>
      </w:r>
      <w:r w:rsidRPr="00711E68">
        <w:rPr>
          <w:szCs w:val="22"/>
          <w:lang w:val="sr-Latn-RS"/>
        </w:rPr>
        <w:t xml:space="preserve">eti </w:t>
      </w:r>
      <w:r w:rsidR="0022483D" w:rsidRPr="00711E68">
        <w:rPr>
          <w:szCs w:val="22"/>
          <w:lang w:val="sr-Latn-RS"/>
        </w:rPr>
        <w:t>dio</w:t>
      </w:r>
      <w:r w:rsidRPr="00711E68">
        <w:rPr>
          <w:szCs w:val="22"/>
          <w:lang w:val="sr-Latn-RS"/>
        </w:rPr>
        <w:t xml:space="preserve"> 5.2).</w:t>
      </w:r>
    </w:p>
    <w:p w14:paraId="652C13E9" w14:textId="0AC4AD44" w:rsidR="003D4201" w:rsidRPr="00711E68" w:rsidRDefault="003D4201" w:rsidP="00711E68">
      <w:pPr>
        <w:rPr>
          <w:szCs w:val="22"/>
          <w:lang w:val="sr-Latn-RS"/>
        </w:rPr>
      </w:pPr>
    </w:p>
    <w:p w14:paraId="11DA70F9" w14:textId="39038BCE" w:rsidR="005F04B5" w:rsidRPr="00711E68" w:rsidRDefault="005F04B5" w:rsidP="00711E68">
      <w:pPr>
        <w:tabs>
          <w:tab w:val="clear" w:pos="284"/>
        </w:tabs>
        <w:rPr>
          <w:szCs w:val="22"/>
          <w:u w:val="single"/>
          <w:lang w:val="sr-Latn-RS"/>
        </w:rPr>
      </w:pPr>
      <w:r w:rsidRPr="00711E68">
        <w:rPr>
          <w:szCs w:val="22"/>
          <w:u w:val="single"/>
          <w:lang w:val="sr-Latn-RS"/>
        </w:rPr>
        <w:t>Način prim</w:t>
      </w:r>
      <w:r w:rsidR="000E119C" w:rsidRPr="00711E68">
        <w:rPr>
          <w:szCs w:val="22"/>
          <w:u w:val="single"/>
          <w:lang w:val="sr-Latn-RS"/>
        </w:rPr>
        <w:t>j</w:t>
      </w:r>
      <w:r w:rsidRPr="00711E68">
        <w:rPr>
          <w:szCs w:val="22"/>
          <w:u w:val="single"/>
          <w:lang w:val="sr-Latn-RS"/>
        </w:rPr>
        <w:t>ene</w:t>
      </w:r>
    </w:p>
    <w:p w14:paraId="042CCADD" w14:textId="77777777" w:rsidR="005F04B5" w:rsidRPr="00711E68" w:rsidRDefault="005F04B5" w:rsidP="00711E68">
      <w:pPr>
        <w:tabs>
          <w:tab w:val="clear" w:pos="284"/>
        </w:tabs>
        <w:rPr>
          <w:szCs w:val="22"/>
          <w:u w:val="single"/>
          <w:lang w:val="sr-Latn-RS"/>
        </w:rPr>
      </w:pPr>
    </w:p>
    <w:p w14:paraId="3637B2FD" w14:textId="646F907D" w:rsidR="005F04B5" w:rsidRPr="00711E68" w:rsidRDefault="005F04B5" w:rsidP="00711E68">
      <w:pPr>
        <w:rPr>
          <w:szCs w:val="22"/>
          <w:lang w:val="sr-Latn-RS"/>
        </w:rPr>
      </w:pPr>
      <w:r w:rsidRPr="00711E68">
        <w:rPr>
          <w:szCs w:val="22"/>
          <w:lang w:val="sr-Latn-RS"/>
        </w:rPr>
        <w:t>L</w:t>
      </w:r>
      <w:r w:rsidR="000E119C" w:rsidRPr="00711E68">
        <w:rPr>
          <w:szCs w:val="22"/>
          <w:lang w:val="sr-Latn-RS"/>
        </w:rPr>
        <w:t>ij</w:t>
      </w:r>
      <w:r w:rsidRPr="00711E68">
        <w:rPr>
          <w:szCs w:val="22"/>
          <w:lang w:val="sr-Latn-RS"/>
        </w:rPr>
        <w:t>ek Skyrizi se prim</w:t>
      </w:r>
      <w:r w:rsidR="000E119C" w:rsidRPr="00711E68">
        <w:rPr>
          <w:szCs w:val="22"/>
          <w:lang w:val="sr-Latn-RS"/>
        </w:rPr>
        <w:t>j</w:t>
      </w:r>
      <w:r w:rsidRPr="00711E68">
        <w:rPr>
          <w:szCs w:val="22"/>
          <w:lang w:val="sr-Latn-RS"/>
        </w:rPr>
        <w:t xml:space="preserve">enjuje </w:t>
      </w:r>
      <w:r w:rsidR="006022B0" w:rsidRPr="00711E68">
        <w:rPr>
          <w:szCs w:val="22"/>
          <w:lang w:val="sr-Latn-RS"/>
        </w:rPr>
        <w:t xml:space="preserve">subkutanom </w:t>
      </w:r>
      <w:r w:rsidRPr="00711E68">
        <w:rPr>
          <w:szCs w:val="22"/>
          <w:lang w:val="sr-Latn-RS"/>
        </w:rPr>
        <w:t>injekcij</w:t>
      </w:r>
      <w:r w:rsidR="00A74CAF" w:rsidRPr="00711E68">
        <w:rPr>
          <w:szCs w:val="22"/>
          <w:lang w:val="sr-Latn-RS"/>
        </w:rPr>
        <w:t>om.</w:t>
      </w:r>
      <w:r w:rsidRPr="00711E68">
        <w:rPr>
          <w:szCs w:val="22"/>
          <w:lang w:val="sr-Latn-RS"/>
        </w:rPr>
        <w:t xml:space="preserve"> </w:t>
      </w:r>
      <w:r w:rsidR="00A848DB" w:rsidRPr="00711E68">
        <w:rPr>
          <w:szCs w:val="22"/>
          <w:lang w:val="sr-Latn-RS"/>
        </w:rPr>
        <w:t xml:space="preserve">Kod </w:t>
      </w:r>
      <w:r w:rsidRPr="00711E68">
        <w:rPr>
          <w:szCs w:val="22"/>
          <w:lang w:val="sr-Latn-RS"/>
        </w:rPr>
        <w:t>prim</w:t>
      </w:r>
      <w:r w:rsidR="000E119C" w:rsidRPr="00711E68">
        <w:rPr>
          <w:szCs w:val="22"/>
          <w:lang w:val="sr-Latn-RS"/>
        </w:rPr>
        <w:t>j</w:t>
      </w:r>
      <w:r w:rsidRPr="00711E68">
        <w:rPr>
          <w:szCs w:val="22"/>
          <w:lang w:val="sr-Latn-RS"/>
        </w:rPr>
        <w:t>en</w:t>
      </w:r>
      <w:r w:rsidR="00A848DB" w:rsidRPr="00711E68">
        <w:rPr>
          <w:szCs w:val="22"/>
          <w:lang w:val="sr-Latn-RS"/>
        </w:rPr>
        <w:t>e</w:t>
      </w:r>
      <w:r w:rsidRPr="00711E68">
        <w:rPr>
          <w:szCs w:val="22"/>
          <w:lang w:val="sr-Latn-RS"/>
        </w:rPr>
        <w:t xml:space="preserve"> svake doze, injekcije </w:t>
      </w:r>
      <w:r w:rsidR="00E31CB2" w:rsidRPr="00711E68">
        <w:rPr>
          <w:szCs w:val="22"/>
          <w:lang w:val="sr-Latn-RS"/>
        </w:rPr>
        <w:t xml:space="preserve">se moraju primijeniti </w:t>
      </w:r>
      <w:r w:rsidR="0014739D" w:rsidRPr="00711E68">
        <w:rPr>
          <w:szCs w:val="22"/>
          <w:lang w:val="sr-Latn-RS"/>
        </w:rPr>
        <w:t xml:space="preserve">u </w:t>
      </w:r>
      <w:r w:rsidRPr="00711E68">
        <w:rPr>
          <w:szCs w:val="22"/>
          <w:lang w:val="sr-Latn-RS"/>
        </w:rPr>
        <w:t>različit</w:t>
      </w:r>
      <w:r w:rsidR="0014739D" w:rsidRPr="00711E68">
        <w:rPr>
          <w:szCs w:val="22"/>
          <w:lang w:val="sr-Latn-RS"/>
        </w:rPr>
        <w:t>a</w:t>
      </w:r>
      <w:r w:rsidRPr="00711E68">
        <w:rPr>
          <w:szCs w:val="22"/>
          <w:lang w:val="sr-Latn-RS"/>
        </w:rPr>
        <w:t xml:space="preserve"> anatomsk</w:t>
      </w:r>
      <w:r w:rsidR="0014739D" w:rsidRPr="00711E68">
        <w:rPr>
          <w:szCs w:val="22"/>
          <w:lang w:val="sr-Latn-RS"/>
        </w:rPr>
        <w:t>a</w:t>
      </w:r>
      <w:r w:rsidRPr="00711E68">
        <w:rPr>
          <w:szCs w:val="22"/>
          <w:lang w:val="sr-Latn-RS"/>
        </w:rPr>
        <w:t xml:space="preserve"> </w:t>
      </w:r>
      <w:r w:rsidR="00AF497E" w:rsidRPr="00711E68">
        <w:rPr>
          <w:szCs w:val="22"/>
          <w:lang w:val="sr-Latn-RS"/>
        </w:rPr>
        <w:t>mjesta</w:t>
      </w:r>
      <w:r w:rsidRPr="00711E68">
        <w:rPr>
          <w:szCs w:val="22"/>
          <w:lang w:val="sr-Latn-RS"/>
        </w:rPr>
        <w:t xml:space="preserve"> (kao što su butine ili abdomen), a</w:t>
      </w:r>
      <w:r w:rsidR="00AF497E" w:rsidRPr="00711E68">
        <w:rPr>
          <w:szCs w:val="22"/>
          <w:lang w:val="sr-Latn-RS"/>
        </w:rPr>
        <w:t>li se ne sm</w:t>
      </w:r>
      <w:r w:rsidR="006022B0" w:rsidRPr="00711E68">
        <w:rPr>
          <w:szCs w:val="22"/>
          <w:lang w:val="sr-Latn-RS"/>
        </w:rPr>
        <w:t>i</w:t>
      </w:r>
      <w:r w:rsidR="00AF497E" w:rsidRPr="00711E68">
        <w:rPr>
          <w:szCs w:val="22"/>
          <w:lang w:val="sr-Latn-RS"/>
        </w:rPr>
        <w:t xml:space="preserve">ju primijeniti u područja </w:t>
      </w:r>
      <w:r w:rsidRPr="00711E68">
        <w:rPr>
          <w:szCs w:val="22"/>
          <w:lang w:val="sr-Latn-RS"/>
        </w:rPr>
        <w:t xml:space="preserve"> n</w:t>
      </w:r>
      <w:r w:rsidR="00B216D1" w:rsidRPr="00711E68">
        <w:rPr>
          <w:szCs w:val="22"/>
          <w:lang w:val="sr-Latn-RS"/>
        </w:rPr>
        <w:t xml:space="preserve">a kojima je </w:t>
      </w:r>
      <w:r w:rsidRPr="00711E68">
        <w:rPr>
          <w:szCs w:val="22"/>
          <w:lang w:val="sr-Latn-RS"/>
        </w:rPr>
        <w:t>koža os</w:t>
      </w:r>
      <w:r w:rsidR="000E119C" w:rsidRPr="00711E68">
        <w:rPr>
          <w:szCs w:val="22"/>
          <w:lang w:val="sr-Latn-RS"/>
        </w:rPr>
        <w:t>j</w:t>
      </w:r>
      <w:r w:rsidRPr="00711E68">
        <w:rPr>
          <w:szCs w:val="22"/>
          <w:lang w:val="sr-Latn-RS"/>
        </w:rPr>
        <w:t>etljiva</w:t>
      </w:r>
      <w:r w:rsidR="00B216D1" w:rsidRPr="00711E68">
        <w:rPr>
          <w:szCs w:val="22"/>
          <w:lang w:val="sr-Latn-RS"/>
        </w:rPr>
        <w:t xml:space="preserve"> na dodir</w:t>
      </w:r>
      <w:r w:rsidRPr="00711E68">
        <w:rPr>
          <w:szCs w:val="22"/>
          <w:lang w:val="sr-Latn-RS"/>
        </w:rPr>
        <w:t xml:space="preserve">, </w:t>
      </w:r>
      <w:r w:rsidR="00476FFE" w:rsidRPr="00711E68">
        <w:rPr>
          <w:szCs w:val="22"/>
          <w:lang w:val="sr-Latn-RS"/>
        </w:rPr>
        <w:t>prekrivena</w:t>
      </w:r>
      <w:r w:rsidRPr="00711E68">
        <w:rPr>
          <w:szCs w:val="22"/>
          <w:lang w:val="sr-Latn-RS"/>
        </w:rPr>
        <w:t xml:space="preserve"> modricama, eritematozna, </w:t>
      </w:r>
      <w:r w:rsidR="00E01E81" w:rsidRPr="00711E68">
        <w:rPr>
          <w:szCs w:val="22"/>
          <w:lang w:val="sr-Latn-RS"/>
        </w:rPr>
        <w:t>o</w:t>
      </w:r>
      <w:r w:rsidRPr="00711E68">
        <w:rPr>
          <w:szCs w:val="22"/>
          <w:lang w:val="sr-Latn-RS"/>
        </w:rPr>
        <w:t>tvrd</w:t>
      </w:r>
      <w:r w:rsidR="00E01E81" w:rsidRPr="00711E68">
        <w:rPr>
          <w:szCs w:val="22"/>
          <w:lang w:val="sr-Latn-RS"/>
        </w:rPr>
        <w:t>nu</w:t>
      </w:r>
      <w:r w:rsidR="008F0BE7" w:rsidRPr="00711E68">
        <w:rPr>
          <w:szCs w:val="22"/>
          <w:lang w:val="sr-Latn-RS"/>
        </w:rPr>
        <w:t>l</w:t>
      </w:r>
      <w:r w:rsidRPr="00711E68">
        <w:rPr>
          <w:szCs w:val="22"/>
          <w:lang w:val="sr-Latn-RS"/>
        </w:rPr>
        <w:t>a ili zahvaćena psorijazom. Prim</w:t>
      </w:r>
      <w:r w:rsidR="000E119C" w:rsidRPr="00711E68">
        <w:rPr>
          <w:szCs w:val="22"/>
          <w:lang w:val="sr-Latn-RS"/>
        </w:rPr>
        <w:t>j</w:t>
      </w:r>
      <w:r w:rsidRPr="00711E68">
        <w:rPr>
          <w:szCs w:val="22"/>
          <w:lang w:val="sr-Latn-RS"/>
        </w:rPr>
        <w:t>enu l</w:t>
      </w:r>
      <w:r w:rsidR="000E119C" w:rsidRPr="00711E68">
        <w:rPr>
          <w:szCs w:val="22"/>
          <w:lang w:val="sr-Latn-RS"/>
        </w:rPr>
        <w:t>ij</w:t>
      </w:r>
      <w:r w:rsidRPr="00711E68">
        <w:rPr>
          <w:szCs w:val="22"/>
          <w:lang w:val="sr-Latn-RS"/>
        </w:rPr>
        <w:t>eka Skyrizi u spolj</w:t>
      </w:r>
      <w:r w:rsidR="00F528DA" w:rsidRPr="00711E68">
        <w:rPr>
          <w:szCs w:val="22"/>
          <w:lang w:val="sr-Latn-RS"/>
        </w:rPr>
        <w:t>ni dio</w:t>
      </w:r>
      <w:r w:rsidRPr="00711E68">
        <w:rPr>
          <w:szCs w:val="22"/>
          <w:lang w:val="sr-Latn-RS"/>
        </w:rPr>
        <w:t xml:space="preserve"> nadlaktice sm</w:t>
      </w:r>
      <w:r w:rsidR="000E119C" w:rsidRPr="00711E68">
        <w:rPr>
          <w:szCs w:val="22"/>
          <w:lang w:val="sr-Latn-RS"/>
        </w:rPr>
        <w:t>ij</w:t>
      </w:r>
      <w:r w:rsidRPr="00711E68">
        <w:rPr>
          <w:szCs w:val="22"/>
          <w:lang w:val="sr-Latn-RS"/>
        </w:rPr>
        <w:t xml:space="preserve">e vršiti samo zdravstveni </w:t>
      </w:r>
      <w:r w:rsidR="00F528DA" w:rsidRPr="00711E68">
        <w:rPr>
          <w:szCs w:val="22"/>
          <w:lang w:val="sr-Latn-RS"/>
        </w:rPr>
        <w:t>radnik</w:t>
      </w:r>
      <w:r w:rsidRPr="00711E68">
        <w:rPr>
          <w:szCs w:val="22"/>
          <w:lang w:val="sr-Latn-RS"/>
        </w:rPr>
        <w:t xml:space="preserve"> ili </w:t>
      </w:r>
      <w:r w:rsidR="00F528DA" w:rsidRPr="00711E68">
        <w:rPr>
          <w:szCs w:val="22"/>
          <w:lang w:val="sr-Latn-RS"/>
        </w:rPr>
        <w:t>Vaš staratelj.</w:t>
      </w:r>
    </w:p>
    <w:p w14:paraId="04BB9631" w14:textId="2B7D938B" w:rsidR="005F04B5" w:rsidRPr="00711E68" w:rsidRDefault="005F04B5" w:rsidP="00711E68">
      <w:pPr>
        <w:rPr>
          <w:szCs w:val="22"/>
          <w:lang w:val="sr-Latn-RS"/>
        </w:rPr>
      </w:pPr>
    </w:p>
    <w:p w14:paraId="149006A4" w14:textId="1F5D8C82" w:rsidR="005F04B5" w:rsidRPr="00711E68" w:rsidRDefault="005F04B5" w:rsidP="00711E68">
      <w:pPr>
        <w:rPr>
          <w:szCs w:val="22"/>
          <w:lang w:val="sr-Latn-RS"/>
        </w:rPr>
      </w:pPr>
      <w:r w:rsidRPr="00711E68">
        <w:rPr>
          <w:szCs w:val="22"/>
          <w:lang w:val="sr-Latn-RS"/>
        </w:rPr>
        <w:t>Pacijenti</w:t>
      </w:r>
      <w:r w:rsidR="00F528DA" w:rsidRPr="00711E68">
        <w:rPr>
          <w:szCs w:val="22"/>
          <w:lang w:val="sr-Latn-RS"/>
        </w:rPr>
        <w:t xml:space="preserve"> </w:t>
      </w:r>
      <w:r w:rsidRPr="00711E68">
        <w:rPr>
          <w:szCs w:val="22"/>
          <w:lang w:val="sr-Latn-RS"/>
        </w:rPr>
        <w:t xml:space="preserve">mogu </w:t>
      </w:r>
      <w:r w:rsidR="00305478" w:rsidRPr="00711E68">
        <w:rPr>
          <w:szCs w:val="22"/>
          <w:lang w:val="sr-Latn-RS"/>
        </w:rPr>
        <w:t xml:space="preserve">samostalno </w:t>
      </w:r>
      <w:r w:rsidR="0032286C" w:rsidRPr="00711E68">
        <w:rPr>
          <w:szCs w:val="22"/>
          <w:lang w:val="sr-Latn-RS"/>
        </w:rPr>
        <w:t>injektovati</w:t>
      </w:r>
      <w:r w:rsidRPr="00711E68">
        <w:rPr>
          <w:szCs w:val="22"/>
          <w:lang w:val="sr-Latn-RS"/>
        </w:rPr>
        <w:t xml:space="preserve"> l</w:t>
      </w:r>
      <w:r w:rsidR="000E119C" w:rsidRPr="00711E68">
        <w:rPr>
          <w:szCs w:val="22"/>
          <w:lang w:val="sr-Latn-RS"/>
        </w:rPr>
        <w:t>ij</w:t>
      </w:r>
      <w:r w:rsidRPr="00711E68">
        <w:rPr>
          <w:szCs w:val="22"/>
          <w:lang w:val="sr-Latn-RS"/>
        </w:rPr>
        <w:t xml:space="preserve">ek Skyrizi nakon obuke u tehnici </w:t>
      </w:r>
      <w:r w:rsidR="006022B0" w:rsidRPr="00711E68">
        <w:rPr>
          <w:szCs w:val="22"/>
          <w:lang w:val="sr-Latn-RS"/>
        </w:rPr>
        <w:t xml:space="preserve">subkutanog </w:t>
      </w:r>
      <w:r w:rsidRPr="00711E68">
        <w:rPr>
          <w:szCs w:val="22"/>
          <w:lang w:val="sr-Latn-RS"/>
        </w:rPr>
        <w:t>injek</w:t>
      </w:r>
      <w:r w:rsidR="00107C7F" w:rsidRPr="00711E68">
        <w:rPr>
          <w:szCs w:val="22"/>
          <w:lang w:val="sr-Latn-RS"/>
        </w:rPr>
        <w:t>tovanja.</w:t>
      </w:r>
      <w:r w:rsidRPr="00711E68">
        <w:rPr>
          <w:szCs w:val="22"/>
          <w:lang w:val="sr-Latn-RS"/>
        </w:rPr>
        <w:t xml:space="preserve"> Pacijente </w:t>
      </w:r>
      <w:r w:rsidR="00107C7F" w:rsidRPr="00711E68">
        <w:rPr>
          <w:szCs w:val="22"/>
          <w:lang w:val="sr-Latn-RS"/>
        </w:rPr>
        <w:t xml:space="preserve">je potrebno </w:t>
      </w:r>
      <w:r w:rsidRPr="00711E68">
        <w:rPr>
          <w:szCs w:val="22"/>
          <w:lang w:val="sr-Latn-RS"/>
        </w:rPr>
        <w:t xml:space="preserve">uputiti da </w:t>
      </w:r>
      <w:r w:rsidR="009B5800" w:rsidRPr="00711E68">
        <w:rPr>
          <w:szCs w:val="22"/>
          <w:lang w:val="sr-Latn-RS"/>
        </w:rPr>
        <w:t xml:space="preserve">za </w:t>
      </w:r>
      <w:r w:rsidR="00B149C4" w:rsidRPr="00711E68">
        <w:rPr>
          <w:szCs w:val="22"/>
          <w:lang w:val="sr-Latn-RS"/>
        </w:rPr>
        <w:t>p</w:t>
      </w:r>
      <w:r w:rsidR="009B5800" w:rsidRPr="00711E68">
        <w:rPr>
          <w:szCs w:val="22"/>
          <w:lang w:val="sr-Latn-RS"/>
        </w:rPr>
        <w:t>un</w:t>
      </w:r>
      <w:r w:rsidR="00FB1687" w:rsidRPr="00711E68">
        <w:rPr>
          <w:szCs w:val="22"/>
          <w:lang w:val="sr-Latn-RS"/>
        </w:rPr>
        <w:t xml:space="preserve">u dozu od 150 mg injektuju </w:t>
      </w:r>
      <w:r w:rsidR="003742D4" w:rsidRPr="00711E68">
        <w:rPr>
          <w:szCs w:val="22"/>
          <w:lang w:val="sr-Latn-RS"/>
        </w:rPr>
        <w:t xml:space="preserve">sadržaj </w:t>
      </w:r>
      <w:r w:rsidRPr="00711E68">
        <w:rPr>
          <w:szCs w:val="22"/>
          <w:lang w:val="sr-Latn-RS"/>
        </w:rPr>
        <w:t xml:space="preserve">2 napunjena injekciona šprica i da </w:t>
      </w:r>
      <w:r w:rsidR="003F3D66" w:rsidRPr="00711E68">
        <w:rPr>
          <w:szCs w:val="22"/>
          <w:lang w:val="sr-Latn-RS"/>
        </w:rPr>
        <w:t>pr</w:t>
      </w:r>
      <w:r w:rsidR="000E119C" w:rsidRPr="00711E68">
        <w:rPr>
          <w:szCs w:val="22"/>
          <w:lang w:val="sr-Latn-RS"/>
        </w:rPr>
        <w:t>ij</w:t>
      </w:r>
      <w:r w:rsidR="003F3D66" w:rsidRPr="00711E68">
        <w:rPr>
          <w:szCs w:val="22"/>
          <w:lang w:val="sr-Latn-RS"/>
        </w:rPr>
        <w:t>e prim</w:t>
      </w:r>
      <w:r w:rsidR="000E119C" w:rsidRPr="00711E68">
        <w:rPr>
          <w:szCs w:val="22"/>
          <w:lang w:val="sr-Latn-RS"/>
        </w:rPr>
        <w:t>j</w:t>
      </w:r>
      <w:r w:rsidR="003F3D66" w:rsidRPr="00711E68">
        <w:rPr>
          <w:szCs w:val="22"/>
          <w:lang w:val="sr-Latn-RS"/>
        </w:rPr>
        <w:t>ene l</w:t>
      </w:r>
      <w:r w:rsidR="000E119C" w:rsidRPr="00711E68">
        <w:rPr>
          <w:szCs w:val="22"/>
          <w:lang w:val="sr-Latn-RS"/>
        </w:rPr>
        <w:t>ij</w:t>
      </w:r>
      <w:r w:rsidR="003F3D66" w:rsidRPr="00711E68">
        <w:rPr>
          <w:szCs w:val="22"/>
          <w:lang w:val="sr-Latn-RS"/>
        </w:rPr>
        <w:t xml:space="preserve">eka </w:t>
      </w:r>
      <w:r w:rsidRPr="00711E68">
        <w:rPr>
          <w:szCs w:val="22"/>
          <w:lang w:val="sr-Latn-RS"/>
        </w:rPr>
        <w:t>pročitaju ’Uputstvo za prim</w:t>
      </w:r>
      <w:r w:rsidR="000E119C" w:rsidRPr="00711E68">
        <w:rPr>
          <w:szCs w:val="22"/>
          <w:lang w:val="sr-Latn-RS"/>
        </w:rPr>
        <w:t>j</w:t>
      </w:r>
      <w:r w:rsidRPr="00711E68">
        <w:rPr>
          <w:szCs w:val="22"/>
          <w:lang w:val="sr-Latn-RS"/>
        </w:rPr>
        <w:t xml:space="preserve">enu’ u Uputstvu za </w:t>
      </w:r>
      <w:r w:rsidR="00BA4033" w:rsidRPr="00711E68">
        <w:rPr>
          <w:szCs w:val="22"/>
          <w:lang w:val="sr-Latn-RS"/>
        </w:rPr>
        <w:t>pacijenta</w:t>
      </w:r>
      <w:r w:rsidRPr="00711E68">
        <w:rPr>
          <w:szCs w:val="22"/>
          <w:lang w:val="sr-Latn-RS"/>
        </w:rPr>
        <w:t>.</w:t>
      </w:r>
    </w:p>
    <w:p w14:paraId="49E0A424" w14:textId="77777777" w:rsidR="005F04B5" w:rsidRPr="00711E68" w:rsidRDefault="005F04B5" w:rsidP="00711E68">
      <w:pPr>
        <w:rPr>
          <w:szCs w:val="22"/>
          <w:lang w:val="sr-Latn-RS"/>
        </w:rPr>
      </w:pPr>
    </w:p>
    <w:p w14:paraId="03BF1A74" w14:textId="77777777" w:rsidR="00CE09F3" w:rsidRPr="00711E68" w:rsidRDefault="00CE09F3" w:rsidP="00711E68">
      <w:pPr>
        <w:rPr>
          <w:b/>
          <w:bCs/>
          <w:szCs w:val="22"/>
          <w:lang w:val="sr-Latn-RS"/>
        </w:rPr>
      </w:pPr>
      <w:r w:rsidRPr="00711E68">
        <w:rPr>
          <w:b/>
          <w:bCs/>
          <w:szCs w:val="22"/>
          <w:lang w:val="sr-Latn-RS"/>
        </w:rPr>
        <w:t>4.3. Kontraindikacije</w:t>
      </w:r>
    </w:p>
    <w:p w14:paraId="55669507" w14:textId="77777777" w:rsidR="00CE09F3" w:rsidRPr="00711E68" w:rsidRDefault="00CE09F3" w:rsidP="00711E68">
      <w:pPr>
        <w:rPr>
          <w:szCs w:val="22"/>
          <w:lang w:val="sr-Latn-RS"/>
        </w:rPr>
      </w:pPr>
    </w:p>
    <w:p w14:paraId="78974944" w14:textId="62E42A05" w:rsidR="005F04B5" w:rsidRPr="00711E68" w:rsidRDefault="005F04B5" w:rsidP="00711E68">
      <w:pPr>
        <w:rPr>
          <w:szCs w:val="22"/>
          <w:lang w:val="sr-Latn-RS"/>
        </w:rPr>
      </w:pPr>
      <w:r w:rsidRPr="00711E68">
        <w:rPr>
          <w:szCs w:val="22"/>
          <w:lang w:val="sr-Latn-RS"/>
        </w:rPr>
        <w:t>Preos</w:t>
      </w:r>
      <w:r w:rsidR="000E119C" w:rsidRPr="00711E68">
        <w:rPr>
          <w:szCs w:val="22"/>
          <w:lang w:val="sr-Latn-RS"/>
        </w:rPr>
        <w:t>j</w:t>
      </w:r>
      <w:r w:rsidRPr="00711E68">
        <w:rPr>
          <w:szCs w:val="22"/>
          <w:lang w:val="sr-Latn-RS"/>
        </w:rPr>
        <w:t>etljivost na aktivnu supstancu l</w:t>
      </w:r>
      <w:r w:rsidR="000E119C" w:rsidRPr="00711E68">
        <w:rPr>
          <w:szCs w:val="22"/>
          <w:lang w:val="sr-Latn-RS"/>
        </w:rPr>
        <w:t>ij</w:t>
      </w:r>
      <w:r w:rsidRPr="00711E68">
        <w:rPr>
          <w:szCs w:val="22"/>
          <w:lang w:val="sr-Latn-RS"/>
        </w:rPr>
        <w:t xml:space="preserve">eka ili na </w:t>
      </w:r>
      <w:r w:rsidR="00EF7D26" w:rsidRPr="00711E68">
        <w:rPr>
          <w:szCs w:val="22"/>
          <w:lang w:val="sr-Latn-RS"/>
        </w:rPr>
        <w:t xml:space="preserve">neku </w:t>
      </w:r>
      <w:r w:rsidRPr="00711E68">
        <w:rPr>
          <w:szCs w:val="22"/>
          <w:lang w:val="sr-Latn-RS"/>
        </w:rPr>
        <w:t xml:space="preserve">od pomoćnih supstanci navedenih u </w:t>
      </w:r>
      <w:r w:rsidR="008F0BE7" w:rsidRPr="00711E68">
        <w:rPr>
          <w:szCs w:val="22"/>
          <w:lang w:val="sr-Latn-RS"/>
        </w:rPr>
        <w:t xml:space="preserve">dijelu </w:t>
      </w:r>
      <w:r w:rsidRPr="00711E68">
        <w:rPr>
          <w:szCs w:val="22"/>
          <w:lang w:val="sr-Latn-RS"/>
        </w:rPr>
        <w:t>6.1.</w:t>
      </w:r>
    </w:p>
    <w:p w14:paraId="5B701E6B" w14:textId="2611F55C" w:rsidR="00CE09F3" w:rsidRPr="00711E68" w:rsidRDefault="00CE09F3" w:rsidP="00711E68">
      <w:pPr>
        <w:rPr>
          <w:szCs w:val="22"/>
          <w:lang w:val="sr-Latn-RS"/>
        </w:rPr>
      </w:pPr>
    </w:p>
    <w:p w14:paraId="19FE94FA" w14:textId="1F0B7C3F" w:rsidR="005F04B5" w:rsidRPr="00711E68" w:rsidRDefault="005F04B5" w:rsidP="00711E68">
      <w:pPr>
        <w:rPr>
          <w:szCs w:val="22"/>
          <w:lang w:val="sr-Latn-RS"/>
        </w:rPr>
      </w:pPr>
      <w:r w:rsidRPr="00711E68">
        <w:rPr>
          <w:szCs w:val="22"/>
          <w:lang w:val="sr-Latn-RS"/>
        </w:rPr>
        <w:t xml:space="preserve">Klinički </w:t>
      </w:r>
      <w:r w:rsidR="00720A96" w:rsidRPr="00711E68">
        <w:rPr>
          <w:szCs w:val="22"/>
          <w:lang w:val="sr-Latn-RS"/>
        </w:rPr>
        <w:t>značajne</w:t>
      </w:r>
      <w:r w:rsidRPr="00711E68">
        <w:rPr>
          <w:szCs w:val="22"/>
          <w:lang w:val="sr-Latn-RS"/>
        </w:rPr>
        <w:t xml:space="preserve"> aktivne infekcije (npr. aktivna tuberkuloza, vid</w:t>
      </w:r>
      <w:r w:rsidR="000E119C" w:rsidRPr="00711E68">
        <w:rPr>
          <w:szCs w:val="22"/>
          <w:lang w:val="sr-Latn-RS"/>
        </w:rPr>
        <w:t>j</w:t>
      </w:r>
      <w:r w:rsidRPr="00711E68">
        <w:rPr>
          <w:szCs w:val="22"/>
          <w:lang w:val="sr-Latn-RS"/>
        </w:rPr>
        <w:t xml:space="preserve">eti </w:t>
      </w:r>
      <w:r w:rsidR="0022483D" w:rsidRPr="00711E68">
        <w:rPr>
          <w:szCs w:val="22"/>
          <w:lang w:val="sr-Latn-RS"/>
        </w:rPr>
        <w:t>dio</w:t>
      </w:r>
      <w:r w:rsidRPr="00711E68">
        <w:rPr>
          <w:szCs w:val="22"/>
          <w:lang w:val="sr-Latn-RS"/>
        </w:rPr>
        <w:t xml:space="preserve"> 4.4).</w:t>
      </w:r>
    </w:p>
    <w:p w14:paraId="3801AA7B" w14:textId="77777777" w:rsidR="005F04B5" w:rsidRPr="00711E68" w:rsidRDefault="005F04B5" w:rsidP="00711E68">
      <w:pPr>
        <w:rPr>
          <w:szCs w:val="22"/>
          <w:lang w:val="sr-Latn-RS"/>
        </w:rPr>
      </w:pPr>
    </w:p>
    <w:p w14:paraId="774BC689" w14:textId="7F817F46" w:rsidR="00CE09F3" w:rsidRPr="00711E68" w:rsidRDefault="00CE09F3" w:rsidP="00711E68">
      <w:pPr>
        <w:rPr>
          <w:b/>
          <w:bCs/>
          <w:szCs w:val="22"/>
          <w:lang w:val="sr-Latn-RS"/>
        </w:rPr>
      </w:pPr>
      <w:r w:rsidRPr="00711E68">
        <w:rPr>
          <w:b/>
          <w:bCs/>
          <w:szCs w:val="22"/>
          <w:lang w:val="sr-Latn-RS"/>
        </w:rPr>
        <w:t>4.4. Posebna upozorenja i m</w:t>
      </w:r>
      <w:r w:rsidR="000E119C" w:rsidRPr="00711E68">
        <w:rPr>
          <w:b/>
          <w:bCs/>
          <w:szCs w:val="22"/>
          <w:lang w:val="sr-Latn-RS"/>
        </w:rPr>
        <w:t>j</w:t>
      </w:r>
      <w:r w:rsidRPr="00711E68">
        <w:rPr>
          <w:b/>
          <w:bCs/>
          <w:szCs w:val="22"/>
          <w:lang w:val="sr-Latn-RS"/>
        </w:rPr>
        <w:t>ere opreza pri upotrebi l</w:t>
      </w:r>
      <w:r w:rsidR="000E119C" w:rsidRPr="00711E68">
        <w:rPr>
          <w:b/>
          <w:bCs/>
          <w:szCs w:val="22"/>
          <w:lang w:val="sr-Latn-RS"/>
        </w:rPr>
        <w:t>ij</w:t>
      </w:r>
      <w:r w:rsidRPr="00711E68">
        <w:rPr>
          <w:b/>
          <w:bCs/>
          <w:szCs w:val="22"/>
          <w:lang w:val="sr-Latn-RS"/>
        </w:rPr>
        <w:t>eka</w:t>
      </w:r>
    </w:p>
    <w:p w14:paraId="310C638A" w14:textId="32F60CC6" w:rsidR="00CE09F3" w:rsidRPr="00711E68" w:rsidRDefault="00CE09F3" w:rsidP="00711E68">
      <w:pPr>
        <w:rPr>
          <w:color w:val="FF0000"/>
          <w:szCs w:val="22"/>
          <w:lang w:val="sr-Latn-RS"/>
        </w:rPr>
      </w:pPr>
    </w:p>
    <w:p w14:paraId="2454C479" w14:textId="57FAB900" w:rsidR="005F04B5" w:rsidRPr="00711E68" w:rsidRDefault="005F04B5" w:rsidP="00711E68">
      <w:pPr>
        <w:rPr>
          <w:szCs w:val="22"/>
          <w:u w:val="single"/>
          <w:lang w:val="sr-Latn-RS"/>
        </w:rPr>
      </w:pPr>
      <w:r w:rsidRPr="00711E68">
        <w:rPr>
          <w:szCs w:val="22"/>
          <w:u w:val="single"/>
          <w:lang w:val="sr-Latn-RS"/>
        </w:rPr>
        <w:t>Praćenje</w:t>
      </w:r>
    </w:p>
    <w:p w14:paraId="48982791" w14:textId="77777777" w:rsidR="005F04B5" w:rsidRPr="00711E68" w:rsidRDefault="005F04B5" w:rsidP="00711E68">
      <w:pPr>
        <w:rPr>
          <w:szCs w:val="22"/>
          <w:lang w:val="sr-Latn-RS"/>
        </w:rPr>
      </w:pPr>
    </w:p>
    <w:p w14:paraId="43538305" w14:textId="3D7018CF" w:rsidR="00CE09F3" w:rsidRPr="00711E68" w:rsidRDefault="005F04B5" w:rsidP="00711E68">
      <w:pPr>
        <w:rPr>
          <w:szCs w:val="22"/>
          <w:lang w:val="sr-Latn-RS"/>
        </w:rPr>
      </w:pPr>
      <w:r w:rsidRPr="00711E68">
        <w:rPr>
          <w:szCs w:val="22"/>
          <w:lang w:val="sr-Latn-RS"/>
        </w:rPr>
        <w:t>U cilju što boljeg praćenja bioloških l</w:t>
      </w:r>
      <w:r w:rsidR="000E119C" w:rsidRPr="00711E68">
        <w:rPr>
          <w:szCs w:val="22"/>
          <w:lang w:val="sr-Latn-RS"/>
        </w:rPr>
        <w:t>j</w:t>
      </w:r>
      <w:r w:rsidRPr="00711E68">
        <w:rPr>
          <w:szCs w:val="22"/>
          <w:lang w:val="sr-Latn-RS"/>
        </w:rPr>
        <w:t>ekova, naziv l</w:t>
      </w:r>
      <w:r w:rsidR="000E119C" w:rsidRPr="00711E68">
        <w:rPr>
          <w:szCs w:val="22"/>
          <w:lang w:val="sr-Latn-RS"/>
        </w:rPr>
        <w:t>ij</w:t>
      </w:r>
      <w:r w:rsidRPr="00711E68">
        <w:rPr>
          <w:szCs w:val="22"/>
          <w:lang w:val="sr-Latn-RS"/>
        </w:rPr>
        <w:t xml:space="preserve">eka i broj serije </w:t>
      </w:r>
      <w:r w:rsidR="00E72505" w:rsidRPr="00711E68">
        <w:rPr>
          <w:szCs w:val="22"/>
          <w:lang w:val="sr-Latn-RS"/>
        </w:rPr>
        <w:t>prim</w:t>
      </w:r>
      <w:r w:rsidR="000E119C" w:rsidRPr="00711E68">
        <w:rPr>
          <w:szCs w:val="22"/>
          <w:lang w:val="sr-Latn-RS"/>
        </w:rPr>
        <w:t>ij</w:t>
      </w:r>
      <w:r w:rsidR="00E72505" w:rsidRPr="00711E68">
        <w:rPr>
          <w:szCs w:val="22"/>
          <w:lang w:val="sr-Latn-RS"/>
        </w:rPr>
        <w:t>enjenog l</w:t>
      </w:r>
      <w:r w:rsidR="000E119C" w:rsidRPr="00711E68">
        <w:rPr>
          <w:szCs w:val="22"/>
          <w:lang w:val="sr-Latn-RS"/>
        </w:rPr>
        <w:t>ij</w:t>
      </w:r>
      <w:r w:rsidR="00E72505" w:rsidRPr="00711E68">
        <w:rPr>
          <w:szCs w:val="22"/>
          <w:lang w:val="sr-Latn-RS"/>
        </w:rPr>
        <w:t xml:space="preserve">eka </w:t>
      </w:r>
      <w:r w:rsidRPr="00711E68">
        <w:rPr>
          <w:szCs w:val="22"/>
          <w:lang w:val="sr-Latn-RS"/>
        </w:rPr>
        <w:t>treba evidentirati.</w:t>
      </w:r>
    </w:p>
    <w:p w14:paraId="26A5944F" w14:textId="77777777" w:rsidR="00711E68" w:rsidRDefault="00711E68" w:rsidP="00711E68">
      <w:pPr>
        <w:rPr>
          <w:szCs w:val="22"/>
          <w:u w:val="single"/>
          <w:lang w:val="sr-Latn-RS"/>
        </w:rPr>
      </w:pPr>
    </w:p>
    <w:p w14:paraId="5DA9AAE5" w14:textId="09734833" w:rsidR="003F3D66" w:rsidRPr="00711E68" w:rsidRDefault="003F3D66" w:rsidP="00711E68">
      <w:pPr>
        <w:rPr>
          <w:szCs w:val="22"/>
          <w:u w:val="single"/>
          <w:lang w:val="sr-Latn-RS"/>
        </w:rPr>
      </w:pPr>
      <w:r w:rsidRPr="00711E68">
        <w:rPr>
          <w:szCs w:val="22"/>
          <w:u w:val="single"/>
          <w:lang w:val="sr-Latn-RS"/>
        </w:rPr>
        <w:t>Infekcije</w:t>
      </w:r>
    </w:p>
    <w:p w14:paraId="28E63C2D" w14:textId="77777777" w:rsidR="003F3D66" w:rsidRPr="00711E68" w:rsidRDefault="003F3D66" w:rsidP="00711E68">
      <w:pPr>
        <w:rPr>
          <w:szCs w:val="22"/>
          <w:lang w:val="sr-Latn-RS"/>
        </w:rPr>
      </w:pPr>
    </w:p>
    <w:p w14:paraId="5B6C1110" w14:textId="520DFAC6" w:rsidR="005F04B5" w:rsidRPr="00711E68" w:rsidRDefault="00720A96" w:rsidP="00711E68">
      <w:pPr>
        <w:rPr>
          <w:szCs w:val="22"/>
          <w:lang w:val="sr-Latn-RS"/>
        </w:rPr>
      </w:pPr>
      <w:r w:rsidRPr="00711E68">
        <w:rPr>
          <w:szCs w:val="22"/>
          <w:lang w:val="sr-Latn-RS"/>
        </w:rPr>
        <w:t>Risankizumab može povećati rizik od pojave infekcija.</w:t>
      </w:r>
    </w:p>
    <w:p w14:paraId="7D5A6780" w14:textId="10419715" w:rsidR="00720A96" w:rsidRPr="00711E68" w:rsidRDefault="00720A96" w:rsidP="00711E68">
      <w:pPr>
        <w:rPr>
          <w:szCs w:val="22"/>
          <w:lang w:val="sr-Latn-RS"/>
        </w:rPr>
      </w:pPr>
    </w:p>
    <w:p w14:paraId="3F4DC497" w14:textId="635355C5" w:rsidR="00720A96" w:rsidRPr="00711E68" w:rsidRDefault="00720A96" w:rsidP="00711E68">
      <w:pPr>
        <w:rPr>
          <w:szCs w:val="22"/>
          <w:lang w:val="sr-Latn-RS"/>
        </w:rPr>
      </w:pPr>
      <w:r w:rsidRPr="00711E68">
        <w:rPr>
          <w:szCs w:val="22"/>
          <w:lang w:val="sr-Latn-RS"/>
        </w:rPr>
        <w:t>Kod pacijenata sa hroničnom infekcijom, ponavljani</w:t>
      </w:r>
      <w:r w:rsidR="003F3D66" w:rsidRPr="00711E68">
        <w:rPr>
          <w:szCs w:val="22"/>
          <w:lang w:val="sr-Latn-RS"/>
        </w:rPr>
        <w:t>m</w:t>
      </w:r>
      <w:r w:rsidRPr="00711E68">
        <w:rPr>
          <w:szCs w:val="22"/>
          <w:lang w:val="sr-Latn-RS"/>
        </w:rPr>
        <w:t xml:space="preserve"> infekcija</w:t>
      </w:r>
      <w:r w:rsidR="003F3D66" w:rsidRPr="00711E68">
        <w:rPr>
          <w:szCs w:val="22"/>
          <w:lang w:val="sr-Latn-RS"/>
        </w:rPr>
        <w:t>ma u istoriji bolesti</w:t>
      </w:r>
      <w:r w:rsidRPr="00711E68">
        <w:rPr>
          <w:szCs w:val="22"/>
          <w:lang w:val="sr-Latn-RS"/>
        </w:rPr>
        <w:t xml:space="preserve">, ili sa poznatim faktorima rizika za </w:t>
      </w:r>
      <w:r w:rsidR="003F3D66" w:rsidRPr="00711E68">
        <w:rPr>
          <w:szCs w:val="22"/>
          <w:lang w:val="sr-Latn-RS"/>
        </w:rPr>
        <w:t>nastanak</w:t>
      </w:r>
      <w:r w:rsidRPr="00711E68">
        <w:rPr>
          <w:szCs w:val="22"/>
          <w:lang w:val="sr-Latn-RS"/>
        </w:rPr>
        <w:t xml:space="preserve"> infekcija, risankizumab treba prim</w:t>
      </w:r>
      <w:r w:rsidR="000E119C" w:rsidRPr="00711E68">
        <w:rPr>
          <w:szCs w:val="22"/>
          <w:lang w:val="sr-Latn-RS"/>
        </w:rPr>
        <w:t>j</w:t>
      </w:r>
      <w:r w:rsidRPr="00711E68">
        <w:rPr>
          <w:szCs w:val="22"/>
          <w:lang w:val="sr-Latn-RS"/>
        </w:rPr>
        <w:t xml:space="preserve">enjivati sa oprezom. Terapiju risankizumabom ne treba započinjati kod pacijenata sa bilo kojom klinički značajnom aktivnom infekcijom </w:t>
      </w:r>
      <w:r w:rsidR="003F3D66" w:rsidRPr="00711E68">
        <w:rPr>
          <w:szCs w:val="22"/>
          <w:lang w:val="sr-Latn-RS"/>
        </w:rPr>
        <w:t>sve dok</w:t>
      </w:r>
      <w:r w:rsidRPr="00711E68">
        <w:rPr>
          <w:szCs w:val="22"/>
          <w:lang w:val="sr-Latn-RS"/>
        </w:rPr>
        <w:t xml:space="preserve"> se infekcija </w:t>
      </w:r>
      <w:r w:rsidR="003F3D66" w:rsidRPr="00711E68">
        <w:rPr>
          <w:szCs w:val="22"/>
          <w:lang w:val="sr-Latn-RS"/>
        </w:rPr>
        <w:t xml:space="preserve">ne </w:t>
      </w:r>
      <w:r w:rsidRPr="00711E68">
        <w:rPr>
          <w:szCs w:val="22"/>
          <w:lang w:val="sr-Latn-RS"/>
        </w:rPr>
        <w:t xml:space="preserve">povuče ili </w:t>
      </w:r>
      <w:r w:rsidR="00971736" w:rsidRPr="00711E68">
        <w:rPr>
          <w:szCs w:val="22"/>
          <w:lang w:val="sr-Latn-RS"/>
        </w:rPr>
        <w:t xml:space="preserve">nije </w:t>
      </w:r>
      <w:r w:rsidR="00CD19D5" w:rsidRPr="00711E68">
        <w:rPr>
          <w:szCs w:val="22"/>
          <w:lang w:val="sr-Latn-RS"/>
        </w:rPr>
        <w:t xml:space="preserve">odgovarajuće </w:t>
      </w:r>
      <w:r w:rsidRPr="00711E68">
        <w:rPr>
          <w:szCs w:val="22"/>
          <w:lang w:val="sr-Latn-RS"/>
        </w:rPr>
        <w:t>l</w:t>
      </w:r>
      <w:r w:rsidR="000E119C" w:rsidRPr="00711E68">
        <w:rPr>
          <w:szCs w:val="22"/>
          <w:lang w:val="sr-Latn-RS"/>
        </w:rPr>
        <w:t>ij</w:t>
      </w:r>
      <w:r w:rsidRPr="00711E68">
        <w:rPr>
          <w:szCs w:val="22"/>
          <w:lang w:val="sr-Latn-RS"/>
        </w:rPr>
        <w:t>ečen</w:t>
      </w:r>
      <w:r w:rsidR="00CD19D5" w:rsidRPr="00711E68">
        <w:rPr>
          <w:szCs w:val="22"/>
          <w:lang w:val="sr-Latn-RS"/>
        </w:rPr>
        <w:t>a.</w:t>
      </w:r>
    </w:p>
    <w:p w14:paraId="58E5B88E" w14:textId="7FE60A21" w:rsidR="00720A96" w:rsidRPr="00711E68" w:rsidRDefault="00720A96" w:rsidP="00711E68">
      <w:pPr>
        <w:rPr>
          <w:szCs w:val="22"/>
          <w:lang w:val="sr-Latn-RS"/>
        </w:rPr>
      </w:pPr>
    </w:p>
    <w:p w14:paraId="371F9F6E" w14:textId="26B3A556" w:rsidR="00720A96" w:rsidRPr="00711E68" w:rsidRDefault="00720A96" w:rsidP="00711E68">
      <w:pPr>
        <w:rPr>
          <w:szCs w:val="22"/>
          <w:lang w:val="sr-Latn-RS"/>
        </w:rPr>
      </w:pPr>
      <w:r w:rsidRPr="00711E68">
        <w:rPr>
          <w:szCs w:val="22"/>
          <w:lang w:val="sr-Latn-RS"/>
        </w:rPr>
        <w:t xml:space="preserve">Pacijente </w:t>
      </w:r>
      <w:r w:rsidR="00175649" w:rsidRPr="00711E68">
        <w:rPr>
          <w:szCs w:val="22"/>
          <w:lang w:val="sr-Latn-RS"/>
        </w:rPr>
        <w:t>lij</w:t>
      </w:r>
      <w:r w:rsidR="00787C2B" w:rsidRPr="00711E68">
        <w:rPr>
          <w:szCs w:val="22"/>
          <w:lang w:val="sr-Latn-RS"/>
        </w:rPr>
        <w:t>ečene</w:t>
      </w:r>
      <w:r w:rsidRPr="00711E68">
        <w:rPr>
          <w:szCs w:val="22"/>
          <w:lang w:val="sr-Latn-RS"/>
        </w:rPr>
        <w:t xml:space="preserve"> risankizumabom </w:t>
      </w:r>
      <w:r w:rsidR="00787C2B" w:rsidRPr="00711E68">
        <w:rPr>
          <w:szCs w:val="22"/>
          <w:lang w:val="sr-Latn-RS"/>
        </w:rPr>
        <w:t>po</w:t>
      </w:r>
      <w:r w:rsidRPr="00711E68">
        <w:rPr>
          <w:szCs w:val="22"/>
          <w:lang w:val="sr-Latn-RS"/>
        </w:rPr>
        <w:t>treb</w:t>
      </w:r>
      <w:r w:rsidR="00787C2B" w:rsidRPr="00711E68">
        <w:rPr>
          <w:szCs w:val="22"/>
          <w:lang w:val="sr-Latn-RS"/>
        </w:rPr>
        <w:t>no je</w:t>
      </w:r>
      <w:r w:rsidRPr="00711E68">
        <w:rPr>
          <w:szCs w:val="22"/>
          <w:lang w:val="sr-Latn-RS"/>
        </w:rPr>
        <w:t xml:space="preserve"> uputiti da potraže </w:t>
      </w:r>
      <w:r w:rsidR="00787C2B" w:rsidRPr="00711E68">
        <w:rPr>
          <w:szCs w:val="22"/>
          <w:lang w:val="sr-Latn-RS"/>
        </w:rPr>
        <w:t xml:space="preserve">savjet ljekara </w:t>
      </w:r>
      <w:r w:rsidR="00DE2719" w:rsidRPr="00711E68">
        <w:rPr>
          <w:szCs w:val="22"/>
          <w:lang w:val="sr-Latn-RS"/>
        </w:rPr>
        <w:t xml:space="preserve">ako se </w:t>
      </w:r>
      <w:r w:rsidRPr="00711E68">
        <w:rPr>
          <w:szCs w:val="22"/>
          <w:lang w:val="sr-Latn-RS"/>
        </w:rPr>
        <w:t>pojave znaci i</w:t>
      </w:r>
      <w:r w:rsidR="009B1F33" w:rsidRPr="00711E68">
        <w:rPr>
          <w:szCs w:val="22"/>
          <w:lang w:val="sr-Latn-RS"/>
        </w:rPr>
        <w:t>li</w:t>
      </w:r>
      <w:r w:rsidRPr="00711E68">
        <w:rPr>
          <w:szCs w:val="22"/>
          <w:lang w:val="sr-Latn-RS"/>
        </w:rPr>
        <w:t xml:space="preserve"> simptomi klinički značajn</w:t>
      </w:r>
      <w:r w:rsidR="005D35F5" w:rsidRPr="00711E68">
        <w:rPr>
          <w:szCs w:val="22"/>
          <w:lang w:val="sr-Latn-RS"/>
        </w:rPr>
        <w:t>e</w:t>
      </w:r>
      <w:r w:rsidRPr="00711E68">
        <w:rPr>
          <w:szCs w:val="22"/>
          <w:lang w:val="sr-Latn-RS"/>
        </w:rPr>
        <w:t xml:space="preserve"> hroničn</w:t>
      </w:r>
      <w:r w:rsidR="005D35F5" w:rsidRPr="00711E68">
        <w:rPr>
          <w:szCs w:val="22"/>
          <w:lang w:val="sr-Latn-RS"/>
        </w:rPr>
        <w:t>e</w:t>
      </w:r>
      <w:r w:rsidRPr="00711E68">
        <w:rPr>
          <w:szCs w:val="22"/>
          <w:lang w:val="sr-Latn-RS"/>
        </w:rPr>
        <w:t xml:space="preserve"> ili akutn</w:t>
      </w:r>
      <w:r w:rsidR="005D35F5" w:rsidRPr="00711E68">
        <w:rPr>
          <w:szCs w:val="22"/>
          <w:lang w:val="sr-Latn-RS"/>
        </w:rPr>
        <w:t>e</w:t>
      </w:r>
      <w:r w:rsidRPr="00711E68">
        <w:rPr>
          <w:szCs w:val="22"/>
          <w:lang w:val="sr-Latn-RS"/>
        </w:rPr>
        <w:t xml:space="preserve"> infekcij</w:t>
      </w:r>
      <w:r w:rsidR="005D35F5" w:rsidRPr="00711E68">
        <w:rPr>
          <w:szCs w:val="22"/>
          <w:lang w:val="sr-Latn-RS"/>
        </w:rPr>
        <w:t>e</w:t>
      </w:r>
      <w:r w:rsidRPr="00711E68">
        <w:rPr>
          <w:szCs w:val="22"/>
          <w:lang w:val="sr-Latn-RS"/>
        </w:rPr>
        <w:t xml:space="preserve">. </w:t>
      </w:r>
      <w:r w:rsidR="005D35F5" w:rsidRPr="00711E68">
        <w:rPr>
          <w:szCs w:val="22"/>
          <w:lang w:val="sr-Latn-RS"/>
        </w:rPr>
        <w:t xml:space="preserve">Ako se </w:t>
      </w:r>
      <w:r w:rsidRPr="00711E68">
        <w:rPr>
          <w:szCs w:val="22"/>
          <w:lang w:val="sr-Latn-RS"/>
        </w:rPr>
        <w:t xml:space="preserve">kod pacijenta </w:t>
      </w:r>
      <w:r w:rsidR="009B1F33" w:rsidRPr="00711E68">
        <w:rPr>
          <w:szCs w:val="22"/>
          <w:lang w:val="sr-Latn-RS"/>
        </w:rPr>
        <w:t xml:space="preserve">razvije </w:t>
      </w:r>
      <w:r w:rsidRPr="00711E68">
        <w:rPr>
          <w:szCs w:val="22"/>
          <w:lang w:val="sr-Latn-RS"/>
        </w:rPr>
        <w:t xml:space="preserve">takva infekcija ili ukoliko pacijent </w:t>
      </w:r>
      <w:r w:rsidR="003F3D66" w:rsidRPr="00711E68">
        <w:rPr>
          <w:szCs w:val="22"/>
          <w:lang w:val="sr-Latn-RS"/>
        </w:rPr>
        <w:t xml:space="preserve">ne </w:t>
      </w:r>
      <w:r w:rsidRPr="00711E68">
        <w:rPr>
          <w:szCs w:val="22"/>
          <w:lang w:val="sr-Latn-RS"/>
        </w:rPr>
        <w:t>odgov</w:t>
      </w:r>
      <w:r w:rsidR="009B1F33" w:rsidRPr="00711E68">
        <w:rPr>
          <w:szCs w:val="22"/>
          <w:lang w:val="sr-Latn-RS"/>
        </w:rPr>
        <w:t>ara</w:t>
      </w:r>
      <w:r w:rsidRPr="00711E68">
        <w:rPr>
          <w:szCs w:val="22"/>
          <w:lang w:val="sr-Latn-RS"/>
        </w:rPr>
        <w:t xml:space="preserve"> na standardnu terapiju za infekciju, pacijenta treba pažljivo pratiti i risankizumab ne treba prim</w:t>
      </w:r>
      <w:r w:rsidR="000E119C" w:rsidRPr="00711E68">
        <w:rPr>
          <w:szCs w:val="22"/>
          <w:lang w:val="sr-Latn-RS"/>
        </w:rPr>
        <w:t>j</w:t>
      </w:r>
      <w:r w:rsidRPr="00711E68">
        <w:rPr>
          <w:szCs w:val="22"/>
          <w:lang w:val="sr-Latn-RS"/>
        </w:rPr>
        <w:t>enjivati sve dok se infekcija ne povuče.</w:t>
      </w:r>
    </w:p>
    <w:p w14:paraId="2DFF061B" w14:textId="2B99F6E0" w:rsidR="00720A96" w:rsidRPr="00711E68" w:rsidRDefault="00720A96" w:rsidP="00711E68">
      <w:pPr>
        <w:rPr>
          <w:szCs w:val="22"/>
          <w:lang w:val="sr-Latn-RS"/>
        </w:rPr>
      </w:pPr>
    </w:p>
    <w:p w14:paraId="4CA0CAA3" w14:textId="2BC35654" w:rsidR="00720A96" w:rsidRPr="00711E68" w:rsidRDefault="00720A96" w:rsidP="00711E68">
      <w:pPr>
        <w:rPr>
          <w:szCs w:val="22"/>
          <w:u w:val="single"/>
          <w:lang w:val="sr-Latn-RS"/>
        </w:rPr>
      </w:pPr>
      <w:r w:rsidRPr="00711E68">
        <w:rPr>
          <w:szCs w:val="22"/>
          <w:u w:val="single"/>
          <w:lang w:val="sr-Latn-RS"/>
        </w:rPr>
        <w:t>Tuberkuloza</w:t>
      </w:r>
    </w:p>
    <w:p w14:paraId="10DBFFD2" w14:textId="1D2B8B11" w:rsidR="00720A96" w:rsidRPr="00711E68" w:rsidRDefault="00720A96" w:rsidP="00711E68">
      <w:pPr>
        <w:rPr>
          <w:szCs w:val="22"/>
          <w:lang w:val="sr-Latn-RS"/>
        </w:rPr>
      </w:pPr>
    </w:p>
    <w:p w14:paraId="2A82BFDA" w14:textId="13A74C8A" w:rsidR="00D16FF0" w:rsidRPr="00711E68" w:rsidRDefault="00D16FF0" w:rsidP="00711E68">
      <w:pPr>
        <w:rPr>
          <w:szCs w:val="22"/>
          <w:lang w:val="sr-Latn-RS"/>
        </w:rPr>
      </w:pPr>
      <w:r w:rsidRPr="00711E68">
        <w:rPr>
          <w:szCs w:val="22"/>
          <w:lang w:val="sr-Latn-RS"/>
        </w:rPr>
        <w:t>Pr</w:t>
      </w:r>
      <w:r w:rsidR="000E119C" w:rsidRPr="00711E68">
        <w:rPr>
          <w:szCs w:val="22"/>
          <w:lang w:val="sr-Latn-RS"/>
        </w:rPr>
        <w:t>ij</w:t>
      </w:r>
      <w:r w:rsidRPr="00711E68">
        <w:rPr>
          <w:szCs w:val="22"/>
          <w:lang w:val="sr-Latn-RS"/>
        </w:rPr>
        <w:t xml:space="preserve">e </w:t>
      </w:r>
      <w:r w:rsidR="00441CD1" w:rsidRPr="00711E68">
        <w:rPr>
          <w:szCs w:val="22"/>
          <w:lang w:val="sr-Latn-RS"/>
        </w:rPr>
        <w:t>uvo</w:t>
      </w:r>
      <w:r w:rsidR="006022B0" w:rsidRPr="00711E68">
        <w:rPr>
          <w:szCs w:val="22"/>
          <w:lang w:val="sr-Latn-RS"/>
        </w:rPr>
        <w:t>đ</w:t>
      </w:r>
      <w:r w:rsidR="00441CD1" w:rsidRPr="00711E68">
        <w:rPr>
          <w:szCs w:val="22"/>
          <w:lang w:val="sr-Latn-RS"/>
        </w:rPr>
        <w:t>enja</w:t>
      </w:r>
      <w:r w:rsidRPr="00711E68">
        <w:rPr>
          <w:szCs w:val="22"/>
          <w:lang w:val="sr-Latn-RS"/>
        </w:rPr>
        <w:t xml:space="preserve"> l</w:t>
      </w:r>
      <w:r w:rsidR="000E119C" w:rsidRPr="00711E68">
        <w:rPr>
          <w:szCs w:val="22"/>
          <w:lang w:val="sr-Latn-RS"/>
        </w:rPr>
        <w:t>ij</w:t>
      </w:r>
      <w:r w:rsidRPr="00711E68">
        <w:rPr>
          <w:szCs w:val="22"/>
          <w:lang w:val="sr-Latn-RS"/>
        </w:rPr>
        <w:t xml:space="preserve">ečenja risankizumabom potrebno </w:t>
      </w:r>
      <w:r w:rsidR="00FD7DEA" w:rsidRPr="00711E68">
        <w:rPr>
          <w:szCs w:val="22"/>
          <w:lang w:val="sr-Latn-RS"/>
        </w:rPr>
        <w:t>je utvrditi imaju li pacijenti</w:t>
      </w:r>
      <w:r w:rsidRPr="00711E68">
        <w:rPr>
          <w:szCs w:val="22"/>
          <w:lang w:val="sr-Latn-RS"/>
        </w:rPr>
        <w:t xml:space="preserve"> tuberkuloz</w:t>
      </w:r>
      <w:r w:rsidR="00FD7DEA" w:rsidRPr="00711E68">
        <w:rPr>
          <w:szCs w:val="22"/>
          <w:lang w:val="sr-Latn-RS"/>
        </w:rPr>
        <w:t>u.</w:t>
      </w:r>
      <w:r w:rsidRPr="00711E68">
        <w:rPr>
          <w:szCs w:val="22"/>
          <w:lang w:val="sr-Latn-RS"/>
        </w:rPr>
        <w:t xml:space="preserve"> Pacijente </w:t>
      </w:r>
      <w:r w:rsidR="00292188" w:rsidRPr="00711E68">
        <w:rPr>
          <w:szCs w:val="22"/>
          <w:lang w:val="sr-Latn-RS"/>
        </w:rPr>
        <w:t>koji primaju</w:t>
      </w:r>
      <w:r w:rsidRPr="00711E68">
        <w:rPr>
          <w:szCs w:val="22"/>
          <w:lang w:val="sr-Latn-RS"/>
        </w:rPr>
        <w:t xml:space="preserve"> risankizumab </w:t>
      </w:r>
      <w:r w:rsidR="00A60DC4" w:rsidRPr="00711E68">
        <w:rPr>
          <w:szCs w:val="22"/>
          <w:lang w:val="sr-Latn-RS"/>
        </w:rPr>
        <w:t>pot</w:t>
      </w:r>
      <w:r w:rsidRPr="00711E68">
        <w:rPr>
          <w:szCs w:val="22"/>
          <w:lang w:val="sr-Latn-RS"/>
        </w:rPr>
        <w:t>reb</w:t>
      </w:r>
      <w:r w:rsidR="00A60DC4" w:rsidRPr="00711E68">
        <w:rPr>
          <w:szCs w:val="22"/>
          <w:lang w:val="sr-Latn-RS"/>
        </w:rPr>
        <w:t>no je</w:t>
      </w:r>
      <w:r w:rsidRPr="00711E68">
        <w:rPr>
          <w:szCs w:val="22"/>
          <w:lang w:val="sr-Latn-RS"/>
        </w:rPr>
        <w:t xml:space="preserve"> </w:t>
      </w:r>
      <w:r w:rsidR="00A60DC4" w:rsidRPr="00711E68">
        <w:rPr>
          <w:szCs w:val="22"/>
          <w:lang w:val="sr-Latn-RS"/>
        </w:rPr>
        <w:t xml:space="preserve">nadzirati zbog moguće pojave </w:t>
      </w:r>
      <w:r w:rsidRPr="00711E68">
        <w:rPr>
          <w:szCs w:val="22"/>
          <w:lang w:val="sr-Latn-RS"/>
        </w:rPr>
        <w:t>znak</w:t>
      </w:r>
      <w:r w:rsidR="00A60DC4" w:rsidRPr="00711E68">
        <w:rPr>
          <w:szCs w:val="22"/>
          <w:lang w:val="sr-Latn-RS"/>
        </w:rPr>
        <w:t>a</w:t>
      </w:r>
      <w:r w:rsidRPr="00711E68">
        <w:rPr>
          <w:szCs w:val="22"/>
          <w:lang w:val="sr-Latn-RS"/>
        </w:rPr>
        <w:t xml:space="preserve"> i simptom</w:t>
      </w:r>
      <w:r w:rsidR="00A60DC4" w:rsidRPr="00711E68">
        <w:rPr>
          <w:szCs w:val="22"/>
          <w:lang w:val="sr-Latn-RS"/>
        </w:rPr>
        <w:t>a</w:t>
      </w:r>
      <w:r w:rsidRPr="00711E68">
        <w:rPr>
          <w:szCs w:val="22"/>
          <w:lang w:val="sr-Latn-RS"/>
        </w:rPr>
        <w:t xml:space="preserve"> aktivne </w:t>
      </w:r>
      <w:r w:rsidR="00476FFE" w:rsidRPr="00711E68">
        <w:rPr>
          <w:szCs w:val="22"/>
          <w:lang w:val="sr-Latn-RS"/>
        </w:rPr>
        <w:t>tuberkuloze</w:t>
      </w:r>
      <w:r w:rsidRPr="00711E68">
        <w:rPr>
          <w:szCs w:val="22"/>
          <w:lang w:val="sr-Latn-RS"/>
        </w:rPr>
        <w:t xml:space="preserve">. </w:t>
      </w:r>
      <w:r w:rsidR="00C17A7A" w:rsidRPr="00711E68">
        <w:rPr>
          <w:szCs w:val="22"/>
          <w:lang w:val="sr-Latn-RS"/>
        </w:rPr>
        <w:t>Pot</w:t>
      </w:r>
      <w:r w:rsidRPr="00711E68">
        <w:rPr>
          <w:szCs w:val="22"/>
          <w:lang w:val="sr-Latn-RS"/>
        </w:rPr>
        <w:t>reb</w:t>
      </w:r>
      <w:r w:rsidR="00C17A7A" w:rsidRPr="00711E68">
        <w:rPr>
          <w:szCs w:val="22"/>
          <w:lang w:val="sr-Latn-RS"/>
        </w:rPr>
        <w:t>no je</w:t>
      </w:r>
      <w:r w:rsidRPr="00711E68">
        <w:rPr>
          <w:szCs w:val="22"/>
          <w:lang w:val="sr-Latn-RS"/>
        </w:rPr>
        <w:t xml:space="preserve"> razmotriti prim</w:t>
      </w:r>
      <w:r w:rsidR="000E119C" w:rsidRPr="00711E68">
        <w:rPr>
          <w:szCs w:val="22"/>
          <w:lang w:val="sr-Latn-RS"/>
        </w:rPr>
        <w:t>j</w:t>
      </w:r>
      <w:r w:rsidRPr="00711E68">
        <w:rPr>
          <w:szCs w:val="22"/>
          <w:lang w:val="sr-Latn-RS"/>
        </w:rPr>
        <w:t>enu antituberkulozne terapij</w:t>
      </w:r>
      <w:r w:rsidR="009E3EA6" w:rsidRPr="00711E68">
        <w:rPr>
          <w:szCs w:val="22"/>
          <w:lang w:val="sr-Latn-RS"/>
        </w:rPr>
        <w:t>e</w:t>
      </w:r>
      <w:r w:rsidRPr="00711E68">
        <w:rPr>
          <w:szCs w:val="22"/>
          <w:lang w:val="sr-Latn-RS"/>
        </w:rPr>
        <w:t xml:space="preserve"> pr</w:t>
      </w:r>
      <w:r w:rsidR="000E119C" w:rsidRPr="00711E68">
        <w:rPr>
          <w:szCs w:val="22"/>
          <w:lang w:val="sr-Latn-RS"/>
        </w:rPr>
        <w:t>ij</w:t>
      </w:r>
      <w:r w:rsidRPr="00711E68">
        <w:rPr>
          <w:szCs w:val="22"/>
          <w:lang w:val="sr-Latn-RS"/>
        </w:rPr>
        <w:t xml:space="preserve">e </w:t>
      </w:r>
      <w:r w:rsidR="002523E5" w:rsidRPr="00711E68">
        <w:rPr>
          <w:szCs w:val="22"/>
          <w:lang w:val="sr-Latn-RS"/>
        </w:rPr>
        <w:t>uvo</w:t>
      </w:r>
      <w:r w:rsidR="001B789F" w:rsidRPr="00711E68">
        <w:rPr>
          <w:szCs w:val="22"/>
          <w:lang w:val="sr-Latn-RS"/>
        </w:rPr>
        <w:t>đ</w:t>
      </w:r>
      <w:r w:rsidR="002523E5" w:rsidRPr="00711E68">
        <w:rPr>
          <w:szCs w:val="22"/>
          <w:lang w:val="sr-Latn-RS"/>
        </w:rPr>
        <w:t xml:space="preserve">enja </w:t>
      </w:r>
      <w:r w:rsidRPr="00711E68">
        <w:rPr>
          <w:szCs w:val="22"/>
          <w:lang w:val="sr-Latn-RS"/>
        </w:rPr>
        <w:t>risankizumab</w:t>
      </w:r>
      <w:r w:rsidR="0074633D" w:rsidRPr="00711E68">
        <w:rPr>
          <w:szCs w:val="22"/>
          <w:lang w:val="sr-Latn-RS"/>
        </w:rPr>
        <w:t>a</w:t>
      </w:r>
      <w:r w:rsidRPr="00711E68">
        <w:rPr>
          <w:szCs w:val="22"/>
          <w:lang w:val="sr-Latn-RS"/>
        </w:rPr>
        <w:t xml:space="preserve"> </w:t>
      </w:r>
      <w:r w:rsidR="00292188" w:rsidRPr="00711E68">
        <w:rPr>
          <w:szCs w:val="22"/>
          <w:lang w:val="sr-Latn-RS"/>
        </w:rPr>
        <w:t xml:space="preserve">kod </w:t>
      </w:r>
      <w:r w:rsidRPr="00711E68">
        <w:rPr>
          <w:szCs w:val="22"/>
          <w:lang w:val="sr-Latn-RS"/>
        </w:rPr>
        <w:t xml:space="preserve">pacijenata koji u </w:t>
      </w:r>
      <w:r w:rsidR="0074633D" w:rsidRPr="00711E68">
        <w:rPr>
          <w:szCs w:val="22"/>
          <w:lang w:val="sr-Latn-RS"/>
        </w:rPr>
        <w:t>anamnezi</w:t>
      </w:r>
      <w:r w:rsidRPr="00711E68">
        <w:rPr>
          <w:szCs w:val="22"/>
          <w:lang w:val="sr-Latn-RS"/>
        </w:rPr>
        <w:t xml:space="preserve"> ima</w:t>
      </w:r>
      <w:r w:rsidR="0074633D" w:rsidRPr="00711E68">
        <w:rPr>
          <w:szCs w:val="22"/>
          <w:lang w:val="sr-Latn-RS"/>
        </w:rPr>
        <w:t>ju</w:t>
      </w:r>
      <w:r w:rsidRPr="00711E68">
        <w:rPr>
          <w:szCs w:val="22"/>
          <w:lang w:val="sr-Latn-RS"/>
        </w:rPr>
        <w:t xml:space="preserve"> latentnu ili aktivnu tuberkulozu, a </w:t>
      </w:r>
      <w:r w:rsidR="001B789F" w:rsidRPr="00711E68">
        <w:rPr>
          <w:szCs w:val="22"/>
          <w:lang w:val="sr-Latn-RS"/>
        </w:rPr>
        <w:t>kod</w:t>
      </w:r>
      <w:r w:rsidR="0074633D" w:rsidRPr="00711E68">
        <w:rPr>
          <w:szCs w:val="22"/>
          <w:lang w:val="sr-Latn-RS"/>
        </w:rPr>
        <w:t xml:space="preserve"> </w:t>
      </w:r>
      <w:r w:rsidRPr="00711E68">
        <w:rPr>
          <w:szCs w:val="22"/>
          <w:lang w:val="sr-Latn-RS"/>
        </w:rPr>
        <w:t xml:space="preserve">kojih </w:t>
      </w:r>
      <w:r w:rsidR="0074633D" w:rsidRPr="00711E68">
        <w:rPr>
          <w:szCs w:val="22"/>
          <w:lang w:val="sr-Latn-RS"/>
        </w:rPr>
        <w:t xml:space="preserve">se </w:t>
      </w:r>
      <w:r w:rsidRPr="00711E68">
        <w:rPr>
          <w:szCs w:val="22"/>
          <w:lang w:val="sr-Latn-RS"/>
        </w:rPr>
        <w:t>ne može</w:t>
      </w:r>
      <w:r w:rsidR="0074633D" w:rsidRPr="00711E68">
        <w:rPr>
          <w:szCs w:val="22"/>
          <w:lang w:val="sr-Latn-RS"/>
        </w:rPr>
        <w:t xml:space="preserve"> potvrditi</w:t>
      </w:r>
      <w:r w:rsidRPr="00711E68">
        <w:rPr>
          <w:szCs w:val="22"/>
          <w:lang w:val="sr-Latn-RS"/>
        </w:rPr>
        <w:t xml:space="preserve"> da su </w:t>
      </w:r>
      <w:r w:rsidR="005C5FB0" w:rsidRPr="00711E68">
        <w:rPr>
          <w:szCs w:val="22"/>
          <w:lang w:val="sr-Latn-RS"/>
        </w:rPr>
        <w:t>bili odgovarajuće liječeni.</w:t>
      </w:r>
    </w:p>
    <w:p w14:paraId="0E86A55E" w14:textId="77777777" w:rsidR="00D16FF0" w:rsidRPr="00711E68" w:rsidRDefault="00D16FF0" w:rsidP="00711E68">
      <w:pPr>
        <w:rPr>
          <w:szCs w:val="22"/>
          <w:lang w:val="sr-Latn-RS"/>
        </w:rPr>
      </w:pPr>
    </w:p>
    <w:p w14:paraId="799B003E" w14:textId="7644BDDE" w:rsidR="00D16FF0" w:rsidRPr="00711E68" w:rsidRDefault="00D16FF0" w:rsidP="00711E68">
      <w:pPr>
        <w:rPr>
          <w:szCs w:val="22"/>
          <w:u w:val="single"/>
          <w:lang w:val="sr-Latn-RS"/>
        </w:rPr>
      </w:pPr>
      <w:r w:rsidRPr="00711E68">
        <w:rPr>
          <w:szCs w:val="22"/>
          <w:u w:val="single"/>
          <w:lang w:val="sr-Latn-RS"/>
        </w:rPr>
        <w:t>Imunizacije</w:t>
      </w:r>
    </w:p>
    <w:p w14:paraId="4634D859" w14:textId="745C9AFB" w:rsidR="00D16FF0" w:rsidRPr="00711E68" w:rsidRDefault="00D16FF0" w:rsidP="00711E68">
      <w:pPr>
        <w:rPr>
          <w:szCs w:val="22"/>
          <w:lang w:val="sr-Latn-RS"/>
        </w:rPr>
      </w:pPr>
    </w:p>
    <w:p w14:paraId="1FB2886B" w14:textId="7B724D49" w:rsidR="00D16FF0" w:rsidRPr="00711E68" w:rsidRDefault="00D10FFA" w:rsidP="00711E68">
      <w:pPr>
        <w:outlineLvl w:val="0"/>
        <w:rPr>
          <w:szCs w:val="22"/>
          <w:lang w:val="sr-Latn-RS"/>
        </w:rPr>
      </w:pPr>
      <w:r w:rsidRPr="00711E68">
        <w:rPr>
          <w:color w:val="000000"/>
          <w:szCs w:val="22"/>
        </w:rPr>
        <w:t xml:space="preserve">Prije uvođenja terapije risankizumabom potrebno je razmotriti završetak odgovarajućih programa vakcinacije u skladu sa važećim smjernicama. </w:t>
      </w:r>
      <w:r w:rsidRPr="00711E68">
        <w:rPr>
          <w:szCs w:val="22"/>
        </w:rPr>
        <w:t>Ako je pacijent primio živu vakcinu (virusn</w:t>
      </w:r>
      <w:r w:rsidR="007A68DA" w:rsidRPr="00711E68">
        <w:rPr>
          <w:szCs w:val="22"/>
        </w:rPr>
        <w:t>u</w:t>
      </w:r>
      <w:r w:rsidRPr="00711E68">
        <w:rPr>
          <w:szCs w:val="22"/>
        </w:rPr>
        <w:t xml:space="preserve"> ili bakterijsk</w:t>
      </w:r>
      <w:r w:rsidR="007A68DA" w:rsidRPr="00711E68">
        <w:rPr>
          <w:szCs w:val="22"/>
        </w:rPr>
        <w:t>u</w:t>
      </w:r>
      <w:r w:rsidRPr="00711E68">
        <w:rPr>
          <w:szCs w:val="22"/>
        </w:rPr>
        <w:t xml:space="preserve">), preporučuje se </w:t>
      </w:r>
      <w:r w:rsidR="001B789F" w:rsidRPr="00711E68">
        <w:rPr>
          <w:szCs w:val="22"/>
        </w:rPr>
        <w:t xml:space="preserve">da se </w:t>
      </w:r>
      <w:r w:rsidR="007A68DA" w:rsidRPr="00711E68">
        <w:rPr>
          <w:szCs w:val="22"/>
        </w:rPr>
        <w:t>sa</w:t>
      </w:r>
      <w:r w:rsidRPr="00711E68">
        <w:rPr>
          <w:szCs w:val="22"/>
        </w:rPr>
        <w:t xml:space="preserve">čeka najmanje 4 </w:t>
      </w:r>
      <w:r w:rsidR="007A68DA" w:rsidRPr="00711E68">
        <w:rPr>
          <w:szCs w:val="22"/>
        </w:rPr>
        <w:t>ned</w:t>
      </w:r>
      <w:r w:rsidR="001B789F" w:rsidRPr="00711E68">
        <w:rPr>
          <w:szCs w:val="22"/>
        </w:rPr>
        <w:t>j</w:t>
      </w:r>
      <w:r w:rsidR="007A68DA" w:rsidRPr="00711E68">
        <w:rPr>
          <w:szCs w:val="22"/>
        </w:rPr>
        <w:t>elje</w:t>
      </w:r>
      <w:r w:rsidRPr="00711E68">
        <w:rPr>
          <w:szCs w:val="22"/>
        </w:rPr>
        <w:t xml:space="preserve"> prije početka liječenja risankizumabom. </w:t>
      </w:r>
      <w:r w:rsidR="007A68DA" w:rsidRPr="00711E68">
        <w:rPr>
          <w:szCs w:val="22"/>
        </w:rPr>
        <w:t>Pacijent</w:t>
      </w:r>
      <w:r w:rsidRPr="00711E68">
        <w:rPr>
          <w:szCs w:val="22"/>
        </w:rPr>
        <w:t>i liječeni risankizumabom ne smiju primiti živ</w:t>
      </w:r>
      <w:r w:rsidR="007A68DA" w:rsidRPr="00711E68">
        <w:rPr>
          <w:szCs w:val="22"/>
        </w:rPr>
        <w:t>u</w:t>
      </w:r>
      <w:r w:rsidRPr="00711E68">
        <w:rPr>
          <w:szCs w:val="22"/>
        </w:rPr>
        <w:t xml:space="preserve"> </w:t>
      </w:r>
      <w:r w:rsidR="007A68DA" w:rsidRPr="00711E68">
        <w:rPr>
          <w:szCs w:val="22"/>
        </w:rPr>
        <w:t>vakcinu</w:t>
      </w:r>
      <w:r w:rsidRPr="00711E68">
        <w:rPr>
          <w:szCs w:val="22"/>
        </w:rPr>
        <w:t xml:space="preserve"> t</w:t>
      </w:r>
      <w:r w:rsidR="007A68DA" w:rsidRPr="00711E68">
        <w:rPr>
          <w:szCs w:val="22"/>
        </w:rPr>
        <w:t>o</w:t>
      </w:r>
      <w:r w:rsidRPr="00711E68">
        <w:rPr>
          <w:szCs w:val="22"/>
        </w:rPr>
        <w:t>kom liječenja ni najmanje 21</w:t>
      </w:r>
      <w:r w:rsidR="007A68DA" w:rsidRPr="00711E68">
        <w:rPr>
          <w:szCs w:val="22"/>
        </w:rPr>
        <w:t xml:space="preserve"> ned</w:t>
      </w:r>
      <w:r w:rsidR="001B789F" w:rsidRPr="00711E68">
        <w:rPr>
          <w:szCs w:val="22"/>
        </w:rPr>
        <w:t>j</w:t>
      </w:r>
      <w:r w:rsidR="007A68DA" w:rsidRPr="00711E68">
        <w:rPr>
          <w:szCs w:val="22"/>
        </w:rPr>
        <w:t>elju</w:t>
      </w:r>
      <w:r w:rsidRPr="00711E68">
        <w:rPr>
          <w:szCs w:val="22"/>
        </w:rPr>
        <w:t xml:space="preserve"> nakon liječenja (vidjeti </w:t>
      </w:r>
      <w:r w:rsidR="0022483D" w:rsidRPr="00711E68">
        <w:rPr>
          <w:szCs w:val="22"/>
        </w:rPr>
        <w:t>dio</w:t>
      </w:r>
      <w:r w:rsidR="007A68DA" w:rsidRPr="00711E68">
        <w:rPr>
          <w:szCs w:val="22"/>
        </w:rPr>
        <w:t xml:space="preserve"> </w:t>
      </w:r>
      <w:r w:rsidRPr="00711E68">
        <w:rPr>
          <w:szCs w:val="22"/>
        </w:rPr>
        <w:t>5.2).</w:t>
      </w:r>
    </w:p>
    <w:p w14:paraId="041E74AB" w14:textId="1F6E7653" w:rsidR="00D16FF0" w:rsidRPr="00711E68" w:rsidRDefault="00D16FF0" w:rsidP="00711E68">
      <w:pPr>
        <w:rPr>
          <w:szCs w:val="22"/>
          <w:lang w:val="sr-Latn-RS"/>
        </w:rPr>
      </w:pPr>
    </w:p>
    <w:p w14:paraId="6BBE1C73" w14:textId="57453266" w:rsidR="00D16FF0" w:rsidRPr="00711E68" w:rsidRDefault="00D16FF0" w:rsidP="00711E68">
      <w:pPr>
        <w:rPr>
          <w:szCs w:val="22"/>
          <w:u w:val="single"/>
          <w:lang w:val="sr-Latn-RS"/>
        </w:rPr>
      </w:pPr>
      <w:r w:rsidRPr="00711E68">
        <w:rPr>
          <w:szCs w:val="22"/>
          <w:u w:val="single"/>
          <w:lang w:val="sr-Latn-RS"/>
        </w:rPr>
        <w:t>Preos</w:t>
      </w:r>
      <w:r w:rsidR="000E119C" w:rsidRPr="00711E68">
        <w:rPr>
          <w:szCs w:val="22"/>
          <w:u w:val="single"/>
          <w:lang w:val="sr-Latn-RS"/>
        </w:rPr>
        <w:t>j</w:t>
      </w:r>
      <w:r w:rsidRPr="00711E68">
        <w:rPr>
          <w:szCs w:val="22"/>
          <w:u w:val="single"/>
          <w:lang w:val="sr-Latn-RS"/>
        </w:rPr>
        <w:t>etljivost</w:t>
      </w:r>
    </w:p>
    <w:p w14:paraId="76C55F95" w14:textId="0CF0CC9F" w:rsidR="00D16FF0" w:rsidRPr="00711E68" w:rsidRDefault="00D16FF0" w:rsidP="00711E68">
      <w:pPr>
        <w:rPr>
          <w:szCs w:val="22"/>
          <w:u w:val="single"/>
          <w:lang w:val="sr-Latn-RS"/>
        </w:rPr>
      </w:pPr>
    </w:p>
    <w:p w14:paraId="0CE69C0C" w14:textId="377862DE" w:rsidR="00D16FF0" w:rsidRPr="00711E68" w:rsidRDefault="00ED58C1" w:rsidP="00711E68">
      <w:pPr>
        <w:rPr>
          <w:szCs w:val="22"/>
          <w:lang w:val="sr-Latn-RS"/>
        </w:rPr>
      </w:pPr>
      <w:r w:rsidRPr="00711E68">
        <w:rPr>
          <w:szCs w:val="22"/>
          <w:lang w:val="sr-Latn-RS"/>
        </w:rPr>
        <w:t xml:space="preserve">Ako nastupi </w:t>
      </w:r>
      <w:r w:rsidR="00476FFE" w:rsidRPr="00711E68">
        <w:rPr>
          <w:szCs w:val="22"/>
          <w:lang w:val="sr-Latn-RS"/>
        </w:rPr>
        <w:t>ozbiljna reakcija preos</w:t>
      </w:r>
      <w:r w:rsidR="000E119C" w:rsidRPr="00711E68">
        <w:rPr>
          <w:szCs w:val="22"/>
          <w:lang w:val="sr-Latn-RS"/>
        </w:rPr>
        <w:t>j</w:t>
      </w:r>
      <w:r w:rsidR="00476FFE" w:rsidRPr="00711E68">
        <w:rPr>
          <w:szCs w:val="22"/>
          <w:lang w:val="sr-Latn-RS"/>
        </w:rPr>
        <w:t xml:space="preserve">etljivosti, </w:t>
      </w:r>
      <w:r w:rsidRPr="00711E68">
        <w:rPr>
          <w:szCs w:val="22"/>
          <w:lang w:val="sr-Latn-RS"/>
        </w:rPr>
        <w:t xml:space="preserve">potrebno je odmah prekinuti </w:t>
      </w:r>
      <w:r w:rsidR="00476FFE" w:rsidRPr="00711E68">
        <w:rPr>
          <w:szCs w:val="22"/>
          <w:lang w:val="sr-Latn-RS"/>
        </w:rPr>
        <w:t>prim</w:t>
      </w:r>
      <w:r w:rsidR="000E119C" w:rsidRPr="00711E68">
        <w:rPr>
          <w:szCs w:val="22"/>
          <w:lang w:val="sr-Latn-RS"/>
        </w:rPr>
        <w:t>j</w:t>
      </w:r>
      <w:r w:rsidR="00476FFE" w:rsidRPr="00711E68">
        <w:rPr>
          <w:szCs w:val="22"/>
          <w:lang w:val="sr-Latn-RS"/>
        </w:rPr>
        <w:t xml:space="preserve">enu risankizumaba </w:t>
      </w:r>
      <w:r w:rsidRPr="00711E68">
        <w:rPr>
          <w:szCs w:val="22"/>
          <w:lang w:val="sr-Latn-RS"/>
        </w:rPr>
        <w:t xml:space="preserve">i uvesti </w:t>
      </w:r>
      <w:r w:rsidR="00476FFE" w:rsidRPr="00711E68">
        <w:rPr>
          <w:szCs w:val="22"/>
          <w:lang w:val="sr-Latn-RS"/>
        </w:rPr>
        <w:t>odgovarajuću terapiju.</w:t>
      </w:r>
    </w:p>
    <w:p w14:paraId="0EC240F6" w14:textId="4D42C740" w:rsidR="00476FFE" w:rsidRPr="00711E68" w:rsidRDefault="00476FFE" w:rsidP="00711E68">
      <w:pPr>
        <w:rPr>
          <w:szCs w:val="22"/>
          <w:lang w:val="sr-Latn-RS"/>
        </w:rPr>
      </w:pPr>
    </w:p>
    <w:p w14:paraId="09D326E4" w14:textId="77777777" w:rsidR="00476FFE" w:rsidRPr="00711E68" w:rsidRDefault="00476FFE" w:rsidP="00711E68">
      <w:pPr>
        <w:rPr>
          <w:szCs w:val="22"/>
          <w:u w:val="single"/>
          <w:lang w:val="sr-Latn-RS"/>
        </w:rPr>
      </w:pPr>
      <w:r w:rsidRPr="00711E68">
        <w:rPr>
          <w:szCs w:val="22"/>
          <w:u w:val="single"/>
          <w:lang w:val="sr-Latn-RS"/>
        </w:rPr>
        <w:t>Pomoćne supstance sa potvrđenim dejstvom</w:t>
      </w:r>
    </w:p>
    <w:p w14:paraId="0487ACE8" w14:textId="77777777" w:rsidR="00476FFE" w:rsidRPr="00711E68" w:rsidRDefault="00476FFE" w:rsidP="00711E68">
      <w:pPr>
        <w:rPr>
          <w:szCs w:val="22"/>
          <w:u w:val="single"/>
          <w:lang w:val="sr-Latn-RS"/>
        </w:rPr>
      </w:pPr>
    </w:p>
    <w:p w14:paraId="6400FCF9" w14:textId="39619B68" w:rsidR="00476FFE" w:rsidRPr="00711E68" w:rsidRDefault="00476FFE" w:rsidP="00711E68">
      <w:pPr>
        <w:rPr>
          <w:szCs w:val="22"/>
          <w:lang w:val="sr-Latn-RS"/>
        </w:rPr>
      </w:pPr>
      <w:r w:rsidRPr="00711E68">
        <w:rPr>
          <w:szCs w:val="22"/>
          <w:lang w:val="sr-Latn-RS"/>
        </w:rPr>
        <w:t>Ovaj l</w:t>
      </w:r>
      <w:r w:rsidR="000E119C" w:rsidRPr="00711E68">
        <w:rPr>
          <w:szCs w:val="22"/>
          <w:lang w:val="sr-Latn-RS"/>
        </w:rPr>
        <w:t>ij</w:t>
      </w:r>
      <w:r w:rsidRPr="00711E68">
        <w:rPr>
          <w:szCs w:val="22"/>
          <w:lang w:val="sr-Latn-RS"/>
        </w:rPr>
        <w:t xml:space="preserve">ek sadrži 68,0 mg sorbitola </w:t>
      </w:r>
      <w:r w:rsidR="002C048C" w:rsidRPr="00711E68">
        <w:rPr>
          <w:szCs w:val="22"/>
          <w:lang w:val="sr-Latn-RS"/>
        </w:rPr>
        <w:t xml:space="preserve">po </w:t>
      </w:r>
      <w:r w:rsidRPr="00711E68">
        <w:rPr>
          <w:szCs w:val="22"/>
          <w:lang w:val="sr-Latn-RS"/>
        </w:rPr>
        <w:t>dozi od 150 mg</w:t>
      </w:r>
      <w:r w:rsidR="009E3EA6" w:rsidRPr="00711E68">
        <w:rPr>
          <w:szCs w:val="22"/>
          <w:lang w:val="sr-Latn-RS"/>
        </w:rPr>
        <w:t xml:space="preserve"> l</w:t>
      </w:r>
      <w:r w:rsidR="000E119C" w:rsidRPr="00711E68">
        <w:rPr>
          <w:szCs w:val="22"/>
          <w:lang w:val="sr-Latn-RS"/>
        </w:rPr>
        <w:t>ij</w:t>
      </w:r>
      <w:r w:rsidR="009E3EA6" w:rsidRPr="00711E68">
        <w:rPr>
          <w:szCs w:val="22"/>
          <w:lang w:val="sr-Latn-RS"/>
        </w:rPr>
        <w:t>eka</w:t>
      </w:r>
      <w:r w:rsidRPr="00711E68">
        <w:rPr>
          <w:szCs w:val="22"/>
          <w:lang w:val="sr-Latn-RS"/>
        </w:rPr>
        <w:t>.</w:t>
      </w:r>
    </w:p>
    <w:p w14:paraId="60A54316" w14:textId="6B0BDF3B" w:rsidR="00476FFE" w:rsidRPr="00711E68" w:rsidRDefault="001C2FC8" w:rsidP="00711E68">
      <w:pPr>
        <w:rPr>
          <w:szCs w:val="22"/>
          <w:lang w:val="sr-Latn-RS"/>
        </w:rPr>
      </w:pPr>
      <w:r w:rsidRPr="00711E68">
        <w:rPr>
          <w:szCs w:val="22"/>
          <w:lang w:val="sr-Latn-RS"/>
        </w:rPr>
        <w:t>Treba uzeti u obzir a</w:t>
      </w:r>
      <w:r w:rsidR="00476FFE" w:rsidRPr="00711E68">
        <w:rPr>
          <w:szCs w:val="22"/>
          <w:lang w:val="sr-Latn-RS"/>
        </w:rPr>
        <w:t>ditivni efekat istovremeno prim</w:t>
      </w:r>
      <w:r w:rsidR="000E119C" w:rsidRPr="00711E68">
        <w:rPr>
          <w:szCs w:val="22"/>
          <w:lang w:val="sr-Latn-RS"/>
        </w:rPr>
        <w:t>ij</w:t>
      </w:r>
      <w:r w:rsidR="00476FFE" w:rsidRPr="00711E68">
        <w:rPr>
          <w:szCs w:val="22"/>
          <w:lang w:val="sr-Latn-RS"/>
        </w:rPr>
        <w:t xml:space="preserve">enjenih proizvoda koji sadrže sorbitol (ili furktozu) i unos sorbitola </w:t>
      </w:r>
      <w:r w:rsidRPr="00711E68">
        <w:rPr>
          <w:szCs w:val="22"/>
          <w:lang w:val="sr-Latn-RS"/>
        </w:rPr>
        <w:t>(ili fruktoze)</w:t>
      </w:r>
      <w:r w:rsidR="002C048C" w:rsidRPr="00711E68">
        <w:rPr>
          <w:szCs w:val="22"/>
          <w:lang w:val="sr-Latn-RS"/>
        </w:rPr>
        <w:t xml:space="preserve"> </w:t>
      </w:r>
      <w:r w:rsidR="00FB2F54" w:rsidRPr="00711E68">
        <w:rPr>
          <w:szCs w:val="22"/>
          <w:lang w:val="sr-Latn-RS"/>
        </w:rPr>
        <w:t>is</w:t>
      </w:r>
      <w:r w:rsidR="002C048C" w:rsidRPr="00711E68">
        <w:rPr>
          <w:szCs w:val="22"/>
          <w:lang w:val="sr-Latn-RS"/>
        </w:rPr>
        <w:t>hranom</w:t>
      </w:r>
      <w:r w:rsidR="00476FFE" w:rsidRPr="00711E68">
        <w:rPr>
          <w:szCs w:val="22"/>
          <w:lang w:val="sr-Latn-RS"/>
        </w:rPr>
        <w:t>.</w:t>
      </w:r>
    </w:p>
    <w:p w14:paraId="14F5BB3F" w14:textId="77777777" w:rsidR="00476FFE" w:rsidRPr="00711E68" w:rsidRDefault="00476FFE" w:rsidP="00711E68">
      <w:pPr>
        <w:rPr>
          <w:szCs w:val="22"/>
          <w:lang w:val="sr-Latn-RS"/>
        </w:rPr>
      </w:pPr>
    </w:p>
    <w:p w14:paraId="07841F7C" w14:textId="2C09C197" w:rsidR="00D16FF0" w:rsidRPr="00711E68" w:rsidRDefault="00476FFE" w:rsidP="00711E68">
      <w:pPr>
        <w:rPr>
          <w:szCs w:val="22"/>
          <w:lang w:val="sr-Latn-RS"/>
        </w:rPr>
      </w:pPr>
      <w:r w:rsidRPr="00711E68">
        <w:rPr>
          <w:szCs w:val="22"/>
          <w:lang w:val="sr-Latn-RS"/>
        </w:rPr>
        <w:t>Ovaj l</w:t>
      </w:r>
      <w:r w:rsidR="000E119C" w:rsidRPr="00711E68">
        <w:rPr>
          <w:szCs w:val="22"/>
          <w:lang w:val="sr-Latn-RS"/>
        </w:rPr>
        <w:t>ij</w:t>
      </w:r>
      <w:r w:rsidRPr="00711E68">
        <w:rPr>
          <w:szCs w:val="22"/>
          <w:lang w:val="sr-Latn-RS"/>
        </w:rPr>
        <w:t xml:space="preserve">ek sadrži manje od 1 mmol natrijuma (23 mg) </w:t>
      </w:r>
      <w:r w:rsidR="002C048C" w:rsidRPr="00711E68">
        <w:rPr>
          <w:szCs w:val="22"/>
          <w:lang w:val="sr-Latn-RS"/>
        </w:rPr>
        <w:t>po</w:t>
      </w:r>
      <w:r w:rsidRPr="00711E68">
        <w:rPr>
          <w:szCs w:val="22"/>
          <w:lang w:val="sr-Latn-RS"/>
        </w:rPr>
        <w:t xml:space="preserve"> dozi od 150 mg</w:t>
      </w:r>
      <w:r w:rsidR="001B789F" w:rsidRPr="00711E68">
        <w:rPr>
          <w:szCs w:val="22"/>
          <w:lang w:val="sr-Latn-RS"/>
        </w:rPr>
        <w:t>,</w:t>
      </w:r>
      <w:r w:rsidR="009E3EA6" w:rsidRPr="00711E68">
        <w:rPr>
          <w:szCs w:val="22"/>
          <w:lang w:val="sr-Latn-RS"/>
        </w:rPr>
        <w:t xml:space="preserve"> </w:t>
      </w:r>
      <w:r w:rsidRPr="00711E68">
        <w:rPr>
          <w:szCs w:val="22"/>
          <w:lang w:val="sr-Latn-RS"/>
        </w:rPr>
        <w:t xml:space="preserve">tj. </w:t>
      </w:r>
      <w:r w:rsidR="004A7BB0" w:rsidRPr="00711E68">
        <w:rPr>
          <w:szCs w:val="22"/>
          <w:lang w:val="sr-Latn-RS"/>
        </w:rPr>
        <w:t xml:space="preserve">zanemarljive količine </w:t>
      </w:r>
      <w:r w:rsidRPr="00711E68">
        <w:rPr>
          <w:szCs w:val="22"/>
          <w:lang w:val="sr-Latn-RS"/>
        </w:rPr>
        <w:t>natrijuma.</w:t>
      </w:r>
    </w:p>
    <w:p w14:paraId="0D21FF3D" w14:textId="77777777" w:rsidR="00C42C10" w:rsidRPr="00711E68" w:rsidRDefault="00C42C10" w:rsidP="00711E68">
      <w:pPr>
        <w:rPr>
          <w:szCs w:val="22"/>
          <w:lang w:val="sr-Latn-RS"/>
        </w:rPr>
      </w:pPr>
    </w:p>
    <w:p w14:paraId="75D62124" w14:textId="2DE295B2" w:rsidR="00CE09F3" w:rsidRPr="00711E68" w:rsidRDefault="00CE09F3" w:rsidP="00711E68">
      <w:pPr>
        <w:rPr>
          <w:b/>
          <w:bCs/>
          <w:szCs w:val="22"/>
          <w:lang w:val="sr-Latn-RS"/>
        </w:rPr>
      </w:pPr>
      <w:r w:rsidRPr="00711E68">
        <w:rPr>
          <w:b/>
          <w:bCs/>
          <w:szCs w:val="22"/>
          <w:lang w:val="sr-Latn-RS"/>
        </w:rPr>
        <w:t>4.5. Interakcije sa drugim l</w:t>
      </w:r>
      <w:r w:rsidR="000E119C" w:rsidRPr="00711E68">
        <w:rPr>
          <w:b/>
          <w:bCs/>
          <w:szCs w:val="22"/>
          <w:lang w:val="sr-Latn-RS"/>
        </w:rPr>
        <w:t>j</w:t>
      </w:r>
      <w:r w:rsidRPr="00711E68">
        <w:rPr>
          <w:b/>
          <w:bCs/>
          <w:szCs w:val="22"/>
          <w:lang w:val="sr-Latn-RS"/>
        </w:rPr>
        <w:t>ekovima i druge vrste interakcija</w:t>
      </w:r>
    </w:p>
    <w:p w14:paraId="32C2697A" w14:textId="77777777" w:rsidR="00CE09F3" w:rsidRPr="00711E68" w:rsidRDefault="00CE09F3" w:rsidP="00711E68">
      <w:pPr>
        <w:rPr>
          <w:szCs w:val="22"/>
          <w:lang w:val="sr-Latn-RS"/>
        </w:rPr>
      </w:pPr>
    </w:p>
    <w:p w14:paraId="6755297C" w14:textId="1CF0F039" w:rsidR="00CE09F3" w:rsidRPr="00711E68" w:rsidRDefault="00476FFE" w:rsidP="00711E68">
      <w:pPr>
        <w:rPr>
          <w:szCs w:val="22"/>
          <w:lang w:val="sr-Latn-RS"/>
        </w:rPr>
      </w:pPr>
      <w:r w:rsidRPr="00711E68">
        <w:rPr>
          <w:szCs w:val="22"/>
          <w:lang w:val="sr-Latn-RS"/>
        </w:rPr>
        <w:t xml:space="preserve">Ne očekuje se </w:t>
      </w:r>
      <w:r w:rsidR="00FB4CD7" w:rsidRPr="00711E68">
        <w:rPr>
          <w:szCs w:val="22"/>
          <w:lang w:val="sr-Latn-RS"/>
        </w:rPr>
        <w:t>da se</w:t>
      </w:r>
      <w:r w:rsidRPr="00711E68">
        <w:rPr>
          <w:szCs w:val="22"/>
          <w:lang w:val="sr-Latn-RS"/>
        </w:rPr>
        <w:t xml:space="preserve"> risankizuma</w:t>
      </w:r>
      <w:r w:rsidR="00FB4CD7" w:rsidRPr="00711E68">
        <w:rPr>
          <w:szCs w:val="22"/>
          <w:lang w:val="sr-Latn-RS"/>
        </w:rPr>
        <w:t>b metaboliše putem</w:t>
      </w:r>
      <w:r w:rsidRPr="00711E68">
        <w:rPr>
          <w:szCs w:val="22"/>
          <w:lang w:val="sr-Latn-RS"/>
        </w:rPr>
        <w:t xml:space="preserve"> hepatički</w:t>
      </w:r>
      <w:r w:rsidR="00101365" w:rsidRPr="00711E68">
        <w:rPr>
          <w:szCs w:val="22"/>
          <w:lang w:val="sr-Latn-RS"/>
        </w:rPr>
        <w:t>h</w:t>
      </w:r>
      <w:r w:rsidRPr="00711E68">
        <w:rPr>
          <w:szCs w:val="22"/>
          <w:lang w:val="sr-Latn-RS"/>
        </w:rPr>
        <w:t xml:space="preserve"> enzim</w:t>
      </w:r>
      <w:r w:rsidR="00101365" w:rsidRPr="00711E68">
        <w:rPr>
          <w:szCs w:val="22"/>
          <w:lang w:val="sr-Latn-RS"/>
        </w:rPr>
        <w:t>a</w:t>
      </w:r>
      <w:r w:rsidRPr="00711E68">
        <w:rPr>
          <w:szCs w:val="22"/>
          <w:lang w:val="sr-Latn-RS"/>
        </w:rPr>
        <w:t xml:space="preserve"> </w:t>
      </w:r>
      <w:r w:rsidR="003C0E65" w:rsidRPr="00711E68">
        <w:rPr>
          <w:szCs w:val="22"/>
          <w:lang w:val="sr-Latn-RS"/>
        </w:rPr>
        <w:t>niti</w:t>
      </w:r>
      <w:r w:rsidRPr="00711E68">
        <w:rPr>
          <w:szCs w:val="22"/>
          <w:lang w:val="sr-Latn-RS"/>
        </w:rPr>
        <w:t xml:space="preserve"> </w:t>
      </w:r>
      <w:r w:rsidR="003F2A5A" w:rsidRPr="00711E68">
        <w:rPr>
          <w:szCs w:val="22"/>
          <w:lang w:val="sr-Latn-RS"/>
        </w:rPr>
        <w:t>da se</w:t>
      </w:r>
      <w:r w:rsidR="00101365" w:rsidRPr="00711E68">
        <w:rPr>
          <w:szCs w:val="22"/>
          <w:lang w:val="sr-Latn-RS"/>
        </w:rPr>
        <w:t xml:space="preserve"> </w:t>
      </w:r>
      <w:r w:rsidRPr="00711E68">
        <w:rPr>
          <w:szCs w:val="22"/>
          <w:lang w:val="sr-Latn-RS"/>
        </w:rPr>
        <w:t>elimin</w:t>
      </w:r>
      <w:r w:rsidR="003F2A5A" w:rsidRPr="00711E68">
        <w:rPr>
          <w:szCs w:val="22"/>
          <w:lang w:val="sr-Latn-RS"/>
        </w:rPr>
        <w:t>iše</w:t>
      </w:r>
      <w:r w:rsidRPr="00711E68">
        <w:rPr>
          <w:szCs w:val="22"/>
          <w:lang w:val="sr-Latn-RS"/>
        </w:rPr>
        <w:t xml:space="preserve"> putem bubrega. Interakcije između risankizumaba i inhibitora, indukto</w:t>
      </w:r>
      <w:r w:rsidR="009E3EA6" w:rsidRPr="00711E68">
        <w:rPr>
          <w:szCs w:val="22"/>
          <w:lang w:val="sr-Latn-RS"/>
        </w:rPr>
        <w:t>r</w:t>
      </w:r>
      <w:r w:rsidRPr="00711E68">
        <w:rPr>
          <w:szCs w:val="22"/>
          <w:lang w:val="sr-Latn-RS"/>
        </w:rPr>
        <w:t>a ili supstrata enzima koji metabolišu l</w:t>
      </w:r>
      <w:r w:rsidR="000E119C" w:rsidRPr="00711E68">
        <w:rPr>
          <w:szCs w:val="22"/>
          <w:lang w:val="sr-Latn-RS"/>
        </w:rPr>
        <w:t>j</w:t>
      </w:r>
      <w:r w:rsidRPr="00711E68">
        <w:rPr>
          <w:szCs w:val="22"/>
          <w:lang w:val="sr-Latn-RS"/>
        </w:rPr>
        <w:t>ekove nije očekivana i nije potrebno prilagođavanje doze (vid</w:t>
      </w:r>
      <w:r w:rsidR="000E119C" w:rsidRPr="00711E68">
        <w:rPr>
          <w:szCs w:val="22"/>
          <w:lang w:val="sr-Latn-RS"/>
        </w:rPr>
        <w:t>j</w:t>
      </w:r>
      <w:r w:rsidRPr="00711E68">
        <w:rPr>
          <w:szCs w:val="22"/>
          <w:lang w:val="sr-Latn-RS"/>
        </w:rPr>
        <w:t xml:space="preserve">eti </w:t>
      </w:r>
      <w:r w:rsidR="0022483D" w:rsidRPr="00711E68">
        <w:rPr>
          <w:szCs w:val="22"/>
          <w:lang w:val="sr-Latn-RS"/>
        </w:rPr>
        <w:t>dio</w:t>
      </w:r>
      <w:r w:rsidRPr="00711E68">
        <w:rPr>
          <w:szCs w:val="22"/>
          <w:lang w:val="sr-Latn-RS"/>
        </w:rPr>
        <w:t xml:space="preserve"> 5.2).</w:t>
      </w:r>
    </w:p>
    <w:p w14:paraId="78054B94" w14:textId="7E3153A4" w:rsidR="00476FFE" w:rsidRPr="00711E68" w:rsidRDefault="00476FFE" w:rsidP="00711E68">
      <w:pPr>
        <w:rPr>
          <w:szCs w:val="22"/>
          <w:lang w:val="sr-Latn-RS"/>
        </w:rPr>
      </w:pPr>
    </w:p>
    <w:p w14:paraId="4562A38D" w14:textId="1E51F5D5" w:rsidR="00476FFE" w:rsidRPr="00711E68" w:rsidRDefault="00476FFE" w:rsidP="00711E68">
      <w:pPr>
        <w:rPr>
          <w:szCs w:val="22"/>
          <w:u w:val="single"/>
          <w:lang w:val="sr-Latn-RS"/>
        </w:rPr>
      </w:pPr>
      <w:r w:rsidRPr="00711E68">
        <w:rPr>
          <w:szCs w:val="22"/>
          <w:u w:val="single"/>
          <w:lang w:val="sr-Latn-RS"/>
        </w:rPr>
        <w:t>Istovremena prim</w:t>
      </w:r>
      <w:r w:rsidR="000E119C" w:rsidRPr="00711E68">
        <w:rPr>
          <w:szCs w:val="22"/>
          <w:u w:val="single"/>
          <w:lang w:val="sr-Latn-RS"/>
        </w:rPr>
        <w:t>j</w:t>
      </w:r>
      <w:r w:rsidRPr="00711E68">
        <w:rPr>
          <w:szCs w:val="22"/>
          <w:u w:val="single"/>
          <w:lang w:val="sr-Latn-RS"/>
        </w:rPr>
        <w:t>ena imunosupresivne terapije ili fototerapije</w:t>
      </w:r>
    </w:p>
    <w:p w14:paraId="53400E1B" w14:textId="5B6A0E27" w:rsidR="00476FFE" w:rsidRPr="00711E68" w:rsidRDefault="00476FFE" w:rsidP="00711E68">
      <w:pPr>
        <w:rPr>
          <w:szCs w:val="22"/>
          <w:lang w:val="sr-Latn-RS"/>
        </w:rPr>
      </w:pPr>
    </w:p>
    <w:p w14:paraId="1FBA9D69" w14:textId="1936784F" w:rsidR="002C177B" w:rsidRPr="00711E68" w:rsidRDefault="004D3288" w:rsidP="00711E68">
      <w:pPr>
        <w:autoSpaceDE w:val="0"/>
        <w:autoSpaceDN w:val="0"/>
        <w:adjustRightInd w:val="0"/>
        <w:rPr>
          <w:szCs w:val="22"/>
          <w:lang w:val="sr-Latn-RS"/>
        </w:rPr>
      </w:pPr>
      <w:r w:rsidRPr="00711E68">
        <w:rPr>
          <w:szCs w:val="22"/>
        </w:rPr>
        <w:t>Ni</w:t>
      </w:r>
      <w:r w:rsidR="00086806" w:rsidRPr="00711E68">
        <w:rPr>
          <w:szCs w:val="22"/>
        </w:rPr>
        <w:t>je</w:t>
      </w:r>
      <w:r w:rsidRPr="00711E68">
        <w:rPr>
          <w:szCs w:val="22"/>
        </w:rPr>
        <w:t>su se</w:t>
      </w:r>
      <w:r w:rsidR="002C177B" w:rsidRPr="00711E68">
        <w:rPr>
          <w:szCs w:val="22"/>
        </w:rPr>
        <w:t xml:space="preserve"> </w:t>
      </w:r>
      <w:r w:rsidRPr="00711E68">
        <w:rPr>
          <w:szCs w:val="22"/>
        </w:rPr>
        <w:t xml:space="preserve">procjenjivale </w:t>
      </w:r>
      <w:r w:rsidRPr="00711E68">
        <w:rPr>
          <w:rFonts w:eastAsia="SimSun"/>
          <w:szCs w:val="22"/>
        </w:rPr>
        <w:t>b</w:t>
      </w:r>
      <w:r w:rsidR="00476FFE" w:rsidRPr="00711E68">
        <w:rPr>
          <w:szCs w:val="22"/>
          <w:lang w:val="sr-Latn-RS"/>
        </w:rPr>
        <w:t>ezb</w:t>
      </w:r>
      <w:r w:rsidR="006022B0" w:rsidRPr="00711E68">
        <w:rPr>
          <w:szCs w:val="22"/>
          <w:lang w:val="sr-Latn-RS"/>
        </w:rPr>
        <w:t>i</w:t>
      </w:r>
      <w:r w:rsidR="000E119C" w:rsidRPr="00711E68">
        <w:rPr>
          <w:szCs w:val="22"/>
          <w:lang w:val="sr-Latn-RS"/>
        </w:rPr>
        <w:t>j</w:t>
      </w:r>
      <w:r w:rsidR="00476FFE" w:rsidRPr="00711E68">
        <w:rPr>
          <w:szCs w:val="22"/>
          <w:lang w:val="sr-Latn-RS"/>
        </w:rPr>
        <w:t>ednost i efikasnost risankizumaba u kombinaciji sa imunosupresivima,</w:t>
      </w:r>
    </w:p>
    <w:p w14:paraId="2972D34F" w14:textId="0372E27D" w:rsidR="00476FFE" w:rsidRPr="00711E68" w:rsidRDefault="00476FFE" w:rsidP="00711E68">
      <w:pPr>
        <w:autoSpaceDE w:val="0"/>
        <w:autoSpaceDN w:val="0"/>
        <w:adjustRightInd w:val="0"/>
        <w:rPr>
          <w:szCs w:val="22"/>
          <w:lang w:val="sr-Latn-RS"/>
        </w:rPr>
      </w:pPr>
      <w:r w:rsidRPr="00711E68">
        <w:rPr>
          <w:szCs w:val="22"/>
          <w:lang w:val="sr-Latn-RS"/>
        </w:rPr>
        <w:t>uključujući biološke l</w:t>
      </w:r>
      <w:r w:rsidR="000E119C" w:rsidRPr="00711E68">
        <w:rPr>
          <w:szCs w:val="22"/>
          <w:lang w:val="sr-Latn-RS"/>
        </w:rPr>
        <w:t>j</w:t>
      </w:r>
      <w:r w:rsidRPr="00711E68">
        <w:rPr>
          <w:szCs w:val="22"/>
          <w:lang w:val="sr-Latn-RS"/>
        </w:rPr>
        <w:t>ekov</w:t>
      </w:r>
      <w:r w:rsidR="00FD3280" w:rsidRPr="00711E68">
        <w:rPr>
          <w:szCs w:val="22"/>
          <w:lang w:val="sr-Latn-RS"/>
        </w:rPr>
        <w:t>e</w:t>
      </w:r>
      <w:r w:rsidR="00086806" w:rsidRPr="00711E68">
        <w:rPr>
          <w:szCs w:val="22"/>
          <w:lang w:val="sr-Latn-RS"/>
        </w:rPr>
        <w:t>,</w:t>
      </w:r>
      <w:r w:rsidRPr="00711E68">
        <w:rPr>
          <w:szCs w:val="22"/>
          <w:lang w:val="sr-Latn-RS"/>
        </w:rPr>
        <w:t xml:space="preserve"> ili fototerapij</w:t>
      </w:r>
      <w:r w:rsidR="00086806" w:rsidRPr="00711E68">
        <w:rPr>
          <w:szCs w:val="22"/>
          <w:lang w:val="sr-Latn-RS"/>
        </w:rPr>
        <w:t>om</w:t>
      </w:r>
      <w:r w:rsidR="002C177B" w:rsidRPr="00711E68">
        <w:rPr>
          <w:szCs w:val="22"/>
          <w:lang w:val="sr-Latn-RS"/>
        </w:rPr>
        <w:t>.</w:t>
      </w:r>
    </w:p>
    <w:p w14:paraId="58061EE3" w14:textId="77777777" w:rsidR="00476FFE" w:rsidRPr="00711E68" w:rsidRDefault="00476FFE" w:rsidP="00711E68">
      <w:pPr>
        <w:rPr>
          <w:szCs w:val="22"/>
          <w:lang w:val="sr-Latn-RS"/>
        </w:rPr>
      </w:pPr>
    </w:p>
    <w:p w14:paraId="492574C7" w14:textId="77777777" w:rsidR="00CE09F3" w:rsidRPr="00711E68" w:rsidRDefault="00CE09F3" w:rsidP="00711E68">
      <w:pPr>
        <w:rPr>
          <w:b/>
          <w:bCs/>
          <w:szCs w:val="22"/>
          <w:lang w:val="sr-Latn-RS"/>
        </w:rPr>
      </w:pPr>
      <w:r w:rsidRPr="00711E68">
        <w:rPr>
          <w:b/>
          <w:bCs/>
          <w:szCs w:val="22"/>
          <w:lang w:val="sr-Latn-RS"/>
        </w:rPr>
        <w:t>4.6. Plodnost, trudnoća i dojenje</w:t>
      </w:r>
    </w:p>
    <w:p w14:paraId="3CFDE45D" w14:textId="5EBF146D" w:rsidR="00CE09F3" w:rsidRPr="00711E68" w:rsidRDefault="00CE09F3" w:rsidP="00711E68">
      <w:pPr>
        <w:rPr>
          <w:szCs w:val="22"/>
          <w:lang w:val="sr-Latn-RS"/>
        </w:rPr>
      </w:pPr>
    </w:p>
    <w:p w14:paraId="637F9288" w14:textId="2FF8A1EC" w:rsidR="008E17F9" w:rsidRPr="00711E68" w:rsidRDefault="008E17F9" w:rsidP="00711E68">
      <w:pPr>
        <w:rPr>
          <w:szCs w:val="22"/>
          <w:u w:val="single"/>
          <w:lang w:val="sr-Latn-RS"/>
        </w:rPr>
      </w:pPr>
      <w:r w:rsidRPr="00711E68">
        <w:rPr>
          <w:szCs w:val="22"/>
          <w:u w:val="single"/>
          <w:lang w:val="sr-Latn-RS"/>
        </w:rPr>
        <w:t xml:space="preserve">Žene u reproduktivnom periodu </w:t>
      </w:r>
    </w:p>
    <w:p w14:paraId="59BB240C" w14:textId="77777777" w:rsidR="008E17F9" w:rsidRPr="00711E68" w:rsidRDefault="008E17F9" w:rsidP="00711E68">
      <w:pPr>
        <w:rPr>
          <w:szCs w:val="22"/>
          <w:lang w:val="sr-Latn-RS"/>
        </w:rPr>
      </w:pPr>
    </w:p>
    <w:p w14:paraId="0846A23F" w14:textId="7A686748" w:rsidR="008E17F9" w:rsidRPr="00711E68" w:rsidRDefault="008E17F9" w:rsidP="00711E68">
      <w:pPr>
        <w:tabs>
          <w:tab w:val="clear" w:pos="284"/>
          <w:tab w:val="left" w:pos="172"/>
          <w:tab w:val="left" w:pos="1344"/>
          <w:tab w:val="center" w:pos="4536"/>
          <w:tab w:val="right" w:pos="9072"/>
        </w:tabs>
        <w:snapToGrid w:val="0"/>
        <w:rPr>
          <w:szCs w:val="22"/>
          <w:lang w:val="sr-Latn-RS"/>
        </w:rPr>
      </w:pPr>
      <w:r w:rsidRPr="00711E68">
        <w:rPr>
          <w:szCs w:val="22"/>
          <w:lang w:val="sr-Latn-RS"/>
        </w:rPr>
        <w:t>Žene u reproduktivnom periodu treb</w:t>
      </w:r>
      <w:r w:rsidR="00DD7E78" w:rsidRPr="00711E68">
        <w:rPr>
          <w:szCs w:val="22"/>
          <w:lang w:val="sr-Latn-RS"/>
        </w:rPr>
        <w:t>a</w:t>
      </w:r>
      <w:r w:rsidRPr="00711E68">
        <w:rPr>
          <w:szCs w:val="22"/>
          <w:lang w:val="sr-Latn-RS"/>
        </w:rPr>
        <w:t xml:space="preserve"> da kori</w:t>
      </w:r>
      <w:r w:rsidR="00DD7E78" w:rsidRPr="00711E68">
        <w:rPr>
          <w:szCs w:val="22"/>
          <w:lang w:val="sr-Latn-RS"/>
        </w:rPr>
        <w:t>ste</w:t>
      </w:r>
      <w:r w:rsidRPr="00711E68">
        <w:rPr>
          <w:szCs w:val="22"/>
          <w:lang w:val="sr-Latn-RS"/>
        </w:rPr>
        <w:t xml:space="preserve"> efektivn</w:t>
      </w:r>
      <w:r w:rsidR="00DD7E78" w:rsidRPr="00711E68">
        <w:rPr>
          <w:szCs w:val="22"/>
          <w:lang w:val="sr-Latn-RS"/>
        </w:rPr>
        <w:t>u</w:t>
      </w:r>
      <w:r w:rsidRPr="00711E68">
        <w:rPr>
          <w:szCs w:val="22"/>
          <w:lang w:val="sr-Latn-RS"/>
        </w:rPr>
        <w:t xml:space="preserve"> kontraceptivn</w:t>
      </w:r>
      <w:r w:rsidR="00DD7E78" w:rsidRPr="00711E68">
        <w:rPr>
          <w:szCs w:val="22"/>
          <w:lang w:val="sr-Latn-RS"/>
        </w:rPr>
        <w:t>u</w:t>
      </w:r>
      <w:r w:rsidRPr="00711E68">
        <w:rPr>
          <w:szCs w:val="22"/>
          <w:lang w:val="sr-Latn-RS"/>
        </w:rPr>
        <w:t xml:space="preserve"> zaštit</w:t>
      </w:r>
      <w:r w:rsidR="00DD7E78" w:rsidRPr="00711E68">
        <w:rPr>
          <w:szCs w:val="22"/>
          <w:lang w:val="sr-Latn-RS"/>
        </w:rPr>
        <w:t>u</w:t>
      </w:r>
      <w:r w:rsidRPr="00711E68">
        <w:rPr>
          <w:szCs w:val="22"/>
          <w:lang w:val="sr-Latn-RS"/>
        </w:rPr>
        <w:t xml:space="preserve"> tokom terapije i još najmanje 21 ned</w:t>
      </w:r>
      <w:r w:rsidR="00086806" w:rsidRPr="00711E68">
        <w:rPr>
          <w:szCs w:val="22"/>
          <w:lang w:val="sr-Latn-RS"/>
        </w:rPr>
        <w:t>j</w:t>
      </w:r>
      <w:r w:rsidRPr="00711E68">
        <w:rPr>
          <w:szCs w:val="22"/>
          <w:lang w:val="sr-Latn-RS"/>
        </w:rPr>
        <w:t xml:space="preserve">elju nakon </w:t>
      </w:r>
      <w:r w:rsidR="009C2936" w:rsidRPr="00711E68">
        <w:rPr>
          <w:szCs w:val="22"/>
          <w:lang w:val="sr-Latn-RS"/>
        </w:rPr>
        <w:t>liječenja</w:t>
      </w:r>
      <w:r w:rsidRPr="00711E68">
        <w:rPr>
          <w:szCs w:val="22"/>
          <w:lang w:val="sr-Latn-RS"/>
        </w:rPr>
        <w:t>.</w:t>
      </w:r>
    </w:p>
    <w:p w14:paraId="76757A35" w14:textId="77777777" w:rsidR="00086806" w:rsidRPr="00711E68" w:rsidRDefault="00086806" w:rsidP="00711E68">
      <w:pPr>
        <w:keepNext/>
        <w:rPr>
          <w:szCs w:val="22"/>
          <w:u w:val="single"/>
        </w:rPr>
      </w:pPr>
      <w:r w:rsidRPr="00711E68">
        <w:rPr>
          <w:szCs w:val="22"/>
          <w:u w:val="single"/>
        </w:rPr>
        <w:lastRenderedPageBreak/>
        <w:t>Plodnost</w:t>
      </w:r>
    </w:p>
    <w:p w14:paraId="13DE4B8D" w14:textId="77777777" w:rsidR="00086806" w:rsidRPr="00711E68" w:rsidRDefault="00086806" w:rsidP="00711E68">
      <w:pPr>
        <w:keepNext/>
        <w:rPr>
          <w:szCs w:val="22"/>
        </w:rPr>
      </w:pPr>
    </w:p>
    <w:p w14:paraId="6CECC30A" w14:textId="69A6224D" w:rsidR="00530812" w:rsidRPr="00711E68" w:rsidRDefault="00086806" w:rsidP="00711E68">
      <w:pPr>
        <w:rPr>
          <w:szCs w:val="22"/>
        </w:rPr>
      </w:pPr>
      <w:r w:rsidRPr="00711E68">
        <w:rPr>
          <w:szCs w:val="22"/>
        </w:rPr>
        <w:t>Nije se procjenjivao efekat risankizumaba na plodnost kod ljudi. Ispitivanja na životinjama ne ukazuju na direktan ili indirektan neželjeni efekat na plodnost.</w:t>
      </w:r>
    </w:p>
    <w:p w14:paraId="257ECF1F" w14:textId="77777777" w:rsidR="00086806" w:rsidRPr="00711E68" w:rsidRDefault="00086806" w:rsidP="00711E68">
      <w:pPr>
        <w:rPr>
          <w:szCs w:val="22"/>
          <w:lang w:val="sr-Latn-RS"/>
        </w:rPr>
      </w:pPr>
    </w:p>
    <w:p w14:paraId="033472C8" w14:textId="77777777" w:rsidR="00530812" w:rsidRPr="00711E68" w:rsidRDefault="00530812" w:rsidP="00711E68">
      <w:pPr>
        <w:keepNext/>
        <w:rPr>
          <w:szCs w:val="22"/>
          <w:u w:val="single"/>
        </w:rPr>
      </w:pPr>
      <w:r w:rsidRPr="00711E68">
        <w:rPr>
          <w:szCs w:val="22"/>
          <w:u w:val="single"/>
        </w:rPr>
        <w:t>Trudnoća</w:t>
      </w:r>
    </w:p>
    <w:p w14:paraId="0E240CEB" w14:textId="77777777" w:rsidR="00530812" w:rsidRPr="00711E68" w:rsidRDefault="00530812" w:rsidP="00711E68">
      <w:pPr>
        <w:keepNext/>
        <w:rPr>
          <w:szCs w:val="22"/>
          <w:u w:val="single"/>
        </w:rPr>
      </w:pPr>
    </w:p>
    <w:p w14:paraId="181057F0" w14:textId="2617F9D7" w:rsidR="00530812" w:rsidRPr="00711E68" w:rsidRDefault="00530812" w:rsidP="00711E68">
      <w:pPr>
        <w:rPr>
          <w:szCs w:val="22"/>
        </w:rPr>
      </w:pPr>
      <w:r w:rsidRPr="00711E68">
        <w:rPr>
          <w:szCs w:val="22"/>
        </w:rPr>
        <w:t xml:space="preserve">Nema podataka ili su podaci o primjeni risankizumaba kod trudnica ograničeni (manje od 300 ishoda trudnoća). Ispitivanja na životinjama ne ukazuju na </w:t>
      </w:r>
      <w:r w:rsidR="008A53A5" w:rsidRPr="00711E68">
        <w:rPr>
          <w:szCs w:val="22"/>
        </w:rPr>
        <w:t>direktn</w:t>
      </w:r>
      <w:r w:rsidR="009A66F8" w:rsidRPr="00711E68">
        <w:rPr>
          <w:szCs w:val="22"/>
        </w:rPr>
        <w:t>e</w:t>
      </w:r>
      <w:r w:rsidRPr="00711E68">
        <w:rPr>
          <w:szCs w:val="22"/>
        </w:rPr>
        <w:t xml:space="preserve"> ili </w:t>
      </w:r>
      <w:r w:rsidR="008A53A5" w:rsidRPr="00711E68">
        <w:rPr>
          <w:szCs w:val="22"/>
        </w:rPr>
        <w:t>indirektn</w:t>
      </w:r>
      <w:r w:rsidR="009A66F8" w:rsidRPr="00711E68">
        <w:rPr>
          <w:szCs w:val="22"/>
        </w:rPr>
        <w:t>e</w:t>
      </w:r>
      <w:r w:rsidRPr="00711E68">
        <w:rPr>
          <w:szCs w:val="22"/>
        </w:rPr>
        <w:t xml:space="preserve"> </w:t>
      </w:r>
      <w:r w:rsidR="008A53A5" w:rsidRPr="00711E68">
        <w:rPr>
          <w:szCs w:val="22"/>
        </w:rPr>
        <w:t>neželjen</w:t>
      </w:r>
      <w:r w:rsidR="00BB06D6" w:rsidRPr="00711E68">
        <w:rPr>
          <w:szCs w:val="22"/>
        </w:rPr>
        <w:t>e efekte</w:t>
      </w:r>
      <w:r w:rsidRPr="00711E68">
        <w:rPr>
          <w:szCs w:val="22"/>
        </w:rPr>
        <w:t xml:space="preserve"> na reprodukciju. Kao mjera opreza, preporučuje se izbjegava</w:t>
      </w:r>
      <w:r w:rsidR="00086806" w:rsidRPr="00711E68">
        <w:rPr>
          <w:szCs w:val="22"/>
        </w:rPr>
        <w:t>nje</w:t>
      </w:r>
      <w:r w:rsidRPr="00711E68">
        <w:rPr>
          <w:szCs w:val="22"/>
        </w:rPr>
        <w:t xml:space="preserve"> primjen</w:t>
      </w:r>
      <w:r w:rsidR="00086806" w:rsidRPr="00711E68">
        <w:rPr>
          <w:szCs w:val="22"/>
        </w:rPr>
        <w:t>e</w:t>
      </w:r>
      <w:r w:rsidRPr="00711E68">
        <w:rPr>
          <w:szCs w:val="22"/>
        </w:rPr>
        <w:t xml:space="preserve"> risankizumaba t</w:t>
      </w:r>
      <w:r w:rsidR="00BB06D6" w:rsidRPr="00711E68">
        <w:rPr>
          <w:szCs w:val="22"/>
        </w:rPr>
        <w:t>o</w:t>
      </w:r>
      <w:r w:rsidRPr="00711E68">
        <w:rPr>
          <w:szCs w:val="22"/>
        </w:rPr>
        <w:t>kom trudnoće.</w:t>
      </w:r>
    </w:p>
    <w:p w14:paraId="460A3E05" w14:textId="77777777" w:rsidR="00530812" w:rsidRPr="00711E68" w:rsidRDefault="00530812" w:rsidP="00711E68">
      <w:pPr>
        <w:rPr>
          <w:szCs w:val="22"/>
          <w:u w:val="single"/>
        </w:rPr>
      </w:pPr>
    </w:p>
    <w:p w14:paraId="11FA29A0" w14:textId="77777777" w:rsidR="00530812" w:rsidRPr="00711E68" w:rsidRDefault="00530812" w:rsidP="00711E68">
      <w:pPr>
        <w:keepNext/>
        <w:rPr>
          <w:szCs w:val="22"/>
          <w:u w:val="single"/>
        </w:rPr>
      </w:pPr>
      <w:r w:rsidRPr="00711E68">
        <w:rPr>
          <w:szCs w:val="22"/>
          <w:u w:val="single"/>
        </w:rPr>
        <w:t>Dojenje</w:t>
      </w:r>
    </w:p>
    <w:p w14:paraId="451B9081" w14:textId="77777777" w:rsidR="00530812" w:rsidRPr="00711E68" w:rsidRDefault="00530812" w:rsidP="00711E68">
      <w:pPr>
        <w:keepNext/>
        <w:rPr>
          <w:szCs w:val="22"/>
          <w:u w:val="single"/>
        </w:rPr>
      </w:pPr>
    </w:p>
    <w:p w14:paraId="3CE8FC85" w14:textId="22F2AC5F" w:rsidR="00530812" w:rsidRPr="00711E68" w:rsidRDefault="00530812" w:rsidP="00711E68">
      <w:pPr>
        <w:rPr>
          <w:szCs w:val="22"/>
          <w:lang w:val="sr-Latn-RS"/>
        </w:rPr>
      </w:pPr>
      <w:r w:rsidRPr="00711E68">
        <w:rPr>
          <w:color w:val="000000"/>
          <w:szCs w:val="22"/>
        </w:rPr>
        <w:t>Nije poznato izlučuje li se risankizumab u majčino mlijeko. Poznato je da se t</w:t>
      </w:r>
      <w:r w:rsidR="00BB06D6" w:rsidRPr="00711E68">
        <w:rPr>
          <w:color w:val="000000"/>
          <w:szCs w:val="22"/>
        </w:rPr>
        <w:t>o</w:t>
      </w:r>
      <w:r w:rsidRPr="00711E68">
        <w:rPr>
          <w:color w:val="000000"/>
          <w:szCs w:val="22"/>
        </w:rPr>
        <w:t>kom prvih nekoliko dana nakon poro</w:t>
      </w:r>
      <w:r w:rsidR="00A1288A" w:rsidRPr="00711E68">
        <w:rPr>
          <w:color w:val="000000"/>
          <w:szCs w:val="22"/>
        </w:rPr>
        <w:t>đaj</w:t>
      </w:r>
      <w:r w:rsidRPr="00711E68">
        <w:rPr>
          <w:color w:val="000000"/>
          <w:szCs w:val="22"/>
        </w:rPr>
        <w:t xml:space="preserve">a humana IgG </w:t>
      </w:r>
      <w:r w:rsidR="00A1288A" w:rsidRPr="00711E68">
        <w:rPr>
          <w:color w:val="000000"/>
          <w:szCs w:val="22"/>
        </w:rPr>
        <w:t>antit</w:t>
      </w:r>
      <w:r w:rsidRPr="00711E68">
        <w:rPr>
          <w:color w:val="000000"/>
          <w:szCs w:val="22"/>
        </w:rPr>
        <w:t>ijela izlučuju u majčino mlijeko i da njihove koncentracije ubrzo nakon toga padaju na ni</w:t>
      </w:r>
      <w:r w:rsidR="00644511" w:rsidRPr="00711E68">
        <w:rPr>
          <w:color w:val="000000"/>
          <w:szCs w:val="22"/>
        </w:rPr>
        <w:t>zak nivo</w:t>
      </w:r>
      <w:r w:rsidRPr="00711E68">
        <w:rPr>
          <w:color w:val="000000"/>
          <w:szCs w:val="22"/>
        </w:rPr>
        <w:t xml:space="preserve">; posljedično, ne može se isključiti rizik </w:t>
      </w:r>
      <w:r w:rsidR="00032B47" w:rsidRPr="00711E68">
        <w:rPr>
          <w:color w:val="000000"/>
          <w:szCs w:val="22"/>
        </w:rPr>
        <w:t>po</w:t>
      </w:r>
      <w:r w:rsidRPr="00711E68">
        <w:rPr>
          <w:color w:val="000000"/>
          <w:szCs w:val="22"/>
        </w:rPr>
        <w:t xml:space="preserve"> </w:t>
      </w:r>
      <w:r w:rsidR="001A04BC" w:rsidRPr="00711E68">
        <w:rPr>
          <w:color w:val="000000"/>
          <w:szCs w:val="22"/>
        </w:rPr>
        <w:t>odojče</w:t>
      </w:r>
      <w:r w:rsidRPr="00711E68">
        <w:rPr>
          <w:color w:val="000000"/>
          <w:szCs w:val="22"/>
        </w:rPr>
        <w:t xml:space="preserve"> t</w:t>
      </w:r>
      <w:r w:rsidR="001A04BC" w:rsidRPr="00711E68">
        <w:rPr>
          <w:color w:val="000000"/>
          <w:szCs w:val="22"/>
        </w:rPr>
        <w:t>o</w:t>
      </w:r>
      <w:r w:rsidRPr="00711E68">
        <w:rPr>
          <w:color w:val="000000"/>
          <w:szCs w:val="22"/>
        </w:rPr>
        <w:t xml:space="preserve">kom tog kratkog razdoblja. Potrebno je odlučiti da li prekinuti liječenje/suzdržati se od liječenja risankizumabom uzimajući u obzir korist dojenja za dijete i korist liječenja risankizumabom za </w:t>
      </w:r>
      <w:r w:rsidR="001A04BC" w:rsidRPr="00711E68">
        <w:rPr>
          <w:color w:val="000000"/>
          <w:szCs w:val="22"/>
        </w:rPr>
        <w:t>majku</w:t>
      </w:r>
      <w:r w:rsidRPr="00711E68">
        <w:rPr>
          <w:color w:val="000000"/>
          <w:szCs w:val="22"/>
        </w:rPr>
        <w:t>.</w:t>
      </w:r>
    </w:p>
    <w:p w14:paraId="1CC00CF7" w14:textId="77777777" w:rsidR="00755CF9" w:rsidRPr="00711E68" w:rsidRDefault="00755CF9" w:rsidP="00711E68">
      <w:pPr>
        <w:rPr>
          <w:szCs w:val="22"/>
          <w:lang w:val="sr-Latn-RS"/>
        </w:rPr>
      </w:pPr>
    </w:p>
    <w:p w14:paraId="5D67C00C" w14:textId="744EE2EB" w:rsidR="00CE09F3" w:rsidRPr="00711E68" w:rsidRDefault="00CE09F3" w:rsidP="00711E68">
      <w:pPr>
        <w:rPr>
          <w:b/>
          <w:bCs/>
          <w:szCs w:val="22"/>
          <w:lang w:val="sr-Latn-RS"/>
        </w:rPr>
      </w:pPr>
      <w:r w:rsidRPr="00711E68">
        <w:rPr>
          <w:b/>
          <w:bCs/>
          <w:szCs w:val="22"/>
          <w:lang w:val="sr-Latn-RS"/>
        </w:rPr>
        <w:t>4.7. Uticaj na sposobnost upravljanja vozilima i rukovanj</w:t>
      </w:r>
      <w:r w:rsidR="003A5AE1" w:rsidRPr="00711E68">
        <w:rPr>
          <w:b/>
          <w:bCs/>
          <w:szCs w:val="22"/>
          <w:lang w:val="sr-Latn-RS"/>
        </w:rPr>
        <w:t>e</w:t>
      </w:r>
      <w:r w:rsidRPr="00711E68">
        <w:rPr>
          <w:b/>
          <w:bCs/>
          <w:szCs w:val="22"/>
          <w:lang w:val="sr-Latn-RS"/>
        </w:rPr>
        <w:t xml:space="preserve"> mašinama</w:t>
      </w:r>
    </w:p>
    <w:p w14:paraId="002EB3E2" w14:textId="77777777" w:rsidR="00C42C10" w:rsidRPr="00711E68" w:rsidRDefault="00C42C10" w:rsidP="00711E68">
      <w:pPr>
        <w:rPr>
          <w:b/>
          <w:bCs/>
          <w:szCs w:val="22"/>
          <w:lang w:val="sr-Latn-RS"/>
        </w:rPr>
      </w:pPr>
    </w:p>
    <w:p w14:paraId="703F7315" w14:textId="0A7AF27A" w:rsidR="00CE09F3" w:rsidRPr="00711E68" w:rsidRDefault="00C42C10" w:rsidP="00711E68">
      <w:pPr>
        <w:rPr>
          <w:szCs w:val="22"/>
          <w:lang w:val="sr-Latn-RS"/>
        </w:rPr>
      </w:pPr>
      <w:r w:rsidRPr="00711E68">
        <w:rPr>
          <w:szCs w:val="22"/>
          <w:lang w:val="sr-Latn-RS"/>
        </w:rPr>
        <w:t>Risankizumab ne</w:t>
      </w:r>
      <w:r w:rsidR="00636AA9" w:rsidRPr="00711E68">
        <w:rPr>
          <w:szCs w:val="22"/>
          <w:lang w:val="sr-Latn-RS"/>
        </w:rPr>
        <w:t xml:space="preserve"> utiče </w:t>
      </w:r>
      <w:r w:rsidRPr="00711E68">
        <w:rPr>
          <w:szCs w:val="22"/>
          <w:lang w:val="sr-Latn-RS"/>
        </w:rPr>
        <w:t>ili ima zanemarljiv uticaj na sposobnost upravljanja vozilima i rukovanja mašinama.</w:t>
      </w:r>
    </w:p>
    <w:p w14:paraId="4D2EEDF4" w14:textId="77777777" w:rsidR="00CE09F3" w:rsidRPr="00711E68" w:rsidRDefault="00CE09F3" w:rsidP="00711E68">
      <w:pPr>
        <w:rPr>
          <w:szCs w:val="22"/>
          <w:lang w:val="sr-Latn-RS"/>
        </w:rPr>
      </w:pPr>
    </w:p>
    <w:p w14:paraId="1C6B9743" w14:textId="77777777" w:rsidR="00CE09F3" w:rsidRPr="00711E68" w:rsidRDefault="00CE09F3" w:rsidP="00711E68">
      <w:pPr>
        <w:rPr>
          <w:b/>
          <w:bCs/>
          <w:szCs w:val="22"/>
          <w:lang w:val="sr-Latn-RS"/>
        </w:rPr>
      </w:pPr>
      <w:r w:rsidRPr="00711E68">
        <w:rPr>
          <w:b/>
          <w:bCs/>
          <w:szCs w:val="22"/>
          <w:lang w:val="sr-Latn-RS"/>
        </w:rPr>
        <w:t>4.8. Neželjena dejstva</w:t>
      </w:r>
    </w:p>
    <w:p w14:paraId="6696B536" w14:textId="6000BA6B" w:rsidR="00CE09F3" w:rsidRPr="00711E68" w:rsidRDefault="00CE09F3" w:rsidP="00711E68">
      <w:pPr>
        <w:rPr>
          <w:noProof/>
          <w:szCs w:val="22"/>
          <w:u w:val="single"/>
          <w:lang w:val="sr-Latn-RS"/>
        </w:rPr>
      </w:pPr>
    </w:p>
    <w:p w14:paraId="16FC8772" w14:textId="62654D2B" w:rsidR="00755CF9" w:rsidRDefault="00755CF9" w:rsidP="00711E68">
      <w:pPr>
        <w:rPr>
          <w:rStyle w:val="gtcitalic2"/>
          <w:i w:val="0"/>
          <w:iCs/>
          <w:szCs w:val="22"/>
          <w:u w:val="single"/>
          <w:lang w:val="sr-Latn-RS"/>
        </w:rPr>
      </w:pPr>
      <w:r w:rsidRPr="00711E68">
        <w:rPr>
          <w:rStyle w:val="gtcitalic2"/>
          <w:i w:val="0"/>
          <w:iCs/>
          <w:szCs w:val="22"/>
          <w:u w:val="single"/>
          <w:lang w:val="sr-Latn-RS"/>
        </w:rPr>
        <w:t>Sažetak bezb</w:t>
      </w:r>
      <w:r w:rsidR="00AC2AEC" w:rsidRPr="00711E68">
        <w:rPr>
          <w:rStyle w:val="gtcitalic2"/>
          <w:i w:val="0"/>
          <w:iCs/>
          <w:szCs w:val="22"/>
          <w:u w:val="single"/>
          <w:lang w:val="sr-Latn-RS"/>
        </w:rPr>
        <w:t>j</w:t>
      </w:r>
      <w:r w:rsidRPr="00711E68">
        <w:rPr>
          <w:rStyle w:val="gtcitalic2"/>
          <w:i w:val="0"/>
          <w:iCs/>
          <w:szCs w:val="22"/>
          <w:u w:val="single"/>
          <w:lang w:val="sr-Latn-RS"/>
        </w:rPr>
        <w:t>ednosnog profila</w:t>
      </w:r>
    </w:p>
    <w:p w14:paraId="634E4FD9" w14:textId="77777777" w:rsidR="00711E68" w:rsidRPr="00711E68" w:rsidRDefault="00711E68" w:rsidP="00711E68">
      <w:pPr>
        <w:rPr>
          <w:iCs/>
          <w:szCs w:val="22"/>
          <w:u w:val="single"/>
          <w:lang w:val="sr-Latn-RS"/>
        </w:rPr>
      </w:pPr>
    </w:p>
    <w:p w14:paraId="36A16A26" w14:textId="1C842A8C" w:rsidR="00755CF9" w:rsidRPr="00711E68" w:rsidRDefault="00755CF9" w:rsidP="00711E68">
      <w:pPr>
        <w:rPr>
          <w:noProof/>
          <w:szCs w:val="22"/>
          <w:lang w:val="sr-Latn-RS"/>
        </w:rPr>
      </w:pPr>
      <w:r w:rsidRPr="00711E68">
        <w:rPr>
          <w:noProof/>
          <w:szCs w:val="22"/>
          <w:lang w:val="sr-Latn-RS"/>
        </w:rPr>
        <w:t>Najčešće prijavljivan</w:t>
      </w:r>
      <w:r w:rsidR="00AA03AA" w:rsidRPr="00711E68">
        <w:rPr>
          <w:noProof/>
          <w:szCs w:val="22"/>
          <w:lang w:val="sr-Latn-RS"/>
        </w:rPr>
        <w:t>a</w:t>
      </w:r>
      <w:r w:rsidRPr="00711E68">
        <w:rPr>
          <w:noProof/>
          <w:szCs w:val="22"/>
          <w:lang w:val="sr-Latn-RS"/>
        </w:rPr>
        <w:t xml:space="preserve"> neželjen</w:t>
      </w:r>
      <w:r w:rsidR="00AA03AA" w:rsidRPr="00711E68">
        <w:rPr>
          <w:noProof/>
          <w:szCs w:val="22"/>
          <w:lang w:val="sr-Latn-RS"/>
        </w:rPr>
        <w:t>a</w:t>
      </w:r>
      <w:r w:rsidRPr="00711E68">
        <w:rPr>
          <w:noProof/>
          <w:szCs w:val="22"/>
          <w:lang w:val="sr-Latn-RS"/>
        </w:rPr>
        <w:t xml:space="preserve"> </w:t>
      </w:r>
      <w:r w:rsidR="00AA03AA" w:rsidRPr="00711E68">
        <w:rPr>
          <w:noProof/>
          <w:szCs w:val="22"/>
          <w:lang w:val="sr-Latn-RS"/>
        </w:rPr>
        <w:t>dejstva</w:t>
      </w:r>
      <w:r w:rsidRPr="00711E68">
        <w:rPr>
          <w:noProof/>
          <w:szCs w:val="22"/>
          <w:lang w:val="sr-Latn-RS"/>
        </w:rPr>
        <w:t xml:space="preserve"> bil</w:t>
      </w:r>
      <w:r w:rsidR="00AA03AA" w:rsidRPr="00711E68">
        <w:rPr>
          <w:noProof/>
          <w:szCs w:val="22"/>
          <w:lang w:val="sr-Latn-RS"/>
        </w:rPr>
        <w:t>a</w:t>
      </w:r>
      <w:r w:rsidRPr="00711E68">
        <w:rPr>
          <w:noProof/>
          <w:szCs w:val="22"/>
          <w:lang w:val="sr-Latn-RS"/>
        </w:rPr>
        <w:t xml:space="preserve"> su infekcije gornjeg respiratornog trakta, </w:t>
      </w:r>
      <w:r w:rsidR="00182DA4" w:rsidRPr="00711E68">
        <w:rPr>
          <w:noProof/>
          <w:szCs w:val="22"/>
          <w:lang w:val="sr-Latn-RS"/>
        </w:rPr>
        <w:t xml:space="preserve">koje su se javile </w:t>
      </w:r>
      <w:r w:rsidRPr="00711E68">
        <w:rPr>
          <w:noProof/>
          <w:szCs w:val="22"/>
          <w:lang w:val="sr-Latn-RS"/>
        </w:rPr>
        <w:t>kod 13% pacijenata.</w:t>
      </w:r>
    </w:p>
    <w:p w14:paraId="01D9F98A" w14:textId="77777777" w:rsidR="00755CF9" w:rsidRPr="00711E68" w:rsidRDefault="00755CF9" w:rsidP="00711E68">
      <w:pPr>
        <w:rPr>
          <w:noProof/>
          <w:szCs w:val="22"/>
          <w:u w:val="single"/>
          <w:lang w:val="sr-Latn-RS"/>
        </w:rPr>
      </w:pPr>
    </w:p>
    <w:p w14:paraId="70197E11" w14:textId="6E7E0DE1" w:rsidR="00711E68" w:rsidRPr="00711E68" w:rsidRDefault="008E17F9" w:rsidP="00711E68">
      <w:pPr>
        <w:autoSpaceDE w:val="0"/>
        <w:autoSpaceDN w:val="0"/>
        <w:adjustRightInd w:val="0"/>
        <w:rPr>
          <w:rFonts w:eastAsia="TimesNewRoman"/>
          <w:szCs w:val="22"/>
          <w:u w:val="single"/>
          <w:lang w:val="sr-Latn-RS"/>
        </w:rPr>
      </w:pPr>
      <w:r w:rsidRPr="00711E68">
        <w:rPr>
          <w:rFonts w:eastAsia="TimesNewRoman"/>
          <w:szCs w:val="22"/>
          <w:u w:val="single"/>
          <w:lang w:val="sr-Latn-RS"/>
        </w:rPr>
        <w:t xml:space="preserve">Tabelarni prikaz neželjenih </w:t>
      </w:r>
      <w:r w:rsidR="00AA03AA" w:rsidRPr="00711E68">
        <w:rPr>
          <w:rFonts w:eastAsia="TimesNewRoman"/>
          <w:szCs w:val="22"/>
          <w:u w:val="single"/>
          <w:lang w:val="sr-Latn-RS"/>
        </w:rPr>
        <w:t>dejstava</w:t>
      </w:r>
      <w:r w:rsidRPr="00711E68">
        <w:rPr>
          <w:rFonts w:eastAsia="TimesNewRoman"/>
          <w:szCs w:val="22"/>
          <w:u w:val="single"/>
          <w:lang w:val="sr-Latn-RS"/>
        </w:rPr>
        <w:t xml:space="preserve"> </w:t>
      </w:r>
    </w:p>
    <w:p w14:paraId="5C406E7E" w14:textId="52CB8803" w:rsidR="008E17F9" w:rsidRPr="00711E68" w:rsidRDefault="008E17F9" w:rsidP="00711E68">
      <w:pPr>
        <w:autoSpaceDE w:val="0"/>
        <w:autoSpaceDN w:val="0"/>
        <w:adjustRightInd w:val="0"/>
        <w:rPr>
          <w:rFonts w:eastAsia="TimesNewRoman"/>
          <w:szCs w:val="22"/>
          <w:lang w:val="sr-Latn-RS"/>
        </w:rPr>
      </w:pPr>
      <w:r w:rsidRPr="00711E68">
        <w:rPr>
          <w:rFonts w:eastAsia="TimesNewRoman"/>
          <w:szCs w:val="22"/>
          <w:lang w:val="sr-Latn-RS"/>
        </w:rPr>
        <w:t>Neželjen</w:t>
      </w:r>
      <w:r w:rsidR="00AA03AA" w:rsidRPr="00711E68">
        <w:rPr>
          <w:rFonts w:eastAsia="TimesNewRoman"/>
          <w:szCs w:val="22"/>
          <w:lang w:val="sr-Latn-RS"/>
        </w:rPr>
        <w:t>a</w:t>
      </w:r>
      <w:r w:rsidRPr="00711E68">
        <w:rPr>
          <w:rFonts w:eastAsia="TimesNewRoman"/>
          <w:szCs w:val="22"/>
          <w:lang w:val="sr-Latn-RS"/>
        </w:rPr>
        <w:t xml:space="preserve"> </w:t>
      </w:r>
      <w:r w:rsidR="00AA03AA" w:rsidRPr="00711E68">
        <w:rPr>
          <w:rFonts w:eastAsia="TimesNewRoman"/>
          <w:szCs w:val="22"/>
          <w:lang w:val="sr-Latn-RS"/>
        </w:rPr>
        <w:t>dejstva</w:t>
      </w:r>
      <w:r w:rsidR="00C42C10" w:rsidRPr="00711E68">
        <w:rPr>
          <w:rFonts w:eastAsia="TimesNewRoman"/>
          <w:szCs w:val="22"/>
          <w:lang w:val="sr-Latn-RS"/>
        </w:rPr>
        <w:t xml:space="preserve"> risankizumab</w:t>
      </w:r>
      <w:r w:rsidR="00AA03AA" w:rsidRPr="00711E68">
        <w:rPr>
          <w:rFonts w:eastAsia="TimesNewRoman"/>
          <w:szCs w:val="22"/>
          <w:lang w:val="sr-Latn-RS"/>
        </w:rPr>
        <w:t>a</w:t>
      </w:r>
      <w:r w:rsidR="00C42C10" w:rsidRPr="00711E68">
        <w:rPr>
          <w:rFonts w:eastAsia="TimesNewRoman"/>
          <w:szCs w:val="22"/>
          <w:lang w:val="sr-Latn-RS"/>
        </w:rPr>
        <w:t xml:space="preserve"> iz kliničkih studija (Tabela 1) </w:t>
      </w:r>
      <w:r w:rsidR="009158FA" w:rsidRPr="00711E68">
        <w:rPr>
          <w:rFonts w:eastAsia="TimesNewRoman"/>
          <w:szCs w:val="22"/>
          <w:lang w:val="sr-Latn-RS"/>
        </w:rPr>
        <w:t>navedene</w:t>
      </w:r>
      <w:r w:rsidRPr="00711E68">
        <w:rPr>
          <w:rFonts w:eastAsia="TimesNewRoman"/>
          <w:szCs w:val="22"/>
          <w:lang w:val="sr-Latn-RS"/>
        </w:rPr>
        <w:t xml:space="preserve"> su prema </w:t>
      </w:r>
      <w:r w:rsidR="00FA6C1F" w:rsidRPr="00711E68">
        <w:rPr>
          <w:rFonts w:eastAsia="TimesNewRoman"/>
          <w:szCs w:val="22"/>
          <w:lang w:val="sr-Latn-RS"/>
        </w:rPr>
        <w:t xml:space="preserve">MedRA </w:t>
      </w:r>
      <w:r w:rsidR="00C41CFA" w:rsidRPr="00711E68">
        <w:rPr>
          <w:rFonts w:eastAsia="TimesNewRoman"/>
          <w:szCs w:val="22"/>
          <w:lang w:val="sr-Latn-RS"/>
        </w:rPr>
        <w:t>klasi</w:t>
      </w:r>
      <w:r w:rsidR="00FA6C1F" w:rsidRPr="00711E68">
        <w:rPr>
          <w:rFonts w:eastAsia="TimesNewRoman"/>
          <w:szCs w:val="22"/>
          <w:lang w:val="sr-Latn-RS"/>
        </w:rPr>
        <w:t>fikaciji</w:t>
      </w:r>
      <w:r w:rsidR="00C41CFA" w:rsidRPr="00711E68">
        <w:rPr>
          <w:rFonts w:eastAsia="TimesNewRoman"/>
          <w:szCs w:val="22"/>
          <w:lang w:val="sr-Latn-RS"/>
        </w:rPr>
        <w:t xml:space="preserve"> organ</w:t>
      </w:r>
      <w:r w:rsidR="00120AB4" w:rsidRPr="00711E68">
        <w:rPr>
          <w:rFonts w:eastAsia="TimesNewRoman"/>
          <w:szCs w:val="22"/>
          <w:lang w:val="sr-Latn-RS"/>
        </w:rPr>
        <w:t>skih sistema</w:t>
      </w:r>
      <w:r w:rsidRPr="00711E68">
        <w:rPr>
          <w:rFonts w:eastAsia="TimesNewRoman"/>
          <w:szCs w:val="22"/>
          <w:lang w:val="sr-Latn-RS"/>
        </w:rPr>
        <w:t xml:space="preserve"> i </w:t>
      </w:r>
      <w:r w:rsidR="00FA6C1F" w:rsidRPr="00711E68">
        <w:rPr>
          <w:rFonts w:eastAsia="TimesNewRoman"/>
          <w:szCs w:val="22"/>
          <w:lang w:val="sr-Latn-RS"/>
        </w:rPr>
        <w:t xml:space="preserve">sledećim kategorijama </w:t>
      </w:r>
      <w:r w:rsidRPr="00711E68">
        <w:rPr>
          <w:rFonts w:eastAsia="TimesNewRoman"/>
          <w:szCs w:val="22"/>
          <w:lang w:val="sr-Latn-RS"/>
        </w:rPr>
        <w:t>učestalosti: veoma često (≥ 1/10), često (≥ 1/100 do &lt; 1/10), povremeno (≥ 1/1000 do &lt; 1/100), r</w:t>
      </w:r>
      <w:r w:rsidR="00AC2AEC" w:rsidRPr="00711E68">
        <w:rPr>
          <w:rFonts w:eastAsia="TimesNewRoman"/>
          <w:szCs w:val="22"/>
          <w:lang w:val="sr-Latn-RS"/>
        </w:rPr>
        <w:t>ij</w:t>
      </w:r>
      <w:r w:rsidRPr="00711E68">
        <w:rPr>
          <w:rFonts w:eastAsia="TimesNewRoman"/>
          <w:szCs w:val="22"/>
          <w:lang w:val="sr-Latn-RS"/>
        </w:rPr>
        <w:t xml:space="preserve">etko (≥ 1/10000 do &lt; 1/1000) </w:t>
      </w:r>
      <w:r w:rsidR="00BA4385" w:rsidRPr="00711E68">
        <w:rPr>
          <w:rFonts w:eastAsia="TimesNewRoman"/>
          <w:szCs w:val="22"/>
          <w:lang w:val="sr-Latn-RS"/>
        </w:rPr>
        <w:t>i</w:t>
      </w:r>
      <w:r w:rsidRPr="00711E68">
        <w:rPr>
          <w:rFonts w:eastAsia="TimesNewRoman"/>
          <w:szCs w:val="22"/>
          <w:lang w:val="sr-Latn-RS"/>
        </w:rPr>
        <w:t xml:space="preserve"> veoma r</w:t>
      </w:r>
      <w:r w:rsidR="00AC2AEC" w:rsidRPr="00711E68">
        <w:rPr>
          <w:rFonts w:eastAsia="TimesNewRoman"/>
          <w:szCs w:val="22"/>
          <w:lang w:val="sr-Latn-RS"/>
        </w:rPr>
        <w:t>ij</w:t>
      </w:r>
      <w:r w:rsidRPr="00711E68">
        <w:rPr>
          <w:rFonts w:eastAsia="TimesNewRoman"/>
          <w:szCs w:val="22"/>
          <w:lang w:val="sr-Latn-RS"/>
        </w:rPr>
        <w:t>etko (&lt; 1/10000).</w:t>
      </w:r>
    </w:p>
    <w:p w14:paraId="142900FC" w14:textId="04177813" w:rsidR="008E17F9" w:rsidRPr="00711E68" w:rsidRDefault="008E17F9" w:rsidP="00711E68">
      <w:pPr>
        <w:autoSpaceDE w:val="0"/>
        <w:autoSpaceDN w:val="0"/>
        <w:adjustRightInd w:val="0"/>
        <w:rPr>
          <w:rFonts w:eastAsia="TimesNewRoman"/>
          <w:szCs w:val="22"/>
          <w:lang w:val="sr-Latn-RS"/>
        </w:rPr>
      </w:pPr>
    </w:p>
    <w:p w14:paraId="7F33C6F8" w14:textId="6E1230B8" w:rsidR="008E17F9" w:rsidRPr="00711E68" w:rsidRDefault="008E17F9" w:rsidP="00711E68">
      <w:pPr>
        <w:autoSpaceDE w:val="0"/>
        <w:autoSpaceDN w:val="0"/>
        <w:adjustRightInd w:val="0"/>
        <w:rPr>
          <w:rFonts w:eastAsia="TimesNewRoman"/>
          <w:b/>
          <w:szCs w:val="22"/>
          <w:lang w:val="sr-Latn-RS"/>
        </w:rPr>
      </w:pPr>
      <w:r w:rsidRPr="00711E68">
        <w:rPr>
          <w:rFonts w:eastAsia="TimesNewRoman"/>
          <w:b/>
          <w:szCs w:val="22"/>
          <w:lang w:val="sr-Latn-RS"/>
        </w:rPr>
        <w:t xml:space="preserve">Tabela 1: Lista neželjenih </w:t>
      </w:r>
      <w:r w:rsidR="00AA03AA" w:rsidRPr="00711E68">
        <w:rPr>
          <w:rFonts w:eastAsia="TimesNewRoman"/>
          <w:b/>
          <w:szCs w:val="22"/>
          <w:lang w:val="sr-Latn-RS"/>
        </w:rPr>
        <w:t>dejstava</w:t>
      </w:r>
      <w:r w:rsidRPr="00711E68">
        <w:rPr>
          <w:rFonts w:eastAsia="TimesNewRoman"/>
          <w:b/>
          <w:szCs w:val="22"/>
          <w:lang w:val="sr-Latn-RS"/>
        </w:rPr>
        <w:t xml:space="preserve"> u kliničkim studijama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029"/>
        <w:gridCol w:w="3924"/>
      </w:tblGrid>
      <w:tr w:rsidR="008E17F9" w:rsidRPr="00711E68" w14:paraId="36FCC02E" w14:textId="77777777" w:rsidTr="00711E68">
        <w:trPr>
          <w:jc w:val="center"/>
        </w:trPr>
        <w:tc>
          <w:tcPr>
            <w:tcW w:w="2689" w:type="dxa"/>
            <w:shd w:val="clear" w:color="auto" w:fill="auto"/>
          </w:tcPr>
          <w:p w14:paraId="70E36634" w14:textId="57397931" w:rsidR="008E17F9" w:rsidRPr="00711E68" w:rsidRDefault="00C41CFA" w:rsidP="00711E68">
            <w:pPr>
              <w:keepNext/>
              <w:rPr>
                <w:b/>
                <w:szCs w:val="22"/>
                <w:lang w:val="sr-Latn-RS"/>
              </w:rPr>
            </w:pPr>
            <w:r w:rsidRPr="00711E68">
              <w:rPr>
                <w:b/>
                <w:bCs/>
                <w:szCs w:val="22"/>
                <w:lang w:val="sr-Latn-RS"/>
              </w:rPr>
              <w:t>Klasa s</w:t>
            </w:r>
            <w:r w:rsidR="008E17F9" w:rsidRPr="00711E68">
              <w:rPr>
                <w:b/>
                <w:bCs/>
                <w:szCs w:val="22"/>
                <w:lang w:val="sr-Latn-RS"/>
              </w:rPr>
              <w:t>istem</w:t>
            </w:r>
            <w:r w:rsidRPr="00711E68">
              <w:rPr>
                <w:b/>
                <w:bCs/>
                <w:szCs w:val="22"/>
                <w:lang w:val="sr-Latn-RS"/>
              </w:rPr>
              <w:t>a</w:t>
            </w:r>
            <w:r w:rsidR="008E17F9" w:rsidRPr="00711E68">
              <w:rPr>
                <w:b/>
                <w:bCs/>
                <w:szCs w:val="22"/>
                <w:lang w:val="sr-Latn-RS"/>
              </w:rPr>
              <w:t xml:space="preserve"> organa</w:t>
            </w:r>
          </w:p>
        </w:tc>
        <w:tc>
          <w:tcPr>
            <w:tcW w:w="2029" w:type="dxa"/>
            <w:shd w:val="clear" w:color="auto" w:fill="auto"/>
          </w:tcPr>
          <w:p w14:paraId="5ED4D126" w14:textId="171B9050" w:rsidR="008E17F9" w:rsidRPr="00711E68" w:rsidRDefault="008E17F9" w:rsidP="00711E68">
            <w:pPr>
              <w:keepNext/>
              <w:rPr>
                <w:b/>
                <w:szCs w:val="22"/>
                <w:lang w:val="sr-Latn-RS"/>
              </w:rPr>
            </w:pPr>
            <w:r w:rsidRPr="00711E68">
              <w:rPr>
                <w:b/>
                <w:bCs/>
                <w:szCs w:val="22"/>
                <w:lang w:val="sr-Latn-RS"/>
              </w:rPr>
              <w:t xml:space="preserve">Učestalost </w:t>
            </w:r>
          </w:p>
        </w:tc>
        <w:tc>
          <w:tcPr>
            <w:tcW w:w="3924" w:type="dxa"/>
            <w:shd w:val="clear" w:color="auto" w:fill="auto"/>
          </w:tcPr>
          <w:p w14:paraId="25688D2D" w14:textId="69EED9EA" w:rsidR="008E17F9" w:rsidRPr="00711E68" w:rsidRDefault="008E17F9" w:rsidP="00711E68">
            <w:pPr>
              <w:keepNext/>
              <w:rPr>
                <w:b/>
                <w:szCs w:val="22"/>
                <w:lang w:val="sr-Latn-RS"/>
              </w:rPr>
            </w:pPr>
            <w:r w:rsidRPr="00711E68">
              <w:rPr>
                <w:b/>
                <w:szCs w:val="22"/>
                <w:lang w:val="sr-Latn-RS"/>
              </w:rPr>
              <w:t>Neželjen</w:t>
            </w:r>
            <w:r w:rsidR="00C41CFA" w:rsidRPr="00711E68">
              <w:rPr>
                <w:b/>
                <w:szCs w:val="22"/>
                <w:lang w:val="sr-Latn-RS"/>
              </w:rPr>
              <w:t xml:space="preserve">a </w:t>
            </w:r>
            <w:r w:rsidR="00AA03AA" w:rsidRPr="00711E68">
              <w:rPr>
                <w:b/>
                <w:szCs w:val="22"/>
                <w:lang w:val="sr-Latn-RS"/>
              </w:rPr>
              <w:t>dejstva</w:t>
            </w:r>
          </w:p>
        </w:tc>
      </w:tr>
      <w:tr w:rsidR="008E17F9" w:rsidRPr="00711E68" w14:paraId="1AFB8AAF" w14:textId="77777777" w:rsidTr="00711E68">
        <w:trPr>
          <w:jc w:val="center"/>
        </w:trPr>
        <w:tc>
          <w:tcPr>
            <w:tcW w:w="2689" w:type="dxa"/>
            <w:vMerge w:val="restart"/>
            <w:shd w:val="clear" w:color="auto" w:fill="auto"/>
          </w:tcPr>
          <w:p w14:paraId="63255661" w14:textId="6A42DF9B" w:rsidR="008E17F9" w:rsidRPr="00711E68" w:rsidRDefault="008E17F9" w:rsidP="00711E68">
            <w:pPr>
              <w:keepNext/>
              <w:jc w:val="left"/>
              <w:rPr>
                <w:szCs w:val="22"/>
                <w:lang w:val="sr-Latn-RS"/>
              </w:rPr>
            </w:pPr>
            <w:r w:rsidRPr="00711E68">
              <w:rPr>
                <w:bCs/>
                <w:szCs w:val="22"/>
                <w:lang w:val="sr-Latn-RS"/>
              </w:rPr>
              <w:t>Infekcije i infestacije</w:t>
            </w:r>
          </w:p>
        </w:tc>
        <w:tc>
          <w:tcPr>
            <w:tcW w:w="2029" w:type="dxa"/>
            <w:shd w:val="clear" w:color="auto" w:fill="auto"/>
          </w:tcPr>
          <w:p w14:paraId="2A6FB383" w14:textId="0C159754" w:rsidR="008E17F9" w:rsidRPr="00711E68" w:rsidRDefault="008E17F9" w:rsidP="00711E68">
            <w:pPr>
              <w:keepNext/>
              <w:rPr>
                <w:b/>
                <w:szCs w:val="22"/>
                <w:lang w:val="sr-Latn-RS"/>
              </w:rPr>
            </w:pPr>
            <w:r w:rsidRPr="00711E68">
              <w:rPr>
                <w:szCs w:val="22"/>
                <w:lang w:val="sr-Latn-RS"/>
              </w:rPr>
              <w:t>Veoma često</w:t>
            </w:r>
          </w:p>
        </w:tc>
        <w:tc>
          <w:tcPr>
            <w:tcW w:w="3924" w:type="dxa"/>
            <w:shd w:val="clear" w:color="auto" w:fill="auto"/>
          </w:tcPr>
          <w:p w14:paraId="1A466E20" w14:textId="35789BC6" w:rsidR="008E17F9" w:rsidRPr="00711E68" w:rsidRDefault="008E17F9" w:rsidP="00711E68">
            <w:pPr>
              <w:keepNext/>
              <w:jc w:val="left"/>
              <w:rPr>
                <w:szCs w:val="22"/>
                <w:vertAlign w:val="superscript"/>
                <w:lang w:val="sr-Latn-RS"/>
              </w:rPr>
            </w:pPr>
            <w:r w:rsidRPr="00711E68">
              <w:rPr>
                <w:szCs w:val="22"/>
                <w:lang w:val="sr-Latn-RS"/>
              </w:rPr>
              <w:t>Infekcije gornjeg respiratornog trakta</w:t>
            </w:r>
            <w:r w:rsidRPr="00711E68">
              <w:rPr>
                <w:szCs w:val="22"/>
                <w:vertAlign w:val="superscript"/>
                <w:lang w:val="sr-Latn-RS"/>
              </w:rPr>
              <w:t>a</w:t>
            </w:r>
          </w:p>
        </w:tc>
      </w:tr>
      <w:tr w:rsidR="008E17F9" w:rsidRPr="00711E68" w14:paraId="68EEA931" w14:textId="77777777" w:rsidTr="00711E68">
        <w:trPr>
          <w:jc w:val="center"/>
        </w:trPr>
        <w:tc>
          <w:tcPr>
            <w:tcW w:w="2689" w:type="dxa"/>
            <w:vMerge/>
            <w:shd w:val="clear" w:color="auto" w:fill="auto"/>
          </w:tcPr>
          <w:p w14:paraId="3F0412DF" w14:textId="77777777" w:rsidR="008E17F9" w:rsidRPr="00711E68" w:rsidRDefault="008E17F9" w:rsidP="00711E68">
            <w:pPr>
              <w:keepNext/>
              <w:jc w:val="left"/>
              <w:rPr>
                <w:szCs w:val="22"/>
                <w:lang w:val="sr-Latn-RS"/>
              </w:rPr>
            </w:pPr>
          </w:p>
        </w:tc>
        <w:tc>
          <w:tcPr>
            <w:tcW w:w="2029" w:type="dxa"/>
            <w:shd w:val="clear" w:color="auto" w:fill="auto"/>
          </w:tcPr>
          <w:p w14:paraId="1A54D0CD" w14:textId="7BBBBEFF" w:rsidR="008E17F9" w:rsidRPr="00711E68" w:rsidRDefault="008E17F9" w:rsidP="00711E68">
            <w:pPr>
              <w:keepNext/>
              <w:rPr>
                <w:b/>
                <w:szCs w:val="22"/>
                <w:lang w:val="sr-Latn-RS"/>
              </w:rPr>
            </w:pPr>
            <w:r w:rsidRPr="00711E68">
              <w:rPr>
                <w:szCs w:val="22"/>
                <w:lang w:val="sr-Latn-RS"/>
              </w:rPr>
              <w:t>Često</w:t>
            </w:r>
          </w:p>
        </w:tc>
        <w:tc>
          <w:tcPr>
            <w:tcW w:w="3924" w:type="dxa"/>
            <w:shd w:val="clear" w:color="auto" w:fill="auto"/>
          </w:tcPr>
          <w:p w14:paraId="42DB0F81" w14:textId="0F80EFCE" w:rsidR="008E17F9" w:rsidRPr="00711E68" w:rsidRDefault="008E17F9" w:rsidP="00711E68">
            <w:pPr>
              <w:keepNext/>
              <w:jc w:val="left"/>
              <w:rPr>
                <w:szCs w:val="22"/>
                <w:vertAlign w:val="superscript"/>
                <w:lang w:val="sr-Latn-RS"/>
              </w:rPr>
            </w:pPr>
            <w:r w:rsidRPr="00711E68">
              <w:rPr>
                <w:i/>
                <w:szCs w:val="22"/>
                <w:lang w:val="sr-Latn-RS"/>
              </w:rPr>
              <w:t>Tinea</w:t>
            </w:r>
            <w:r w:rsidRPr="00711E68">
              <w:rPr>
                <w:szCs w:val="22"/>
                <w:lang w:val="sr-Latn-RS"/>
              </w:rPr>
              <w:t xml:space="preserve"> inf</w:t>
            </w:r>
            <w:r w:rsidR="00C42C10" w:rsidRPr="00711E68">
              <w:rPr>
                <w:szCs w:val="22"/>
                <w:lang w:val="sr-Latn-RS"/>
              </w:rPr>
              <w:t>ekcije</w:t>
            </w:r>
            <w:r w:rsidRPr="00711E68">
              <w:rPr>
                <w:szCs w:val="22"/>
                <w:vertAlign w:val="superscript"/>
                <w:lang w:val="sr-Latn-RS"/>
              </w:rPr>
              <w:t>b</w:t>
            </w:r>
          </w:p>
        </w:tc>
      </w:tr>
      <w:tr w:rsidR="008E17F9" w:rsidRPr="00711E68" w14:paraId="5589DF8D" w14:textId="77777777" w:rsidTr="00711E68">
        <w:trPr>
          <w:jc w:val="center"/>
        </w:trPr>
        <w:tc>
          <w:tcPr>
            <w:tcW w:w="2689" w:type="dxa"/>
            <w:vMerge/>
            <w:shd w:val="clear" w:color="auto" w:fill="auto"/>
          </w:tcPr>
          <w:p w14:paraId="26DDBB22" w14:textId="77777777" w:rsidR="008E17F9" w:rsidRPr="00711E68" w:rsidRDefault="008E17F9" w:rsidP="00711E68">
            <w:pPr>
              <w:keepNext/>
              <w:jc w:val="left"/>
              <w:rPr>
                <w:szCs w:val="22"/>
                <w:lang w:val="sr-Latn-RS"/>
              </w:rPr>
            </w:pPr>
          </w:p>
        </w:tc>
        <w:tc>
          <w:tcPr>
            <w:tcW w:w="2029" w:type="dxa"/>
            <w:shd w:val="clear" w:color="auto" w:fill="auto"/>
          </w:tcPr>
          <w:p w14:paraId="2360C445" w14:textId="5E154A01" w:rsidR="008E17F9" w:rsidRPr="00711E68" w:rsidRDefault="008E17F9" w:rsidP="00711E68">
            <w:pPr>
              <w:keepNext/>
              <w:rPr>
                <w:szCs w:val="22"/>
                <w:lang w:val="sr-Latn-RS"/>
              </w:rPr>
            </w:pPr>
            <w:r w:rsidRPr="00711E68">
              <w:rPr>
                <w:bCs/>
                <w:szCs w:val="22"/>
                <w:lang w:val="sr-Latn-RS"/>
              </w:rPr>
              <w:t>Povremeno</w:t>
            </w:r>
          </w:p>
        </w:tc>
        <w:tc>
          <w:tcPr>
            <w:tcW w:w="3924" w:type="dxa"/>
            <w:shd w:val="clear" w:color="auto" w:fill="auto"/>
          </w:tcPr>
          <w:p w14:paraId="52565864" w14:textId="68B22D73" w:rsidR="008E17F9" w:rsidRPr="00711E68" w:rsidRDefault="008E17F9" w:rsidP="00711E68">
            <w:pPr>
              <w:keepNext/>
              <w:jc w:val="left"/>
              <w:rPr>
                <w:szCs w:val="22"/>
                <w:vertAlign w:val="superscript"/>
                <w:lang w:val="sr-Latn-RS"/>
              </w:rPr>
            </w:pPr>
            <w:r w:rsidRPr="00711E68">
              <w:rPr>
                <w:szCs w:val="22"/>
                <w:lang w:val="sr-Latn-RS"/>
              </w:rPr>
              <w:t>Folikulitis</w:t>
            </w:r>
          </w:p>
        </w:tc>
      </w:tr>
      <w:tr w:rsidR="008E17F9" w:rsidRPr="00711E68" w14:paraId="4C6C1A69" w14:textId="77777777" w:rsidTr="00711E68">
        <w:trPr>
          <w:jc w:val="center"/>
        </w:trPr>
        <w:tc>
          <w:tcPr>
            <w:tcW w:w="2689" w:type="dxa"/>
            <w:shd w:val="clear" w:color="auto" w:fill="auto"/>
          </w:tcPr>
          <w:p w14:paraId="2551FB4B" w14:textId="2212DC56" w:rsidR="008E17F9" w:rsidRPr="00711E68" w:rsidRDefault="008E17F9" w:rsidP="00711E68">
            <w:pPr>
              <w:keepNext/>
              <w:jc w:val="left"/>
              <w:rPr>
                <w:szCs w:val="22"/>
                <w:lang w:val="sr-Latn-RS"/>
              </w:rPr>
            </w:pPr>
            <w:r w:rsidRPr="00711E68">
              <w:rPr>
                <w:bCs/>
                <w:szCs w:val="22"/>
                <w:lang w:val="sr-Latn-RS"/>
              </w:rPr>
              <w:t>Poremećaji nervnog sistema</w:t>
            </w:r>
          </w:p>
        </w:tc>
        <w:tc>
          <w:tcPr>
            <w:tcW w:w="2029" w:type="dxa"/>
            <w:shd w:val="clear" w:color="auto" w:fill="auto"/>
          </w:tcPr>
          <w:p w14:paraId="55222245" w14:textId="7BC27380" w:rsidR="008E17F9" w:rsidRPr="00711E68" w:rsidRDefault="008E17F9" w:rsidP="00711E68">
            <w:pPr>
              <w:keepNext/>
              <w:rPr>
                <w:szCs w:val="22"/>
                <w:lang w:val="sr-Latn-RS"/>
              </w:rPr>
            </w:pPr>
            <w:r w:rsidRPr="00711E68">
              <w:rPr>
                <w:szCs w:val="22"/>
                <w:lang w:val="sr-Latn-RS"/>
              </w:rPr>
              <w:t>Često</w:t>
            </w:r>
          </w:p>
        </w:tc>
        <w:tc>
          <w:tcPr>
            <w:tcW w:w="3924" w:type="dxa"/>
            <w:shd w:val="clear" w:color="auto" w:fill="auto"/>
          </w:tcPr>
          <w:p w14:paraId="1989897C" w14:textId="23B25FCC" w:rsidR="008E17F9" w:rsidRPr="00711E68" w:rsidRDefault="008E17F9" w:rsidP="00711E68">
            <w:pPr>
              <w:keepNext/>
              <w:jc w:val="left"/>
              <w:rPr>
                <w:bCs/>
                <w:szCs w:val="22"/>
                <w:vertAlign w:val="superscript"/>
                <w:lang w:val="sr-Latn-RS"/>
              </w:rPr>
            </w:pPr>
            <w:r w:rsidRPr="00711E68">
              <w:rPr>
                <w:szCs w:val="22"/>
                <w:lang w:val="sr-Latn-RS"/>
              </w:rPr>
              <w:t>Glavobolja</w:t>
            </w:r>
            <w:r w:rsidRPr="00711E68">
              <w:rPr>
                <w:szCs w:val="22"/>
                <w:vertAlign w:val="superscript"/>
                <w:lang w:val="sr-Latn-RS"/>
              </w:rPr>
              <w:t>c</w:t>
            </w:r>
          </w:p>
        </w:tc>
      </w:tr>
      <w:tr w:rsidR="008E17F9" w:rsidRPr="00711E68" w14:paraId="75CCF690" w14:textId="77777777" w:rsidTr="00711E68">
        <w:trPr>
          <w:jc w:val="center"/>
        </w:trPr>
        <w:tc>
          <w:tcPr>
            <w:tcW w:w="2689" w:type="dxa"/>
            <w:shd w:val="clear" w:color="auto" w:fill="auto"/>
          </w:tcPr>
          <w:p w14:paraId="6A3E091B" w14:textId="2D7C1A36" w:rsidR="008E17F9" w:rsidRPr="00711E68" w:rsidRDefault="008E17F9" w:rsidP="00711E68">
            <w:pPr>
              <w:keepNext/>
              <w:jc w:val="left"/>
              <w:rPr>
                <w:szCs w:val="22"/>
                <w:lang w:val="sr-Latn-RS"/>
              </w:rPr>
            </w:pPr>
            <w:r w:rsidRPr="00711E68">
              <w:rPr>
                <w:bCs/>
                <w:szCs w:val="22"/>
                <w:lang w:val="sr-Latn-RS"/>
              </w:rPr>
              <w:t>Poremećaji kože i potkožnog tkiva</w:t>
            </w:r>
          </w:p>
        </w:tc>
        <w:tc>
          <w:tcPr>
            <w:tcW w:w="2029" w:type="dxa"/>
            <w:shd w:val="clear" w:color="auto" w:fill="auto"/>
          </w:tcPr>
          <w:p w14:paraId="68F03E47" w14:textId="4AD7BE0B" w:rsidR="008E17F9" w:rsidRPr="00711E68" w:rsidRDefault="008E17F9" w:rsidP="00711E68">
            <w:pPr>
              <w:keepNext/>
              <w:rPr>
                <w:szCs w:val="22"/>
                <w:lang w:val="sr-Latn-RS"/>
              </w:rPr>
            </w:pPr>
            <w:r w:rsidRPr="00711E68">
              <w:rPr>
                <w:szCs w:val="22"/>
                <w:lang w:val="sr-Latn-RS"/>
              </w:rPr>
              <w:t>Često</w:t>
            </w:r>
          </w:p>
        </w:tc>
        <w:tc>
          <w:tcPr>
            <w:tcW w:w="3924" w:type="dxa"/>
            <w:shd w:val="clear" w:color="auto" w:fill="auto"/>
          </w:tcPr>
          <w:p w14:paraId="63921217" w14:textId="77777777" w:rsidR="008E17F9" w:rsidRPr="00711E68" w:rsidRDefault="008E17F9" w:rsidP="00711E68">
            <w:pPr>
              <w:keepNext/>
              <w:jc w:val="left"/>
              <w:rPr>
                <w:szCs w:val="22"/>
                <w:lang w:val="sr-Latn-RS"/>
              </w:rPr>
            </w:pPr>
            <w:r w:rsidRPr="00711E68">
              <w:rPr>
                <w:szCs w:val="22"/>
                <w:lang w:val="sr-Latn-RS"/>
              </w:rPr>
              <w:t>Pruritus</w:t>
            </w:r>
          </w:p>
        </w:tc>
      </w:tr>
      <w:tr w:rsidR="008E17F9" w:rsidRPr="00711E68" w14:paraId="54764106" w14:textId="77777777" w:rsidTr="00711E68">
        <w:trPr>
          <w:jc w:val="center"/>
        </w:trPr>
        <w:tc>
          <w:tcPr>
            <w:tcW w:w="2689" w:type="dxa"/>
            <w:shd w:val="clear" w:color="auto" w:fill="auto"/>
          </w:tcPr>
          <w:p w14:paraId="531BD5F7" w14:textId="1ACC6435" w:rsidR="008E17F9" w:rsidRPr="00711E68" w:rsidRDefault="008E17F9" w:rsidP="00711E68">
            <w:pPr>
              <w:keepNext/>
              <w:jc w:val="left"/>
              <w:rPr>
                <w:szCs w:val="22"/>
                <w:lang w:val="sr-Latn-RS"/>
              </w:rPr>
            </w:pPr>
            <w:r w:rsidRPr="00711E68">
              <w:rPr>
                <w:bCs/>
                <w:szCs w:val="22"/>
                <w:lang w:val="sr-Latn-RS"/>
              </w:rPr>
              <w:t>Opšti poremećaji i reakcije na m</w:t>
            </w:r>
            <w:r w:rsidR="00AC2AEC" w:rsidRPr="00711E68">
              <w:rPr>
                <w:bCs/>
                <w:szCs w:val="22"/>
                <w:lang w:val="sr-Latn-RS"/>
              </w:rPr>
              <w:t>j</w:t>
            </w:r>
            <w:r w:rsidRPr="00711E68">
              <w:rPr>
                <w:bCs/>
                <w:szCs w:val="22"/>
                <w:lang w:val="sr-Latn-RS"/>
              </w:rPr>
              <w:t>estu prim</w:t>
            </w:r>
            <w:r w:rsidR="00AC2AEC" w:rsidRPr="00711E68">
              <w:rPr>
                <w:bCs/>
                <w:szCs w:val="22"/>
                <w:lang w:val="sr-Latn-RS"/>
              </w:rPr>
              <w:t>j</w:t>
            </w:r>
            <w:r w:rsidRPr="00711E68">
              <w:rPr>
                <w:bCs/>
                <w:szCs w:val="22"/>
                <w:lang w:val="sr-Latn-RS"/>
              </w:rPr>
              <w:t>ene</w:t>
            </w:r>
          </w:p>
        </w:tc>
        <w:tc>
          <w:tcPr>
            <w:tcW w:w="2029" w:type="dxa"/>
            <w:shd w:val="clear" w:color="auto" w:fill="auto"/>
          </w:tcPr>
          <w:p w14:paraId="6DEC550C" w14:textId="6C776B9E" w:rsidR="008E17F9" w:rsidRPr="00711E68" w:rsidRDefault="008E17F9" w:rsidP="00711E68">
            <w:pPr>
              <w:keepNext/>
              <w:rPr>
                <w:szCs w:val="22"/>
                <w:lang w:val="sr-Latn-RS"/>
              </w:rPr>
            </w:pPr>
            <w:r w:rsidRPr="00711E68">
              <w:rPr>
                <w:szCs w:val="22"/>
                <w:lang w:val="sr-Latn-RS"/>
              </w:rPr>
              <w:t>Često</w:t>
            </w:r>
          </w:p>
        </w:tc>
        <w:tc>
          <w:tcPr>
            <w:tcW w:w="3924" w:type="dxa"/>
            <w:shd w:val="clear" w:color="auto" w:fill="auto"/>
          </w:tcPr>
          <w:p w14:paraId="1E8791EA" w14:textId="54A7F403" w:rsidR="008E17F9" w:rsidRPr="00711E68" w:rsidRDefault="008E17F9" w:rsidP="00711E68">
            <w:pPr>
              <w:keepNext/>
              <w:jc w:val="left"/>
              <w:rPr>
                <w:szCs w:val="22"/>
                <w:vertAlign w:val="superscript"/>
                <w:lang w:val="sr-Latn-RS"/>
              </w:rPr>
            </w:pPr>
            <w:r w:rsidRPr="00711E68">
              <w:rPr>
                <w:szCs w:val="22"/>
                <w:lang w:val="sr-Latn-RS"/>
              </w:rPr>
              <w:t>Zamor</w:t>
            </w:r>
            <w:r w:rsidRPr="00711E68">
              <w:rPr>
                <w:szCs w:val="22"/>
                <w:vertAlign w:val="superscript"/>
                <w:lang w:val="sr-Latn-RS"/>
              </w:rPr>
              <w:t>d</w:t>
            </w:r>
          </w:p>
          <w:p w14:paraId="51F58EDB" w14:textId="169ED3C1" w:rsidR="008E17F9" w:rsidRPr="00711E68" w:rsidRDefault="008E17F9" w:rsidP="00711E68">
            <w:pPr>
              <w:pStyle w:val="Header"/>
              <w:jc w:val="left"/>
              <w:rPr>
                <w:szCs w:val="22"/>
                <w:lang w:val="sr-Latn-RS"/>
              </w:rPr>
            </w:pPr>
            <w:r w:rsidRPr="00711E68">
              <w:rPr>
                <w:szCs w:val="22"/>
                <w:lang w:val="sr-Latn-RS"/>
              </w:rPr>
              <w:t>Reakcije na m</w:t>
            </w:r>
            <w:r w:rsidR="00AC2AEC" w:rsidRPr="00711E68">
              <w:rPr>
                <w:szCs w:val="22"/>
                <w:lang w:val="sr-Latn-RS"/>
              </w:rPr>
              <w:t>j</w:t>
            </w:r>
            <w:r w:rsidRPr="00711E68">
              <w:rPr>
                <w:szCs w:val="22"/>
                <w:lang w:val="sr-Latn-RS"/>
              </w:rPr>
              <w:t>estu prim</w:t>
            </w:r>
            <w:r w:rsidR="00AC2AEC" w:rsidRPr="00711E68">
              <w:rPr>
                <w:szCs w:val="22"/>
                <w:lang w:val="sr-Latn-RS"/>
              </w:rPr>
              <w:t>j</w:t>
            </w:r>
            <w:r w:rsidRPr="00711E68">
              <w:rPr>
                <w:szCs w:val="22"/>
                <w:lang w:val="sr-Latn-RS"/>
              </w:rPr>
              <w:t>ene injekcije</w:t>
            </w:r>
            <w:r w:rsidRPr="00711E68">
              <w:rPr>
                <w:szCs w:val="22"/>
                <w:vertAlign w:val="superscript"/>
                <w:lang w:val="sr-Latn-RS"/>
              </w:rPr>
              <w:t>e</w:t>
            </w:r>
          </w:p>
        </w:tc>
      </w:tr>
      <w:tr w:rsidR="008E17F9" w:rsidRPr="00711E68" w14:paraId="5B1E4A40" w14:textId="77777777" w:rsidTr="00711E68">
        <w:trPr>
          <w:trHeight w:val="1628"/>
          <w:jc w:val="center"/>
        </w:trPr>
        <w:tc>
          <w:tcPr>
            <w:tcW w:w="8642" w:type="dxa"/>
            <w:gridSpan w:val="3"/>
            <w:shd w:val="clear" w:color="auto" w:fill="auto"/>
          </w:tcPr>
          <w:p w14:paraId="57A9585F" w14:textId="2873834C" w:rsidR="008E17F9" w:rsidRPr="00711E68" w:rsidRDefault="008E17F9" w:rsidP="00711E68">
            <w:pPr>
              <w:pStyle w:val="TableFootnoteSymbol"/>
              <w:keepNext/>
              <w:spacing w:before="0" w:line="240" w:lineRule="auto"/>
              <w:ind w:left="144" w:hanging="144"/>
              <w:rPr>
                <w:sz w:val="22"/>
                <w:szCs w:val="22"/>
                <w:lang w:val="sr-Latn-RS"/>
              </w:rPr>
            </w:pPr>
            <w:r w:rsidRPr="00711E68">
              <w:rPr>
                <w:sz w:val="22"/>
                <w:szCs w:val="22"/>
                <w:vertAlign w:val="superscript"/>
                <w:lang w:val="sr-Latn-RS"/>
              </w:rPr>
              <w:t>a</w:t>
            </w:r>
            <w:r w:rsidRPr="00711E68">
              <w:rPr>
                <w:sz w:val="22"/>
                <w:szCs w:val="22"/>
                <w:lang w:val="sr-Latn-RS"/>
              </w:rPr>
              <w:t xml:space="preserve">  </w:t>
            </w:r>
            <w:r w:rsidR="00C42C10" w:rsidRPr="00711E68">
              <w:rPr>
                <w:sz w:val="22"/>
                <w:szCs w:val="22"/>
                <w:lang w:val="sr-Latn-RS"/>
              </w:rPr>
              <w:t>Uključuje</w:t>
            </w:r>
            <w:r w:rsidRPr="00711E68">
              <w:rPr>
                <w:sz w:val="22"/>
                <w:szCs w:val="22"/>
                <w:lang w:val="sr-Latn-RS"/>
              </w:rPr>
              <w:t xml:space="preserve">: </w:t>
            </w:r>
            <w:r w:rsidR="00C42C10" w:rsidRPr="00711E68">
              <w:rPr>
                <w:sz w:val="22"/>
                <w:szCs w:val="22"/>
                <w:lang w:val="sr-Latn-RS"/>
              </w:rPr>
              <w:t>infekcij</w:t>
            </w:r>
            <w:r w:rsidR="00116753" w:rsidRPr="00711E68">
              <w:rPr>
                <w:sz w:val="22"/>
                <w:szCs w:val="22"/>
                <w:lang w:val="sr-Latn-RS"/>
              </w:rPr>
              <w:t>u</w:t>
            </w:r>
            <w:r w:rsidR="00C42C10" w:rsidRPr="00711E68">
              <w:rPr>
                <w:sz w:val="22"/>
                <w:szCs w:val="22"/>
                <w:lang w:val="sr-Latn-RS"/>
              </w:rPr>
              <w:t xml:space="preserve"> </w:t>
            </w:r>
            <w:r w:rsidR="00116753" w:rsidRPr="00711E68">
              <w:rPr>
                <w:sz w:val="22"/>
                <w:szCs w:val="22"/>
                <w:lang w:val="sr-Latn-RS"/>
              </w:rPr>
              <w:t>disajnih puteva</w:t>
            </w:r>
            <w:r w:rsidR="00C42C10" w:rsidRPr="00711E68">
              <w:rPr>
                <w:sz w:val="22"/>
                <w:szCs w:val="22"/>
                <w:lang w:val="sr-Latn-RS"/>
              </w:rPr>
              <w:t xml:space="preserve"> </w:t>
            </w:r>
            <w:r w:rsidRPr="00711E68">
              <w:rPr>
                <w:sz w:val="22"/>
                <w:szCs w:val="22"/>
                <w:lang w:val="sr-Latn-RS"/>
              </w:rPr>
              <w:t>(</w:t>
            </w:r>
            <w:r w:rsidR="00C42C10" w:rsidRPr="00711E68">
              <w:rPr>
                <w:sz w:val="22"/>
                <w:szCs w:val="22"/>
                <w:lang w:val="sr-Latn-RS"/>
              </w:rPr>
              <w:t>virusne</w:t>
            </w:r>
            <w:r w:rsidRPr="00711E68">
              <w:rPr>
                <w:sz w:val="22"/>
                <w:szCs w:val="22"/>
                <w:lang w:val="sr-Latn-RS"/>
              </w:rPr>
              <w:t xml:space="preserve">, </w:t>
            </w:r>
            <w:r w:rsidR="00C42C10" w:rsidRPr="00711E68">
              <w:rPr>
                <w:sz w:val="22"/>
                <w:szCs w:val="22"/>
                <w:lang w:val="sr-Latn-RS"/>
              </w:rPr>
              <w:t>bakterijske</w:t>
            </w:r>
            <w:r w:rsidRPr="00711E68">
              <w:rPr>
                <w:sz w:val="22"/>
                <w:szCs w:val="22"/>
                <w:lang w:val="sr-Latn-RS"/>
              </w:rPr>
              <w:t xml:space="preserve"> </w:t>
            </w:r>
            <w:r w:rsidR="00C41CFA" w:rsidRPr="00711E68">
              <w:rPr>
                <w:sz w:val="22"/>
                <w:szCs w:val="22"/>
                <w:lang w:val="sr-Latn-RS"/>
              </w:rPr>
              <w:t>ili</w:t>
            </w:r>
            <w:r w:rsidRPr="00711E68">
              <w:rPr>
                <w:sz w:val="22"/>
                <w:szCs w:val="22"/>
                <w:lang w:val="sr-Latn-RS"/>
              </w:rPr>
              <w:t xml:space="preserve"> </w:t>
            </w:r>
            <w:r w:rsidR="00C42C10" w:rsidRPr="00711E68">
              <w:rPr>
                <w:sz w:val="22"/>
                <w:szCs w:val="22"/>
                <w:lang w:val="sr-Latn-RS"/>
              </w:rPr>
              <w:t>neodređene</w:t>
            </w:r>
            <w:r w:rsidRPr="00711E68">
              <w:rPr>
                <w:sz w:val="22"/>
                <w:szCs w:val="22"/>
                <w:lang w:val="sr-Latn-RS"/>
              </w:rPr>
              <w:t xml:space="preserve">), </w:t>
            </w:r>
            <w:r w:rsidR="00C42C10" w:rsidRPr="00711E68">
              <w:rPr>
                <w:sz w:val="22"/>
                <w:szCs w:val="22"/>
                <w:lang w:val="sr-Latn-RS"/>
              </w:rPr>
              <w:t>sinuzitis</w:t>
            </w:r>
            <w:r w:rsidRPr="00711E68">
              <w:rPr>
                <w:sz w:val="22"/>
                <w:szCs w:val="22"/>
                <w:lang w:val="sr-Latn-RS"/>
              </w:rPr>
              <w:t xml:space="preserve"> (</w:t>
            </w:r>
            <w:r w:rsidR="00C42C10" w:rsidRPr="00711E68">
              <w:rPr>
                <w:sz w:val="22"/>
                <w:szCs w:val="22"/>
                <w:lang w:val="sr-Latn-RS"/>
              </w:rPr>
              <w:t>uključujući</w:t>
            </w:r>
            <w:r w:rsidRPr="00711E68">
              <w:rPr>
                <w:sz w:val="22"/>
                <w:szCs w:val="22"/>
                <w:lang w:val="sr-Latn-RS"/>
              </w:rPr>
              <w:t xml:space="preserve"> </w:t>
            </w:r>
            <w:r w:rsidR="00C42C10" w:rsidRPr="00711E68">
              <w:rPr>
                <w:sz w:val="22"/>
                <w:szCs w:val="22"/>
                <w:lang w:val="sr-Latn-RS"/>
              </w:rPr>
              <w:t>akutni</w:t>
            </w:r>
            <w:r w:rsidRPr="00711E68">
              <w:rPr>
                <w:sz w:val="22"/>
                <w:szCs w:val="22"/>
                <w:lang w:val="sr-Latn-RS"/>
              </w:rPr>
              <w:t xml:space="preserve">), </w:t>
            </w:r>
            <w:r w:rsidR="00C42C10" w:rsidRPr="00711E68">
              <w:rPr>
                <w:sz w:val="22"/>
                <w:szCs w:val="22"/>
                <w:lang w:val="sr-Latn-RS"/>
              </w:rPr>
              <w:t>rinitis</w:t>
            </w:r>
            <w:r w:rsidRPr="00711E68">
              <w:rPr>
                <w:sz w:val="22"/>
                <w:szCs w:val="22"/>
                <w:lang w:val="sr-Latn-RS"/>
              </w:rPr>
              <w:t xml:space="preserve">, </w:t>
            </w:r>
            <w:r w:rsidR="00C42C10" w:rsidRPr="00711E68">
              <w:rPr>
                <w:sz w:val="22"/>
                <w:szCs w:val="22"/>
                <w:lang w:val="sr-Latn-RS"/>
              </w:rPr>
              <w:t>nazofaringitis</w:t>
            </w:r>
            <w:r w:rsidRPr="00711E68">
              <w:rPr>
                <w:sz w:val="22"/>
                <w:szCs w:val="22"/>
                <w:lang w:val="sr-Latn-RS"/>
              </w:rPr>
              <w:t xml:space="preserve">, </w:t>
            </w:r>
            <w:r w:rsidR="00C42C10" w:rsidRPr="00711E68">
              <w:rPr>
                <w:sz w:val="22"/>
                <w:szCs w:val="22"/>
                <w:lang w:val="sr-Latn-RS"/>
              </w:rPr>
              <w:t>faringitis</w:t>
            </w:r>
            <w:r w:rsidRPr="00711E68">
              <w:rPr>
                <w:sz w:val="22"/>
                <w:szCs w:val="22"/>
                <w:lang w:val="sr-Latn-RS"/>
              </w:rPr>
              <w:t xml:space="preserve"> (</w:t>
            </w:r>
            <w:r w:rsidR="00C42C10" w:rsidRPr="00711E68">
              <w:rPr>
                <w:sz w:val="22"/>
                <w:szCs w:val="22"/>
                <w:lang w:val="sr-Latn-RS"/>
              </w:rPr>
              <w:t>uključujući virusni</w:t>
            </w:r>
            <w:r w:rsidRPr="00711E68">
              <w:rPr>
                <w:sz w:val="22"/>
                <w:szCs w:val="22"/>
                <w:lang w:val="sr-Latn-RS"/>
              </w:rPr>
              <w:t xml:space="preserve">), </w:t>
            </w:r>
            <w:r w:rsidR="00C42C10" w:rsidRPr="00711E68">
              <w:rPr>
                <w:sz w:val="22"/>
                <w:szCs w:val="22"/>
                <w:lang w:val="sr-Latn-RS"/>
              </w:rPr>
              <w:t>tonzilitis</w:t>
            </w:r>
          </w:p>
          <w:p w14:paraId="16B02282" w14:textId="3C13D636" w:rsidR="008E17F9" w:rsidRPr="00711E68" w:rsidRDefault="008E17F9" w:rsidP="00711E68">
            <w:pPr>
              <w:pStyle w:val="TableFootnoteSymbol"/>
              <w:keepNext/>
              <w:spacing w:before="0" w:line="240" w:lineRule="auto"/>
              <w:ind w:left="180" w:hanging="180"/>
              <w:jc w:val="both"/>
              <w:rPr>
                <w:sz w:val="22"/>
                <w:szCs w:val="22"/>
                <w:lang w:val="sr-Latn-RS"/>
              </w:rPr>
            </w:pPr>
            <w:r w:rsidRPr="00711E68">
              <w:rPr>
                <w:sz w:val="22"/>
                <w:szCs w:val="22"/>
                <w:vertAlign w:val="superscript"/>
                <w:lang w:val="sr-Latn-RS"/>
              </w:rPr>
              <w:t>b</w:t>
            </w:r>
            <w:r w:rsidRPr="00711E68">
              <w:rPr>
                <w:sz w:val="22"/>
                <w:szCs w:val="22"/>
                <w:lang w:val="sr-Latn-RS"/>
              </w:rPr>
              <w:t xml:space="preserve"> </w:t>
            </w:r>
            <w:r w:rsidR="00C42C10" w:rsidRPr="00711E68">
              <w:rPr>
                <w:sz w:val="22"/>
                <w:szCs w:val="22"/>
                <w:lang w:val="sr-Latn-RS"/>
              </w:rPr>
              <w:t>Uključuje</w:t>
            </w:r>
            <w:r w:rsidRPr="00711E68">
              <w:rPr>
                <w:sz w:val="22"/>
                <w:szCs w:val="22"/>
                <w:lang w:val="sr-Latn-RS"/>
              </w:rPr>
              <w:t>:</w:t>
            </w:r>
            <w:r w:rsidR="00BE4321" w:rsidRPr="00711E68">
              <w:rPr>
                <w:sz w:val="22"/>
                <w:szCs w:val="22"/>
                <w:lang w:val="sr-Latn-RS"/>
              </w:rPr>
              <w:t xml:space="preserve"> infekcije</w:t>
            </w:r>
            <w:r w:rsidRPr="00711E68">
              <w:rPr>
                <w:sz w:val="22"/>
                <w:szCs w:val="22"/>
                <w:lang w:val="sr-Latn-RS"/>
              </w:rPr>
              <w:t xml:space="preserve"> </w:t>
            </w:r>
            <w:r w:rsidRPr="00711E68">
              <w:rPr>
                <w:i/>
                <w:sz w:val="22"/>
                <w:szCs w:val="22"/>
                <w:lang w:val="sr-Latn-RS"/>
              </w:rPr>
              <w:t>tinea pedis, tinea cruris,</w:t>
            </w:r>
            <w:r w:rsidR="00C42C10" w:rsidRPr="00711E68">
              <w:rPr>
                <w:i/>
                <w:sz w:val="22"/>
                <w:szCs w:val="22"/>
                <w:lang w:val="sr-Latn-RS"/>
              </w:rPr>
              <w:t xml:space="preserve"> </w:t>
            </w:r>
            <w:r w:rsidRPr="00711E68">
              <w:rPr>
                <w:i/>
                <w:sz w:val="22"/>
                <w:szCs w:val="22"/>
                <w:lang w:val="sr-Latn-RS"/>
              </w:rPr>
              <w:t>tinea</w:t>
            </w:r>
            <w:r w:rsidR="00C42C10" w:rsidRPr="00711E68">
              <w:rPr>
                <w:i/>
                <w:sz w:val="22"/>
                <w:szCs w:val="22"/>
                <w:lang w:val="sr-Latn-RS"/>
              </w:rPr>
              <w:t xml:space="preserve"> corporis</w:t>
            </w:r>
            <w:r w:rsidRPr="00711E68">
              <w:rPr>
                <w:i/>
                <w:sz w:val="22"/>
                <w:szCs w:val="22"/>
                <w:lang w:val="sr-Latn-RS"/>
              </w:rPr>
              <w:t>, tinea versicolor, tinea manuum</w:t>
            </w:r>
            <w:r w:rsidRPr="00711E68">
              <w:rPr>
                <w:sz w:val="22"/>
                <w:szCs w:val="22"/>
                <w:lang w:val="sr-Latn-RS"/>
              </w:rPr>
              <w:t xml:space="preserve">, </w:t>
            </w:r>
            <w:r w:rsidR="00C42C10" w:rsidRPr="00711E68">
              <w:rPr>
                <w:sz w:val="22"/>
                <w:szCs w:val="22"/>
                <w:lang w:val="sr-Latn-RS"/>
              </w:rPr>
              <w:t>onihomikozu</w:t>
            </w:r>
          </w:p>
          <w:p w14:paraId="7E28A193" w14:textId="40D956CF" w:rsidR="008E17F9" w:rsidRPr="00711E68" w:rsidRDefault="008E17F9" w:rsidP="00711E68">
            <w:pPr>
              <w:pStyle w:val="TableFootnoteSymbol"/>
              <w:keepNext/>
              <w:spacing w:before="0" w:line="240" w:lineRule="auto"/>
              <w:ind w:left="144" w:hanging="144"/>
              <w:rPr>
                <w:sz w:val="22"/>
                <w:szCs w:val="22"/>
                <w:lang w:val="sr-Latn-RS"/>
              </w:rPr>
            </w:pPr>
            <w:r w:rsidRPr="00711E68">
              <w:rPr>
                <w:sz w:val="22"/>
                <w:szCs w:val="22"/>
                <w:vertAlign w:val="superscript"/>
                <w:lang w:val="sr-Latn-RS"/>
              </w:rPr>
              <w:t>c</w:t>
            </w:r>
            <w:r w:rsidRPr="00711E68">
              <w:rPr>
                <w:sz w:val="22"/>
                <w:szCs w:val="22"/>
                <w:lang w:val="sr-Latn-RS"/>
              </w:rPr>
              <w:t xml:space="preserve">  </w:t>
            </w:r>
            <w:r w:rsidR="00C42C10" w:rsidRPr="00711E68">
              <w:rPr>
                <w:sz w:val="22"/>
                <w:szCs w:val="22"/>
                <w:lang w:val="sr-Latn-RS"/>
              </w:rPr>
              <w:t>Uključuje</w:t>
            </w:r>
            <w:r w:rsidRPr="00711E68">
              <w:rPr>
                <w:sz w:val="22"/>
                <w:szCs w:val="22"/>
                <w:lang w:val="sr-Latn-RS"/>
              </w:rPr>
              <w:t xml:space="preserve">: </w:t>
            </w:r>
            <w:r w:rsidR="00C42C10" w:rsidRPr="00711E68">
              <w:rPr>
                <w:sz w:val="22"/>
                <w:szCs w:val="22"/>
                <w:lang w:val="sr-Latn-RS"/>
              </w:rPr>
              <w:t>glavobolju</w:t>
            </w:r>
            <w:r w:rsidRPr="00711E68">
              <w:rPr>
                <w:sz w:val="22"/>
                <w:szCs w:val="22"/>
                <w:lang w:val="sr-Latn-RS"/>
              </w:rPr>
              <w:t xml:space="preserve">, </w:t>
            </w:r>
            <w:r w:rsidR="00C42C10" w:rsidRPr="00711E68">
              <w:rPr>
                <w:sz w:val="22"/>
                <w:szCs w:val="22"/>
                <w:lang w:val="sr-Latn-RS"/>
              </w:rPr>
              <w:t>tenzionu</w:t>
            </w:r>
            <w:r w:rsidRPr="00711E68">
              <w:rPr>
                <w:sz w:val="22"/>
                <w:szCs w:val="22"/>
                <w:lang w:val="sr-Latn-RS"/>
              </w:rPr>
              <w:t xml:space="preserve"> </w:t>
            </w:r>
            <w:r w:rsidR="00C42C10" w:rsidRPr="00711E68">
              <w:rPr>
                <w:sz w:val="22"/>
                <w:szCs w:val="22"/>
                <w:lang w:val="sr-Latn-RS"/>
              </w:rPr>
              <w:t>glavobolju</w:t>
            </w:r>
            <w:r w:rsidRPr="00711E68">
              <w:rPr>
                <w:sz w:val="22"/>
                <w:szCs w:val="22"/>
                <w:lang w:val="sr-Latn-RS"/>
              </w:rPr>
              <w:t xml:space="preserve">, </w:t>
            </w:r>
            <w:r w:rsidR="00C42C10" w:rsidRPr="00711E68">
              <w:rPr>
                <w:sz w:val="22"/>
                <w:szCs w:val="22"/>
                <w:lang w:val="sr-Latn-RS"/>
              </w:rPr>
              <w:t>sinusnu</w:t>
            </w:r>
            <w:r w:rsidRPr="00711E68">
              <w:rPr>
                <w:sz w:val="22"/>
                <w:szCs w:val="22"/>
                <w:lang w:val="sr-Latn-RS"/>
              </w:rPr>
              <w:t xml:space="preserve"> </w:t>
            </w:r>
            <w:r w:rsidR="00C42C10" w:rsidRPr="00711E68">
              <w:rPr>
                <w:sz w:val="22"/>
                <w:szCs w:val="22"/>
                <w:lang w:val="sr-Latn-RS"/>
              </w:rPr>
              <w:t>glavobolju</w:t>
            </w:r>
          </w:p>
          <w:p w14:paraId="77CB8820" w14:textId="1EC9BABB" w:rsidR="008E17F9" w:rsidRPr="00711E68" w:rsidRDefault="008E17F9" w:rsidP="00711E68">
            <w:pPr>
              <w:pStyle w:val="TableFootnoteSymbol"/>
              <w:keepNext/>
              <w:spacing w:before="0" w:line="240" w:lineRule="auto"/>
              <w:jc w:val="both"/>
              <w:rPr>
                <w:sz w:val="22"/>
                <w:szCs w:val="22"/>
                <w:lang w:val="sr-Latn-RS"/>
              </w:rPr>
            </w:pPr>
            <w:r w:rsidRPr="00711E68">
              <w:rPr>
                <w:sz w:val="22"/>
                <w:szCs w:val="22"/>
                <w:vertAlign w:val="superscript"/>
                <w:lang w:val="sr-Latn-RS"/>
              </w:rPr>
              <w:t>d</w:t>
            </w:r>
            <w:r w:rsidRPr="00711E68">
              <w:rPr>
                <w:sz w:val="22"/>
                <w:szCs w:val="22"/>
                <w:lang w:val="sr-Latn-RS"/>
              </w:rPr>
              <w:t xml:space="preserve">  </w:t>
            </w:r>
            <w:r w:rsidR="00C42C10" w:rsidRPr="00711E68">
              <w:rPr>
                <w:sz w:val="22"/>
                <w:szCs w:val="22"/>
                <w:lang w:val="sr-Latn-RS"/>
              </w:rPr>
              <w:t>Uključuje</w:t>
            </w:r>
            <w:r w:rsidRPr="00711E68">
              <w:rPr>
                <w:sz w:val="22"/>
                <w:szCs w:val="22"/>
                <w:lang w:val="sr-Latn-RS"/>
              </w:rPr>
              <w:t xml:space="preserve">: </w:t>
            </w:r>
            <w:r w:rsidR="009B062B" w:rsidRPr="00711E68">
              <w:rPr>
                <w:sz w:val="22"/>
                <w:szCs w:val="22"/>
                <w:lang w:val="sr-Latn-RS"/>
              </w:rPr>
              <w:t>u</w:t>
            </w:r>
            <w:r w:rsidR="00C42C10" w:rsidRPr="00711E68">
              <w:rPr>
                <w:sz w:val="22"/>
                <w:szCs w:val="22"/>
                <w:lang w:val="sr-Latn-RS"/>
              </w:rPr>
              <w:t>mor</w:t>
            </w:r>
            <w:r w:rsidRPr="00711E68">
              <w:rPr>
                <w:sz w:val="22"/>
                <w:szCs w:val="22"/>
                <w:lang w:val="sr-Latn-RS"/>
              </w:rPr>
              <w:t xml:space="preserve">, </w:t>
            </w:r>
            <w:r w:rsidR="00C42C10" w:rsidRPr="00711E68">
              <w:rPr>
                <w:sz w:val="22"/>
                <w:szCs w:val="22"/>
                <w:lang w:val="sr-Latn-RS"/>
              </w:rPr>
              <w:t>asteniju</w:t>
            </w:r>
          </w:p>
          <w:p w14:paraId="56321A0D" w14:textId="4AF18308" w:rsidR="008E17F9" w:rsidRPr="00711E68" w:rsidRDefault="008E17F9" w:rsidP="00711E68">
            <w:pPr>
              <w:pStyle w:val="TableFootnoteSymbol"/>
              <w:keepNext/>
              <w:spacing w:before="0" w:line="240" w:lineRule="auto"/>
              <w:ind w:left="180" w:hanging="180"/>
              <w:jc w:val="both"/>
              <w:rPr>
                <w:sz w:val="22"/>
                <w:szCs w:val="22"/>
                <w:lang w:val="sr-Latn-RS"/>
              </w:rPr>
            </w:pPr>
            <w:r w:rsidRPr="00711E68">
              <w:rPr>
                <w:sz w:val="22"/>
                <w:szCs w:val="22"/>
                <w:vertAlign w:val="superscript"/>
                <w:lang w:val="sr-Latn-RS"/>
              </w:rPr>
              <w:t>e</w:t>
            </w:r>
            <w:r w:rsidRPr="00711E68">
              <w:rPr>
                <w:sz w:val="22"/>
                <w:szCs w:val="22"/>
                <w:lang w:val="sr-Latn-RS"/>
              </w:rPr>
              <w:t xml:space="preserve"> </w:t>
            </w:r>
            <w:r w:rsidR="00C42C10" w:rsidRPr="00711E68">
              <w:rPr>
                <w:sz w:val="22"/>
                <w:szCs w:val="22"/>
                <w:lang w:val="sr-Latn-RS"/>
              </w:rPr>
              <w:t>Uključuje</w:t>
            </w:r>
            <w:r w:rsidRPr="00711E68">
              <w:rPr>
                <w:sz w:val="22"/>
                <w:szCs w:val="22"/>
                <w:lang w:val="sr-Latn-RS"/>
              </w:rPr>
              <w:t xml:space="preserve">: </w:t>
            </w:r>
            <w:r w:rsidR="00C42C10" w:rsidRPr="00711E68">
              <w:rPr>
                <w:sz w:val="22"/>
                <w:szCs w:val="22"/>
                <w:lang w:val="sr-Latn-RS"/>
              </w:rPr>
              <w:t>modrice na m</w:t>
            </w:r>
            <w:r w:rsidR="00AC2AEC" w:rsidRPr="00711E68">
              <w:rPr>
                <w:sz w:val="22"/>
                <w:szCs w:val="22"/>
                <w:lang w:val="sr-Latn-RS"/>
              </w:rPr>
              <w:t>j</w:t>
            </w:r>
            <w:r w:rsidR="00C42C10" w:rsidRPr="00711E68">
              <w:rPr>
                <w:sz w:val="22"/>
                <w:szCs w:val="22"/>
                <w:lang w:val="sr-Latn-RS"/>
              </w:rPr>
              <w:t>estu prim</w:t>
            </w:r>
            <w:r w:rsidR="00AC2AEC" w:rsidRPr="00711E68">
              <w:rPr>
                <w:sz w:val="22"/>
                <w:szCs w:val="22"/>
                <w:lang w:val="sr-Latn-RS"/>
              </w:rPr>
              <w:t>j</w:t>
            </w:r>
            <w:r w:rsidR="00C42C10" w:rsidRPr="00711E68">
              <w:rPr>
                <w:sz w:val="22"/>
                <w:szCs w:val="22"/>
                <w:lang w:val="sr-Latn-RS"/>
              </w:rPr>
              <w:t>ene injekcije</w:t>
            </w:r>
            <w:r w:rsidRPr="00711E68">
              <w:rPr>
                <w:sz w:val="22"/>
                <w:szCs w:val="22"/>
                <w:lang w:val="sr-Latn-RS"/>
              </w:rPr>
              <w:t xml:space="preserve">, </w:t>
            </w:r>
            <w:r w:rsidR="00C42C10" w:rsidRPr="00711E68">
              <w:rPr>
                <w:sz w:val="22"/>
                <w:szCs w:val="22"/>
                <w:lang w:val="sr-Latn-RS"/>
              </w:rPr>
              <w:t>eritem</w:t>
            </w:r>
            <w:r w:rsidRPr="00711E68">
              <w:rPr>
                <w:sz w:val="22"/>
                <w:szCs w:val="22"/>
                <w:lang w:val="sr-Latn-RS"/>
              </w:rPr>
              <w:t xml:space="preserve">, </w:t>
            </w:r>
            <w:r w:rsidR="00C42C10" w:rsidRPr="00711E68">
              <w:rPr>
                <w:sz w:val="22"/>
                <w:szCs w:val="22"/>
                <w:lang w:val="sr-Latn-RS"/>
              </w:rPr>
              <w:t>hematom</w:t>
            </w:r>
            <w:r w:rsidRPr="00711E68">
              <w:rPr>
                <w:sz w:val="22"/>
                <w:szCs w:val="22"/>
                <w:lang w:val="sr-Latn-RS"/>
              </w:rPr>
              <w:t xml:space="preserve">, </w:t>
            </w:r>
            <w:r w:rsidR="00C42C10" w:rsidRPr="00711E68">
              <w:rPr>
                <w:sz w:val="22"/>
                <w:szCs w:val="22"/>
                <w:lang w:val="sr-Latn-RS"/>
              </w:rPr>
              <w:t>hemoragiju</w:t>
            </w:r>
            <w:r w:rsidRPr="00711E68">
              <w:rPr>
                <w:sz w:val="22"/>
                <w:szCs w:val="22"/>
                <w:lang w:val="sr-Latn-RS"/>
              </w:rPr>
              <w:t xml:space="preserve">, </w:t>
            </w:r>
            <w:r w:rsidR="00C42C10" w:rsidRPr="00711E68">
              <w:rPr>
                <w:sz w:val="22"/>
                <w:szCs w:val="22"/>
                <w:lang w:val="sr-Latn-RS"/>
              </w:rPr>
              <w:t>iritaciju</w:t>
            </w:r>
            <w:r w:rsidRPr="00711E68">
              <w:rPr>
                <w:sz w:val="22"/>
                <w:szCs w:val="22"/>
                <w:lang w:val="sr-Latn-RS"/>
              </w:rPr>
              <w:t xml:space="preserve">, </w:t>
            </w:r>
            <w:r w:rsidR="00C42C10" w:rsidRPr="00711E68">
              <w:rPr>
                <w:sz w:val="22"/>
                <w:szCs w:val="22"/>
                <w:lang w:val="sr-Latn-RS"/>
              </w:rPr>
              <w:t>bol</w:t>
            </w:r>
            <w:r w:rsidRPr="00711E68">
              <w:rPr>
                <w:sz w:val="22"/>
                <w:szCs w:val="22"/>
                <w:lang w:val="sr-Latn-RS"/>
              </w:rPr>
              <w:t xml:space="preserve">, pruritus, </w:t>
            </w:r>
            <w:r w:rsidR="00C42C10" w:rsidRPr="00711E68">
              <w:rPr>
                <w:sz w:val="22"/>
                <w:szCs w:val="22"/>
                <w:lang w:val="sr-Latn-RS"/>
              </w:rPr>
              <w:t>reakciju</w:t>
            </w:r>
            <w:r w:rsidR="00A61CF9" w:rsidRPr="00711E68">
              <w:rPr>
                <w:sz w:val="22"/>
                <w:szCs w:val="22"/>
                <w:lang w:val="sr-Latn-RS"/>
              </w:rPr>
              <w:t xml:space="preserve"> i</w:t>
            </w:r>
            <w:r w:rsidR="00D55198" w:rsidRPr="00711E68">
              <w:rPr>
                <w:sz w:val="22"/>
                <w:szCs w:val="22"/>
                <w:lang w:val="sr-Latn-RS"/>
              </w:rPr>
              <w:t xml:space="preserve"> oticanje na mjestu primjene</w:t>
            </w:r>
          </w:p>
        </w:tc>
      </w:tr>
    </w:tbl>
    <w:p w14:paraId="40289B87" w14:textId="77777777" w:rsidR="008E17F9" w:rsidRPr="00711E68" w:rsidRDefault="008E17F9" w:rsidP="00711E68">
      <w:pPr>
        <w:autoSpaceDE w:val="0"/>
        <w:autoSpaceDN w:val="0"/>
        <w:adjustRightInd w:val="0"/>
        <w:rPr>
          <w:rFonts w:eastAsia="TimesNewRoman"/>
          <w:b/>
          <w:szCs w:val="22"/>
          <w:lang w:val="sr-Latn-RS"/>
        </w:rPr>
      </w:pPr>
    </w:p>
    <w:p w14:paraId="7A6F8BBA" w14:textId="586D8EAC" w:rsidR="00755CF9" w:rsidRPr="00711E68" w:rsidRDefault="00755CF9" w:rsidP="00711E68">
      <w:pPr>
        <w:rPr>
          <w:szCs w:val="22"/>
          <w:u w:val="single"/>
          <w:lang w:val="sr-Latn-RS"/>
        </w:rPr>
      </w:pPr>
      <w:r w:rsidRPr="00711E68">
        <w:rPr>
          <w:szCs w:val="22"/>
          <w:u w:val="single"/>
          <w:lang w:val="sr-Latn-RS"/>
        </w:rPr>
        <w:lastRenderedPageBreak/>
        <w:t xml:space="preserve">Opis odabranih neželjenih </w:t>
      </w:r>
      <w:r w:rsidR="001A2E82" w:rsidRPr="00711E68">
        <w:rPr>
          <w:szCs w:val="22"/>
          <w:u w:val="single"/>
          <w:lang w:val="sr-Latn-RS"/>
        </w:rPr>
        <w:t>dejstava</w:t>
      </w:r>
    </w:p>
    <w:p w14:paraId="2EDBB1D7" w14:textId="7D8292DA" w:rsidR="008E17F9" w:rsidRPr="00711E68" w:rsidRDefault="008E17F9" w:rsidP="00711E68">
      <w:pPr>
        <w:autoSpaceDE w:val="0"/>
        <w:autoSpaceDN w:val="0"/>
        <w:adjustRightInd w:val="0"/>
        <w:rPr>
          <w:rFonts w:eastAsia="TimesNewRoman"/>
          <w:szCs w:val="22"/>
          <w:lang w:val="sr-Latn-RS"/>
        </w:rPr>
      </w:pPr>
    </w:p>
    <w:p w14:paraId="1548AAC3" w14:textId="2938BA66" w:rsidR="00755CF9" w:rsidRPr="00711E68" w:rsidRDefault="00755CF9" w:rsidP="00711E68">
      <w:pPr>
        <w:autoSpaceDE w:val="0"/>
        <w:autoSpaceDN w:val="0"/>
        <w:adjustRightInd w:val="0"/>
        <w:rPr>
          <w:rFonts w:eastAsia="TimesNewRoman"/>
          <w:i/>
          <w:szCs w:val="22"/>
          <w:lang w:val="sr-Latn-RS"/>
        </w:rPr>
      </w:pPr>
      <w:r w:rsidRPr="00711E68">
        <w:rPr>
          <w:rFonts w:eastAsia="TimesNewRoman"/>
          <w:i/>
          <w:szCs w:val="22"/>
          <w:lang w:val="sr-Latn-RS"/>
        </w:rPr>
        <w:t>Infekcije</w:t>
      </w:r>
    </w:p>
    <w:p w14:paraId="0053B57F" w14:textId="77777777" w:rsidR="000B20D6" w:rsidRPr="00711E68" w:rsidRDefault="000B20D6" w:rsidP="00711E68">
      <w:pPr>
        <w:autoSpaceDE w:val="0"/>
        <w:autoSpaceDN w:val="0"/>
        <w:adjustRightInd w:val="0"/>
        <w:rPr>
          <w:rFonts w:eastAsia="TimesNewRoman"/>
          <w:szCs w:val="22"/>
          <w:lang w:val="sr-Latn-RS"/>
        </w:rPr>
      </w:pPr>
    </w:p>
    <w:p w14:paraId="3EB2CA95" w14:textId="458C5987" w:rsidR="00CE09F3" w:rsidRPr="00711E68" w:rsidRDefault="000B20D6" w:rsidP="00711E68">
      <w:pPr>
        <w:rPr>
          <w:noProof/>
          <w:szCs w:val="22"/>
          <w:lang w:val="sr-Latn-RS"/>
        </w:rPr>
      </w:pPr>
      <w:r w:rsidRPr="00711E68">
        <w:rPr>
          <w:noProof/>
          <w:szCs w:val="22"/>
          <w:lang w:val="sr-Latn-RS"/>
        </w:rPr>
        <w:t>Tokom c</w:t>
      </w:r>
      <w:r w:rsidR="00AC2AEC" w:rsidRPr="00711E68">
        <w:rPr>
          <w:noProof/>
          <w:szCs w:val="22"/>
          <w:lang w:val="sr-Latn-RS"/>
        </w:rPr>
        <w:t>j</w:t>
      </w:r>
      <w:r w:rsidRPr="00711E68">
        <w:rPr>
          <w:noProof/>
          <w:szCs w:val="22"/>
          <w:lang w:val="sr-Latn-RS"/>
        </w:rPr>
        <w:t>elokupno</w:t>
      </w:r>
      <w:r w:rsidR="00C41CFA" w:rsidRPr="00711E68">
        <w:rPr>
          <w:noProof/>
          <w:szCs w:val="22"/>
          <w:lang w:val="sr-Latn-RS"/>
        </w:rPr>
        <w:t>g</w:t>
      </w:r>
      <w:r w:rsidRPr="00711E68">
        <w:rPr>
          <w:noProof/>
          <w:szCs w:val="22"/>
          <w:lang w:val="sr-Latn-RS"/>
        </w:rPr>
        <w:t xml:space="preserve"> </w:t>
      </w:r>
      <w:r w:rsidR="00D55198" w:rsidRPr="00711E68">
        <w:rPr>
          <w:noProof/>
          <w:szCs w:val="22"/>
          <w:lang w:val="sr-Latn-RS"/>
        </w:rPr>
        <w:t xml:space="preserve">kliničkog </w:t>
      </w:r>
      <w:r w:rsidRPr="00711E68">
        <w:rPr>
          <w:noProof/>
          <w:szCs w:val="22"/>
          <w:lang w:val="sr-Latn-RS"/>
        </w:rPr>
        <w:t>programa psorijaze koji uključ</w:t>
      </w:r>
      <w:r w:rsidR="00D55198" w:rsidRPr="00711E68">
        <w:rPr>
          <w:noProof/>
          <w:szCs w:val="22"/>
          <w:lang w:val="sr-Latn-RS"/>
        </w:rPr>
        <w:t>uje</w:t>
      </w:r>
      <w:r w:rsidRPr="00711E68">
        <w:rPr>
          <w:noProof/>
          <w:szCs w:val="22"/>
          <w:lang w:val="sr-Latn-RS"/>
        </w:rPr>
        <w:t xml:space="preserve"> dugoročn</w:t>
      </w:r>
      <w:r w:rsidR="00D55198" w:rsidRPr="00711E68">
        <w:rPr>
          <w:noProof/>
          <w:szCs w:val="22"/>
          <w:lang w:val="sr-Latn-RS"/>
        </w:rPr>
        <w:t>o</w:t>
      </w:r>
      <w:r w:rsidRPr="00711E68">
        <w:rPr>
          <w:noProof/>
          <w:szCs w:val="22"/>
          <w:lang w:val="sr-Latn-RS"/>
        </w:rPr>
        <w:t xml:space="preserve"> izl</w:t>
      </w:r>
      <w:r w:rsidR="00D55198" w:rsidRPr="00711E68">
        <w:rPr>
          <w:noProof/>
          <w:szCs w:val="22"/>
          <w:lang w:val="sr-Latn-RS"/>
        </w:rPr>
        <w:t>aganje</w:t>
      </w:r>
      <w:r w:rsidRPr="00711E68">
        <w:rPr>
          <w:noProof/>
          <w:szCs w:val="22"/>
          <w:lang w:val="sr-Latn-RS"/>
        </w:rPr>
        <w:t xml:space="preserve"> risankizumab</w:t>
      </w:r>
      <w:r w:rsidR="00C41CFA" w:rsidRPr="00711E68">
        <w:rPr>
          <w:noProof/>
          <w:szCs w:val="22"/>
          <w:lang w:val="sr-Latn-RS"/>
        </w:rPr>
        <w:t>u</w:t>
      </w:r>
      <w:r w:rsidRPr="00711E68">
        <w:rPr>
          <w:noProof/>
          <w:szCs w:val="22"/>
          <w:lang w:val="sr-Latn-RS"/>
        </w:rPr>
        <w:t>, stopa infekcija bila je 75,5 događaja na 100</w:t>
      </w:r>
      <w:r w:rsidR="00F467C4" w:rsidRPr="00711E68">
        <w:rPr>
          <w:noProof/>
          <w:szCs w:val="22"/>
          <w:lang w:val="sr-Latn-RS"/>
        </w:rPr>
        <w:t xml:space="preserve"> </w:t>
      </w:r>
      <w:r w:rsidRPr="00711E68">
        <w:rPr>
          <w:noProof/>
          <w:szCs w:val="22"/>
          <w:lang w:val="sr-Latn-RS"/>
        </w:rPr>
        <w:t>ispitanik</w:t>
      </w:r>
      <w:r w:rsidR="00F467C4" w:rsidRPr="00711E68">
        <w:rPr>
          <w:noProof/>
          <w:szCs w:val="22"/>
          <w:lang w:val="sr-Latn-RS"/>
        </w:rPr>
        <w:t>-</w:t>
      </w:r>
      <w:r w:rsidRPr="00711E68">
        <w:rPr>
          <w:noProof/>
          <w:szCs w:val="22"/>
          <w:lang w:val="sr-Latn-RS"/>
        </w:rPr>
        <w:t xml:space="preserve">godina. Većina slučajeva nije bila ozbiljna, već </w:t>
      </w:r>
      <w:r w:rsidR="004D38A9" w:rsidRPr="00711E68">
        <w:rPr>
          <w:noProof/>
          <w:szCs w:val="22"/>
          <w:lang w:val="sr-Latn-RS"/>
        </w:rPr>
        <w:t xml:space="preserve">je bila </w:t>
      </w:r>
      <w:r w:rsidRPr="00711E68">
        <w:rPr>
          <w:noProof/>
          <w:szCs w:val="22"/>
          <w:lang w:val="sr-Latn-RS"/>
        </w:rPr>
        <w:t>blaga do um</w:t>
      </w:r>
      <w:r w:rsidR="00AC2AEC" w:rsidRPr="00711E68">
        <w:rPr>
          <w:noProof/>
          <w:szCs w:val="22"/>
          <w:lang w:val="sr-Latn-RS"/>
        </w:rPr>
        <w:t>j</w:t>
      </w:r>
      <w:r w:rsidRPr="00711E68">
        <w:rPr>
          <w:noProof/>
          <w:szCs w:val="22"/>
          <w:lang w:val="sr-Latn-RS"/>
        </w:rPr>
        <w:t xml:space="preserve">erena po ozbiljnosti i nije dovodila do prekida </w:t>
      </w:r>
      <w:r w:rsidR="004D38A9" w:rsidRPr="00711E68">
        <w:rPr>
          <w:noProof/>
          <w:szCs w:val="22"/>
          <w:lang w:val="sr-Latn-RS"/>
        </w:rPr>
        <w:t>liječenja</w:t>
      </w:r>
      <w:r w:rsidRPr="00711E68">
        <w:rPr>
          <w:noProof/>
          <w:szCs w:val="22"/>
          <w:lang w:val="sr-Latn-RS"/>
        </w:rPr>
        <w:t xml:space="preserve"> risankizumab</w:t>
      </w:r>
      <w:r w:rsidR="00C41CFA" w:rsidRPr="00711E68">
        <w:rPr>
          <w:noProof/>
          <w:szCs w:val="22"/>
          <w:lang w:val="sr-Latn-RS"/>
        </w:rPr>
        <w:t>a</w:t>
      </w:r>
      <w:r w:rsidRPr="00711E68">
        <w:rPr>
          <w:noProof/>
          <w:szCs w:val="22"/>
          <w:lang w:val="sr-Latn-RS"/>
        </w:rPr>
        <w:t xml:space="preserve">. Stopa </w:t>
      </w:r>
      <w:r w:rsidR="004D38A9" w:rsidRPr="00711E68">
        <w:rPr>
          <w:noProof/>
          <w:szCs w:val="22"/>
          <w:lang w:val="sr-Latn-RS"/>
        </w:rPr>
        <w:t>o</w:t>
      </w:r>
      <w:r w:rsidR="005524DA" w:rsidRPr="00711E68">
        <w:rPr>
          <w:noProof/>
          <w:szCs w:val="22"/>
          <w:lang w:val="sr-Latn-RS"/>
        </w:rPr>
        <w:t>z</w:t>
      </w:r>
      <w:r w:rsidR="004D38A9" w:rsidRPr="00711E68">
        <w:rPr>
          <w:noProof/>
          <w:szCs w:val="22"/>
          <w:lang w:val="sr-Latn-RS"/>
        </w:rPr>
        <w:t>biljnih</w:t>
      </w:r>
      <w:r w:rsidRPr="00711E68">
        <w:rPr>
          <w:noProof/>
          <w:szCs w:val="22"/>
          <w:lang w:val="sr-Latn-RS"/>
        </w:rPr>
        <w:t xml:space="preserve"> infekcija </w:t>
      </w:r>
      <w:r w:rsidR="002331FB" w:rsidRPr="00711E68">
        <w:rPr>
          <w:noProof/>
          <w:szCs w:val="22"/>
          <w:lang w:val="sr-Latn-RS"/>
        </w:rPr>
        <w:t>bila je</w:t>
      </w:r>
      <w:r w:rsidRPr="00711E68">
        <w:rPr>
          <w:noProof/>
          <w:szCs w:val="22"/>
          <w:lang w:val="sr-Latn-RS"/>
        </w:rPr>
        <w:t xml:space="preserve"> 1,7 događaja na 100 ispitanik-godina (vid</w:t>
      </w:r>
      <w:r w:rsidR="00AC2AEC" w:rsidRPr="00711E68">
        <w:rPr>
          <w:noProof/>
          <w:szCs w:val="22"/>
          <w:lang w:val="sr-Latn-RS"/>
        </w:rPr>
        <w:t>j</w:t>
      </w:r>
      <w:r w:rsidRPr="00711E68">
        <w:rPr>
          <w:noProof/>
          <w:szCs w:val="22"/>
          <w:lang w:val="sr-Latn-RS"/>
        </w:rPr>
        <w:t xml:space="preserve">eti </w:t>
      </w:r>
      <w:r w:rsidR="0022483D" w:rsidRPr="00711E68">
        <w:rPr>
          <w:noProof/>
          <w:szCs w:val="22"/>
          <w:lang w:val="sr-Latn-RS"/>
        </w:rPr>
        <w:t>dio</w:t>
      </w:r>
      <w:r w:rsidRPr="00711E68">
        <w:rPr>
          <w:noProof/>
          <w:szCs w:val="22"/>
          <w:lang w:val="sr-Latn-RS"/>
        </w:rPr>
        <w:t xml:space="preserve"> 4.4).</w:t>
      </w:r>
    </w:p>
    <w:p w14:paraId="6B9DAE0D" w14:textId="1B2B1299" w:rsidR="000B20D6" w:rsidRPr="00711E68" w:rsidRDefault="000B20D6" w:rsidP="00711E68">
      <w:pPr>
        <w:rPr>
          <w:noProof/>
          <w:szCs w:val="22"/>
          <w:lang w:val="sr-Latn-RS"/>
        </w:rPr>
      </w:pPr>
    </w:p>
    <w:p w14:paraId="5E754462" w14:textId="0FDDA2FD" w:rsidR="000B20D6" w:rsidRPr="00711E68" w:rsidRDefault="000B20D6" w:rsidP="00711E68">
      <w:pPr>
        <w:rPr>
          <w:i/>
          <w:noProof/>
          <w:szCs w:val="22"/>
          <w:lang w:val="sr-Latn-RS"/>
        </w:rPr>
      </w:pPr>
      <w:r w:rsidRPr="00711E68">
        <w:rPr>
          <w:i/>
          <w:noProof/>
          <w:szCs w:val="22"/>
          <w:lang w:val="sr-Latn-RS"/>
        </w:rPr>
        <w:t>Imunogenost</w:t>
      </w:r>
    </w:p>
    <w:p w14:paraId="44C28FD0" w14:textId="7713F879" w:rsidR="000B20D6" w:rsidRPr="00711E68" w:rsidRDefault="000B20D6" w:rsidP="00711E68">
      <w:pPr>
        <w:rPr>
          <w:noProof/>
          <w:szCs w:val="22"/>
          <w:lang w:val="sr-Latn-RS"/>
        </w:rPr>
      </w:pPr>
    </w:p>
    <w:p w14:paraId="543038F6" w14:textId="0F882B61" w:rsidR="000B20D6" w:rsidRPr="00711E68" w:rsidRDefault="000B20D6" w:rsidP="00711E68">
      <w:pPr>
        <w:rPr>
          <w:noProof/>
          <w:szCs w:val="22"/>
          <w:lang w:val="sr-Latn-RS"/>
        </w:rPr>
      </w:pPr>
      <w:r w:rsidRPr="00711E68">
        <w:rPr>
          <w:noProof/>
          <w:szCs w:val="22"/>
          <w:lang w:val="sr-Latn-RS"/>
        </w:rPr>
        <w:t>Kao i s</w:t>
      </w:r>
      <w:r w:rsidR="005524DA" w:rsidRPr="00711E68">
        <w:rPr>
          <w:noProof/>
          <w:szCs w:val="22"/>
          <w:lang w:val="sr-Latn-RS"/>
        </w:rPr>
        <w:t xml:space="preserve">vi </w:t>
      </w:r>
      <w:r w:rsidRPr="00711E68">
        <w:rPr>
          <w:noProof/>
          <w:szCs w:val="22"/>
          <w:lang w:val="sr-Latn-RS"/>
        </w:rPr>
        <w:t xml:space="preserve">terapijski proteini, </w:t>
      </w:r>
      <w:r w:rsidR="00C916E5" w:rsidRPr="00711E68">
        <w:rPr>
          <w:noProof/>
          <w:szCs w:val="22"/>
          <w:lang w:val="sr-Latn-RS"/>
        </w:rPr>
        <w:t xml:space="preserve">risankizumab može imati </w:t>
      </w:r>
      <w:r w:rsidRPr="00711E68">
        <w:rPr>
          <w:noProof/>
          <w:szCs w:val="22"/>
          <w:lang w:val="sr-Latn-RS"/>
        </w:rPr>
        <w:t>imunogeno</w:t>
      </w:r>
      <w:r w:rsidR="00C916E5" w:rsidRPr="00711E68">
        <w:rPr>
          <w:noProof/>
          <w:szCs w:val="22"/>
          <w:lang w:val="sr-Latn-RS"/>
        </w:rPr>
        <w:t xml:space="preserve"> djelovanje.</w:t>
      </w:r>
      <w:r w:rsidRPr="00711E68">
        <w:rPr>
          <w:noProof/>
          <w:szCs w:val="22"/>
          <w:lang w:val="sr-Latn-RS"/>
        </w:rPr>
        <w:t xml:space="preserve"> </w:t>
      </w:r>
      <w:r w:rsidR="00F36E23" w:rsidRPr="00711E68">
        <w:rPr>
          <w:szCs w:val="22"/>
        </w:rPr>
        <w:t xml:space="preserve">Otkrivanje stvaranja </w:t>
      </w:r>
      <w:r w:rsidR="00D7126F" w:rsidRPr="00711E68">
        <w:rPr>
          <w:szCs w:val="22"/>
        </w:rPr>
        <w:t>anti</w:t>
      </w:r>
      <w:r w:rsidR="00F36E23" w:rsidRPr="00711E68">
        <w:rPr>
          <w:szCs w:val="22"/>
        </w:rPr>
        <w:t>tijela uvelik</w:t>
      </w:r>
      <w:r w:rsidR="00D7126F" w:rsidRPr="00711E68">
        <w:rPr>
          <w:szCs w:val="22"/>
        </w:rPr>
        <w:t>o</w:t>
      </w:r>
      <w:r w:rsidR="00F36E23" w:rsidRPr="00711E68">
        <w:rPr>
          <w:szCs w:val="22"/>
        </w:rPr>
        <w:t xml:space="preserve"> </w:t>
      </w:r>
      <w:r w:rsidR="00D7126F" w:rsidRPr="00711E68">
        <w:rPr>
          <w:szCs w:val="22"/>
        </w:rPr>
        <w:t>za</w:t>
      </w:r>
      <w:r w:rsidR="00F36E23" w:rsidRPr="00711E68">
        <w:rPr>
          <w:szCs w:val="22"/>
        </w:rPr>
        <w:t>visi o</w:t>
      </w:r>
      <w:r w:rsidR="00D7126F" w:rsidRPr="00711E68">
        <w:rPr>
          <w:szCs w:val="22"/>
        </w:rPr>
        <w:t>d</w:t>
      </w:r>
      <w:r w:rsidR="00F36E23" w:rsidRPr="00711E68">
        <w:rPr>
          <w:szCs w:val="22"/>
        </w:rPr>
        <w:t xml:space="preserve"> osjetljivosti i specifičnosti testa.</w:t>
      </w:r>
    </w:p>
    <w:p w14:paraId="588BAC88" w14:textId="77777777" w:rsidR="00555E9F" w:rsidRPr="00711E68" w:rsidRDefault="00555E9F" w:rsidP="00711E68">
      <w:pPr>
        <w:rPr>
          <w:szCs w:val="22"/>
          <w:lang w:val="sr-Latn-RS"/>
        </w:rPr>
      </w:pPr>
    </w:p>
    <w:p w14:paraId="69FE6077" w14:textId="102FDDB9" w:rsidR="00555E9F" w:rsidRPr="00711E68" w:rsidRDefault="00555E9F" w:rsidP="00711E68">
      <w:pPr>
        <w:rPr>
          <w:szCs w:val="22"/>
        </w:rPr>
      </w:pPr>
      <w:r w:rsidRPr="00711E68">
        <w:rPr>
          <w:szCs w:val="22"/>
        </w:rPr>
        <w:t>Među ispitanicima liječenim risankizumabom u preporučenoj kliničkoj dozi tokom najviše 52 nedelje u kliničkim ispitivanjima primjene kod psorijaze,</w:t>
      </w:r>
      <w:r w:rsidR="0015240F" w:rsidRPr="00711E68">
        <w:rPr>
          <w:szCs w:val="22"/>
        </w:rPr>
        <w:t xml:space="preserve"> anti-lijek</w:t>
      </w:r>
      <w:r w:rsidRPr="00711E68">
        <w:rPr>
          <w:szCs w:val="22"/>
        </w:rPr>
        <w:t xml:space="preserve"> antitijela i neutrali</w:t>
      </w:r>
      <w:r w:rsidR="00DF33C4" w:rsidRPr="00711E68">
        <w:rPr>
          <w:szCs w:val="22"/>
        </w:rPr>
        <w:t>šuća</w:t>
      </w:r>
      <w:r w:rsidRPr="00711E68">
        <w:rPr>
          <w:szCs w:val="22"/>
        </w:rPr>
        <w:t xml:space="preserve"> </w:t>
      </w:r>
      <w:r w:rsidR="001F5CF1" w:rsidRPr="00711E68">
        <w:rPr>
          <w:szCs w:val="22"/>
        </w:rPr>
        <w:t>anti</w:t>
      </w:r>
      <w:r w:rsidRPr="00711E68">
        <w:rPr>
          <w:szCs w:val="22"/>
        </w:rPr>
        <w:t>tijela koja su se javila t</w:t>
      </w:r>
      <w:r w:rsidR="00B17971" w:rsidRPr="00711E68">
        <w:rPr>
          <w:szCs w:val="22"/>
        </w:rPr>
        <w:t>o</w:t>
      </w:r>
      <w:r w:rsidRPr="00711E68">
        <w:rPr>
          <w:szCs w:val="22"/>
        </w:rPr>
        <w:t xml:space="preserve">kom liječenja pronađena su </w:t>
      </w:r>
      <w:r w:rsidR="00B17971" w:rsidRPr="00711E68">
        <w:rPr>
          <w:szCs w:val="22"/>
        </w:rPr>
        <w:t>kod</w:t>
      </w:r>
      <w:r w:rsidRPr="00711E68">
        <w:rPr>
          <w:szCs w:val="22"/>
        </w:rPr>
        <w:t xml:space="preserve"> 24% (263/1079) odnosno 14% (150/1079) ocijenjenih ispitanika.</w:t>
      </w:r>
    </w:p>
    <w:p w14:paraId="0F642161" w14:textId="0F6139F1" w:rsidR="009735FB" w:rsidRPr="00711E68" w:rsidRDefault="009735FB" w:rsidP="00711E68">
      <w:pPr>
        <w:rPr>
          <w:szCs w:val="22"/>
          <w:lang w:val="sr-Latn-RS"/>
        </w:rPr>
      </w:pPr>
    </w:p>
    <w:p w14:paraId="20BF3C88" w14:textId="27CFC4E8" w:rsidR="00CE09F3" w:rsidRPr="00711E68" w:rsidRDefault="009735FB" w:rsidP="00711E68">
      <w:pPr>
        <w:rPr>
          <w:szCs w:val="22"/>
          <w:lang w:val="sr-Latn-RS"/>
        </w:rPr>
      </w:pPr>
      <w:r w:rsidRPr="00711E68">
        <w:rPr>
          <w:noProof/>
          <w:szCs w:val="22"/>
          <w:lang w:val="sr-Latn-RS"/>
        </w:rPr>
        <w:t>Kod većine ispitanika, antit</w:t>
      </w:r>
      <w:r w:rsidR="00AC2AEC" w:rsidRPr="00711E68">
        <w:rPr>
          <w:noProof/>
          <w:szCs w:val="22"/>
          <w:lang w:val="sr-Latn-RS"/>
        </w:rPr>
        <w:t>ij</w:t>
      </w:r>
      <w:r w:rsidRPr="00711E68">
        <w:rPr>
          <w:noProof/>
          <w:szCs w:val="22"/>
          <w:lang w:val="sr-Latn-RS"/>
        </w:rPr>
        <w:t>ela na risankizumab uključujući neutrališuća antit</w:t>
      </w:r>
      <w:r w:rsidR="00AC2AEC" w:rsidRPr="00711E68">
        <w:rPr>
          <w:noProof/>
          <w:szCs w:val="22"/>
          <w:lang w:val="sr-Latn-RS"/>
        </w:rPr>
        <w:t>ij</w:t>
      </w:r>
      <w:r w:rsidRPr="00711E68">
        <w:rPr>
          <w:noProof/>
          <w:szCs w:val="22"/>
          <w:lang w:val="sr-Latn-RS"/>
        </w:rPr>
        <w:t>ela nisu bila povezana sa prom</w:t>
      </w:r>
      <w:r w:rsidR="00AC2AEC" w:rsidRPr="00711E68">
        <w:rPr>
          <w:noProof/>
          <w:szCs w:val="22"/>
          <w:lang w:val="sr-Latn-RS"/>
        </w:rPr>
        <w:t>j</w:t>
      </w:r>
      <w:r w:rsidRPr="00711E68">
        <w:rPr>
          <w:noProof/>
          <w:szCs w:val="22"/>
          <w:lang w:val="sr-Latn-RS"/>
        </w:rPr>
        <w:t>enama u kliničkom odgovoru ili bezb</w:t>
      </w:r>
      <w:r w:rsidR="006022B0" w:rsidRPr="00711E68">
        <w:rPr>
          <w:noProof/>
          <w:szCs w:val="22"/>
          <w:lang w:val="sr-Latn-RS"/>
        </w:rPr>
        <w:t>i</w:t>
      </w:r>
      <w:r w:rsidR="00AC2AEC" w:rsidRPr="00711E68">
        <w:rPr>
          <w:noProof/>
          <w:szCs w:val="22"/>
          <w:lang w:val="sr-Latn-RS"/>
        </w:rPr>
        <w:t>j</w:t>
      </w:r>
      <w:r w:rsidRPr="00711E68">
        <w:rPr>
          <w:noProof/>
          <w:szCs w:val="22"/>
          <w:lang w:val="sr-Latn-RS"/>
        </w:rPr>
        <w:t xml:space="preserve">ednosti. Među nekoliko ispitanika (približno </w:t>
      </w:r>
      <w:r w:rsidRPr="00711E68">
        <w:rPr>
          <w:szCs w:val="22"/>
          <w:lang w:val="sr-Latn-RS"/>
        </w:rPr>
        <w:t>1%; 7/1000 u nedelji 16 i 6/598 u nedelji 52) sa visokim titr</w:t>
      </w:r>
      <w:r w:rsidR="00E058C2" w:rsidRPr="00711E68">
        <w:rPr>
          <w:szCs w:val="22"/>
          <w:lang w:val="sr-Latn-RS"/>
        </w:rPr>
        <w:t>ima</w:t>
      </w:r>
      <w:r w:rsidRPr="00711E68">
        <w:rPr>
          <w:szCs w:val="22"/>
          <w:lang w:val="sr-Latn-RS"/>
        </w:rPr>
        <w:t xml:space="preserve"> antit</w:t>
      </w:r>
      <w:r w:rsidR="00AC2AEC" w:rsidRPr="00711E68">
        <w:rPr>
          <w:szCs w:val="22"/>
          <w:lang w:val="sr-Latn-RS"/>
        </w:rPr>
        <w:t>ij</w:t>
      </w:r>
      <w:r w:rsidRPr="00711E68">
        <w:rPr>
          <w:szCs w:val="22"/>
          <w:lang w:val="sr-Latn-RS"/>
        </w:rPr>
        <w:t xml:space="preserve">ela (&gt;128), klinički odgovor je bio </w:t>
      </w:r>
      <w:r w:rsidR="00E058C2" w:rsidRPr="00711E68">
        <w:rPr>
          <w:szCs w:val="22"/>
          <w:lang w:val="sr-Latn-RS"/>
        </w:rPr>
        <w:t>redukovan.</w:t>
      </w:r>
      <w:r w:rsidRPr="00711E68">
        <w:rPr>
          <w:szCs w:val="22"/>
          <w:lang w:val="sr-Latn-RS"/>
        </w:rPr>
        <w:t xml:space="preserve"> Incidenca reakcija na m</w:t>
      </w:r>
      <w:r w:rsidR="00AC2AEC" w:rsidRPr="00711E68">
        <w:rPr>
          <w:szCs w:val="22"/>
          <w:lang w:val="sr-Latn-RS"/>
        </w:rPr>
        <w:t>j</w:t>
      </w:r>
      <w:r w:rsidRPr="00711E68">
        <w:rPr>
          <w:szCs w:val="22"/>
          <w:lang w:val="sr-Latn-RS"/>
        </w:rPr>
        <w:t>estu prim</w:t>
      </w:r>
      <w:r w:rsidR="00AC2AEC" w:rsidRPr="00711E68">
        <w:rPr>
          <w:szCs w:val="22"/>
          <w:lang w:val="sr-Latn-RS"/>
        </w:rPr>
        <w:t>j</w:t>
      </w:r>
      <w:r w:rsidRPr="00711E68">
        <w:rPr>
          <w:szCs w:val="22"/>
          <w:lang w:val="sr-Latn-RS"/>
        </w:rPr>
        <w:t xml:space="preserve">ene injekcije je brojčano veća kod </w:t>
      </w:r>
      <w:r w:rsidR="00E058C2" w:rsidRPr="00711E68">
        <w:rPr>
          <w:szCs w:val="22"/>
          <w:lang w:val="sr-Latn-RS"/>
        </w:rPr>
        <w:t xml:space="preserve">ispitanika sa pozitivnim </w:t>
      </w:r>
      <w:r w:rsidRPr="00711E68">
        <w:rPr>
          <w:szCs w:val="22"/>
          <w:lang w:val="sr-Latn-RS"/>
        </w:rPr>
        <w:t>anti-l</w:t>
      </w:r>
      <w:r w:rsidR="00AC2AEC" w:rsidRPr="00711E68">
        <w:rPr>
          <w:szCs w:val="22"/>
          <w:lang w:val="sr-Latn-RS"/>
        </w:rPr>
        <w:t>ij</w:t>
      </w:r>
      <w:r w:rsidRPr="00711E68">
        <w:rPr>
          <w:szCs w:val="22"/>
          <w:lang w:val="sr-Latn-RS"/>
        </w:rPr>
        <w:t>ek antit</w:t>
      </w:r>
      <w:r w:rsidR="00AC2AEC" w:rsidRPr="00711E68">
        <w:rPr>
          <w:szCs w:val="22"/>
          <w:lang w:val="sr-Latn-RS"/>
        </w:rPr>
        <w:t>ij</w:t>
      </w:r>
      <w:r w:rsidRPr="00711E68">
        <w:rPr>
          <w:szCs w:val="22"/>
          <w:lang w:val="sr-Latn-RS"/>
        </w:rPr>
        <w:t>el</w:t>
      </w:r>
      <w:r w:rsidR="00E058C2" w:rsidRPr="00711E68">
        <w:rPr>
          <w:szCs w:val="22"/>
          <w:lang w:val="sr-Latn-RS"/>
        </w:rPr>
        <w:t>ima</w:t>
      </w:r>
      <w:r w:rsidR="0015240F" w:rsidRPr="00711E68">
        <w:rPr>
          <w:szCs w:val="22"/>
          <w:lang w:val="sr-Latn-RS"/>
        </w:rPr>
        <w:t xml:space="preserve"> </w:t>
      </w:r>
      <w:r w:rsidRPr="00711E68">
        <w:rPr>
          <w:szCs w:val="22"/>
          <w:lang w:val="sr-Latn-RS"/>
        </w:rPr>
        <w:t>u poređenju sa ispitanicima kod kojih nisu detektovana</w:t>
      </w:r>
      <w:r w:rsidR="006022B0" w:rsidRPr="00711E68">
        <w:rPr>
          <w:szCs w:val="22"/>
          <w:lang w:val="sr-Latn-RS"/>
        </w:rPr>
        <w:t xml:space="preserve"> </w:t>
      </w:r>
      <w:r w:rsidRPr="00711E68">
        <w:rPr>
          <w:szCs w:val="22"/>
          <w:lang w:val="sr-Latn-RS"/>
        </w:rPr>
        <w:t>anti-l</w:t>
      </w:r>
      <w:r w:rsidR="00AC2AEC" w:rsidRPr="00711E68">
        <w:rPr>
          <w:szCs w:val="22"/>
          <w:lang w:val="sr-Latn-RS"/>
        </w:rPr>
        <w:t>ij</w:t>
      </w:r>
      <w:r w:rsidRPr="00711E68">
        <w:rPr>
          <w:szCs w:val="22"/>
          <w:lang w:val="sr-Latn-RS"/>
        </w:rPr>
        <w:t>ek antit</w:t>
      </w:r>
      <w:r w:rsidR="00AC2AEC" w:rsidRPr="00711E68">
        <w:rPr>
          <w:szCs w:val="22"/>
          <w:lang w:val="sr-Latn-RS"/>
        </w:rPr>
        <w:t>ij</w:t>
      </w:r>
      <w:r w:rsidRPr="00711E68">
        <w:rPr>
          <w:szCs w:val="22"/>
          <w:lang w:val="sr-Latn-RS"/>
        </w:rPr>
        <w:t>ela tokom kratkoročne (16 nedelja: 2,7% u odnosu na 1,3%) i dugoročne terapije (</w:t>
      </w:r>
      <w:r w:rsidR="00E058C2" w:rsidRPr="00711E68">
        <w:rPr>
          <w:szCs w:val="22"/>
          <w:lang w:val="sr-Latn-RS"/>
        </w:rPr>
        <w:t>&gt;</w:t>
      </w:r>
      <w:r w:rsidRPr="00711E68">
        <w:rPr>
          <w:szCs w:val="22"/>
          <w:lang w:val="sr-Latn-RS"/>
        </w:rPr>
        <w:t xml:space="preserve">52 nedelje; 5,0% u odnosu na 3,3%). </w:t>
      </w:r>
      <w:r w:rsidR="00E058C2" w:rsidRPr="00711E68">
        <w:rPr>
          <w:szCs w:val="22"/>
          <w:lang w:val="sr-Latn-RS"/>
        </w:rPr>
        <w:t>Sve r</w:t>
      </w:r>
      <w:r w:rsidRPr="00711E68">
        <w:rPr>
          <w:szCs w:val="22"/>
          <w:lang w:val="sr-Latn-RS"/>
        </w:rPr>
        <w:t>eakcije na m</w:t>
      </w:r>
      <w:r w:rsidR="00AC2AEC" w:rsidRPr="00711E68">
        <w:rPr>
          <w:szCs w:val="22"/>
          <w:lang w:val="sr-Latn-RS"/>
        </w:rPr>
        <w:t>j</w:t>
      </w:r>
      <w:r w:rsidRPr="00711E68">
        <w:rPr>
          <w:szCs w:val="22"/>
          <w:lang w:val="sr-Latn-RS"/>
        </w:rPr>
        <w:t>estu prim</w:t>
      </w:r>
      <w:r w:rsidR="00AC2AEC" w:rsidRPr="00711E68">
        <w:rPr>
          <w:szCs w:val="22"/>
          <w:lang w:val="sr-Latn-RS"/>
        </w:rPr>
        <w:t>j</w:t>
      </w:r>
      <w:r w:rsidRPr="00711E68">
        <w:rPr>
          <w:szCs w:val="22"/>
          <w:lang w:val="sr-Latn-RS"/>
        </w:rPr>
        <w:t>ene injekcije su bile blage do um</w:t>
      </w:r>
      <w:r w:rsidR="00AC2AEC" w:rsidRPr="00711E68">
        <w:rPr>
          <w:szCs w:val="22"/>
          <w:lang w:val="sr-Latn-RS"/>
        </w:rPr>
        <w:t>j</w:t>
      </w:r>
      <w:r w:rsidRPr="00711E68">
        <w:rPr>
          <w:szCs w:val="22"/>
          <w:lang w:val="sr-Latn-RS"/>
        </w:rPr>
        <w:t xml:space="preserve">erene, nijedna nije bila ozbiljna i nijedna nije dovela do prekida </w:t>
      </w:r>
      <w:r w:rsidR="00F00690" w:rsidRPr="00711E68">
        <w:rPr>
          <w:szCs w:val="22"/>
          <w:lang w:val="sr-Latn-RS"/>
        </w:rPr>
        <w:t>liječenja</w:t>
      </w:r>
      <w:r w:rsidRPr="00711E68">
        <w:rPr>
          <w:szCs w:val="22"/>
          <w:lang w:val="sr-Latn-RS"/>
        </w:rPr>
        <w:t xml:space="preserve"> risankizumabom.</w:t>
      </w:r>
    </w:p>
    <w:p w14:paraId="3B3843EE" w14:textId="77777777" w:rsidR="009735FB" w:rsidRPr="00711E68" w:rsidRDefault="009735FB" w:rsidP="00711E68">
      <w:pPr>
        <w:rPr>
          <w:noProof/>
          <w:szCs w:val="22"/>
          <w:lang w:val="sr-Latn-RS"/>
        </w:rPr>
      </w:pPr>
    </w:p>
    <w:p w14:paraId="559E4268" w14:textId="26DD5B2F" w:rsidR="00755CF9" w:rsidRPr="00711E68" w:rsidRDefault="009735FB" w:rsidP="00711E68">
      <w:pPr>
        <w:rPr>
          <w:i/>
          <w:noProof/>
          <w:szCs w:val="22"/>
          <w:lang w:val="sr-Latn-RS"/>
        </w:rPr>
      </w:pPr>
      <w:r w:rsidRPr="00711E68">
        <w:rPr>
          <w:i/>
          <w:noProof/>
          <w:szCs w:val="22"/>
          <w:lang w:val="sr-Latn-RS"/>
        </w:rPr>
        <w:t xml:space="preserve">Stariji pacijenti </w:t>
      </w:r>
    </w:p>
    <w:p w14:paraId="14FFDAE4" w14:textId="367D14E0" w:rsidR="009735FB" w:rsidRPr="00711E68" w:rsidRDefault="009735FB" w:rsidP="00711E68">
      <w:pPr>
        <w:rPr>
          <w:noProof/>
          <w:szCs w:val="22"/>
          <w:u w:val="single"/>
          <w:lang w:val="sr-Latn-RS"/>
        </w:rPr>
      </w:pPr>
    </w:p>
    <w:p w14:paraId="51C12D46" w14:textId="73C352FC" w:rsidR="00711E68" w:rsidRPr="00711E68" w:rsidRDefault="009735FB" w:rsidP="00711E68">
      <w:pPr>
        <w:rPr>
          <w:noProof/>
          <w:szCs w:val="22"/>
          <w:lang w:val="sr-Latn-RS"/>
        </w:rPr>
      </w:pPr>
      <w:r w:rsidRPr="00711E68">
        <w:rPr>
          <w:noProof/>
          <w:szCs w:val="22"/>
          <w:lang w:val="sr-Latn-RS"/>
        </w:rPr>
        <w:t>Postoje ograničen</w:t>
      </w:r>
      <w:r w:rsidR="00043854" w:rsidRPr="00711E68">
        <w:rPr>
          <w:noProof/>
          <w:szCs w:val="22"/>
          <w:lang w:val="sr-Latn-RS"/>
        </w:rPr>
        <w:t>e</w:t>
      </w:r>
      <w:r w:rsidRPr="00711E68">
        <w:rPr>
          <w:noProof/>
          <w:szCs w:val="22"/>
          <w:lang w:val="sr-Latn-RS"/>
        </w:rPr>
        <w:t xml:space="preserve"> bezb</w:t>
      </w:r>
      <w:r w:rsidR="00AC2AEC" w:rsidRPr="00711E68">
        <w:rPr>
          <w:noProof/>
          <w:szCs w:val="22"/>
          <w:lang w:val="sr-Latn-RS"/>
        </w:rPr>
        <w:t>j</w:t>
      </w:r>
      <w:r w:rsidRPr="00711E68">
        <w:rPr>
          <w:noProof/>
          <w:szCs w:val="22"/>
          <w:lang w:val="sr-Latn-RS"/>
        </w:rPr>
        <w:t>ed</w:t>
      </w:r>
      <w:r w:rsidR="00043854" w:rsidRPr="00711E68">
        <w:rPr>
          <w:noProof/>
          <w:szCs w:val="22"/>
          <w:lang w:val="sr-Latn-RS"/>
        </w:rPr>
        <w:t xml:space="preserve">onosne informacije </w:t>
      </w:r>
      <w:r w:rsidRPr="00711E68">
        <w:rPr>
          <w:noProof/>
          <w:szCs w:val="22"/>
          <w:lang w:val="sr-Latn-RS"/>
        </w:rPr>
        <w:t xml:space="preserve">kod ispitanika starosti </w:t>
      </w:r>
      <w:r w:rsidRPr="00711E68">
        <w:rPr>
          <w:szCs w:val="22"/>
          <w:lang w:val="sr-Latn-RS"/>
        </w:rPr>
        <w:t>≥65 godina.</w:t>
      </w:r>
    </w:p>
    <w:p w14:paraId="370250E9" w14:textId="3FEF1338" w:rsidR="00B07A5F" w:rsidRPr="00711E68" w:rsidRDefault="00B07A5F" w:rsidP="00711E68">
      <w:pPr>
        <w:spacing w:after="200"/>
        <w:rPr>
          <w:rFonts w:eastAsia="Calibri"/>
          <w:szCs w:val="22"/>
          <w:u w:val="single"/>
          <w:lang w:val="sr-Latn-RS"/>
        </w:rPr>
      </w:pPr>
      <w:r w:rsidRPr="00711E68">
        <w:rPr>
          <w:rFonts w:eastAsia="Calibri"/>
          <w:szCs w:val="22"/>
          <w:u w:val="single"/>
          <w:lang w:val="sr-Latn-RS"/>
        </w:rPr>
        <w:t>Prijavljivanje sumnji na neželjena dejstva</w:t>
      </w:r>
    </w:p>
    <w:p w14:paraId="6EE6BBC1" w14:textId="77777777" w:rsidR="00B07A5F" w:rsidRPr="00711E68" w:rsidRDefault="00B07A5F" w:rsidP="00711E68">
      <w:pPr>
        <w:spacing w:after="200"/>
        <w:rPr>
          <w:rFonts w:eastAsia="Calibri"/>
          <w:szCs w:val="22"/>
          <w:lang w:val="sr-Latn-RS"/>
        </w:rPr>
      </w:pPr>
      <w:r w:rsidRPr="00711E68">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4BDD566" w14:textId="77777777" w:rsidR="00B07A5F" w:rsidRPr="00711E68" w:rsidRDefault="00B07A5F" w:rsidP="00711E68">
      <w:pPr>
        <w:pStyle w:val="NoSpacing"/>
        <w:jc w:val="both"/>
        <w:rPr>
          <w:rFonts w:eastAsia="Calibri"/>
          <w:sz w:val="22"/>
          <w:szCs w:val="22"/>
          <w:lang w:val="sr-Latn-RS"/>
        </w:rPr>
      </w:pPr>
      <w:r w:rsidRPr="00711E68">
        <w:rPr>
          <w:rFonts w:eastAsia="Calibri"/>
          <w:sz w:val="22"/>
          <w:szCs w:val="22"/>
          <w:lang w:val="sr-Latn-RS"/>
        </w:rPr>
        <w:t xml:space="preserve">Institut za ljekove i medicinska sredstva </w:t>
      </w:r>
    </w:p>
    <w:p w14:paraId="21B06E51" w14:textId="77777777" w:rsidR="00B07A5F" w:rsidRPr="00711E68" w:rsidRDefault="00B07A5F" w:rsidP="00711E68">
      <w:pPr>
        <w:pStyle w:val="NoSpacing"/>
        <w:jc w:val="both"/>
        <w:rPr>
          <w:rFonts w:eastAsia="Calibri"/>
          <w:sz w:val="22"/>
          <w:szCs w:val="22"/>
          <w:lang w:val="sr-Latn-RS"/>
        </w:rPr>
      </w:pPr>
      <w:r w:rsidRPr="00711E68">
        <w:rPr>
          <w:rFonts w:eastAsia="Calibri"/>
          <w:sz w:val="22"/>
          <w:szCs w:val="22"/>
          <w:lang w:val="sr-Latn-RS"/>
        </w:rPr>
        <w:t>Odjeljenje za farmakovigilancu</w:t>
      </w:r>
    </w:p>
    <w:p w14:paraId="0884DF1D" w14:textId="77777777" w:rsidR="00B07A5F" w:rsidRPr="00711E68" w:rsidRDefault="00B07A5F" w:rsidP="00711E68">
      <w:pPr>
        <w:pStyle w:val="NoSpacing"/>
        <w:jc w:val="both"/>
        <w:rPr>
          <w:rFonts w:eastAsia="Calibri"/>
          <w:sz w:val="22"/>
          <w:szCs w:val="22"/>
          <w:lang w:val="sr-Latn-RS"/>
        </w:rPr>
      </w:pPr>
      <w:r w:rsidRPr="00711E68">
        <w:rPr>
          <w:rFonts w:eastAsia="Calibri"/>
          <w:sz w:val="22"/>
          <w:szCs w:val="22"/>
          <w:lang w:val="sr-Latn-RS"/>
        </w:rPr>
        <w:t>Bulevar Ivana Crnojevića 64a, 81000 Podgorica</w:t>
      </w:r>
    </w:p>
    <w:p w14:paraId="6C700C29" w14:textId="77777777" w:rsidR="00B07A5F" w:rsidRPr="00711E68" w:rsidRDefault="00B07A5F" w:rsidP="00711E68">
      <w:pPr>
        <w:pStyle w:val="NoSpacing"/>
        <w:rPr>
          <w:rFonts w:eastAsia="Calibri"/>
          <w:sz w:val="22"/>
          <w:szCs w:val="22"/>
          <w:lang w:val="sr-Latn-RS"/>
        </w:rPr>
      </w:pPr>
    </w:p>
    <w:p w14:paraId="218F7CAE" w14:textId="77777777" w:rsidR="00B07A5F" w:rsidRPr="00711E68" w:rsidRDefault="00B07A5F" w:rsidP="00711E68">
      <w:pPr>
        <w:pStyle w:val="NoSpacing"/>
        <w:jc w:val="both"/>
        <w:rPr>
          <w:rFonts w:eastAsia="Calibri"/>
          <w:sz w:val="22"/>
          <w:szCs w:val="22"/>
          <w:lang w:val="sr-Latn-RS"/>
        </w:rPr>
      </w:pPr>
      <w:r w:rsidRPr="00711E68">
        <w:rPr>
          <w:rFonts w:eastAsia="Calibri"/>
          <w:sz w:val="22"/>
          <w:szCs w:val="22"/>
          <w:lang w:val="sr-Latn-RS"/>
        </w:rPr>
        <w:t>tel: +382 (0) 20 310 280</w:t>
      </w:r>
    </w:p>
    <w:p w14:paraId="18AED563" w14:textId="77777777" w:rsidR="00B07A5F" w:rsidRPr="00711E68" w:rsidRDefault="00B07A5F" w:rsidP="00711E68">
      <w:pPr>
        <w:pStyle w:val="NoSpacing"/>
        <w:jc w:val="both"/>
        <w:rPr>
          <w:rFonts w:eastAsia="Calibri"/>
          <w:sz w:val="22"/>
          <w:szCs w:val="22"/>
          <w:lang w:val="sr-Latn-RS"/>
        </w:rPr>
      </w:pPr>
      <w:r w:rsidRPr="00711E68">
        <w:rPr>
          <w:rFonts w:eastAsia="Calibri"/>
          <w:sz w:val="22"/>
          <w:szCs w:val="22"/>
          <w:lang w:val="sr-Latn-RS"/>
        </w:rPr>
        <w:t>fax: +382 (0) 20 310 581</w:t>
      </w:r>
    </w:p>
    <w:p w14:paraId="063CF6F5" w14:textId="77777777" w:rsidR="00B07A5F" w:rsidRPr="00711E68" w:rsidRDefault="00A021FE" w:rsidP="00711E68">
      <w:pPr>
        <w:pStyle w:val="NoSpacing"/>
        <w:jc w:val="both"/>
        <w:rPr>
          <w:rFonts w:eastAsia="Calibri"/>
          <w:sz w:val="22"/>
          <w:szCs w:val="22"/>
          <w:lang w:val="sr-Latn-RS"/>
        </w:rPr>
      </w:pPr>
      <w:hyperlink r:id="rId9" w:history="1">
        <w:r w:rsidR="00B07A5F" w:rsidRPr="00711E68">
          <w:rPr>
            <w:rStyle w:val="Hyperlink"/>
            <w:rFonts w:eastAsia="Calibri"/>
            <w:sz w:val="22"/>
            <w:szCs w:val="22"/>
            <w:lang w:val="sr-Latn-RS"/>
          </w:rPr>
          <w:t>www.cinmed.me</w:t>
        </w:r>
      </w:hyperlink>
    </w:p>
    <w:p w14:paraId="6BDACD1F" w14:textId="77777777" w:rsidR="00B07A5F" w:rsidRPr="00711E68" w:rsidRDefault="00A021FE" w:rsidP="00711E68">
      <w:pPr>
        <w:pStyle w:val="NoSpacing"/>
        <w:jc w:val="both"/>
        <w:rPr>
          <w:rFonts w:eastAsia="Calibri"/>
          <w:color w:val="0000FF"/>
          <w:sz w:val="22"/>
          <w:szCs w:val="22"/>
          <w:u w:val="single"/>
          <w:lang w:val="sr-Latn-RS"/>
        </w:rPr>
      </w:pPr>
      <w:hyperlink r:id="rId10" w:history="1">
        <w:r w:rsidR="00B07A5F" w:rsidRPr="00711E68">
          <w:rPr>
            <w:rStyle w:val="Hyperlink"/>
            <w:rFonts w:eastAsia="Calibri"/>
            <w:sz w:val="22"/>
            <w:szCs w:val="22"/>
            <w:lang w:val="sr-Latn-RS"/>
          </w:rPr>
          <w:t>nezeljenadejstva@cinmed.me</w:t>
        </w:r>
      </w:hyperlink>
    </w:p>
    <w:p w14:paraId="23247671" w14:textId="4F003817" w:rsidR="00AC2AEC" w:rsidRPr="00711E68" w:rsidRDefault="00B07A5F" w:rsidP="00711E68">
      <w:pPr>
        <w:pStyle w:val="NoSpacing"/>
        <w:jc w:val="both"/>
        <w:rPr>
          <w:noProof/>
          <w:sz w:val="22"/>
          <w:szCs w:val="22"/>
          <w:lang w:val="sr-Latn-RS"/>
        </w:rPr>
      </w:pPr>
      <w:r w:rsidRPr="00711E68">
        <w:rPr>
          <w:rFonts w:eastAsia="Calibri"/>
          <w:sz w:val="22"/>
          <w:szCs w:val="22"/>
          <w:lang w:val="sr-Latn-RS"/>
        </w:rPr>
        <w:t>putem IS zdravstvene zaštite</w:t>
      </w:r>
    </w:p>
    <w:p w14:paraId="7FABC362" w14:textId="77777777" w:rsidR="00AC2AEC" w:rsidRPr="00711E68" w:rsidRDefault="00AC2AEC" w:rsidP="00711E68">
      <w:pPr>
        <w:rPr>
          <w:szCs w:val="22"/>
          <w:lang w:val="sr-Latn-RS"/>
        </w:rPr>
      </w:pPr>
    </w:p>
    <w:p w14:paraId="51703E3C" w14:textId="77777777" w:rsidR="00CE09F3" w:rsidRPr="00711E68" w:rsidRDefault="00CE09F3" w:rsidP="00711E68">
      <w:pPr>
        <w:rPr>
          <w:b/>
          <w:bCs/>
          <w:szCs w:val="22"/>
          <w:lang w:val="sr-Latn-RS"/>
        </w:rPr>
      </w:pPr>
      <w:r w:rsidRPr="00711E68">
        <w:rPr>
          <w:b/>
          <w:bCs/>
          <w:szCs w:val="22"/>
          <w:lang w:val="sr-Latn-RS"/>
        </w:rPr>
        <w:t>4.9. Predoziranje</w:t>
      </w:r>
    </w:p>
    <w:p w14:paraId="5A1077EF" w14:textId="77777777" w:rsidR="00CE09F3" w:rsidRPr="00711E68" w:rsidRDefault="00CE09F3" w:rsidP="00711E68">
      <w:pPr>
        <w:rPr>
          <w:szCs w:val="22"/>
          <w:lang w:val="sr-Latn-RS"/>
        </w:rPr>
      </w:pPr>
    </w:p>
    <w:p w14:paraId="44D5FA7E" w14:textId="5674BC52" w:rsidR="00CE09F3" w:rsidRPr="00711E68" w:rsidRDefault="009735FB" w:rsidP="00711E68">
      <w:pPr>
        <w:rPr>
          <w:szCs w:val="22"/>
          <w:lang w:val="sr-Latn-RS"/>
        </w:rPr>
      </w:pPr>
      <w:r w:rsidRPr="00711E68">
        <w:rPr>
          <w:szCs w:val="22"/>
          <w:lang w:val="sr-Latn-RS"/>
        </w:rPr>
        <w:t xml:space="preserve">U slučaju predoziranja preporučuje se praćenje pacijenta </w:t>
      </w:r>
      <w:r w:rsidR="003A676A" w:rsidRPr="00711E68">
        <w:rPr>
          <w:szCs w:val="22"/>
          <w:lang w:val="sr-Latn-RS"/>
        </w:rPr>
        <w:t xml:space="preserve">zbog moguće pojave </w:t>
      </w:r>
      <w:r w:rsidRPr="00711E68">
        <w:rPr>
          <w:szCs w:val="22"/>
          <w:lang w:val="sr-Latn-RS"/>
        </w:rPr>
        <w:t>znak</w:t>
      </w:r>
      <w:r w:rsidR="003A676A" w:rsidRPr="00711E68">
        <w:rPr>
          <w:szCs w:val="22"/>
          <w:lang w:val="sr-Latn-RS"/>
        </w:rPr>
        <w:t>a</w:t>
      </w:r>
      <w:r w:rsidRPr="00711E68">
        <w:rPr>
          <w:szCs w:val="22"/>
          <w:lang w:val="sr-Latn-RS"/>
        </w:rPr>
        <w:t xml:space="preserve"> i</w:t>
      </w:r>
      <w:r w:rsidR="003200DD" w:rsidRPr="00711E68">
        <w:rPr>
          <w:szCs w:val="22"/>
          <w:lang w:val="sr-Latn-RS"/>
        </w:rPr>
        <w:t>li</w:t>
      </w:r>
      <w:r w:rsidRPr="00711E68">
        <w:rPr>
          <w:szCs w:val="22"/>
          <w:lang w:val="sr-Latn-RS"/>
        </w:rPr>
        <w:t xml:space="preserve"> simptom</w:t>
      </w:r>
      <w:r w:rsidR="003A676A" w:rsidRPr="00711E68">
        <w:rPr>
          <w:szCs w:val="22"/>
          <w:lang w:val="sr-Latn-RS"/>
        </w:rPr>
        <w:t>a</w:t>
      </w:r>
      <w:r w:rsidRPr="00711E68">
        <w:rPr>
          <w:szCs w:val="22"/>
          <w:lang w:val="sr-Latn-RS"/>
        </w:rPr>
        <w:t xml:space="preserve"> neželjenih reakcija </w:t>
      </w:r>
      <w:r w:rsidR="00032B47" w:rsidRPr="00711E68">
        <w:rPr>
          <w:szCs w:val="22"/>
          <w:lang w:val="sr-Latn-RS"/>
        </w:rPr>
        <w:t>i</w:t>
      </w:r>
      <w:r w:rsidR="003200DD" w:rsidRPr="00711E68">
        <w:rPr>
          <w:szCs w:val="22"/>
          <w:lang w:val="sr-Latn-RS"/>
        </w:rPr>
        <w:t xml:space="preserve"> odmah</w:t>
      </w:r>
      <w:r w:rsidR="00032B47" w:rsidRPr="00711E68">
        <w:rPr>
          <w:szCs w:val="22"/>
          <w:lang w:val="sr-Latn-RS"/>
        </w:rPr>
        <w:t xml:space="preserve"> treba</w:t>
      </w:r>
      <w:r w:rsidR="003200DD" w:rsidRPr="00711E68">
        <w:rPr>
          <w:szCs w:val="22"/>
          <w:lang w:val="sr-Latn-RS"/>
        </w:rPr>
        <w:t xml:space="preserve"> uvesti</w:t>
      </w:r>
      <w:r w:rsidR="00E058C2" w:rsidRPr="00711E68">
        <w:rPr>
          <w:szCs w:val="22"/>
          <w:lang w:val="sr-Latn-RS"/>
        </w:rPr>
        <w:t xml:space="preserve"> </w:t>
      </w:r>
      <w:r w:rsidRPr="00711E68">
        <w:rPr>
          <w:szCs w:val="22"/>
          <w:lang w:val="sr-Latn-RS"/>
        </w:rPr>
        <w:t>odgovarajuć</w:t>
      </w:r>
      <w:r w:rsidR="00E058C2" w:rsidRPr="00711E68">
        <w:rPr>
          <w:szCs w:val="22"/>
          <w:lang w:val="sr-Latn-RS"/>
        </w:rPr>
        <w:t>e</w:t>
      </w:r>
      <w:r w:rsidRPr="00711E68">
        <w:rPr>
          <w:szCs w:val="22"/>
          <w:lang w:val="sr-Latn-RS"/>
        </w:rPr>
        <w:t xml:space="preserve"> simptomatsk</w:t>
      </w:r>
      <w:r w:rsidR="003200DD" w:rsidRPr="00711E68">
        <w:rPr>
          <w:szCs w:val="22"/>
          <w:lang w:val="sr-Latn-RS"/>
        </w:rPr>
        <w:t>o liječenje.</w:t>
      </w:r>
    </w:p>
    <w:p w14:paraId="42530FB4" w14:textId="77777777" w:rsidR="009735FB" w:rsidRPr="00711E68" w:rsidRDefault="009735FB" w:rsidP="00711E68">
      <w:pPr>
        <w:rPr>
          <w:szCs w:val="22"/>
          <w:lang w:val="sr-Latn-RS"/>
        </w:rPr>
      </w:pPr>
    </w:p>
    <w:p w14:paraId="3847E5A5" w14:textId="77777777" w:rsidR="00711E68" w:rsidRDefault="00711E68" w:rsidP="00711E68">
      <w:pPr>
        <w:pStyle w:val="NASLOV123"/>
        <w:spacing w:before="0" w:after="0"/>
        <w:rPr>
          <w:lang w:val="sr-Latn-RS"/>
        </w:rPr>
      </w:pPr>
    </w:p>
    <w:p w14:paraId="5FF7987A" w14:textId="6BC323F9" w:rsidR="00CE09F3" w:rsidRPr="00711E68" w:rsidRDefault="00CE09F3" w:rsidP="00711E68">
      <w:pPr>
        <w:pStyle w:val="NASLOV123"/>
        <w:spacing w:before="0" w:after="0"/>
        <w:rPr>
          <w:lang w:val="sr-Latn-RS"/>
        </w:rPr>
      </w:pPr>
      <w:r w:rsidRPr="00711E68">
        <w:rPr>
          <w:lang w:val="sr-Latn-RS"/>
        </w:rPr>
        <w:t>5. FARMAKOLOŠKI PODACI</w:t>
      </w:r>
    </w:p>
    <w:p w14:paraId="430D6817" w14:textId="77777777" w:rsidR="00711E68" w:rsidRDefault="00711E68" w:rsidP="00711E68">
      <w:pPr>
        <w:rPr>
          <w:b/>
          <w:bCs/>
          <w:szCs w:val="22"/>
          <w:lang w:val="sr-Latn-RS"/>
        </w:rPr>
      </w:pPr>
    </w:p>
    <w:p w14:paraId="38A15EF5" w14:textId="60D0BDC7" w:rsidR="00CE09F3" w:rsidRPr="00711E68" w:rsidRDefault="00CE09F3" w:rsidP="00711E68">
      <w:pPr>
        <w:rPr>
          <w:b/>
          <w:bCs/>
          <w:szCs w:val="22"/>
          <w:lang w:val="sr-Latn-RS"/>
        </w:rPr>
      </w:pPr>
      <w:r w:rsidRPr="00711E68">
        <w:rPr>
          <w:b/>
          <w:bCs/>
          <w:szCs w:val="22"/>
          <w:lang w:val="sr-Latn-RS"/>
        </w:rPr>
        <w:t>5.1. Farmakodinamski podaci</w:t>
      </w:r>
    </w:p>
    <w:p w14:paraId="3CA78033" w14:textId="77777777" w:rsidR="009735FB" w:rsidRPr="00711E68" w:rsidRDefault="009735FB" w:rsidP="00711E68">
      <w:pPr>
        <w:rPr>
          <w:b/>
          <w:bCs/>
          <w:szCs w:val="22"/>
          <w:lang w:val="sr-Latn-RS"/>
        </w:rPr>
      </w:pPr>
    </w:p>
    <w:p w14:paraId="21C4A04B" w14:textId="040412EE" w:rsidR="00CE09F3" w:rsidRPr="00711E68" w:rsidRDefault="00CE09F3" w:rsidP="00711E68">
      <w:pPr>
        <w:rPr>
          <w:b/>
          <w:bCs/>
          <w:szCs w:val="22"/>
          <w:lang w:val="sr-Latn-RS"/>
        </w:rPr>
      </w:pPr>
      <w:r w:rsidRPr="00711E68">
        <w:rPr>
          <w:bCs/>
          <w:szCs w:val="22"/>
          <w:lang w:val="sr-Latn-RS"/>
        </w:rPr>
        <w:lastRenderedPageBreak/>
        <w:t>Farmakoterapijska grupa:</w:t>
      </w:r>
      <w:r w:rsidR="009735FB" w:rsidRPr="00711E68">
        <w:rPr>
          <w:b/>
          <w:bCs/>
          <w:szCs w:val="22"/>
          <w:lang w:val="sr-Latn-RS"/>
        </w:rPr>
        <w:t xml:space="preserve"> </w:t>
      </w:r>
      <w:r w:rsidR="009735FB" w:rsidRPr="00711E68">
        <w:rPr>
          <w:bCs/>
          <w:szCs w:val="22"/>
          <w:lang w:val="sr-Latn-RS"/>
        </w:rPr>
        <w:t>imunosupresivni l</w:t>
      </w:r>
      <w:r w:rsidR="00AC2AEC" w:rsidRPr="00711E68">
        <w:rPr>
          <w:bCs/>
          <w:szCs w:val="22"/>
          <w:lang w:val="sr-Latn-RS"/>
        </w:rPr>
        <w:t>j</w:t>
      </w:r>
      <w:r w:rsidR="009735FB" w:rsidRPr="00711E68">
        <w:rPr>
          <w:bCs/>
          <w:szCs w:val="22"/>
          <w:lang w:val="sr-Latn-RS"/>
        </w:rPr>
        <w:t>ekovi, inhibitori interleukina</w:t>
      </w:r>
    </w:p>
    <w:p w14:paraId="0F461512" w14:textId="77777777" w:rsidR="00CE09F3" w:rsidRPr="00711E68" w:rsidRDefault="00CE09F3" w:rsidP="00711E68">
      <w:pPr>
        <w:rPr>
          <w:szCs w:val="22"/>
          <w:lang w:val="sr-Latn-RS"/>
        </w:rPr>
      </w:pPr>
    </w:p>
    <w:p w14:paraId="0EA31362" w14:textId="147FA888" w:rsidR="00CE09F3" w:rsidRPr="00711E68" w:rsidRDefault="00CE09F3" w:rsidP="00711E68">
      <w:pPr>
        <w:rPr>
          <w:b/>
          <w:bCs/>
          <w:szCs w:val="22"/>
          <w:lang w:val="sr-Latn-RS"/>
        </w:rPr>
      </w:pPr>
      <w:r w:rsidRPr="00711E68">
        <w:rPr>
          <w:bCs/>
          <w:szCs w:val="22"/>
          <w:lang w:val="sr-Latn-RS"/>
        </w:rPr>
        <w:t xml:space="preserve">ATC </w:t>
      </w:r>
      <w:r w:rsidR="00CB059E" w:rsidRPr="00711E68">
        <w:rPr>
          <w:bCs/>
          <w:szCs w:val="22"/>
          <w:lang w:val="sr-Latn-RS"/>
        </w:rPr>
        <w:t>kod</w:t>
      </w:r>
      <w:r w:rsidRPr="00711E68">
        <w:rPr>
          <w:bCs/>
          <w:szCs w:val="22"/>
          <w:lang w:val="sr-Latn-RS"/>
        </w:rPr>
        <w:t>:</w:t>
      </w:r>
      <w:r w:rsidR="009735FB" w:rsidRPr="00711E68">
        <w:rPr>
          <w:b/>
          <w:bCs/>
          <w:szCs w:val="22"/>
          <w:lang w:val="sr-Latn-RS"/>
        </w:rPr>
        <w:t xml:space="preserve"> </w:t>
      </w:r>
      <w:r w:rsidR="006D5284" w:rsidRPr="00711E68">
        <w:rPr>
          <w:rFonts w:eastAsia="MS Mincho"/>
          <w:szCs w:val="22"/>
          <w:lang w:eastAsia="ja-JP"/>
        </w:rPr>
        <w:t>L04AC18</w:t>
      </w:r>
    </w:p>
    <w:p w14:paraId="212B40CA" w14:textId="77777777" w:rsidR="00CE09F3" w:rsidRPr="00711E68" w:rsidRDefault="00CE09F3" w:rsidP="00711E68">
      <w:pPr>
        <w:rPr>
          <w:szCs w:val="22"/>
          <w:lang w:val="sr-Latn-RS"/>
        </w:rPr>
      </w:pPr>
    </w:p>
    <w:p w14:paraId="071F600E" w14:textId="77777777" w:rsidR="009735FB" w:rsidRPr="00711E68" w:rsidRDefault="009735FB" w:rsidP="00711E68">
      <w:pPr>
        <w:autoSpaceDE w:val="0"/>
        <w:autoSpaceDN w:val="0"/>
        <w:adjustRightInd w:val="0"/>
        <w:rPr>
          <w:szCs w:val="22"/>
          <w:u w:val="single"/>
          <w:lang w:val="sr-Latn-RS"/>
        </w:rPr>
      </w:pPr>
      <w:r w:rsidRPr="00711E68">
        <w:rPr>
          <w:szCs w:val="22"/>
          <w:u w:val="single"/>
          <w:lang w:val="sr-Latn-RS"/>
        </w:rPr>
        <w:t>Mehanizam dejstva</w:t>
      </w:r>
    </w:p>
    <w:p w14:paraId="136142FA" w14:textId="2B4335CE" w:rsidR="00CE09F3" w:rsidRPr="00711E68" w:rsidRDefault="00CE09F3" w:rsidP="00711E68">
      <w:pPr>
        <w:rPr>
          <w:szCs w:val="22"/>
          <w:lang w:val="sr-Latn-RS"/>
        </w:rPr>
      </w:pPr>
    </w:p>
    <w:p w14:paraId="4C73FAE0" w14:textId="048192EE" w:rsidR="009735FB" w:rsidRPr="00711E68" w:rsidRDefault="009735FB" w:rsidP="00711E68">
      <w:pPr>
        <w:rPr>
          <w:szCs w:val="22"/>
          <w:lang w:val="sr-Latn-RS"/>
        </w:rPr>
      </w:pPr>
      <w:r w:rsidRPr="00711E68">
        <w:rPr>
          <w:szCs w:val="22"/>
          <w:lang w:val="sr-Latn-RS"/>
        </w:rPr>
        <w:t>Risankizumab je humanizovano imunoglobulin</w:t>
      </w:r>
      <w:r w:rsidR="0099733C" w:rsidRPr="00711E68">
        <w:rPr>
          <w:szCs w:val="22"/>
          <w:lang w:val="sr-Latn-RS"/>
        </w:rPr>
        <w:t>sko</w:t>
      </w:r>
      <w:r w:rsidRPr="00711E68">
        <w:rPr>
          <w:szCs w:val="22"/>
          <w:lang w:val="sr-Latn-RS"/>
        </w:rPr>
        <w:t xml:space="preserve"> G1 (IgG1) monoklonsko antit</w:t>
      </w:r>
      <w:r w:rsidR="00AC2AEC" w:rsidRPr="00711E68">
        <w:rPr>
          <w:szCs w:val="22"/>
          <w:lang w:val="sr-Latn-RS"/>
        </w:rPr>
        <w:t>ij</w:t>
      </w:r>
      <w:r w:rsidRPr="00711E68">
        <w:rPr>
          <w:szCs w:val="22"/>
          <w:lang w:val="sr-Latn-RS"/>
        </w:rPr>
        <w:t>elo koje se selektivno i sa visokim afinitetom vezuje za</w:t>
      </w:r>
      <w:r w:rsidR="00700905" w:rsidRPr="00711E68">
        <w:rPr>
          <w:szCs w:val="22"/>
          <w:lang w:val="sr-Latn-RS"/>
        </w:rPr>
        <w:t xml:space="preserve"> </w:t>
      </w:r>
      <w:r w:rsidR="0038385B" w:rsidRPr="00711E68">
        <w:rPr>
          <w:szCs w:val="22"/>
          <w:lang w:val="sr-Latn-RS"/>
        </w:rPr>
        <w:t xml:space="preserve">podjedinicu </w:t>
      </w:r>
      <w:r w:rsidRPr="00711E68">
        <w:rPr>
          <w:szCs w:val="22"/>
          <w:lang w:val="sr-Latn-RS"/>
        </w:rPr>
        <w:t>p19 humanog interleukin 23 citokina (IL-23)</w:t>
      </w:r>
      <w:r w:rsidR="00700905" w:rsidRPr="00711E68">
        <w:rPr>
          <w:szCs w:val="22"/>
          <w:lang w:val="sr-Latn-RS"/>
        </w:rPr>
        <w:t>,</w:t>
      </w:r>
      <w:r w:rsidR="00304FED" w:rsidRPr="00711E68">
        <w:rPr>
          <w:szCs w:val="22"/>
          <w:lang w:val="sr-Latn-RS"/>
        </w:rPr>
        <w:t xml:space="preserve"> bez vezivanja za IL-12</w:t>
      </w:r>
      <w:r w:rsidR="00700905" w:rsidRPr="00711E68">
        <w:rPr>
          <w:szCs w:val="22"/>
          <w:lang w:val="sr-Latn-RS"/>
        </w:rPr>
        <w:t>,</w:t>
      </w:r>
      <w:r w:rsidR="00304FED" w:rsidRPr="00711E68">
        <w:rPr>
          <w:szCs w:val="22"/>
          <w:lang w:val="sr-Latn-RS"/>
        </w:rPr>
        <w:t xml:space="preserve"> i in</w:t>
      </w:r>
      <w:r w:rsidR="00E058C2" w:rsidRPr="00711E68">
        <w:rPr>
          <w:szCs w:val="22"/>
          <w:lang w:val="sr-Latn-RS"/>
        </w:rPr>
        <w:t>h</w:t>
      </w:r>
      <w:r w:rsidR="00304FED" w:rsidRPr="00711E68">
        <w:rPr>
          <w:szCs w:val="22"/>
          <w:lang w:val="sr-Latn-RS"/>
        </w:rPr>
        <w:t>ibira nje</w:t>
      </w:r>
      <w:r w:rsidR="00E058C2" w:rsidRPr="00711E68">
        <w:rPr>
          <w:szCs w:val="22"/>
          <w:lang w:val="sr-Latn-RS"/>
        </w:rPr>
        <w:t>g</w:t>
      </w:r>
      <w:r w:rsidR="00304FED" w:rsidRPr="00711E68">
        <w:rPr>
          <w:szCs w:val="22"/>
          <w:lang w:val="sr-Latn-RS"/>
        </w:rPr>
        <w:t>ovu interakciju sa IL-23 kompleksom</w:t>
      </w:r>
      <w:r w:rsidR="005E08C8" w:rsidRPr="00711E68">
        <w:rPr>
          <w:szCs w:val="22"/>
          <w:lang w:val="sr-Latn-RS"/>
        </w:rPr>
        <w:t xml:space="preserve"> receptora</w:t>
      </w:r>
      <w:r w:rsidR="00304FED" w:rsidRPr="00711E68">
        <w:rPr>
          <w:szCs w:val="22"/>
          <w:lang w:val="sr-Latn-RS"/>
        </w:rPr>
        <w:t xml:space="preserve">. IL-23 je citokin koji je uključen u inflamatorne i imunske odgovore. Blokiranjem vezivanja IL-23 za njegov receptor, risankizumab inhibira ćelijsku signalizaciju </w:t>
      </w:r>
      <w:r w:rsidR="00700905" w:rsidRPr="00711E68">
        <w:rPr>
          <w:szCs w:val="22"/>
          <w:lang w:val="sr-Latn-RS"/>
        </w:rPr>
        <w:t xml:space="preserve">zavisnu od IL-23 </w:t>
      </w:r>
      <w:r w:rsidR="00304FED" w:rsidRPr="00711E68">
        <w:rPr>
          <w:szCs w:val="22"/>
          <w:lang w:val="sr-Latn-RS"/>
        </w:rPr>
        <w:t>i oslobađanje proinflamatornih citokina.</w:t>
      </w:r>
    </w:p>
    <w:p w14:paraId="7DCC5C52" w14:textId="23FEAF7A" w:rsidR="00304FED" w:rsidRPr="00711E68" w:rsidRDefault="00304FED" w:rsidP="00711E68">
      <w:pPr>
        <w:rPr>
          <w:szCs w:val="22"/>
          <w:u w:val="single"/>
          <w:lang w:val="sr-Latn-RS"/>
        </w:rPr>
      </w:pPr>
    </w:p>
    <w:p w14:paraId="7C9E8E31" w14:textId="17546879" w:rsidR="00304FED" w:rsidRPr="00711E68" w:rsidRDefault="00304FED" w:rsidP="00711E68">
      <w:pPr>
        <w:rPr>
          <w:szCs w:val="22"/>
          <w:u w:val="single"/>
          <w:lang w:val="sr-Latn-RS"/>
        </w:rPr>
      </w:pPr>
      <w:r w:rsidRPr="00711E68">
        <w:rPr>
          <w:szCs w:val="22"/>
          <w:u w:val="single"/>
          <w:lang w:val="sr-Latn-RS"/>
        </w:rPr>
        <w:t>Farmakodinamski efekti</w:t>
      </w:r>
    </w:p>
    <w:p w14:paraId="1C38A30E" w14:textId="43D4134C" w:rsidR="00304FED" w:rsidRPr="00711E68" w:rsidRDefault="00304FED" w:rsidP="00711E68">
      <w:pPr>
        <w:rPr>
          <w:szCs w:val="22"/>
          <w:u w:val="single"/>
          <w:lang w:val="sr-Latn-RS"/>
        </w:rPr>
      </w:pPr>
    </w:p>
    <w:p w14:paraId="39F521D4" w14:textId="037792FA" w:rsidR="00304FED" w:rsidRPr="00711E68" w:rsidRDefault="00304FED" w:rsidP="00711E68">
      <w:pPr>
        <w:rPr>
          <w:szCs w:val="22"/>
          <w:lang w:val="sr-Latn-RS"/>
        </w:rPr>
      </w:pPr>
      <w:r w:rsidRPr="00711E68">
        <w:rPr>
          <w:szCs w:val="22"/>
          <w:lang w:val="sr-Latn-RS"/>
        </w:rPr>
        <w:t>U</w:t>
      </w:r>
      <w:r w:rsidR="000C1B6A" w:rsidRPr="00711E68">
        <w:rPr>
          <w:szCs w:val="22"/>
          <w:lang w:val="sr-Latn-RS"/>
        </w:rPr>
        <w:t xml:space="preserve"> ispitivanju </w:t>
      </w:r>
      <w:r w:rsidR="005A6B71" w:rsidRPr="00711E68">
        <w:rPr>
          <w:szCs w:val="22"/>
          <w:lang w:val="sr-Latn-RS"/>
        </w:rPr>
        <w:t xml:space="preserve">sprovedenom kod </w:t>
      </w:r>
      <w:r w:rsidRPr="00711E68">
        <w:rPr>
          <w:szCs w:val="22"/>
          <w:lang w:val="sr-Latn-RS"/>
        </w:rPr>
        <w:t xml:space="preserve">ispitanika sa psorijazom, ekspresija gena povezanih sa </w:t>
      </w:r>
      <w:r w:rsidR="006D5BC7" w:rsidRPr="00711E68">
        <w:rPr>
          <w:szCs w:val="22"/>
          <w:lang w:val="sr-Latn-RS"/>
        </w:rPr>
        <w:t xml:space="preserve">osom </w:t>
      </w:r>
      <w:r w:rsidRPr="00711E68">
        <w:rPr>
          <w:szCs w:val="22"/>
          <w:lang w:val="sr-Latn-RS"/>
        </w:rPr>
        <w:t>IL-23/IL-</w:t>
      </w:r>
      <w:r w:rsidR="005A6B71" w:rsidRPr="00711E68">
        <w:rPr>
          <w:szCs w:val="22"/>
          <w:lang w:val="sr-Latn-RS"/>
        </w:rPr>
        <w:t>1</w:t>
      </w:r>
      <w:r w:rsidRPr="00711E68">
        <w:rPr>
          <w:szCs w:val="22"/>
          <w:lang w:val="sr-Latn-RS"/>
        </w:rPr>
        <w:t xml:space="preserve">7 </w:t>
      </w:r>
      <w:r w:rsidR="006D5BC7" w:rsidRPr="00711E68">
        <w:rPr>
          <w:szCs w:val="22"/>
          <w:lang w:val="sr-Latn-RS"/>
        </w:rPr>
        <w:t xml:space="preserve">u koži </w:t>
      </w:r>
      <w:r w:rsidRPr="00711E68">
        <w:rPr>
          <w:szCs w:val="22"/>
          <w:lang w:val="sr-Latn-RS"/>
        </w:rPr>
        <w:t xml:space="preserve">bila je </w:t>
      </w:r>
      <w:r w:rsidR="00786A86" w:rsidRPr="00711E68">
        <w:rPr>
          <w:szCs w:val="22"/>
          <w:lang w:val="sr-Latn-RS"/>
        </w:rPr>
        <w:t>s</w:t>
      </w:r>
      <w:r w:rsidRPr="00711E68">
        <w:rPr>
          <w:szCs w:val="22"/>
          <w:lang w:val="sr-Latn-RS"/>
        </w:rPr>
        <w:t xml:space="preserve">manjena </w:t>
      </w:r>
      <w:r w:rsidR="006F1198" w:rsidRPr="00711E68">
        <w:rPr>
          <w:szCs w:val="22"/>
          <w:lang w:val="sr-Latn-RS"/>
        </w:rPr>
        <w:t xml:space="preserve">već </w:t>
      </w:r>
      <w:r w:rsidRPr="00711E68">
        <w:rPr>
          <w:szCs w:val="22"/>
          <w:lang w:val="sr-Latn-RS"/>
        </w:rPr>
        <w:t xml:space="preserve">nakon </w:t>
      </w:r>
      <w:r w:rsidR="006F1198" w:rsidRPr="00711E68">
        <w:rPr>
          <w:szCs w:val="22"/>
          <w:lang w:val="sr-Latn-RS"/>
        </w:rPr>
        <w:t xml:space="preserve">jedne </w:t>
      </w:r>
      <w:r w:rsidRPr="00711E68">
        <w:rPr>
          <w:szCs w:val="22"/>
          <w:lang w:val="sr-Latn-RS"/>
        </w:rPr>
        <w:t>doz</w:t>
      </w:r>
      <w:r w:rsidR="006F1198" w:rsidRPr="00711E68">
        <w:rPr>
          <w:szCs w:val="22"/>
          <w:lang w:val="sr-Latn-RS"/>
        </w:rPr>
        <w:t>e</w:t>
      </w:r>
      <w:r w:rsidRPr="00711E68">
        <w:rPr>
          <w:szCs w:val="22"/>
          <w:lang w:val="sr-Latn-RS"/>
        </w:rPr>
        <w:t xml:space="preserve"> risankizumaba. </w:t>
      </w:r>
      <w:r w:rsidR="001651B4" w:rsidRPr="00711E68">
        <w:rPr>
          <w:szCs w:val="22"/>
        </w:rPr>
        <w:t>U psorijatičnim lezijama je zapaženo i smanjenje debljine epiderm</w:t>
      </w:r>
      <w:r w:rsidR="009D346C" w:rsidRPr="00711E68">
        <w:rPr>
          <w:szCs w:val="22"/>
        </w:rPr>
        <w:t>a</w:t>
      </w:r>
      <w:r w:rsidR="001651B4" w:rsidRPr="00711E68">
        <w:rPr>
          <w:szCs w:val="22"/>
        </w:rPr>
        <w:t>, infiltracije inflamatornih ćelija</w:t>
      </w:r>
      <w:r w:rsidR="00A21ADD" w:rsidRPr="00711E68">
        <w:rPr>
          <w:szCs w:val="22"/>
        </w:rPr>
        <w:t xml:space="preserve"> </w:t>
      </w:r>
      <w:r w:rsidR="001651B4" w:rsidRPr="00711E68">
        <w:rPr>
          <w:szCs w:val="22"/>
        </w:rPr>
        <w:t>i ekspresij</w:t>
      </w:r>
      <w:r w:rsidR="009D346C" w:rsidRPr="00711E68">
        <w:rPr>
          <w:szCs w:val="22"/>
        </w:rPr>
        <w:t>e</w:t>
      </w:r>
      <w:r w:rsidR="001651B4" w:rsidRPr="00711E68">
        <w:rPr>
          <w:szCs w:val="22"/>
        </w:rPr>
        <w:t xml:space="preserve"> </w:t>
      </w:r>
      <w:r w:rsidR="009D346C" w:rsidRPr="00711E68">
        <w:rPr>
          <w:szCs w:val="22"/>
        </w:rPr>
        <w:t xml:space="preserve">markera </w:t>
      </w:r>
      <w:r w:rsidR="001651B4" w:rsidRPr="00711E68">
        <w:rPr>
          <w:szCs w:val="22"/>
        </w:rPr>
        <w:t>psorijatične bolesti.</w:t>
      </w:r>
    </w:p>
    <w:p w14:paraId="7CF05467" w14:textId="2AE2F0A0" w:rsidR="00304FED" w:rsidRPr="00711E68" w:rsidRDefault="00304FED" w:rsidP="00711E68">
      <w:pPr>
        <w:rPr>
          <w:szCs w:val="22"/>
          <w:lang w:val="sr-Latn-RS"/>
        </w:rPr>
      </w:pPr>
    </w:p>
    <w:p w14:paraId="5F35F1AE" w14:textId="11A66B73" w:rsidR="00304FED" w:rsidRPr="00711E68" w:rsidRDefault="00304FED" w:rsidP="00711E68">
      <w:pPr>
        <w:rPr>
          <w:szCs w:val="22"/>
          <w:u w:val="single"/>
          <w:lang w:val="sr-Latn-RS"/>
        </w:rPr>
      </w:pPr>
      <w:r w:rsidRPr="00711E68">
        <w:rPr>
          <w:szCs w:val="22"/>
          <w:u w:val="single"/>
          <w:lang w:val="sr-Latn-RS"/>
        </w:rPr>
        <w:t>Klinička bezb</w:t>
      </w:r>
      <w:r w:rsidR="00233F8F" w:rsidRPr="00711E68">
        <w:rPr>
          <w:szCs w:val="22"/>
          <w:u w:val="single"/>
          <w:lang w:val="sr-Latn-RS"/>
        </w:rPr>
        <w:t>i</w:t>
      </w:r>
      <w:r w:rsidR="00881418" w:rsidRPr="00711E68">
        <w:rPr>
          <w:szCs w:val="22"/>
          <w:u w:val="single"/>
          <w:lang w:val="sr-Latn-RS"/>
        </w:rPr>
        <w:t>j</w:t>
      </w:r>
      <w:r w:rsidRPr="00711E68">
        <w:rPr>
          <w:szCs w:val="22"/>
          <w:u w:val="single"/>
          <w:lang w:val="sr-Latn-RS"/>
        </w:rPr>
        <w:t>ednost i efikasnost</w:t>
      </w:r>
    </w:p>
    <w:p w14:paraId="427354D2" w14:textId="5D89C93D" w:rsidR="00304FED" w:rsidRPr="00711E68" w:rsidRDefault="00304FED" w:rsidP="00711E68">
      <w:pPr>
        <w:rPr>
          <w:szCs w:val="22"/>
          <w:lang w:val="sr-Latn-RS"/>
        </w:rPr>
      </w:pPr>
    </w:p>
    <w:p w14:paraId="0B42A8DA" w14:textId="5B64B3FB" w:rsidR="00304FED" w:rsidRPr="00711E68" w:rsidRDefault="00304FED" w:rsidP="00711E68">
      <w:pPr>
        <w:rPr>
          <w:szCs w:val="22"/>
          <w:lang w:val="sr-Latn-RS"/>
        </w:rPr>
      </w:pPr>
      <w:r w:rsidRPr="00711E68">
        <w:rPr>
          <w:szCs w:val="22"/>
          <w:lang w:val="sr-Latn-RS"/>
        </w:rPr>
        <w:t>Bezb</w:t>
      </w:r>
      <w:r w:rsidR="00233F8F" w:rsidRPr="00711E68">
        <w:rPr>
          <w:szCs w:val="22"/>
          <w:lang w:val="sr-Latn-RS"/>
        </w:rPr>
        <w:t>i</w:t>
      </w:r>
      <w:r w:rsidR="00881418" w:rsidRPr="00711E68">
        <w:rPr>
          <w:szCs w:val="22"/>
          <w:lang w:val="sr-Latn-RS"/>
        </w:rPr>
        <w:t>j</w:t>
      </w:r>
      <w:r w:rsidRPr="00711E68">
        <w:rPr>
          <w:szCs w:val="22"/>
          <w:lang w:val="sr-Latn-RS"/>
        </w:rPr>
        <w:t>ednost i efikasnost risankizumaba bila je proc</w:t>
      </w:r>
      <w:r w:rsidR="00881418" w:rsidRPr="00711E68">
        <w:rPr>
          <w:szCs w:val="22"/>
          <w:lang w:val="sr-Latn-RS"/>
        </w:rPr>
        <w:t>ij</w:t>
      </w:r>
      <w:r w:rsidRPr="00711E68">
        <w:rPr>
          <w:szCs w:val="22"/>
          <w:lang w:val="sr-Latn-RS"/>
        </w:rPr>
        <w:t>enjena kod 2109 ispitanika sa um</w:t>
      </w:r>
      <w:r w:rsidR="00881418" w:rsidRPr="00711E68">
        <w:rPr>
          <w:szCs w:val="22"/>
          <w:lang w:val="sr-Latn-RS"/>
        </w:rPr>
        <w:t>j</w:t>
      </w:r>
      <w:r w:rsidRPr="00711E68">
        <w:rPr>
          <w:szCs w:val="22"/>
          <w:lang w:val="sr-Latn-RS"/>
        </w:rPr>
        <w:t>erenom do teškom plak psorijazom u četiri multicentričn</w:t>
      </w:r>
      <w:r w:rsidR="00700905" w:rsidRPr="00711E68">
        <w:rPr>
          <w:szCs w:val="22"/>
          <w:lang w:val="sr-Latn-RS"/>
        </w:rPr>
        <w:t>e</w:t>
      </w:r>
      <w:r w:rsidRPr="00711E68">
        <w:rPr>
          <w:szCs w:val="22"/>
          <w:lang w:val="sr-Latn-RS"/>
        </w:rPr>
        <w:t>, randomizovan</w:t>
      </w:r>
      <w:r w:rsidR="00700905" w:rsidRPr="00711E68">
        <w:rPr>
          <w:szCs w:val="22"/>
          <w:lang w:val="sr-Latn-RS"/>
        </w:rPr>
        <w:t>e</w:t>
      </w:r>
      <w:r w:rsidRPr="00711E68">
        <w:rPr>
          <w:szCs w:val="22"/>
          <w:lang w:val="sr-Latn-RS"/>
        </w:rPr>
        <w:t>, dvostruko sl</w:t>
      </w:r>
      <w:r w:rsidR="00881418" w:rsidRPr="00711E68">
        <w:rPr>
          <w:szCs w:val="22"/>
          <w:lang w:val="sr-Latn-RS"/>
        </w:rPr>
        <w:t>ij</w:t>
      </w:r>
      <w:r w:rsidRPr="00711E68">
        <w:rPr>
          <w:szCs w:val="22"/>
          <w:lang w:val="sr-Latn-RS"/>
        </w:rPr>
        <w:t>ep</w:t>
      </w:r>
      <w:r w:rsidR="00700905" w:rsidRPr="00711E68">
        <w:rPr>
          <w:szCs w:val="22"/>
          <w:lang w:val="sr-Latn-RS"/>
        </w:rPr>
        <w:t>e</w:t>
      </w:r>
      <w:r w:rsidRPr="00711E68">
        <w:rPr>
          <w:szCs w:val="22"/>
          <w:lang w:val="sr-Latn-RS"/>
        </w:rPr>
        <w:t xml:space="preserve"> </w:t>
      </w:r>
      <w:r w:rsidR="00700905" w:rsidRPr="00711E68">
        <w:rPr>
          <w:szCs w:val="22"/>
          <w:lang w:val="sr-Latn-RS"/>
        </w:rPr>
        <w:t>studije</w:t>
      </w:r>
      <w:r w:rsidRPr="00711E68">
        <w:rPr>
          <w:szCs w:val="22"/>
          <w:lang w:val="sr-Latn-RS"/>
        </w:rPr>
        <w:t xml:space="preserve">  (ULTIMMA-1, ULTIMMA-2, IMMHANCE i IMMVENT). Uključeni su ispitanici uzrasta od 18 i više godina </w:t>
      </w:r>
      <w:r w:rsidR="000A4B13" w:rsidRPr="00711E68">
        <w:rPr>
          <w:szCs w:val="22"/>
          <w:lang w:val="sr-Latn-RS"/>
        </w:rPr>
        <w:t>koji su imali</w:t>
      </w:r>
      <w:r w:rsidRPr="00711E68">
        <w:rPr>
          <w:szCs w:val="22"/>
          <w:lang w:val="sr-Latn-RS"/>
        </w:rPr>
        <w:t xml:space="preserve"> plak psorijaz</w:t>
      </w:r>
      <w:r w:rsidR="000A4B13" w:rsidRPr="00711E68">
        <w:rPr>
          <w:szCs w:val="22"/>
          <w:lang w:val="sr-Latn-RS"/>
        </w:rPr>
        <w:t>u</w:t>
      </w:r>
      <w:r w:rsidRPr="00711E68">
        <w:rPr>
          <w:szCs w:val="22"/>
          <w:lang w:val="sr-Latn-RS"/>
        </w:rPr>
        <w:t xml:space="preserve"> </w:t>
      </w:r>
      <w:r w:rsidR="0033280C" w:rsidRPr="00711E68">
        <w:rPr>
          <w:szCs w:val="22"/>
          <w:lang w:val="sr-Latn-RS"/>
        </w:rPr>
        <w:t>koj</w:t>
      </w:r>
      <w:r w:rsidR="009D346C" w:rsidRPr="00711E68">
        <w:rPr>
          <w:szCs w:val="22"/>
          <w:lang w:val="sr-Latn-RS"/>
        </w:rPr>
        <w:t>a</w:t>
      </w:r>
      <w:r w:rsidR="0033280C" w:rsidRPr="00711E68">
        <w:rPr>
          <w:szCs w:val="22"/>
          <w:lang w:val="sr-Latn-RS"/>
        </w:rPr>
        <w:t xml:space="preserve"> je zahva</w:t>
      </w:r>
      <w:r w:rsidR="009D346C" w:rsidRPr="00711E68">
        <w:rPr>
          <w:szCs w:val="22"/>
          <w:lang w:val="sr-Latn-RS"/>
        </w:rPr>
        <w:t>tala</w:t>
      </w:r>
      <w:r w:rsidR="0033280C" w:rsidRPr="00711E68">
        <w:rPr>
          <w:szCs w:val="22"/>
          <w:lang w:val="sr-Latn-RS"/>
        </w:rPr>
        <w:t xml:space="preserve"> ≥ 10% površine t</w:t>
      </w:r>
      <w:r w:rsidR="00881418" w:rsidRPr="00711E68">
        <w:rPr>
          <w:szCs w:val="22"/>
          <w:lang w:val="sr-Latn-RS"/>
        </w:rPr>
        <w:t>ij</w:t>
      </w:r>
      <w:r w:rsidR="0033280C" w:rsidRPr="00711E68">
        <w:rPr>
          <w:szCs w:val="22"/>
          <w:lang w:val="sr-Latn-RS"/>
        </w:rPr>
        <w:t>ela</w:t>
      </w:r>
      <w:r w:rsidR="00700905" w:rsidRPr="00711E68">
        <w:rPr>
          <w:szCs w:val="22"/>
          <w:lang w:val="sr-Latn-RS"/>
        </w:rPr>
        <w:t xml:space="preserve"> (engl. </w:t>
      </w:r>
      <w:r w:rsidR="00700905" w:rsidRPr="00711E68">
        <w:rPr>
          <w:i/>
          <w:szCs w:val="22"/>
          <w:lang w:val="sr-Latn-RS"/>
        </w:rPr>
        <w:t>Body Surface Area</w:t>
      </w:r>
      <w:r w:rsidR="00700905" w:rsidRPr="00711E68">
        <w:rPr>
          <w:szCs w:val="22"/>
          <w:lang w:val="sr-Latn-RS"/>
        </w:rPr>
        <w:t>, BSA)</w:t>
      </w:r>
      <w:r w:rsidR="0033280C" w:rsidRPr="00711E68">
        <w:rPr>
          <w:szCs w:val="22"/>
          <w:lang w:val="sr-Latn-RS"/>
        </w:rPr>
        <w:t>,</w:t>
      </w:r>
      <w:r w:rsidR="009D346C" w:rsidRPr="00711E68">
        <w:rPr>
          <w:szCs w:val="22"/>
        </w:rPr>
        <w:t xml:space="preserve"> rezultat prema statičnoj opštoj </w:t>
      </w:r>
      <w:r w:rsidR="000A4B13" w:rsidRPr="00711E68">
        <w:rPr>
          <w:szCs w:val="22"/>
        </w:rPr>
        <w:t>pr</w:t>
      </w:r>
      <w:r w:rsidR="009D346C" w:rsidRPr="00711E68">
        <w:rPr>
          <w:szCs w:val="22"/>
        </w:rPr>
        <w:t xml:space="preserve">ocjeni </w:t>
      </w:r>
      <w:r w:rsidR="000A4B13" w:rsidRPr="00711E68">
        <w:rPr>
          <w:szCs w:val="22"/>
        </w:rPr>
        <w:t>ljekara</w:t>
      </w:r>
      <w:r w:rsidR="0033280C" w:rsidRPr="00711E68">
        <w:rPr>
          <w:szCs w:val="22"/>
          <w:lang w:val="sr-Latn-RS"/>
        </w:rPr>
        <w:t xml:space="preserve"> (engl. </w:t>
      </w:r>
      <w:r w:rsidR="0041670C" w:rsidRPr="00711E68">
        <w:rPr>
          <w:i/>
          <w:szCs w:val="22"/>
          <w:lang w:val="sr-Latn-RS"/>
        </w:rPr>
        <w:t>static</w:t>
      </w:r>
      <w:r w:rsidR="0041670C" w:rsidRPr="00711E68">
        <w:rPr>
          <w:szCs w:val="22"/>
          <w:lang w:val="sr-Latn-RS"/>
        </w:rPr>
        <w:t xml:space="preserve"> </w:t>
      </w:r>
      <w:r w:rsidR="0033280C" w:rsidRPr="00711E68">
        <w:rPr>
          <w:i/>
          <w:szCs w:val="22"/>
          <w:lang w:val="sr-Latn-RS"/>
        </w:rPr>
        <w:t>Physician Global Assessment</w:t>
      </w:r>
      <w:r w:rsidR="000A4B13" w:rsidRPr="00711E68">
        <w:rPr>
          <w:i/>
          <w:szCs w:val="22"/>
          <w:lang w:val="sr-Latn-RS"/>
        </w:rPr>
        <w:t>,</w:t>
      </w:r>
      <w:r w:rsidR="000A4B13" w:rsidRPr="00711E68">
        <w:rPr>
          <w:szCs w:val="22"/>
          <w:lang w:val="sr-Latn-RS"/>
        </w:rPr>
        <w:t xml:space="preserve"> sPGA</w:t>
      </w:r>
      <w:r w:rsidR="0033280C" w:rsidRPr="00711E68">
        <w:rPr>
          <w:szCs w:val="22"/>
          <w:lang w:val="sr-Latn-RS"/>
        </w:rPr>
        <w:t>) ≥3 pri sveukupnoj proc</w:t>
      </w:r>
      <w:r w:rsidR="00881418" w:rsidRPr="00711E68">
        <w:rPr>
          <w:szCs w:val="22"/>
          <w:lang w:val="sr-Latn-RS"/>
        </w:rPr>
        <w:t>j</w:t>
      </w:r>
      <w:r w:rsidR="0033280C" w:rsidRPr="00711E68">
        <w:rPr>
          <w:szCs w:val="22"/>
          <w:lang w:val="sr-Latn-RS"/>
        </w:rPr>
        <w:t>eni (debljina/otvrdnuće</w:t>
      </w:r>
      <w:r w:rsidR="000A4B13" w:rsidRPr="00711E68">
        <w:rPr>
          <w:szCs w:val="22"/>
          <w:lang w:val="sr-Latn-RS"/>
        </w:rPr>
        <w:t xml:space="preserve"> plaka</w:t>
      </w:r>
      <w:r w:rsidR="0033280C" w:rsidRPr="00711E68">
        <w:rPr>
          <w:szCs w:val="22"/>
          <w:lang w:val="sr-Latn-RS"/>
        </w:rPr>
        <w:t>, eritem i stvaranje ljuspi)</w:t>
      </w:r>
      <w:r w:rsidR="0041670C" w:rsidRPr="00711E68">
        <w:rPr>
          <w:szCs w:val="22"/>
          <w:lang w:val="sr-Latn-RS"/>
        </w:rPr>
        <w:t xml:space="preserve"> psorijaze na skali ozbiljnosti od 0 do 4,</w:t>
      </w:r>
      <w:r w:rsidR="0033280C" w:rsidRPr="00711E68">
        <w:rPr>
          <w:szCs w:val="22"/>
          <w:lang w:val="sr-Latn-RS"/>
        </w:rPr>
        <w:t xml:space="preserve"> rezultat prema l</w:t>
      </w:r>
      <w:r w:rsidR="000A4B13" w:rsidRPr="00711E68">
        <w:rPr>
          <w:szCs w:val="22"/>
          <w:lang w:val="sr-Latn-RS"/>
        </w:rPr>
        <w:t>j</w:t>
      </w:r>
      <w:r w:rsidR="0033280C" w:rsidRPr="00711E68">
        <w:rPr>
          <w:szCs w:val="22"/>
          <w:lang w:val="sr-Latn-RS"/>
        </w:rPr>
        <w:t>estvici za oc</w:t>
      </w:r>
      <w:r w:rsidR="00881418" w:rsidRPr="00711E68">
        <w:rPr>
          <w:szCs w:val="22"/>
          <w:lang w:val="sr-Latn-RS"/>
        </w:rPr>
        <w:t>j</w:t>
      </w:r>
      <w:r w:rsidR="0033280C" w:rsidRPr="00711E68">
        <w:rPr>
          <w:szCs w:val="22"/>
          <w:lang w:val="sr-Latn-RS"/>
        </w:rPr>
        <w:t xml:space="preserve">enjivanje zahvaćenosti kože i težine kliničke slike  </w:t>
      </w:r>
      <w:r w:rsidR="000A4B13" w:rsidRPr="00711E68">
        <w:rPr>
          <w:szCs w:val="22"/>
          <w:lang w:val="sr-Latn-RS"/>
        </w:rPr>
        <w:t>(</w:t>
      </w:r>
      <w:r w:rsidR="0033280C" w:rsidRPr="00711E68">
        <w:rPr>
          <w:szCs w:val="22"/>
          <w:lang w:val="sr-Latn-RS"/>
        </w:rPr>
        <w:t xml:space="preserve">engl. </w:t>
      </w:r>
      <w:r w:rsidR="0033280C" w:rsidRPr="00711E68">
        <w:rPr>
          <w:i/>
          <w:szCs w:val="22"/>
          <w:lang w:val="sr-Latn-RS"/>
        </w:rPr>
        <w:t>Psoriasis Area and Severity Index</w:t>
      </w:r>
      <w:r w:rsidR="000A4B13" w:rsidRPr="00711E68">
        <w:rPr>
          <w:szCs w:val="22"/>
          <w:lang w:val="sr-Latn-RS"/>
        </w:rPr>
        <w:t xml:space="preserve">, </w:t>
      </w:r>
      <w:r w:rsidR="0033280C" w:rsidRPr="00711E68">
        <w:rPr>
          <w:szCs w:val="22"/>
          <w:lang w:val="sr-Latn-RS"/>
        </w:rPr>
        <w:t>PASI) ≥ 12</w:t>
      </w:r>
      <w:r w:rsidR="0041670C" w:rsidRPr="00711E68">
        <w:rPr>
          <w:szCs w:val="22"/>
          <w:lang w:val="sr-Latn-RS"/>
        </w:rPr>
        <w:t>,</w:t>
      </w:r>
      <w:r w:rsidR="0033280C" w:rsidRPr="00711E68">
        <w:rPr>
          <w:szCs w:val="22"/>
          <w:lang w:val="sr-Latn-RS"/>
        </w:rPr>
        <w:t xml:space="preserve"> </w:t>
      </w:r>
      <w:r w:rsidR="00463802" w:rsidRPr="00711E68">
        <w:rPr>
          <w:szCs w:val="22"/>
          <w:lang w:val="sr-Latn-RS"/>
        </w:rPr>
        <w:t xml:space="preserve">i </w:t>
      </w:r>
      <w:r w:rsidR="0033280C" w:rsidRPr="00711E68">
        <w:rPr>
          <w:szCs w:val="22"/>
          <w:lang w:val="sr-Latn-RS"/>
        </w:rPr>
        <w:t>koji su bili kandidati za sistemsku terapiju ili fototerapiju</w:t>
      </w:r>
      <w:r w:rsidR="0041670C" w:rsidRPr="00711E68">
        <w:rPr>
          <w:szCs w:val="22"/>
          <w:lang w:val="sr-Latn-RS"/>
        </w:rPr>
        <w:t>.</w:t>
      </w:r>
    </w:p>
    <w:p w14:paraId="11AAA2F8" w14:textId="5A3ABBC4" w:rsidR="0041670C" w:rsidRPr="00711E68" w:rsidRDefault="0041670C" w:rsidP="00711E68">
      <w:pPr>
        <w:rPr>
          <w:szCs w:val="22"/>
          <w:lang w:val="sr-Latn-RS"/>
        </w:rPr>
      </w:pPr>
    </w:p>
    <w:p w14:paraId="1A422679" w14:textId="41EDF940" w:rsidR="0041670C" w:rsidRPr="00711E68" w:rsidRDefault="0041670C" w:rsidP="00711E68">
      <w:pPr>
        <w:rPr>
          <w:szCs w:val="22"/>
          <w:lang w:val="sr-Latn-RS"/>
        </w:rPr>
      </w:pPr>
      <w:r w:rsidRPr="00711E68">
        <w:rPr>
          <w:szCs w:val="22"/>
          <w:lang w:val="sr-Latn-RS"/>
        </w:rPr>
        <w:t>Sveukupno</w:t>
      </w:r>
      <w:r w:rsidR="0040219A" w:rsidRPr="00711E68">
        <w:rPr>
          <w:szCs w:val="22"/>
          <w:lang w:val="sr-Latn-RS"/>
        </w:rPr>
        <w:t xml:space="preserve"> je me</w:t>
      </w:r>
      <w:r w:rsidR="000A4B13" w:rsidRPr="00711E68">
        <w:rPr>
          <w:szCs w:val="22"/>
          <w:lang w:val="sr-Latn-RS"/>
        </w:rPr>
        <w:t>đ</w:t>
      </w:r>
      <w:r w:rsidR="0040219A" w:rsidRPr="00711E68">
        <w:rPr>
          <w:szCs w:val="22"/>
          <w:lang w:val="sr-Latn-RS"/>
        </w:rPr>
        <w:t>u</w:t>
      </w:r>
      <w:r w:rsidRPr="00711E68">
        <w:rPr>
          <w:szCs w:val="22"/>
          <w:lang w:val="sr-Latn-RS"/>
        </w:rPr>
        <w:t xml:space="preserve"> ispitanici</w:t>
      </w:r>
      <w:r w:rsidR="0040219A" w:rsidRPr="00711E68">
        <w:rPr>
          <w:szCs w:val="22"/>
          <w:lang w:val="sr-Latn-RS"/>
        </w:rPr>
        <w:t>ma</w:t>
      </w:r>
      <w:r w:rsidRPr="00711E68">
        <w:rPr>
          <w:szCs w:val="22"/>
          <w:lang w:val="sr-Latn-RS"/>
        </w:rPr>
        <w:t xml:space="preserve"> medijan p</w:t>
      </w:r>
      <w:r w:rsidR="00463802" w:rsidRPr="00711E68">
        <w:rPr>
          <w:szCs w:val="22"/>
          <w:lang w:val="sr-Latn-RS"/>
        </w:rPr>
        <w:t>očetnog</w:t>
      </w:r>
      <w:r w:rsidRPr="00711E68">
        <w:rPr>
          <w:szCs w:val="22"/>
          <w:lang w:val="sr-Latn-RS"/>
        </w:rPr>
        <w:t xml:space="preserve"> PASI </w:t>
      </w:r>
      <w:r w:rsidR="0040219A" w:rsidRPr="00711E68">
        <w:rPr>
          <w:szCs w:val="22"/>
          <w:lang w:val="sr-Latn-RS"/>
        </w:rPr>
        <w:t>rezultata iznosio</w:t>
      </w:r>
      <w:r w:rsidRPr="00711E68">
        <w:rPr>
          <w:szCs w:val="22"/>
          <w:lang w:val="sr-Latn-RS"/>
        </w:rPr>
        <w:t xml:space="preserve"> 17,8</w:t>
      </w:r>
      <w:r w:rsidR="005B0712" w:rsidRPr="00711E68">
        <w:rPr>
          <w:szCs w:val="22"/>
          <w:lang w:val="sr-Latn-RS"/>
        </w:rPr>
        <w:t xml:space="preserve"> bodova,</w:t>
      </w:r>
      <w:r w:rsidRPr="00711E68">
        <w:rPr>
          <w:szCs w:val="22"/>
          <w:lang w:val="sr-Latn-RS"/>
        </w:rPr>
        <w:t xml:space="preserve"> medijan</w:t>
      </w:r>
      <w:r w:rsidR="005B0712" w:rsidRPr="00711E68">
        <w:rPr>
          <w:szCs w:val="22"/>
          <w:lang w:val="sr-Latn-RS"/>
        </w:rPr>
        <w:t xml:space="preserve"> zahvaćenosti tjelesne površine</w:t>
      </w:r>
      <w:r w:rsidRPr="00711E68">
        <w:rPr>
          <w:szCs w:val="22"/>
          <w:lang w:val="sr-Latn-RS"/>
        </w:rPr>
        <w:t xml:space="preserve"> 20,0% i medijan p</w:t>
      </w:r>
      <w:r w:rsidR="008C609A" w:rsidRPr="00711E68">
        <w:rPr>
          <w:szCs w:val="22"/>
          <w:lang w:val="sr-Latn-RS"/>
        </w:rPr>
        <w:t>očetnog</w:t>
      </w:r>
      <w:r w:rsidRPr="00711E68">
        <w:rPr>
          <w:szCs w:val="22"/>
          <w:lang w:val="sr-Latn-RS"/>
        </w:rPr>
        <w:t xml:space="preserve"> </w:t>
      </w:r>
      <w:r w:rsidR="002009A9" w:rsidRPr="00711E68">
        <w:rPr>
          <w:szCs w:val="22"/>
          <w:lang w:val="sr-Latn-RS"/>
        </w:rPr>
        <w:t>rezultata</w:t>
      </w:r>
      <w:r w:rsidR="001D2C0F" w:rsidRPr="00711E68">
        <w:rPr>
          <w:szCs w:val="22"/>
          <w:lang w:val="sr-Latn-RS"/>
        </w:rPr>
        <w:t xml:space="preserve"> </w:t>
      </w:r>
      <w:r w:rsidRPr="00711E68">
        <w:rPr>
          <w:szCs w:val="22"/>
          <w:lang w:val="sr-Latn-RS"/>
        </w:rPr>
        <w:t>DLQI</w:t>
      </w:r>
      <w:r w:rsidR="001D2C0F" w:rsidRPr="00711E68">
        <w:rPr>
          <w:szCs w:val="22"/>
          <w:lang w:val="sr-Latn-RS"/>
        </w:rPr>
        <w:t xml:space="preserve"> upitnika</w:t>
      </w:r>
      <w:r w:rsidR="00700905" w:rsidRPr="00711E68">
        <w:rPr>
          <w:szCs w:val="22"/>
          <w:lang w:val="sr-Latn-RS"/>
        </w:rPr>
        <w:t xml:space="preserve"> </w:t>
      </w:r>
      <w:r w:rsidRPr="00711E68">
        <w:rPr>
          <w:szCs w:val="22"/>
          <w:lang w:val="sr-Latn-RS"/>
        </w:rPr>
        <w:t xml:space="preserve">(engl. </w:t>
      </w:r>
      <w:r w:rsidRPr="00711E68">
        <w:rPr>
          <w:i/>
          <w:szCs w:val="22"/>
          <w:lang w:val="sr-Latn-RS"/>
        </w:rPr>
        <w:t>Dermatology Life Quality Index</w:t>
      </w:r>
      <w:r w:rsidRPr="00711E68">
        <w:rPr>
          <w:szCs w:val="22"/>
          <w:lang w:val="sr-Latn-RS"/>
        </w:rPr>
        <w:t>) 13,0. P</w:t>
      </w:r>
      <w:r w:rsidR="00463802" w:rsidRPr="00711E68">
        <w:rPr>
          <w:szCs w:val="22"/>
          <w:lang w:val="sr-Latn-RS"/>
        </w:rPr>
        <w:t>očetni</w:t>
      </w:r>
      <w:r w:rsidRPr="00711E68">
        <w:rPr>
          <w:szCs w:val="22"/>
          <w:lang w:val="sr-Latn-RS"/>
        </w:rPr>
        <w:t xml:space="preserve"> sPGA </w:t>
      </w:r>
      <w:r w:rsidR="002009A9" w:rsidRPr="00711E68">
        <w:rPr>
          <w:szCs w:val="22"/>
          <w:lang w:val="sr-Latn-RS"/>
        </w:rPr>
        <w:t>rezultat</w:t>
      </w:r>
      <w:r w:rsidRPr="00711E68">
        <w:rPr>
          <w:szCs w:val="22"/>
          <w:lang w:val="sr-Latn-RS"/>
        </w:rPr>
        <w:t xml:space="preserve"> je </w:t>
      </w:r>
      <w:r w:rsidR="000A4B13" w:rsidRPr="00711E68">
        <w:rPr>
          <w:szCs w:val="22"/>
          <w:lang w:val="sr-Latn-RS"/>
        </w:rPr>
        <w:t xml:space="preserve">ukazivao na </w:t>
      </w:r>
      <w:r w:rsidRPr="00711E68">
        <w:rPr>
          <w:szCs w:val="22"/>
          <w:lang w:val="sr-Latn-RS"/>
        </w:rPr>
        <w:t>veoma te</w:t>
      </w:r>
      <w:r w:rsidR="000A4B13" w:rsidRPr="00711E68">
        <w:rPr>
          <w:szCs w:val="22"/>
          <w:lang w:val="sr-Latn-RS"/>
        </w:rPr>
        <w:t>šku bolest</w:t>
      </w:r>
      <w:r w:rsidRPr="00711E68">
        <w:rPr>
          <w:szCs w:val="22"/>
          <w:lang w:val="sr-Latn-RS"/>
        </w:rPr>
        <w:t xml:space="preserve"> kod 19,3% ispitanika</w:t>
      </w:r>
      <w:r w:rsidR="00A00FB3" w:rsidRPr="00711E68">
        <w:rPr>
          <w:szCs w:val="22"/>
          <w:lang w:val="sr-Latn-RS"/>
        </w:rPr>
        <w:t>, a</w:t>
      </w:r>
      <w:r w:rsidRPr="00711E68">
        <w:rPr>
          <w:szCs w:val="22"/>
          <w:lang w:val="sr-Latn-RS"/>
        </w:rPr>
        <w:t xml:space="preserve"> um</w:t>
      </w:r>
      <w:r w:rsidR="00881418" w:rsidRPr="00711E68">
        <w:rPr>
          <w:szCs w:val="22"/>
          <w:lang w:val="sr-Latn-RS"/>
        </w:rPr>
        <w:t>j</w:t>
      </w:r>
      <w:r w:rsidRPr="00711E68">
        <w:rPr>
          <w:szCs w:val="22"/>
          <w:lang w:val="sr-Latn-RS"/>
        </w:rPr>
        <w:t>eren</w:t>
      </w:r>
      <w:r w:rsidR="00A00FB3" w:rsidRPr="00711E68">
        <w:rPr>
          <w:szCs w:val="22"/>
          <w:lang w:val="sr-Latn-RS"/>
        </w:rPr>
        <w:t>u bolest</w:t>
      </w:r>
      <w:r w:rsidRPr="00711E68">
        <w:rPr>
          <w:szCs w:val="22"/>
          <w:lang w:val="sr-Latn-RS"/>
        </w:rPr>
        <w:t xml:space="preserve"> kod 80,7% ispitanika. Ukupno 9,8% ispitanika u studiji je </w:t>
      </w:r>
      <w:r w:rsidR="00700905" w:rsidRPr="00711E68">
        <w:rPr>
          <w:szCs w:val="22"/>
          <w:lang w:val="sr-Latn-RS"/>
        </w:rPr>
        <w:t xml:space="preserve">u </w:t>
      </w:r>
      <w:r w:rsidR="001D2C0F" w:rsidRPr="00711E68">
        <w:rPr>
          <w:szCs w:val="22"/>
          <w:lang w:val="sr-Latn-RS"/>
        </w:rPr>
        <w:t>istoriji bolesti</w:t>
      </w:r>
      <w:r w:rsidR="00700905" w:rsidRPr="00711E68">
        <w:rPr>
          <w:szCs w:val="22"/>
          <w:lang w:val="sr-Latn-RS"/>
        </w:rPr>
        <w:t xml:space="preserve"> </w:t>
      </w:r>
      <w:r w:rsidRPr="00711E68">
        <w:rPr>
          <w:szCs w:val="22"/>
          <w:lang w:val="sr-Latn-RS"/>
        </w:rPr>
        <w:t xml:space="preserve">imalo dijagnostifikovan psorijazni artritis. </w:t>
      </w:r>
    </w:p>
    <w:p w14:paraId="6AEAB1A6" w14:textId="48AE1C59" w:rsidR="0041670C" w:rsidRPr="00711E68" w:rsidRDefault="0041670C" w:rsidP="00711E68">
      <w:pPr>
        <w:rPr>
          <w:szCs w:val="22"/>
          <w:lang w:val="sr-Latn-RS"/>
        </w:rPr>
      </w:pPr>
    </w:p>
    <w:p w14:paraId="5A8263AA" w14:textId="21D724B1" w:rsidR="0041670C" w:rsidRPr="00711E68" w:rsidRDefault="005B4794" w:rsidP="00711E68">
      <w:pPr>
        <w:rPr>
          <w:szCs w:val="22"/>
          <w:lang w:val="sr-Latn-RS"/>
        </w:rPr>
      </w:pPr>
      <w:r w:rsidRPr="00711E68">
        <w:rPr>
          <w:szCs w:val="22"/>
          <w:lang w:val="sr-Latn-RS"/>
        </w:rPr>
        <w:t>Prema podacima iz svih</w:t>
      </w:r>
      <w:r w:rsidR="005250F8" w:rsidRPr="00711E68">
        <w:rPr>
          <w:szCs w:val="22"/>
          <w:lang w:val="sr-Latn-RS"/>
        </w:rPr>
        <w:t xml:space="preserve"> ispitivanja, 3</w:t>
      </w:r>
      <w:r w:rsidR="0041670C" w:rsidRPr="00711E68">
        <w:rPr>
          <w:szCs w:val="22"/>
          <w:lang w:val="sr-Latn-RS"/>
        </w:rPr>
        <w:t xml:space="preserve">0,9% ispitanika prethodno nije </w:t>
      </w:r>
      <w:r w:rsidR="001D2C0F" w:rsidRPr="00711E68">
        <w:rPr>
          <w:szCs w:val="22"/>
          <w:lang w:val="sr-Latn-RS"/>
        </w:rPr>
        <w:t>primalo</w:t>
      </w:r>
      <w:r w:rsidR="0041670C" w:rsidRPr="00711E68">
        <w:rPr>
          <w:szCs w:val="22"/>
          <w:lang w:val="sr-Latn-RS"/>
        </w:rPr>
        <w:t xml:space="preserve"> </w:t>
      </w:r>
      <w:r w:rsidR="005250F8" w:rsidRPr="00711E68">
        <w:rPr>
          <w:szCs w:val="22"/>
          <w:lang w:val="sr-Latn-RS"/>
        </w:rPr>
        <w:t xml:space="preserve">nikakvu </w:t>
      </w:r>
      <w:r w:rsidR="0041670C" w:rsidRPr="00711E68">
        <w:rPr>
          <w:szCs w:val="22"/>
          <w:lang w:val="sr-Latn-RS"/>
        </w:rPr>
        <w:t>sistemsk</w:t>
      </w:r>
      <w:r w:rsidR="001D2C0F" w:rsidRPr="00711E68">
        <w:rPr>
          <w:szCs w:val="22"/>
          <w:lang w:val="sr-Latn-RS"/>
        </w:rPr>
        <w:t>u</w:t>
      </w:r>
      <w:r w:rsidR="0041670C" w:rsidRPr="00711E68">
        <w:rPr>
          <w:szCs w:val="22"/>
          <w:lang w:val="sr-Latn-RS"/>
        </w:rPr>
        <w:t xml:space="preserve"> terapij</w:t>
      </w:r>
      <w:r w:rsidR="001D2C0F" w:rsidRPr="00711E68">
        <w:rPr>
          <w:szCs w:val="22"/>
          <w:lang w:val="sr-Latn-RS"/>
        </w:rPr>
        <w:t>u</w:t>
      </w:r>
      <w:r w:rsidR="0041670C" w:rsidRPr="00711E68">
        <w:rPr>
          <w:szCs w:val="22"/>
          <w:lang w:val="sr-Latn-RS"/>
        </w:rPr>
        <w:t xml:space="preserve"> (uključujući nebiološku i biološku terapiju), 38,1% je prethodno primalo fototerapiju ili fotohemoterapiju, 48,3% je prethodno primalo nebiološku sistemsku terapiju, 42,1% je prethodno primalo biološku terapiju i 23,7% je primalo najmanje jedan anti-TNF</w:t>
      </w:r>
      <w:r w:rsidR="001D2C0F" w:rsidRPr="00711E68">
        <w:rPr>
          <w:szCs w:val="22"/>
          <w:lang w:val="sr-Latn-RS"/>
        </w:rPr>
        <w:t>α</w:t>
      </w:r>
      <w:r w:rsidR="0041670C" w:rsidRPr="00711E68">
        <w:rPr>
          <w:szCs w:val="22"/>
          <w:lang w:val="sr-Latn-RS"/>
        </w:rPr>
        <w:t xml:space="preserve"> agens za </w:t>
      </w:r>
      <w:r w:rsidR="00137EAE" w:rsidRPr="00711E68">
        <w:rPr>
          <w:szCs w:val="22"/>
          <w:lang w:val="sr-Latn-RS"/>
        </w:rPr>
        <w:t>l</w:t>
      </w:r>
      <w:r w:rsidR="00881418" w:rsidRPr="00711E68">
        <w:rPr>
          <w:szCs w:val="22"/>
          <w:lang w:val="sr-Latn-RS"/>
        </w:rPr>
        <w:t>ij</w:t>
      </w:r>
      <w:r w:rsidR="00137EAE" w:rsidRPr="00711E68">
        <w:rPr>
          <w:szCs w:val="22"/>
          <w:lang w:val="sr-Latn-RS"/>
        </w:rPr>
        <w:t>ečenje</w:t>
      </w:r>
      <w:r w:rsidR="0041670C" w:rsidRPr="00711E68">
        <w:rPr>
          <w:szCs w:val="22"/>
          <w:lang w:val="sr-Latn-RS"/>
        </w:rPr>
        <w:t xml:space="preserve"> psorijaze.</w:t>
      </w:r>
    </w:p>
    <w:p w14:paraId="0ADB1C77" w14:textId="12DFC8B7" w:rsidR="0041670C" w:rsidRPr="00711E68" w:rsidRDefault="0041670C" w:rsidP="00711E68">
      <w:pPr>
        <w:rPr>
          <w:szCs w:val="22"/>
          <w:lang w:val="sr-Latn-RS"/>
        </w:rPr>
      </w:pPr>
    </w:p>
    <w:p w14:paraId="2F5E80CC" w14:textId="76F2F477" w:rsidR="0041670C" w:rsidRPr="00711E68" w:rsidRDefault="0041670C" w:rsidP="00711E68">
      <w:pPr>
        <w:rPr>
          <w:szCs w:val="22"/>
          <w:u w:val="single"/>
          <w:lang w:val="sr-Latn-RS"/>
        </w:rPr>
      </w:pPr>
      <w:r w:rsidRPr="00711E68">
        <w:rPr>
          <w:szCs w:val="22"/>
          <w:u w:val="single"/>
          <w:lang w:val="sr-Latn-RS"/>
        </w:rPr>
        <w:t>ULTIMMA-1 i ULTIMMA-2</w:t>
      </w:r>
    </w:p>
    <w:p w14:paraId="2E23D2E6" w14:textId="69D8F497" w:rsidR="0041670C" w:rsidRPr="00711E68" w:rsidRDefault="0041670C" w:rsidP="00711E68">
      <w:pPr>
        <w:rPr>
          <w:szCs w:val="22"/>
          <w:lang w:val="sr-Latn-RS"/>
        </w:rPr>
      </w:pPr>
    </w:p>
    <w:p w14:paraId="376A4BFD" w14:textId="7E3A32A4" w:rsidR="0041670C" w:rsidRPr="00711E68" w:rsidRDefault="0041670C" w:rsidP="00711E68">
      <w:pPr>
        <w:rPr>
          <w:rFonts w:eastAsia="SimSun"/>
          <w:szCs w:val="22"/>
          <w:lang w:val="sr-Latn-RS"/>
        </w:rPr>
      </w:pPr>
      <w:r w:rsidRPr="00711E68">
        <w:rPr>
          <w:szCs w:val="22"/>
          <w:lang w:val="sr-Latn-RS"/>
        </w:rPr>
        <w:t xml:space="preserve">U </w:t>
      </w:r>
      <w:r w:rsidR="00C372B9" w:rsidRPr="00711E68">
        <w:rPr>
          <w:szCs w:val="22"/>
          <w:lang w:val="sr-Latn-RS"/>
        </w:rPr>
        <w:t xml:space="preserve">ispitivanjima </w:t>
      </w:r>
      <w:r w:rsidRPr="00711E68">
        <w:rPr>
          <w:szCs w:val="22"/>
          <w:lang w:val="sr-Latn-RS"/>
        </w:rPr>
        <w:t xml:space="preserve">ULTIMMA-1 i ULTIMMA-2 bilo </w:t>
      </w:r>
      <w:r w:rsidR="00C372B9" w:rsidRPr="00711E68">
        <w:rPr>
          <w:szCs w:val="22"/>
          <w:lang w:val="sr-Latn-RS"/>
        </w:rPr>
        <w:t xml:space="preserve">je </w:t>
      </w:r>
      <w:r w:rsidRPr="00711E68">
        <w:rPr>
          <w:szCs w:val="22"/>
          <w:lang w:val="sr-Latn-RS"/>
        </w:rPr>
        <w:t xml:space="preserve">uključeno 997 ispitanika (598 </w:t>
      </w:r>
      <w:r w:rsidR="00C372B9" w:rsidRPr="00711E68">
        <w:rPr>
          <w:szCs w:val="22"/>
          <w:lang w:val="sr-Latn-RS"/>
        </w:rPr>
        <w:t>njih</w:t>
      </w:r>
      <w:r w:rsidR="001C3DA1" w:rsidRPr="00711E68">
        <w:rPr>
          <w:szCs w:val="22"/>
          <w:lang w:val="sr-Latn-RS"/>
        </w:rPr>
        <w:t xml:space="preserve"> </w:t>
      </w:r>
      <w:r w:rsidRPr="00711E68">
        <w:rPr>
          <w:szCs w:val="22"/>
          <w:lang w:val="sr-Latn-RS"/>
        </w:rPr>
        <w:t xml:space="preserve">bilo </w:t>
      </w:r>
      <w:r w:rsidR="001C3DA1" w:rsidRPr="00711E68">
        <w:rPr>
          <w:szCs w:val="22"/>
          <w:lang w:val="sr-Latn-RS"/>
        </w:rPr>
        <w:t xml:space="preserve">je </w:t>
      </w:r>
      <w:r w:rsidRPr="00711E68">
        <w:rPr>
          <w:szCs w:val="22"/>
          <w:lang w:val="sr-Latn-RS"/>
        </w:rPr>
        <w:t xml:space="preserve">randomizovano </w:t>
      </w:r>
      <w:r w:rsidR="001C3DA1" w:rsidRPr="00711E68">
        <w:rPr>
          <w:szCs w:val="22"/>
          <w:lang w:val="sr-Latn-RS"/>
        </w:rPr>
        <w:t>z</w:t>
      </w:r>
      <w:r w:rsidRPr="00711E68">
        <w:rPr>
          <w:szCs w:val="22"/>
          <w:lang w:val="sr-Latn-RS"/>
        </w:rPr>
        <w:t xml:space="preserve">a </w:t>
      </w:r>
      <w:r w:rsidR="001C3DA1" w:rsidRPr="00711E68">
        <w:rPr>
          <w:szCs w:val="22"/>
          <w:lang w:val="sr-Latn-RS"/>
        </w:rPr>
        <w:t xml:space="preserve">liječenje </w:t>
      </w:r>
      <w:r w:rsidRPr="00711E68">
        <w:rPr>
          <w:szCs w:val="22"/>
          <w:lang w:val="sr-Latn-RS"/>
        </w:rPr>
        <w:t>risankizumab</w:t>
      </w:r>
      <w:r w:rsidR="001C3DA1" w:rsidRPr="00711E68">
        <w:rPr>
          <w:szCs w:val="22"/>
          <w:lang w:val="sr-Latn-RS"/>
        </w:rPr>
        <w:t>om</w:t>
      </w:r>
      <w:r w:rsidRPr="00711E68">
        <w:rPr>
          <w:szCs w:val="22"/>
          <w:lang w:val="sr-Latn-RS"/>
        </w:rPr>
        <w:t xml:space="preserve"> </w:t>
      </w:r>
      <w:r w:rsidR="001D2C0F" w:rsidRPr="00711E68">
        <w:rPr>
          <w:szCs w:val="22"/>
          <w:lang w:val="sr-Latn-RS"/>
        </w:rPr>
        <w:t xml:space="preserve">u dozi od </w:t>
      </w:r>
      <w:r w:rsidRPr="00711E68">
        <w:rPr>
          <w:szCs w:val="22"/>
          <w:lang w:val="sr-Latn-RS"/>
        </w:rPr>
        <w:t xml:space="preserve">150 mg, 199 </w:t>
      </w:r>
      <w:r w:rsidR="001C3DA1" w:rsidRPr="00711E68">
        <w:rPr>
          <w:szCs w:val="22"/>
          <w:lang w:val="sr-Latn-RS"/>
        </w:rPr>
        <w:t>z</w:t>
      </w:r>
      <w:r w:rsidRPr="00711E68">
        <w:rPr>
          <w:szCs w:val="22"/>
          <w:lang w:val="sr-Latn-RS"/>
        </w:rPr>
        <w:t xml:space="preserve">a </w:t>
      </w:r>
      <w:r w:rsidR="001C3DA1" w:rsidRPr="00711E68">
        <w:rPr>
          <w:szCs w:val="22"/>
          <w:lang w:val="sr-Latn-RS"/>
        </w:rPr>
        <w:t xml:space="preserve">liječenje </w:t>
      </w:r>
      <w:r w:rsidRPr="00711E68">
        <w:rPr>
          <w:szCs w:val="22"/>
          <w:lang w:val="sr-Latn-RS"/>
        </w:rPr>
        <w:t>ustekinumab</w:t>
      </w:r>
      <w:r w:rsidR="00AB49E3" w:rsidRPr="00711E68">
        <w:rPr>
          <w:szCs w:val="22"/>
          <w:lang w:val="sr-Latn-RS"/>
        </w:rPr>
        <w:t>om</w:t>
      </w:r>
      <w:r w:rsidRPr="00711E68">
        <w:rPr>
          <w:szCs w:val="22"/>
          <w:lang w:val="sr-Latn-RS"/>
        </w:rPr>
        <w:t xml:space="preserve"> </w:t>
      </w:r>
      <w:r w:rsidR="001D2C0F" w:rsidRPr="00711E68">
        <w:rPr>
          <w:szCs w:val="22"/>
          <w:lang w:val="sr-Latn-RS"/>
        </w:rPr>
        <w:t xml:space="preserve">u dozi od </w:t>
      </w:r>
      <w:r w:rsidRPr="00711E68">
        <w:rPr>
          <w:szCs w:val="22"/>
          <w:lang w:val="sr-Latn-RS"/>
        </w:rPr>
        <w:t>45 mg ili 90 mg [</w:t>
      </w:r>
      <w:r w:rsidR="00AB49E3" w:rsidRPr="00711E68">
        <w:rPr>
          <w:szCs w:val="22"/>
          <w:lang w:val="sr-Latn-RS"/>
        </w:rPr>
        <w:t xml:space="preserve">zavisno od </w:t>
      </w:r>
      <w:r w:rsidR="00C70831" w:rsidRPr="00711E68">
        <w:rPr>
          <w:szCs w:val="22"/>
          <w:lang w:val="sr-Latn-RS"/>
        </w:rPr>
        <w:t xml:space="preserve">početne </w:t>
      </w:r>
      <w:r w:rsidRPr="00711E68">
        <w:rPr>
          <w:szCs w:val="22"/>
          <w:lang w:val="sr-Latn-RS"/>
        </w:rPr>
        <w:t>t</w:t>
      </w:r>
      <w:r w:rsidR="00881418" w:rsidRPr="00711E68">
        <w:rPr>
          <w:szCs w:val="22"/>
          <w:lang w:val="sr-Latn-RS"/>
        </w:rPr>
        <w:t>j</w:t>
      </w:r>
      <w:r w:rsidRPr="00711E68">
        <w:rPr>
          <w:szCs w:val="22"/>
          <w:lang w:val="sr-Latn-RS"/>
        </w:rPr>
        <w:t xml:space="preserve">elesne mase], i 200 </w:t>
      </w:r>
      <w:r w:rsidR="00C70831" w:rsidRPr="00711E68">
        <w:rPr>
          <w:szCs w:val="22"/>
          <w:lang w:val="sr-Latn-RS"/>
        </w:rPr>
        <w:t>z</w:t>
      </w:r>
      <w:r w:rsidRPr="00711E68">
        <w:rPr>
          <w:szCs w:val="22"/>
          <w:lang w:val="sr-Latn-RS"/>
        </w:rPr>
        <w:t xml:space="preserve">a </w:t>
      </w:r>
      <w:r w:rsidR="00C70831" w:rsidRPr="00711E68">
        <w:rPr>
          <w:szCs w:val="22"/>
          <w:lang w:val="sr-Latn-RS"/>
        </w:rPr>
        <w:t xml:space="preserve">primanje </w:t>
      </w:r>
      <w:r w:rsidRPr="00711E68">
        <w:rPr>
          <w:szCs w:val="22"/>
          <w:lang w:val="sr-Latn-RS"/>
        </w:rPr>
        <w:t>placeb</w:t>
      </w:r>
      <w:r w:rsidR="00A00FB3" w:rsidRPr="00711E68">
        <w:rPr>
          <w:szCs w:val="22"/>
          <w:lang w:val="sr-Latn-RS"/>
        </w:rPr>
        <w:t>a</w:t>
      </w:r>
      <w:r w:rsidRPr="00711E68">
        <w:rPr>
          <w:szCs w:val="22"/>
          <w:lang w:val="sr-Latn-RS"/>
        </w:rPr>
        <w:t xml:space="preserve">). Ispitanici su primali terapiju u </w:t>
      </w:r>
      <w:r w:rsidR="00A00FB3" w:rsidRPr="00711E68">
        <w:rPr>
          <w:szCs w:val="22"/>
          <w:lang w:val="sr-Latn-RS"/>
        </w:rPr>
        <w:t xml:space="preserve">0. </w:t>
      </w:r>
      <w:r w:rsidRPr="00711E68">
        <w:rPr>
          <w:szCs w:val="22"/>
          <w:lang w:val="sr-Latn-RS"/>
        </w:rPr>
        <w:t>ned</w:t>
      </w:r>
      <w:r w:rsidR="00A00FB3" w:rsidRPr="00711E68">
        <w:rPr>
          <w:szCs w:val="22"/>
          <w:lang w:val="sr-Latn-RS"/>
        </w:rPr>
        <w:t>j</w:t>
      </w:r>
      <w:r w:rsidRPr="00711E68">
        <w:rPr>
          <w:szCs w:val="22"/>
          <w:lang w:val="sr-Latn-RS"/>
        </w:rPr>
        <w:t xml:space="preserve">elji, </w:t>
      </w:r>
      <w:r w:rsidR="00A00FB3" w:rsidRPr="00711E68">
        <w:rPr>
          <w:szCs w:val="22"/>
          <w:lang w:val="sr-Latn-RS"/>
        </w:rPr>
        <w:t xml:space="preserve">4. </w:t>
      </w:r>
      <w:r w:rsidRPr="00711E68">
        <w:rPr>
          <w:szCs w:val="22"/>
          <w:lang w:val="sr-Latn-RS"/>
        </w:rPr>
        <w:t>ned</w:t>
      </w:r>
      <w:r w:rsidR="00A00FB3" w:rsidRPr="00711E68">
        <w:rPr>
          <w:szCs w:val="22"/>
          <w:lang w:val="sr-Latn-RS"/>
        </w:rPr>
        <w:t>j</w:t>
      </w:r>
      <w:r w:rsidRPr="00711E68">
        <w:rPr>
          <w:szCs w:val="22"/>
          <w:lang w:val="sr-Latn-RS"/>
        </w:rPr>
        <w:t>elji i nakon toga na svakih 12 ned</w:t>
      </w:r>
      <w:r w:rsidR="00A00FB3" w:rsidRPr="00711E68">
        <w:rPr>
          <w:szCs w:val="22"/>
          <w:lang w:val="sr-Latn-RS"/>
        </w:rPr>
        <w:t>j</w:t>
      </w:r>
      <w:r w:rsidRPr="00711E68">
        <w:rPr>
          <w:szCs w:val="22"/>
          <w:lang w:val="sr-Latn-RS"/>
        </w:rPr>
        <w:t>elja. Dv</w:t>
      </w:r>
      <w:r w:rsidR="00257E26" w:rsidRPr="00711E68">
        <w:rPr>
          <w:szCs w:val="22"/>
          <w:lang w:val="sr-Latn-RS"/>
        </w:rPr>
        <w:t>ije koprimarne mjere ishoda</w:t>
      </w:r>
      <w:r w:rsidRPr="00711E68">
        <w:rPr>
          <w:szCs w:val="22"/>
          <w:lang w:val="sr-Latn-RS"/>
        </w:rPr>
        <w:t xml:space="preserve"> u </w:t>
      </w:r>
      <w:r w:rsidR="00257E26" w:rsidRPr="00711E68">
        <w:rPr>
          <w:szCs w:val="22"/>
          <w:lang w:val="sr-Latn-RS"/>
        </w:rPr>
        <w:t xml:space="preserve">ispitivanjima </w:t>
      </w:r>
      <w:r w:rsidRPr="00711E68">
        <w:rPr>
          <w:rFonts w:eastAsia="SimSun"/>
          <w:szCs w:val="22"/>
          <w:lang w:val="sr-Latn-RS"/>
        </w:rPr>
        <w:t xml:space="preserve">ULTIMMA-1 i ULTIMMA-2 bile su </w:t>
      </w:r>
      <w:r w:rsidR="003C3468" w:rsidRPr="00711E68">
        <w:rPr>
          <w:rFonts w:eastAsia="SimSun"/>
          <w:szCs w:val="22"/>
          <w:lang w:val="sr-Latn-RS"/>
        </w:rPr>
        <w:t xml:space="preserve">udio </w:t>
      </w:r>
      <w:r w:rsidRPr="00711E68">
        <w:rPr>
          <w:rFonts w:eastAsia="SimSun"/>
          <w:szCs w:val="22"/>
          <w:lang w:val="sr-Latn-RS"/>
        </w:rPr>
        <w:t>ispitanika koji su postigli:</w:t>
      </w:r>
      <w:r w:rsidR="00532A54" w:rsidRPr="00711E68">
        <w:rPr>
          <w:szCs w:val="22"/>
        </w:rPr>
        <w:t xml:space="preserve"> 1) odgovor PASI 90 i 2) sPGA rezultat „čisto“ ili „gotovo čisto“ (sPGA 0 ili 1) u 16. ned</w:t>
      </w:r>
      <w:r w:rsidR="00A00FB3" w:rsidRPr="00711E68">
        <w:rPr>
          <w:szCs w:val="22"/>
        </w:rPr>
        <w:t>j</w:t>
      </w:r>
      <w:r w:rsidR="00532A54" w:rsidRPr="00711E68">
        <w:rPr>
          <w:szCs w:val="22"/>
        </w:rPr>
        <w:t>elji u odnosu na placebo. Rezultati za koprimarne i druge mjere ishoda prikazani su u Tab</w:t>
      </w:r>
      <w:r w:rsidR="00A00FB3" w:rsidRPr="00711E68">
        <w:rPr>
          <w:szCs w:val="22"/>
        </w:rPr>
        <w:t>el</w:t>
      </w:r>
      <w:r w:rsidR="00532A54" w:rsidRPr="00711E68">
        <w:rPr>
          <w:szCs w:val="22"/>
        </w:rPr>
        <w:t>i 2 i na Slici 1.</w:t>
      </w:r>
    </w:p>
    <w:p w14:paraId="36B872EE" w14:textId="5D1DE4DC" w:rsidR="000C4DA0" w:rsidRPr="00711E68" w:rsidRDefault="000C4DA0" w:rsidP="00711E68">
      <w:pPr>
        <w:rPr>
          <w:szCs w:val="22"/>
          <w:lang w:val="sr-Latn-RS"/>
        </w:rPr>
      </w:pPr>
    </w:p>
    <w:p w14:paraId="4529A4EB" w14:textId="77777777" w:rsidR="00711E68" w:rsidRDefault="00711E68" w:rsidP="00711E68">
      <w:pPr>
        <w:rPr>
          <w:b/>
          <w:szCs w:val="22"/>
          <w:lang w:val="sr-Latn-RS"/>
        </w:rPr>
      </w:pPr>
    </w:p>
    <w:p w14:paraId="02DDAE26" w14:textId="77777777" w:rsidR="00711E68" w:rsidRDefault="00711E68" w:rsidP="00711E68">
      <w:pPr>
        <w:rPr>
          <w:b/>
          <w:szCs w:val="22"/>
          <w:lang w:val="sr-Latn-RS"/>
        </w:rPr>
      </w:pPr>
    </w:p>
    <w:p w14:paraId="714C3FC3" w14:textId="77777777" w:rsidR="00711E68" w:rsidRDefault="00711E68" w:rsidP="00711E68">
      <w:pPr>
        <w:rPr>
          <w:b/>
          <w:szCs w:val="22"/>
          <w:lang w:val="sr-Latn-RS"/>
        </w:rPr>
      </w:pPr>
    </w:p>
    <w:p w14:paraId="66FF1290" w14:textId="77777777" w:rsidR="00711E68" w:rsidRDefault="00711E68" w:rsidP="00711E68">
      <w:pPr>
        <w:rPr>
          <w:b/>
          <w:szCs w:val="22"/>
          <w:lang w:val="sr-Latn-RS"/>
        </w:rPr>
      </w:pPr>
    </w:p>
    <w:p w14:paraId="2D4AC563" w14:textId="77777777" w:rsidR="00711E68" w:rsidRDefault="00711E68" w:rsidP="00711E68">
      <w:pPr>
        <w:rPr>
          <w:b/>
          <w:szCs w:val="22"/>
          <w:lang w:val="sr-Latn-RS"/>
        </w:rPr>
      </w:pPr>
    </w:p>
    <w:p w14:paraId="3089ABA5" w14:textId="77777777" w:rsidR="00711E68" w:rsidRDefault="00711E68" w:rsidP="00711E68">
      <w:pPr>
        <w:rPr>
          <w:b/>
          <w:szCs w:val="22"/>
          <w:lang w:val="sr-Latn-RS"/>
        </w:rPr>
      </w:pPr>
    </w:p>
    <w:p w14:paraId="5EE1A1F0" w14:textId="576BE4B5" w:rsidR="000C4DA0" w:rsidRDefault="000C4DA0" w:rsidP="00711E68">
      <w:pPr>
        <w:rPr>
          <w:b/>
          <w:szCs w:val="22"/>
          <w:lang w:val="sr-Latn-RS"/>
        </w:rPr>
      </w:pPr>
      <w:r w:rsidRPr="00711E68">
        <w:rPr>
          <w:b/>
          <w:szCs w:val="22"/>
          <w:lang w:val="sr-Latn-RS"/>
        </w:rPr>
        <w:lastRenderedPageBreak/>
        <w:t xml:space="preserve">Tabela 2: Rezultati efikasnosti i </w:t>
      </w:r>
      <w:r w:rsidR="001D2C0F" w:rsidRPr="00711E68">
        <w:rPr>
          <w:b/>
          <w:szCs w:val="22"/>
          <w:lang w:val="sr-Latn-RS"/>
        </w:rPr>
        <w:t>rezultat</w:t>
      </w:r>
      <w:r w:rsidR="00A00FB3" w:rsidRPr="00711E68">
        <w:rPr>
          <w:b/>
          <w:szCs w:val="22"/>
          <w:lang w:val="sr-Latn-RS"/>
        </w:rPr>
        <w:t>i</w:t>
      </w:r>
      <w:r w:rsidR="001D2C0F" w:rsidRPr="00711E68">
        <w:rPr>
          <w:b/>
          <w:szCs w:val="22"/>
          <w:lang w:val="sr-Latn-RS"/>
        </w:rPr>
        <w:t xml:space="preserve"> koji se odnose na </w:t>
      </w:r>
      <w:r w:rsidRPr="00711E68">
        <w:rPr>
          <w:b/>
          <w:szCs w:val="22"/>
          <w:lang w:val="sr-Latn-RS"/>
        </w:rPr>
        <w:t xml:space="preserve">kvalitet života kod odraslih pacijenata sa plak psorijazom u </w:t>
      </w:r>
      <w:r w:rsidR="00412DA6" w:rsidRPr="00711E68">
        <w:rPr>
          <w:b/>
          <w:szCs w:val="22"/>
          <w:lang w:val="sr-Latn-RS"/>
        </w:rPr>
        <w:t xml:space="preserve">ispitivanjima </w:t>
      </w:r>
      <w:r w:rsidRPr="00711E68">
        <w:rPr>
          <w:b/>
          <w:szCs w:val="22"/>
          <w:lang w:val="sr-Latn-RS"/>
        </w:rPr>
        <w:t xml:space="preserve">ULTIMMA-1 i ULTIMMA-2 </w:t>
      </w:r>
    </w:p>
    <w:p w14:paraId="6131E066" w14:textId="77777777" w:rsidR="00865DFA" w:rsidRPr="00711E68" w:rsidRDefault="00865DFA" w:rsidP="00711E68">
      <w:pPr>
        <w:rPr>
          <w:b/>
          <w:szCs w:val="22"/>
          <w:lang w:val="sr-Latn-RS"/>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530"/>
        <w:gridCol w:w="1418"/>
        <w:gridCol w:w="1057"/>
        <w:gridCol w:w="1710"/>
        <w:gridCol w:w="1440"/>
        <w:gridCol w:w="1440"/>
      </w:tblGrid>
      <w:tr w:rsidR="000C4DA0" w:rsidRPr="00711E68" w14:paraId="60824011" w14:textId="77777777" w:rsidTr="00F120A0">
        <w:tc>
          <w:tcPr>
            <w:tcW w:w="1485" w:type="dxa"/>
            <w:shd w:val="clear" w:color="auto" w:fill="auto"/>
          </w:tcPr>
          <w:p w14:paraId="56712F6F" w14:textId="77777777" w:rsidR="000C4DA0" w:rsidRPr="00711E68" w:rsidRDefault="000C4DA0" w:rsidP="00711E68">
            <w:pPr>
              <w:keepNext/>
              <w:rPr>
                <w:szCs w:val="22"/>
                <w:lang w:val="sr-Latn-RS"/>
              </w:rPr>
            </w:pPr>
          </w:p>
        </w:tc>
        <w:tc>
          <w:tcPr>
            <w:tcW w:w="4005" w:type="dxa"/>
            <w:gridSpan w:val="3"/>
            <w:shd w:val="clear" w:color="auto" w:fill="auto"/>
          </w:tcPr>
          <w:p w14:paraId="4F35AB1C" w14:textId="77777777" w:rsidR="000C4DA0" w:rsidRPr="00711E68" w:rsidRDefault="000C4DA0" w:rsidP="00711E68">
            <w:pPr>
              <w:keepNext/>
              <w:jc w:val="center"/>
              <w:rPr>
                <w:szCs w:val="22"/>
                <w:lang w:val="sr-Latn-RS"/>
              </w:rPr>
            </w:pPr>
            <w:r w:rsidRPr="00711E68">
              <w:rPr>
                <w:b/>
                <w:bCs/>
                <w:szCs w:val="22"/>
                <w:lang w:val="sr-Latn-RS"/>
              </w:rPr>
              <w:t>ULTIMMA</w:t>
            </w:r>
            <w:r w:rsidRPr="00711E68">
              <w:rPr>
                <w:b/>
                <w:bCs/>
                <w:szCs w:val="22"/>
                <w:lang w:val="sr-Latn-RS"/>
              </w:rPr>
              <w:noBreakHyphen/>
              <w:t>1</w:t>
            </w:r>
          </w:p>
        </w:tc>
        <w:tc>
          <w:tcPr>
            <w:tcW w:w="4590" w:type="dxa"/>
            <w:gridSpan w:val="3"/>
            <w:shd w:val="clear" w:color="auto" w:fill="auto"/>
          </w:tcPr>
          <w:p w14:paraId="58F23FB1" w14:textId="77777777" w:rsidR="000C4DA0" w:rsidRPr="00711E68" w:rsidRDefault="000C4DA0" w:rsidP="00711E68">
            <w:pPr>
              <w:keepNext/>
              <w:jc w:val="center"/>
              <w:rPr>
                <w:szCs w:val="22"/>
                <w:lang w:val="sr-Latn-RS"/>
              </w:rPr>
            </w:pPr>
            <w:r w:rsidRPr="00711E68">
              <w:rPr>
                <w:b/>
                <w:bCs/>
                <w:szCs w:val="22"/>
                <w:lang w:val="sr-Latn-RS"/>
              </w:rPr>
              <w:t>ULTIMMA</w:t>
            </w:r>
            <w:r w:rsidRPr="00711E68">
              <w:rPr>
                <w:b/>
                <w:bCs/>
                <w:szCs w:val="22"/>
                <w:lang w:val="sr-Latn-RS"/>
              </w:rPr>
              <w:noBreakHyphen/>
              <w:t>2</w:t>
            </w:r>
          </w:p>
        </w:tc>
      </w:tr>
      <w:tr w:rsidR="000C4DA0" w:rsidRPr="00711E68" w14:paraId="7ABF4529" w14:textId="77777777" w:rsidTr="00F120A0">
        <w:tc>
          <w:tcPr>
            <w:tcW w:w="1485" w:type="dxa"/>
            <w:shd w:val="clear" w:color="auto" w:fill="auto"/>
          </w:tcPr>
          <w:p w14:paraId="7FE0B30C" w14:textId="77777777" w:rsidR="000C4DA0" w:rsidRPr="00711E68" w:rsidRDefault="000C4DA0" w:rsidP="00711E68">
            <w:pPr>
              <w:keepNext/>
              <w:rPr>
                <w:szCs w:val="22"/>
                <w:lang w:val="sr-Latn-RS"/>
              </w:rPr>
            </w:pPr>
          </w:p>
        </w:tc>
        <w:tc>
          <w:tcPr>
            <w:tcW w:w="1530" w:type="dxa"/>
            <w:shd w:val="clear" w:color="auto" w:fill="auto"/>
          </w:tcPr>
          <w:p w14:paraId="6A41E29F" w14:textId="77777777" w:rsidR="000C4DA0" w:rsidRPr="00711E68" w:rsidRDefault="000C4DA0" w:rsidP="00711E68">
            <w:pPr>
              <w:keepNext/>
              <w:jc w:val="center"/>
              <w:rPr>
                <w:szCs w:val="22"/>
                <w:lang w:val="sr-Latn-RS"/>
              </w:rPr>
            </w:pPr>
            <w:r w:rsidRPr="00711E68">
              <w:rPr>
                <w:b/>
                <w:szCs w:val="22"/>
                <w:lang w:val="sr-Latn-RS"/>
              </w:rPr>
              <w:t xml:space="preserve">Risankizumab </w:t>
            </w:r>
            <w:r w:rsidRPr="00711E68">
              <w:rPr>
                <w:szCs w:val="22"/>
                <w:lang w:val="sr-Latn-RS"/>
              </w:rPr>
              <w:br/>
            </w:r>
            <w:r w:rsidRPr="00711E68">
              <w:rPr>
                <w:b/>
                <w:szCs w:val="22"/>
                <w:lang w:val="sr-Latn-RS"/>
              </w:rPr>
              <w:t>(N=304)</w:t>
            </w:r>
            <w:r w:rsidRPr="00711E68">
              <w:rPr>
                <w:szCs w:val="22"/>
                <w:lang w:val="sr-Latn-RS"/>
              </w:rPr>
              <w:br/>
            </w:r>
            <w:r w:rsidRPr="00711E68">
              <w:rPr>
                <w:b/>
                <w:szCs w:val="22"/>
                <w:lang w:val="sr-Latn-RS"/>
              </w:rPr>
              <w:t>n (%)</w:t>
            </w:r>
          </w:p>
        </w:tc>
        <w:tc>
          <w:tcPr>
            <w:tcW w:w="1418" w:type="dxa"/>
            <w:shd w:val="clear" w:color="auto" w:fill="auto"/>
          </w:tcPr>
          <w:p w14:paraId="7C9FD2FD" w14:textId="77777777" w:rsidR="000C4DA0" w:rsidRPr="00711E68" w:rsidRDefault="000C4DA0" w:rsidP="00711E68">
            <w:pPr>
              <w:keepNext/>
              <w:jc w:val="center"/>
              <w:rPr>
                <w:b/>
                <w:szCs w:val="22"/>
                <w:lang w:val="sr-Latn-RS"/>
              </w:rPr>
            </w:pPr>
            <w:r w:rsidRPr="00711E68">
              <w:rPr>
                <w:b/>
                <w:szCs w:val="22"/>
                <w:lang w:val="sr-Latn-RS"/>
              </w:rPr>
              <w:t>Ustekinumab</w:t>
            </w:r>
            <w:r w:rsidRPr="00711E68">
              <w:rPr>
                <w:b/>
                <w:szCs w:val="22"/>
                <w:lang w:val="sr-Latn-RS"/>
              </w:rPr>
              <w:br/>
              <w:t>(N=100)</w:t>
            </w:r>
          </w:p>
          <w:p w14:paraId="1A6E1CF6" w14:textId="77777777" w:rsidR="000C4DA0" w:rsidRPr="00711E68" w:rsidRDefault="000C4DA0" w:rsidP="00711E68">
            <w:pPr>
              <w:keepNext/>
              <w:jc w:val="center"/>
              <w:rPr>
                <w:szCs w:val="22"/>
                <w:lang w:val="sr-Latn-RS"/>
              </w:rPr>
            </w:pPr>
            <w:r w:rsidRPr="00711E68">
              <w:rPr>
                <w:b/>
                <w:szCs w:val="22"/>
                <w:lang w:val="sr-Latn-RS"/>
              </w:rPr>
              <w:t>n (%)</w:t>
            </w:r>
          </w:p>
        </w:tc>
        <w:tc>
          <w:tcPr>
            <w:tcW w:w="1057" w:type="dxa"/>
            <w:shd w:val="clear" w:color="auto" w:fill="auto"/>
          </w:tcPr>
          <w:p w14:paraId="0D59D652" w14:textId="77777777" w:rsidR="000C4DA0" w:rsidRPr="00711E68" w:rsidRDefault="000C4DA0" w:rsidP="00711E68">
            <w:pPr>
              <w:keepNext/>
              <w:jc w:val="center"/>
              <w:rPr>
                <w:szCs w:val="22"/>
                <w:lang w:val="sr-Latn-RS"/>
              </w:rPr>
            </w:pPr>
            <w:r w:rsidRPr="00711E68">
              <w:rPr>
                <w:b/>
                <w:szCs w:val="22"/>
                <w:lang w:val="sr-Latn-RS"/>
              </w:rPr>
              <w:t>Placebo</w:t>
            </w:r>
            <w:r w:rsidRPr="00711E68">
              <w:rPr>
                <w:szCs w:val="22"/>
                <w:lang w:val="sr-Latn-RS"/>
              </w:rPr>
              <w:br/>
            </w:r>
            <w:r w:rsidRPr="00711E68">
              <w:rPr>
                <w:b/>
                <w:szCs w:val="22"/>
                <w:lang w:val="sr-Latn-RS"/>
              </w:rPr>
              <w:t>(N=102)</w:t>
            </w:r>
            <w:r w:rsidRPr="00711E68">
              <w:rPr>
                <w:szCs w:val="22"/>
                <w:lang w:val="sr-Latn-RS"/>
              </w:rPr>
              <w:br/>
            </w:r>
            <w:r w:rsidRPr="00711E68">
              <w:rPr>
                <w:b/>
                <w:szCs w:val="22"/>
                <w:lang w:val="sr-Latn-RS"/>
              </w:rPr>
              <w:t>n (%)</w:t>
            </w:r>
          </w:p>
        </w:tc>
        <w:tc>
          <w:tcPr>
            <w:tcW w:w="1710" w:type="dxa"/>
            <w:shd w:val="clear" w:color="auto" w:fill="auto"/>
          </w:tcPr>
          <w:p w14:paraId="4A7FD02B" w14:textId="77777777" w:rsidR="000C4DA0" w:rsidRPr="00711E68" w:rsidRDefault="000C4DA0" w:rsidP="00711E68">
            <w:pPr>
              <w:keepNext/>
              <w:jc w:val="center"/>
              <w:rPr>
                <w:szCs w:val="22"/>
                <w:lang w:val="sr-Latn-RS"/>
              </w:rPr>
            </w:pPr>
            <w:r w:rsidRPr="00711E68">
              <w:rPr>
                <w:b/>
                <w:szCs w:val="22"/>
                <w:lang w:val="sr-Latn-RS"/>
              </w:rPr>
              <w:t xml:space="preserve">Risankizumab </w:t>
            </w:r>
            <w:r w:rsidRPr="00711E68">
              <w:rPr>
                <w:szCs w:val="22"/>
                <w:lang w:val="sr-Latn-RS"/>
              </w:rPr>
              <w:br/>
            </w:r>
            <w:r w:rsidRPr="00711E68">
              <w:rPr>
                <w:b/>
                <w:szCs w:val="22"/>
                <w:lang w:val="sr-Latn-RS"/>
              </w:rPr>
              <w:t>(N=294)</w:t>
            </w:r>
            <w:r w:rsidRPr="00711E68">
              <w:rPr>
                <w:szCs w:val="22"/>
                <w:lang w:val="sr-Latn-RS"/>
              </w:rPr>
              <w:br/>
            </w:r>
            <w:r w:rsidRPr="00711E68">
              <w:rPr>
                <w:b/>
                <w:szCs w:val="22"/>
                <w:lang w:val="sr-Latn-RS"/>
              </w:rPr>
              <w:t>n (%)</w:t>
            </w:r>
          </w:p>
        </w:tc>
        <w:tc>
          <w:tcPr>
            <w:tcW w:w="1440" w:type="dxa"/>
            <w:shd w:val="clear" w:color="auto" w:fill="auto"/>
          </w:tcPr>
          <w:p w14:paraId="2461ED4C" w14:textId="77777777" w:rsidR="000C4DA0" w:rsidRPr="00711E68" w:rsidRDefault="000C4DA0" w:rsidP="00711E68">
            <w:pPr>
              <w:keepNext/>
              <w:jc w:val="center"/>
              <w:rPr>
                <w:b/>
                <w:szCs w:val="22"/>
                <w:lang w:val="sr-Latn-RS"/>
              </w:rPr>
            </w:pPr>
            <w:r w:rsidRPr="00711E68">
              <w:rPr>
                <w:b/>
                <w:szCs w:val="22"/>
                <w:lang w:val="sr-Latn-RS"/>
              </w:rPr>
              <w:t>Ustekinumab</w:t>
            </w:r>
            <w:r w:rsidRPr="00711E68">
              <w:rPr>
                <w:b/>
                <w:szCs w:val="22"/>
                <w:lang w:val="sr-Latn-RS"/>
              </w:rPr>
              <w:br/>
              <w:t>(N=99)</w:t>
            </w:r>
          </w:p>
          <w:p w14:paraId="5BD930C2" w14:textId="77777777" w:rsidR="000C4DA0" w:rsidRPr="00711E68" w:rsidRDefault="000C4DA0" w:rsidP="00711E68">
            <w:pPr>
              <w:keepNext/>
              <w:jc w:val="center"/>
              <w:rPr>
                <w:szCs w:val="22"/>
                <w:lang w:val="sr-Latn-RS"/>
              </w:rPr>
            </w:pPr>
            <w:r w:rsidRPr="00711E68">
              <w:rPr>
                <w:b/>
                <w:szCs w:val="22"/>
                <w:lang w:val="sr-Latn-RS"/>
              </w:rPr>
              <w:t>n (%)</w:t>
            </w:r>
          </w:p>
        </w:tc>
        <w:tc>
          <w:tcPr>
            <w:tcW w:w="1440" w:type="dxa"/>
            <w:shd w:val="clear" w:color="auto" w:fill="auto"/>
          </w:tcPr>
          <w:p w14:paraId="36306C80" w14:textId="77777777" w:rsidR="000C4DA0" w:rsidRPr="00711E68" w:rsidRDefault="000C4DA0" w:rsidP="00711E68">
            <w:pPr>
              <w:keepNext/>
              <w:jc w:val="center"/>
              <w:rPr>
                <w:szCs w:val="22"/>
                <w:lang w:val="sr-Latn-RS"/>
              </w:rPr>
            </w:pPr>
            <w:r w:rsidRPr="00711E68">
              <w:rPr>
                <w:b/>
                <w:szCs w:val="22"/>
                <w:lang w:val="sr-Latn-RS"/>
              </w:rPr>
              <w:t>Placebo</w:t>
            </w:r>
            <w:r w:rsidRPr="00711E68">
              <w:rPr>
                <w:szCs w:val="22"/>
                <w:lang w:val="sr-Latn-RS"/>
              </w:rPr>
              <w:br/>
            </w:r>
            <w:r w:rsidRPr="00711E68">
              <w:rPr>
                <w:b/>
                <w:szCs w:val="22"/>
                <w:lang w:val="sr-Latn-RS"/>
              </w:rPr>
              <w:t>(N=98)</w:t>
            </w:r>
            <w:r w:rsidRPr="00711E68">
              <w:rPr>
                <w:szCs w:val="22"/>
                <w:lang w:val="sr-Latn-RS"/>
              </w:rPr>
              <w:br/>
            </w:r>
            <w:r w:rsidRPr="00711E68">
              <w:rPr>
                <w:b/>
                <w:szCs w:val="22"/>
                <w:lang w:val="sr-Latn-RS"/>
              </w:rPr>
              <w:t>n (%)</w:t>
            </w:r>
          </w:p>
        </w:tc>
      </w:tr>
      <w:tr w:rsidR="000C4DA0" w:rsidRPr="00711E68" w14:paraId="5864FD0E" w14:textId="77777777" w:rsidTr="001D2C0F">
        <w:tc>
          <w:tcPr>
            <w:tcW w:w="10080" w:type="dxa"/>
            <w:gridSpan w:val="7"/>
            <w:shd w:val="clear" w:color="auto" w:fill="auto"/>
            <w:vAlign w:val="center"/>
          </w:tcPr>
          <w:p w14:paraId="16CD2DDC" w14:textId="6427806C" w:rsidR="000C4DA0" w:rsidRPr="00711E68" w:rsidRDefault="000C4DA0" w:rsidP="00711E68">
            <w:pPr>
              <w:keepNext/>
              <w:rPr>
                <w:szCs w:val="22"/>
                <w:lang w:val="sr-Latn-RS"/>
              </w:rPr>
            </w:pPr>
            <w:r w:rsidRPr="00711E68">
              <w:rPr>
                <w:b/>
                <w:szCs w:val="22"/>
                <w:lang w:val="sr-Latn-RS"/>
              </w:rPr>
              <w:t>sPGA</w:t>
            </w:r>
            <w:r w:rsidR="000C48ED" w:rsidRPr="00711E68">
              <w:rPr>
                <w:b/>
                <w:szCs w:val="22"/>
                <w:lang w:val="sr-Latn-RS"/>
              </w:rPr>
              <w:t>:</w:t>
            </w:r>
            <w:r w:rsidRPr="00711E68">
              <w:rPr>
                <w:b/>
                <w:szCs w:val="22"/>
                <w:lang w:val="sr-Latn-RS"/>
              </w:rPr>
              <w:t xml:space="preserve"> </w:t>
            </w:r>
            <w:r w:rsidR="001D2C0F" w:rsidRPr="00711E68">
              <w:rPr>
                <w:b/>
                <w:szCs w:val="22"/>
                <w:lang w:val="sr-Latn-RS"/>
              </w:rPr>
              <w:t>„</w:t>
            </w:r>
            <w:r w:rsidR="00CE2233" w:rsidRPr="00711E68">
              <w:rPr>
                <w:b/>
                <w:szCs w:val="22"/>
                <w:lang w:val="sr-Latn-RS"/>
              </w:rPr>
              <w:t>čisto</w:t>
            </w:r>
            <w:r w:rsidR="001D2C0F" w:rsidRPr="00711E68">
              <w:rPr>
                <w:b/>
                <w:szCs w:val="22"/>
                <w:lang w:val="sr-Latn-RS"/>
              </w:rPr>
              <w:t>“ ili „</w:t>
            </w:r>
            <w:r w:rsidR="00CE2233" w:rsidRPr="00711E68">
              <w:rPr>
                <w:b/>
                <w:szCs w:val="22"/>
                <w:lang w:val="sr-Latn-RS"/>
              </w:rPr>
              <w:t>skoro čisto</w:t>
            </w:r>
            <w:r w:rsidR="001D2C0F" w:rsidRPr="00711E68">
              <w:rPr>
                <w:b/>
                <w:szCs w:val="22"/>
                <w:lang w:val="sr-Latn-RS"/>
              </w:rPr>
              <w:t xml:space="preserve">“ </w:t>
            </w:r>
            <w:r w:rsidRPr="00711E68">
              <w:rPr>
                <w:b/>
                <w:szCs w:val="22"/>
                <w:lang w:val="sr-Latn-RS"/>
              </w:rPr>
              <w:t xml:space="preserve">(0 </w:t>
            </w:r>
            <w:r w:rsidR="00E058C2" w:rsidRPr="00711E68">
              <w:rPr>
                <w:b/>
                <w:szCs w:val="22"/>
                <w:lang w:val="sr-Latn-RS"/>
              </w:rPr>
              <w:t>ili</w:t>
            </w:r>
            <w:r w:rsidRPr="00711E68">
              <w:rPr>
                <w:b/>
                <w:szCs w:val="22"/>
                <w:lang w:val="sr-Latn-RS"/>
              </w:rPr>
              <w:t xml:space="preserve"> 1)</w:t>
            </w:r>
          </w:p>
        </w:tc>
      </w:tr>
      <w:tr w:rsidR="000C4DA0" w:rsidRPr="00711E68" w14:paraId="4F2EA063" w14:textId="77777777" w:rsidTr="00F120A0">
        <w:trPr>
          <w:trHeight w:val="665"/>
        </w:trPr>
        <w:tc>
          <w:tcPr>
            <w:tcW w:w="1485" w:type="dxa"/>
            <w:shd w:val="clear" w:color="auto" w:fill="auto"/>
            <w:vAlign w:val="center"/>
          </w:tcPr>
          <w:p w14:paraId="354CDB67" w14:textId="42FD7441" w:rsidR="000C4DA0" w:rsidRPr="00711E68" w:rsidRDefault="000C4DA0" w:rsidP="00711E68">
            <w:pPr>
              <w:keepNext/>
              <w:tabs>
                <w:tab w:val="clear" w:pos="284"/>
              </w:tabs>
              <w:jc w:val="center"/>
              <w:rPr>
                <w:b/>
                <w:szCs w:val="22"/>
                <w:vertAlign w:val="superscript"/>
                <w:lang w:val="sr-Latn-RS"/>
              </w:rPr>
            </w:pPr>
            <w:r w:rsidRPr="00711E68">
              <w:rPr>
                <w:b/>
                <w:szCs w:val="22"/>
                <w:lang w:val="sr-Latn-RS"/>
              </w:rPr>
              <w:t>Ned</w:t>
            </w:r>
            <w:r w:rsidR="00F12716" w:rsidRPr="00711E68">
              <w:rPr>
                <w:b/>
                <w:szCs w:val="22"/>
                <w:lang w:val="sr-Latn-RS"/>
              </w:rPr>
              <w:t>j</w:t>
            </w:r>
            <w:r w:rsidRPr="00711E68">
              <w:rPr>
                <w:b/>
                <w:szCs w:val="22"/>
                <w:lang w:val="sr-Latn-RS"/>
              </w:rPr>
              <w:t>elja 16</w:t>
            </w:r>
            <w:r w:rsidRPr="00711E68">
              <w:rPr>
                <w:b/>
                <w:szCs w:val="22"/>
                <w:vertAlign w:val="superscript"/>
                <w:lang w:val="sr-Latn-RS"/>
              </w:rPr>
              <w:t>a</w:t>
            </w:r>
          </w:p>
        </w:tc>
        <w:tc>
          <w:tcPr>
            <w:tcW w:w="1530" w:type="dxa"/>
            <w:shd w:val="clear" w:color="auto" w:fill="auto"/>
            <w:vAlign w:val="center"/>
          </w:tcPr>
          <w:p w14:paraId="6089C5AC" w14:textId="5C496AFF" w:rsidR="000C4DA0" w:rsidRPr="00711E68" w:rsidRDefault="000C4DA0" w:rsidP="00711E68">
            <w:pPr>
              <w:keepNext/>
              <w:jc w:val="center"/>
              <w:rPr>
                <w:szCs w:val="22"/>
                <w:lang w:val="sr-Latn-RS"/>
              </w:rPr>
            </w:pPr>
            <w:r w:rsidRPr="00711E68">
              <w:rPr>
                <w:szCs w:val="22"/>
                <w:lang w:val="sr-Latn-RS"/>
              </w:rPr>
              <w:t>267 (87,8)</w:t>
            </w:r>
          </w:p>
        </w:tc>
        <w:tc>
          <w:tcPr>
            <w:tcW w:w="1418" w:type="dxa"/>
            <w:shd w:val="clear" w:color="auto" w:fill="auto"/>
            <w:vAlign w:val="center"/>
          </w:tcPr>
          <w:p w14:paraId="20714DB9" w14:textId="7CA9C1D5" w:rsidR="000C4DA0" w:rsidRPr="00711E68" w:rsidRDefault="000C4DA0" w:rsidP="00711E68">
            <w:pPr>
              <w:keepNext/>
              <w:jc w:val="center"/>
              <w:rPr>
                <w:szCs w:val="22"/>
                <w:lang w:val="sr-Latn-RS"/>
              </w:rPr>
            </w:pPr>
            <w:r w:rsidRPr="00711E68">
              <w:rPr>
                <w:szCs w:val="22"/>
                <w:lang w:val="sr-Latn-RS"/>
              </w:rPr>
              <w:t>63 (63,0)</w:t>
            </w:r>
          </w:p>
        </w:tc>
        <w:tc>
          <w:tcPr>
            <w:tcW w:w="1057" w:type="dxa"/>
            <w:shd w:val="clear" w:color="auto" w:fill="auto"/>
            <w:vAlign w:val="center"/>
          </w:tcPr>
          <w:p w14:paraId="35BF7DD0" w14:textId="58447780" w:rsidR="000C4DA0" w:rsidRPr="00711E68" w:rsidRDefault="000C4DA0" w:rsidP="00711E68">
            <w:pPr>
              <w:keepNext/>
              <w:jc w:val="center"/>
              <w:rPr>
                <w:szCs w:val="22"/>
                <w:lang w:val="sr-Latn-RS"/>
              </w:rPr>
            </w:pPr>
            <w:r w:rsidRPr="00711E68">
              <w:rPr>
                <w:szCs w:val="22"/>
                <w:lang w:val="sr-Latn-RS"/>
              </w:rPr>
              <w:t>8 (7,8)</w:t>
            </w:r>
          </w:p>
        </w:tc>
        <w:tc>
          <w:tcPr>
            <w:tcW w:w="1710" w:type="dxa"/>
            <w:shd w:val="clear" w:color="auto" w:fill="auto"/>
            <w:vAlign w:val="center"/>
          </w:tcPr>
          <w:p w14:paraId="0E4A529B" w14:textId="59CB4F4D" w:rsidR="000C4DA0" w:rsidRPr="00711E68" w:rsidRDefault="000C4DA0" w:rsidP="00711E68">
            <w:pPr>
              <w:keepNext/>
              <w:jc w:val="center"/>
              <w:rPr>
                <w:szCs w:val="22"/>
                <w:vertAlign w:val="superscript"/>
                <w:lang w:val="sr-Latn-RS"/>
              </w:rPr>
            </w:pPr>
            <w:r w:rsidRPr="00711E68">
              <w:rPr>
                <w:szCs w:val="22"/>
                <w:lang w:val="sr-Latn-RS"/>
              </w:rPr>
              <w:t>246 (83,7)</w:t>
            </w:r>
          </w:p>
        </w:tc>
        <w:tc>
          <w:tcPr>
            <w:tcW w:w="1440" w:type="dxa"/>
            <w:shd w:val="clear" w:color="auto" w:fill="auto"/>
            <w:vAlign w:val="center"/>
          </w:tcPr>
          <w:p w14:paraId="544FC712" w14:textId="1FA7B8F7" w:rsidR="000C4DA0" w:rsidRPr="00711E68" w:rsidRDefault="000C4DA0" w:rsidP="00711E68">
            <w:pPr>
              <w:keepNext/>
              <w:jc w:val="center"/>
              <w:rPr>
                <w:szCs w:val="22"/>
                <w:lang w:val="sr-Latn-RS"/>
              </w:rPr>
            </w:pPr>
            <w:r w:rsidRPr="00711E68">
              <w:rPr>
                <w:szCs w:val="22"/>
                <w:lang w:val="sr-Latn-RS"/>
              </w:rPr>
              <w:t>61 (61,6)</w:t>
            </w:r>
          </w:p>
        </w:tc>
        <w:tc>
          <w:tcPr>
            <w:tcW w:w="1440" w:type="dxa"/>
            <w:shd w:val="clear" w:color="auto" w:fill="auto"/>
            <w:vAlign w:val="center"/>
          </w:tcPr>
          <w:p w14:paraId="1394D150" w14:textId="6791866F" w:rsidR="000C4DA0" w:rsidRPr="00711E68" w:rsidRDefault="000C4DA0" w:rsidP="00711E68">
            <w:pPr>
              <w:keepNext/>
              <w:jc w:val="center"/>
              <w:rPr>
                <w:szCs w:val="22"/>
                <w:lang w:val="sr-Latn-RS"/>
              </w:rPr>
            </w:pPr>
            <w:r w:rsidRPr="00711E68">
              <w:rPr>
                <w:szCs w:val="22"/>
                <w:lang w:val="sr-Latn-RS"/>
              </w:rPr>
              <w:t>5 (5,1)</w:t>
            </w:r>
          </w:p>
        </w:tc>
      </w:tr>
      <w:tr w:rsidR="000C4DA0" w:rsidRPr="00711E68" w14:paraId="280C6488" w14:textId="77777777" w:rsidTr="00F120A0">
        <w:tc>
          <w:tcPr>
            <w:tcW w:w="1485" w:type="dxa"/>
            <w:shd w:val="clear" w:color="auto" w:fill="auto"/>
            <w:vAlign w:val="center"/>
          </w:tcPr>
          <w:p w14:paraId="4ACBC3E4" w14:textId="232672D6" w:rsidR="000C4DA0" w:rsidRPr="00711E68" w:rsidRDefault="000C4DA0" w:rsidP="00711E68">
            <w:pPr>
              <w:keepNext/>
              <w:jc w:val="center"/>
              <w:rPr>
                <w:b/>
                <w:szCs w:val="22"/>
                <w:lang w:val="sr-Latn-RS"/>
              </w:rPr>
            </w:pPr>
            <w:r w:rsidRPr="00711E68">
              <w:rPr>
                <w:b/>
                <w:szCs w:val="22"/>
                <w:lang w:val="sr-Latn-RS"/>
              </w:rPr>
              <w:t>Ned</w:t>
            </w:r>
            <w:r w:rsidR="00F12716" w:rsidRPr="00711E68">
              <w:rPr>
                <w:b/>
                <w:szCs w:val="22"/>
                <w:lang w:val="sr-Latn-RS"/>
              </w:rPr>
              <w:t>j</w:t>
            </w:r>
            <w:r w:rsidRPr="00711E68">
              <w:rPr>
                <w:b/>
                <w:szCs w:val="22"/>
                <w:lang w:val="sr-Latn-RS"/>
              </w:rPr>
              <w:t>elja 52</w:t>
            </w:r>
          </w:p>
        </w:tc>
        <w:tc>
          <w:tcPr>
            <w:tcW w:w="1530" w:type="dxa"/>
            <w:shd w:val="clear" w:color="auto" w:fill="auto"/>
            <w:vAlign w:val="center"/>
          </w:tcPr>
          <w:p w14:paraId="0626D813" w14:textId="537BB242" w:rsidR="000C4DA0" w:rsidRPr="00711E68" w:rsidRDefault="000C4DA0" w:rsidP="00711E68">
            <w:pPr>
              <w:keepNext/>
              <w:jc w:val="center"/>
              <w:rPr>
                <w:szCs w:val="22"/>
                <w:lang w:val="sr-Latn-RS"/>
              </w:rPr>
            </w:pPr>
            <w:r w:rsidRPr="00711E68">
              <w:rPr>
                <w:szCs w:val="22"/>
                <w:lang w:val="sr-Latn-RS"/>
              </w:rPr>
              <w:t>262 (86,2)</w:t>
            </w:r>
          </w:p>
        </w:tc>
        <w:tc>
          <w:tcPr>
            <w:tcW w:w="1418" w:type="dxa"/>
            <w:shd w:val="clear" w:color="auto" w:fill="auto"/>
            <w:vAlign w:val="center"/>
          </w:tcPr>
          <w:p w14:paraId="1B3C0701" w14:textId="1588C392" w:rsidR="000C4DA0" w:rsidRPr="00711E68" w:rsidRDefault="000C4DA0" w:rsidP="00711E68">
            <w:pPr>
              <w:keepNext/>
              <w:jc w:val="center"/>
              <w:rPr>
                <w:szCs w:val="22"/>
                <w:lang w:val="sr-Latn-RS"/>
              </w:rPr>
            </w:pPr>
            <w:r w:rsidRPr="00711E68">
              <w:rPr>
                <w:szCs w:val="22"/>
                <w:lang w:val="sr-Latn-RS"/>
              </w:rPr>
              <w:t>54 (54,0)</w:t>
            </w:r>
          </w:p>
        </w:tc>
        <w:tc>
          <w:tcPr>
            <w:tcW w:w="1057" w:type="dxa"/>
            <w:shd w:val="clear" w:color="auto" w:fill="auto"/>
            <w:vAlign w:val="center"/>
          </w:tcPr>
          <w:p w14:paraId="68E56A62" w14:textId="77777777" w:rsidR="000C4DA0" w:rsidRPr="00711E68" w:rsidRDefault="000C4DA0" w:rsidP="00711E68">
            <w:pPr>
              <w:keepNext/>
              <w:jc w:val="center"/>
              <w:rPr>
                <w:szCs w:val="22"/>
                <w:lang w:val="sr-Latn-RS"/>
              </w:rPr>
            </w:pPr>
            <w:r w:rsidRPr="00711E68">
              <w:rPr>
                <w:szCs w:val="22"/>
                <w:lang w:val="sr-Latn-RS"/>
              </w:rPr>
              <w:t>--</w:t>
            </w:r>
          </w:p>
        </w:tc>
        <w:tc>
          <w:tcPr>
            <w:tcW w:w="1710" w:type="dxa"/>
            <w:shd w:val="clear" w:color="auto" w:fill="auto"/>
            <w:vAlign w:val="center"/>
          </w:tcPr>
          <w:p w14:paraId="442F1435" w14:textId="79EBAB7D" w:rsidR="000C4DA0" w:rsidRPr="00711E68" w:rsidRDefault="000C4DA0" w:rsidP="00711E68">
            <w:pPr>
              <w:keepNext/>
              <w:jc w:val="center"/>
              <w:rPr>
                <w:szCs w:val="22"/>
                <w:lang w:val="sr-Latn-RS"/>
              </w:rPr>
            </w:pPr>
            <w:r w:rsidRPr="00711E68">
              <w:rPr>
                <w:szCs w:val="22"/>
                <w:lang w:val="sr-Latn-RS"/>
              </w:rPr>
              <w:t>245 (83,3)</w:t>
            </w:r>
          </w:p>
        </w:tc>
        <w:tc>
          <w:tcPr>
            <w:tcW w:w="1440" w:type="dxa"/>
            <w:shd w:val="clear" w:color="auto" w:fill="auto"/>
            <w:vAlign w:val="center"/>
          </w:tcPr>
          <w:p w14:paraId="5D271097" w14:textId="74D2CC17" w:rsidR="000C4DA0" w:rsidRPr="00711E68" w:rsidRDefault="000C4DA0" w:rsidP="00711E68">
            <w:pPr>
              <w:keepNext/>
              <w:jc w:val="center"/>
              <w:rPr>
                <w:szCs w:val="22"/>
                <w:lang w:val="sr-Latn-RS"/>
              </w:rPr>
            </w:pPr>
            <w:r w:rsidRPr="00711E68">
              <w:rPr>
                <w:szCs w:val="22"/>
                <w:lang w:val="sr-Latn-RS"/>
              </w:rPr>
              <w:t>54 (54,5)</w:t>
            </w:r>
          </w:p>
        </w:tc>
        <w:tc>
          <w:tcPr>
            <w:tcW w:w="1440" w:type="dxa"/>
            <w:shd w:val="clear" w:color="auto" w:fill="auto"/>
            <w:vAlign w:val="center"/>
          </w:tcPr>
          <w:p w14:paraId="3EB45ACE" w14:textId="77777777" w:rsidR="000C4DA0" w:rsidRPr="00711E68" w:rsidRDefault="000C4DA0" w:rsidP="00711E68">
            <w:pPr>
              <w:keepNext/>
              <w:jc w:val="center"/>
              <w:rPr>
                <w:szCs w:val="22"/>
                <w:lang w:val="sr-Latn-RS"/>
              </w:rPr>
            </w:pPr>
            <w:r w:rsidRPr="00711E68">
              <w:rPr>
                <w:szCs w:val="22"/>
                <w:lang w:val="sr-Latn-RS"/>
              </w:rPr>
              <w:t>--</w:t>
            </w:r>
          </w:p>
        </w:tc>
      </w:tr>
      <w:tr w:rsidR="000C4DA0" w:rsidRPr="00711E68" w14:paraId="17DB1CAD" w14:textId="77777777" w:rsidTr="001D2C0F">
        <w:tc>
          <w:tcPr>
            <w:tcW w:w="10080" w:type="dxa"/>
            <w:gridSpan w:val="7"/>
            <w:shd w:val="clear" w:color="auto" w:fill="auto"/>
            <w:vAlign w:val="center"/>
          </w:tcPr>
          <w:p w14:paraId="7E798B1F" w14:textId="22D8C9AA" w:rsidR="000C4DA0" w:rsidRPr="00711E68" w:rsidRDefault="000C4DA0" w:rsidP="00711E68">
            <w:pPr>
              <w:keepNext/>
              <w:rPr>
                <w:szCs w:val="22"/>
                <w:lang w:val="sr-Latn-RS"/>
              </w:rPr>
            </w:pPr>
            <w:r w:rsidRPr="00711E68">
              <w:rPr>
                <w:b/>
                <w:szCs w:val="22"/>
                <w:lang w:val="sr-Latn-RS"/>
              </w:rPr>
              <w:t>sPGA</w:t>
            </w:r>
            <w:r w:rsidR="000C48ED" w:rsidRPr="00711E68">
              <w:rPr>
                <w:b/>
                <w:szCs w:val="22"/>
                <w:lang w:val="sr-Latn-RS"/>
              </w:rPr>
              <w:t xml:space="preserve">: </w:t>
            </w:r>
            <w:r w:rsidR="001A6E69" w:rsidRPr="00711E68">
              <w:rPr>
                <w:b/>
                <w:szCs w:val="22"/>
                <w:lang w:val="sr-Latn-RS"/>
              </w:rPr>
              <w:t>„</w:t>
            </w:r>
            <w:r w:rsidR="00CE2233" w:rsidRPr="00711E68">
              <w:rPr>
                <w:b/>
                <w:szCs w:val="22"/>
                <w:lang w:val="sr-Latn-RS"/>
              </w:rPr>
              <w:t>čisto</w:t>
            </w:r>
            <w:r w:rsidR="001A6E69" w:rsidRPr="00711E68">
              <w:rPr>
                <w:b/>
                <w:szCs w:val="22"/>
                <w:lang w:val="sr-Latn-RS"/>
              </w:rPr>
              <w:t xml:space="preserve">“ </w:t>
            </w:r>
            <w:r w:rsidRPr="00711E68">
              <w:rPr>
                <w:b/>
                <w:szCs w:val="22"/>
                <w:lang w:val="sr-Latn-RS"/>
              </w:rPr>
              <w:t>(0)</w:t>
            </w:r>
          </w:p>
        </w:tc>
      </w:tr>
      <w:tr w:rsidR="000C4DA0" w:rsidRPr="00711E68" w14:paraId="51582CF4" w14:textId="77777777" w:rsidTr="00F120A0">
        <w:tc>
          <w:tcPr>
            <w:tcW w:w="1485" w:type="dxa"/>
            <w:shd w:val="clear" w:color="auto" w:fill="auto"/>
            <w:vAlign w:val="center"/>
          </w:tcPr>
          <w:p w14:paraId="4BE7C86D" w14:textId="66818B1E" w:rsidR="000C4DA0" w:rsidRPr="00711E68" w:rsidRDefault="000C4DA0" w:rsidP="00711E68">
            <w:pPr>
              <w:keepNext/>
              <w:jc w:val="center"/>
              <w:rPr>
                <w:b/>
                <w:szCs w:val="22"/>
                <w:lang w:val="sr-Latn-RS"/>
              </w:rPr>
            </w:pPr>
            <w:r w:rsidRPr="00711E68">
              <w:rPr>
                <w:b/>
                <w:szCs w:val="22"/>
                <w:lang w:val="sr-Latn-RS"/>
              </w:rPr>
              <w:t>Ned</w:t>
            </w:r>
            <w:r w:rsidR="00F12716" w:rsidRPr="00711E68">
              <w:rPr>
                <w:b/>
                <w:szCs w:val="22"/>
                <w:lang w:val="sr-Latn-RS"/>
              </w:rPr>
              <w:t>j</w:t>
            </w:r>
            <w:r w:rsidRPr="00711E68">
              <w:rPr>
                <w:b/>
                <w:szCs w:val="22"/>
                <w:lang w:val="sr-Latn-RS"/>
              </w:rPr>
              <w:t>elja 16</w:t>
            </w:r>
          </w:p>
        </w:tc>
        <w:tc>
          <w:tcPr>
            <w:tcW w:w="1530" w:type="dxa"/>
            <w:shd w:val="clear" w:color="auto" w:fill="auto"/>
            <w:vAlign w:val="center"/>
          </w:tcPr>
          <w:p w14:paraId="1600E48D" w14:textId="6EE9787C" w:rsidR="000C4DA0" w:rsidRPr="00711E68" w:rsidRDefault="000C4DA0" w:rsidP="00711E68">
            <w:pPr>
              <w:keepNext/>
              <w:jc w:val="center"/>
              <w:rPr>
                <w:szCs w:val="22"/>
                <w:lang w:val="sr-Latn-RS"/>
              </w:rPr>
            </w:pPr>
            <w:r w:rsidRPr="00711E68">
              <w:rPr>
                <w:szCs w:val="22"/>
                <w:lang w:val="sr-Latn-RS"/>
              </w:rPr>
              <w:t>112 (36,8)</w:t>
            </w:r>
          </w:p>
        </w:tc>
        <w:tc>
          <w:tcPr>
            <w:tcW w:w="1418" w:type="dxa"/>
            <w:shd w:val="clear" w:color="auto" w:fill="auto"/>
            <w:vAlign w:val="center"/>
          </w:tcPr>
          <w:p w14:paraId="3B4CBEBA" w14:textId="4FA9F8E0" w:rsidR="000C4DA0" w:rsidRPr="00711E68" w:rsidRDefault="000C4DA0" w:rsidP="00711E68">
            <w:pPr>
              <w:keepNext/>
              <w:jc w:val="center"/>
              <w:rPr>
                <w:szCs w:val="22"/>
                <w:lang w:val="sr-Latn-RS"/>
              </w:rPr>
            </w:pPr>
            <w:r w:rsidRPr="00711E68">
              <w:rPr>
                <w:szCs w:val="22"/>
                <w:lang w:val="sr-Latn-RS"/>
              </w:rPr>
              <w:t>14 (14,0)</w:t>
            </w:r>
          </w:p>
        </w:tc>
        <w:tc>
          <w:tcPr>
            <w:tcW w:w="1057" w:type="dxa"/>
            <w:shd w:val="clear" w:color="auto" w:fill="auto"/>
            <w:vAlign w:val="center"/>
          </w:tcPr>
          <w:p w14:paraId="0A3DC6AE" w14:textId="32D1AEB3" w:rsidR="000C4DA0" w:rsidRPr="00711E68" w:rsidRDefault="000C4DA0" w:rsidP="00711E68">
            <w:pPr>
              <w:keepNext/>
              <w:jc w:val="center"/>
              <w:rPr>
                <w:szCs w:val="22"/>
                <w:lang w:val="sr-Latn-RS"/>
              </w:rPr>
            </w:pPr>
            <w:r w:rsidRPr="00711E68">
              <w:rPr>
                <w:szCs w:val="22"/>
                <w:lang w:val="sr-Latn-RS"/>
              </w:rPr>
              <w:t>2 (2,0)</w:t>
            </w:r>
          </w:p>
        </w:tc>
        <w:tc>
          <w:tcPr>
            <w:tcW w:w="1710" w:type="dxa"/>
            <w:shd w:val="clear" w:color="auto" w:fill="auto"/>
            <w:vAlign w:val="center"/>
          </w:tcPr>
          <w:p w14:paraId="7EFBC445" w14:textId="616559C2" w:rsidR="000C4DA0" w:rsidRPr="00711E68" w:rsidRDefault="000C4DA0" w:rsidP="00711E68">
            <w:pPr>
              <w:keepNext/>
              <w:jc w:val="center"/>
              <w:rPr>
                <w:szCs w:val="22"/>
                <w:lang w:val="sr-Latn-RS"/>
              </w:rPr>
            </w:pPr>
            <w:r w:rsidRPr="00711E68">
              <w:rPr>
                <w:szCs w:val="22"/>
                <w:lang w:val="sr-Latn-RS"/>
              </w:rPr>
              <w:t>150 (51,0)</w:t>
            </w:r>
          </w:p>
        </w:tc>
        <w:tc>
          <w:tcPr>
            <w:tcW w:w="1440" w:type="dxa"/>
            <w:shd w:val="clear" w:color="auto" w:fill="auto"/>
            <w:vAlign w:val="center"/>
          </w:tcPr>
          <w:p w14:paraId="1BA57AB6" w14:textId="159EF05C" w:rsidR="000C4DA0" w:rsidRPr="00711E68" w:rsidRDefault="000C4DA0" w:rsidP="00711E68">
            <w:pPr>
              <w:keepNext/>
              <w:jc w:val="center"/>
              <w:rPr>
                <w:szCs w:val="22"/>
                <w:lang w:val="sr-Latn-RS"/>
              </w:rPr>
            </w:pPr>
            <w:r w:rsidRPr="00711E68">
              <w:rPr>
                <w:szCs w:val="22"/>
                <w:lang w:val="sr-Latn-RS"/>
              </w:rPr>
              <w:t>25 (25,3)</w:t>
            </w:r>
          </w:p>
        </w:tc>
        <w:tc>
          <w:tcPr>
            <w:tcW w:w="1440" w:type="dxa"/>
            <w:shd w:val="clear" w:color="auto" w:fill="auto"/>
            <w:vAlign w:val="center"/>
          </w:tcPr>
          <w:p w14:paraId="36616478" w14:textId="77A89C5E" w:rsidR="000C4DA0" w:rsidRPr="00711E68" w:rsidRDefault="000C4DA0" w:rsidP="00711E68">
            <w:pPr>
              <w:keepNext/>
              <w:jc w:val="center"/>
              <w:rPr>
                <w:szCs w:val="22"/>
                <w:lang w:val="sr-Latn-RS"/>
              </w:rPr>
            </w:pPr>
            <w:r w:rsidRPr="00711E68">
              <w:rPr>
                <w:szCs w:val="22"/>
                <w:lang w:val="sr-Latn-RS"/>
              </w:rPr>
              <w:t>3 (3,1)</w:t>
            </w:r>
          </w:p>
        </w:tc>
      </w:tr>
      <w:tr w:rsidR="000C4DA0" w:rsidRPr="00711E68" w14:paraId="4B17ABBB" w14:textId="77777777" w:rsidTr="00F120A0">
        <w:tc>
          <w:tcPr>
            <w:tcW w:w="1485" w:type="dxa"/>
            <w:shd w:val="clear" w:color="auto" w:fill="auto"/>
            <w:vAlign w:val="center"/>
          </w:tcPr>
          <w:p w14:paraId="3EC172EB" w14:textId="5419DCE9" w:rsidR="000C4DA0" w:rsidRPr="00711E68" w:rsidRDefault="000C4DA0" w:rsidP="00711E68">
            <w:pPr>
              <w:keepNext/>
              <w:jc w:val="center"/>
              <w:rPr>
                <w:b/>
                <w:szCs w:val="22"/>
                <w:lang w:val="sr-Latn-RS"/>
              </w:rPr>
            </w:pPr>
            <w:r w:rsidRPr="00711E68">
              <w:rPr>
                <w:b/>
                <w:szCs w:val="22"/>
                <w:lang w:val="sr-Latn-RS"/>
              </w:rPr>
              <w:t>Ned</w:t>
            </w:r>
            <w:r w:rsidR="00F12716" w:rsidRPr="00711E68">
              <w:rPr>
                <w:b/>
                <w:szCs w:val="22"/>
                <w:lang w:val="sr-Latn-RS"/>
              </w:rPr>
              <w:t>j</w:t>
            </w:r>
            <w:r w:rsidRPr="00711E68">
              <w:rPr>
                <w:b/>
                <w:szCs w:val="22"/>
                <w:lang w:val="sr-Latn-RS"/>
              </w:rPr>
              <w:t>elja 52</w:t>
            </w:r>
          </w:p>
        </w:tc>
        <w:tc>
          <w:tcPr>
            <w:tcW w:w="1530" w:type="dxa"/>
            <w:shd w:val="clear" w:color="auto" w:fill="auto"/>
            <w:vAlign w:val="center"/>
          </w:tcPr>
          <w:p w14:paraId="1E6278E4" w14:textId="1E52FC12" w:rsidR="000C4DA0" w:rsidRPr="00711E68" w:rsidRDefault="000C4DA0" w:rsidP="00711E68">
            <w:pPr>
              <w:keepNext/>
              <w:jc w:val="center"/>
              <w:rPr>
                <w:szCs w:val="22"/>
                <w:lang w:val="sr-Latn-RS"/>
              </w:rPr>
            </w:pPr>
            <w:r w:rsidRPr="00711E68">
              <w:rPr>
                <w:szCs w:val="22"/>
                <w:lang w:val="sr-Latn-RS"/>
              </w:rPr>
              <w:t>175 (57,6)</w:t>
            </w:r>
          </w:p>
        </w:tc>
        <w:tc>
          <w:tcPr>
            <w:tcW w:w="1418" w:type="dxa"/>
            <w:shd w:val="clear" w:color="auto" w:fill="auto"/>
            <w:vAlign w:val="center"/>
          </w:tcPr>
          <w:p w14:paraId="42C47C4C" w14:textId="6FFADFAB" w:rsidR="000C4DA0" w:rsidRPr="00711E68" w:rsidRDefault="000C4DA0" w:rsidP="00711E68">
            <w:pPr>
              <w:keepNext/>
              <w:jc w:val="center"/>
              <w:rPr>
                <w:szCs w:val="22"/>
                <w:lang w:val="sr-Latn-RS"/>
              </w:rPr>
            </w:pPr>
            <w:r w:rsidRPr="00711E68">
              <w:rPr>
                <w:szCs w:val="22"/>
                <w:lang w:val="sr-Latn-RS"/>
              </w:rPr>
              <w:t>21 (21,0)</w:t>
            </w:r>
          </w:p>
        </w:tc>
        <w:tc>
          <w:tcPr>
            <w:tcW w:w="1057" w:type="dxa"/>
            <w:shd w:val="clear" w:color="auto" w:fill="auto"/>
            <w:vAlign w:val="center"/>
          </w:tcPr>
          <w:p w14:paraId="06E155AA" w14:textId="77777777" w:rsidR="000C4DA0" w:rsidRPr="00711E68" w:rsidRDefault="000C4DA0" w:rsidP="00711E68">
            <w:pPr>
              <w:keepNext/>
              <w:jc w:val="center"/>
              <w:rPr>
                <w:szCs w:val="22"/>
                <w:lang w:val="sr-Latn-RS"/>
              </w:rPr>
            </w:pPr>
            <w:r w:rsidRPr="00711E68">
              <w:rPr>
                <w:szCs w:val="22"/>
                <w:lang w:val="sr-Latn-RS"/>
              </w:rPr>
              <w:t>--</w:t>
            </w:r>
          </w:p>
        </w:tc>
        <w:tc>
          <w:tcPr>
            <w:tcW w:w="1710" w:type="dxa"/>
            <w:shd w:val="clear" w:color="auto" w:fill="auto"/>
            <w:vAlign w:val="center"/>
          </w:tcPr>
          <w:p w14:paraId="0DA01D5F" w14:textId="69693B22" w:rsidR="000C4DA0" w:rsidRPr="00711E68" w:rsidRDefault="000C4DA0" w:rsidP="00711E68">
            <w:pPr>
              <w:keepNext/>
              <w:jc w:val="center"/>
              <w:rPr>
                <w:szCs w:val="22"/>
                <w:lang w:val="sr-Latn-RS"/>
              </w:rPr>
            </w:pPr>
            <w:r w:rsidRPr="00711E68">
              <w:rPr>
                <w:szCs w:val="22"/>
                <w:lang w:val="sr-Latn-RS"/>
              </w:rPr>
              <w:t>175 (59,5)</w:t>
            </w:r>
          </w:p>
        </w:tc>
        <w:tc>
          <w:tcPr>
            <w:tcW w:w="1440" w:type="dxa"/>
            <w:shd w:val="clear" w:color="auto" w:fill="auto"/>
            <w:vAlign w:val="center"/>
          </w:tcPr>
          <w:p w14:paraId="52938B58" w14:textId="46BFFC3B" w:rsidR="000C4DA0" w:rsidRPr="00711E68" w:rsidRDefault="000C4DA0" w:rsidP="00711E68">
            <w:pPr>
              <w:keepNext/>
              <w:jc w:val="center"/>
              <w:rPr>
                <w:szCs w:val="22"/>
                <w:lang w:val="sr-Latn-RS"/>
              </w:rPr>
            </w:pPr>
            <w:r w:rsidRPr="00711E68">
              <w:rPr>
                <w:szCs w:val="22"/>
                <w:lang w:val="sr-Latn-RS"/>
              </w:rPr>
              <w:t>30 (30,3)</w:t>
            </w:r>
          </w:p>
        </w:tc>
        <w:tc>
          <w:tcPr>
            <w:tcW w:w="1440" w:type="dxa"/>
            <w:shd w:val="clear" w:color="auto" w:fill="auto"/>
            <w:vAlign w:val="center"/>
          </w:tcPr>
          <w:p w14:paraId="015593E7" w14:textId="77777777" w:rsidR="000C4DA0" w:rsidRPr="00711E68" w:rsidRDefault="000C4DA0" w:rsidP="00711E68">
            <w:pPr>
              <w:keepNext/>
              <w:jc w:val="center"/>
              <w:rPr>
                <w:szCs w:val="22"/>
                <w:lang w:val="sr-Latn-RS"/>
              </w:rPr>
            </w:pPr>
            <w:r w:rsidRPr="00711E68">
              <w:rPr>
                <w:szCs w:val="22"/>
                <w:lang w:val="sr-Latn-RS"/>
              </w:rPr>
              <w:t>--</w:t>
            </w:r>
          </w:p>
        </w:tc>
      </w:tr>
      <w:tr w:rsidR="000C4DA0" w:rsidRPr="00711E68" w14:paraId="0E76091F" w14:textId="77777777" w:rsidTr="001D2C0F">
        <w:tc>
          <w:tcPr>
            <w:tcW w:w="10080" w:type="dxa"/>
            <w:gridSpan w:val="7"/>
            <w:shd w:val="clear" w:color="auto" w:fill="auto"/>
            <w:vAlign w:val="center"/>
          </w:tcPr>
          <w:p w14:paraId="66240238" w14:textId="77777777" w:rsidR="000C4DA0" w:rsidRPr="00711E68" w:rsidRDefault="000C4DA0" w:rsidP="00711E68">
            <w:pPr>
              <w:keepNext/>
              <w:rPr>
                <w:szCs w:val="22"/>
                <w:lang w:val="sr-Latn-RS"/>
              </w:rPr>
            </w:pPr>
            <w:r w:rsidRPr="00711E68">
              <w:rPr>
                <w:b/>
                <w:szCs w:val="22"/>
                <w:lang w:val="sr-Latn-RS"/>
              </w:rPr>
              <w:t>PASI 75</w:t>
            </w:r>
          </w:p>
        </w:tc>
      </w:tr>
      <w:tr w:rsidR="000C4DA0" w:rsidRPr="00711E68" w14:paraId="0E49B093" w14:textId="77777777" w:rsidTr="00F120A0">
        <w:tc>
          <w:tcPr>
            <w:tcW w:w="1485" w:type="dxa"/>
            <w:shd w:val="clear" w:color="auto" w:fill="auto"/>
            <w:vAlign w:val="center"/>
          </w:tcPr>
          <w:p w14:paraId="61489784" w14:textId="289981B0" w:rsidR="000C4DA0" w:rsidRPr="00711E68" w:rsidRDefault="000C4DA0" w:rsidP="00711E68">
            <w:pPr>
              <w:keepNext/>
              <w:jc w:val="center"/>
              <w:rPr>
                <w:b/>
                <w:szCs w:val="22"/>
                <w:lang w:val="sr-Latn-RS"/>
              </w:rPr>
            </w:pPr>
            <w:r w:rsidRPr="00711E68">
              <w:rPr>
                <w:b/>
                <w:szCs w:val="22"/>
                <w:lang w:val="sr-Latn-RS"/>
              </w:rPr>
              <w:t>Ned</w:t>
            </w:r>
            <w:r w:rsidR="00F12716" w:rsidRPr="00711E68">
              <w:rPr>
                <w:b/>
                <w:szCs w:val="22"/>
                <w:lang w:val="sr-Latn-RS"/>
              </w:rPr>
              <w:t>j</w:t>
            </w:r>
            <w:r w:rsidRPr="00711E68">
              <w:rPr>
                <w:b/>
                <w:szCs w:val="22"/>
                <w:lang w:val="sr-Latn-RS"/>
              </w:rPr>
              <w:t>elja 12</w:t>
            </w:r>
          </w:p>
        </w:tc>
        <w:tc>
          <w:tcPr>
            <w:tcW w:w="1530" w:type="dxa"/>
            <w:shd w:val="clear" w:color="auto" w:fill="auto"/>
            <w:vAlign w:val="center"/>
          </w:tcPr>
          <w:p w14:paraId="38E99811" w14:textId="24F77C2D" w:rsidR="000C4DA0" w:rsidRPr="00711E68" w:rsidRDefault="000C4DA0" w:rsidP="00711E68">
            <w:pPr>
              <w:keepNext/>
              <w:jc w:val="center"/>
              <w:rPr>
                <w:szCs w:val="22"/>
                <w:lang w:val="sr-Latn-RS"/>
              </w:rPr>
            </w:pPr>
            <w:r w:rsidRPr="00711E68">
              <w:rPr>
                <w:szCs w:val="22"/>
                <w:lang w:val="sr-Latn-RS"/>
              </w:rPr>
              <w:t>264 (86,8)</w:t>
            </w:r>
          </w:p>
        </w:tc>
        <w:tc>
          <w:tcPr>
            <w:tcW w:w="1418" w:type="dxa"/>
            <w:shd w:val="clear" w:color="auto" w:fill="auto"/>
            <w:vAlign w:val="center"/>
          </w:tcPr>
          <w:p w14:paraId="747B9A57" w14:textId="283C4337" w:rsidR="000C4DA0" w:rsidRPr="00711E68" w:rsidRDefault="000C4DA0" w:rsidP="00711E68">
            <w:pPr>
              <w:keepNext/>
              <w:jc w:val="center"/>
              <w:rPr>
                <w:szCs w:val="22"/>
                <w:lang w:val="sr-Latn-RS"/>
              </w:rPr>
            </w:pPr>
            <w:r w:rsidRPr="00711E68">
              <w:rPr>
                <w:szCs w:val="22"/>
                <w:lang w:val="sr-Latn-RS"/>
              </w:rPr>
              <w:t>70 (70,0)</w:t>
            </w:r>
          </w:p>
        </w:tc>
        <w:tc>
          <w:tcPr>
            <w:tcW w:w="1057" w:type="dxa"/>
            <w:shd w:val="clear" w:color="auto" w:fill="auto"/>
            <w:vAlign w:val="center"/>
          </w:tcPr>
          <w:p w14:paraId="44DCF776" w14:textId="33167FAB" w:rsidR="000C4DA0" w:rsidRPr="00711E68" w:rsidRDefault="000C4DA0" w:rsidP="00711E68">
            <w:pPr>
              <w:keepNext/>
              <w:jc w:val="center"/>
              <w:rPr>
                <w:szCs w:val="22"/>
                <w:lang w:val="sr-Latn-RS"/>
              </w:rPr>
            </w:pPr>
            <w:r w:rsidRPr="00711E68">
              <w:rPr>
                <w:szCs w:val="22"/>
                <w:lang w:val="sr-Latn-RS"/>
              </w:rPr>
              <w:t>10 (9,8)</w:t>
            </w:r>
          </w:p>
        </w:tc>
        <w:tc>
          <w:tcPr>
            <w:tcW w:w="1710" w:type="dxa"/>
            <w:shd w:val="clear" w:color="auto" w:fill="auto"/>
            <w:vAlign w:val="center"/>
          </w:tcPr>
          <w:p w14:paraId="6C0E4D72" w14:textId="07C483B0" w:rsidR="000C4DA0" w:rsidRPr="00711E68" w:rsidRDefault="000C4DA0" w:rsidP="00711E68">
            <w:pPr>
              <w:keepNext/>
              <w:jc w:val="center"/>
              <w:rPr>
                <w:szCs w:val="22"/>
                <w:lang w:val="sr-Latn-RS"/>
              </w:rPr>
            </w:pPr>
            <w:r w:rsidRPr="00711E68">
              <w:rPr>
                <w:szCs w:val="22"/>
                <w:lang w:val="sr-Latn-RS"/>
              </w:rPr>
              <w:t>261 (88,8)</w:t>
            </w:r>
          </w:p>
        </w:tc>
        <w:tc>
          <w:tcPr>
            <w:tcW w:w="1440" w:type="dxa"/>
            <w:shd w:val="clear" w:color="auto" w:fill="auto"/>
            <w:vAlign w:val="center"/>
          </w:tcPr>
          <w:p w14:paraId="7BBDF79C" w14:textId="1E8576E6" w:rsidR="000C4DA0" w:rsidRPr="00711E68" w:rsidRDefault="000C4DA0" w:rsidP="00711E68">
            <w:pPr>
              <w:keepNext/>
              <w:jc w:val="center"/>
              <w:rPr>
                <w:szCs w:val="22"/>
                <w:lang w:val="sr-Latn-RS"/>
              </w:rPr>
            </w:pPr>
            <w:r w:rsidRPr="00711E68">
              <w:rPr>
                <w:szCs w:val="22"/>
                <w:lang w:val="sr-Latn-RS"/>
              </w:rPr>
              <w:t>69 (69,7)</w:t>
            </w:r>
          </w:p>
        </w:tc>
        <w:tc>
          <w:tcPr>
            <w:tcW w:w="1440" w:type="dxa"/>
            <w:shd w:val="clear" w:color="auto" w:fill="auto"/>
            <w:vAlign w:val="center"/>
          </w:tcPr>
          <w:p w14:paraId="41D11CC6" w14:textId="4914C747" w:rsidR="000C4DA0" w:rsidRPr="00711E68" w:rsidRDefault="000C4DA0" w:rsidP="00711E68">
            <w:pPr>
              <w:keepNext/>
              <w:jc w:val="center"/>
              <w:rPr>
                <w:szCs w:val="22"/>
                <w:lang w:val="sr-Latn-RS"/>
              </w:rPr>
            </w:pPr>
            <w:r w:rsidRPr="00711E68">
              <w:rPr>
                <w:szCs w:val="22"/>
                <w:lang w:val="sr-Latn-RS"/>
              </w:rPr>
              <w:t>8 (8,2)</w:t>
            </w:r>
          </w:p>
        </w:tc>
      </w:tr>
      <w:tr w:rsidR="000C4DA0" w:rsidRPr="00711E68" w14:paraId="3B106C8E" w14:textId="77777777" w:rsidTr="00F120A0">
        <w:tc>
          <w:tcPr>
            <w:tcW w:w="1485" w:type="dxa"/>
            <w:shd w:val="clear" w:color="auto" w:fill="auto"/>
            <w:vAlign w:val="center"/>
          </w:tcPr>
          <w:p w14:paraId="3C07A64F" w14:textId="1E96AE3F" w:rsidR="000C4DA0" w:rsidRPr="00711E68" w:rsidRDefault="000C4DA0" w:rsidP="00711E68">
            <w:pPr>
              <w:keepNext/>
              <w:jc w:val="center"/>
              <w:rPr>
                <w:b/>
                <w:szCs w:val="22"/>
                <w:lang w:val="sr-Latn-RS"/>
              </w:rPr>
            </w:pPr>
            <w:r w:rsidRPr="00711E68">
              <w:rPr>
                <w:b/>
                <w:szCs w:val="22"/>
                <w:lang w:val="sr-Latn-RS"/>
              </w:rPr>
              <w:t>Ned</w:t>
            </w:r>
            <w:r w:rsidR="00F12716" w:rsidRPr="00711E68">
              <w:rPr>
                <w:b/>
                <w:szCs w:val="22"/>
                <w:lang w:val="sr-Latn-RS"/>
              </w:rPr>
              <w:t>j</w:t>
            </w:r>
            <w:r w:rsidRPr="00711E68">
              <w:rPr>
                <w:b/>
                <w:szCs w:val="22"/>
                <w:lang w:val="sr-Latn-RS"/>
              </w:rPr>
              <w:t>elja 52</w:t>
            </w:r>
          </w:p>
        </w:tc>
        <w:tc>
          <w:tcPr>
            <w:tcW w:w="1530" w:type="dxa"/>
            <w:shd w:val="clear" w:color="auto" w:fill="auto"/>
            <w:vAlign w:val="center"/>
          </w:tcPr>
          <w:p w14:paraId="0C83F34D" w14:textId="17853ACE" w:rsidR="000C4DA0" w:rsidRPr="00711E68" w:rsidRDefault="000C4DA0" w:rsidP="00711E68">
            <w:pPr>
              <w:keepNext/>
              <w:jc w:val="center"/>
              <w:rPr>
                <w:szCs w:val="22"/>
                <w:lang w:val="sr-Latn-RS"/>
              </w:rPr>
            </w:pPr>
            <w:r w:rsidRPr="00711E68">
              <w:rPr>
                <w:szCs w:val="22"/>
                <w:lang w:val="sr-Latn-RS"/>
              </w:rPr>
              <w:t>279 (91,8)</w:t>
            </w:r>
          </w:p>
        </w:tc>
        <w:tc>
          <w:tcPr>
            <w:tcW w:w="1418" w:type="dxa"/>
            <w:shd w:val="clear" w:color="auto" w:fill="auto"/>
            <w:vAlign w:val="center"/>
          </w:tcPr>
          <w:p w14:paraId="3D199934" w14:textId="0EAE7894" w:rsidR="000C4DA0" w:rsidRPr="00711E68" w:rsidRDefault="000C4DA0" w:rsidP="00711E68">
            <w:pPr>
              <w:keepNext/>
              <w:jc w:val="center"/>
              <w:rPr>
                <w:szCs w:val="22"/>
                <w:lang w:val="sr-Latn-RS"/>
              </w:rPr>
            </w:pPr>
            <w:r w:rsidRPr="00711E68">
              <w:rPr>
                <w:szCs w:val="22"/>
                <w:lang w:val="sr-Latn-RS"/>
              </w:rPr>
              <w:t>70 (70,0)</w:t>
            </w:r>
          </w:p>
        </w:tc>
        <w:tc>
          <w:tcPr>
            <w:tcW w:w="1057" w:type="dxa"/>
            <w:shd w:val="clear" w:color="auto" w:fill="auto"/>
            <w:vAlign w:val="center"/>
          </w:tcPr>
          <w:p w14:paraId="1A173DA1" w14:textId="77777777" w:rsidR="000C4DA0" w:rsidRPr="00711E68" w:rsidRDefault="000C4DA0" w:rsidP="00711E68">
            <w:pPr>
              <w:keepNext/>
              <w:jc w:val="center"/>
              <w:rPr>
                <w:szCs w:val="22"/>
                <w:lang w:val="sr-Latn-RS"/>
              </w:rPr>
            </w:pPr>
            <w:r w:rsidRPr="00711E68">
              <w:rPr>
                <w:szCs w:val="22"/>
                <w:lang w:val="sr-Latn-RS"/>
              </w:rPr>
              <w:t>--</w:t>
            </w:r>
          </w:p>
        </w:tc>
        <w:tc>
          <w:tcPr>
            <w:tcW w:w="1710" w:type="dxa"/>
            <w:shd w:val="clear" w:color="auto" w:fill="auto"/>
            <w:vAlign w:val="center"/>
          </w:tcPr>
          <w:p w14:paraId="08A405E2" w14:textId="018E1345" w:rsidR="000C4DA0" w:rsidRPr="00711E68" w:rsidRDefault="000C4DA0" w:rsidP="00711E68">
            <w:pPr>
              <w:keepNext/>
              <w:jc w:val="center"/>
              <w:rPr>
                <w:szCs w:val="22"/>
                <w:lang w:val="sr-Latn-RS"/>
              </w:rPr>
            </w:pPr>
            <w:r w:rsidRPr="00711E68">
              <w:rPr>
                <w:szCs w:val="22"/>
                <w:lang w:val="sr-Latn-RS"/>
              </w:rPr>
              <w:t>269 (91,5)</w:t>
            </w:r>
          </w:p>
        </w:tc>
        <w:tc>
          <w:tcPr>
            <w:tcW w:w="1440" w:type="dxa"/>
            <w:shd w:val="clear" w:color="auto" w:fill="auto"/>
            <w:vAlign w:val="center"/>
          </w:tcPr>
          <w:p w14:paraId="17827204" w14:textId="25E10692" w:rsidR="000C4DA0" w:rsidRPr="00711E68" w:rsidRDefault="000C4DA0" w:rsidP="00711E68">
            <w:pPr>
              <w:keepNext/>
              <w:jc w:val="center"/>
              <w:rPr>
                <w:szCs w:val="22"/>
                <w:lang w:val="sr-Latn-RS"/>
              </w:rPr>
            </w:pPr>
            <w:r w:rsidRPr="00711E68">
              <w:rPr>
                <w:szCs w:val="22"/>
                <w:lang w:val="sr-Latn-RS"/>
              </w:rPr>
              <w:t>76 (76,8)</w:t>
            </w:r>
          </w:p>
        </w:tc>
        <w:tc>
          <w:tcPr>
            <w:tcW w:w="1440" w:type="dxa"/>
            <w:shd w:val="clear" w:color="auto" w:fill="auto"/>
            <w:vAlign w:val="center"/>
          </w:tcPr>
          <w:p w14:paraId="025CBECD" w14:textId="77777777" w:rsidR="000C4DA0" w:rsidRPr="00711E68" w:rsidRDefault="000C4DA0" w:rsidP="00711E68">
            <w:pPr>
              <w:keepNext/>
              <w:jc w:val="center"/>
              <w:rPr>
                <w:szCs w:val="22"/>
                <w:lang w:val="sr-Latn-RS"/>
              </w:rPr>
            </w:pPr>
            <w:r w:rsidRPr="00711E68">
              <w:rPr>
                <w:szCs w:val="22"/>
                <w:lang w:val="sr-Latn-RS"/>
              </w:rPr>
              <w:t>--</w:t>
            </w:r>
          </w:p>
        </w:tc>
      </w:tr>
      <w:tr w:rsidR="000C4DA0" w:rsidRPr="00711E68" w14:paraId="195DBA8B" w14:textId="77777777" w:rsidTr="001D2C0F">
        <w:tc>
          <w:tcPr>
            <w:tcW w:w="10080" w:type="dxa"/>
            <w:gridSpan w:val="7"/>
            <w:shd w:val="clear" w:color="auto" w:fill="auto"/>
            <w:vAlign w:val="center"/>
          </w:tcPr>
          <w:p w14:paraId="00215244" w14:textId="77777777" w:rsidR="000C4DA0" w:rsidRPr="00711E68" w:rsidRDefault="000C4DA0" w:rsidP="00711E68">
            <w:pPr>
              <w:keepNext/>
              <w:rPr>
                <w:szCs w:val="22"/>
                <w:lang w:val="sr-Latn-RS"/>
              </w:rPr>
            </w:pPr>
            <w:r w:rsidRPr="00711E68">
              <w:rPr>
                <w:b/>
                <w:szCs w:val="22"/>
                <w:lang w:val="sr-Latn-RS"/>
              </w:rPr>
              <w:t>PASI 90</w:t>
            </w:r>
          </w:p>
        </w:tc>
      </w:tr>
      <w:tr w:rsidR="000C4DA0" w:rsidRPr="00711E68" w14:paraId="43AEBA57" w14:textId="77777777" w:rsidTr="00F120A0">
        <w:tc>
          <w:tcPr>
            <w:tcW w:w="1485" w:type="dxa"/>
            <w:shd w:val="clear" w:color="auto" w:fill="auto"/>
            <w:vAlign w:val="center"/>
          </w:tcPr>
          <w:p w14:paraId="3BCA370C" w14:textId="775EF215" w:rsidR="000C4DA0" w:rsidRPr="00711E68" w:rsidRDefault="000C4DA0" w:rsidP="00711E68">
            <w:pPr>
              <w:keepNext/>
              <w:jc w:val="center"/>
              <w:rPr>
                <w:b/>
                <w:szCs w:val="22"/>
                <w:lang w:val="sr-Latn-RS"/>
              </w:rPr>
            </w:pPr>
            <w:r w:rsidRPr="00711E68">
              <w:rPr>
                <w:b/>
                <w:szCs w:val="22"/>
                <w:lang w:val="sr-Latn-RS"/>
              </w:rPr>
              <w:t>Ned</w:t>
            </w:r>
            <w:r w:rsidR="00F12716" w:rsidRPr="00711E68">
              <w:rPr>
                <w:b/>
                <w:szCs w:val="22"/>
                <w:lang w:val="sr-Latn-RS"/>
              </w:rPr>
              <w:t>j</w:t>
            </w:r>
            <w:r w:rsidRPr="00711E68">
              <w:rPr>
                <w:b/>
                <w:szCs w:val="22"/>
                <w:lang w:val="sr-Latn-RS"/>
              </w:rPr>
              <w:t>elja 16</w:t>
            </w:r>
            <w:r w:rsidRPr="00711E68">
              <w:rPr>
                <w:b/>
                <w:szCs w:val="22"/>
                <w:vertAlign w:val="superscript"/>
                <w:lang w:val="sr-Latn-RS"/>
              </w:rPr>
              <w:t>a</w:t>
            </w:r>
          </w:p>
        </w:tc>
        <w:tc>
          <w:tcPr>
            <w:tcW w:w="1530" w:type="dxa"/>
            <w:shd w:val="clear" w:color="auto" w:fill="auto"/>
            <w:vAlign w:val="center"/>
          </w:tcPr>
          <w:p w14:paraId="57AE9351" w14:textId="7411591C" w:rsidR="000C4DA0" w:rsidRPr="00711E68" w:rsidRDefault="000C4DA0" w:rsidP="00711E68">
            <w:pPr>
              <w:keepNext/>
              <w:jc w:val="center"/>
              <w:rPr>
                <w:szCs w:val="22"/>
                <w:lang w:val="sr-Latn-RS"/>
              </w:rPr>
            </w:pPr>
            <w:r w:rsidRPr="00711E68">
              <w:rPr>
                <w:szCs w:val="22"/>
                <w:lang w:val="sr-Latn-RS"/>
              </w:rPr>
              <w:t>229 (75,3)</w:t>
            </w:r>
          </w:p>
        </w:tc>
        <w:tc>
          <w:tcPr>
            <w:tcW w:w="1418" w:type="dxa"/>
            <w:shd w:val="clear" w:color="auto" w:fill="auto"/>
            <w:vAlign w:val="center"/>
          </w:tcPr>
          <w:p w14:paraId="5F56732D" w14:textId="537260CF" w:rsidR="000C4DA0" w:rsidRPr="00711E68" w:rsidRDefault="000C4DA0" w:rsidP="00711E68">
            <w:pPr>
              <w:keepNext/>
              <w:jc w:val="center"/>
              <w:rPr>
                <w:szCs w:val="22"/>
                <w:lang w:val="sr-Latn-RS"/>
              </w:rPr>
            </w:pPr>
            <w:r w:rsidRPr="00711E68">
              <w:rPr>
                <w:szCs w:val="22"/>
                <w:lang w:val="sr-Latn-RS"/>
              </w:rPr>
              <w:t>42 (42,0)</w:t>
            </w:r>
          </w:p>
        </w:tc>
        <w:tc>
          <w:tcPr>
            <w:tcW w:w="1057" w:type="dxa"/>
            <w:shd w:val="clear" w:color="auto" w:fill="auto"/>
            <w:vAlign w:val="center"/>
          </w:tcPr>
          <w:p w14:paraId="128D5CA4" w14:textId="7E04ECE5" w:rsidR="000C4DA0" w:rsidRPr="00711E68" w:rsidRDefault="000C4DA0" w:rsidP="00711E68">
            <w:pPr>
              <w:keepNext/>
              <w:jc w:val="center"/>
              <w:rPr>
                <w:szCs w:val="22"/>
                <w:lang w:val="sr-Latn-RS"/>
              </w:rPr>
            </w:pPr>
            <w:r w:rsidRPr="00711E68">
              <w:rPr>
                <w:szCs w:val="22"/>
                <w:lang w:val="sr-Latn-RS"/>
              </w:rPr>
              <w:t>5 (4,9)</w:t>
            </w:r>
          </w:p>
        </w:tc>
        <w:tc>
          <w:tcPr>
            <w:tcW w:w="1710" w:type="dxa"/>
            <w:shd w:val="clear" w:color="auto" w:fill="auto"/>
            <w:vAlign w:val="center"/>
          </w:tcPr>
          <w:p w14:paraId="5427CA81" w14:textId="2746A611" w:rsidR="000C4DA0" w:rsidRPr="00711E68" w:rsidRDefault="000C4DA0" w:rsidP="00711E68">
            <w:pPr>
              <w:keepNext/>
              <w:jc w:val="center"/>
              <w:rPr>
                <w:szCs w:val="22"/>
                <w:vertAlign w:val="superscript"/>
                <w:lang w:val="sr-Latn-RS"/>
              </w:rPr>
            </w:pPr>
            <w:r w:rsidRPr="00711E68">
              <w:rPr>
                <w:szCs w:val="22"/>
                <w:lang w:val="sr-Latn-RS"/>
              </w:rPr>
              <w:t>220 (74,8)</w:t>
            </w:r>
          </w:p>
        </w:tc>
        <w:tc>
          <w:tcPr>
            <w:tcW w:w="1440" w:type="dxa"/>
            <w:shd w:val="clear" w:color="auto" w:fill="auto"/>
            <w:vAlign w:val="center"/>
          </w:tcPr>
          <w:p w14:paraId="1590A948" w14:textId="25859C61" w:rsidR="000C4DA0" w:rsidRPr="00711E68" w:rsidRDefault="000C4DA0" w:rsidP="00711E68">
            <w:pPr>
              <w:keepNext/>
              <w:jc w:val="center"/>
              <w:rPr>
                <w:szCs w:val="22"/>
                <w:lang w:val="sr-Latn-RS"/>
              </w:rPr>
            </w:pPr>
            <w:r w:rsidRPr="00711E68">
              <w:rPr>
                <w:szCs w:val="22"/>
                <w:lang w:val="sr-Latn-RS"/>
              </w:rPr>
              <w:t>47 (47,5)</w:t>
            </w:r>
          </w:p>
        </w:tc>
        <w:tc>
          <w:tcPr>
            <w:tcW w:w="1440" w:type="dxa"/>
            <w:shd w:val="clear" w:color="auto" w:fill="auto"/>
            <w:vAlign w:val="center"/>
          </w:tcPr>
          <w:p w14:paraId="69BAF0A4" w14:textId="01F94D41" w:rsidR="000C4DA0" w:rsidRPr="00711E68" w:rsidRDefault="000C4DA0" w:rsidP="00711E68">
            <w:pPr>
              <w:keepNext/>
              <w:jc w:val="center"/>
              <w:rPr>
                <w:szCs w:val="22"/>
                <w:lang w:val="sr-Latn-RS"/>
              </w:rPr>
            </w:pPr>
            <w:r w:rsidRPr="00711E68">
              <w:rPr>
                <w:szCs w:val="22"/>
                <w:lang w:val="sr-Latn-RS"/>
              </w:rPr>
              <w:t>2 (2,0)</w:t>
            </w:r>
          </w:p>
        </w:tc>
      </w:tr>
      <w:tr w:rsidR="000C4DA0" w:rsidRPr="00711E68" w14:paraId="3EF38AAE" w14:textId="77777777" w:rsidTr="00F120A0">
        <w:tc>
          <w:tcPr>
            <w:tcW w:w="1485" w:type="dxa"/>
            <w:shd w:val="clear" w:color="auto" w:fill="auto"/>
            <w:vAlign w:val="center"/>
          </w:tcPr>
          <w:p w14:paraId="212F71A0" w14:textId="7346B578" w:rsidR="000C4DA0" w:rsidRPr="00711E68" w:rsidRDefault="000C4DA0" w:rsidP="00711E68">
            <w:pPr>
              <w:keepNext/>
              <w:jc w:val="center"/>
              <w:rPr>
                <w:b/>
                <w:szCs w:val="22"/>
                <w:lang w:val="sr-Latn-RS"/>
              </w:rPr>
            </w:pPr>
            <w:r w:rsidRPr="00711E68">
              <w:rPr>
                <w:b/>
                <w:szCs w:val="22"/>
                <w:lang w:val="sr-Latn-RS"/>
              </w:rPr>
              <w:t>Ned</w:t>
            </w:r>
            <w:r w:rsidR="00F12716" w:rsidRPr="00711E68">
              <w:rPr>
                <w:b/>
                <w:szCs w:val="22"/>
                <w:lang w:val="sr-Latn-RS"/>
              </w:rPr>
              <w:t>j</w:t>
            </w:r>
            <w:r w:rsidRPr="00711E68">
              <w:rPr>
                <w:b/>
                <w:szCs w:val="22"/>
                <w:lang w:val="sr-Latn-RS"/>
              </w:rPr>
              <w:t>elja 52</w:t>
            </w:r>
          </w:p>
        </w:tc>
        <w:tc>
          <w:tcPr>
            <w:tcW w:w="1530" w:type="dxa"/>
            <w:shd w:val="clear" w:color="auto" w:fill="auto"/>
            <w:vAlign w:val="center"/>
          </w:tcPr>
          <w:p w14:paraId="3426CEAF" w14:textId="54E961E5" w:rsidR="000C4DA0" w:rsidRPr="00711E68" w:rsidRDefault="000C4DA0" w:rsidP="00711E68">
            <w:pPr>
              <w:keepNext/>
              <w:jc w:val="center"/>
              <w:rPr>
                <w:szCs w:val="22"/>
                <w:lang w:val="sr-Latn-RS"/>
              </w:rPr>
            </w:pPr>
            <w:r w:rsidRPr="00711E68">
              <w:rPr>
                <w:szCs w:val="22"/>
                <w:lang w:val="sr-Latn-RS"/>
              </w:rPr>
              <w:t>249 (81,9)</w:t>
            </w:r>
          </w:p>
        </w:tc>
        <w:tc>
          <w:tcPr>
            <w:tcW w:w="1418" w:type="dxa"/>
            <w:shd w:val="clear" w:color="auto" w:fill="auto"/>
            <w:vAlign w:val="center"/>
          </w:tcPr>
          <w:p w14:paraId="4FD3D4F5" w14:textId="13FF0636" w:rsidR="000C4DA0" w:rsidRPr="00711E68" w:rsidRDefault="000C4DA0" w:rsidP="00711E68">
            <w:pPr>
              <w:keepNext/>
              <w:jc w:val="center"/>
              <w:rPr>
                <w:szCs w:val="22"/>
                <w:lang w:val="sr-Latn-RS"/>
              </w:rPr>
            </w:pPr>
            <w:r w:rsidRPr="00711E68">
              <w:rPr>
                <w:szCs w:val="22"/>
                <w:lang w:val="sr-Latn-RS"/>
              </w:rPr>
              <w:t>44 (44,0)</w:t>
            </w:r>
          </w:p>
        </w:tc>
        <w:tc>
          <w:tcPr>
            <w:tcW w:w="1057" w:type="dxa"/>
            <w:shd w:val="clear" w:color="auto" w:fill="auto"/>
            <w:vAlign w:val="center"/>
          </w:tcPr>
          <w:p w14:paraId="0C9D9C7D" w14:textId="77777777" w:rsidR="000C4DA0" w:rsidRPr="00711E68" w:rsidRDefault="000C4DA0" w:rsidP="00711E68">
            <w:pPr>
              <w:keepNext/>
              <w:jc w:val="center"/>
              <w:rPr>
                <w:szCs w:val="22"/>
                <w:lang w:val="sr-Latn-RS"/>
              </w:rPr>
            </w:pPr>
            <w:r w:rsidRPr="00711E68">
              <w:rPr>
                <w:szCs w:val="22"/>
                <w:lang w:val="sr-Latn-RS"/>
              </w:rPr>
              <w:t>--</w:t>
            </w:r>
          </w:p>
        </w:tc>
        <w:tc>
          <w:tcPr>
            <w:tcW w:w="1710" w:type="dxa"/>
            <w:shd w:val="clear" w:color="auto" w:fill="auto"/>
            <w:vAlign w:val="center"/>
          </w:tcPr>
          <w:p w14:paraId="158926F4" w14:textId="0EF88FD9" w:rsidR="000C4DA0" w:rsidRPr="00711E68" w:rsidRDefault="000C4DA0" w:rsidP="00711E68">
            <w:pPr>
              <w:keepNext/>
              <w:jc w:val="center"/>
              <w:rPr>
                <w:szCs w:val="22"/>
                <w:lang w:val="sr-Latn-RS"/>
              </w:rPr>
            </w:pPr>
            <w:r w:rsidRPr="00711E68">
              <w:rPr>
                <w:szCs w:val="22"/>
                <w:lang w:val="sr-Latn-RS"/>
              </w:rPr>
              <w:t>237 (80,6)</w:t>
            </w:r>
          </w:p>
        </w:tc>
        <w:tc>
          <w:tcPr>
            <w:tcW w:w="1440" w:type="dxa"/>
            <w:shd w:val="clear" w:color="auto" w:fill="auto"/>
            <w:vAlign w:val="center"/>
          </w:tcPr>
          <w:p w14:paraId="49A81351" w14:textId="52FB9865" w:rsidR="000C4DA0" w:rsidRPr="00711E68" w:rsidRDefault="000C4DA0" w:rsidP="00711E68">
            <w:pPr>
              <w:keepNext/>
              <w:jc w:val="center"/>
              <w:rPr>
                <w:szCs w:val="22"/>
                <w:lang w:val="sr-Latn-RS"/>
              </w:rPr>
            </w:pPr>
            <w:r w:rsidRPr="00711E68">
              <w:rPr>
                <w:szCs w:val="22"/>
                <w:lang w:val="sr-Latn-RS"/>
              </w:rPr>
              <w:t>50 (50,5)</w:t>
            </w:r>
          </w:p>
        </w:tc>
        <w:tc>
          <w:tcPr>
            <w:tcW w:w="1440" w:type="dxa"/>
            <w:shd w:val="clear" w:color="auto" w:fill="auto"/>
            <w:vAlign w:val="center"/>
          </w:tcPr>
          <w:p w14:paraId="4FF9D880" w14:textId="77777777" w:rsidR="000C4DA0" w:rsidRPr="00711E68" w:rsidRDefault="000C4DA0" w:rsidP="00711E68">
            <w:pPr>
              <w:keepNext/>
              <w:jc w:val="center"/>
              <w:rPr>
                <w:szCs w:val="22"/>
                <w:lang w:val="sr-Latn-RS"/>
              </w:rPr>
            </w:pPr>
            <w:r w:rsidRPr="00711E68">
              <w:rPr>
                <w:szCs w:val="22"/>
                <w:lang w:val="sr-Latn-RS"/>
              </w:rPr>
              <w:t>--</w:t>
            </w:r>
          </w:p>
        </w:tc>
      </w:tr>
      <w:tr w:rsidR="000C4DA0" w:rsidRPr="00711E68" w14:paraId="6EA2A117" w14:textId="77777777" w:rsidTr="001D2C0F">
        <w:tc>
          <w:tcPr>
            <w:tcW w:w="10080" w:type="dxa"/>
            <w:gridSpan w:val="7"/>
            <w:shd w:val="clear" w:color="auto" w:fill="auto"/>
            <w:vAlign w:val="center"/>
          </w:tcPr>
          <w:p w14:paraId="201C096F" w14:textId="77777777" w:rsidR="000C4DA0" w:rsidRPr="00711E68" w:rsidRDefault="000C4DA0" w:rsidP="00711E68">
            <w:pPr>
              <w:keepNext/>
              <w:rPr>
                <w:szCs w:val="22"/>
                <w:lang w:val="sr-Latn-RS"/>
              </w:rPr>
            </w:pPr>
            <w:r w:rsidRPr="00711E68">
              <w:rPr>
                <w:b/>
                <w:szCs w:val="22"/>
                <w:lang w:val="sr-Latn-RS"/>
              </w:rPr>
              <w:t>PASI 100</w:t>
            </w:r>
          </w:p>
        </w:tc>
      </w:tr>
      <w:tr w:rsidR="000C4DA0" w:rsidRPr="00711E68" w14:paraId="1CDC18F4" w14:textId="77777777" w:rsidTr="00F120A0">
        <w:tc>
          <w:tcPr>
            <w:tcW w:w="1485" w:type="dxa"/>
            <w:shd w:val="clear" w:color="auto" w:fill="auto"/>
            <w:vAlign w:val="center"/>
          </w:tcPr>
          <w:p w14:paraId="700AF147" w14:textId="007448D1" w:rsidR="000C4DA0" w:rsidRPr="00711E68" w:rsidRDefault="000C4DA0" w:rsidP="00711E68">
            <w:pPr>
              <w:keepNext/>
              <w:jc w:val="center"/>
              <w:rPr>
                <w:b/>
                <w:szCs w:val="22"/>
                <w:lang w:val="sr-Latn-RS"/>
              </w:rPr>
            </w:pPr>
            <w:r w:rsidRPr="00711E68">
              <w:rPr>
                <w:b/>
                <w:szCs w:val="22"/>
                <w:lang w:val="sr-Latn-RS"/>
              </w:rPr>
              <w:t>Ned</w:t>
            </w:r>
            <w:r w:rsidR="00F12716" w:rsidRPr="00711E68">
              <w:rPr>
                <w:b/>
                <w:szCs w:val="22"/>
                <w:lang w:val="sr-Latn-RS"/>
              </w:rPr>
              <w:t>j</w:t>
            </w:r>
            <w:r w:rsidRPr="00711E68">
              <w:rPr>
                <w:b/>
                <w:szCs w:val="22"/>
                <w:lang w:val="sr-Latn-RS"/>
              </w:rPr>
              <w:t>elja 16</w:t>
            </w:r>
          </w:p>
        </w:tc>
        <w:tc>
          <w:tcPr>
            <w:tcW w:w="1530" w:type="dxa"/>
            <w:shd w:val="clear" w:color="auto" w:fill="auto"/>
            <w:vAlign w:val="center"/>
          </w:tcPr>
          <w:p w14:paraId="6ED72FCB" w14:textId="698D418D" w:rsidR="000C4DA0" w:rsidRPr="00711E68" w:rsidRDefault="000C4DA0" w:rsidP="00711E68">
            <w:pPr>
              <w:keepNext/>
              <w:jc w:val="center"/>
              <w:rPr>
                <w:szCs w:val="22"/>
                <w:lang w:val="sr-Latn-RS"/>
              </w:rPr>
            </w:pPr>
            <w:r w:rsidRPr="00711E68">
              <w:rPr>
                <w:szCs w:val="22"/>
                <w:lang w:val="sr-Latn-RS"/>
              </w:rPr>
              <w:t>109 (35,9)</w:t>
            </w:r>
          </w:p>
        </w:tc>
        <w:tc>
          <w:tcPr>
            <w:tcW w:w="1418" w:type="dxa"/>
            <w:shd w:val="clear" w:color="auto" w:fill="auto"/>
            <w:vAlign w:val="center"/>
          </w:tcPr>
          <w:p w14:paraId="50517A74" w14:textId="10522B36" w:rsidR="000C4DA0" w:rsidRPr="00711E68" w:rsidRDefault="000C4DA0" w:rsidP="00711E68">
            <w:pPr>
              <w:keepNext/>
              <w:jc w:val="center"/>
              <w:rPr>
                <w:szCs w:val="22"/>
                <w:lang w:val="sr-Latn-RS"/>
              </w:rPr>
            </w:pPr>
            <w:r w:rsidRPr="00711E68">
              <w:rPr>
                <w:szCs w:val="22"/>
                <w:lang w:val="sr-Latn-RS"/>
              </w:rPr>
              <w:t>12 (12,0)</w:t>
            </w:r>
          </w:p>
        </w:tc>
        <w:tc>
          <w:tcPr>
            <w:tcW w:w="1057" w:type="dxa"/>
            <w:shd w:val="clear" w:color="auto" w:fill="auto"/>
            <w:vAlign w:val="center"/>
          </w:tcPr>
          <w:p w14:paraId="60D389C8" w14:textId="6A785D07" w:rsidR="000C4DA0" w:rsidRPr="00711E68" w:rsidRDefault="000C4DA0" w:rsidP="00711E68">
            <w:pPr>
              <w:keepNext/>
              <w:jc w:val="center"/>
              <w:rPr>
                <w:szCs w:val="22"/>
                <w:lang w:val="sr-Latn-RS"/>
              </w:rPr>
            </w:pPr>
            <w:r w:rsidRPr="00711E68">
              <w:rPr>
                <w:szCs w:val="22"/>
                <w:lang w:val="sr-Latn-RS"/>
              </w:rPr>
              <w:t>0 (0,0)</w:t>
            </w:r>
          </w:p>
        </w:tc>
        <w:tc>
          <w:tcPr>
            <w:tcW w:w="1710" w:type="dxa"/>
            <w:shd w:val="clear" w:color="auto" w:fill="auto"/>
            <w:vAlign w:val="center"/>
          </w:tcPr>
          <w:p w14:paraId="2E59AF19" w14:textId="37FBC393" w:rsidR="000C4DA0" w:rsidRPr="00711E68" w:rsidRDefault="000C4DA0" w:rsidP="00711E68">
            <w:pPr>
              <w:keepNext/>
              <w:jc w:val="center"/>
              <w:rPr>
                <w:szCs w:val="22"/>
                <w:lang w:val="sr-Latn-RS"/>
              </w:rPr>
            </w:pPr>
            <w:r w:rsidRPr="00711E68">
              <w:rPr>
                <w:szCs w:val="22"/>
                <w:lang w:val="sr-Latn-RS"/>
              </w:rPr>
              <w:t>149 (50,7)</w:t>
            </w:r>
          </w:p>
        </w:tc>
        <w:tc>
          <w:tcPr>
            <w:tcW w:w="1440" w:type="dxa"/>
            <w:shd w:val="clear" w:color="auto" w:fill="auto"/>
            <w:vAlign w:val="center"/>
          </w:tcPr>
          <w:p w14:paraId="419F2C12" w14:textId="1526C3FD" w:rsidR="000C4DA0" w:rsidRPr="00711E68" w:rsidRDefault="000C4DA0" w:rsidP="00711E68">
            <w:pPr>
              <w:keepNext/>
              <w:jc w:val="center"/>
              <w:rPr>
                <w:szCs w:val="22"/>
                <w:lang w:val="sr-Latn-RS"/>
              </w:rPr>
            </w:pPr>
            <w:r w:rsidRPr="00711E68">
              <w:rPr>
                <w:szCs w:val="22"/>
                <w:lang w:val="sr-Latn-RS"/>
              </w:rPr>
              <w:t>24 (24,2)</w:t>
            </w:r>
          </w:p>
        </w:tc>
        <w:tc>
          <w:tcPr>
            <w:tcW w:w="1440" w:type="dxa"/>
            <w:shd w:val="clear" w:color="auto" w:fill="auto"/>
            <w:vAlign w:val="center"/>
          </w:tcPr>
          <w:p w14:paraId="126A8E27" w14:textId="37C53988" w:rsidR="000C4DA0" w:rsidRPr="00711E68" w:rsidRDefault="000C4DA0" w:rsidP="00711E68">
            <w:pPr>
              <w:keepNext/>
              <w:jc w:val="center"/>
              <w:rPr>
                <w:szCs w:val="22"/>
                <w:lang w:val="sr-Latn-RS"/>
              </w:rPr>
            </w:pPr>
            <w:r w:rsidRPr="00711E68">
              <w:rPr>
                <w:szCs w:val="22"/>
                <w:lang w:val="sr-Latn-RS"/>
              </w:rPr>
              <w:t>2 (2,0)</w:t>
            </w:r>
          </w:p>
        </w:tc>
      </w:tr>
      <w:tr w:rsidR="000C4DA0" w:rsidRPr="00711E68" w14:paraId="742404A5" w14:textId="77777777" w:rsidTr="00F120A0">
        <w:tc>
          <w:tcPr>
            <w:tcW w:w="1485" w:type="dxa"/>
            <w:shd w:val="clear" w:color="auto" w:fill="auto"/>
            <w:vAlign w:val="center"/>
          </w:tcPr>
          <w:p w14:paraId="42B6179D" w14:textId="3BEB7756" w:rsidR="000C4DA0" w:rsidRPr="00711E68" w:rsidRDefault="000C4DA0" w:rsidP="00711E68">
            <w:pPr>
              <w:keepNext/>
              <w:jc w:val="center"/>
              <w:rPr>
                <w:b/>
                <w:szCs w:val="22"/>
                <w:lang w:val="sr-Latn-RS"/>
              </w:rPr>
            </w:pPr>
            <w:r w:rsidRPr="00711E68">
              <w:rPr>
                <w:b/>
                <w:szCs w:val="22"/>
                <w:lang w:val="sr-Latn-RS"/>
              </w:rPr>
              <w:t>Ned</w:t>
            </w:r>
            <w:r w:rsidR="00F12716" w:rsidRPr="00711E68">
              <w:rPr>
                <w:b/>
                <w:szCs w:val="22"/>
                <w:lang w:val="sr-Latn-RS"/>
              </w:rPr>
              <w:t>j</w:t>
            </w:r>
            <w:r w:rsidRPr="00711E68">
              <w:rPr>
                <w:b/>
                <w:szCs w:val="22"/>
                <w:lang w:val="sr-Latn-RS"/>
              </w:rPr>
              <w:t>elja 52</w:t>
            </w:r>
          </w:p>
        </w:tc>
        <w:tc>
          <w:tcPr>
            <w:tcW w:w="1530" w:type="dxa"/>
            <w:shd w:val="clear" w:color="auto" w:fill="auto"/>
            <w:vAlign w:val="center"/>
          </w:tcPr>
          <w:p w14:paraId="5EB4CD1B" w14:textId="2D8521D5" w:rsidR="000C4DA0" w:rsidRPr="00711E68" w:rsidRDefault="000C4DA0" w:rsidP="00711E68">
            <w:pPr>
              <w:keepNext/>
              <w:jc w:val="center"/>
              <w:rPr>
                <w:szCs w:val="22"/>
                <w:lang w:val="sr-Latn-RS"/>
              </w:rPr>
            </w:pPr>
            <w:r w:rsidRPr="00711E68">
              <w:rPr>
                <w:szCs w:val="22"/>
                <w:lang w:val="sr-Latn-RS"/>
              </w:rPr>
              <w:t>171 (56,3)</w:t>
            </w:r>
          </w:p>
        </w:tc>
        <w:tc>
          <w:tcPr>
            <w:tcW w:w="1418" w:type="dxa"/>
            <w:shd w:val="clear" w:color="auto" w:fill="auto"/>
            <w:vAlign w:val="center"/>
          </w:tcPr>
          <w:p w14:paraId="592D744D" w14:textId="1A477DC3" w:rsidR="000C4DA0" w:rsidRPr="00711E68" w:rsidRDefault="000C4DA0" w:rsidP="00711E68">
            <w:pPr>
              <w:keepNext/>
              <w:jc w:val="center"/>
              <w:rPr>
                <w:szCs w:val="22"/>
                <w:lang w:val="sr-Latn-RS"/>
              </w:rPr>
            </w:pPr>
            <w:r w:rsidRPr="00711E68">
              <w:rPr>
                <w:szCs w:val="22"/>
                <w:lang w:val="sr-Latn-RS"/>
              </w:rPr>
              <w:t>21 (21,0)</w:t>
            </w:r>
          </w:p>
        </w:tc>
        <w:tc>
          <w:tcPr>
            <w:tcW w:w="1057" w:type="dxa"/>
            <w:shd w:val="clear" w:color="auto" w:fill="auto"/>
            <w:vAlign w:val="center"/>
          </w:tcPr>
          <w:p w14:paraId="3FD3929A" w14:textId="77777777" w:rsidR="000C4DA0" w:rsidRPr="00711E68" w:rsidRDefault="000C4DA0" w:rsidP="00711E68">
            <w:pPr>
              <w:keepNext/>
              <w:jc w:val="center"/>
              <w:rPr>
                <w:szCs w:val="22"/>
                <w:lang w:val="sr-Latn-RS"/>
              </w:rPr>
            </w:pPr>
            <w:r w:rsidRPr="00711E68">
              <w:rPr>
                <w:szCs w:val="22"/>
                <w:lang w:val="sr-Latn-RS"/>
              </w:rPr>
              <w:t>--</w:t>
            </w:r>
          </w:p>
        </w:tc>
        <w:tc>
          <w:tcPr>
            <w:tcW w:w="1710" w:type="dxa"/>
            <w:shd w:val="clear" w:color="auto" w:fill="auto"/>
            <w:vAlign w:val="center"/>
          </w:tcPr>
          <w:p w14:paraId="32ABF59D" w14:textId="73274713" w:rsidR="000C4DA0" w:rsidRPr="00711E68" w:rsidRDefault="000C4DA0" w:rsidP="00711E68">
            <w:pPr>
              <w:keepNext/>
              <w:jc w:val="center"/>
              <w:rPr>
                <w:szCs w:val="22"/>
                <w:lang w:val="sr-Latn-RS"/>
              </w:rPr>
            </w:pPr>
            <w:r w:rsidRPr="00711E68">
              <w:rPr>
                <w:szCs w:val="22"/>
                <w:lang w:val="sr-Latn-RS"/>
              </w:rPr>
              <w:t>175 (59,5)</w:t>
            </w:r>
          </w:p>
        </w:tc>
        <w:tc>
          <w:tcPr>
            <w:tcW w:w="1440" w:type="dxa"/>
            <w:shd w:val="clear" w:color="auto" w:fill="auto"/>
            <w:vAlign w:val="center"/>
          </w:tcPr>
          <w:p w14:paraId="09FA4F72" w14:textId="19A3D7C4" w:rsidR="000C4DA0" w:rsidRPr="00711E68" w:rsidRDefault="000C4DA0" w:rsidP="00711E68">
            <w:pPr>
              <w:keepNext/>
              <w:jc w:val="center"/>
              <w:rPr>
                <w:szCs w:val="22"/>
                <w:lang w:val="sr-Latn-RS"/>
              </w:rPr>
            </w:pPr>
            <w:r w:rsidRPr="00711E68">
              <w:rPr>
                <w:szCs w:val="22"/>
                <w:lang w:val="sr-Latn-RS"/>
              </w:rPr>
              <w:t>30 (30,3)</w:t>
            </w:r>
          </w:p>
        </w:tc>
        <w:tc>
          <w:tcPr>
            <w:tcW w:w="1440" w:type="dxa"/>
            <w:shd w:val="clear" w:color="auto" w:fill="auto"/>
            <w:vAlign w:val="center"/>
          </w:tcPr>
          <w:p w14:paraId="62C67FDC" w14:textId="77777777" w:rsidR="000C4DA0" w:rsidRPr="00711E68" w:rsidRDefault="000C4DA0" w:rsidP="00711E68">
            <w:pPr>
              <w:keepNext/>
              <w:jc w:val="center"/>
              <w:rPr>
                <w:szCs w:val="22"/>
                <w:lang w:val="sr-Latn-RS"/>
              </w:rPr>
            </w:pPr>
            <w:r w:rsidRPr="00711E68">
              <w:rPr>
                <w:szCs w:val="22"/>
                <w:lang w:val="sr-Latn-RS"/>
              </w:rPr>
              <w:t>--</w:t>
            </w:r>
          </w:p>
        </w:tc>
      </w:tr>
      <w:tr w:rsidR="000C4DA0" w:rsidRPr="00711E68" w14:paraId="509061F3" w14:textId="77777777" w:rsidTr="001D2C0F">
        <w:tc>
          <w:tcPr>
            <w:tcW w:w="10080" w:type="dxa"/>
            <w:gridSpan w:val="7"/>
            <w:shd w:val="clear" w:color="auto" w:fill="auto"/>
            <w:vAlign w:val="center"/>
          </w:tcPr>
          <w:p w14:paraId="24D31319" w14:textId="129D2E3F" w:rsidR="000C4DA0" w:rsidRPr="00711E68" w:rsidRDefault="000C4DA0" w:rsidP="00711E68">
            <w:pPr>
              <w:keepNext/>
              <w:rPr>
                <w:szCs w:val="22"/>
                <w:lang w:val="sr-Latn-RS"/>
              </w:rPr>
            </w:pPr>
            <w:r w:rsidRPr="00711E68">
              <w:rPr>
                <w:rFonts w:eastAsia="HelveticaNeueLTStd-Cn"/>
                <w:b/>
                <w:szCs w:val="22"/>
                <w:lang w:val="sr-Latn-RS"/>
              </w:rPr>
              <w:t xml:space="preserve">DLQI 0 </w:t>
            </w:r>
            <w:r w:rsidR="001A6E69" w:rsidRPr="00711E68">
              <w:rPr>
                <w:rFonts w:eastAsia="HelveticaNeueLTStd-Cn"/>
                <w:b/>
                <w:szCs w:val="22"/>
                <w:lang w:val="sr-Latn-RS"/>
              </w:rPr>
              <w:t>ili</w:t>
            </w:r>
            <w:r w:rsidRPr="00711E68">
              <w:rPr>
                <w:rFonts w:eastAsia="HelveticaNeueLTStd-Cn"/>
                <w:b/>
                <w:szCs w:val="22"/>
                <w:lang w:val="sr-Latn-RS"/>
              </w:rPr>
              <w:t xml:space="preserve"> 1</w:t>
            </w:r>
            <w:r w:rsidRPr="00711E68">
              <w:rPr>
                <w:rFonts w:eastAsia="HelveticaNeueLTStd-Cn"/>
                <w:b/>
                <w:szCs w:val="22"/>
                <w:vertAlign w:val="superscript"/>
                <w:lang w:val="sr-Latn-RS"/>
              </w:rPr>
              <w:t>b</w:t>
            </w:r>
          </w:p>
        </w:tc>
      </w:tr>
      <w:tr w:rsidR="000C4DA0" w:rsidRPr="00711E68" w14:paraId="00BF48B8" w14:textId="77777777" w:rsidTr="00F120A0">
        <w:tc>
          <w:tcPr>
            <w:tcW w:w="1485" w:type="dxa"/>
            <w:shd w:val="clear" w:color="auto" w:fill="auto"/>
            <w:vAlign w:val="center"/>
          </w:tcPr>
          <w:p w14:paraId="4E0A8623" w14:textId="242C3515" w:rsidR="000C4DA0" w:rsidRPr="00711E68" w:rsidRDefault="000C4DA0" w:rsidP="00711E68">
            <w:pPr>
              <w:keepNext/>
              <w:jc w:val="center"/>
              <w:rPr>
                <w:b/>
                <w:szCs w:val="22"/>
                <w:lang w:val="sr-Latn-RS"/>
              </w:rPr>
            </w:pPr>
            <w:r w:rsidRPr="00711E68">
              <w:rPr>
                <w:b/>
                <w:szCs w:val="22"/>
                <w:lang w:val="sr-Latn-RS"/>
              </w:rPr>
              <w:t>Ned</w:t>
            </w:r>
            <w:r w:rsidR="00F12716" w:rsidRPr="00711E68">
              <w:rPr>
                <w:b/>
                <w:szCs w:val="22"/>
                <w:lang w:val="sr-Latn-RS"/>
              </w:rPr>
              <w:t>j</w:t>
            </w:r>
            <w:r w:rsidRPr="00711E68">
              <w:rPr>
                <w:b/>
                <w:szCs w:val="22"/>
                <w:lang w:val="sr-Latn-RS"/>
              </w:rPr>
              <w:t>elja 16</w:t>
            </w:r>
          </w:p>
        </w:tc>
        <w:tc>
          <w:tcPr>
            <w:tcW w:w="1530" w:type="dxa"/>
            <w:shd w:val="clear" w:color="auto" w:fill="auto"/>
          </w:tcPr>
          <w:p w14:paraId="04C8C4E9" w14:textId="45E22B5C" w:rsidR="000C4DA0" w:rsidRPr="00711E68" w:rsidRDefault="000C4DA0" w:rsidP="00711E68">
            <w:pPr>
              <w:keepNext/>
              <w:jc w:val="center"/>
              <w:rPr>
                <w:szCs w:val="22"/>
                <w:lang w:val="sr-Latn-RS"/>
              </w:rPr>
            </w:pPr>
            <w:r w:rsidRPr="00711E68">
              <w:rPr>
                <w:rFonts w:eastAsia="HelveticaNeueLTStd-Cn"/>
                <w:szCs w:val="22"/>
                <w:lang w:val="sr-Latn-RS"/>
              </w:rPr>
              <w:t>200 (65</w:t>
            </w:r>
            <w:r w:rsidRPr="00711E68">
              <w:rPr>
                <w:szCs w:val="22"/>
                <w:lang w:val="sr-Latn-RS"/>
              </w:rPr>
              <w:t>,</w:t>
            </w:r>
            <w:r w:rsidRPr="00711E68">
              <w:rPr>
                <w:rFonts w:eastAsia="HelveticaNeueLTStd-Cn"/>
                <w:szCs w:val="22"/>
                <w:lang w:val="sr-Latn-RS"/>
              </w:rPr>
              <w:t>8)</w:t>
            </w:r>
          </w:p>
        </w:tc>
        <w:tc>
          <w:tcPr>
            <w:tcW w:w="1418" w:type="dxa"/>
            <w:shd w:val="clear" w:color="auto" w:fill="auto"/>
          </w:tcPr>
          <w:p w14:paraId="2536CA1B" w14:textId="619A3581" w:rsidR="000C4DA0" w:rsidRPr="00711E68" w:rsidRDefault="000C4DA0" w:rsidP="00711E68">
            <w:pPr>
              <w:keepNext/>
              <w:jc w:val="center"/>
              <w:rPr>
                <w:szCs w:val="22"/>
                <w:lang w:val="sr-Latn-RS"/>
              </w:rPr>
            </w:pPr>
            <w:r w:rsidRPr="00711E68">
              <w:rPr>
                <w:rFonts w:eastAsia="HelveticaNeueLTStd-Cn"/>
                <w:szCs w:val="22"/>
                <w:lang w:val="sr-Latn-RS"/>
              </w:rPr>
              <w:t>43 (43</w:t>
            </w:r>
            <w:r w:rsidRPr="00711E68">
              <w:rPr>
                <w:szCs w:val="22"/>
                <w:lang w:val="sr-Latn-RS"/>
              </w:rPr>
              <w:t>,</w:t>
            </w:r>
            <w:r w:rsidRPr="00711E68">
              <w:rPr>
                <w:rFonts w:eastAsia="HelveticaNeueLTStd-Cn"/>
                <w:szCs w:val="22"/>
                <w:lang w:val="sr-Latn-RS"/>
              </w:rPr>
              <w:t>0)</w:t>
            </w:r>
          </w:p>
        </w:tc>
        <w:tc>
          <w:tcPr>
            <w:tcW w:w="1057" w:type="dxa"/>
            <w:shd w:val="clear" w:color="auto" w:fill="auto"/>
          </w:tcPr>
          <w:p w14:paraId="41F42EC6" w14:textId="5B642702" w:rsidR="000C4DA0" w:rsidRPr="00711E68" w:rsidRDefault="000C4DA0" w:rsidP="00711E68">
            <w:pPr>
              <w:keepNext/>
              <w:jc w:val="center"/>
              <w:rPr>
                <w:szCs w:val="22"/>
                <w:lang w:val="sr-Latn-RS"/>
              </w:rPr>
            </w:pPr>
            <w:r w:rsidRPr="00711E68">
              <w:rPr>
                <w:rFonts w:eastAsia="HelveticaNeueLTStd-Cn"/>
                <w:szCs w:val="22"/>
                <w:lang w:val="sr-Latn-RS"/>
              </w:rPr>
              <w:t>8 (7</w:t>
            </w:r>
            <w:r w:rsidRPr="00711E68">
              <w:rPr>
                <w:szCs w:val="22"/>
                <w:lang w:val="sr-Latn-RS"/>
              </w:rPr>
              <w:t>,</w:t>
            </w:r>
            <w:r w:rsidRPr="00711E68">
              <w:rPr>
                <w:rFonts w:eastAsia="HelveticaNeueLTStd-Cn"/>
                <w:szCs w:val="22"/>
                <w:lang w:val="sr-Latn-RS"/>
              </w:rPr>
              <w:t>8)</w:t>
            </w:r>
          </w:p>
        </w:tc>
        <w:tc>
          <w:tcPr>
            <w:tcW w:w="1710" w:type="dxa"/>
            <w:shd w:val="clear" w:color="auto" w:fill="auto"/>
          </w:tcPr>
          <w:p w14:paraId="4FB327E9" w14:textId="2A678749" w:rsidR="000C4DA0" w:rsidRPr="00711E68" w:rsidRDefault="000C4DA0" w:rsidP="00711E68">
            <w:pPr>
              <w:keepNext/>
              <w:jc w:val="center"/>
              <w:rPr>
                <w:szCs w:val="22"/>
                <w:lang w:val="sr-Latn-RS"/>
              </w:rPr>
            </w:pPr>
            <w:r w:rsidRPr="00711E68">
              <w:rPr>
                <w:rFonts w:eastAsia="HelveticaNeueLTStd-Cn"/>
                <w:szCs w:val="22"/>
                <w:lang w:val="sr-Latn-RS"/>
              </w:rPr>
              <w:t>196 (66</w:t>
            </w:r>
            <w:r w:rsidRPr="00711E68">
              <w:rPr>
                <w:szCs w:val="22"/>
                <w:lang w:val="sr-Latn-RS"/>
              </w:rPr>
              <w:t>,</w:t>
            </w:r>
            <w:r w:rsidRPr="00711E68">
              <w:rPr>
                <w:rFonts w:eastAsia="HelveticaNeueLTStd-Cn"/>
                <w:szCs w:val="22"/>
                <w:lang w:val="sr-Latn-RS"/>
              </w:rPr>
              <w:t>7)</w:t>
            </w:r>
          </w:p>
        </w:tc>
        <w:tc>
          <w:tcPr>
            <w:tcW w:w="1440" w:type="dxa"/>
            <w:shd w:val="clear" w:color="auto" w:fill="auto"/>
          </w:tcPr>
          <w:p w14:paraId="270F0883" w14:textId="3F521D6C" w:rsidR="000C4DA0" w:rsidRPr="00711E68" w:rsidRDefault="000C4DA0" w:rsidP="00711E68">
            <w:pPr>
              <w:keepNext/>
              <w:jc w:val="center"/>
              <w:rPr>
                <w:szCs w:val="22"/>
                <w:lang w:val="sr-Latn-RS"/>
              </w:rPr>
            </w:pPr>
            <w:r w:rsidRPr="00711E68">
              <w:rPr>
                <w:rFonts w:eastAsia="HelveticaNeueLTStd-Cn"/>
                <w:szCs w:val="22"/>
                <w:lang w:val="sr-Latn-RS"/>
              </w:rPr>
              <w:t>46 (46</w:t>
            </w:r>
            <w:r w:rsidRPr="00711E68">
              <w:rPr>
                <w:szCs w:val="22"/>
                <w:lang w:val="sr-Latn-RS"/>
              </w:rPr>
              <w:t>,</w:t>
            </w:r>
            <w:r w:rsidRPr="00711E68">
              <w:rPr>
                <w:rFonts w:eastAsia="HelveticaNeueLTStd-Cn"/>
                <w:szCs w:val="22"/>
                <w:lang w:val="sr-Latn-RS"/>
              </w:rPr>
              <w:t>5)</w:t>
            </w:r>
          </w:p>
        </w:tc>
        <w:tc>
          <w:tcPr>
            <w:tcW w:w="1440" w:type="dxa"/>
            <w:shd w:val="clear" w:color="auto" w:fill="auto"/>
          </w:tcPr>
          <w:p w14:paraId="06C64E87" w14:textId="508EB5EC" w:rsidR="000C4DA0" w:rsidRPr="00711E68" w:rsidRDefault="000C4DA0" w:rsidP="00711E68">
            <w:pPr>
              <w:keepNext/>
              <w:jc w:val="center"/>
              <w:rPr>
                <w:szCs w:val="22"/>
                <w:lang w:val="sr-Latn-RS"/>
              </w:rPr>
            </w:pPr>
            <w:r w:rsidRPr="00711E68">
              <w:rPr>
                <w:rFonts w:eastAsia="HelveticaNeueLTStd-Cn"/>
                <w:szCs w:val="22"/>
                <w:lang w:val="sr-Latn-RS"/>
              </w:rPr>
              <w:t>4 (4</w:t>
            </w:r>
            <w:r w:rsidRPr="00711E68">
              <w:rPr>
                <w:szCs w:val="22"/>
                <w:lang w:val="sr-Latn-RS"/>
              </w:rPr>
              <w:t>,</w:t>
            </w:r>
            <w:r w:rsidRPr="00711E68">
              <w:rPr>
                <w:rFonts w:eastAsia="HelveticaNeueLTStd-Cn"/>
                <w:szCs w:val="22"/>
                <w:lang w:val="sr-Latn-RS"/>
              </w:rPr>
              <w:t>1)</w:t>
            </w:r>
          </w:p>
        </w:tc>
      </w:tr>
      <w:tr w:rsidR="000C4DA0" w:rsidRPr="00711E68" w14:paraId="55732CCD" w14:textId="77777777" w:rsidTr="00F120A0">
        <w:tc>
          <w:tcPr>
            <w:tcW w:w="1485" w:type="dxa"/>
            <w:shd w:val="clear" w:color="auto" w:fill="auto"/>
            <w:vAlign w:val="center"/>
          </w:tcPr>
          <w:p w14:paraId="45556CBF" w14:textId="2CCA5565" w:rsidR="000C4DA0" w:rsidRPr="00711E68" w:rsidRDefault="000C4DA0" w:rsidP="00711E68">
            <w:pPr>
              <w:keepNext/>
              <w:jc w:val="center"/>
              <w:rPr>
                <w:b/>
                <w:szCs w:val="22"/>
                <w:lang w:val="sr-Latn-RS"/>
              </w:rPr>
            </w:pPr>
            <w:r w:rsidRPr="00711E68">
              <w:rPr>
                <w:b/>
                <w:szCs w:val="22"/>
                <w:lang w:val="sr-Latn-RS"/>
              </w:rPr>
              <w:t>Ned</w:t>
            </w:r>
            <w:r w:rsidR="00F12716" w:rsidRPr="00711E68">
              <w:rPr>
                <w:b/>
                <w:szCs w:val="22"/>
                <w:lang w:val="sr-Latn-RS"/>
              </w:rPr>
              <w:t>j</w:t>
            </w:r>
            <w:r w:rsidRPr="00711E68">
              <w:rPr>
                <w:b/>
                <w:szCs w:val="22"/>
                <w:lang w:val="sr-Latn-RS"/>
              </w:rPr>
              <w:t>elja 52</w:t>
            </w:r>
          </w:p>
        </w:tc>
        <w:tc>
          <w:tcPr>
            <w:tcW w:w="1530" w:type="dxa"/>
            <w:shd w:val="clear" w:color="auto" w:fill="auto"/>
          </w:tcPr>
          <w:p w14:paraId="7939B42D" w14:textId="55FB0DFE" w:rsidR="000C4DA0" w:rsidRPr="00711E68" w:rsidRDefault="000C4DA0" w:rsidP="00711E68">
            <w:pPr>
              <w:keepNext/>
              <w:jc w:val="center"/>
              <w:rPr>
                <w:szCs w:val="22"/>
                <w:lang w:val="sr-Latn-RS"/>
              </w:rPr>
            </w:pPr>
            <w:r w:rsidRPr="00711E68">
              <w:rPr>
                <w:rFonts w:eastAsia="HelveticaNeueLTStd-Cn"/>
                <w:szCs w:val="22"/>
                <w:lang w:val="sr-Latn-RS"/>
              </w:rPr>
              <w:t>229 (75</w:t>
            </w:r>
            <w:r w:rsidRPr="00711E68">
              <w:rPr>
                <w:szCs w:val="22"/>
                <w:lang w:val="sr-Latn-RS"/>
              </w:rPr>
              <w:t>,</w:t>
            </w:r>
            <w:r w:rsidRPr="00711E68">
              <w:rPr>
                <w:rFonts w:eastAsia="HelveticaNeueLTStd-Cn"/>
                <w:szCs w:val="22"/>
                <w:lang w:val="sr-Latn-RS"/>
              </w:rPr>
              <w:t>3)</w:t>
            </w:r>
          </w:p>
        </w:tc>
        <w:tc>
          <w:tcPr>
            <w:tcW w:w="1418" w:type="dxa"/>
            <w:shd w:val="clear" w:color="auto" w:fill="auto"/>
          </w:tcPr>
          <w:p w14:paraId="35C21105" w14:textId="48282147" w:rsidR="000C4DA0" w:rsidRPr="00711E68" w:rsidRDefault="000C4DA0" w:rsidP="00711E68">
            <w:pPr>
              <w:keepNext/>
              <w:jc w:val="center"/>
              <w:rPr>
                <w:szCs w:val="22"/>
                <w:lang w:val="sr-Latn-RS"/>
              </w:rPr>
            </w:pPr>
            <w:r w:rsidRPr="00711E68">
              <w:rPr>
                <w:rFonts w:eastAsia="HelveticaNeueLTStd-Cn"/>
                <w:szCs w:val="22"/>
                <w:lang w:val="sr-Latn-RS"/>
              </w:rPr>
              <w:t>47 (47</w:t>
            </w:r>
            <w:r w:rsidRPr="00711E68">
              <w:rPr>
                <w:szCs w:val="22"/>
                <w:lang w:val="sr-Latn-RS"/>
              </w:rPr>
              <w:t>,</w:t>
            </w:r>
            <w:r w:rsidRPr="00711E68">
              <w:rPr>
                <w:rFonts w:eastAsia="HelveticaNeueLTStd-Cn"/>
                <w:szCs w:val="22"/>
                <w:lang w:val="sr-Latn-RS"/>
              </w:rPr>
              <w:t>0)</w:t>
            </w:r>
          </w:p>
        </w:tc>
        <w:tc>
          <w:tcPr>
            <w:tcW w:w="1057" w:type="dxa"/>
            <w:shd w:val="clear" w:color="auto" w:fill="auto"/>
          </w:tcPr>
          <w:p w14:paraId="7113AB3B" w14:textId="77777777" w:rsidR="000C4DA0" w:rsidRPr="00711E68" w:rsidRDefault="000C4DA0" w:rsidP="00711E68">
            <w:pPr>
              <w:keepNext/>
              <w:jc w:val="center"/>
              <w:rPr>
                <w:szCs w:val="22"/>
                <w:lang w:val="sr-Latn-RS"/>
              </w:rPr>
            </w:pPr>
            <w:r w:rsidRPr="00711E68">
              <w:rPr>
                <w:rFonts w:eastAsia="HelveticaNeueLTStd-Cn"/>
                <w:szCs w:val="22"/>
                <w:lang w:val="sr-Latn-RS"/>
              </w:rPr>
              <w:t>--</w:t>
            </w:r>
          </w:p>
        </w:tc>
        <w:tc>
          <w:tcPr>
            <w:tcW w:w="1710" w:type="dxa"/>
            <w:shd w:val="clear" w:color="auto" w:fill="auto"/>
          </w:tcPr>
          <w:p w14:paraId="1A9CDC0A" w14:textId="692E4FF4" w:rsidR="000C4DA0" w:rsidRPr="00711E68" w:rsidRDefault="000C4DA0" w:rsidP="00711E68">
            <w:pPr>
              <w:keepNext/>
              <w:jc w:val="center"/>
              <w:rPr>
                <w:szCs w:val="22"/>
                <w:lang w:val="sr-Latn-RS"/>
              </w:rPr>
            </w:pPr>
            <w:r w:rsidRPr="00711E68">
              <w:rPr>
                <w:rFonts w:eastAsia="HelveticaNeueLTStd-Cn"/>
                <w:szCs w:val="22"/>
                <w:lang w:val="sr-Latn-RS"/>
              </w:rPr>
              <w:t>208 (70</w:t>
            </w:r>
            <w:r w:rsidRPr="00711E68">
              <w:rPr>
                <w:szCs w:val="22"/>
                <w:lang w:val="sr-Latn-RS"/>
              </w:rPr>
              <w:t>,</w:t>
            </w:r>
            <w:r w:rsidRPr="00711E68">
              <w:rPr>
                <w:rFonts w:eastAsia="HelveticaNeueLTStd-Cn"/>
                <w:szCs w:val="22"/>
                <w:lang w:val="sr-Latn-RS"/>
              </w:rPr>
              <w:t>7)</w:t>
            </w:r>
          </w:p>
        </w:tc>
        <w:tc>
          <w:tcPr>
            <w:tcW w:w="1440" w:type="dxa"/>
            <w:shd w:val="clear" w:color="auto" w:fill="auto"/>
          </w:tcPr>
          <w:p w14:paraId="0EB22ACD" w14:textId="3F634299" w:rsidR="000C4DA0" w:rsidRPr="00711E68" w:rsidRDefault="000C4DA0" w:rsidP="00711E68">
            <w:pPr>
              <w:keepNext/>
              <w:jc w:val="center"/>
              <w:rPr>
                <w:szCs w:val="22"/>
                <w:lang w:val="sr-Latn-RS"/>
              </w:rPr>
            </w:pPr>
            <w:r w:rsidRPr="00711E68">
              <w:rPr>
                <w:rFonts w:eastAsia="HelveticaNeueLTStd-Cn"/>
                <w:szCs w:val="22"/>
                <w:lang w:val="sr-Latn-RS"/>
              </w:rPr>
              <w:t>44 (44</w:t>
            </w:r>
            <w:r w:rsidRPr="00711E68">
              <w:rPr>
                <w:szCs w:val="22"/>
                <w:lang w:val="sr-Latn-RS"/>
              </w:rPr>
              <w:t>,</w:t>
            </w:r>
            <w:r w:rsidRPr="00711E68">
              <w:rPr>
                <w:rFonts w:eastAsia="HelveticaNeueLTStd-Cn"/>
                <w:szCs w:val="22"/>
                <w:lang w:val="sr-Latn-RS"/>
              </w:rPr>
              <w:t>4)</w:t>
            </w:r>
          </w:p>
        </w:tc>
        <w:tc>
          <w:tcPr>
            <w:tcW w:w="1440" w:type="dxa"/>
            <w:shd w:val="clear" w:color="auto" w:fill="auto"/>
          </w:tcPr>
          <w:p w14:paraId="6420B2AB" w14:textId="77777777" w:rsidR="000C4DA0" w:rsidRPr="00711E68" w:rsidRDefault="000C4DA0" w:rsidP="00711E68">
            <w:pPr>
              <w:keepNext/>
              <w:jc w:val="center"/>
              <w:rPr>
                <w:szCs w:val="22"/>
                <w:lang w:val="sr-Latn-RS"/>
              </w:rPr>
            </w:pPr>
            <w:r w:rsidRPr="00711E68">
              <w:rPr>
                <w:rFonts w:eastAsia="HelveticaNeueLTStd-Cn"/>
                <w:szCs w:val="22"/>
                <w:lang w:val="sr-Latn-RS"/>
              </w:rPr>
              <w:t xml:space="preserve"> --</w:t>
            </w:r>
          </w:p>
        </w:tc>
      </w:tr>
      <w:tr w:rsidR="000C4DA0" w:rsidRPr="00711E68" w14:paraId="65C7361E" w14:textId="77777777" w:rsidTr="001D2C0F">
        <w:tc>
          <w:tcPr>
            <w:tcW w:w="10080" w:type="dxa"/>
            <w:gridSpan w:val="7"/>
            <w:shd w:val="clear" w:color="auto" w:fill="auto"/>
            <w:vAlign w:val="center"/>
          </w:tcPr>
          <w:p w14:paraId="3E8A96C7" w14:textId="1DC817FD" w:rsidR="000C4DA0" w:rsidRPr="00711E68" w:rsidRDefault="000C4DA0" w:rsidP="00711E68">
            <w:pPr>
              <w:keepNext/>
              <w:rPr>
                <w:szCs w:val="22"/>
                <w:lang w:val="sr-Latn-RS"/>
              </w:rPr>
            </w:pPr>
            <w:r w:rsidRPr="00711E68">
              <w:rPr>
                <w:b/>
                <w:szCs w:val="22"/>
                <w:lang w:val="sr-Latn-RS"/>
              </w:rPr>
              <w:t>PSS 0 (bez simptoma)</w:t>
            </w:r>
            <w:r w:rsidRPr="00711E68">
              <w:rPr>
                <w:b/>
                <w:szCs w:val="22"/>
                <w:vertAlign w:val="superscript"/>
                <w:lang w:val="sr-Latn-RS"/>
              </w:rPr>
              <w:t>c</w:t>
            </w:r>
          </w:p>
        </w:tc>
      </w:tr>
      <w:tr w:rsidR="000C4DA0" w:rsidRPr="00711E68" w14:paraId="79BA9375" w14:textId="77777777" w:rsidTr="00F120A0">
        <w:tc>
          <w:tcPr>
            <w:tcW w:w="1485" w:type="dxa"/>
            <w:shd w:val="clear" w:color="auto" w:fill="auto"/>
            <w:vAlign w:val="center"/>
          </w:tcPr>
          <w:p w14:paraId="26741755" w14:textId="4798A0F2" w:rsidR="000C4DA0" w:rsidRPr="00711E68" w:rsidRDefault="000C4DA0" w:rsidP="00711E68">
            <w:pPr>
              <w:keepNext/>
              <w:jc w:val="center"/>
              <w:rPr>
                <w:b/>
                <w:szCs w:val="22"/>
                <w:lang w:val="sr-Latn-RS"/>
              </w:rPr>
            </w:pPr>
            <w:r w:rsidRPr="00711E68">
              <w:rPr>
                <w:b/>
                <w:szCs w:val="22"/>
                <w:lang w:val="sr-Latn-RS"/>
              </w:rPr>
              <w:t>Ned</w:t>
            </w:r>
            <w:r w:rsidR="00F12716" w:rsidRPr="00711E68">
              <w:rPr>
                <w:b/>
                <w:szCs w:val="22"/>
                <w:lang w:val="sr-Latn-RS"/>
              </w:rPr>
              <w:t>j</w:t>
            </w:r>
            <w:r w:rsidRPr="00711E68">
              <w:rPr>
                <w:b/>
                <w:szCs w:val="22"/>
                <w:lang w:val="sr-Latn-RS"/>
              </w:rPr>
              <w:t>elja 16</w:t>
            </w:r>
          </w:p>
        </w:tc>
        <w:tc>
          <w:tcPr>
            <w:tcW w:w="1530" w:type="dxa"/>
            <w:shd w:val="clear" w:color="auto" w:fill="auto"/>
            <w:vAlign w:val="center"/>
          </w:tcPr>
          <w:p w14:paraId="4EAFEA13" w14:textId="1AE54B7C" w:rsidR="000C4DA0" w:rsidRPr="00711E68" w:rsidRDefault="000C4DA0" w:rsidP="00711E68">
            <w:pPr>
              <w:keepNext/>
              <w:jc w:val="center"/>
              <w:rPr>
                <w:szCs w:val="22"/>
                <w:lang w:val="sr-Latn-RS"/>
              </w:rPr>
            </w:pPr>
            <w:r w:rsidRPr="00711E68">
              <w:rPr>
                <w:szCs w:val="22"/>
                <w:lang w:val="sr-Latn-RS"/>
              </w:rPr>
              <w:t>89 (29,3)</w:t>
            </w:r>
          </w:p>
        </w:tc>
        <w:tc>
          <w:tcPr>
            <w:tcW w:w="1418" w:type="dxa"/>
            <w:shd w:val="clear" w:color="auto" w:fill="auto"/>
            <w:vAlign w:val="center"/>
          </w:tcPr>
          <w:p w14:paraId="4DB3BEB5" w14:textId="58FA496A" w:rsidR="000C4DA0" w:rsidRPr="00711E68" w:rsidRDefault="000C4DA0" w:rsidP="00711E68">
            <w:pPr>
              <w:keepNext/>
              <w:jc w:val="center"/>
              <w:rPr>
                <w:szCs w:val="22"/>
                <w:lang w:val="sr-Latn-RS"/>
              </w:rPr>
            </w:pPr>
            <w:r w:rsidRPr="00711E68">
              <w:rPr>
                <w:szCs w:val="22"/>
                <w:lang w:val="sr-Latn-RS"/>
              </w:rPr>
              <w:t>15 (15,0)</w:t>
            </w:r>
          </w:p>
        </w:tc>
        <w:tc>
          <w:tcPr>
            <w:tcW w:w="1057" w:type="dxa"/>
            <w:shd w:val="clear" w:color="auto" w:fill="auto"/>
            <w:vAlign w:val="center"/>
          </w:tcPr>
          <w:p w14:paraId="03A7FD80" w14:textId="3039DF7C" w:rsidR="000C4DA0" w:rsidRPr="00711E68" w:rsidRDefault="000C4DA0" w:rsidP="00711E68">
            <w:pPr>
              <w:keepNext/>
              <w:jc w:val="center"/>
              <w:rPr>
                <w:szCs w:val="22"/>
                <w:lang w:val="sr-Latn-RS"/>
              </w:rPr>
            </w:pPr>
            <w:r w:rsidRPr="00711E68">
              <w:rPr>
                <w:szCs w:val="22"/>
                <w:lang w:val="sr-Latn-RS"/>
              </w:rPr>
              <w:t>2 (2,0)</w:t>
            </w:r>
          </w:p>
        </w:tc>
        <w:tc>
          <w:tcPr>
            <w:tcW w:w="1710" w:type="dxa"/>
            <w:shd w:val="clear" w:color="auto" w:fill="auto"/>
            <w:vAlign w:val="center"/>
          </w:tcPr>
          <w:p w14:paraId="5EB4BF83" w14:textId="08DCA517" w:rsidR="000C4DA0" w:rsidRPr="00711E68" w:rsidRDefault="000C4DA0" w:rsidP="00711E68">
            <w:pPr>
              <w:keepNext/>
              <w:jc w:val="center"/>
              <w:rPr>
                <w:szCs w:val="22"/>
                <w:lang w:val="sr-Latn-RS"/>
              </w:rPr>
            </w:pPr>
            <w:r w:rsidRPr="00711E68">
              <w:rPr>
                <w:szCs w:val="22"/>
                <w:lang w:val="sr-Latn-RS"/>
              </w:rPr>
              <w:t>92 (31,3)</w:t>
            </w:r>
          </w:p>
        </w:tc>
        <w:tc>
          <w:tcPr>
            <w:tcW w:w="1440" w:type="dxa"/>
            <w:shd w:val="clear" w:color="auto" w:fill="auto"/>
            <w:vAlign w:val="center"/>
          </w:tcPr>
          <w:p w14:paraId="5723DE47" w14:textId="34CC33CA" w:rsidR="000C4DA0" w:rsidRPr="00711E68" w:rsidRDefault="000C4DA0" w:rsidP="00711E68">
            <w:pPr>
              <w:keepNext/>
              <w:jc w:val="center"/>
              <w:rPr>
                <w:szCs w:val="22"/>
                <w:lang w:val="sr-Latn-RS"/>
              </w:rPr>
            </w:pPr>
            <w:r w:rsidRPr="00711E68">
              <w:rPr>
                <w:szCs w:val="22"/>
                <w:lang w:val="sr-Latn-RS"/>
              </w:rPr>
              <w:t>15 (15,2)</w:t>
            </w:r>
          </w:p>
        </w:tc>
        <w:tc>
          <w:tcPr>
            <w:tcW w:w="1440" w:type="dxa"/>
            <w:shd w:val="clear" w:color="auto" w:fill="auto"/>
            <w:vAlign w:val="center"/>
          </w:tcPr>
          <w:p w14:paraId="161333E5" w14:textId="493BFF8F" w:rsidR="000C4DA0" w:rsidRPr="00711E68" w:rsidRDefault="000C4DA0" w:rsidP="00711E68">
            <w:pPr>
              <w:keepNext/>
              <w:jc w:val="center"/>
              <w:rPr>
                <w:szCs w:val="22"/>
                <w:lang w:val="sr-Latn-RS"/>
              </w:rPr>
            </w:pPr>
            <w:r w:rsidRPr="00711E68">
              <w:rPr>
                <w:szCs w:val="22"/>
                <w:lang w:val="sr-Latn-RS"/>
              </w:rPr>
              <w:t>0 (0,0)</w:t>
            </w:r>
          </w:p>
        </w:tc>
      </w:tr>
      <w:tr w:rsidR="000C4DA0" w:rsidRPr="00711E68" w14:paraId="00632716" w14:textId="77777777" w:rsidTr="00F120A0">
        <w:tc>
          <w:tcPr>
            <w:tcW w:w="1485" w:type="dxa"/>
            <w:shd w:val="clear" w:color="auto" w:fill="auto"/>
            <w:vAlign w:val="center"/>
          </w:tcPr>
          <w:p w14:paraId="05B7E359" w14:textId="7BD6CDCC" w:rsidR="000C4DA0" w:rsidRPr="00711E68" w:rsidRDefault="000C4DA0" w:rsidP="00711E68">
            <w:pPr>
              <w:keepNext/>
              <w:jc w:val="center"/>
              <w:rPr>
                <w:b/>
                <w:szCs w:val="22"/>
                <w:lang w:val="sr-Latn-RS"/>
              </w:rPr>
            </w:pPr>
            <w:r w:rsidRPr="00711E68">
              <w:rPr>
                <w:b/>
                <w:szCs w:val="22"/>
                <w:lang w:val="sr-Latn-RS"/>
              </w:rPr>
              <w:t>Ned</w:t>
            </w:r>
            <w:r w:rsidR="00F12716" w:rsidRPr="00711E68">
              <w:rPr>
                <w:b/>
                <w:szCs w:val="22"/>
                <w:lang w:val="sr-Latn-RS"/>
              </w:rPr>
              <w:t>j</w:t>
            </w:r>
            <w:r w:rsidRPr="00711E68">
              <w:rPr>
                <w:b/>
                <w:szCs w:val="22"/>
                <w:lang w:val="sr-Latn-RS"/>
              </w:rPr>
              <w:t>elja 52</w:t>
            </w:r>
          </w:p>
        </w:tc>
        <w:tc>
          <w:tcPr>
            <w:tcW w:w="1530" w:type="dxa"/>
            <w:shd w:val="clear" w:color="auto" w:fill="auto"/>
            <w:vAlign w:val="center"/>
          </w:tcPr>
          <w:p w14:paraId="7A9979E9" w14:textId="753EB53A" w:rsidR="000C4DA0" w:rsidRPr="00711E68" w:rsidRDefault="000C4DA0" w:rsidP="00711E68">
            <w:pPr>
              <w:keepNext/>
              <w:jc w:val="center"/>
              <w:rPr>
                <w:szCs w:val="22"/>
                <w:lang w:val="sr-Latn-RS"/>
              </w:rPr>
            </w:pPr>
            <w:r w:rsidRPr="00711E68">
              <w:rPr>
                <w:szCs w:val="22"/>
                <w:lang w:val="sr-Latn-RS"/>
              </w:rPr>
              <w:t>173 (56,9)</w:t>
            </w:r>
          </w:p>
        </w:tc>
        <w:tc>
          <w:tcPr>
            <w:tcW w:w="1418" w:type="dxa"/>
            <w:shd w:val="clear" w:color="auto" w:fill="auto"/>
            <w:vAlign w:val="center"/>
          </w:tcPr>
          <w:p w14:paraId="6CE6E2C4" w14:textId="56A964AC" w:rsidR="000C4DA0" w:rsidRPr="00711E68" w:rsidRDefault="000C4DA0" w:rsidP="00711E68">
            <w:pPr>
              <w:keepNext/>
              <w:jc w:val="center"/>
              <w:rPr>
                <w:szCs w:val="22"/>
                <w:lang w:val="sr-Latn-RS"/>
              </w:rPr>
            </w:pPr>
            <w:r w:rsidRPr="00711E68">
              <w:rPr>
                <w:szCs w:val="22"/>
                <w:lang w:val="sr-Latn-RS"/>
              </w:rPr>
              <w:t>30 (30,0)</w:t>
            </w:r>
          </w:p>
        </w:tc>
        <w:tc>
          <w:tcPr>
            <w:tcW w:w="1057" w:type="dxa"/>
            <w:shd w:val="clear" w:color="auto" w:fill="auto"/>
            <w:vAlign w:val="center"/>
          </w:tcPr>
          <w:p w14:paraId="7096749B" w14:textId="77777777" w:rsidR="000C4DA0" w:rsidRPr="00711E68" w:rsidRDefault="000C4DA0" w:rsidP="00711E68">
            <w:pPr>
              <w:keepNext/>
              <w:jc w:val="center"/>
              <w:rPr>
                <w:szCs w:val="22"/>
                <w:lang w:val="sr-Latn-RS"/>
              </w:rPr>
            </w:pPr>
            <w:r w:rsidRPr="00711E68">
              <w:rPr>
                <w:szCs w:val="22"/>
                <w:lang w:val="sr-Latn-RS"/>
              </w:rPr>
              <w:t>--</w:t>
            </w:r>
          </w:p>
        </w:tc>
        <w:tc>
          <w:tcPr>
            <w:tcW w:w="1710" w:type="dxa"/>
            <w:shd w:val="clear" w:color="auto" w:fill="auto"/>
            <w:vAlign w:val="center"/>
          </w:tcPr>
          <w:p w14:paraId="570464CE" w14:textId="4E233DB1" w:rsidR="000C4DA0" w:rsidRPr="00711E68" w:rsidRDefault="000C4DA0" w:rsidP="00711E68">
            <w:pPr>
              <w:keepNext/>
              <w:jc w:val="center"/>
              <w:rPr>
                <w:szCs w:val="22"/>
                <w:lang w:val="sr-Latn-RS"/>
              </w:rPr>
            </w:pPr>
            <w:r w:rsidRPr="00711E68">
              <w:rPr>
                <w:szCs w:val="22"/>
                <w:lang w:val="sr-Latn-RS"/>
              </w:rPr>
              <w:t>160 (54,4)</w:t>
            </w:r>
          </w:p>
        </w:tc>
        <w:tc>
          <w:tcPr>
            <w:tcW w:w="1440" w:type="dxa"/>
            <w:shd w:val="clear" w:color="auto" w:fill="auto"/>
            <w:vAlign w:val="center"/>
          </w:tcPr>
          <w:p w14:paraId="5E9C0E79" w14:textId="2226D7F6" w:rsidR="000C4DA0" w:rsidRPr="00711E68" w:rsidRDefault="000C4DA0" w:rsidP="00711E68">
            <w:pPr>
              <w:keepNext/>
              <w:jc w:val="center"/>
              <w:rPr>
                <w:szCs w:val="22"/>
                <w:lang w:val="sr-Latn-RS"/>
              </w:rPr>
            </w:pPr>
            <w:r w:rsidRPr="00711E68">
              <w:rPr>
                <w:szCs w:val="22"/>
                <w:lang w:val="sr-Latn-RS"/>
              </w:rPr>
              <w:t>30 (30,3)</w:t>
            </w:r>
          </w:p>
        </w:tc>
        <w:tc>
          <w:tcPr>
            <w:tcW w:w="1440" w:type="dxa"/>
            <w:shd w:val="clear" w:color="auto" w:fill="auto"/>
            <w:vAlign w:val="center"/>
          </w:tcPr>
          <w:p w14:paraId="23E4176B" w14:textId="77777777" w:rsidR="000C4DA0" w:rsidRPr="00711E68" w:rsidRDefault="000C4DA0" w:rsidP="00711E68">
            <w:pPr>
              <w:keepNext/>
              <w:jc w:val="center"/>
              <w:rPr>
                <w:szCs w:val="22"/>
                <w:lang w:val="sr-Latn-RS"/>
              </w:rPr>
            </w:pPr>
            <w:r w:rsidRPr="00711E68">
              <w:rPr>
                <w:szCs w:val="22"/>
                <w:lang w:val="sr-Latn-RS"/>
              </w:rPr>
              <w:t>--</w:t>
            </w:r>
          </w:p>
        </w:tc>
      </w:tr>
      <w:tr w:rsidR="000C4DA0" w:rsidRPr="00711E68" w14:paraId="7CB4A5A5" w14:textId="77777777" w:rsidTr="001D2C0F">
        <w:trPr>
          <w:trHeight w:val="73"/>
        </w:trPr>
        <w:tc>
          <w:tcPr>
            <w:tcW w:w="10080" w:type="dxa"/>
            <w:gridSpan w:val="7"/>
            <w:shd w:val="clear" w:color="auto" w:fill="auto"/>
            <w:vAlign w:val="center"/>
          </w:tcPr>
          <w:p w14:paraId="76DF27D8" w14:textId="6A6148DE" w:rsidR="000C4DA0" w:rsidRPr="00711E68" w:rsidRDefault="001B6381" w:rsidP="00711E68">
            <w:pPr>
              <w:keepNext/>
              <w:rPr>
                <w:szCs w:val="22"/>
                <w:lang w:val="sr-Latn-RS"/>
              </w:rPr>
            </w:pPr>
            <w:r w:rsidRPr="00711E68">
              <w:rPr>
                <w:szCs w:val="22"/>
                <w:lang w:val="sr-Latn-RS"/>
              </w:rPr>
              <w:t>Kod s</w:t>
            </w:r>
            <w:r w:rsidR="000C4DA0" w:rsidRPr="00711E68">
              <w:rPr>
                <w:szCs w:val="22"/>
                <w:lang w:val="sr-Latn-RS"/>
              </w:rPr>
              <w:t>v</w:t>
            </w:r>
            <w:r w:rsidRPr="00711E68">
              <w:rPr>
                <w:szCs w:val="22"/>
                <w:lang w:val="sr-Latn-RS"/>
              </w:rPr>
              <w:t>ih</w:t>
            </w:r>
            <w:r w:rsidR="000C4DA0" w:rsidRPr="00711E68">
              <w:rPr>
                <w:szCs w:val="22"/>
                <w:lang w:val="sr-Latn-RS"/>
              </w:rPr>
              <w:t xml:space="preserve"> poređenja </w:t>
            </w:r>
            <w:r w:rsidRPr="00711E68">
              <w:rPr>
                <w:szCs w:val="22"/>
                <w:lang w:val="sr-Latn-RS"/>
              </w:rPr>
              <w:t xml:space="preserve">za </w:t>
            </w:r>
            <w:r w:rsidR="000C4DA0" w:rsidRPr="00711E68">
              <w:rPr>
                <w:szCs w:val="22"/>
                <w:lang w:val="sr-Latn-RS"/>
              </w:rPr>
              <w:t xml:space="preserve">risankizumab </w:t>
            </w:r>
            <w:r w:rsidRPr="00711E68">
              <w:rPr>
                <w:szCs w:val="22"/>
                <w:lang w:val="sr-Latn-RS"/>
              </w:rPr>
              <w:t xml:space="preserve">u odnosu na </w:t>
            </w:r>
            <w:r w:rsidR="000C4DA0" w:rsidRPr="00711E68">
              <w:rPr>
                <w:szCs w:val="22"/>
                <w:lang w:val="sr-Latn-RS"/>
              </w:rPr>
              <w:t>ustekinumab i placebo postig</w:t>
            </w:r>
            <w:r w:rsidRPr="00711E68">
              <w:rPr>
                <w:szCs w:val="22"/>
                <w:lang w:val="sr-Latn-RS"/>
              </w:rPr>
              <w:t>nut je</w:t>
            </w:r>
            <w:r w:rsidR="000C4DA0" w:rsidRPr="00711E68">
              <w:rPr>
                <w:szCs w:val="22"/>
                <w:lang w:val="sr-Latn-RS"/>
              </w:rPr>
              <w:t xml:space="preserve"> p&lt;0</w:t>
            </w:r>
            <w:r w:rsidR="001A6E69" w:rsidRPr="00711E68">
              <w:rPr>
                <w:szCs w:val="22"/>
                <w:lang w:val="sr-Latn-RS"/>
              </w:rPr>
              <w:t>,</w:t>
            </w:r>
            <w:r w:rsidR="000C4DA0" w:rsidRPr="00711E68">
              <w:rPr>
                <w:szCs w:val="22"/>
                <w:lang w:val="sr-Latn-RS"/>
              </w:rPr>
              <w:t xml:space="preserve">001 osim </w:t>
            </w:r>
            <w:r w:rsidRPr="00711E68">
              <w:rPr>
                <w:szCs w:val="22"/>
                <w:lang w:val="sr-Latn-RS"/>
              </w:rPr>
              <w:t xml:space="preserve">za </w:t>
            </w:r>
            <w:r w:rsidR="000C4DA0" w:rsidRPr="00711E68">
              <w:rPr>
                <w:szCs w:val="22"/>
                <w:lang w:val="sr-Latn-RS"/>
              </w:rPr>
              <w:t>PASI 75 u ned</w:t>
            </w:r>
            <w:r w:rsidR="00F12716" w:rsidRPr="00711E68">
              <w:rPr>
                <w:szCs w:val="22"/>
                <w:lang w:val="sr-Latn-RS"/>
              </w:rPr>
              <w:t>j</w:t>
            </w:r>
            <w:r w:rsidR="000C4DA0" w:rsidRPr="00711E68">
              <w:rPr>
                <w:szCs w:val="22"/>
                <w:lang w:val="sr-Latn-RS"/>
              </w:rPr>
              <w:t>elji 52</w:t>
            </w:r>
            <w:r w:rsidRPr="00711E68">
              <w:rPr>
                <w:szCs w:val="22"/>
                <w:lang w:val="sr-Latn-RS"/>
              </w:rPr>
              <w:t xml:space="preserve"> ispitivanja</w:t>
            </w:r>
            <w:r w:rsidR="000C4DA0" w:rsidRPr="00711E68">
              <w:rPr>
                <w:szCs w:val="22"/>
                <w:lang w:val="sr-Latn-RS"/>
              </w:rPr>
              <w:t xml:space="preserve"> ULTIMMA-2 gd</w:t>
            </w:r>
            <w:r w:rsidRPr="00711E68">
              <w:rPr>
                <w:szCs w:val="22"/>
                <w:lang w:val="sr-Latn-RS"/>
              </w:rPr>
              <w:t>j</w:t>
            </w:r>
            <w:r w:rsidR="000C4DA0" w:rsidRPr="00711E68">
              <w:rPr>
                <w:szCs w:val="22"/>
                <w:lang w:val="sr-Latn-RS"/>
              </w:rPr>
              <w:t>e je p=0</w:t>
            </w:r>
            <w:r w:rsidR="001A6E69" w:rsidRPr="00711E68">
              <w:rPr>
                <w:szCs w:val="22"/>
                <w:lang w:val="sr-Latn-RS"/>
              </w:rPr>
              <w:t>,</w:t>
            </w:r>
            <w:r w:rsidR="000C4DA0" w:rsidRPr="00711E68">
              <w:rPr>
                <w:szCs w:val="22"/>
                <w:lang w:val="sr-Latn-RS"/>
              </w:rPr>
              <w:t>001</w:t>
            </w:r>
          </w:p>
          <w:p w14:paraId="42C3F78A" w14:textId="77777777" w:rsidR="000E0A38" w:rsidRPr="00711E68" w:rsidRDefault="000C4DA0" w:rsidP="00711E68">
            <w:pPr>
              <w:keepNext/>
              <w:rPr>
                <w:szCs w:val="22"/>
                <w:vertAlign w:val="superscript"/>
                <w:lang w:val="sr-Latn-RS"/>
              </w:rPr>
            </w:pPr>
            <w:r w:rsidRPr="00711E68">
              <w:rPr>
                <w:szCs w:val="22"/>
                <w:vertAlign w:val="superscript"/>
                <w:lang w:val="sr-Latn-RS"/>
              </w:rPr>
              <w:t xml:space="preserve">a  </w:t>
            </w:r>
            <w:r w:rsidR="000E0A38" w:rsidRPr="00711E68">
              <w:rPr>
                <w:szCs w:val="22"/>
              </w:rPr>
              <w:t>Koprimarne mjere ishoda u odnosu na placebo</w:t>
            </w:r>
            <w:r w:rsidR="000E0A38" w:rsidRPr="00711E68">
              <w:rPr>
                <w:szCs w:val="22"/>
                <w:vertAlign w:val="superscript"/>
                <w:lang w:val="sr-Latn-RS"/>
              </w:rPr>
              <w:t xml:space="preserve"> </w:t>
            </w:r>
          </w:p>
          <w:p w14:paraId="614F1161" w14:textId="0132528C" w:rsidR="000C4DA0" w:rsidRPr="00711E68" w:rsidRDefault="000C4DA0" w:rsidP="00711E68">
            <w:pPr>
              <w:keepNext/>
              <w:rPr>
                <w:szCs w:val="22"/>
                <w:lang w:val="sr-Latn-RS"/>
              </w:rPr>
            </w:pPr>
            <w:r w:rsidRPr="00711E68">
              <w:rPr>
                <w:szCs w:val="22"/>
                <w:vertAlign w:val="superscript"/>
                <w:lang w:val="sr-Latn-RS"/>
              </w:rPr>
              <w:t>b</w:t>
            </w:r>
            <w:r w:rsidRPr="00711E68">
              <w:rPr>
                <w:szCs w:val="22"/>
                <w:lang w:val="sr-Latn-RS"/>
              </w:rPr>
              <w:t xml:space="preserve"> </w:t>
            </w:r>
            <w:r w:rsidR="000E0A38" w:rsidRPr="00711E68">
              <w:rPr>
                <w:szCs w:val="22"/>
                <w:lang w:val="sr-Latn-RS"/>
              </w:rPr>
              <w:t>Bez</w:t>
            </w:r>
            <w:r w:rsidRPr="00711E68">
              <w:rPr>
                <w:szCs w:val="22"/>
                <w:lang w:val="sr-Latn-RS"/>
              </w:rPr>
              <w:t xml:space="preserve"> uticaja na kvalitet života povezan sa zdravljem </w:t>
            </w:r>
          </w:p>
          <w:p w14:paraId="315A9FE3" w14:textId="43322422" w:rsidR="000C4DA0" w:rsidRPr="00711E68" w:rsidRDefault="000C4DA0" w:rsidP="00711E68">
            <w:pPr>
              <w:keepNext/>
              <w:rPr>
                <w:szCs w:val="22"/>
                <w:lang w:val="sr-Latn-RS"/>
              </w:rPr>
            </w:pPr>
            <w:r w:rsidRPr="00711E68">
              <w:rPr>
                <w:szCs w:val="22"/>
                <w:vertAlign w:val="superscript"/>
                <w:lang w:val="sr-Latn-RS"/>
              </w:rPr>
              <w:t>c</w:t>
            </w:r>
            <w:r w:rsidRPr="00711E68">
              <w:rPr>
                <w:szCs w:val="22"/>
                <w:lang w:val="sr-Latn-RS"/>
              </w:rPr>
              <w:t xml:space="preserve"> </w:t>
            </w:r>
            <w:r w:rsidR="007068F6" w:rsidRPr="00711E68">
              <w:rPr>
                <w:szCs w:val="22"/>
              </w:rPr>
              <w:t xml:space="preserve">Rezultat 0 na ljestvici za ocjenu simptoma psorijaze (engl. </w:t>
            </w:r>
            <w:r w:rsidR="007068F6" w:rsidRPr="00711E68">
              <w:rPr>
                <w:i/>
                <w:szCs w:val="22"/>
              </w:rPr>
              <w:t>Psoriasis Symptom Scale</w:t>
            </w:r>
            <w:r w:rsidR="007068F6" w:rsidRPr="00711E68">
              <w:rPr>
                <w:szCs w:val="22"/>
              </w:rPr>
              <w:t>, PSS) podrazumijeva odsustvo simptoma bola, svraba, crvenila i žarenja tokom prethodna 24 sata</w:t>
            </w:r>
          </w:p>
        </w:tc>
      </w:tr>
    </w:tbl>
    <w:p w14:paraId="1B8DBC9D" w14:textId="77777777" w:rsidR="007068F6" w:rsidRPr="00711E68" w:rsidRDefault="007068F6" w:rsidP="00711E68">
      <w:pPr>
        <w:rPr>
          <w:szCs w:val="22"/>
          <w:lang w:val="sr-Latn-RS"/>
        </w:rPr>
      </w:pPr>
    </w:p>
    <w:p w14:paraId="31D5827D" w14:textId="77777777" w:rsidR="00711E68" w:rsidRDefault="00711E68" w:rsidP="00711E68">
      <w:pPr>
        <w:rPr>
          <w:b/>
          <w:bCs/>
          <w:szCs w:val="22"/>
          <w:lang w:val="sr-Latn-RS"/>
        </w:rPr>
      </w:pPr>
    </w:p>
    <w:p w14:paraId="573FDFC6" w14:textId="77777777" w:rsidR="00711E68" w:rsidRDefault="00711E68" w:rsidP="00711E68">
      <w:pPr>
        <w:rPr>
          <w:b/>
          <w:bCs/>
          <w:szCs w:val="22"/>
          <w:lang w:val="sr-Latn-RS"/>
        </w:rPr>
      </w:pPr>
    </w:p>
    <w:p w14:paraId="1AFE0A28" w14:textId="77777777" w:rsidR="00711E68" w:rsidRDefault="00711E68" w:rsidP="00711E68">
      <w:pPr>
        <w:rPr>
          <w:b/>
          <w:bCs/>
          <w:szCs w:val="22"/>
          <w:lang w:val="sr-Latn-RS"/>
        </w:rPr>
      </w:pPr>
    </w:p>
    <w:p w14:paraId="46667508" w14:textId="77777777" w:rsidR="00711E68" w:rsidRDefault="00711E68" w:rsidP="00711E68">
      <w:pPr>
        <w:rPr>
          <w:b/>
          <w:bCs/>
          <w:szCs w:val="22"/>
          <w:lang w:val="sr-Latn-RS"/>
        </w:rPr>
      </w:pPr>
    </w:p>
    <w:p w14:paraId="13D0C651" w14:textId="77777777" w:rsidR="00711E68" w:rsidRDefault="00711E68" w:rsidP="00711E68">
      <w:pPr>
        <w:rPr>
          <w:b/>
          <w:bCs/>
          <w:szCs w:val="22"/>
          <w:lang w:val="sr-Latn-RS"/>
        </w:rPr>
      </w:pPr>
    </w:p>
    <w:p w14:paraId="7DEC74E5" w14:textId="77777777" w:rsidR="00711E68" w:rsidRDefault="00711E68" w:rsidP="00711E68">
      <w:pPr>
        <w:rPr>
          <w:b/>
          <w:bCs/>
          <w:szCs w:val="22"/>
          <w:lang w:val="sr-Latn-RS"/>
        </w:rPr>
      </w:pPr>
    </w:p>
    <w:p w14:paraId="76C4DD9F" w14:textId="77777777" w:rsidR="00711E68" w:rsidRDefault="00711E68" w:rsidP="00711E68">
      <w:pPr>
        <w:rPr>
          <w:b/>
          <w:bCs/>
          <w:szCs w:val="22"/>
          <w:lang w:val="sr-Latn-RS"/>
        </w:rPr>
      </w:pPr>
    </w:p>
    <w:p w14:paraId="3F4BE156" w14:textId="77777777" w:rsidR="00711E68" w:rsidRDefault="00711E68" w:rsidP="00711E68">
      <w:pPr>
        <w:rPr>
          <w:b/>
          <w:bCs/>
          <w:szCs w:val="22"/>
          <w:lang w:val="sr-Latn-RS"/>
        </w:rPr>
      </w:pPr>
    </w:p>
    <w:p w14:paraId="5811D662" w14:textId="77777777" w:rsidR="00711E68" w:rsidRDefault="00711E68" w:rsidP="00711E68">
      <w:pPr>
        <w:rPr>
          <w:b/>
          <w:bCs/>
          <w:szCs w:val="22"/>
          <w:lang w:val="sr-Latn-RS"/>
        </w:rPr>
      </w:pPr>
    </w:p>
    <w:p w14:paraId="4FC0597C" w14:textId="77777777" w:rsidR="00711E68" w:rsidRDefault="00711E68" w:rsidP="00711E68">
      <w:pPr>
        <w:rPr>
          <w:b/>
          <w:bCs/>
          <w:szCs w:val="22"/>
          <w:lang w:val="sr-Latn-RS"/>
        </w:rPr>
      </w:pPr>
    </w:p>
    <w:p w14:paraId="47F070CE" w14:textId="77777777" w:rsidR="00711E68" w:rsidRDefault="00711E68" w:rsidP="00711E68">
      <w:pPr>
        <w:rPr>
          <w:b/>
          <w:bCs/>
          <w:szCs w:val="22"/>
          <w:lang w:val="sr-Latn-RS"/>
        </w:rPr>
      </w:pPr>
    </w:p>
    <w:p w14:paraId="2B250B89" w14:textId="77777777" w:rsidR="00711E68" w:rsidRDefault="00711E68" w:rsidP="00711E68">
      <w:pPr>
        <w:rPr>
          <w:b/>
          <w:bCs/>
          <w:szCs w:val="22"/>
          <w:lang w:val="sr-Latn-RS"/>
        </w:rPr>
      </w:pPr>
    </w:p>
    <w:p w14:paraId="01AB573D" w14:textId="77777777" w:rsidR="00711E68" w:rsidRDefault="00711E68" w:rsidP="00711E68">
      <w:pPr>
        <w:rPr>
          <w:b/>
          <w:bCs/>
          <w:szCs w:val="22"/>
          <w:lang w:val="sr-Latn-RS"/>
        </w:rPr>
      </w:pPr>
    </w:p>
    <w:p w14:paraId="01A95578" w14:textId="77777777" w:rsidR="00711E68" w:rsidRDefault="00711E68" w:rsidP="00711E68">
      <w:pPr>
        <w:rPr>
          <w:b/>
          <w:bCs/>
          <w:szCs w:val="22"/>
          <w:lang w:val="sr-Latn-RS"/>
        </w:rPr>
      </w:pPr>
    </w:p>
    <w:p w14:paraId="062A6309" w14:textId="77777777" w:rsidR="00711E68" w:rsidRDefault="00711E68" w:rsidP="00711E68">
      <w:pPr>
        <w:rPr>
          <w:b/>
          <w:bCs/>
          <w:szCs w:val="22"/>
          <w:lang w:val="sr-Latn-RS"/>
        </w:rPr>
      </w:pPr>
    </w:p>
    <w:p w14:paraId="006B4DA9" w14:textId="77777777" w:rsidR="00711E68" w:rsidRDefault="00711E68" w:rsidP="00711E68">
      <w:pPr>
        <w:rPr>
          <w:b/>
          <w:bCs/>
          <w:szCs w:val="22"/>
          <w:lang w:val="sr-Latn-RS"/>
        </w:rPr>
      </w:pPr>
    </w:p>
    <w:p w14:paraId="47A0126D" w14:textId="77777777" w:rsidR="00711E68" w:rsidRDefault="00711E68" w:rsidP="00711E68">
      <w:pPr>
        <w:rPr>
          <w:b/>
          <w:bCs/>
          <w:szCs w:val="22"/>
          <w:lang w:val="sr-Latn-RS"/>
        </w:rPr>
      </w:pPr>
    </w:p>
    <w:p w14:paraId="77B90116" w14:textId="77777777" w:rsidR="00711E68" w:rsidRDefault="00711E68" w:rsidP="00711E68">
      <w:pPr>
        <w:rPr>
          <w:b/>
          <w:bCs/>
          <w:szCs w:val="22"/>
          <w:lang w:val="sr-Latn-RS"/>
        </w:rPr>
      </w:pPr>
    </w:p>
    <w:p w14:paraId="45B36AB0" w14:textId="0AE5C407" w:rsidR="000C4DA0" w:rsidRDefault="000C4DA0" w:rsidP="00711E68">
      <w:pPr>
        <w:rPr>
          <w:b/>
          <w:szCs w:val="22"/>
        </w:rPr>
      </w:pPr>
      <w:r w:rsidRPr="00711E68">
        <w:rPr>
          <w:b/>
          <w:bCs/>
          <w:szCs w:val="22"/>
          <w:lang w:val="sr-Latn-RS"/>
        </w:rPr>
        <w:t>Slika 1:</w:t>
      </w:r>
      <w:r w:rsidR="001A6E69" w:rsidRPr="00711E68">
        <w:rPr>
          <w:b/>
          <w:bCs/>
          <w:szCs w:val="22"/>
          <w:lang w:val="sr-Latn-RS"/>
        </w:rPr>
        <w:t xml:space="preserve"> </w:t>
      </w:r>
      <w:r w:rsidR="00F56DF1" w:rsidRPr="00711E68">
        <w:rPr>
          <w:b/>
          <w:szCs w:val="22"/>
        </w:rPr>
        <w:t>Vremenski tok srednje vrijednosti procentualne promjene PASI rezultata od početne vrijednosti u ispitivanjima ULTIMMA</w:t>
      </w:r>
      <w:r w:rsidR="00F56DF1" w:rsidRPr="00711E68">
        <w:rPr>
          <w:b/>
          <w:szCs w:val="22"/>
        </w:rPr>
        <w:noBreakHyphen/>
        <w:t>1 i ULTIMMA</w:t>
      </w:r>
      <w:r w:rsidR="00F56DF1" w:rsidRPr="00711E68">
        <w:rPr>
          <w:b/>
          <w:szCs w:val="22"/>
        </w:rPr>
        <w:noBreakHyphen/>
        <w:t>2</w:t>
      </w:r>
    </w:p>
    <w:p w14:paraId="2B9E0524" w14:textId="77777777" w:rsidR="00865DFA" w:rsidRPr="00711E68" w:rsidRDefault="00865DFA" w:rsidP="00711E68">
      <w:pPr>
        <w:rPr>
          <w:b/>
          <w:szCs w:val="22"/>
          <w:lang w:val="sr-Latn-RS"/>
        </w:rPr>
      </w:pPr>
    </w:p>
    <w:tbl>
      <w:tblPr>
        <w:tblStyle w:val="TableGrid"/>
        <w:tblW w:w="9433"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8688"/>
        <w:gridCol w:w="266"/>
      </w:tblGrid>
      <w:tr w:rsidR="00324863" w:rsidRPr="00711E68" w14:paraId="7045E3F0" w14:textId="77777777" w:rsidTr="000E6F46">
        <w:trPr>
          <w:cantSplit/>
          <w:trHeight w:val="4649"/>
        </w:trPr>
        <w:tc>
          <w:tcPr>
            <w:tcW w:w="482" w:type="dxa"/>
            <w:textDirection w:val="btLr"/>
          </w:tcPr>
          <w:p w14:paraId="7A114B45" w14:textId="69A098BC" w:rsidR="00324863" w:rsidRPr="00711E68" w:rsidRDefault="00324863" w:rsidP="00711E68">
            <w:pPr>
              <w:keepNext/>
              <w:tabs>
                <w:tab w:val="left" w:pos="-90"/>
              </w:tabs>
              <w:ind w:left="113" w:right="113"/>
              <w:jc w:val="center"/>
              <w:rPr>
                <w:b/>
                <w:szCs w:val="22"/>
                <w:lang w:val="sr-Latn-RS"/>
              </w:rPr>
            </w:pPr>
            <w:r w:rsidRPr="00711E68">
              <w:rPr>
                <w:b/>
                <w:szCs w:val="22"/>
                <w:lang w:val="sr-Latn-RS"/>
              </w:rPr>
              <w:t>Procentualna prom</w:t>
            </w:r>
            <w:r w:rsidR="00881418" w:rsidRPr="00711E68">
              <w:rPr>
                <w:b/>
                <w:szCs w:val="22"/>
                <w:lang w:val="sr-Latn-RS"/>
              </w:rPr>
              <w:t>j</w:t>
            </w:r>
            <w:r w:rsidRPr="00711E68">
              <w:rPr>
                <w:b/>
                <w:szCs w:val="22"/>
                <w:lang w:val="sr-Latn-RS"/>
              </w:rPr>
              <w:t xml:space="preserve">ena PASI </w:t>
            </w:r>
            <w:r w:rsidR="00895B9C" w:rsidRPr="00711E68">
              <w:rPr>
                <w:b/>
                <w:szCs w:val="22"/>
                <w:lang w:val="sr-Latn-RS"/>
              </w:rPr>
              <w:t>rezultata</w:t>
            </w:r>
            <w:r w:rsidRPr="00711E68">
              <w:rPr>
                <w:b/>
                <w:szCs w:val="22"/>
                <w:lang w:val="sr-Latn-RS"/>
              </w:rPr>
              <w:t xml:space="preserve"> od p</w:t>
            </w:r>
            <w:r w:rsidR="00374686" w:rsidRPr="00711E68">
              <w:rPr>
                <w:b/>
                <w:szCs w:val="22"/>
                <w:lang w:val="sr-Latn-RS"/>
              </w:rPr>
              <w:t>očetn</w:t>
            </w:r>
            <w:r w:rsidR="00895B9C" w:rsidRPr="00711E68">
              <w:rPr>
                <w:b/>
                <w:szCs w:val="22"/>
                <w:lang w:val="sr-Latn-RS"/>
              </w:rPr>
              <w:t>e vrijednosti</w:t>
            </w:r>
          </w:p>
          <w:p w14:paraId="04819659" w14:textId="77777777" w:rsidR="00324863" w:rsidRPr="00711E68" w:rsidRDefault="00324863" w:rsidP="00711E68">
            <w:pPr>
              <w:keepNext/>
              <w:tabs>
                <w:tab w:val="left" w:pos="-90"/>
              </w:tabs>
              <w:ind w:left="113" w:right="113"/>
              <w:rPr>
                <w:b/>
                <w:bCs/>
                <w:szCs w:val="22"/>
                <w:lang w:val="sr-Latn-RS"/>
              </w:rPr>
            </w:pPr>
          </w:p>
        </w:tc>
        <w:tc>
          <w:tcPr>
            <w:tcW w:w="8901" w:type="dxa"/>
            <w:gridSpan w:val="2"/>
          </w:tcPr>
          <w:p w14:paraId="7A71869B" w14:textId="77777777" w:rsidR="00324863" w:rsidRPr="00711E68" w:rsidRDefault="00324863" w:rsidP="00711E68">
            <w:pPr>
              <w:keepNext/>
              <w:tabs>
                <w:tab w:val="left" w:pos="-90"/>
              </w:tabs>
              <w:rPr>
                <w:b/>
                <w:bCs/>
                <w:szCs w:val="22"/>
                <w:lang w:val="sr-Latn-RS"/>
              </w:rPr>
            </w:pPr>
            <w:r w:rsidRPr="00711E68">
              <w:rPr>
                <w:noProof/>
                <w:szCs w:val="22"/>
              </w:rPr>
              <w:drawing>
                <wp:anchor distT="0" distB="0" distL="114300" distR="114300" simplePos="0" relativeHeight="251658240" behindDoc="1" locked="0" layoutInCell="1" allowOverlap="1" wp14:anchorId="645F8F6F" wp14:editId="137986FE">
                  <wp:simplePos x="0" y="0"/>
                  <wp:positionH relativeFrom="column">
                    <wp:posOffset>-4445</wp:posOffset>
                  </wp:positionH>
                  <wp:positionV relativeFrom="paragraph">
                    <wp:posOffset>60960</wp:posOffset>
                  </wp:positionV>
                  <wp:extent cx="5283835" cy="3561715"/>
                  <wp:effectExtent l="0" t="0" r="12065" b="19685"/>
                  <wp:wrapTight wrapText="bothSides">
                    <wp:wrapPolygon edited="0">
                      <wp:start x="0" y="0"/>
                      <wp:lineTo x="0" y="21604"/>
                      <wp:lineTo x="21571" y="21604"/>
                      <wp:lineTo x="21571"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tc>
      </w:tr>
      <w:tr w:rsidR="00324863" w:rsidRPr="00711E68" w14:paraId="008AB572" w14:textId="77777777" w:rsidTr="000E6F46">
        <w:trPr>
          <w:gridAfter w:val="1"/>
          <w:wAfter w:w="339" w:type="dxa"/>
          <w:trHeight w:val="260"/>
        </w:trPr>
        <w:tc>
          <w:tcPr>
            <w:tcW w:w="482" w:type="dxa"/>
          </w:tcPr>
          <w:p w14:paraId="4446634D" w14:textId="77777777" w:rsidR="00324863" w:rsidRPr="00711E68" w:rsidRDefault="00324863" w:rsidP="00711E68">
            <w:pPr>
              <w:tabs>
                <w:tab w:val="left" w:pos="-90"/>
              </w:tabs>
              <w:rPr>
                <w:b/>
                <w:szCs w:val="22"/>
                <w:lang w:val="sr-Latn-RS"/>
              </w:rPr>
            </w:pPr>
          </w:p>
        </w:tc>
        <w:tc>
          <w:tcPr>
            <w:tcW w:w="8840" w:type="dxa"/>
          </w:tcPr>
          <w:p w14:paraId="2D070E2A" w14:textId="2DBC8ED4" w:rsidR="00324863" w:rsidRPr="00711E68" w:rsidRDefault="00324863" w:rsidP="00711E68">
            <w:pPr>
              <w:jc w:val="center"/>
              <w:rPr>
                <w:b/>
                <w:bCs/>
                <w:szCs w:val="22"/>
                <w:lang w:val="sr-Latn-RS"/>
              </w:rPr>
            </w:pPr>
            <w:r w:rsidRPr="00711E68">
              <w:rPr>
                <w:b/>
                <w:bCs/>
                <w:szCs w:val="22"/>
                <w:lang w:val="sr-Latn-RS"/>
              </w:rPr>
              <w:t>Ned</w:t>
            </w:r>
            <w:r w:rsidR="00895B9C" w:rsidRPr="00711E68">
              <w:rPr>
                <w:b/>
                <w:bCs/>
                <w:szCs w:val="22"/>
                <w:lang w:val="sr-Latn-RS"/>
              </w:rPr>
              <w:t>j</w:t>
            </w:r>
            <w:r w:rsidRPr="00711E68">
              <w:rPr>
                <w:b/>
                <w:bCs/>
                <w:szCs w:val="22"/>
                <w:lang w:val="sr-Latn-RS"/>
              </w:rPr>
              <w:t>elje</w:t>
            </w:r>
          </w:p>
          <w:p w14:paraId="5B5C5737" w14:textId="1E5A6EE7" w:rsidR="00324863" w:rsidRPr="00711E68" w:rsidRDefault="00324863" w:rsidP="00711E68">
            <w:pPr>
              <w:tabs>
                <w:tab w:val="left" w:pos="-90"/>
              </w:tabs>
              <w:jc w:val="center"/>
              <w:rPr>
                <w:b/>
                <w:szCs w:val="22"/>
                <w:lang w:val="sr-Latn-RS"/>
              </w:rPr>
            </w:pPr>
          </w:p>
        </w:tc>
      </w:tr>
    </w:tbl>
    <w:p w14:paraId="574A8CB6" w14:textId="77777777" w:rsidR="00324863" w:rsidRPr="00711E68" w:rsidRDefault="00324863" w:rsidP="00711E68">
      <w:pPr>
        <w:jc w:val="right"/>
        <w:rPr>
          <w:b/>
          <w:bCs/>
          <w:szCs w:val="22"/>
          <w:lang w:val="sr-Latn-RS"/>
        </w:rPr>
      </w:pPr>
    </w:p>
    <w:p w14:paraId="65A45E19" w14:textId="77777777" w:rsidR="00324863" w:rsidRPr="00711E68" w:rsidRDefault="00324863" w:rsidP="00711E68">
      <w:pPr>
        <w:ind w:left="720"/>
        <w:rPr>
          <w:szCs w:val="22"/>
          <w:lang w:val="sr-Latn-RS"/>
        </w:rPr>
      </w:pPr>
      <w:r w:rsidRPr="00711E68">
        <w:rPr>
          <w:szCs w:val="22"/>
          <w:lang w:val="sr-Latn-RS"/>
        </w:rPr>
        <w:t>RZB = risankizumab</w:t>
      </w:r>
    </w:p>
    <w:p w14:paraId="6DBAC6B6" w14:textId="77777777" w:rsidR="00324863" w:rsidRPr="00711E68" w:rsidRDefault="00324863" w:rsidP="00711E68">
      <w:pPr>
        <w:ind w:left="720"/>
        <w:rPr>
          <w:szCs w:val="22"/>
          <w:lang w:val="sr-Latn-RS"/>
        </w:rPr>
      </w:pPr>
      <w:r w:rsidRPr="00711E68">
        <w:rPr>
          <w:szCs w:val="22"/>
          <w:lang w:val="sr-Latn-RS"/>
        </w:rPr>
        <w:t>UST = ustekinumab</w:t>
      </w:r>
    </w:p>
    <w:p w14:paraId="316627F5" w14:textId="77777777" w:rsidR="00324863" w:rsidRPr="00711E68" w:rsidRDefault="00324863" w:rsidP="00711E68">
      <w:pPr>
        <w:ind w:left="720"/>
        <w:rPr>
          <w:szCs w:val="22"/>
          <w:lang w:val="sr-Latn-RS"/>
        </w:rPr>
      </w:pPr>
      <w:r w:rsidRPr="00711E68">
        <w:rPr>
          <w:szCs w:val="22"/>
          <w:lang w:val="sr-Latn-RS"/>
        </w:rPr>
        <w:t>PBO = placebo</w:t>
      </w:r>
    </w:p>
    <w:p w14:paraId="3717B4F3" w14:textId="0FC12263" w:rsidR="00324863" w:rsidRPr="00711E68" w:rsidRDefault="00324863" w:rsidP="00711E68">
      <w:pPr>
        <w:ind w:left="720"/>
        <w:rPr>
          <w:szCs w:val="22"/>
          <w:lang w:val="sr-Latn-RS"/>
        </w:rPr>
      </w:pPr>
      <w:r w:rsidRPr="00711E68">
        <w:rPr>
          <w:szCs w:val="22"/>
          <w:lang w:val="sr-Latn-RS"/>
        </w:rPr>
        <w:t>p&lt;0</w:t>
      </w:r>
      <w:r w:rsidR="001A6E69" w:rsidRPr="00711E68">
        <w:rPr>
          <w:szCs w:val="22"/>
          <w:lang w:val="sr-Latn-RS"/>
        </w:rPr>
        <w:t>,</w:t>
      </w:r>
      <w:r w:rsidRPr="00711E68">
        <w:rPr>
          <w:szCs w:val="22"/>
          <w:lang w:val="sr-Latn-RS"/>
        </w:rPr>
        <w:t>001 u svakoj vremenskoj tački</w:t>
      </w:r>
    </w:p>
    <w:p w14:paraId="71F3D209" w14:textId="31CD9011" w:rsidR="00324863" w:rsidRPr="00711E68" w:rsidRDefault="00324863" w:rsidP="00711E68">
      <w:pPr>
        <w:ind w:left="720"/>
        <w:rPr>
          <w:szCs w:val="22"/>
          <w:lang w:val="sr-Latn-RS"/>
        </w:rPr>
      </w:pPr>
    </w:p>
    <w:p w14:paraId="7BE05FEF" w14:textId="4A9EBA0B" w:rsidR="00CD08C8" w:rsidRPr="00711E68" w:rsidRDefault="00CD08C8" w:rsidP="00711E68">
      <w:pPr>
        <w:rPr>
          <w:szCs w:val="22"/>
        </w:rPr>
      </w:pPr>
      <w:r w:rsidRPr="00711E68">
        <w:rPr>
          <w:szCs w:val="22"/>
        </w:rPr>
        <w:t xml:space="preserve">Ocjena uticaja uzrasta, pola, rase, tjelesne </w:t>
      </w:r>
      <w:r w:rsidR="00895B9C" w:rsidRPr="00711E68">
        <w:rPr>
          <w:szCs w:val="22"/>
        </w:rPr>
        <w:t xml:space="preserve">mase </w:t>
      </w:r>
      <w:r w:rsidRPr="00711E68">
        <w:rPr>
          <w:szCs w:val="22"/>
        </w:rPr>
        <w:t>≤130 kg, početnog PASI rezultata, istovremenog psorija</w:t>
      </w:r>
      <w:r w:rsidR="00895B9C" w:rsidRPr="00711E68">
        <w:rPr>
          <w:szCs w:val="22"/>
        </w:rPr>
        <w:t>znog</w:t>
      </w:r>
      <w:r w:rsidRPr="00711E68">
        <w:rPr>
          <w:szCs w:val="22"/>
        </w:rPr>
        <w:t xml:space="preserve"> artritisa, prethodnog nebiološkog sistemskog liječenja, prethodnog biološkog liječenja i prethodnog neuspješnog liječenja biološkim lijekom nije ukazala na razlike u odgovoru na risankizumab među tim podgrupama.</w:t>
      </w:r>
    </w:p>
    <w:p w14:paraId="69CD4CC2" w14:textId="77777777" w:rsidR="00CD08C8" w:rsidRPr="00711E68" w:rsidRDefault="00CD08C8" w:rsidP="00711E68">
      <w:pPr>
        <w:rPr>
          <w:szCs w:val="22"/>
        </w:rPr>
      </w:pPr>
    </w:p>
    <w:p w14:paraId="04068EEA" w14:textId="6CDFEB3B" w:rsidR="00CD08C8" w:rsidRPr="00711E68" w:rsidRDefault="00CD08C8" w:rsidP="00711E68">
      <w:pPr>
        <w:autoSpaceDE w:val="0"/>
        <w:autoSpaceDN w:val="0"/>
        <w:adjustRightInd w:val="0"/>
        <w:rPr>
          <w:szCs w:val="22"/>
        </w:rPr>
      </w:pPr>
      <w:r w:rsidRPr="00711E68">
        <w:rPr>
          <w:szCs w:val="22"/>
        </w:rPr>
        <w:t>Kod ispitanika liječenih risankizumabom zapaženo je poboljšanje psorijaze na tjemenu, noktima</w:t>
      </w:r>
      <w:r w:rsidR="00895B9C" w:rsidRPr="00711E68">
        <w:rPr>
          <w:szCs w:val="22"/>
        </w:rPr>
        <w:t>, kao</w:t>
      </w:r>
      <w:r w:rsidRPr="00711E68">
        <w:rPr>
          <w:szCs w:val="22"/>
        </w:rPr>
        <w:t xml:space="preserve"> i dlanovima i tabanima u 16. ned</w:t>
      </w:r>
      <w:r w:rsidR="00895B9C" w:rsidRPr="00711E68">
        <w:rPr>
          <w:szCs w:val="22"/>
        </w:rPr>
        <w:t>j</w:t>
      </w:r>
      <w:r w:rsidRPr="00711E68">
        <w:rPr>
          <w:szCs w:val="22"/>
        </w:rPr>
        <w:t>elji i 52. ned</w:t>
      </w:r>
      <w:r w:rsidR="00895B9C" w:rsidRPr="00711E68">
        <w:rPr>
          <w:szCs w:val="22"/>
        </w:rPr>
        <w:t>j</w:t>
      </w:r>
      <w:r w:rsidRPr="00711E68">
        <w:rPr>
          <w:szCs w:val="22"/>
        </w:rPr>
        <w:t>elji.</w:t>
      </w:r>
    </w:p>
    <w:p w14:paraId="5E044B91" w14:textId="0382237B" w:rsidR="00324863" w:rsidRPr="00711E68" w:rsidRDefault="00324863" w:rsidP="00711E68">
      <w:pPr>
        <w:jc w:val="left"/>
        <w:rPr>
          <w:b/>
          <w:bCs/>
          <w:szCs w:val="22"/>
          <w:lang w:val="sr-Latn-RS"/>
        </w:rPr>
      </w:pPr>
    </w:p>
    <w:p w14:paraId="3297CBF9" w14:textId="489C597F" w:rsidR="00324863" w:rsidRPr="00711E68" w:rsidRDefault="00324863" w:rsidP="00711E68">
      <w:pPr>
        <w:jc w:val="left"/>
        <w:rPr>
          <w:b/>
          <w:bCs/>
          <w:szCs w:val="22"/>
          <w:lang w:val="sr-Latn-RS"/>
        </w:rPr>
      </w:pPr>
    </w:p>
    <w:p w14:paraId="31223FF8" w14:textId="09FCD6FA" w:rsidR="00324863" w:rsidRPr="00711E68" w:rsidRDefault="00324863" w:rsidP="00711E68">
      <w:pPr>
        <w:jc w:val="left"/>
        <w:rPr>
          <w:b/>
          <w:bCs/>
          <w:szCs w:val="22"/>
          <w:lang w:val="sr-Latn-RS"/>
        </w:rPr>
      </w:pPr>
    </w:p>
    <w:p w14:paraId="43CFEC0B" w14:textId="1A9F36D1" w:rsidR="00324863" w:rsidRPr="00711E68" w:rsidRDefault="00324863" w:rsidP="00711E68">
      <w:pPr>
        <w:jc w:val="left"/>
        <w:rPr>
          <w:b/>
          <w:bCs/>
          <w:szCs w:val="22"/>
          <w:lang w:val="sr-Latn-RS"/>
        </w:rPr>
      </w:pPr>
    </w:p>
    <w:p w14:paraId="6906BB14" w14:textId="4243CF39" w:rsidR="00324863" w:rsidRPr="00711E68" w:rsidRDefault="00324863" w:rsidP="00711E68">
      <w:pPr>
        <w:jc w:val="left"/>
        <w:rPr>
          <w:b/>
          <w:bCs/>
          <w:szCs w:val="22"/>
          <w:lang w:val="sr-Latn-RS"/>
        </w:rPr>
      </w:pPr>
    </w:p>
    <w:p w14:paraId="3E719932" w14:textId="270EE4B0" w:rsidR="00324863" w:rsidRPr="00711E68" w:rsidRDefault="00324863" w:rsidP="00711E68">
      <w:pPr>
        <w:jc w:val="left"/>
        <w:rPr>
          <w:b/>
          <w:bCs/>
          <w:szCs w:val="22"/>
          <w:lang w:val="sr-Latn-RS"/>
        </w:rPr>
      </w:pPr>
    </w:p>
    <w:p w14:paraId="0167FF65" w14:textId="0DBD75CC" w:rsidR="00324863" w:rsidRPr="00711E68" w:rsidRDefault="00324863" w:rsidP="00711E68">
      <w:pPr>
        <w:jc w:val="left"/>
        <w:rPr>
          <w:b/>
          <w:bCs/>
          <w:szCs w:val="22"/>
          <w:lang w:val="sr-Latn-RS"/>
        </w:rPr>
      </w:pPr>
    </w:p>
    <w:p w14:paraId="385CDE1D" w14:textId="5DC1DD0E" w:rsidR="00324863" w:rsidRPr="00711E68" w:rsidRDefault="00324863" w:rsidP="00711E68">
      <w:pPr>
        <w:jc w:val="left"/>
        <w:rPr>
          <w:b/>
          <w:bCs/>
          <w:szCs w:val="22"/>
          <w:lang w:val="sr-Latn-RS"/>
        </w:rPr>
      </w:pPr>
    </w:p>
    <w:p w14:paraId="714A546C" w14:textId="4B95BA7B" w:rsidR="00324863" w:rsidRPr="00711E68" w:rsidRDefault="00324863" w:rsidP="00711E68">
      <w:pPr>
        <w:jc w:val="left"/>
        <w:rPr>
          <w:b/>
          <w:bCs/>
          <w:szCs w:val="22"/>
          <w:lang w:val="sr-Latn-RS"/>
        </w:rPr>
      </w:pPr>
    </w:p>
    <w:p w14:paraId="4A1FD547" w14:textId="52B6443A" w:rsidR="00324863" w:rsidRPr="00711E68" w:rsidRDefault="00324863" w:rsidP="00711E68">
      <w:pPr>
        <w:jc w:val="left"/>
        <w:rPr>
          <w:b/>
          <w:bCs/>
          <w:szCs w:val="22"/>
          <w:lang w:val="sr-Latn-RS"/>
        </w:rPr>
      </w:pPr>
    </w:p>
    <w:p w14:paraId="35645131" w14:textId="648BA2C2" w:rsidR="008175BE" w:rsidRPr="00711E68" w:rsidRDefault="008175BE" w:rsidP="00711E68">
      <w:pPr>
        <w:jc w:val="left"/>
        <w:rPr>
          <w:b/>
          <w:bCs/>
          <w:szCs w:val="22"/>
          <w:lang w:val="sr-Latn-RS"/>
        </w:rPr>
      </w:pPr>
    </w:p>
    <w:p w14:paraId="5BEFE423" w14:textId="77777777" w:rsidR="008175BE" w:rsidRPr="00711E68" w:rsidRDefault="008175BE" w:rsidP="00711E68">
      <w:pPr>
        <w:jc w:val="left"/>
        <w:rPr>
          <w:b/>
          <w:bCs/>
          <w:szCs w:val="22"/>
          <w:lang w:val="sr-Latn-RS"/>
        </w:rPr>
      </w:pPr>
    </w:p>
    <w:p w14:paraId="0DE519BE" w14:textId="29194207" w:rsidR="00324863" w:rsidRPr="00711E68" w:rsidRDefault="00324863" w:rsidP="00711E68">
      <w:pPr>
        <w:jc w:val="left"/>
        <w:rPr>
          <w:b/>
          <w:bCs/>
          <w:szCs w:val="22"/>
          <w:lang w:val="sr-Latn-RS"/>
        </w:rPr>
      </w:pPr>
    </w:p>
    <w:p w14:paraId="24E49E1A" w14:textId="655CCE3B" w:rsidR="00324863" w:rsidRDefault="00324863" w:rsidP="00711E68">
      <w:pPr>
        <w:jc w:val="left"/>
        <w:rPr>
          <w:b/>
          <w:bCs/>
          <w:szCs w:val="22"/>
          <w:lang w:val="sr-Latn-RS"/>
        </w:rPr>
      </w:pPr>
      <w:r w:rsidRPr="00711E68">
        <w:rPr>
          <w:b/>
          <w:bCs/>
          <w:szCs w:val="22"/>
          <w:lang w:val="sr-Latn-RS"/>
        </w:rPr>
        <w:lastRenderedPageBreak/>
        <w:t xml:space="preserve">Tabela 3: Srednje </w:t>
      </w:r>
      <w:r w:rsidR="003D29F3" w:rsidRPr="00711E68">
        <w:rPr>
          <w:b/>
          <w:bCs/>
          <w:szCs w:val="22"/>
          <w:lang w:val="sr-Latn-RS"/>
        </w:rPr>
        <w:t xml:space="preserve">vrjednosti </w:t>
      </w:r>
      <w:r w:rsidRPr="00711E68">
        <w:rPr>
          <w:b/>
          <w:bCs/>
          <w:szCs w:val="22"/>
          <w:lang w:val="sr-Latn-RS"/>
        </w:rPr>
        <w:t>prom</w:t>
      </w:r>
      <w:r w:rsidR="00881418" w:rsidRPr="00711E68">
        <w:rPr>
          <w:b/>
          <w:bCs/>
          <w:szCs w:val="22"/>
          <w:lang w:val="sr-Latn-RS"/>
        </w:rPr>
        <w:t>j</w:t>
      </w:r>
      <w:r w:rsidRPr="00711E68">
        <w:rPr>
          <w:b/>
          <w:bCs/>
          <w:szCs w:val="22"/>
          <w:lang w:val="sr-Latn-RS"/>
        </w:rPr>
        <w:t>ene od p</w:t>
      </w:r>
      <w:r w:rsidR="00852F0B" w:rsidRPr="00711E68">
        <w:rPr>
          <w:b/>
          <w:bCs/>
          <w:szCs w:val="22"/>
          <w:lang w:val="sr-Latn-RS"/>
        </w:rPr>
        <w:t>očetn</w:t>
      </w:r>
      <w:r w:rsidR="003D29F3" w:rsidRPr="00711E68">
        <w:rPr>
          <w:b/>
          <w:bCs/>
          <w:szCs w:val="22"/>
          <w:lang w:val="sr-Latn-RS"/>
        </w:rPr>
        <w:t xml:space="preserve">og </w:t>
      </w:r>
      <w:r w:rsidRPr="00711E68">
        <w:rPr>
          <w:b/>
          <w:bCs/>
          <w:szCs w:val="22"/>
          <w:lang w:val="sr-Latn-RS"/>
        </w:rPr>
        <w:t xml:space="preserve">NAPSI, PPASI i PSSI </w:t>
      </w:r>
      <w:r w:rsidR="003D29F3" w:rsidRPr="00711E68">
        <w:rPr>
          <w:b/>
          <w:bCs/>
          <w:szCs w:val="22"/>
          <w:lang w:val="sr-Latn-RS"/>
        </w:rPr>
        <w:t>rezultata</w:t>
      </w:r>
    </w:p>
    <w:p w14:paraId="346099C8" w14:textId="77777777" w:rsidR="00865DFA" w:rsidRPr="00711E68" w:rsidRDefault="00865DFA" w:rsidP="00711E68">
      <w:pPr>
        <w:jc w:val="left"/>
        <w:rPr>
          <w:b/>
          <w:bCs/>
          <w:szCs w:val="22"/>
          <w:lang w:val="sr-Latn-RS"/>
        </w:rPr>
      </w:pPr>
    </w:p>
    <w:tbl>
      <w:tblPr>
        <w:tblStyle w:val="TableGrid"/>
        <w:tblW w:w="0" w:type="auto"/>
        <w:tblLook w:val="04A0" w:firstRow="1" w:lastRow="0" w:firstColumn="1" w:lastColumn="0" w:noHBand="0" w:noVBand="1"/>
      </w:tblPr>
      <w:tblGrid>
        <w:gridCol w:w="1145"/>
        <w:gridCol w:w="1574"/>
        <w:gridCol w:w="1185"/>
        <w:gridCol w:w="1574"/>
        <w:gridCol w:w="1166"/>
        <w:gridCol w:w="1574"/>
        <w:gridCol w:w="1127"/>
      </w:tblGrid>
      <w:tr w:rsidR="00324863" w:rsidRPr="00711E68" w14:paraId="18D6AD6E" w14:textId="77777777" w:rsidTr="000E6F46">
        <w:tc>
          <w:tcPr>
            <w:tcW w:w="1087" w:type="dxa"/>
          </w:tcPr>
          <w:p w14:paraId="1D824DF4" w14:textId="77777777" w:rsidR="00324863" w:rsidRPr="00711E68" w:rsidRDefault="00324863" w:rsidP="00711E68">
            <w:pPr>
              <w:keepNext/>
              <w:autoSpaceDE w:val="0"/>
              <w:autoSpaceDN w:val="0"/>
              <w:adjustRightInd w:val="0"/>
              <w:rPr>
                <w:rFonts w:eastAsia="TimesNewRoman,Bold"/>
                <w:b/>
                <w:bCs/>
                <w:szCs w:val="22"/>
                <w:lang w:val="sr-Latn-RS"/>
              </w:rPr>
            </w:pPr>
          </w:p>
        </w:tc>
        <w:tc>
          <w:tcPr>
            <w:tcW w:w="2759" w:type="dxa"/>
            <w:gridSpan w:val="2"/>
          </w:tcPr>
          <w:p w14:paraId="2AF54908"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Bold"/>
                <w:b/>
                <w:bCs/>
                <w:szCs w:val="22"/>
                <w:lang w:val="sr-Latn-RS"/>
              </w:rPr>
              <w:t>ULTIMMA-1</w:t>
            </w:r>
          </w:p>
        </w:tc>
        <w:tc>
          <w:tcPr>
            <w:tcW w:w="2740" w:type="dxa"/>
            <w:gridSpan w:val="2"/>
          </w:tcPr>
          <w:p w14:paraId="1EFF8503"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Bold"/>
                <w:b/>
                <w:bCs/>
                <w:szCs w:val="22"/>
                <w:lang w:val="sr-Latn-RS"/>
              </w:rPr>
              <w:t>ULTIMMA-2</w:t>
            </w:r>
          </w:p>
        </w:tc>
        <w:tc>
          <w:tcPr>
            <w:tcW w:w="2701" w:type="dxa"/>
            <w:gridSpan w:val="2"/>
          </w:tcPr>
          <w:p w14:paraId="4B9E740B"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Bold"/>
                <w:b/>
                <w:bCs/>
                <w:szCs w:val="22"/>
                <w:lang w:val="sr-Latn-RS"/>
              </w:rPr>
              <w:t>IMMHANCE</w:t>
            </w:r>
          </w:p>
        </w:tc>
      </w:tr>
      <w:tr w:rsidR="00324863" w:rsidRPr="00711E68" w14:paraId="7D838709" w14:textId="77777777" w:rsidTr="000E6F46">
        <w:tc>
          <w:tcPr>
            <w:tcW w:w="1087" w:type="dxa"/>
          </w:tcPr>
          <w:p w14:paraId="7EC809DB" w14:textId="77777777" w:rsidR="00324863" w:rsidRPr="00711E68" w:rsidRDefault="00324863" w:rsidP="00711E68">
            <w:pPr>
              <w:keepNext/>
              <w:autoSpaceDE w:val="0"/>
              <w:autoSpaceDN w:val="0"/>
              <w:adjustRightInd w:val="0"/>
              <w:rPr>
                <w:rFonts w:eastAsia="TimesNewRoman,Bold"/>
                <w:b/>
                <w:bCs/>
                <w:szCs w:val="22"/>
                <w:lang w:val="sr-Latn-RS"/>
              </w:rPr>
            </w:pPr>
          </w:p>
        </w:tc>
        <w:tc>
          <w:tcPr>
            <w:tcW w:w="1574" w:type="dxa"/>
          </w:tcPr>
          <w:p w14:paraId="5B2F1FE7"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Bold"/>
                <w:b/>
                <w:bCs/>
                <w:szCs w:val="22"/>
                <w:lang w:val="sr-Latn-RS"/>
              </w:rPr>
              <w:t>Risankizumab</w:t>
            </w:r>
          </w:p>
        </w:tc>
        <w:tc>
          <w:tcPr>
            <w:tcW w:w="1185" w:type="dxa"/>
          </w:tcPr>
          <w:p w14:paraId="39E7B8CF"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Bold"/>
                <w:b/>
                <w:bCs/>
                <w:szCs w:val="22"/>
                <w:lang w:val="sr-Latn-RS"/>
              </w:rPr>
              <w:t>Placebo</w:t>
            </w:r>
          </w:p>
        </w:tc>
        <w:tc>
          <w:tcPr>
            <w:tcW w:w="1574" w:type="dxa"/>
          </w:tcPr>
          <w:p w14:paraId="09A9B984" w14:textId="77777777"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Risankizumab</w:t>
            </w:r>
          </w:p>
        </w:tc>
        <w:tc>
          <w:tcPr>
            <w:tcW w:w="1166" w:type="dxa"/>
          </w:tcPr>
          <w:p w14:paraId="4F3EA809" w14:textId="77777777"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Placebo</w:t>
            </w:r>
          </w:p>
        </w:tc>
        <w:tc>
          <w:tcPr>
            <w:tcW w:w="1574" w:type="dxa"/>
          </w:tcPr>
          <w:p w14:paraId="31C14C1E" w14:textId="77777777"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Risankizumab</w:t>
            </w:r>
          </w:p>
        </w:tc>
        <w:tc>
          <w:tcPr>
            <w:tcW w:w="1127" w:type="dxa"/>
          </w:tcPr>
          <w:p w14:paraId="5F91F57C" w14:textId="77777777"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Placebo</w:t>
            </w:r>
          </w:p>
        </w:tc>
      </w:tr>
      <w:tr w:rsidR="00324863" w:rsidRPr="00711E68" w14:paraId="610E8DCE" w14:textId="77777777" w:rsidTr="000E6F46">
        <w:tc>
          <w:tcPr>
            <w:tcW w:w="1087" w:type="dxa"/>
          </w:tcPr>
          <w:p w14:paraId="39E0612D" w14:textId="77777777"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NAPSI:</w:t>
            </w:r>
          </w:p>
          <w:p w14:paraId="5060718F" w14:textId="22E2BDD8"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Prom</w:t>
            </w:r>
            <w:r w:rsidR="00881418" w:rsidRPr="00711E68">
              <w:rPr>
                <w:rFonts w:eastAsia="TimesNewRoman,Bold"/>
                <w:b/>
                <w:bCs/>
                <w:szCs w:val="22"/>
                <w:lang w:val="sr-Latn-RS"/>
              </w:rPr>
              <w:t>j</w:t>
            </w:r>
            <w:r w:rsidRPr="00711E68">
              <w:rPr>
                <w:rFonts w:eastAsia="TimesNewRoman,Bold"/>
                <w:b/>
                <w:bCs/>
                <w:szCs w:val="22"/>
                <w:lang w:val="sr-Latn-RS"/>
              </w:rPr>
              <w:t>ena u ned</w:t>
            </w:r>
            <w:r w:rsidR="00895B9C" w:rsidRPr="00711E68">
              <w:rPr>
                <w:rFonts w:eastAsia="TimesNewRoman,Bold"/>
                <w:b/>
                <w:bCs/>
                <w:szCs w:val="22"/>
                <w:lang w:val="sr-Latn-RS"/>
              </w:rPr>
              <w:t>j</w:t>
            </w:r>
            <w:r w:rsidRPr="00711E68">
              <w:rPr>
                <w:rFonts w:eastAsia="TimesNewRoman,Bold"/>
                <w:b/>
                <w:bCs/>
                <w:szCs w:val="22"/>
                <w:lang w:val="sr-Latn-RS"/>
              </w:rPr>
              <w:t>elji</w:t>
            </w:r>
          </w:p>
          <w:p w14:paraId="1EF15B16" w14:textId="77777777"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16 (SE)</w:t>
            </w:r>
          </w:p>
        </w:tc>
        <w:tc>
          <w:tcPr>
            <w:tcW w:w="1574" w:type="dxa"/>
            <w:vAlign w:val="center"/>
          </w:tcPr>
          <w:p w14:paraId="2C401031"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N=178;</w:t>
            </w:r>
          </w:p>
          <w:p w14:paraId="30BA004B" w14:textId="4D9D2084"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-9,0 (1,17)</w:t>
            </w:r>
          </w:p>
        </w:tc>
        <w:tc>
          <w:tcPr>
            <w:tcW w:w="1185" w:type="dxa"/>
            <w:vAlign w:val="center"/>
          </w:tcPr>
          <w:p w14:paraId="6AAA0493"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N=56;</w:t>
            </w:r>
          </w:p>
          <w:p w14:paraId="177E789C" w14:textId="249D5201"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2,1 (1,86)</w:t>
            </w:r>
          </w:p>
          <w:p w14:paraId="69E5C027"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c>
          <w:tcPr>
            <w:tcW w:w="1574" w:type="dxa"/>
            <w:vAlign w:val="center"/>
          </w:tcPr>
          <w:p w14:paraId="2E097CF3"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N=177;</w:t>
            </w:r>
          </w:p>
          <w:p w14:paraId="3D0B3584" w14:textId="73F2EB4E"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-7,5 (1,03)</w:t>
            </w:r>
          </w:p>
        </w:tc>
        <w:tc>
          <w:tcPr>
            <w:tcW w:w="1166" w:type="dxa"/>
            <w:vAlign w:val="center"/>
          </w:tcPr>
          <w:p w14:paraId="7210EE7A"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N=49;</w:t>
            </w:r>
          </w:p>
          <w:p w14:paraId="0E99C33F" w14:textId="23BC6B3E"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3,0 (1,76)</w:t>
            </w:r>
          </w:p>
          <w:p w14:paraId="3BE4045B"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c>
          <w:tcPr>
            <w:tcW w:w="1574" w:type="dxa"/>
            <w:vAlign w:val="center"/>
          </w:tcPr>
          <w:p w14:paraId="3587E0F0"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N=235;</w:t>
            </w:r>
          </w:p>
          <w:p w14:paraId="38CD34C6" w14:textId="44ABC42D"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-7,5 (0,89)</w:t>
            </w:r>
          </w:p>
        </w:tc>
        <w:tc>
          <w:tcPr>
            <w:tcW w:w="1127" w:type="dxa"/>
            <w:vAlign w:val="center"/>
          </w:tcPr>
          <w:p w14:paraId="336E64C0"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N=58;</w:t>
            </w:r>
          </w:p>
          <w:p w14:paraId="2D1BE4E8" w14:textId="53191F2A"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2,5</w:t>
            </w:r>
          </w:p>
          <w:p w14:paraId="222952E1" w14:textId="36BD1A9F"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(1,70)</w:t>
            </w:r>
          </w:p>
          <w:p w14:paraId="265D36DD"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r>
      <w:tr w:rsidR="00324863" w:rsidRPr="00711E68" w14:paraId="1C031AF6" w14:textId="77777777" w:rsidTr="000E6F46">
        <w:tc>
          <w:tcPr>
            <w:tcW w:w="1087" w:type="dxa"/>
          </w:tcPr>
          <w:p w14:paraId="066309A8" w14:textId="77777777"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PPASI:</w:t>
            </w:r>
          </w:p>
          <w:p w14:paraId="7D129F06" w14:textId="1C3E2DC8"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Prom</w:t>
            </w:r>
            <w:r w:rsidR="00881418" w:rsidRPr="00711E68">
              <w:rPr>
                <w:rFonts w:eastAsia="TimesNewRoman,Bold"/>
                <w:b/>
                <w:bCs/>
                <w:szCs w:val="22"/>
                <w:lang w:val="sr-Latn-RS"/>
              </w:rPr>
              <w:t>j</w:t>
            </w:r>
            <w:r w:rsidRPr="00711E68">
              <w:rPr>
                <w:rFonts w:eastAsia="TimesNewRoman,Bold"/>
                <w:b/>
                <w:bCs/>
                <w:szCs w:val="22"/>
                <w:lang w:val="sr-Latn-RS"/>
              </w:rPr>
              <w:t>ena u ned</w:t>
            </w:r>
            <w:r w:rsidR="00895B9C" w:rsidRPr="00711E68">
              <w:rPr>
                <w:rFonts w:eastAsia="TimesNewRoman,Bold"/>
                <w:b/>
                <w:bCs/>
                <w:szCs w:val="22"/>
                <w:lang w:val="sr-Latn-RS"/>
              </w:rPr>
              <w:t>j</w:t>
            </w:r>
            <w:r w:rsidRPr="00711E68">
              <w:rPr>
                <w:rFonts w:eastAsia="TimesNewRoman,Bold"/>
                <w:b/>
                <w:bCs/>
                <w:szCs w:val="22"/>
                <w:lang w:val="sr-Latn-RS"/>
              </w:rPr>
              <w:t>elji</w:t>
            </w:r>
          </w:p>
          <w:p w14:paraId="2FE65CDE" w14:textId="77777777"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16 (SE)</w:t>
            </w:r>
          </w:p>
        </w:tc>
        <w:tc>
          <w:tcPr>
            <w:tcW w:w="1574" w:type="dxa"/>
            <w:vAlign w:val="center"/>
          </w:tcPr>
          <w:p w14:paraId="33856E04"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N=95;</w:t>
            </w:r>
          </w:p>
          <w:p w14:paraId="20DA603A" w14:textId="4E437416"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-5,93 (0,324)</w:t>
            </w:r>
          </w:p>
          <w:p w14:paraId="74AA6390" w14:textId="77777777" w:rsidR="00324863" w:rsidRPr="00711E68" w:rsidRDefault="00324863" w:rsidP="00711E68">
            <w:pPr>
              <w:keepNext/>
              <w:jc w:val="center"/>
              <w:rPr>
                <w:rFonts w:eastAsia="TimesNewRoman,Bold"/>
                <w:szCs w:val="22"/>
                <w:lang w:val="sr-Latn-RS"/>
              </w:rPr>
            </w:pPr>
          </w:p>
        </w:tc>
        <w:tc>
          <w:tcPr>
            <w:tcW w:w="1185" w:type="dxa"/>
            <w:vAlign w:val="center"/>
          </w:tcPr>
          <w:p w14:paraId="47BA8AFD"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N=34;</w:t>
            </w:r>
          </w:p>
          <w:p w14:paraId="5A72F987" w14:textId="6A6DBD2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-3,17</w:t>
            </w:r>
          </w:p>
          <w:p w14:paraId="07DBA649" w14:textId="54992C7A"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(0,445)</w:t>
            </w:r>
          </w:p>
          <w:p w14:paraId="1086E3C3"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c>
          <w:tcPr>
            <w:tcW w:w="1574" w:type="dxa"/>
            <w:vAlign w:val="center"/>
          </w:tcPr>
          <w:p w14:paraId="21DC6DE2"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N=86;</w:t>
            </w:r>
          </w:p>
          <w:p w14:paraId="207039DD" w14:textId="06503E53"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-7,24 (0,558)</w:t>
            </w:r>
          </w:p>
        </w:tc>
        <w:tc>
          <w:tcPr>
            <w:tcW w:w="1166" w:type="dxa"/>
            <w:vAlign w:val="center"/>
          </w:tcPr>
          <w:p w14:paraId="0C68A70F"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N=23;</w:t>
            </w:r>
          </w:p>
          <w:p w14:paraId="25DDA0C6" w14:textId="37DD75F2"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-3,74</w:t>
            </w:r>
          </w:p>
          <w:p w14:paraId="426D99DB" w14:textId="6A94862F"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(1,025)</w:t>
            </w:r>
          </w:p>
          <w:p w14:paraId="01B43CCE"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c>
          <w:tcPr>
            <w:tcW w:w="1574" w:type="dxa"/>
            <w:vAlign w:val="center"/>
          </w:tcPr>
          <w:p w14:paraId="7A8D60EE"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N=113;</w:t>
            </w:r>
          </w:p>
          <w:p w14:paraId="1CCC9036" w14:textId="00B25732"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-7,39 (0,654)</w:t>
            </w:r>
          </w:p>
          <w:p w14:paraId="6EC53ADC" w14:textId="77777777" w:rsidR="00324863" w:rsidRPr="00711E68" w:rsidRDefault="00324863" w:rsidP="00711E68">
            <w:pPr>
              <w:keepNext/>
              <w:jc w:val="center"/>
              <w:rPr>
                <w:rFonts w:eastAsia="TimesNewRoman,Bold"/>
                <w:szCs w:val="22"/>
                <w:lang w:val="sr-Latn-RS"/>
              </w:rPr>
            </w:pPr>
          </w:p>
        </w:tc>
        <w:tc>
          <w:tcPr>
            <w:tcW w:w="1127" w:type="dxa"/>
            <w:vAlign w:val="center"/>
          </w:tcPr>
          <w:p w14:paraId="1F70028F"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N=26;</w:t>
            </w:r>
          </w:p>
          <w:p w14:paraId="271EEC83" w14:textId="48C38E15"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-0,27</w:t>
            </w:r>
          </w:p>
          <w:p w14:paraId="686418C8" w14:textId="45175806"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(1,339)</w:t>
            </w:r>
          </w:p>
          <w:p w14:paraId="63179D86"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r>
      <w:tr w:rsidR="00324863" w:rsidRPr="00711E68" w14:paraId="0E6B7B2A" w14:textId="77777777" w:rsidTr="000E6F46">
        <w:tc>
          <w:tcPr>
            <w:tcW w:w="1087" w:type="dxa"/>
          </w:tcPr>
          <w:p w14:paraId="3E2E1DD1" w14:textId="77777777"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PSSI:</w:t>
            </w:r>
          </w:p>
          <w:p w14:paraId="4E6B91DB" w14:textId="5839BD8D"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Prom</w:t>
            </w:r>
            <w:r w:rsidR="00881418" w:rsidRPr="00711E68">
              <w:rPr>
                <w:rFonts w:eastAsia="TimesNewRoman,Bold"/>
                <w:b/>
                <w:bCs/>
                <w:szCs w:val="22"/>
                <w:lang w:val="sr-Latn-RS"/>
              </w:rPr>
              <w:t>j</w:t>
            </w:r>
            <w:r w:rsidRPr="00711E68">
              <w:rPr>
                <w:rFonts w:eastAsia="TimesNewRoman,Bold"/>
                <w:b/>
                <w:bCs/>
                <w:szCs w:val="22"/>
                <w:lang w:val="sr-Latn-RS"/>
              </w:rPr>
              <w:t>ena u ned</w:t>
            </w:r>
            <w:r w:rsidR="00895B9C" w:rsidRPr="00711E68">
              <w:rPr>
                <w:rFonts w:eastAsia="TimesNewRoman,Bold"/>
                <w:b/>
                <w:bCs/>
                <w:szCs w:val="22"/>
                <w:lang w:val="sr-Latn-RS"/>
              </w:rPr>
              <w:t>j</w:t>
            </w:r>
            <w:r w:rsidRPr="00711E68">
              <w:rPr>
                <w:rFonts w:eastAsia="TimesNewRoman,Bold"/>
                <w:b/>
                <w:bCs/>
                <w:szCs w:val="22"/>
                <w:lang w:val="sr-Latn-RS"/>
              </w:rPr>
              <w:t>elji</w:t>
            </w:r>
          </w:p>
          <w:p w14:paraId="1AA4D2D1" w14:textId="77777777"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16 (SE)</w:t>
            </w:r>
          </w:p>
        </w:tc>
        <w:tc>
          <w:tcPr>
            <w:tcW w:w="1574" w:type="dxa"/>
            <w:vAlign w:val="center"/>
          </w:tcPr>
          <w:p w14:paraId="403865E1"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N=267;</w:t>
            </w:r>
          </w:p>
          <w:p w14:paraId="4EA94D4B" w14:textId="13F69324"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-17,6 (0,47)</w:t>
            </w:r>
          </w:p>
        </w:tc>
        <w:tc>
          <w:tcPr>
            <w:tcW w:w="1185" w:type="dxa"/>
            <w:vAlign w:val="center"/>
          </w:tcPr>
          <w:p w14:paraId="500706F1"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N=92;</w:t>
            </w:r>
          </w:p>
          <w:p w14:paraId="38A23D71" w14:textId="6A89D86D"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-2,9</w:t>
            </w:r>
          </w:p>
          <w:p w14:paraId="431BF57D" w14:textId="5F8EE0E3"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(0,69)</w:t>
            </w:r>
          </w:p>
          <w:p w14:paraId="22A5834B" w14:textId="77777777" w:rsidR="00324863" w:rsidRPr="00711E68" w:rsidRDefault="00324863" w:rsidP="00711E68">
            <w:pPr>
              <w:keepNext/>
              <w:jc w:val="center"/>
              <w:rPr>
                <w:rFonts w:eastAsia="TimesNewRoman,Bold"/>
                <w:szCs w:val="22"/>
                <w:lang w:val="sr-Latn-RS"/>
              </w:rPr>
            </w:pPr>
            <w:r w:rsidRPr="00711E68">
              <w:rPr>
                <w:rFonts w:eastAsia="TimesNewRoman"/>
                <w:szCs w:val="22"/>
                <w:lang w:val="sr-Latn-RS"/>
              </w:rPr>
              <w:t>***</w:t>
            </w:r>
          </w:p>
        </w:tc>
        <w:tc>
          <w:tcPr>
            <w:tcW w:w="1574" w:type="dxa"/>
            <w:vAlign w:val="center"/>
          </w:tcPr>
          <w:p w14:paraId="42AAA7A4"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N=252;</w:t>
            </w:r>
          </w:p>
          <w:p w14:paraId="27EE1ECA" w14:textId="171B93BB"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-18,4 (0,52)</w:t>
            </w:r>
          </w:p>
        </w:tc>
        <w:tc>
          <w:tcPr>
            <w:tcW w:w="1166" w:type="dxa"/>
            <w:vAlign w:val="center"/>
          </w:tcPr>
          <w:p w14:paraId="751FE78C"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N=83;</w:t>
            </w:r>
          </w:p>
          <w:p w14:paraId="6402E097" w14:textId="3808C76F"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-4,6</w:t>
            </w:r>
          </w:p>
          <w:p w14:paraId="5D6EEF13" w14:textId="484B2491"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(0,82)</w:t>
            </w:r>
          </w:p>
          <w:p w14:paraId="03D68D2A"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c>
          <w:tcPr>
            <w:tcW w:w="1574" w:type="dxa"/>
            <w:vAlign w:val="center"/>
          </w:tcPr>
          <w:p w14:paraId="58F22EE4"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N=357;</w:t>
            </w:r>
          </w:p>
          <w:p w14:paraId="5DFDC83A" w14:textId="0550FA75"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-20,1 (0,40)</w:t>
            </w:r>
          </w:p>
        </w:tc>
        <w:tc>
          <w:tcPr>
            <w:tcW w:w="1127" w:type="dxa"/>
            <w:vAlign w:val="center"/>
          </w:tcPr>
          <w:p w14:paraId="6BF74C62"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N=88;</w:t>
            </w:r>
          </w:p>
          <w:p w14:paraId="093A3A59" w14:textId="5DC4F869"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-5,5</w:t>
            </w:r>
          </w:p>
          <w:p w14:paraId="19DD2DCB" w14:textId="48908A44"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(0,77)</w:t>
            </w:r>
          </w:p>
          <w:p w14:paraId="553286D5"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r>
      <w:tr w:rsidR="00324863" w:rsidRPr="00711E68" w14:paraId="12F32751" w14:textId="77777777" w:rsidTr="000E6F46">
        <w:tc>
          <w:tcPr>
            <w:tcW w:w="1087" w:type="dxa"/>
          </w:tcPr>
          <w:p w14:paraId="4C60AF4E" w14:textId="77777777"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NAPSI:</w:t>
            </w:r>
          </w:p>
          <w:p w14:paraId="0FC75A80" w14:textId="6033A2C0"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Prom</w:t>
            </w:r>
            <w:r w:rsidR="00881418" w:rsidRPr="00711E68">
              <w:rPr>
                <w:rFonts w:eastAsia="TimesNewRoman,Bold"/>
                <w:b/>
                <w:bCs/>
                <w:szCs w:val="22"/>
                <w:lang w:val="sr-Latn-RS"/>
              </w:rPr>
              <w:t>j</w:t>
            </w:r>
            <w:r w:rsidRPr="00711E68">
              <w:rPr>
                <w:rFonts w:eastAsia="TimesNewRoman,Bold"/>
                <w:b/>
                <w:bCs/>
                <w:szCs w:val="22"/>
                <w:lang w:val="sr-Latn-RS"/>
              </w:rPr>
              <w:t>ena u ned</w:t>
            </w:r>
            <w:r w:rsidR="00895B9C" w:rsidRPr="00711E68">
              <w:rPr>
                <w:rFonts w:eastAsia="TimesNewRoman,Bold"/>
                <w:b/>
                <w:bCs/>
                <w:szCs w:val="22"/>
                <w:lang w:val="sr-Latn-RS"/>
              </w:rPr>
              <w:t>j</w:t>
            </w:r>
            <w:r w:rsidRPr="00711E68">
              <w:rPr>
                <w:rFonts w:eastAsia="TimesNewRoman,Bold"/>
                <w:b/>
                <w:bCs/>
                <w:szCs w:val="22"/>
                <w:lang w:val="sr-Latn-RS"/>
              </w:rPr>
              <w:t>elji</w:t>
            </w:r>
          </w:p>
          <w:p w14:paraId="23021488" w14:textId="77777777"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52 (SE)</w:t>
            </w:r>
          </w:p>
        </w:tc>
        <w:tc>
          <w:tcPr>
            <w:tcW w:w="1574" w:type="dxa"/>
            <w:vAlign w:val="center"/>
          </w:tcPr>
          <w:p w14:paraId="21DA73EF"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N=178;</w:t>
            </w:r>
          </w:p>
          <w:p w14:paraId="549E5916" w14:textId="33444F3C"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-15,7 (0,94)</w:t>
            </w:r>
          </w:p>
        </w:tc>
        <w:tc>
          <w:tcPr>
            <w:tcW w:w="1185" w:type="dxa"/>
            <w:vAlign w:val="center"/>
          </w:tcPr>
          <w:p w14:paraId="59CC82D9"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c>
          <w:tcPr>
            <w:tcW w:w="1574" w:type="dxa"/>
            <w:vAlign w:val="center"/>
          </w:tcPr>
          <w:p w14:paraId="15C4A137"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N=183;</w:t>
            </w:r>
          </w:p>
          <w:p w14:paraId="3369816A" w14:textId="7F6F69AF"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-16,7 (0,85)</w:t>
            </w:r>
          </w:p>
        </w:tc>
        <w:tc>
          <w:tcPr>
            <w:tcW w:w="1166" w:type="dxa"/>
            <w:vAlign w:val="center"/>
          </w:tcPr>
          <w:p w14:paraId="71968F74"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c>
          <w:tcPr>
            <w:tcW w:w="1574" w:type="dxa"/>
            <w:vAlign w:val="center"/>
          </w:tcPr>
          <w:p w14:paraId="380A4E13"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c>
          <w:tcPr>
            <w:tcW w:w="1127" w:type="dxa"/>
            <w:vAlign w:val="center"/>
          </w:tcPr>
          <w:p w14:paraId="7E620F55"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r>
      <w:tr w:rsidR="00324863" w:rsidRPr="00711E68" w14:paraId="0A0A3D80" w14:textId="77777777" w:rsidTr="000E6F46">
        <w:tc>
          <w:tcPr>
            <w:tcW w:w="1087" w:type="dxa"/>
          </w:tcPr>
          <w:p w14:paraId="15381696" w14:textId="77777777"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PPASI:</w:t>
            </w:r>
          </w:p>
          <w:p w14:paraId="6DE78F1A" w14:textId="66ACEFCF"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Prom</w:t>
            </w:r>
            <w:r w:rsidR="00881418" w:rsidRPr="00711E68">
              <w:rPr>
                <w:rFonts w:eastAsia="TimesNewRoman,Bold"/>
                <w:b/>
                <w:bCs/>
                <w:szCs w:val="22"/>
                <w:lang w:val="sr-Latn-RS"/>
              </w:rPr>
              <w:t>j</w:t>
            </w:r>
            <w:r w:rsidRPr="00711E68">
              <w:rPr>
                <w:rFonts w:eastAsia="TimesNewRoman,Bold"/>
                <w:b/>
                <w:bCs/>
                <w:szCs w:val="22"/>
                <w:lang w:val="sr-Latn-RS"/>
              </w:rPr>
              <w:t>ena u ned</w:t>
            </w:r>
            <w:r w:rsidR="00895B9C" w:rsidRPr="00711E68">
              <w:rPr>
                <w:rFonts w:eastAsia="TimesNewRoman,Bold"/>
                <w:b/>
                <w:bCs/>
                <w:szCs w:val="22"/>
                <w:lang w:val="sr-Latn-RS"/>
              </w:rPr>
              <w:t>j</w:t>
            </w:r>
            <w:r w:rsidRPr="00711E68">
              <w:rPr>
                <w:rFonts w:eastAsia="TimesNewRoman,Bold"/>
                <w:b/>
                <w:bCs/>
                <w:szCs w:val="22"/>
                <w:lang w:val="sr-Latn-RS"/>
              </w:rPr>
              <w:t>elji</w:t>
            </w:r>
          </w:p>
          <w:p w14:paraId="756D3513" w14:textId="77777777"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52 (SE)</w:t>
            </w:r>
          </w:p>
        </w:tc>
        <w:tc>
          <w:tcPr>
            <w:tcW w:w="1574" w:type="dxa"/>
            <w:vAlign w:val="center"/>
          </w:tcPr>
          <w:p w14:paraId="7999FF21"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N=95;</w:t>
            </w:r>
          </w:p>
          <w:p w14:paraId="23DD7E1D" w14:textId="1269F96A"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-6,16 (0,296)</w:t>
            </w:r>
          </w:p>
          <w:p w14:paraId="033BF262" w14:textId="77777777" w:rsidR="00324863" w:rsidRPr="00711E68" w:rsidRDefault="00324863" w:rsidP="00711E68">
            <w:pPr>
              <w:keepNext/>
              <w:jc w:val="center"/>
              <w:rPr>
                <w:rFonts w:eastAsia="TimesNewRoman,Bold"/>
                <w:szCs w:val="22"/>
                <w:lang w:val="sr-Latn-RS"/>
              </w:rPr>
            </w:pPr>
          </w:p>
        </w:tc>
        <w:tc>
          <w:tcPr>
            <w:tcW w:w="1185" w:type="dxa"/>
            <w:vAlign w:val="center"/>
          </w:tcPr>
          <w:p w14:paraId="2DCE56E5"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c>
          <w:tcPr>
            <w:tcW w:w="1574" w:type="dxa"/>
            <w:vAlign w:val="center"/>
          </w:tcPr>
          <w:p w14:paraId="5FE858FF"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N=89;</w:t>
            </w:r>
          </w:p>
          <w:p w14:paraId="6FAB1C41" w14:textId="45C44280"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-8,35 (0,274)</w:t>
            </w:r>
          </w:p>
        </w:tc>
        <w:tc>
          <w:tcPr>
            <w:tcW w:w="1166" w:type="dxa"/>
            <w:vAlign w:val="center"/>
          </w:tcPr>
          <w:p w14:paraId="1267DFDA"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c>
          <w:tcPr>
            <w:tcW w:w="1574" w:type="dxa"/>
            <w:vAlign w:val="center"/>
          </w:tcPr>
          <w:p w14:paraId="360379F3"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c>
          <w:tcPr>
            <w:tcW w:w="1127" w:type="dxa"/>
            <w:vAlign w:val="center"/>
          </w:tcPr>
          <w:p w14:paraId="3E6A2B41"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r>
      <w:tr w:rsidR="00324863" w:rsidRPr="00711E68" w14:paraId="4256D9D0" w14:textId="77777777" w:rsidTr="000E6F46">
        <w:tc>
          <w:tcPr>
            <w:tcW w:w="1087" w:type="dxa"/>
          </w:tcPr>
          <w:p w14:paraId="45E605A8" w14:textId="77777777"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PSSI:</w:t>
            </w:r>
          </w:p>
          <w:p w14:paraId="6769D7E5" w14:textId="51E4C913" w:rsidR="00324863" w:rsidRPr="00711E68" w:rsidRDefault="00324863" w:rsidP="00711E68">
            <w:pPr>
              <w:keepNext/>
              <w:autoSpaceDE w:val="0"/>
              <w:autoSpaceDN w:val="0"/>
              <w:adjustRightInd w:val="0"/>
              <w:rPr>
                <w:rFonts w:eastAsia="TimesNewRoman,Bold"/>
                <w:b/>
                <w:bCs/>
                <w:szCs w:val="22"/>
                <w:lang w:val="sr-Latn-RS"/>
              </w:rPr>
            </w:pPr>
            <w:r w:rsidRPr="00711E68">
              <w:rPr>
                <w:rFonts w:eastAsia="TimesNewRoman,Bold"/>
                <w:b/>
                <w:bCs/>
                <w:szCs w:val="22"/>
                <w:lang w:val="sr-Latn-RS"/>
              </w:rPr>
              <w:t>Prom</w:t>
            </w:r>
            <w:r w:rsidR="00881418" w:rsidRPr="00711E68">
              <w:rPr>
                <w:rFonts w:eastAsia="TimesNewRoman,Bold"/>
                <w:b/>
                <w:bCs/>
                <w:szCs w:val="22"/>
                <w:lang w:val="sr-Latn-RS"/>
              </w:rPr>
              <w:t>j</w:t>
            </w:r>
            <w:r w:rsidRPr="00711E68">
              <w:rPr>
                <w:rFonts w:eastAsia="TimesNewRoman,Bold"/>
                <w:b/>
                <w:bCs/>
                <w:szCs w:val="22"/>
                <w:lang w:val="sr-Latn-RS"/>
              </w:rPr>
              <w:t>ena u ned</w:t>
            </w:r>
            <w:r w:rsidR="00895B9C" w:rsidRPr="00711E68">
              <w:rPr>
                <w:rFonts w:eastAsia="TimesNewRoman,Bold"/>
                <w:b/>
                <w:bCs/>
                <w:szCs w:val="22"/>
                <w:lang w:val="sr-Latn-RS"/>
              </w:rPr>
              <w:t>j</w:t>
            </w:r>
            <w:r w:rsidRPr="00711E68">
              <w:rPr>
                <w:rFonts w:eastAsia="TimesNewRoman,Bold"/>
                <w:b/>
                <w:bCs/>
                <w:szCs w:val="22"/>
                <w:lang w:val="sr-Latn-RS"/>
              </w:rPr>
              <w:t>elji</w:t>
            </w:r>
          </w:p>
          <w:p w14:paraId="46228416" w14:textId="77777777" w:rsidR="00324863" w:rsidRPr="00711E68" w:rsidRDefault="00324863" w:rsidP="00711E68">
            <w:pPr>
              <w:keepNext/>
              <w:tabs>
                <w:tab w:val="left" w:pos="714"/>
              </w:tabs>
              <w:autoSpaceDE w:val="0"/>
              <w:autoSpaceDN w:val="0"/>
              <w:adjustRightInd w:val="0"/>
              <w:rPr>
                <w:rFonts w:eastAsia="TimesNewRoman,Bold"/>
                <w:b/>
                <w:bCs/>
                <w:szCs w:val="22"/>
                <w:lang w:val="sr-Latn-RS"/>
              </w:rPr>
            </w:pPr>
            <w:r w:rsidRPr="00711E68">
              <w:rPr>
                <w:rFonts w:eastAsia="TimesNewRoman,Bold"/>
                <w:b/>
                <w:bCs/>
                <w:szCs w:val="22"/>
                <w:lang w:val="sr-Latn-RS"/>
              </w:rPr>
              <w:t>52 (SE)</w:t>
            </w:r>
          </w:p>
        </w:tc>
        <w:tc>
          <w:tcPr>
            <w:tcW w:w="1574" w:type="dxa"/>
            <w:vAlign w:val="center"/>
          </w:tcPr>
          <w:p w14:paraId="35321F9A"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N=269;</w:t>
            </w:r>
          </w:p>
          <w:p w14:paraId="5EF32817" w14:textId="1F693D79"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-17,9 (0,34)</w:t>
            </w:r>
          </w:p>
        </w:tc>
        <w:tc>
          <w:tcPr>
            <w:tcW w:w="1185" w:type="dxa"/>
            <w:vAlign w:val="center"/>
          </w:tcPr>
          <w:p w14:paraId="3155EFB2"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c>
          <w:tcPr>
            <w:tcW w:w="1574" w:type="dxa"/>
            <w:vAlign w:val="center"/>
          </w:tcPr>
          <w:p w14:paraId="48D94460" w14:textId="77777777" w:rsidR="00324863" w:rsidRPr="00711E68" w:rsidRDefault="00324863" w:rsidP="00711E68">
            <w:pPr>
              <w:keepNext/>
              <w:autoSpaceDE w:val="0"/>
              <w:autoSpaceDN w:val="0"/>
              <w:adjustRightInd w:val="0"/>
              <w:jc w:val="center"/>
              <w:rPr>
                <w:rFonts w:eastAsia="TimesNewRoman"/>
                <w:szCs w:val="22"/>
                <w:lang w:val="sr-Latn-RS"/>
              </w:rPr>
            </w:pPr>
            <w:r w:rsidRPr="00711E68">
              <w:rPr>
                <w:rFonts w:eastAsia="TimesNewRoman"/>
                <w:szCs w:val="22"/>
                <w:lang w:val="sr-Latn-RS"/>
              </w:rPr>
              <w:t>N=259;</w:t>
            </w:r>
          </w:p>
          <w:p w14:paraId="5220E001" w14:textId="3F00AA49"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-18,8 (0,24)</w:t>
            </w:r>
          </w:p>
        </w:tc>
        <w:tc>
          <w:tcPr>
            <w:tcW w:w="1166" w:type="dxa"/>
            <w:vAlign w:val="center"/>
          </w:tcPr>
          <w:p w14:paraId="523E6AFE"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c>
          <w:tcPr>
            <w:tcW w:w="1574" w:type="dxa"/>
            <w:vAlign w:val="center"/>
          </w:tcPr>
          <w:p w14:paraId="3F9B69F1"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c>
          <w:tcPr>
            <w:tcW w:w="1127" w:type="dxa"/>
            <w:vAlign w:val="center"/>
          </w:tcPr>
          <w:p w14:paraId="483C09F5" w14:textId="77777777" w:rsidR="00324863" w:rsidRPr="00711E68" w:rsidRDefault="00324863" w:rsidP="00711E68">
            <w:pPr>
              <w:keepNext/>
              <w:autoSpaceDE w:val="0"/>
              <w:autoSpaceDN w:val="0"/>
              <w:adjustRightInd w:val="0"/>
              <w:jc w:val="center"/>
              <w:rPr>
                <w:rFonts w:eastAsia="TimesNewRoman,Bold"/>
                <w:b/>
                <w:bCs/>
                <w:szCs w:val="22"/>
                <w:lang w:val="sr-Latn-RS"/>
              </w:rPr>
            </w:pPr>
            <w:r w:rsidRPr="00711E68">
              <w:rPr>
                <w:rFonts w:eastAsia="TimesNewRoman"/>
                <w:szCs w:val="22"/>
                <w:lang w:val="sr-Latn-RS"/>
              </w:rPr>
              <w:t>-</w:t>
            </w:r>
          </w:p>
        </w:tc>
      </w:tr>
      <w:tr w:rsidR="00324863" w:rsidRPr="00711E68" w14:paraId="7F8F6298" w14:textId="77777777" w:rsidTr="000E6F46">
        <w:tc>
          <w:tcPr>
            <w:tcW w:w="9287" w:type="dxa"/>
            <w:gridSpan w:val="7"/>
          </w:tcPr>
          <w:p w14:paraId="0DB1AECD" w14:textId="465415BB" w:rsidR="00F90AE1" w:rsidRPr="00711E68" w:rsidRDefault="00EE1B13" w:rsidP="00711E68">
            <w:pPr>
              <w:keepNext/>
              <w:autoSpaceDE w:val="0"/>
              <w:autoSpaceDN w:val="0"/>
              <w:adjustRightInd w:val="0"/>
              <w:rPr>
                <w:rFonts w:eastAsia="TimesNewRoman"/>
                <w:szCs w:val="22"/>
              </w:rPr>
            </w:pPr>
            <w:r w:rsidRPr="00711E68">
              <w:rPr>
                <w:szCs w:val="22"/>
              </w:rPr>
              <w:t xml:space="preserve">Indeks težine psorijaze noktiju (engl. </w:t>
            </w:r>
            <w:r w:rsidRPr="00711E68">
              <w:rPr>
                <w:i/>
                <w:szCs w:val="22"/>
              </w:rPr>
              <w:t>Nail Psoriasis Severity Index</w:t>
            </w:r>
            <w:r w:rsidRPr="00711E68">
              <w:rPr>
                <w:szCs w:val="22"/>
              </w:rPr>
              <w:t>, NAPSI)</w:t>
            </w:r>
            <w:r w:rsidRPr="00711E68">
              <w:rPr>
                <w:rFonts w:eastAsia="TimesNewRoman"/>
                <w:szCs w:val="22"/>
              </w:rPr>
              <w:t xml:space="preserve">, indeks težine palmoplantarne psorijaze (engl. </w:t>
            </w:r>
            <w:r w:rsidRPr="00711E68">
              <w:rPr>
                <w:rFonts w:eastAsia="TimesNewRoman"/>
                <w:i/>
                <w:szCs w:val="22"/>
              </w:rPr>
              <w:t>Palmoplantar Psoriasis Severity Index,</w:t>
            </w:r>
            <w:r w:rsidRPr="00711E68">
              <w:rPr>
                <w:rFonts w:eastAsia="TimesNewRoman"/>
                <w:szCs w:val="22"/>
              </w:rPr>
              <w:t xml:space="preserve"> PPASI), indeks težine psorijaze tjemena </w:t>
            </w:r>
            <w:r w:rsidR="00F71EE5" w:rsidRPr="00711E68">
              <w:rPr>
                <w:rFonts w:eastAsia="TimesNewRoman"/>
                <w:szCs w:val="22"/>
              </w:rPr>
              <w:t xml:space="preserve">glave </w:t>
            </w:r>
            <w:r w:rsidRPr="00711E68">
              <w:rPr>
                <w:rFonts w:eastAsia="TimesNewRoman"/>
                <w:szCs w:val="22"/>
              </w:rPr>
              <w:t xml:space="preserve">(engl. </w:t>
            </w:r>
            <w:r w:rsidRPr="00711E68">
              <w:rPr>
                <w:rFonts w:eastAsia="TimesNewRoman"/>
                <w:i/>
                <w:szCs w:val="22"/>
              </w:rPr>
              <w:t>Psoriasis Scalp Severity Index</w:t>
            </w:r>
            <w:r w:rsidRPr="00711E68">
              <w:rPr>
                <w:rFonts w:eastAsia="TimesNewRoman"/>
                <w:szCs w:val="22"/>
              </w:rPr>
              <w:t>, PSSI) i standardna greška (S</w:t>
            </w:r>
            <w:r w:rsidR="00895B9C" w:rsidRPr="00711E68">
              <w:rPr>
                <w:rFonts w:eastAsia="TimesNewRoman"/>
                <w:szCs w:val="22"/>
              </w:rPr>
              <w:t>E</w:t>
            </w:r>
            <w:r w:rsidRPr="00711E68">
              <w:rPr>
                <w:rFonts w:eastAsia="TimesNewRoman"/>
                <w:szCs w:val="22"/>
              </w:rPr>
              <w:t>)</w:t>
            </w:r>
          </w:p>
          <w:p w14:paraId="209ED7AD" w14:textId="0E312052" w:rsidR="00324863" w:rsidRPr="00711E68" w:rsidRDefault="00324863" w:rsidP="00711E68">
            <w:pPr>
              <w:keepNext/>
              <w:autoSpaceDE w:val="0"/>
              <w:autoSpaceDN w:val="0"/>
              <w:adjustRightInd w:val="0"/>
              <w:rPr>
                <w:rFonts w:eastAsia="TimesNewRoman"/>
                <w:szCs w:val="22"/>
                <w:lang w:val="sr-Latn-RS"/>
              </w:rPr>
            </w:pPr>
            <w:r w:rsidRPr="00711E68">
              <w:rPr>
                <w:rFonts w:eastAsia="TimesNewRoman"/>
                <w:szCs w:val="22"/>
                <w:lang w:val="sr-Latn-RS"/>
              </w:rPr>
              <w:t>** P &lt; 0</w:t>
            </w:r>
            <w:r w:rsidR="00182057" w:rsidRPr="00711E68">
              <w:rPr>
                <w:rFonts w:eastAsia="TimesNewRoman"/>
                <w:szCs w:val="22"/>
                <w:lang w:val="sr-Latn-RS"/>
              </w:rPr>
              <w:t>,</w:t>
            </w:r>
            <w:r w:rsidRPr="00711E68">
              <w:rPr>
                <w:rFonts w:eastAsia="TimesNewRoman"/>
                <w:szCs w:val="22"/>
                <w:lang w:val="sr-Latn-RS"/>
              </w:rPr>
              <w:t>01 u poređenju sa risankizumabom</w:t>
            </w:r>
          </w:p>
          <w:p w14:paraId="08C4C392" w14:textId="73D59480" w:rsidR="00324863" w:rsidRPr="00711E68" w:rsidRDefault="00324863" w:rsidP="00711E68">
            <w:pPr>
              <w:keepNext/>
              <w:autoSpaceDE w:val="0"/>
              <w:autoSpaceDN w:val="0"/>
              <w:adjustRightInd w:val="0"/>
              <w:rPr>
                <w:rFonts w:eastAsia="TimesNewRoman"/>
                <w:szCs w:val="22"/>
                <w:lang w:val="sr-Latn-RS"/>
              </w:rPr>
            </w:pPr>
            <w:r w:rsidRPr="00711E68">
              <w:rPr>
                <w:rFonts w:eastAsia="TimesNewRoman"/>
                <w:szCs w:val="22"/>
                <w:lang w:val="sr-Latn-RS"/>
              </w:rPr>
              <w:t>*** P &lt; 0</w:t>
            </w:r>
            <w:r w:rsidR="00182057" w:rsidRPr="00711E68">
              <w:rPr>
                <w:rFonts w:eastAsia="TimesNewRoman"/>
                <w:szCs w:val="22"/>
                <w:lang w:val="sr-Latn-RS"/>
              </w:rPr>
              <w:t>,</w:t>
            </w:r>
            <w:r w:rsidRPr="00711E68">
              <w:rPr>
                <w:rFonts w:eastAsia="TimesNewRoman"/>
                <w:szCs w:val="22"/>
                <w:lang w:val="sr-Latn-RS"/>
              </w:rPr>
              <w:t>001 u poređenju sa risankizumabom</w:t>
            </w:r>
          </w:p>
        </w:tc>
      </w:tr>
    </w:tbl>
    <w:p w14:paraId="5C5BE981" w14:textId="77777777" w:rsidR="00D24A8F" w:rsidRPr="00711E68" w:rsidRDefault="00D24A8F" w:rsidP="00711E68">
      <w:pPr>
        <w:autoSpaceDE w:val="0"/>
        <w:autoSpaceDN w:val="0"/>
        <w:adjustRightInd w:val="0"/>
        <w:rPr>
          <w:szCs w:val="22"/>
        </w:rPr>
      </w:pPr>
    </w:p>
    <w:p w14:paraId="7263D277" w14:textId="4AA30F53" w:rsidR="00324863" w:rsidRPr="00711E68" w:rsidRDefault="00D24A8F" w:rsidP="00711E68">
      <w:pPr>
        <w:autoSpaceDE w:val="0"/>
        <w:autoSpaceDN w:val="0"/>
        <w:adjustRightInd w:val="0"/>
        <w:rPr>
          <w:rFonts w:eastAsia="TimesNewRoman"/>
          <w:szCs w:val="22"/>
          <w:lang w:val="sr-Latn-RS"/>
        </w:rPr>
      </w:pPr>
      <w:r w:rsidRPr="00711E68">
        <w:rPr>
          <w:szCs w:val="22"/>
        </w:rPr>
        <w:t>U grupi liječenoj risankizumabom je u 16.</w:t>
      </w:r>
      <w:r w:rsidR="00895B9C" w:rsidRPr="00711E68">
        <w:rPr>
          <w:szCs w:val="22"/>
        </w:rPr>
        <w:t xml:space="preserve"> </w:t>
      </w:r>
      <w:r w:rsidRPr="00711E68">
        <w:rPr>
          <w:szCs w:val="22"/>
        </w:rPr>
        <w:t>ned</w:t>
      </w:r>
      <w:r w:rsidR="00895B9C" w:rsidRPr="00711E68">
        <w:rPr>
          <w:szCs w:val="22"/>
        </w:rPr>
        <w:t>j</w:t>
      </w:r>
      <w:r w:rsidRPr="00711E68">
        <w:rPr>
          <w:szCs w:val="22"/>
        </w:rPr>
        <w:t xml:space="preserve">elji zabilježeno poboljšanje anksioznosti i depresije, mjerenih bolničkom ljestvicom za ocjenu anksioznosti i depresije (engl. </w:t>
      </w:r>
      <w:r w:rsidRPr="00711E68">
        <w:rPr>
          <w:i/>
          <w:iCs/>
          <w:szCs w:val="22"/>
        </w:rPr>
        <w:t>Hospital Anxiety and Depression Scale</w:t>
      </w:r>
      <w:r w:rsidRPr="00711E68">
        <w:rPr>
          <w:szCs w:val="22"/>
        </w:rPr>
        <w:t xml:space="preserve">, HADS), u odnosu na grupu koja je primala placebo.  </w:t>
      </w:r>
    </w:p>
    <w:p w14:paraId="0BDF3649" w14:textId="0D32454C" w:rsidR="00300A3F" w:rsidRPr="00711E68" w:rsidRDefault="00300A3F" w:rsidP="00711E68">
      <w:pPr>
        <w:jc w:val="left"/>
        <w:rPr>
          <w:rFonts w:eastAsia="TimesNewRoman"/>
          <w:szCs w:val="22"/>
          <w:lang w:val="sr-Latn-RS"/>
        </w:rPr>
      </w:pPr>
    </w:p>
    <w:p w14:paraId="5C991F9E" w14:textId="0D54F2CE" w:rsidR="00300A3F" w:rsidRPr="00711E68" w:rsidRDefault="00300A3F" w:rsidP="00711E68">
      <w:pPr>
        <w:jc w:val="left"/>
        <w:rPr>
          <w:rFonts w:eastAsia="TimesNewRoman"/>
          <w:i/>
          <w:szCs w:val="22"/>
          <w:u w:val="single"/>
          <w:lang w:val="sr-Latn-RS"/>
        </w:rPr>
      </w:pPr>
      <w:r w:rsidRPr="00711E68">
        <w:rPr>
          <w:rFonts w:eastAsia="TimesNewRoman"/>
          <w:i/>
          <w:szCs w:val="22"/>
          <w:u w:val="single"/>
          <w:lang w:val="sr-Latn-RS"/>
        </w:rPr>
        <w:t>Održavanje odgovora</w:t>
      </w:r>
    </w:p>
    <w:p w14:paraId="0EF388C1" w14:textId="2FD20544" w:rsidR="00300A3F" w:rsidRPr="00711E68" w:rsidRDefault="00300A3F" w:rsidP="00711E68">
      <w:pPr>
        <w:jc w:val="left"/>
        <w:rPr>
          <w:rFonts w:eastAsia="TimesNewRoman"/>
          <w:szCs w:val="22"/>
          <w:lang w:val="sr-Latn-RS"/>
        </w:rPr>
      </w:pPr>
    </w:p>
    <w:p w14:paraId="560444E6" w14:textId="6C8FB799" w:rsidR="00617745" w:rsidRPr="00711E68" w:rsidRDefault="00617745" w:rsidP="00711E68">
      <w:pPr>
        <w:autoSpaceDE w:val="0"/>
        <w:autoSpaceDN w:val="0"/>
        <w:adjustRightInd w:val="0"/>
        <w:rPr>
          <w:szCs w:val="22"/>
        </w:rPr>
      </w:pPr>
      <w:r w:rsidRPr="00711E68">
        <w:rPr>
          <w:szCs w:val="22"/>
        </w:rPr>
        <w:t>Prema analizi objedinjenih podataka prikupljenih kod ispitanika koji su primali risankizumab u ispitivanjima ULTIMMA</w:t>
      </w:r>
      <w:r w:rsidRPr="00711E68">
        <w:rPr>
          <w:szCs w:val="22"/>
        </w:rPr>
        <w:noBreakHyphen/>
        <w:t>1 i ULTIMMA</w:t>
      </w:r>
      <w:r w:rsidRPr="00711E68">
        <w:rPr>
          <w:szCs w:val="22"/>
        </w:rPr>
        <w:noBreakHyphen/>
        <w:t>2 koji su u 16. ned</w:t>
      </w:r>
      <w:r w:rsidR="008C7A50" w:rsidRPr="00711E68">
        <w:rPr>
          <w:szCs w:val="22"/>
        </w:rPr>
        <w:t>j</w:t>
      </w:r>
      <w:r w:rsidRPr="00711E68">
        <w:rPr>
          <w:szCs w:val="22"/>
        </w:rPr>
        <w:t xml:space="preserve">elji imali odgovor PASI 100, </w:t>
      </w:r>
      <w:r w:rsidR="008C7A50" w:rsidRPr="00711E68">
        <w:rPr>
          <w:szCs w:val="22"/>
        </w:rPr>
        <w:t>kod</w:t>
      </w:r>
      <w:r w:rsidRPr="00711E68">
        <w:rPr>
          <w:szCs w:val="22"/>
        </w:rPr>
        <w:t xml:space="preserve"> 79,8% (206/258) onih koji su nastavili primati risankizumab taj se odgovor održao i u 52. ned</w:t>
      </w:r>
      <w:r w:rsidR="008C7A50" w:rsidRPr="00711E68">
        <w:rPr>
          <w:szCs w:val="22"/>
        </w:rPr>
        <w:t>j</w:t>
      </w:r>
      <w:r w:rsidRPr="00711E68">
        <w:rPr>
          <w:szCs w:val="22"/>
        </w:rPr>
        <w:t>elji.</w:t>
      </w:r>
      <w:r w:rsidRPr="00711E68">
        <w:rPr>
          <w:color w:val="000000"/>
          <w:szCs w:val="22"/>
        </w:rPr>
        <w:t xml:space="preserve"> Među ispitanicima koji su u 16. ned</w:t>
      </w:r>
      <w:r w:rsidR="008C7A50" w:rsidRPr="00711E68">
        <w:rPr>
          <w:color w:val="000000"/>
          <w:szCs w:val="22"/>
        </w:rPr>
        <w:t>j</w:t>
      </w:r>
      <w:r w:rsidRPr="00711E68">
        <w:rPr>
          <w:color w:val="000000"/>
          <w:szCs w:val="22"/>
        </w:rPr>
        <w:t xml:space="preserve">elji imali odgovor PASI 90, njih 88,4% (398/450) imalo je održan odgovor i u 52. </w:t>
      </w:r>
      <w:r w:rsidR="00447A80" w:rsidRPr="00711E68">
        <w:rPr>
          <w:color w:val="000000"/>
          <w:szCs w:val="22"/>
        </w:rPr>
        <w:t>ned</w:t>
      </w:r>
      <w:r w:rsidR="008C7A50" w:rsidRPr="00711E68">
        <w:rPr>
          <w:color w:val="000000"/>
          <w:szCs w:val="22"/>
        </w:rPr>
        <w:t>j</w:t>
      </w:r>
      <w:r w:rsidR="00447A80" w:rsidRPr="00711E68">
        <w:rPr>
          <w:color w:val="000000"/>
          <w:szCs w:val="22"/>
        </w:rPr>
        <w:t>elji</w:t>
      </w:r>
      <w:r w:rsidRPr="00711E68">
        <w:rPr>
          <w:color w:val="000000"/>
          <w:szCs w:val="22"/>
        </w:rPr>
        <w:t xml:space="preserve">. </w:t>
      </w:r>
    </w:p>
    <w:p w14:paraId="46028681" w14:textId="7CD40949" w:rsidR="00300A3F" w:rsidRPr="00711E68" w:rsidRDefault="00300A3F" w:rsidP="00711E68">
      <w:pPr>
        <w:jc w:val="left"/>
        <w:rPr>
          <w:b/>
          <w:bCs/>
          <w:szCs w:val="22"/>
          <w:lang w:val="sr-Latn-RS"/>
        </w:rPr>
      </w:pPr>
    </w:p>
    <w:p w14:paraId="133A8755" w14:textId="285E268D" w:rsidR="002F05F8" w:rsidRPr="00711E68" w:rsidRDefault="002F05F8" w:rsidP="00711E68">
      <w:pPr>
        <w:rPr>
          <w:bCs/>
          <w:szCs w:val="22"/>
          <w:lang w:val="sr-Latn-RS"/>
        </w:rPr>
      </w:pPr>
      <w:r w:rsidRPr="00711E68">
        <w:rPr>
          <w:bCs/>
          <w:szCs w:val="22"/>
          <w:lang w:val="sr-Latn-RS"/>
        </w:rPr>
        <w:t>Bezb</w:t>
      </w:r>
      <w:r w:rsidR="00881418" w:rsidRPr="00711E68">
        <w:rPr>
          <w:bCs/>
          <w:szCs w:val="22"/>
          <w:lang w:val="sr-Latn-RS"/>
        </w:rPr>
        <w:t>j</w:t>
      </w:r>
      <w:r w:rsidRPr="00711E68">
        <w:rPr>
          <w:bCs/>
          <w:szCs w:val="22"/>
          <w:lang w:val="sr-Latn-RS"/>
        </w:rPr>
        <w:t xml:space="preserve">ednosni profil risankizumaba </w:t>
      </w:r>
      <w:r w:rsidR="007D0CDC" w:rsidRPr="00711E68">
        <w:rPr>
          <w:bCs/>
          <w:szCs w:val="22"/>
          <w:lang w:val="sr-Latn-RS"/>
        </w:rPr>
        <w:t xml:space="preserve">tokom najviše </w:t>
      </w:r>
      <w:r w:rsidRPr="00711E68">
        <w:rPr>
          <w:bCs/>
          <w:szCs w:val="22"/>
          <w:lang w:val="sr-Latn-RS"/>
        </w:rPr>
        <w:t>77 ned</w:t>
      </w:r>
      <w:r w:rsidR="008C7A50" w:rsidRPr="00711E68">
        <w:rPr>
          <w:bCs/>
          <w:szCs w:val="22"/>
          <w:lang w:val="sr-Latn-RS"/>
        </w:rPr>
        <w:t>j</w:t>
      </w:r>
      <w:r w:rsidRPr="00711E68">
        <w:rPr>
          <w:bCs/>
          <w:szCs w:val="22"/>
          <w:lang w:val="sr-Latn-RS"/>
        </w:rPr>
        <w:t xml:space="preserve">elja </w:t>
      </w:r>
      <w:r w:rsidR="007D0CDC" w:rsidRPr="00711E68">
        <w:rPr>
          <w:bCs/>
          <w:szCs w:val="22"/>
          <w:lang w:val="sr-Latn-RS"/>
        </w:rPr>
        <w:t xml:space="preserve">izloženosti </w:t>
      </w:r>
      <w:r w:rsidRPr="00711E68">
        <w:rPr>
          <w:bCs/>
          <w:szCs w:val="22"/>
          <w:lang w:val="sr-Latn-RS"/>
        </w:rPr>
        <w:t xml:space="preserve">bio je </w:t>
      </w:r>
      <w:r w:rsidR="007D0CDC" w:rsidRPr="00711E68">
        <w:rPr>
          <w:bCs/>
          <w:szCs w:val="22"/>
          <w:lang w:val="sr-Latn-RS"/>
        </w:rPr>
        <w:t>u sklad</w:t>
      </w:r>
      <w:r w:rsidR="00DB5ABE" w:rsidRPr="00711E68">
        <w:rPr>
          <w:bCs/>
          <w:szCs w:val="22"/>
          <w:lang w:val="sr-Latn-RS"/>
        </w:rPr>
        <w:t>u s</w:t>
      </w:r>
      <w:r w:rsidRPr="00711E68">
        <w:rPr>
          <w:bCs/>
          <w:szCs w:val="22"/>
          <w:lang w:val="sr-Latn-RS"/>
        </w:rPr>
        <w:t xml:space="preserve">a </w:t>
      </w:r>
      <w:r w:rsidR="008C7A50" w:rsidRPr="00711E68">
        <w:rPr>
          <w:bCs/>
          <w:szCs w:val="22"/>
          <w:lang w:val="sr-Latn-RS"/>
        </w:rPr>
        <w:t xml:space="preserve">opaženim </w:t>
      </w:r>
      <w:r w:rsidRPr="00711E68">
        <w:rPr>
          <w:bCs/>
          <w:szCs w:val="22"/>
          <w:lang w:val="sr-Latn-RS"/>
        </w:rPr>
        <w:t>profil</w:t>
      </w:r>
      <w:r w:rsidR="00DB5ABE" w:rsidRPr="00711E68">
        <w:rPr>
          <w:bCs/>
          <w:szCs w:val="22"/>
          <w:lang w:val="sr-Latn-RS"/>
        </w:rPr>
        <w:t>om</w:t>
      </w:r>
      <w:r w:rsidRPr="00711E68">
        <w:rPr>
          <w:bCs/>
          <w:szCs w:val="22"/>
          <w:lang w:val="sr-Latn-RS"/>
        </w:rPr>
        <w:t xml:space="preserve"> </w:t>
      </w:r>
      <w:r w:rsidR="008C7A50" w:rsidRPr="00711E68">
        <w:rPr>
          <w:bCs/>
          <w:szCs w:val="22"/>
          <w:lang w:val="sr-Latn-RS"/>
        </w:rPr>
        <w:t xml:space="preserve"> </w:t>
      </w:r>
      <w:r w:rsidRPr="00711E68">
        <w:rPr>
          <w:bCs/>
          <w:szCs w:val="22"/>
          <w:lang w:val="sr-Latn-RS"/>
        </w:rPr>
        <w:t xml:space="preserve">do </w:t>
      </w:r>
      <w:r w:rsidR="00DB5ABE" w:rsidRPr="00711E68">
        <w:rPr>
          <w:bCs/>
          <w:szCs w:val="22"/>
          <w:lang w:val="sr-Latn-RS"/>
        </w:rPr>
        <w:t xml:space="preserve">najviše </w:t>
      </w:r>
      <w:r w:rsidRPr="00711E68">
        <w:rPr>
          <w:bCs/>
          <w:szCs w:val="22"/>
          <w:lang w:val="sr-Latn-RS"/>
        </w:rPr>
        <w:t>16 ned</w:t>
      </w:r>
      <w:r w:rsidR="008C7A50" w:rsidRPr="00711E68">
        <w:rPr>
          <w:bCs/>
          <w:szCs w:val="22"/>
          <w:lang w:val="sr-Latn-RS"/>
        </w:rPr>
        <w:t>j</w:t>
      </w:r>
      <w:r w:rsidRPr="00711E68">
        <w:rPr>
          <w:bCs/>
          <w:szCs w:val="22"/>
          <w:lang w:val="sr-Latn-RS"/>
        </w:rPr>
        <w:t>elja.</w:t>
      </w:r>
    </w:p>
    <w:p w14:paraId="70A129FF" w14:textId="77777777" w:rsidR="002F05F8" w:rsidRPr="00711E68" w:rsidRDefault="002F05F8" w:rsidP="00711E68">
      <w:pPr>
        <w:jc w:val="left"/>
        <w:rPr>
          <w:bCs/>
          <w:szCs w:val="22"/>
          <w:lang w:val="sr-Latn-RS"/>
        </w:rPr>
      </w:pPr>
    </w:p>
    <w:p w14:paraId="18C2470C" w14:textId="77777777" w:rsidR="002F05F8" w:rsidRPr="00711E68" w:rsidRDefault="002F05F8" w:rsidP="00711E68">
      <w:pPr>
        <w:pStyle w:val="Default"/>
        <w:tabs>
          <w:tab w:val="left" w:pos="1423"/>
        </w:tabs>
        <w:jc w:val="both"/>
        <w:rPr>
          <w:sz w:val="22"/>
          <w:szCs w:val="22"/>
          <w:u w:val="single"/>
          <w:lang w:val="sr-Latn-RS"/>
        </w:rPr>
      </w:pPr>
      <w:r w:rsidRPr="00711E68">
        <w:rPr>
          <w:sz w:val="22"/>
          <w:szCs w:val="22"/>
          <w:u w:val="single"/>
          <w:lang w:val="sr-Latn-RS"/>
        </w:rPr>
        <w:t xml:space="preserve">IMMHANCE </w:t>
      </w:r>
    </w:p>
    <w:p w14:paraId="543E1235" w14:textId="6C4D582A" w:rsidR="002F05F8" w:rsidRPr="00711E68" w:rsidRDefault="002F05F8" w:rsidP="00711E68">
      <w:pPr>
        <w:rPr>
          <w:bCs/>
          <w:szCs w:val="22"/>
          <w:lang w:val="sr-Latn-RS"/>
        </w:rPr>
      </w:pPr>
    </w:p>
    <w:p w14:paraId="150DD130" w14:textId="0AD39FF4" w:rsidR="002F05F8" w:rsidRPr="00711E68" w:rsidRDefault="00A5668B" w:rsidP="00711E68">
      <w:pPr>
        <w:autoSpaceDE w:val="0"/>
        <w:autoSpaceDN w:val="0"/>
        <w:adjustRightInd w:val="0"/>
        <w:rPr>
          <w:szCs w:val="22"/>
          <w:lang w:val="sr-Latn-RS"/>
        </w:rPr>
      </w:pPr>
      <w:r w:rsidRPr="00711E68">
        <w:rPr>
          <w:szCs w:val="22"/>
          <w:lang w:val="sr-Latn-RS"/>
        </w:rPr>
        <w:t xml:space="preserve">U ispitivanje </w:t>
      </w:r>
      <w:r w:rsidR="002F05F8" w:rsidRPr="00711E68">
        <w:rPr>
          <w:szCs w:val="22"/>
          <w:lang w:val="sr-Latn-RS"/>
        </w:rPr>
        <w:t xml:space="preserve">IMMHANCE </w:t>
      </w:r>
      <w:r w:rsidRPr="00711E68">
        <w:rPr>
          <w:szCs w:val="22"/>
          <w:lang w:val="sr-Latn-RS"/>
        </w:rPr>
        <w:t xml:space="preserve">bilo je </w:t>
      </w:r>
      <w:r w:rsidR="002F05F8" w:rsidRPr="00711E68">
        <w:rPr>
          <w:szCs w:val="22"/>
          <w:lang w:val="sr-Latn-RS"/>
        </w:rPr>
        <w:t>uključ</w:t>
      </w:r>
      <w:r w:rsidRPr="00711E68">
        <w:rPr>
          <w:szCs w:val="22"/>
          <w:lang w:val="sr-Latn-RS"/>
        </w:rPr>
        <w:t>eno</w:t>
      </w:r>
      <w:r w:rsidR="002F05F8" w:rsidRPr="00711E68">
        <w:rPr>
          <w:szCs w:val="22"/>
          <w:lang w:val="sr-Latn-RS"/>
        </w:rPr>
        <w:t xml:space="preserve"> 507 ispitanika (407 je bilo randomizovano na risankizumab 150 mg,</w:t>
      </w:r>
      <w:r w:rsidR="00F648AF" w:rsidRPr="00711E68">
        <w:rPr>
          <w:szCs w:val="22"/>
          <w:lang w:val="sr-Latn-RS"/>
        </w:rPr>
        <w:t xml:space="preserve"> a</w:t>
      </w:r>
      <w:r w:rsidR="002F05F8" w:rsidRPr="00711E68">
        <w:rPr>
          <w:szCs w:val="22"/>
          <w:lang w:val="sr-Latn-RS"/>
        </w:rPr>
        <w:t xml:space="preserve"> 100 na placebo). Ispitanici su primali terapiju u </w:t>
      </w:r>
      <w:r w:rsidR="008C7A50" w:rsidRPr="00711E68">
        <w:rPr>
          <w:szCs w:val="22"/>
          <w:lang w:val="sr-Latn-RS"/>
        </w:rPr>
        <w:t xml:space="preserve">0. </w:t>
      </w:r>
      <w:r w:rsidR="002F05F8" w:rsidRPr="00711E68">
        <w:rPr>
          <w:szCs w:val="22"/>
          <w:lang w:val="sr-Latn-RS"/>
        </w:rPr>
        <w:t>ned</w:t>
      </w:r>
      <w:r w:rsidR="008C7A50" w:rsidRPr="00711E68">
        <w:rPr>
          <w:szCs w:val="22"/>
          <w:lang w:val="sr-Latn-RS"/>
        </w:rPr>
        <w:t>j</w:t>
      </w:r>
      <w:r w:rsidR="002F05F8" w:rsidRPr="00711E68">
        <w:rPr>
          <w:szCs w:val="22"/>
          <w:lang w:val="sr-Latn-RS"/>
        </w:rPr>
        <w:t xml:space="preserve">elji, </w:t>
      </w:r>
      <w:r w:rsidR="008C7A50" w:rsidRPr="00711E68">
        <w:rPr>
          <w:szCs w:val="22"/>
          <w:lang w:val="sr-Latn-RS"/>
        </w:rPr>
        <w:t xml:space="preserve">4. </w:t>
      </w:r>
      <w:r w:rsidR="002F05F8" w:rsidRPr="00711E68">
        <w:rPr>
          <w:szCs w:val="22"/>
          <w:lang w:val="sr-Latn-RS"/>
        </w:rPr>
        <w:t>ned</w:t>
      </w:r>
      <w:r w:rsidR="008C7A50" w:rsidRPr="00711E68">
        <w:rPr>
          <w:szCs w:val="22"/>
          <w:lang w:val="sr-Latn-RS"/>
        </w:rPr>
        <w:t>j</w:t>
      </w:r>
      <w:r w:rsidR="002F05F8" w:rsidRPr="00711E68">
        <w:rPr>
          <w:szCs w:val="22"/>
          <w:lang w:val="sr-Latn-RS"/>
        </w:rPr>
        <w:t>elji i na svakih 12 ned</w:t>
      </w:r>
      <w:r w:rsidR="008C7A50" w:rsidRPr="00711E68">
        <w:rPr>
          <w:szCs w:val="22"/>
          <w:lang w:val="sr-Latn-RS"/>
        </w:rPr>
        <w:t>j</w:t>
      </w:r>
      <w:r w:rsidR="002F05F8" w:rsidRPr="00711E68">
        <w:rPr>
          <w:szCs w:val="22"/>
          <w:lang w:val="sr-Latn-RS"/>
        </w:rPr>
        <w:t>elja</w:t>
      </w:r>
      <w:r w:rsidR="00F648AF" w:rsidRPr="00711E68">
        <w:rPr>
          <w:szCs w:val="22"/>
          <w:lang w:val="sr-Latn-RS"/>
        </w:rPr>
        <w:t xml:space="preserve"> nakon toga</w:t>
      </w:r>
      <w:r w:rsidR="002F05F8" w:rsidRPr="00711E68">
        <w:rPr>
          <w:szCs w:val="22"/>
          <w:lang w:val="sr-Latn-RS"/>
        </w:rPr>
        <w:t xml:space="preserve">. Ispitanici koji su prvobitno bili randomizovani na risankizumab i imali sPGA odgovor </w:t>
      </w:r>
      <w:r w:rsidR="00F648AF" w:rsidRPr="00711E68">
        <w:rPr>
          <w:szCs w:val="22"/>
          <w:lang w:val="sr-Latn-RS"/>
        </w:rPr>
        <w:t>„</w:t>
      </w:r>
      <w:r w:rsidR="00AE0798" w:rsidRPr="00711E68">
        <w:rPr>
          <w:szCs w:val="22"/>
          <w:lang w:val="sr-Latn-RS"/>
        </w:rPr>
        <w:t>čisto</w:t>
      </w:r>
      <w:r w:rsidR="00F648AF" w:rsidRPr="00711E68">
        <w:rPr>
          <w:szCs w:val="22"/>
          <w:lang w:val="sr-Latn-RS"/>
        </w:rPr>
        <w:t>“ ili „</w:t>
      </w:r>
      <w:r w:rsidR="00AE0798" w:rsidRPr="00711E68">
        <w:rPr>
          <w:szCs w:val="22"/>
          <w:lang w:val="sr-Latn-RS"/>
        </w:rPr>
        <w:t>skoro čisto</w:t>
      </w:r>
      <w:r w:rsidR="00F648AF" w:rsidRPr="00711E68">
        <w:rPr>
          <w:szCs w:val="22"/>
          <w:lang w:val="sr-Latn-RS"/>
        </w:rPr>
        <w:t>“</w:t>
      </w:r>
      <w:r w:rsidR="00456AE2" w:rsidRPr="00711E68">
        <w:rPr>
          <w:szCs w:val="22"/>
          <w:lang w:val="sr-Latn-RS"/>
        </w:rPr>
        <w:t xml:space="preserve"> </w:t>
      </w:r>
      <w:r w:rsidR="002F05F8" w:rsidRPr="00711E68">
        <w:rPr>
          <w:rFonts w:eastAsia="SimSun"/>
          <w:szCs w:val="22"/>
          <w:lang w:val="sr-Latn-RS"/>
        </w:rPr>
        <w:t xml:space="preserve">u </w:t>
      </w:r>
      <w:r w:rsidR="008C7A50" w:rsidRPr="00711E68">
        <w:rPr>
          <w:rFonts w:eastAsia="SimSun"/>
          <w:szCs w:val="22"/>
          <w:lang w:val="sr-Latn-RS"/>
        </w:rPr>
        <w:t xml:space="preserve">28. </w:t>
      </w:r>
      <w:r w:rsidR="002F05F8" w:rsidRPr="00711E68">
        <w:rPr>
          <w:rFonts w:eastAsia="SimSun"/>
          <w:szCs w:val="22"/>
          <w:lang w:val="sr-Latn-RS"/>
        </w:rPr>
        <w:t>ned</w:t>
      </w:r>
      <w:r w:rsidR="008C7A50" w:rsidRPr="00711E68">
        <w:rPr>
          <w:rFonts w:eastAsia="SimSun"/>
          <w:szCs w:val="22"/>
          <w:lang w:val="sr-Latn-RS"/>
        </w:rPr>
        <w:t>j</w:t>
      </w:r>
      <w:r w:rsidR="002F05F8" w:rsidRPr="00711E68">
        <w:rPr>
          <w:rFonts w:eastAsia="SimSun"/>
          <w:szCs w:val="22"/>
          <w:lang w:val="sr-Latn-RS"/>
        </w:rPr>
        <w:t xml:space="preserve">elji bili su </w:t>
      </w:r>
      <w:r w:rsidR="00456AE2" w:rsidRPr="00711E68">
        <w:rPr>
          <w:rFonts w:eastAsia="SimSun"/>
          <w:szCs w:val="22"/>
          <w:lang w:val="sr-Latn-RS"/>
        </w:rPr>
        <w:t xml:space="preserve">ponovo </w:t>
      </w:r>
      <w:r w:rsidR="002F05F8" w:rsidRPr="00711E68">
        <w:rPr>
          <w:rFonts w:eastAsia="SimSun"/>
          <w:szCs w:val="22"/>
          <w:lang w:val="sr-Latn-RS"/>
        </w:rPr>
        <w:t xml:space="preserve">randomizovani </w:t>
      </w:r>
      <w:r w:rsidR="00456AE2" w:rsidRPr="00711E68">
        <w:rPr>
          <w:rFonts w:eastAsia="SimSun"/>
          <w:szCs w:val="22"/>
          <w:lang w:val="sr-Latn-RS"/>
        </w:rPr>
        <w:t>u grupu koja je</w:t>
      </w:r>
      <w:r w:rsidR="002F05F8" w:rsidRPr="00711E68">
        <w:rPr>
          <w:rFonts w:eastAsia="SimSun"/>
          <w:szCs w:val="22"/>
          <w:lang w:val="sr-Latn-RS"/>
        </w:rPr>
        <w:t xml:space="preserve"> nastav</w:t>
      </w:r>
      <w:r w:rsidR="00456AE2" w:rsidRPr="00711E68">
        <w:rPr>
          <w:rFonts w:eastAsia="SimSun"/>
          <w:szCs w:val="22"/>
          <w:lang w:val="sr-Latn-RS"/>
        </w:rPr>
        <w:t>ila</w:t>
      </w:r>
      <w:r w:rsidR="002F05F8" w:rsidRPr="00711E68">
        <w:rPr>
          <w:rFonts w:eastAsia="SimSun"/>
          <w:szCs w:val="22"/>
          <w:lang w:val="sr-Latn-RS"/>
        </w:rPr>
        <w:t xml:space="preserve"> da prima terapiju risankizumabom na </w:t>
      </w:r>
      <w:r w:rsidR="002F05F8" w:rsidRPr="00711E68">
        <w:rPr>
          <w:rFonts w:eastAsia="SimSun"/>
          <w:szCs w:val="22"/>
          <w:lang w:val="sr-Latn-RS"/>
        </w:rPr>
        <w:lastRenderedPageBreak/>
        <w:t>svakih 12 ned</w:t>
      </w:r>
      <w:r w:rsidR="00940EB8" w:rsidRPr="00711E68">
        <w:rPr>
          <w:rFonts w:eastAsia="SimSun"/>
          <w:szCs w:val="22"/>
          <w:lang w:val="sr-Latn-RS"/>
        </w:rPr>
        <w:t>j</w:t>
      </w:r>
      <w:r w:rsidR="002F05F8" w:rsidRPr="00711E68">
        <w:rPr>
          <w:rFonts w:eastAsia="SimSun"/>
          <w:szCs w:val="22"/>
          <w:lang w:val="sr-Latn-RS"/>
        </w:rPr>
        <w:t>elja</w:t>
      </w:r>
      <w:r w:rsidR="00940EB8" w:rsidRPr="00711E68">
        <w:rPr>
          <w:rFonts w:eastAsia="SimSun"/>
          <w:szCs w:val="22"/>
          <w:lang w:val="sr-Latn-RS"/>
        </w:rPr>
        <w:t xml:space="preserve"> do 88. nedjelje (sa praćenjem liječenja 16 nedjelja nakon posljednje doze risankizumaba)</w:t>
      </w:r>
      <w:r w:rsidR="002F05F8" w:rsidRPr="00711E68">
        <w:rPr>
          <w:rFonts w:eastAsia="SimSun"/>
          <w:szCs w:val="22"/>
          <w:lang w:val="sr-Latn-RS"/>
        </w:rPr>
        <w:t xml:space="preserve"> ili </w:t>
      </w:r>
      <w:r w:rsidR="00456AE2" w:rsidRPr="00711E68">
        <w:rPr>
          <w:rFonts w:eastAsia="SimSun"/>
          <w:szCs w:val="22"/>
          <w:lang w:val="sr-Latn-RS"/>
        </w:rPr>
        <w:t>u grupu koja je prekinula l</w:t>
      </w:r>
      <w:r w:rsidR="00881418" w:rsidRPr="00711E68">
        <w:rPr>
          <w:rFonts w:eastAsia="SimSun"/>
          <w:szCs w:val="22"/>
          <w:lang w:val="sr-Latn-RS"/>
        </w:rPr>
        <w:t>ij</w:t>
      </w:r>
      <w:r w:rsidR="00456AE2" w:rsidRPr="00711E68">
        <w:rPr>
          <w:rFonts w:eastAsia="SimSun"/>
          <w:szCs w:val="22"/>
          <w:lang w:val="sr-Latn-RS"/>
        </w:rPr>
        <w:t>ečenje</w:t>
      </w:r>
      <w:r w:rsidR="002F05F8" w:rsidRPr="00711E68">
        <w:rPr>
          <w:rFonts w:eastAsia="SimSun"/>
          <w:szCs w:val="22"/>
          <w:lang w:val="sr-Latn-RS"/>
        </w:rPr>
        <w:t>.</w:t>
      </w:r>
      <w:r w:rsidR="00D17584" w:rsidRPr="00711E68">
        <w:rPr>
          <w:szCs w:val="22"/>
        </w:rPr>
        <w:t xml:space="preserve"> </w:t>
      </w:r>
    </w:p>
    <w:p w14:paraId="0D7C3C6D" w14:textId="7226E0C2" w:rsidR="002F05F8" w:rsidRPr="00711E68" w:rsidRDefault="002F05F8" w:rsidP="00711E68">
      <w:pPr>
        <w:rPr>
          <w:rFonts w:eastAsia="SimSun"/>
          <w:szCs w:val="22"/>
          <w:lang w:val="sr-Latn-RS"/>
        </w:rPr>
      </w:pPr>
    </w:p>
    <w:p w14:paraId="0A1B99E7" w14:textId="069763B0" w:rsidR="002F05F8" w:rsidRPr="00711E68" w:rsidRDefault="002F05F8" w:rsidP="00711E68">
      <w:pPr>
        <w:rPr>
          <w:szCs w:val="22"/>
          <w:lang w:val="sr-Latn-RS"/>
        </w:rPr>
      </w:pPr>
      <w:r w:rsidRPr="00711E68">
        <w:rPr>
          <w:rFonts w:eastAsia="SimSun"/>
          <w:szCs w:val="22"/>
          <w:lang w:val="sr-Latn-RS"/>
        </w:rPr>
        <w:t xml:space="preserve">U </w:t>
      </w:r>
      <w:r w:rsidR="00940EB8" w:rsidRPr="00711E68">
        <w:rPr>
          <w:rFonts w:eastAsia="SimSun"/>
          <w:szCs w:val="22"/>
          <w:lang w:val="sr-Latn-RS"/>
        </w:rPr>
        <w:t xml:space="preserve">16. </w:t>
      </w:r>
      <w:r w:rsidRPr="00711E68">
        <w:rPr>
          <w:rFonts w:eastAsia="SimSun"/>
          <w:szCs w:val="22"/>
          <w:lang w:val="sr-Latn-RS"/>
        </w:rPr>
        <w:t>ned</w:t>
      </w:r>
      <w:r w:rsidR="00940EB8" w:rsidRPr="00711E68">
        <w:rPr>
          <w:rFonts w:eastAsia="SimSun"/>
          <w:szCs w:val="22"/>
          <w:lang w:val="sr-Latn-RS"/>
        </w:rPr>
        <w:t>j</w:t>
      </w:r>
      <w:r w:rsidRPr="00711E68">
        <w:rPr>
          <w:rFonts w:eastAsia="SimSun"/>
          <w:szCs w:val="22"/>
          <w:lang w:val="sr-Latn-RS"/>
        </w:rPr>
        <w:t>elji, risankizumab je pokazao bolje rezultate u odnosu na p</w:t>
      </w:r>
      <w:r w:rsidR="00F648AF" w:rsidRPr="00711E68">
        <w:rPr>
          <w:rFonts w:eastAsia="SimSun"/>
          <w:szCs w:val="22"/>
          <w:lang w:val="sr-Latn-RS"/>
        </w:rPr>
        <w:t>l</w:t>
      </w:r>
      <w:r w:rsidRPr="00711E68">
        <w:rPr>
          <w:rFonts w:eastAsia="SimSun"/>
          <w:szCs w:val="22"/>
          <w:lang w:val="sr-Latn-RS"/>
        </w:rPr>
        <w:t xml:space="preserve">acebo u </w:t>
      </w:r>
      <w:r w:rsidR="00940EB8" w:rsidRPr="00711E68">
        <w:rPr>
          <w:rFonts w:eastAsia="SimSun"/>
          <w:szCs w:val="22"/>
          <w:lang w:val="sr-Latn-RS"/>
        </w:rPr>
        <w:t>ko</w:t>
      </w:r>
      <w:r w:rsidRPr="00711E68">
        <w:rPr>
          <w:rFonts w:eastAsia="SimSun"/>
          <w:szCs w:val="22"/>
          <w:lang w:val="sr-Latn-RS"/>
        </w:rPr>
        <w:t xml:space="preserve">primarnim </w:t>
      </w:r>
      <w:r w:rsidR="00940EB8" w:rsidRPr="00711E68">
        <w:rPr>
          <w:rFonts w:eastAsia="SimSun"/>
          <w:szCs w:val="22"/>
          <w:lang w:val="sr-Latn-RS"/>
        </w:rPr>
        <w:t xml:space="preserve">mjerama ishoda – </w:t>
      </w:r>
      <w:r w:rsidRPr="00711E68">
        <w:rPr>
          <w:rFonts w:eastAsia="SimSun"/>
          <w:szCs w:val="22"/>
          <w:lang w:val="sr-Latn-RS"/>
        </w:rPr>
        <w:t>sPGA</w:t>
      </w:r>
      <w:r w:rsidR="00940EB8" w:rsidRPr="00711E68">
        <w:rPr>
          <w:rFonts w:eastAsia="SimSun"/>
          <w:szCs w:val="22"/>
          <w:lang w:val="sr-Latn-RS"/>
        </w:rPr>
        <w:t xml:space="preserve"> rezultat</w:t>
      </w:r>
      <w:r w:rsidRPr="00711E68">
        <w:rPr>
          <w:rFonts w:eastAsia="SimSun"/>
          <w:szCs w:val="22"/>
          <w:lang w:val="sr-Latn-RS"/>
        </w:rPr>
        <w:t xml:space="preserve"> </w:t>
      </w:r>
      <w:r w:rsidR="00F648AF" w:rsidRPr="00711E68">
        <w:rPr>
          <w:szCs w:val="22"/>
          <w:lang w:val="sr-Latn-RS"/>
        </w:rPr>
        <w:t>„</w:t>
      </w:r>
      <w:r w:rsidR="004315F6" w:rsidRPr="00711E68">
        <w:rPr>
          <w:szCs w:val="22"/>
          <w:lang w:val="sr-Latn-RS"/>
        </w:rPr>
        <w:t>čisto</w:t>
      </w:r>
      <w:r w:rsidR="00F648AF" w:rsidRPr="00711E68">
        <w:rPr>
          <w:szCs w:val="22"/>
          <w:lang w:val="sr-Latn-RS"/>
        </w:rPr>
        <w:t>“ ili „</w:t>
      </w:r>
      <w:r w:rsidR="004315F6" w:rsidRPr="00711E68">
        <w:rPr>
          <w:szCs w:val="22"/>
          <w:lang w:val="sr-Latn-RS"/>
        </w:rPr>
        <w:t>skoro čisto</w:t>
      </w:r>
      <w:r w:rsidR="00F648AF" w:rsidRPr="00711E68">
        <w:rPr>
          <w:szCs w:val="22"/>
          <w:lang w:val="sr-Latn-RS"/>
        </w:rPr>
        <w:t>“</w:t>
      </w:r>
      <w:r w:rsidRPr="00711E68">
        <w:rPr>
          <w:szCs w:val="22"/>
          <w:lang w:val="sr-Latn-RS"/>
        </w:rPr>
        <w:t xml:space="preserve"> (83,5% </w:t>
      </w:r>
      <w:r w:rsidR="00940EB8" w:rsidRPr="00711E68">
        <w:rPr>
          <w:szCs w:val="22"/>
          <w:lang w:val="sr-Latn-RS"/>
        </w:rPr>
        <w:t xml:space="preserve">uz </w:t>
      </w:r>
      <w:r w:rsidRPr="00711E68">
        <w:rPr>
          <w:szCs w:val="22"/>
          <w:lang w:val="sr-Latn-RS"/>
        </w:rPr>
        <w:t>risankizumab u odnosu na 7,0%</w:t>
      </w:r>
      <w:r w:rsidR="00940EB8" w:rsidRPr="00711E68">
        <w:rPr>
          <w:szCs w:val="22"/>
          <w:lang w:val="sr-Latn-RS"/>
        </w:rPr>
        <w:t xml:space="preserve"> uz</w:t>
      </w:r>
      <w:r w:rsidRPr="00711E68">
        <w:rPr>
          <w:szCs w:val="22"/>
          <w:lang w:val="sr-Latn-RS"/>
        </w:rPr>
        <w:t xml:space="preserve"> placebo) i PASI odgovor </w:t>
      </w:r>
      <w:r w:rsidR="00940EB8" w:rsidRPr="00711E68">
        <w:rPr>
          <w:szCs w:val="22"/>
          <w:lang w:val="sr-Latn-RS"/>
        </w:rPr>
        <w:t xml:space="preserve">90 </w:t>
      </w:r>
      <w:r w:rsidRPr="00711E68">
        <w:rPr>
          <w:szCs w:val="22"/>
          <w:lang w:val="sr-Latn-RS"/>
        </w:rPr>
        <w:t xml:space="preserve">(73,2% </w:t>
      </w:r>
      <w:r w:rsidR="00940EB8" w:rsidRPr="00711E68">
        <w:rPr>
          <w:szCs w:val="22"/>
          <w:lang w:val="sr-Latn-RS"/>
        </w:rPr>
        <w:t xml:space="preserve">uz </w:t>
      </w:r>
      <w:r w:rsidRPr="00711E68">
        <w:rPr>
          <w:szCs w:val="22"/>
          <w:lang w:val="sr-Latn-RS"/>
        </w:rPr>
        <w:t xml:space="preserve">risankizumab u odnosu na 2,0% </w:t>
      </w:r>
      <w:r w:rsidR="00940EB8" w:rsidRPr="00711E68">
        <w:rPr>
          <w:szCs w:val="22"/>
          <w:lang w:val="sr-Latn-RS"/>
        </w:rPr>
        <w:t xml:space="preserve">uz </w:t>
      </w:r>
      <w:r w:rsidRPr="00711E68">
        <w:rPr>
          <w:szCs w:val="22"/>
          <w:lang w:val="sr-Latn-RS"/>
        </w:rPr>
        <w:t>placebo).</w:t>
      </w:r>
    </w:p>
    <w:p w14:paraId="58897766" w14:textId="716AB9ED" w:rsidR="002F05F8" w:rsidRPr="00711E68" w:rsidRDefault="002F05F8" w:rsidP="00711E68">
      <w:pPr>
        <w:rPr>
          <w:szCs w:val="22"/>
          <w:lang w:val="sr-Latn-RS"/>
        </w:rPr>
      </w:pPr>
    </w:p>
    <w:p w14:paraId="54DDBF39" w14:textId="76AD9CB1" w:rsidR="002F05F8" w:rsidRPr="00711E68" w:rsidRDefault="002F05F8" w:rsidP="00711E68">
      <w:pPr>
        <w:rPr>
          <w:szCs w:val="22"/>
          <w:lang w:val="sr-Latn-RS"/>
        </w:rPr>
      </w:pPr>
      <w:r w:rsidRPr="00711E68">
        <w:rPr>
          <w:szCs w:val="22"/>
          <w:lang w:val="sr-Latn-RS"/>
        </w:rPr>
        <w:t>Od 31 ispitanika iz IMMHANCE studije sa latentnom tuberkulozom koji ni</w:t>
      </w:r>
      <w:r w:rsidR="00940EB8" w:rsidRPr="00711E68">
        <w:rPr>
          <w:szCs w:val="22"/>
          <w:lang w:val="sr-Latn-RS"/>
        </w:rPr>
        <w:t>je</w:t>
      </w:r>
      <w:r w:rsidRPr="00711E68">
        <w:rPr>
          <w:szCs w:val="22"/>
          <w:lang w:val="sr-Latn-RS"/>
        </w:rPr>
        <w:t>su primali profilaktičku terapiju tokom studije, nijedan ispitanik nije razvio aktivnu tuberkulo</w:t>
      </w:r>
      <w:r w:rsidR="00F648AF" w:rsidRPr="00711E68">
        <w:rPr>
          <w:szCs w:val="22"/>
          <w:lang w:val="sr-Latn-RS"/>
        </w:rPr>
        <w:t>z</w:t>
      </w:r>
      <w:r w:rsidRPr="00711E68">
        <w:rPr>
          <w:szCs w:val="22"/>
          <w:lang w:val="sr-Latn-RS"/>
        </w:rPr>
        <w:t>u tokom</w:t>
      </w:r>
      <w:r w:rsidR="008F32E4" w:rsidRPr="00711E68">
        <w:rPr>
          <w:szCs w:val="22"/>
          <w:lang w:val="sr-Latn-RS"/>
        </w:rPr>
        <w:t xml:space="preserve"> </w:t>
      </w:r>
      <w:r w:rsidRPr="00711E68">
        <w:rPr>
          <w:szCs w:val="22"/>
          <w:lang w:val="sr-Latn-RS"/>
        </w:rPr>
        <w:t xml:space="preserve">perioda praćenja </w:t>
      </w:r>
      <w:r w:rsidR="008F32E4" w:rsidRPr="00711E68">
        <w:rPr>
          <w:szCs w:val="22"/>
          <w:lang w:val="sr-Latn-RS"/>
        </w:rPr>
        <w:t xml:space="preserve">terapije risankizumabom srednje vrijednosti </w:t>
      </w:r>
      <w:r w:rsidRPr="00711E68">
        <w:rPr>
          <w:szCs w:val="22"/>
          <w:lang w:val="sr-Latn-RS"/>
        </w:rPr>
        <w:t>od 55 ned</w:t>
      </w:r>
      <w:r w:rsidR="008F32E4" w:rsidRPr="00711E68">
        <w:rPr>
          <w:szCs w:val="22"/>
          <w:lang w:val="sr-Latn-RS"/>
        </w:rPr>
        <w:t>j</w:t>
      </w:r>
      <w:r w:rsidRPr="00711E68">
        <w:rPr>
          <w:szCs w:val="22"/>
          <w:lang w:val="sr-Latn-RS"/>
        </w:rPr>
        <w:t>elja.</w:t>
      </w:r>
    </w:p>
    <w:p w14:paraId="35B062C5" w14:textId="4AC9ECF8" w:rsidR="002F05F8" w:rsidRPr="00711E68" w:rsidRDefault="002F05F8" w:rsidP="00711E68">
      <w:pPr>
        <w:rPr>
          <w:szCs w:val="22"/>
          <w:lang w:val="sr-Latn-RS"/>
        </w:rPr>
      </w:pPr>
    </w:p>
    <w:p w14:paraId="3F94B1EC" w14:textId="02A653B5" w:rsidR="002F05F8" w:rsidRPr="00711E68" w:rsidRDefault="002F05F8" w:rsidP="00711E68">
      <w:pPr>
        <w:rPr>
          <w:szCs w:val="22"/>
          <w:lang w:val="sr-Latn-RS"/>
        </w:rPr>
      </w:pPr>
      <w:r w:rsidRPr="00711E68">
        <w:rPr>
          <w:szCs w:val="22"/>
          <w:lang w:val="sr-Latn-RS"/>
        </w:rPr>
        <w:t>Među ispitanicima sa sPGA</w:t>
      </w:r>
      <w:r w:rsidR="00F648AF" w:rsidRPr="00711E68">
        <w:rPr>
          <w:szCs w:val="22"/>
          <w:lang w:val="sr-Latn-RS"/>
        </w:rPr>
        <w:t xml:space="preserve"> „</w:t>
      </w:r>
      <w:r w:rsidR="004315F6" w:rsidRPr="00711E68">
        <w:rPr>
          <w:szCs w:val="22"/>
          <w:lang w:val="sr-Latn-RS"/>
        </w:rPr>
        <w:t>čisto</w:t>
      </w:r>
      <w:r w:rsidR="00F648AF" w:rsidRPr="00711E68">
        <w:rPr>
          <w:szCs w:val="22"/>
          <w:lang w:val="sr-Latn-RS"/>
        </w:rPr>
        <w:t>“ ili „</w:t>
      </w:r>
      <w:r w:rsidR="004315F6" w:rsidRPr="00711E68">
        <w:rPr>
          <w:szCs w:val="22"/>
          <w:lang w:val="sr-Latn-RS"/>
        </w:rPr>
        <w:t>skoro čisto</w:t>
      </w:r>
      <w:r w:rsidR="00F648AF" w:rsidRPr="00711E68">
        <w:rPr>
          <w:szCs w:val="22"/>
          <w:lang w:val="sr-Latn-RS"/>
        </w:rPr>
        <w:t xml:space="preserve">“ </w:t>
      </w:r>
      <w:r w:rsidRPr="00711E68">
        <w:rPr>
          <w:szCs w:val="22"/>
          <w:lang w:val="sr-Latn-RS"/>
        </w:rPr>
        <w:t xml:space="preserve">u </w:t>
      </w:r>
      <w:r w:rsidR="008F32E4" w:rsidRPr="00711E68">
        <w:rPr>
          <w:szCs w:val="22"/>
          <w:lang w:val="sr-Latn-RS"/>
        </w:rPr>
        <w:t xml:space="preserve">28. </w:t>
      </w:r>
      <w:r w:rsidRPr="00711E68">
        <w:rPr>
          <w:szCs w:val="22"/>
          <w:lang w:val="sr-Latn-RS"/>
        </w:rPr>
        <w:t>ned</w:t>
      </w:r>
      <w:r w:rsidR="008F32E4" w:rsidRPr="00711E68">
        <w:rPr>
          <w:szCs w:val="22"/>
          <w:lang w:val="sr-Latn-RS"/>
        </w:rPr>
        <w:t>j</w:t>
      </w:r>
      <w:r w:rsidRPr="00711E68">
        <w:rPr>
          <w:szCs w:val="22"/>
          <w:lang w:val="sr-Latn-RS"/>
        </w:rPr>
        <w:t xml:space="preserve">elji u studiji IMMHANCE, 81,1% (90/111) ispitanika </w:t>
      </w:r>
      <w:r w:rsidR="008F32E4" w:rsidRPr="00711E68">
        <w:rPr>
          <w:szCs w:val="22"/>
          <w:lang w:val="sr-Latn-RS"/>
        </w:rPr>
        <w:t xml:space="preserve">ponovo </w:t>
      </w:r>
      <w:r w:rsidRPr="00711E68">
        <w:rPr>
          <w:szCs w:val="22"/>
          <w:lang w:val="sr-Latn-RS"/>
        </w:rPr>
        <w:t>randomizovan</w:t>
      </w:r>
      <w:r w:rsidR="00AA079E" w:rsidRPr="00711E68">
        <w:rPr>
          <w:szCs w:val="22"/>
          <w:lang w:val="sr-Latn-RS"/>
        </w:rPr>
        <w:t>ih</w:t>
      </w:r>
      <w:r w:rsidRPr="00711E68">
        <w:rPr>
          <w:szCs w:val="22"/>
          <w:lang w:val="sr-Latn-RS"/>
        </w:rPr>
        <w:t xml:space="preserve"> </w:t>
      </w:r>
      <w:r w:rsidR="00C71C7B" w:rsidRPr="00711E68">
        <w:rPr>
          <w:szCs w:val="22"/>
          <w:lang w:val="sr-Latn-RS"/>
        </w:rPr>
        <w:t xml:space="preserve">na kontinuiranu terapiju risankizumabom održalo je ovaj odgovor u </w:t>
      </w:r>
      <w:r w:rsidR="008F32E4" w:rsidRPr="00711E68">
        <w:rPr>
          <w:szCs w:val="22"/>
          <w:lang w:val="sr-Latn-RS"/>
        </w:rPr>
        <w:t xml:space="preserve">104. </w:t>
      </w:r>
      <w:r w:rsidR="00C71C7B" w:rsidRPr="00711E68">
        <w:rPr>
          <w:szCs w:val="22"/>
          <w:lang w:val="sr-Latn-RS"/>
        </w:rPr>
        <w:t>ned</w:t>
      </w:r>
      <w:r w:rsidR="008F32E4" w:rsidRPr="00711E68">
        <w:rPr>
          <w:szCs w:val="22"/>
          <w:lang w:val="sr-Latn-RS"/>
        </w:rPr>
        <w:t>j</w:t>
      </w:r>
      <w:r w:rsidR="00C71C7B" w:rsidRPr="00711E68">
        <w:rPr>
          <w:szCs w:val="22"/>
          <w:lang w:val="sr-Latn-RS"/>
        </w:rPr>
        <w:t>elji u poređenju sa 7,1% (16/225) ispitanika koji</w:t>
      </w:r>
      <w:r w:rsidR="004315F6" w:rsidRPr="00711E68">
        <w:rPr>
          <w:szCs w:val="22"/>
          <w:lang w:val="sr-Latn-RS"/>
        </w:rPr>
        <w:t>ma</w:t>
      </w:r>
      <w:r w:rsidR="00C71C7B" w:rsidRPr="00711E68">
        <w:rPr>
          <w:szCs w:val="22"/>
          <w:lang w:val="sr-Latn-RS"/>
        </w:rPr>
        <w:t xml:space="preserve"> </w:t>
      </w:r>
      <w:r w:rsidR="004315F6" w:rsidRPr="00711E68">
        <w:rPr>
          <w:szCs w:val="22"/>
          <w:lang w:val="sr-Latn-RS"/>
        </w:rPr>
        <w:t>je</w:t>
      </w:r>
      <w:r w:rsidR="00C71C7B" w:rsidRPr="00711E68">
        <w:rPr>
          <w:szCs w:val="22"/>
          <w:lang w:val="sr-Latn-RS"/>
        </w:rPr>
        <w:t xml:space="preserve"> </w:t>
      </w:r>
      <w:r w:rsidR="004315F6" w:rsidRPr="00711E68">
        <w:rPr>
          <w:szCs w:val="22"/>
          <w:lang w:val="sr-Latn-RS"/>
        </w:rPr>
        <w:t xml:space="preserve">ponovnom </w:t>
      </w:r>
      <w:r w:rsidR="00C71C7B" w:rsidRPr="00711E68">
        <w:rPr>
          <w:szCs w:val="22"/>
          <w:lang w:val="sr-Latn-RS"/>
        </w:rPr>
        <w:t>randomiz</w:t>
      </w:r>
      <w:r w:rsidR="004315F6" w:rsidRPr="00711E68">
        <w:rPr>
          <w:szCs w:val="22"/>
          <w:lang w:val="sr-Latn-RS"/>
        </w:rPr>
        <w:t>acijom</w:t>
      </w:r>
      <w:r w:rsidR="00C71C7B" w:rsidRPr="00711E68">
        <w:rPr>
          <w:szCs w:val="22"/>
          <w:lang w:val="sr-Latn-RS"/>
        </w:rPr>
        <w:t xml:space="preserve"> obustavlj</w:t>
      </w:r>
      <w:r w:rsidR="004315F6" w:rsidRPr="00711E68">
        <w:rPr>
          <w:szCs w:val="22"/>
          <w:lang w:val="sr-Latn-RS"/>
        </w:rPr>
        <w:t>ena</w:t>
      </w:r>
      <w:r w:rsidR="00C71C7B" w:rsidRPr="00711E68">
        <w:rPr>
          <w:szCs w:val="22"/>
          <w:lang w:val="sr-Latn-RS"/>
        </w:rPr>
        <w:t xml:space="preserve"> terapij</w:t>
      </w:r>
      <w:r w:rsidR="004315F6" w:rsidRPr="00711E68">
        <w:rPr>
          <w:szCs w:val="22"/>
          <w:lang w:val="sr-Latn-RS"/>
        </w:rPr>
        <w:t>a</w:t>
      </w:r>
      <w:r w:rsidR="00C71C7B" w:rsidRPr="00711E68">
        <w:rPr>
          <w:szCs w:val="22"/>
          <w:lang w:val="sr-Latn-RS"/>
        </w:rPr>
        <w:t xml:space="preserve"> risankizumabom. Od ovih ispitanika, 63,1% (70/111) </w:t>
      </w:r>
      <w:r w:rsidR="004315F6" w:rsidRPr="00711E68">
        <w:rPr>
          <w:szCs w:val="22"/>
          <w:lang w:val="sr-Latn-RS"/>
        </w:rPr>
        <w:t xml:space="preserve">ponovo </w:t>
      </w:r>
      <w:r w:rsidR="00C71C7B" w:rsidRPr="00711E68">
        <w:rPr>
          <w:szCs w:val="22"/>
          <w:lang w:val="sr-Latn-RS"/>
        </w:rPr>
        <w:t xml:space="preserve">randomizovanih </w:t>
      </w:r>
      <w:r w:rsidR="008F32E4" w:rsidRPr="00711E68">
        <w:rPr>
          <w:szCs w:val="22"/>
          <w:lang w:val="sr-Latn-RS"/>
        </w:rPr>
        <w:t>n</w:t>
      </w:r>
      <w:r w:rsidR="004315F6" w:rsidRPr="00711E68">
        <w:rPr>
          <w:szCs w:val="22"/>
          <w:lang w:val="sr-Latn-RS"/>
        </w:rPr>
        <w:t>a</w:t>
      </w:r>
      <w:r w:rsidR="00C71C7B" w:rsidRPr="00711E68">
        <w:rPr>
          <w:szCs w:val="22"/>
          <w:lang w:val="sr-Latn-RS"/>
        </w:rPr>
        <w:t xml:space="preserve"> kontinuiranu terapiju risankizumabom postiglo je sPGA rezultat </w:t>
      </w:r>
      <w:r w:rsidR="00F648AF" w:rsidRPr="00711E68">
        <w:rPr>
          <w:szCs w:val="22"/>
          <w:lang w:val="sr-Latn-RS"/>
        </w:rPr>
        <w:t>„</w:t>
      </w:r>
      <w:r w:rsidR="004315F6" w:rsidRPr="00711E68">
        <w:rPr>
          <w:szCs w:val="22"/>
          <w:lang w:val="sr-Latn-RS"/>
        </w:rPr>
        <w:t>čisto</w:t>
      </w:r>
      <w:r w:rsidR="00F648AF" w:rsidRPr="00711E68">
        <w:rPr>
          <w:szCs w:val="22"/>
          <w:lang w:val="sr-Latn-RS"/>
        </w:rPr>
        <w:t xml:space="preserve">“ </w:t>
      </w:r>
      <w:r w:rsidR="00C71C7B" w:rsidRPr="00711E68">
        <w:rPr>
          <w:szCs w:val="22"/>
          <w:lang w:val="sr-Latn-RS"/>
        </w:rPr>
        <w:t xml:space="preserve">u </w:t>
      </w:r>
      <w:r w:rsidR="008F32E4" w:rsidRPr="00711E68">
        <w:rPr>
          <w:szCs w:val="22"/>
          <w:lang w:val="sr-Latn-RS"/>
        </w:rPr>
        <w:t xml:space="preserve">104. </w:t>
      </w:r>
      <w:r w:rsidR="00C71C7B" w:rsidRPr="00711E68">
        <w:rPr>
          <w:szCs w:val="22"/>
          <w:lang w:val="sr-Latn-RS"/>
        </w:rPr>
        <w:t>ned</w:t>
      </w:r>
      <w:r w:rsidR="008F32E4" w:rsidRPr="00711E68">
        <w:rPr>
          <w:szCs w:val="22"/>
          <w:lang w:val="sr-Latn-RS"/>
        </w:rPr>
        <w:t>j</w:t>
      </w:r>
      <w:r w:rsidR="00C71C7B" w:rsidRPr="00711E68">
        <w:rPr>
          <w:szCs w:val="22"/>
          <w:lang w:val="sr-Latn-RS"/>
        </w:rPr>
        <w:t xml:space="preserve">elji u poređenju sa 2,2% (5/225) koji su bili </w:t>
      </w:r>
      <w:r w:rsidR="008F32E4" w:rsidRPr="00711E68">
        <w:rPr>
          <w:szCs w:val="22"/>
          <w:lang w:val="sr-Latn-RS"/>
        </w:rPr>
        <w:t xml:space="preserve">ponovo </w:t>
      </w:r>
      <w:r w:rsidR="00C71C7B" w:rsidRPr="00711E68">
        <w:rPr>
          <w:szCs w:val="22"/>
          <w:lang w:val="sr-Latn-RS"/>
        </w:rPr>
        <w:t xml:space="preserve">randomizovani </w:t>
      </w:r>
      <w:r w:rsidR="008F32E4" w:rsidRPr="00711E68">
        <w:rPr>
          <w:szCs w:val="22"/>
          <w:lang w:val="sr-Latn-RS"/>
        </w:rPr>
        <w:t>n</w:t>
      </w:r>
      <w:r w:rsidR="004315F6" w:rsidRPr="00711E68">
        <w:rPr>
          <w:szCs w:val="22"/>
          <w:lang w:val="sr-Latn-RS"/>
        </w:rPr>
        <w:t>a</w:t>
      </w:r>
      <w:r w:rsidR="00C71C7B" w:rsidRPr="00711E68">
        <w:rPr>
          <w:szCs w:val="22"/>
          <w:lang w:val="sr-Latn-RS"/>
        </w:rPr>
        <w:t xml:space="preserve"> obustavljanje terapije risankizumabom.</w:t>
      </w:r>
    </w:p>
    <w:p w14:paraId="352846A3" w14:textId="07C19039" w:rsidR="008F32E4" w:rsidRPr="00711E68" w:rsidRDefault="008F32E4" w:rsidP="00711E68">
      <w:pPr>
        <w:rPr>
          <w:szCs w:val="22"/>
          <w:lang w:val="sr-Latn-RS"/>
        </w:rPr>
      </w:pPr>
    </w:p>
    <w:p w14:paraId="27C69202" w14:textId="7CB0225B" w:rsidR="008F32E4" w:rsidRPr="00711E68" w:rsidRDefault="008F32E4" w:rsidP="00711E68">
      <w:pPr>
        <w:rPr>
          <w:szCs w:val="22"/>
          <w:lang w:val="sr-Latn-RS"/>
        </w:rPr>
      </w:pPr>
      <w:r w:rsidRPr="00711E68">
        <w:rPr>
          <w:szCs w:val="22"/>
        </w:rPr>
        <w:t>Među ispitanicima koji su u 28. nedjelji ispitivanja postigli sPGA rezultat „čisto“ ili „skoro čisto“ i koji su po prekidu primjene risankizumaba doživjeli relaps na sPGA</w:t>
      </w:r>
      <w:r w:rsidR="005A46C2" w:rsidRPr="00711E68">
        <w:rPr>
          <w:szCs w:val="22"/>
        </w:rPr>
        <w:t xml:space="preserve"> </w:t>
      </w:r>
      <w:r w:rsidRPr="00711E68">
        <w:rPr>
          <w:szCs w:val="22"/>
        </w:rPr>
        <w:t>rezultat koji je ukazivao na</w:t>
      </w:r>
      <w:r w:rsidR="005A46C2" w:rsidRPr="00711E68">
        <w:rPr>
          <w:szCs w:val="22"/>
        </w:rPr>
        <w:t xml:space="preserve"> </w:t>
      </w:r>
      <w:r w:rsidRPr="00711E68">
        <w:rPr>
          <w:szCs w:val="22"/>
        </w:rPr>
        <w:t>umjerenu</w:t>
      </w:r>
      <w:r w:rsidR="005A46C2" w:rsidRPr="00711E68">
        <w:rPr>
          <w:szCs w:val="22"/>
        </w:rPr>
        <w:t xml:space="preserve"> </w:t>
      </w:r>
      <w:r w:rsidRPr="00711E68">
        <w:rPr>
          <w:szCs w:val="22"/>
        </w:rPr>
        <w:t>ili tešku bolest,</w:t>
      </w:r>
      <w:r w:rsidR="005A46C2" w:rsidRPr="00711E68">
        <w:rPr>
          <w:szCs w:val="22"/>
        </w:rPr>
        <w:t xml:space="preserve"> </w:t>
      </w:r>
      <w:r w:rsidRPr="00711E68">
        <w:rPr>
          <w:szCs w:val="22"/>
        </w:rPr>
        <w:t>njih</w:t>
      </w:r>
      <w:r w:rsidR="005A46C2" w:rsidRPr="00711E68">
        <w:rPr>
          <w:szCs w:val="22"/>
        </w:rPr>
        <w:t xml:space="preserve"> </w:t>
      </w:r>
      <w:r w:rsidRPr="00711E68">
        <w:rPr>
          <w:szCs w:val="22"/>
        </w:rPr>
        <w:t>83,7 %</w:t>
      </w:r>
      <w:r w:rsidR="005A46C2" w:rsidRPr="00711E68">
        <w:rPr>
          <w:szCs w:val="22"/>
        </w:rPr>
        <w:t xml:space="preserve"> </w:t>
      </w:r>
      <w:r w:rsidRPr="00711E68">
        <w:rPr>
          <w:szCs w:val="22"/>
        </w:rPr>
        <w:t>(128/153) ponovo je postiglo s</w:t>
      </w:r>
      <w:r w:rsidR="005A46C2" w:rsidRPr="00711E68">
        <w:rPr>
          <w:szCs w:val="22"/>
        </w:rPr>
        <w:t>PGA rezultat „čisto“ ili „skoro</w:t>
      </w:r>
      <w:r w:rsidRPr="00711E68">
        <w:rPr>
          <w:szCs w:val="22"/>
        </w:rPr>
        <w:t xml:space="preserve"> čisto“</w:t>
      </w:r>
      <w:r w:rsidR="005A46C2" w:rsidRPr="00711E68">
        <w:rPr>
          <w:szCs w:val="22"/>
        </w:rPr>
        <w:t xml:space="preserve"> </w:t>
      </w:r>
      <w:r w:rsidRPr="00711E68">
        <w:rPr>
          <w:szCs w:val="22"/>
        </w:rPr>
        <w:t xml:space="preserve">nakon 16 </w:t>
      </w:r>
      <w:r w:rsidR="005A46C2" w:rsidRPr="00711E68">
        <w:rPr>
          <w:szCs w:val="22"/>
        </w:rPr>
        <w:t>nedjelja</w:t>
      </w:r>
      <w:r w:rsidRPr="00711E68">
        <w:rPr>
          <w:szCs w:val="22"/>
        </w:rPr>
        <w:t xml:space="preserve"> ponovljenog</w:t>
      </w:r>
      <w:r w:rsidR="005A46C2" w:rsidRPr="00711E68">
        <w:rPr>
          <w:szCs w:val="22"/>
        </w:rPr>
        <w:t xml:space="preserve"> </w:t>
      </w:r>
      <w:r w:rsidRPr="00711E68">
        <w:rPr>
          <w:szCs w:val="22"/>
        </w:rPr>
        <w:t>liječenja.</w:t>
      </w:r>
      <w:r w:rsidR="005A46C2" w:rsidRPr="00711E68">
        <w:rPr>
          <w:szCs w:val="22"/>
        </w:rPr>
        <w:t xml:space="preserve"> </w:t>
      </w:r>
      <w:r w:rsidRPr="00711E68">
        <w:rPr>
          <w:szCs w:val="22"/>
        </w:rPr>
        <w:t>Gubitak sPGA rezultata „čisto“ il</w:t>
      </w:r>
      <w:r w:rsidR="005A46C2" w:rsidRPr="00711E68">
        <w:rPr>
          <w:szCs w:val="22"/>
        </w:rPr>
        <w:t xml:space="preserve">i „skoro </w:t>
      </w:r>
      <w:r w:rsidRPr="00711E68">
        <w:rPr>
          <w:szCs w:val="22"/>
        </w:rPr>
        <w:t>čisto“</w:t>
      </w:r>
      <w:r w:rsidR="005A46C2" w:rsidRPr="00711E68">
        <w:rPr>
          <w:szCs w:val="22"/>
        </w:rPr>
        <w:t xml:space="preserve"> </w:t>
      </w:r>
      <w:r w:rsidRPr="00711E68">
        <w:rPr>
          <w:szCs w:val="22"/>
        </w:rPr>
        <w:t xml:space="preserve">opažen je već nakon 12 </w:t>
      </w:r>
      <w:r w:rsidR="005A46C2" w:rsidRPr="00711E68">
        <w:rPr>
          <w:szCs w:val="22"/>
        </w:rPr>
        <w:t>nedjelja</w:t>
      </w:r>
      <w:r w:rsidRPr="00711E68">
        <w:rPr>
          <w:szCs w:val="22"/>
        </w:rPr>
        <w:t xml:space="preserve"> od propuštene doze. Od ispit</w:t>
      </w:r>
      <w:r w:rsidR="005A46C2" w:rsidRPr="00711E68">
        <w:rPr>
          <w:szCs w:val="22"/>
        </w:rPr>
        <w:t>anika koji su ponovno randomizov</w:t>
      </w:r>
      <w:r w:rsidRPr="00711E68">
        <w:rPr>
          <w:szCs w:val="22"/>
        </w:rPr>
        <w:t xml:space="preserve">ani na </w:t>
      </w:r>
      <w:r w:rsidR="005A46C2" w:rsidRPr="00711E68">
        <w:rPr>
          <w:szCs w:val="22"/>
        </w:rPr>
        <w:t>obustavljanje terapije</w:t>
      </w:r>
      <w:r w:rsidRPr="00711E68">
        <w:rPr>
          <w:szCs w:val="22"/>
        </w:rPr>
        <w:t>, njih 80,9% (182/225) doživjelo je relaps, a medijan vremena do relapsa iznosio je 295 dana. Ni</w:t>
      </w:r>
      <w:r w:rsidR="005A46C2" w:rsidRPr="00711E68">
        <w:rPr>
          <w:szCs w:val="22"/>
        </w:rPr>
        <w:t>je</w:t>
      </w:r>
      <w:r w:rsidRPr="00711E68">
        <w:rPr>
          <w:szCs w:val="22"/>
        </w:rPr>
        <w:t>su utvrđene karakteristike bolesnika koje bi pomogle pri predviđanju vremena</w:t>
      </w:r>
      <w:r w:rsidR="005A46C2" w:rsidRPr="00711E68">
        <w:rPr>
          <w:szCs w:val="22"/>
        </w:rPr>
        <w:t xml:space="preserve"> </w:t>
      </w:r>
      <w:r w:rsidRPr="00711E68">
        <w:rPr>
          <w:szCs w:val="22"/>
        </w:rPr>
        <w:t>do gu</w:t>
      </w:r>
      <w:r w:rsidR="005A46C2" w:rsidRPr="00711E68">
        <w:rPr>
          <w:szCs w:val="22"/>
        </w:rPr>
        <w:t>bitka odgovora ili vjerojatnoće</w:t>
      </w:r>
      <w:r w:rsidRPr="00711E68">
        <w:rPr>
          <w:szCs w:val="22"/>
        </w:rPr>
        <w:t xml:space="preserve"> ponovnog postizanja odgovora</w:t>
      </w:r>
      <w:r w:rsidR="005A46C2" w:rsidRPr="00711E68">
        <w:rPr>
          <w:szCs w:val="22"/>
        </w:rPr>
        <w:t xml:space="preserve"> </w:t>
      </w:r>
      <w:r w:rsidRPr="00711E68">
        <w:rPr>
          <w:szCs w:val="22"/>
        </w:rPr>
        <w:t>na individualno</w:t>
      </w:r>
      <w:r w:rsidR="005A46C2" w:rsidRPr="00711E68">
        <w:rPr>
          <w:szCs w:val="22"/>
        </w:rPr>
        <w:t>m nivou</w:t>
      </w:r>
      <w:r w:rsidRPr="00711E68">
        <w:rPr>
          <w:szCs w:val="22"/>
        </w:rPr>
        <w:t>.</w:t>
      </w:r>
    </w:p>
    <w:p w14:paraId="7DBE7AFA" w14:textId="0F80CAD3" w:rsidR="00C71C7B" w:rsidRPr="00711E68" w:rsidRDefault="00C71C7B" w:rsidP="00711E68">
      <w:pPr>
        <w:rPr>
          <w:szCs w:val="22"/>
          <w:lang w:val="sr-Latn-RS"/>
        </w:rPr>
      </w:pPr>
    </w:p>
    <w:p w14:paraId="5AF1B9D2" w14:textId="6F7A57A7" w:rsidR="00C71C7B" w:rsidRPr="00711E68" w:rsidRDefault="00C71C7B" w:rsidP="00711E68">
      <w:pPr>
        <w:rPr>
          <w:szCs w:val="22"/>
          <w:lang w:val="sr-Latn-RS"/>
        </w:rPr>
      </w:pPr>
      <w:r w:rsidRPr="00711E68">
        <w:rPr>
          <w:szCs w:val="22"/>
          <w:u w:val="single"/>
          <w:lang w:val="sr-Latn-RS"/>
        </w:rPr>
        <w:t>IMMVENT</w:t>
      </w:r>
    </w:p>
    <w:p w14:paraId="71D4FDDD" w14:textId="0B1E6AD7" w:rsidR="002F05F8" w:rsidRPr="00711E68" w:rsidRDefault="002F05F8" w:rsidP="00711E68">
      <w:pPr>
        <w:pStyle w:val="Default"/>
        <w:tabs>
          <w:tab w:val="left" w:pos="1423"/>
        </w:tabs>
        <w:rPr>
          <w:sz w:val="22"/>
          <w:szCs w:val="22"/>
          <w:u w:val="single"/>
          <w:lang w:val="sr-Latn-RS"/>
        </w:rPr>
      </w:pPr>
    </w:p>
    <w:p w14:paraId="6E3C2616" w14:textId="0A8799A5" w:rsidR="002F05F8" w:rsidRPr="00711E68" w:rsidRDefault="00C71C7B" w:rsidP="00711E68">
      <w:pPr>
        <w:rPr>
          <w:szCs w:val="22"/>
          <w:lang w:val="sr-Latn-RS"/>
        </w:rPr>
      </w:pPr>
      <w:r w:rsidRPr="00711E68">
        <w:rPr>
          <w:szCs w:val="22"/>
          <w:lang w:val="sr-Latn-RS"/>
        </w:rPr>
        <w:t xml:space="preserve">IMMVENT studija uključila je 605 ispitanika (301 je bilo randomizovano na risankizumab i </w:t>
      </w:r>
      <w:r w:rsidR="00AA079E" w:rsidRPr="00711E68">
        <w:rPr>
          <w:szCs w:val="22"/>
          <w:lang w:val="sr-Latn-RS"/>
        </w:rPr>
        <w:t>3</w:t>
      </w:r>
      <w:r w:rsidRPr="00711E68">
        <w:rPr>
          <w:szCs w:val="22"/>
          <w:lang w:val="sr-Latn-RS"/>
        </w:rPr>
        <w:t xml:space="preserve">04 na adalimumab). Ispitanici randomizovani na terapiju risankizumabom u dozi od 150 mg primali su terapiju u </w:t>
      </w:r>
      <w:r w:rsidR="00B5526F" w:rsidRPr="00711E68">
        <w:rPr>
          <w:szCs w:val="22"/>
          <w:lang w:val="sr-Latn-RS"/>
        </w:rPr>
        <w:t xml:space="preserve">0. </w:t>
      </w:r>
      <w:r w:rsidRPr="00711E68">
        <w:rPr>
          <w:szCs w:val="22"/>
          <w:lang w:val="sr-Latn-RS"/>
        </w:rPr>
        <w:t>ned</w:t>
      </w:r>
      <w:r w:rsidR="00B5526F" w:rsidRPr="00711E68">
        <w:rPr>
          <w:szCs w:val="22"/>
          <w:lang w:val="sr-Latn-RS"/>
        </w:rPr>
        <w:t>j</w:t>
      </w:r>
      <w:r w:rsidRPr="00711E68">
        <w:rPr>
          <w:szCs w:val="22"/>
          <w:lang w:val="sr-Latn-RS"/>
        </w:rPr>
        <w:t xml:space="preserve">elji, </w:t>
      </w:r>
      <w:r w:rsidR="00B5526F" w:rsidRPr="00711E68">
        <w:rPr>
          <w:szCs w:val="22"/>
          <w:lang w:val="sr-Latn-RS"/>
        </w:rPr>
        <w:t xml:space="preserve">4. </w:t>
      </w:r>
      <w:r w:rsidRPr="00711E68">
        <w:rPr>
          <w:szCs w:val="22"/>
          <w:lang w:val="sr-Latn-RS"/>
        </w:rPr>
        <w:t>ned</w:t>
      </w:r>
      <w:r w:rsidR="00B5526F" w:rsidRPr="00711E68">
        <w:rPr>
          <w:szCs w:val="22"/>
          <w:lang w:val="sr-Latn-RS"/>
        </w:rPr>
        <w:t>j</w:t>
      </w:r>
      <w:r w:rsidRPr="00711E68">
        <w:rPr>
          <w:szCs w:val="22"/>
          <w:lang w:val="sr-Latn-RS"/>
        </w:rPr>
        <w:t>elji i nakon toga na svakih 12 ned</w:t>
      </w:r>
      <w:r w:rsidR="00B5526F" w:rsidRPr="00711E68">
        <w:rPr>
          <w:szCs w:val="22"/>
          <w:lang w:val="sr-Latn-RS"/>
        </w:rPr>
        <w:t>j</w:t>
      </w:r>
      <w:r w:rsidRPr="00711E68">
        <w:rPr>
          <w:szCs w:val="22"/>
          <w:lang w:val="sr-Latn-RS"/>
        </w:rPr>
        <w:t xml:space="preserve">elja. Ispitanici randomizovani na terapiju adalimumabom primali su </w:t>
      </w:r>
      <w:r w:rsidR="00B5526F" w:rsidRPr="00711E68">
        <w:rPr>
          <w:szCs w:val="22"/>
          <w:lang w:val="sr-Latn-RS"/>
        </w:rPr>
        <w:t xml:space="preserve">dozu od 80 mg </w:t>
      </w:r>
      <w:r w:rsidRPr="00711E68">
        <w:rPr>
          <w:szCs w:val="22"/>
          <w:lang w:val="sr-Latn-RS"/>
        </w:rPr>
        <w:t xml:space="preserve">u </w:t>
      </w:r>
      <w:r w:rsidR="00B5526F" w:rsidRPr="00711E68">
        <w:rPr>
          <w:szCs w:val="22"/>
          <w:lang w:val="sr-Latn-RS"/>
        </w:rPr>
        <w:t xml:space="preserve">0. </w:t>
      </w:r>
      <w:r w:rsidRPr="00711E68">
        <w:rPr>
          <w:szCs w:val="22"/>
          <w:lang w:val="sr-Latn-RS"/>
        </w:rPr>
        <w:t>ned</w:t>
      </w:r>
      <w:r w:rsidR="00B5526F" w:rsidRPr="00711E68">
        <w:rPr>
          <w:szCs w:val="22"/>
          <w:lang w:val="sr-Latn-RS"/>
        </w:rPr>
        <w:t>j</w:t>
      </w:r>
      <w:r w:rsidRPr="00711E68">
        <w:rPr>
          <w:szCs w:val="22"/>
          <w:lang w:val="sr-Latn-RS"/>
        </w:rPr>
        <w:t xml:space="preserve">elji, dozu od 40 mg u </w:t>
      </w:r>
      <w:r w:rsidR="00B5526F" w:rsidRPr="00711E68">
        <w:rPr>
          <w:szCs w:val="22"/>
          <w:lang w:val="sr-Latn-RS"/>
        </w:rPr>
        <w:t xml:space="preserve">1. </w:t>
      </w:r>
      <w:r w:rsidRPr="00711E68">
        <w:rPr>
          <w:szCs w:val="22"/>
          <w:lang w:val="sr-Latn-RS"/>
        </w:rPr>
        <w:t>ned</w:t>
      </w:r>
      <w:r w:rsidR="00B5526F" w:rsidRPr="00711E68">
        <w:rPr>
          <w:szCs w:val="22"/>
          <w:lang w:val="sr-Latn-RS"/>
        </w:rPr>
        <w:t>j</w:t>
      </w:r>
      <w:r w:rsidRPr="00711E68">
        <w:rPr>
          <w:szCs w:val="22"/>
          <w:lang w:val="sr-Latn-RS"/>
        </w:rPr>
        <w:t>elji i zatim 40 mg svake druge ned</w:t>
      </w:r>
      <w:r w:rsidR="00B5526F" w:rsidRPr="00711E68">
        <w:rPr>
          <w:szCs w:val="22"/>
          <w:lang w:val="sr-Latn-RS"/>
        </w:rPr>
        <w:t>j</w:t>
      </w:r>
      <w:r w:rsidRPr="00711E68">
        <w:rPr>
          <w:szCs w:val="22"/>
          <w:lang w:val="sr-Latn-RS"/>
        </w:rPr>
        <w:t xml:space="preserve">elje do </w:t>
      </w:r>
      <w:r w:rsidR="00B5526F" w:rsidRPr="00711E68">
        <w:rPr>
          <w:szCs w:val="22"/>
          <w:lang w:val="sr-Latn-RS"/>
        </w:rPr>
        <w:t xml:space="preserve">15. </w:t>
      </w:r>
      <w:r w:rsidRPr="00711E68">
        <w:rPr>
          <w:szCs w:val="22"/>
          <w:lang w:val="sr-Latn-RS"/>
        </w:rPr>
        <w:t>ned</w:t>
      </w:r>
      <w:r w:rsidR="00B5526F" w:rsidRPr="00711E68">
        <w:rPr>
          <w:szCs w:val="22"/>
          <w:lang w:val="sr-Latn-RS"/>
        </w:rPr>
        <w:t>j</w:t>
      </w:r>
      <w:r w:rsidRPr="00711E68">
        <w:rPr>
          <w:szCs w:val="22"/>
          <w:lang w:val="sr-Latn-RS"/>
        </w:rPr>
        <w:t xml:space="preserve">elje. Počevši od </w:t>
      </w:r>
      <w:r w:rsidR="00B5526F" w:rsidRPr="00711E68">
        <w:rPr>
          <w:szCs w:val="22"/>
          <w:lang w:val="sr-Latn-RS"/>
        </w:rPr>
        <w:t xml:space="preserve">16. </w:t>
      </w:r>
      <w:r w:rsidRPr="00711E68">
        <w:rPr>
          <w:szCs w:val="22"/>
          <w:lang w:val="sr-Latn-RS"/>
        </w:rPr>
        <w:t>ned</w:t>
      </w:r>
      <w:r w:rsidR="00B5526F" w:rsidRPr="00711E68">
        <w:rPr>
          <w:szCs w:val="22"/>
          <w:lang w:val="sr-Latn-RS"/>
        </w:rPr>
        <w:t>j</w:t>
      </w:r>
      <w:r w:rsidRPr="00711E68">
        <w:rPr>
          <w:szCs w:val="22"/>
          <w:lang w:val="sr-Latn-RS"/>
        </w:rPr>
        <w:t xml:space="preserve">elje, ispitanici koji su primali adalimumab nastavili </w:t>
      </w:r>
      <w:r w:rsidR="00B5526F" w:rsidRPr="00711E68">
        <w:rPr>
          <w:szCs w:val="22"/>
          <w:lang w:val="sr-Latn-RS"/>
        </w:rPr>
        <w:t xml:space="preserve">su </w:t>
      </w:r>
      <w:r w:rsidRPr="00711E68">
        <w:rPr>
          <w:szCs w:val="22"/>
          <w:lang w:val="sr-Latn-RS"/>
        </w:rPr>
        <w:t>da ga primaju ili im je prom</w:t>
      </w:r>
      <w:r w:rsidR="00B5526F" w:rsidRPr="00711E68">
        <w:rPr>
          <w:szCs w:val="22"/>
          <w:lang w:val="sr-Latn-RS"/>
        </w:rPr>
        <w:t>i</w:t>
      </w:r>
      <w:r w:rsidR="00441E54" w:rsidRPr="00711E68">
        <w:rPr>
          <w:szCs w:val="22"/>
          <w:lang w:val="sr-Latn-RS"/>
        </w:rPr>
        <w:t>j</w:t>
      </w:r>
      <w:r w:rsidRPr="00711E68">
        <w:rPr>
          <w:szCs w:val="22"/>
          <w:lang w:val="sr-Latn-RS"/>
        </w:rPr>
        <w:t>enjena terapija na osnovu odgovora:</w:t>
      </w:r>
    </w:p>
    <w:p w14:paraId="1E37E9A1" w14:textId="5B12FE34" w:rsidR="00C71C7B" w:rsidRPr="00711E68" w:rsidRDefault="00B5526F" w:rsidP="00711E68">
      <w:pPr>
        <w:pStyle w:val="Default"/>
        <w:numPr>
          <w:ilvl w:val="0"/>
          <w:numId w:val="5"/>
        </w:numPr>
        <w:tabs>
          <w:tab w:val="left" w:pos="567"/>
        </w:tabs>
        <w:ind w:left="567" w:hanging="567"/>
        <w:rPr>
          <w:sz w:val="22"/>
          <w:szCs w:val="22"/>
          <w:lang w:val="sr-Latn-RS"/>
        </w:rPr>
      </w:pPr>
      <w:r w:rsidRPr="00711E68">
        <w:rPr>
          <w:sz w:val="22"/>
          <w:szCs w:val="22"/>
          <w:lang w:val="sr-Latn-RS"/>
        </w:rPr>
        <w:t xml:space="preserve">ispitanici s odgovorom </w:t>
      </w:r>
      <w:r w:rsidR="00C71C7B" w:rsidRPr="00711E68">
        <w:rPr>
          <w:sz w:val="22"/>
          <w:szCs w:val="22"/>
          <w:lang w:val="sr-Latn-RS"/>
        </w:rPr>
        <w:t>&lt;PASI 50 su bili prebačeni na risankizumab</w:t>
      </w:r>
    </w:p>
    <w:p w14:paraId="620A7631" w14:textId="7F36E7CC" w:rsidR="00C71C7B" w:rsidRPr="00711E68" w:rsidRDefault="00B5526F" w:rsidP="00711E68">
      <w:pPr>
        <w:pStyle w:val="Default"/>
        <w:numPr>
          <w:ilvl w:val="0"/>
          <w:numId w:val="5"/>
        </w:numPr>
        <w:tabs>
          <w:tab w:val="left" w:pos="567"/>
        </w:tabs>
        <w:ind w:left="567" w:hanging="567"/>
        <w:jc w:val="both"/>
        <w:rPr>
          <w:sz w:val="22"/>
          <w:szCs w:val="22"/>
          <w:lang w:val="sr-Latn-RS"/>
        </w:rPr>
      </w:pPr>
      <w:r w:rsidRPr="00711E68">
        <w:rPr>
          <w:sz w:val="22"/>
          <w:szCs w:val="22"/>
          <w:lang w:val="sr-Latn-RS"/>
        </w:rPr>
        <w:t xml:space="preserve">ispitanici s odgovorom </w:t>
      </w:r>
      <w:r w:rsidR="00C71C7B" w:rsidRPr="00711E68">
        <w:rPr>
          <w:sz w:val="22"/>
          <w:szCs w:val="22"/>
          <w:lang w:val="sr-Latn-RS"/>
        </w:rPr>
        <w:t xml:space="preserve">PASI 50 do &lt;PASI 90 su bili </w:t>
      </w:r>
      <w:r w:rsidR="0021691B" w:rsidRPr="00711E68">
        <w:rPr>
          <w:sz w:val="22"/>
          <w:szCs w:val="22"/>
          <w:lang w:val="sr-Latn-RS"/>
        </w:rPr>
        <w:t xml:space="preserve">ponovo </w:t>
      </w:r>
      <w:r w:rsidR="00C71C7B" w:rsidRPr="00711E68">
        <w:rPr>
          <w:sz w:val="22"/>
          <w:szCs w:val="22"/>
          <w:lang w:val="sr-Latn-RS"/>
        </w:rPr>
        <w:t xml:space="preserve">randomizovani </w:t>
      </w:r>
      <w:r w:rsidR="00AA079E" w:rsidRPr="00711E68">
        <w:rPr>
          <w:sz w:val="22"/>
          <w:szCs w:val="22"/>
          <w:lang w:val="sr-Latn-RS"/>
        </w:rPr>
        <w:t xml:space="preserve">ili </w:t>
      </w:r>
      <w:r w:rsidR="0021691B" w:rsidRPr="00711E68">
        <w:rPr>
          <w:sz w:val="22"/>
          <w:szCs w:val="22"/>
          <w:lang w:val="sr-Latn-RS"/>
        </w:rPr>
        <w:t>z</w:t>
      </w:r>
      <w:r w:rsidR="00C71C7B" w:rsidRPr="00711E68">
        <w:rPr>
          <w:sz w:val="22"/>
          <w:szCs w:val="22"/>
          <w:lang w:val="sr-Latn-RS"/>
        </w:rPr>
        <w:t xml:space="preserve">a nastavak terapije adalimumabom </w:t>
      </w:r>
      <w:r w:rsidR="00AA079E" w:rsidRPr="00711E68">
        <w:rPr>
          <w:sz w:val="22"/>
          <w:szCs w:val="22"/>
          <w:lang w:val="sr-Latn-RS"/>
        </w:rPr>
        <w:t xml:space="preserve">ili </w:t>
      </w:r>
      <w:r w:rsidR="00C71C7B" w:rsidRPr="00711E68">
        <w:rPr>
          <w:sz w:val="22"/>
          <w:szCs w:val="22"/>
          <w:lang w:val="sr-Latn-RS"/>
        </w:rPr>
        <w:t>su prešli na risankizumab</w:t>
      </w:r>
    </w:p>
    <w:p w14:paraId="46651230" w14:textId="4EB86A09" w:rsidR="00C71C7B" w:rsidRPr="00711E68" w:rsidRDefault="00B5526F" w:rsidP="00711E68">
      <w:pPr>
        <w:pStyle w:val="Default"/>
        <w:numPr>
          <w:ilvl w:val="0"/>
          <w:numId w:val="5"/>
        </w:numPr>
        <w:tabs>
          <w:tab w:val="left" w:pos="567"/>
        </w:tabs>
        <w:ind w:left="567" w:hanging="567"/>
        <w:rPr>
          <w:sz w:val="22"/>
          <w:szCs w:val="22"/>
          <w:lang w:val="sr-Latn-RS"/>
        </w:rPr>
      </w:pPr>
      <w:r w:rsidRPr="00711E68">
        <w:rPr>
          <w:sz w:val="22"/>
          <w:szCs w:val="22"/>
          <w:lang w:val="sr-Latn-RS"/>
        </w:rPr>
        <w:t xml:space="preserve">ispitanici s odgovorom </w:t>
      </w:r>
      <w:r w:rsidR="00C71C7B" w:rsidRPr="00711E68">
        <w:rPr>
          <w:sz w:val="22"/>
          <w:szCs w:val="22"/>
          <w:lang w:val="sr-Latn-RS"/>
        </w:rPr>
        <w:t>PASI 90 nastavili su da primaju adalimumab</w:t>
      </w:r>
    </w:p>
    <w:p w14:paraId="41D80F2F" w14:textId="430779DE" w:rsidR="00C71C7B" w:rsidRPr="00711E68" w:rsidRDefault="00C71C7B" w:rsidP="00711E68">
      <w:pPr>
        <w:jc w:val="left"/>
        <w:rPr>
          <w:szCs w:val="22"/>
          <w:lang w:val="sr-Latn-RS"/>
        </w:rPr>
      </w:pPr>
    </w:p>
    <w:p w14:paraId="10DB1643" w14:textId="1D014107" w:rsidR="00C71C7B" w:rsidRPr="00711E68" w:rsidRDefault="00C71C7B" w:rsidP="00711E68">
      <w:pPr>
        <w:jc w:val="left"/>
        <w:rPr>
          <w:szCs w:val="22"/>
          <w:lang w:val="sr-Latn-RS"/>
        </w:rPr>
      </w:pPr>
      <w:r w:rsidRPr="00711E68">
        <w:rPr>
          <w:szCs w:val="22"/>
          <w:lang w:val="sr-Latn-RS"/>
        </w:rPr>
        <w:t>Rezultati su prikazani u Tabeli 4.</w:t>
      </w:r>
    </w:p>
    <w:p w14:paraId="542874EC" w14:textId="2F1A513C" w:rsidR="00C71C7B" w:rsidRPr="00711E68" w:rsidRDefault="00C71C7B" w:rsidP="00711E68">
      <w:pPr>
        <w:jc w:val="left"/>
        <w:rPr>
          <w:szCs w:val="22"/>
          <w:lang w:val="sr-Latn-RS"/>
        </w:rPr>
      </w:pPr>
    </w:p>
    <w:p w14:paraId="3792A2B3" w14:textId="77777777" w:rsidR="00865DFA" w:rsidRDefault="00865DFA" w:rsidP="00711E68">
      <w:pPr>
        <w:rPr>
          <w:b/>
          <w:szCs w:val="22"/>
          <w:lang w:val="sr-Latn-RS"/>
        </w:rPr>
      </w:pPr>
    </w:p>
    <w:p w14:paraId="2F3FFB6D" w14:textId="77777777" w:rsidR="00865DFA" w:rsidRDefault="00865DFA" w:rsidP="00711E68">
      <w:pPr>
        <w:rPr>
          <w:b/>
          <w:szCs w:val="22"/>
          <w:lang w:val="sr-Latn-RS"/>
        </w:rPr>
      </w:pPr>
    </w:p>
    <w:p w14:paraId="6834D9D6" w14:textId="77777777" w:rsidR="00865DFA" w:rsidRDefault="00865DFA" w:rsidP="00711E68">
      <w:pPr>
        <w:rPr>
          <w:b/>
          <w:szCs w:val="22"/>
          <w:lang w:val="sr-Latn-RS"/>
        </w:rPr>
      </w:pPr>
    </w:p>
    <w:p w14:paraId="3542E6C6" w14:textId="77777777" w:rsidR="00865DFA" w:rsidRDefault="00865DFA" w:rsidP="00711E68">
      <w:pPr>
        <w:rPr>
          <w:b/>
          <w:szCs w:val="22"/>
          <w:lang w:val="sr-Latn-RS"/>
        </w:rPr>
      </w:pPr>
    </w:p>
    <w:p w14:paraId="020FDA33" w14:textId="77777777" w:rsidR="00865DFA" w:rsidRDefault="00865DFA" w:rsidP="00711E68">
      <w:pPr>
        <w:rPr>
          <w:b/>
          <w:szCs w:val="22"/>
          <w:lang w:val="sr-Latn-RS"/>
        </w:rPr>
      </w:pPr>
    </w:p>
    <w:p w14:paraId="62ACF8EE" w14:textId="77777777" w:rsidR="00865DFA" w:rsidRDefault="00865DFA" w:rsidP="00711E68">
      <w:pPr>
        <w:rPr>
          <w:b/>
          <w:szCs w:val="22"/>
          <w:lang w:val="sr-Latn-RS"/>
        </w:rPr>
      </w:pPr>
    </w:p>
    <w:p w14:paraId="2C320BEA" w14:textId="77777777" w:rsidR="00865DFA" w:rsidRDefault="00865DFA" w:rsidP="00711E68">
      <w:pPr>
        <w:rPr>
          <w:b/>
          <w:szCs w:val="22"/>
          <w:lang w:val="sr-Latn-RS"/>
        </w:rPr>
      </w:pPr>
    </w:p>
    <w:p w14:paraId="19B05568" w14:textId="77777777" w:rsidR="00865DFA" w:rsidRDefault="00865DFA" w:rsidP="00711E68">
      <w:pPr>
        <w:rPr>
          <w:b/>
          <w:szCs w:val="22"/>
          <w:lang w:val="sr-Latn-RS"/>
        </w:rPr>
      </w:pPr>
    </w:p>
    <w:p w14:paraId="192C5B4E" w14:textId="77777777" w:rsidR="00865DFA" w:rsidRDefault="00865DFA" w:rsidP="00711E68">
      <w:pPr>
        <w:rPr>
          <w:b/>
          <w:szCs w:val="22"/>
          <w:lang w:val="sr-Latn-RS"/>
        </w:rPr>
      </w:pPr>
    </w:p>
    <w:p w14:paraId="75B5F725" w14:textId="77777777" w:rsidR="00865DFA" w:rsidRDefault="00865DFA" w:rsidP="00711E68">
      <w:pPr>
        <w:rPr>
          <w:b/>
          <w:szCs w:val="22"/>
          <w:lang w:val="sr-Latn-RS"/>
        </w:rPr>
      </w:pPr>
    </w:p>
    <w:p w14:paraId="3FCD511E" w14:textId="77777777" w:rsidR="00865DFA" w:rsidRDefault="00865DFA" w:rsidP="00711E68">
      <w:pPr>
        <w:rPr>
          <w:b/>
          <w:szCs w:val="22"/>
          <w:lang w:val="sr-Latn-RS"/>
        </w:rPr>
      </w:pPr>
    </w:p>
    <w:p w14:paraId="4DA04C5A" w14:textId="77777777" w:rsidR="00865DFA" w:rsidRDefault="00865DFA" w:rsidP="00711E68">
      <w:pPr>
        <w:rPr>
          <w:b/>
          <w:szCs w:val="22"/>
          <w:lang w:val="sr-Latn-RS"/>
        </w:rPr>
      </w:pPr>
    </w:p>
    <w:p w14:paraId="52B1D909" w14:textId="77777777" w:rsidR="00865DFA" w:rsidRDefault="00865DFA" w:rsidP="00711E68">
      <w:pPr>
        <w:rPr>
          <w:b/>
          <w:szCs w:val="22"/>
          <w:lang w:val="sr-Latn-RS"/>
        </w:rPr>
      </w:pPr>
    </w:p>
    <w:p w14:paraId="1FAB39EC" w14:textId="03B1AFCC" w:rsidR="00C71C7B" w:rsidRPr="00711E68" w:rsidRDefault="00C71C7B" w:rsidP="00711E68">
      <w:pPr>
        <w:rPr>
          <w:b/>
          <w:bCs/>
          <w:szCs w:val="22"/>
          <w:lang w:val="sr-Latn-RS"/>
        </w:rPr>
      </w:pPr>
      <w:r w:rsidRPr="00711E68">
        <w:rPr>
          <w:b/>
          <w:szCs w:val="22"/>
          <w:lang w:val="sr-Latn-RS"/>
        </w:rPr>
        <w:lastRenderedPageBreak/>
        <w:t xml:space="preserve">Tabela 4: Rezultati efikasnosti i </w:t>
      </w:r>
      <w:r w:rsidR="006866E9" w:rsidRPr="00711E68">
        <w:rPr>
          <w:b/>
          <w:szCs w:val="22"/>
          <w:lang w:val="sr-Latn-RS"/>
        </w:rPr>
        <w:t xml:space="preserve">rezultati koji se odnose na </w:t>
      </w:r>
      <w:r w:rsidRPr="00711E68">
        <w:rPr>
          <w:b/>
          <w:szCs w:val="22"/>
          <w:lang w:val="sr-Latn-RS"/>
        </w:rPr>
        <w:t xml:space="preserve">kvalitet života u </w:t>
      </w:r>
      <w:r w:rsidR="00154C4E" w:rsidRPr="00711E68">
        <w:rPr>
          <w:b/>
          <w:szCs w:val="22"/>
          <w:lang w:val="sr-Latn-RS"/>
        </w:rPr>
        <w:t xml:space="preserve">16. </w:t>
      </w:r>
      <w:r w:rsidRPr="00711E68">
        <w:rPr>
          <w:b/>
          <w:szCs w:val="22"/>
          <w:lang w:val="sr-Latn-RS"/>
        </w:rPr>
        <w:t>ned</w:t>
      </w:r>
      <w:r w:rsidR="00154C4E" w:rsidRPr="00711E68">
        <w:rPr>
          <w:b/>
          <w:szCs w:val="22"/>
          <w:lang w:val="sr-Latn-RS"/>
        </w:rPr>
        <w:t>j</w:t>
      </w:r>
      <w:r w:rsidRPr="00711E68">
        <w:rPr>
          <w:b/>
          <w:szCs w:val="22"/>
          <w:lang w:val="sr-Latn-RS"/>
        </w:rPr>
        <w:t xml:space="preserve">elji kod odraslih pacijenata sa plak psorijazom u </w:t>
      </w:r>
      <w:r w:rsidRPr="00711E68">
        <w:rPr>
          <w:b/>
          <w:bCs/>
          <w:szCs w:val="22"/>
          <w:lang w:val="sr-Latn-RS"/>
        </w:rPr>
        <w:t>IMMVENT studiji</w:t>
      </w:r>
    </w:p>
    <w:p w14:paraId="3CDF96CE" w14:textId="68A9340D" w:rsidR="00C71C7B" w:rsidRPr="00711E68" w:rsidRDefault="00C71C7B" w:rsidP="00711E68">
      <w:pPr>
        <w:rPr>
          <w:b/>
          <w:bCs/>
          <w:szCs w:val="22"/>
          <w:lang w:val="sr-Latn-RS"/>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843"/>
        <w:gridCol w:w="1843"/>
      </w:tblGrid>
      <w:tr w:rsidR="00C71C7B" w:rsidRPr="00711E68" w14:paraId="700C6849" w14:textId="77777777" w:rsidTr="00865DFA">
        <w:trPr>
          <w:jc w:val="center"/>
        </w:trPr>
        <w:tc>
          <w:tcPr>
            <w:tcW w:w="3964" w:type="dxa"/>
            <w:shd w:val="clear" w:color="auto" w:fill="auto"/>
          </w:tcPr>
          <w:p w14:paraId="0880B989" w14:textId="77777777" w:rsidR="00C71C7B" w:rsidRPr="00711E68" w:rsidRDefault="00C71C7B" w:rsidP="00711E68">
            <w:pPr>
              <w:keepNext/>
              <w:rPr>
                <w:szCs w:val="22"/>
                <w:lang w:val="sr-Latn-RS"/>
              </w:rPr>
            </w:pPr>
          </w:p>
        </w:tc>
        <w:tc>
          <w:tcPr>
            <w:tcW w:w="1843" w:type="dxa"/>
            <w:shd w:val="clear" w:color="auto" w:fill="auto"/>
          </w:tcPr>
          <w:p w14:paraId="4D5A7DE2" w14:textId="77777777" w:rsidR="00C71C7B" w:rsidRPr="00711E68" w:rsidRDefault="00C71C7B" w:rsidP="00711E68">
            <w:pPr>
              <w:keepNext/>
              <w:jc w:val="center"/>
              <w:rPr>
                <w:szCs w:val="22"/>
                <w:lang w:val="sr-Latn-RS"/>
              </w:rPr>
            </w:pPr>
            <w:r w:rsidRPr="00711E68">
              <w:rPr>
                <w:b/>
                <w:bCs/>
                <w:szCs w:val="22"/>
                <w:lang w:val="sr-Latn-RS"/>
              </w:rPr>
              <w:t>Risankizumab</w:t>
            </w:r>
            <w:r w:rsidRPr="00711E68">
              <w:rPr>
                <w:szCs w:val="22"/>
                <w:lang w:val="sr-Latn-RS"/>
              </w:rPr>
              <w:br/>
            </w:r>
            <w:r w:rsidRPr="00711E68">
              <w:rPr>
                <w:b/>
                <w:bCs/>
                <w:szCs w:val="22"/>
                <w:lang w:val="sr-Latn-RS"/>
              </w:rPr>
              <w:t>(N=301)</w:t>
            </w:r>
            <w:r w:rsidRPr="00711E68">
              <w:rPr>
                <w:szCs w:val="22"/>
                <w:lang w:val="sr-Latn-RS"/>
              </w:rPr>
              <w:br/>
            </w:r>
            <w:r w:rsidRPr="00711E68">
              <w:rPr>
                <w:b/>
                <w:bCs/>
                <w:szCs w:val="22"/>
                <w:lang w:val="sr-Latn-RS"/>
              </w:rPr>
              <w:t>n (%)</w:t>
            </w:r>
          </w:p>
        </w:tc>
        <w:tc>
          <w:tcPr>
            <w:tcW w:w="1843" w:type="dxa"/>
            <w:shd w:val="clear" w:color="auto" w:fill="auto"/>
          </w:tcPr>
          <w:p w14:paraId="239C1B06" w14:textId="77777777" w:rsidR="00C71C7B" w:rsidRPr="00711E68" w:rsidRDefault="00C71C7B" w:rsidP="00711E68">
            <w:pPr>
              <w:keepNext/>
              <w:jc w:val="center"/>
              <w:rPr>
                <w:b/>
                <w:bCs/>
                <w:szCs w:val="22"/>
                <w:lang w:val="sr-Latn-RS"/>
              </w:rPr>
            </w:pPr>
            <w:r w:rsidRPr="00711E68">
              <w:rPr>
                <w:b/>
                <w:bCs/>
                <w:szCs w:val="22"/>
                <w:lang w:val="sr-Latn-RS"/>
              </w:rPr>
              <w:t>Adalimumab</w:t>
            </w:r>
          </w:p>
          <w:p w14:paraId="36C57971" w14:textId="77777777" w:rsidR="00C71C7B" w:rsidRPr="00711E68" w:rsidRDefault="00C71C7B" w:rsidP="00711E68">
            <w:pPr>
              <w:keepNext/>
              <w:jc w:val="center"/>
              <w:rPr>
                <w:b/>
                <w:bCs/>
                <w:szCs w:val="22"/>
                <w:lang w:val="sr-Latn-RS"/>
              </w:rPr>
            </w:pPr>
            <w:r w:rsidRPr="00711E68">
              <w:rPr>
                <w:b/>
                <w:bCs/>
                <w:szCs w:val="22"/>
                <w:lang w:val="sr-Latn-RS"/>
              </w:rPr>
              <w:t>(N=304)</w:t>
            </w:r>
          </w:p>
          <w:p w14:paraId="50D0A9BC" w14:textId="77777777" w:rsidR="00C71C7B" w:rsidRPr="00711E68" w:rsidRDefault="00C71C7B" w:rsidP="00711E68">
            <w:pPr>
              <w:keepNext/>
              <w:jc w:val="center"/>
              <w:rPr>
                <w:b/>
                <w:bCs/>
                <w:szCs w:val="22"/>
                <w:lang w:val="sr-Latn-RS"/>
              </w:rPr>
            </w:pPr>
            <w:r w:rsidRPr="00711E68">
              <w:rPr>
                <w:b/>
                <w:bCs/>
                <w:szCs w:val="22"/>
                <w:lang w:val="sr-Latn-RS"/>
              </w:rPr>
              <w:t>n (%)</w:t>
            </w:r>
          </w:p>
        </w:tc>
      </w:tr>
      <w:tr w:rsidR="00C71C7B" w:rsidRPr="00711E68" w14:paraId="5B92E340" w14:textId="77777777" w:rsidTr="00865DFA">
        <w:trPr>
          <w:jc w:val="center"/>
        </w:trPr>
        <w:tc>
          <w:tcPr>
            <w:tcW w:w="3964" w:type="dxa"/>
            <w:shd w:val="clear" w:color="auto" w:fill="auto"/>
            <w:vAlign w:val="center"/>
          </w:tcPr>
          <w:p w14:paraId="2709B44E" w14:textId="0EDB65D1" w:rsidR="00C71C7B" w:rsidRPr="00711E68" w:rsidRDefault="00C71C7B" w:rsidP="00865DFA">
            <w:pPr>
              <w:keepNext/>
              <w:jc w:val="left"/>
              <w:rPr>
                <w:b/>
                <w:szCs w:val="22"/>
                <w:vertAlign w:val="superscript"/>
                <w:lang w:val="sr-Latn-RS"/>
              </w:rPr>
            </w:pPr>
            <w:r w:rsidRPr="00711E68">
              <w:rPr>
                <w:b/>
                <w:szCs w:val="22"/>
                <w:lang w:val="sr-Latn-RS"/>
              </w:rPr>
              <w:t xml:space="preserve">sPGA </w:t>
            </w:r>
            <w:r w:rsidR="00AA079E" w:rsidRPr="00711E68">
              <w:rPr>
                <w:b/>
                <w:szCs w:val="22"/>
                <w:lang w:val="sr-Latn-RS"/>
              </w:rPr>
              <w:t>odgovor „</w:t>
            </w:r>
            <w:r w:rsidR="006866E9" w:rsidRPr="00711E68">
              <w:rPr>
                <w:b/>
                <w:szCs w:val="22"/>
                <w:lang w:val="sr-Latn-RS"/>
              </w:rPr>
              <w:t>čisto</w:t>
            </w:r>
            <w:r w:rsidR="00AA079E" w:rsidRPr="00711E68">
              <w:rPr>
                <w:b/>
                <w:szCs w:val="22"/>
                <w:lang w:val="sr-Latn-RS"/>
              </w:rPr>
              <w:t>“ ili „</w:t>
            </w:r>
            <w:r w:rsidR="006866E9" w:rsidRPr="00711E68">
              <w:rPr>
                <w:b/>
                <w:szCs w:val="22"/>
                <w:lang w:val="sr-Latn-RS"/>
              </w:rPr>
              <w:t>skoro čisto</w:t>
            </w:r>
            <w:r w:rsidR="00AA079E" w:rsidRPr="00711E68">
              <w:rPr>
                <w:b/>
                <w:szCs w:val="22"/>
                <w:lang w:val="sr-Latn-RS"/>
              </w:rPr>
              <w:t>“</w:t>
            </w:r>
            <w:r w:rsidR="00AA079E" w:rsidRPr="00711E68">
              <w:rPr>
                <w:szCs w:val="22"/>
                <w:lang w:val="sr-Latn-RS"/>
              </w:rPr>
              <w:t xml:space="preserve"> </w:t>
            </w:r>
            <w:r w:rsidRPr="00711E68">
              <w:rPr>
                <w:b/>
                <w:szCs w:val="22"/>
                <w:vertAlign w:val="superscript"/>
                <w:lang w:val="sr-Latn-RS"/>
              </w:rPr>
              <w:t>a</w:t>
            </w:r>
          </w:p>
        </w:tc>
        <w:tc>
          <w:tcPr>
            <w:tcW w:w="1843" w:type="dxa"/>
            <w:shd w:val="clear" w:color="auto" w:fill="auto"/>
            <w:vAlign w:val="center"/>
          </w:tcPr>
          <w:p w14:paraId="3A56CA83" w14:textId="31326E13" w:rsidR="00C71C7B" w:rsidRPr="00711E68" w:rsidRDefault="00C71C7B" w:rsidP="00711E68">
            <w:pPr>
              <w:keepNext/>
              <w:jc w:val="center"/>
              <w:rPr>
                <w:szCs w:val="22"/>
                <w:lang w:val="sr-Latn-RS"/>
              </w:rPr>
            </w:pPr>
            <w:r w:rsidRPr="00711E68">
              <w:rPr>
                <w:szCs w:val="22"/>
                <w:lang w:val="sr-Latn-RS"/>
              </w:rPr>
              <w:t xml:space="preserve">252 (83,7) </w:t>
            </w:r>
          </w:p>
        </w:tc>
        <w:tc>
          <w:tcPr>
            <w:tcW w:w="1843" w:type="dxa"/>
            <w:shd w:val="clear" w:color="auto" w:fill="auto"/>
            <w:vAlign w:val="center"/>
          </w:tcPr>
          <w:p w14:paraId="2EA3C394" w14:textId="7064305D" w:rsidR="00C71C7B" w:rsidRPr="00711E68" w:rsidRDefault="00C71C7B" w:rsidP="00711E68">
            <w:pPr>
              <w:keepNext/>
              <w:jc w:val="center"/>
              <w:rPr>
                <w:szCs w:val="22"/>
                <w:lang w:val="sr-Latn-RS"/>
              </w:rPr>
            </w:pPr>
            <w:r w:rsidRPr="00711E68">
              <w:rPr>
                <w:szCs w:val="22"/>
                <w:lang w:val="sr-Latn-RS"/>
              </w:rPr>
              <w:t xml:space="preserve">183 (60,2) </w:t>
            </w:r>
          </w:p>
        </w:tc>
      </w:tr>
      <w:tr w:rsidR="00C71C7B" w:rsidRPr="00711E68" w14:paraId="3EA09145" w14:textId="77777777" w:rsidTr="00865DFA">
        <w:trPr>
          <w:jc w:val="center"/>
        </w:trPr>
        <w:tc>
          <w:tcPr>
            <w:tcW w:w="3964" w:type="dxa"/>
            <w:shd w:val="clear" w:color="auto" w:fill="auto"/>
            <w:vAlign w:val="center"/>
          </w:tcPr>
          <w:p w14:paraId="2D24E9F7" w14:textId="77777777" w:rsidR="00C71C7B" w:rsidRPr="00711E68" w:rsidRDefault="00C71C7B" w:rsidP="00711E68">
            <w:pPr>
              <w:keepNext/>
              <w:rPr>
                <w:szCs w:val="22"/>
                <w:lang w:val="sr-Latn-RS"/>
              </w:rPr>
            </w:pPr>
            <w:r w:rsidRPr="00711E68">
              <w:rPr>
                <w:b/>
                <w:szCs w:val="22"/>
                <w:lang w:val="sr-Latn-RS"/>
              </w:rPr>
              <w:t>PASI 75</w:t>
            </w:r>
          </w:p>
        </w:tc>
        <w:tc>
          <w:tcPr>
            <w:tcW w:w="1843" w:type="dxa"/>
            <w:shd w:val="clear" w:color="auto" w:fill="auto"/>
            <w:vAlign w:val="center"/>
          </w:tcPr>
          <w:p w14:paraId="7C3068CA" w14:textId="3087C4AC" w:rsidR="00C71C7B" w:rsidRPr="00711E68" w:rsidRDefault="00C71C7B" w:rsidP="00711E68">
            <w:pPr>
              <w:keepNext/>
              <w:jc w:val="center"/>
              <w:rPr>
                <w:szCs w:val="22"/>
                <w:lang w:val="sr-Latn-RS"/>
              </w:rPr>
            </w:pPr>
            <w:r w:rsidRPr="00711E68">
              <w:rPr>
                <w:szCs w:val="22"/>
                <w:lang w:val="sr-Latn-RS"/>
              </w:rPr>
              <w:t xml:space="preserve">273 (90,7) </w:t>
            </w:r>
          </w:p>
        </w:tc>
        <w:tc>
          <w:tcPr>
            <w:tcW w:w="1843" w:type="dxa"/>
            <w:shd w:val="clear" w:color="auto" w:fill="auto"/>
            <w:vAlign w:val="center"/>
          </w:tcPr>
          <w:p w14:paraId="68311932" w14:textId="76A6C013" w:rsidR="00C71C7B" w:rsidRPr="00711E68" w:rsidRDefault="00C71C7B" w:rsidP="00711E68">
            <w:pPr>
              <w:keepNext/>
              <w:jc w:val="center"/>
              <w:rPr>
                <w:szCs w:val="22"/>
                <w:lang w:val="sr-Latn-RS"/>
              </w:rPr>
            </w:pPr>
            <w:r w:rsidRPr="00711E68">
              <w:rPr>
                <w:szCs w:val="22"/>
                <w:lang w:val="sr-Latn-RS"/>
              </w:rPr>
              <w:t xml:space="preserve">218 (71,7) </w:t>
            </w:r>
          </w:p>
        </w:tc>
      </w:tr>
      <w:tr w:rsidR="00C71C7B" w:rsidRPr="00711E68" w14:paraId="0DDFE21D" w14:textId="77777777" w:rsidTr="00865DFA">
        <w:trPr>
          <w:jc w:val="center"/>
        </w:trPr>
        <w:tc>
          <w:tcPr>
            <w:tcW w:w="3964" w:type="dxa"/>
            <w:shd w:val="clear" w:color="auto" w:fill="auto"/>
            <w:vAlign w:val="center"/>
          </w:tcPr>
          <w:p w14:paraId="30F1D271" w14:textId="77777777" w:rsidR="00C71C7B" w:rsidRPr="00711E68" w:rsidRDefault="00C71C7B" w:rsidP="00711E68">
            <w:pPr>
              <w:keepNext/>
              <w:rPr>
                <w:b/>
                <w:szCs w:val="22"/>
                <w:vertAlign w:val="superscript"/>
                <w:lang w:val="sr-Latn-RS"/>
              </w:rPr>
            </w:pPr>
            <w:r w:rsidRPr="00711E68">
              <w:rPr>
                <w:b/>
                <w:szCs w:val="22"/>
                <w:lang w:val="sr-Latn-RS"/>
              </w:rPr>
              <w:t>PASI 90</w:t>
            </w:r>
            <w:r w:rsidRPr="00711E68">
              <w:rPr>
                <w:b/>
                <w:szCs w:val="22"/>
                <w:vertAlign w:val="superscript"/>
                <w:lang w:val="sr-Latn-RS"/>
              </w:rPr>
              <w:t>a</w:t>
            </w:r>
          </w:p>
        </w:tc>
        <w:tc>
          <w:tcPr>
            <w:tcW w:w="1843" w:type="dxa"/>
            <w:shd w:val="clear" w:color="auto" w:fill="auto"/>
            <w:vAlign w:val="center"/>
          </w:tcPr>
          <w:p w14:paraId="482312BD" w14:textId="45BB4AFF" w:rsidR="00C71C7B" w:rsidRPr="00711E68" w:rsidRDefault="00C71C7B" w:rsidP="00711E68">
            <w:pPr>
              <w:keepNext/>
              <w:jc w:val="center"/>
              <w:rPr>
                <w:szCs w:val="22"/>
                <w:lang w:val="sr-Latn-RS"/>
              </w:rPr>
            </w:pPr>
            <w:r w:rsidRPr="00711E68">
              <w:rPr>
                <w:szCs w:val="22"/>
                <w:lang w:val="sr-Latn-RS"/>
              </w:rPr>
              <w:t xml:space="preserve">218 (72,4) </w:t>
            </w:r>
          </w:p>
        </w:tc>
        <w:tc>
          <w:tcPr>
            <w:tcW w:w="1843" w:type="dxa"/>
            <w:shd w:val="clear" w:color="auto" w:fill="auto"/>
            <w:vAlign w:val="center"/>
          </w:tcPr>
          <w:p w14:paraId="0492C6C3" w14:textId="4D9E9F2D" w:rsidR="00C71C7B" w:rsidRPr="00711E68" w:rsidRDefault="00C71C7B" w:rsidP="00711E68">
            <w:pPr>
              <w:keepNext/>
              <w:jc w:val="center"/>
              <w:rPr>
                <w:szCs w:val="22"/>
                <w:lang w:val="sr-Latn-RS"/>
              </w:rPr>
            </w:pPr>
            <w:r w:rsidRPr="00711E68">
              <w:rPr>
                <w:szCs w:val="22"/>
                <w:lang w:val="sr-Latn-RS"/>
              </w:rPr>
              <w:t xml:space="preserve">144 (47,4) </w:t>
            </w:r>
          </w:p>
        </w:tc>
      </w:tr>
      <w:tr w:rsidR="00C71C7B" w:rsidRPr="00711E68" w14:paraId="40E3A034" w14:textId="77777777" w:rsidTr="00865DFA">
        <w:trPr>
          <w:jc w:val="center"/>
        </w:trPr>
        <w:tc>
          <w:tcPr>
            <w:tcW w:w="3964" w:type="dxa"/>
            <w:shd w:val="clear" w:color="auto" w:fill="auto"/>
            <w:vAlign w:val="center"/>
          </w:tcPr>
          <w:p w14:paraId="60F219A5" w14:textId="77777777" w:rsidR="00C71C7B" w:rsidRPr="00711E68" w:rsidRDefault="00C71C7B" w:rsidP="00711E68">
            <w:pPr>
              <w:keepNext/>
              <w:rPr>
                <w:szCs w:val="22"/>
                <w:lang w:val="sr-Latn-RS"/>
              </w:rPr>
            </w:pPr>
            <w:r w:rsidRPr="00711E68">
              <w:rPr>
                <w:b/>
                <w:szCs w:val="22"/>
                <w:lang w:val="sr-Latn-RS"/>
              </w:rPr>
              <w:t>PASI 100</w:t>
            </w:r>
          </w:p>
        </w:tc>
        <w:tc>
          <w:tcPr>
            <w:tcW w:w="1843" w:type="dxa"/>
            <w:shd w:val="clear" w:color="auto" w:fill="auto"/>
            <w:vAlign w:val="center"/>
          </w:tcPr>
          <w:p w14:paraId="42CEC81A" w14:textId="4E5EB11C" w:rsidR="00C71C7B" w:rsidRPr="00711E68" w:rsidRDefault="00C71C7B" w:rsidP="00711E68">
            <w:pPr>
              <w:keepNext/>
              <w:jc w:val="center"/>
              <w:rPr>
                <w:szCs w:val="22"/>
                <w:lang w:val="sr-Latn-RS"/>
              </w:rPr>
            </w:pPr>
            <w:r w:rsidRPr="00711E68">
              <w:rPr>
                <w:szCs w:val="22"/>
                <w:lang w:val="sr-Latn-RS"/>
              </w:rPr>
              <w:t xml:space="preserve">120 (39,9) </w:t>
            </w:r>
          </w:p>
        </w:tc>
        <w:tc>
          <w:tcPr>
            <w:tcW w:w="1843" w:type="dxa"/>
            <w:shd w:val="clear" w:color="auto" w:fill="auto"/>
            <w:vAlign w:val="center"/>
          </w:tcPr>
          <w:p w14:paraId="11DF5C46" w14:textId="0662A11D" w:rsidR="00C71C7B" w:rsidRPr="00711E68" w:rsidRDefault="00C71C7B" w:rsidP="00711E68">
            <w:pPr>
              <w:keepNext/>
              <w:jc w:val="center"/>
              <w:rPr>
                <w:szCs w:val="22"/>
                <w:lang w:val="sr-Latn-RS"/>
              </w:rPr>
            </w:pPr>
            <w:r w:rsidRPr="00711E68">
              <w:rPr>
                <w:szCs w:val="22"/>
                <w:lang w:val="sr-Latn-RS"/>
              </w:rPr>
              <w:t xml:space="preserve">70 (23,0) </w:t>
            </w:r>
          </w:p>
        </w:tc>
      </w:tr>
      <w:tr w:rsidR="00C71C7B" w:rsidRPr="00711E68" w14:paraId="22F0A436" w14:textId="77777777" w:rsidTr="00865DFA">
        <w:trPr>
          <w:jc w:val="center"/>
        </w:trPr>
        <w:tc>
          <w:tcPr>
            <w:tcW w:w="3964" w:type="dxa"/>
            <w:shd w:val="clear" w:color="auto" w:fill="auto"/>
            <w:vAlign w:val="center"/>
          </w:tcPr>
          <w:p w14:paraId="7785BC42" w14:textId="67111207" w:rsidR="00C71C7B" w:rsidRPr="00711E68" w:rsidRDefault="00C71C7B" w:rsidP="00711E68">
            <w:pPr>
              <w:keepNext/>
              <w:rPr>
                <w:b/>
                <w:szCs w:val="22"/>
                <w:lang w:val="sr-Latn-RS"/>
              </w:rPr>
            </w:pPr>
            <w:r w:rsidRPr="00711E68">
              <w:rPr>
                <w:rFonts w:eastAsia="HelveticaNeueLTStd-Cn"/>
                <w:b/>
                <w:szCs w:val="22"/>
                <w:lang w:val="sr-Latn-RS"/>
              </w:rPr>
              <w:t xml:space="preserve">DLQI 0 </w:t>
            </w:r>
            <w:r w:rsidR="00AA079E" w:rsidRPr="00711E68">
              <w:rPr>
                <w:rFonts w:eastAsia="HelveticaNeueLTStd-Cn"/>
                <w:b/>
                <w:szCs w:val="22"/>
                <w:lang w:val="sr-Latn-RS"/>
              </w:rPr>
              <w:t>ili</w:t>
            </w:r>
            <w:r w:rsidRPr="00711E68">
              <w:rPr>
                <w:rFonts w:eastAsia="HelveticaNeueLTStd-Cn"/>
                <w:b/>
                <w:szCs w:val="22"/>
                <w:lang w:val="sr-Latn-RS"/>
              </w:rPr>
              <w:t xml:space="preserve"> 1</w:t>
            </w:r>
            <w:r w:rsidRPr="00711E68">
              <w:rPr>
                <w:rFonts w:eastAsia="HelveticaNeueLTStd-Cn"/>
                <w:b/>
                <w:szCs w:val="22"/>
                <w:vertAlign w:val="superscript"/>
                <w:lang w:val="sr-Latn-RS"/>
              </w:rPr>
              <w:t>b</w:t>
            </w:r>
          </w:p>
        </w:tc>
        <w:tc>
          <w:tcPr>
            <w:tcW w:w="1843" w:type="dxa"/>
            <w:shd w:val="clear" w:color="auto" w:fill="auto"/>
            <w:vAlign w:val="center"/>
          </w:tcPr>
          <w:p w14:paraId="60943A38" w14:textId="79CD0595" w:rsidR="00C71C7B" w:rsidRPr="00711E68" w:rsidRDefault="00C71C7B" w:rsidP="00711E68">
            <w:pPr>
              <w:keepNext/>
              <w:jc w:val="center"/>
              <w:rPr>
                <w:szCs w:val="22"/>
                <w:lang w:val="sr-Latn-RS"/>
              </w:rPr>
            </w:pPr>
            <w:r w:rsidRPr="00711E68">
              <w:rPr>
                <w:szCs w:val="22"/>
                <w:lang w:val="sr-Latn-RS"/>
              </w:rPr>
              <w:t>198 (65,8)</w:t>
            </w:r>
          </w:p>
        </w:tc>
        <w:tc>
          <w:tcPr>
            <w:tcW w:w="1843" w:type="dxa"/>
            <w:shd w:val="clear" w:color="auto" w:fill="auto"/>
            <w:vAlign w:val="center"/>
          </w:tcPr>
          <w:p w14:paraId="318A5521" w14:textId="6DE92C04" w:rsidR="00C71C7B" w:rsidRPr="00711E68" w:rsidRDefault="00C71C7B" w:rsidP="00711E68">
            <w:pPr>
              <w:keepNext/>
              <w:jc w:val="center"/>
              <w:rPr>
                <w:szCs w:val="22"/>
                <w:lang w:val="sr-Latn-RS"/>
              </w:rPr>
            </w:pPr>
            <w:r w:rsidRPr="00711E68">
              <w:rPr>
                <w:szCs w:val="22"/>
                <w:lang w:val="sr-Latn-RS"/>
              </w:rPr>
              <w:t>148 (48,7)</w:t>
            </w:r>
          </w:p>
        </w:tc>
      </w:tr>
      <w:tr w:rsidR="00C71C7B" w:rsidRPr="00711E68" w14:paraId="6699F457" w14:textId="77777777" w:rsidTr="00865DFA">
        <w:trPr>
          <w:jc w:val="center"/>
        </w:trPr>
        <w:tc>
          <w:tcPr>
            <w:tcW w:w="7650" w:type="dxa"/>
            <w:gridSpan w:val="3"/>
            <w:shd w:val="clear" w:color="auto" w:fill="auto"/>
            <w:vAlign w:val="center"/>
          </w:tcPr>
          <w:p w14:paraId="04D88190" w14:textId="7430EEF1" w:rsidR="00C71C7B" w:rsidRPr="00711E68" w:rsidRDefault="00C71C7B" w:rsidP="00711E68">
            <w:pPr>
              <w:keepNext/>
              <w:rPr>
                <w:szCs w:val="22"/>
                <w:vertAlign w:val="superscript"/>
                <w:lang w:val="sr-Latn-RS"/>
              </w:rPr>
            </w:pPr>
            <w:r w:rsidRPr="00711E68">
              <w:rPr>
                <w:szCs w:val="22"/>
                <w:lang w:val="sr-Latn-RS"/>
              </w:rPr>
              <w:t>Sva poređenja su postigla p&lt;0</w:t>
            </w:r>
            <w:r w:rsidR="00AA079E" w:rsidRPr="00711E68">
              <w:rPr>
                <w:szCs w:val="22"/>
                <w:lang w:val="sr-Latn-RS"/>
              </w:rPr>
              <w:t>,</w:t>
            </w:r>
            <w:r w:rsidRPr="00711E68">
              <w:rPr>
                <w:szCs w:val="22"/>
                <w:lang w:val="sr-Latn-RS"/>
              </w:rPr>
              <w:t>001</w:t>
            </w:r>
            <w:r w:rsidRPr="00711E68">
              <w:rPr>
                <w:szCs w:val="22"/>
                <w:vertAlign w:val="superscript"/>
                <w:lang w:val="sr-Latn-RS"/>
              </w:rPr>
              <w:t xml:space="preserve"> </w:t>
            </w:r>
          </w:p>
          <w:p w14:paraId="00EF31E8" w14:textId="71E4F7A8" w:rsidR="00C71C7B" w:rsidRPr="00711E68" w:rsidRDefault="00C71C7B" w:rsidP="00711E68">
            <w:pPr>
              <w:keepNext/>
              <w:rPr>
                <w:szCs w:val="22"/>
                <w:lang w:val="sr-Latn-RS"/>
              </w:rPr>
            </w:pPr>
            <w:r w:rsidRPr="00711E68">
              <w:rPr>
                <w:szCs w:val="22"/>
                <w:vertAlign w:val="superscript"/>
                <w:lang w:val="sr-Latn-RS"/>
              </w:rPr>
              <w:t xml:space="preserve">a </w:t>
            </w:r>
            <w:r w:rsidR="006149CF" w:rsidRPr="00711E68">
              <w:rPr>
                <w:szCs w:val="22"/>
                <w:lang w:val="sr-Latn-RS"/>
              </w:rPr>
              <w:t>Kop</w:t>
            </w:r>
            <w:r w:rsidRPr="00711E68">
              <w:rPr>
                <w:szCs w:val="22"/>
                <w:lang w:val="sr-Latn-RS"/>
              </w:rPr>
              <w:t>rimarn</w:t>
            </w:r>
            <w:r w:rsidR="00154C4E" w:rsidRPr="00711E68">
              <w:rPr>
                <w:szCs w:val="22"/>
                <w:lang w:val="sr-Latn-RS"/>
              </w:rPr>
              <w:t>e mjere ishoda</w:t>
            </w:r>
          </w:p>
          <w:p w14:paraId="735A346B" w14:textId="1D1A721F" w:rsidR="00C71C7B" w:rsidRPr="00711E68" w:rsidRDefault="00C71C7B" w:rsidP="00711E68">
            <w:pPr>
              <w:keepNext/>
              <w:rPr>
                <w:szCs w:val="22"/>
                <w:lang w:val="sr-Latn-RS"/>
              </w:rPr>
            </w:pPr>
            <w:r w:rsidRPr="00711E68">
              <w:rPr>
                <w:szCs w:val="22"/>
                <w:vertAlign w:val="superscript"/>
                <w:lang w:val="sr-Latn-RS"/>
              </w:rPr>
              <w:t>b</w:t>
            </w:r>
            <w:r w:rsidRPr="00711E68">
              <w:rPr>
                <w:szCs w:val="22"/>
                <w:lang w:val="sr-Latn-RS"/>
              </w:rPr>
              <w:t>Nema uticaja na kvalitet života povezan sa zdravljem</w:t>
            </w:r>
          </w:p>
        </w:tc>
      </w:tr>
    </w:tbl>
    <w:p w14:paraId="3E3EC10C" w14:textId="77777777" w:rsidR="00C71C7B" w:rsidRPr="00711E68" w:rsidRDefault="00C71C7B" w:rsidP="00711E68">
      <w:pPr>
        <w:rPr>
          <w:szCs w:val="22"/>
          <w:lang w:val="sr-Latn-RS"/>
        </w:rPr>
      </w:pPr>
    </w:p>
    <w:p w14:paraId="61EB0082" w14:textId="57EEC905" w:rsidR="00C71C7B" w:rsidRPr="00711E68" w:rsidRDefault="006149CF" w:rsidP="00711E68">
      <w:pPr>
        <w:jc w:val="left"/>
        <w:rPr>
          <w:szCs w:val="22"/>
          <w:lang w:val="sr-Latn-RS"/>
        </w:rPr>
      </w:pPr>
      <w:r w:rsidRPr="00711E68">
        <w:rPr>
          <w:bCs/>
          <w:szCs w:val="22"/>
          <w:lang w:val="sr-Latn-RS"/>
        </w:rPr>
        <w:t>Kod</w:t>
      </w:r>
      <w:r w:rsidR="00C71C7B" w:rsidRPr="00711E68">
        <w:rPr>
          <w:bCs/>
          <w:szCs w:val="22"/>
          <w:lang w:val="sr-Latn-RS"/>
        </w:rPr>
        <w:t xml:space="preserve"> ispitanik</w:t>
      </w:r>
      <w:r w:rsidRPr="00711E68">
        <w:rPr>
          <w:bCs/>
          <w:szCs w:val="22"/>
          <w:lang w:val="sr-Latn-RS"/>
        </w:rPr>
        <w:t>a</w:t>
      </w:r>
      <w:r w:rsidR="00C71C7B" w:rsidRPr="00711E68">
        <w:rPr>
          <w:bCs/>
          <w:szCs w:val="22"/>
          <w:lang w:val="sr-Latn-RS"/>
        </w:rPr>
        <w:t xml:space="preserve"> koji su postigli PASI 50 do </w:t>
      </w:r>
      <w:r w:rsidR="00C71C7B" w:rsidRPr="00711E68">
        <w:rPr>
          <w:szCs w:val="22"/>
          <w:lang w:val="sr-Latn-RS"/>
        </w:rPr>
        <w:t xml:space="preserve">&lt;PASI 90 odgovor sa adalimumabom u </w:t>
      </w:r>
      <w:r w:rsidR="00154C4E" w:rsidRPr="00711E68">
        <w:rPr>
          <w:szCs w:val="22"/>
          <w:lang w:val="sr-Latn-RS"/>
        </w:rPr>
        <w:t xml:space="preserve">16. </w:t>
      </w:r>
      <w:r w:rsidR="00C71C7B" w:rsidRPr="00711E68">
        <w:rPr>
          <w:szCs w:val="22"/>
          <w:lang w:val="sr-Latn-RS"/>
        </w:rPr>
        <w:t>ned</w:t>
      </w:r>
      <w:r w:rsidR="00154C4E" w:rsidRPr="00711E68">
        <w:rPr>
          <w:szCs w:val="22"/>
          <w:lang w:val="sr-Latn-RS"/>
        </w:rPr>
        <w:t>j</w:t>
      </w:r>
      <w:r w:rsidR="00C71C7B" w:rsidRPr="00711E68">
        <w:rPr>
          <w:szCs w:val="22"/>
          <w:lang w:val="sr-Latn-RS"/>
        </w:rPr>
        <w:t xml:space="preserve">elji i bili </w:t>
      </w:r>
      <w:r w:rsidR="006F304B" w:rsidRPr="00711E68">
        <w:rPr>
          <w:szCs w:val="22"/>
          <w:lang w:val="sr-Latn-RS"/>
        </w:rPr>
        <w:t xml:space="preserve">ponovo </w:t>
      </w:r>
      <w:r w:rsidR="00C71C7B" w:rsidRPr="00711E68">
        <w:rPr>
          <w:szCs w:val="22"/>
          <w:lang w:val="sr-Latn-RS"/>
        </w:rPr>
        <w:t xml:space="preserve">randomizovani, razlike u </w:t>
      </w:r>
      <w:r w:rsidRPr="00711E68">
        <w:rPr>
          <w:szCs w:val="22"/>
          <w:lang w:val="sr-Latn-RS"/>
        </w:rPr>
        <w:t xml:space="preserve">stopama </w:t>
      </w:r>
      <w:r w:rsidR="00C71C7B" w:rsidRPr="00711E68">
        <w:rPr>
          <w:szCs w:val="22"/>
          <w:lang w:val="sr-Latn-RS"/>
        </w:rPr>
        <w:t xml:space="preserve">PASI 90 odgovora između </w:t>
      </w:r>
      <w:r w:rsidR="00154C4E" w:rsidRPr="00711E68">
        <w:rPr>
          <w:szCs w:val="22"/>
          <w:lang w:val="sr-Latn-RS"/>
        </w:rPr>
        <w:t xml:space="preserve">onih koji su </w:t>
      </w:r>
      <w:r w:rsidR="00C71C7B" w:rsidRPr="00711E68">
        <w:rPr>
          <w:szCs w:val="22"/>
          <w:lang w:val="sr-Latn-RS"/>
        </w:rPr>
        <w:t>pre</w:t>
      </w:r>
      <w:r w:rsidR="00154C4E" w:rsidRPr="00711E68">
        <w:rPr>
          <w:szCs w:val="22"/>
          <w:lang w:val="sr-Latn-RS"/>
        </w:rPr>
        <w:t>šli</w:t>
      </w:r>
      <w:r w:rsidR="00C71C7B" w:rsidRPr="00711E68">
        <w:rPr>
          <w:szCs w:val="22"/>
          <w:lang w:val="sr-Latn-RS"/>
        </w:rPr>
        <w:t xml:space="preserve"> na risankizumab i</w:t>
      </w:r>
      <w:r w:rsidR="00154C4E" w:rsidRPr="00711E68">
        <w:rPr>
          <w:szCs w:val="22"/>
          <w:lang w:val="sr-Latn-RS"/>
        </w:rPr>
        <w:t xml:space="preserve"> onih koji su </w:t>
      </w:r>
      <w:r w:rsidR="00C71C7B" w:rsidRPr="00711E68">
        <w:rPr>
          <w:szCs w:val="22"/>
          <w:lang w:val="sr-Latn-RS"/>
        </w:rPr>
        <w:t>nastav</w:t>
      </w:r>
      <w:r w:rsidR="00154C4E" w:rsidRPr="00711E68">
        <w:rPr>
          <w:szCs w:val="22"/>
          <w:lang w:val="sr-Latn-RS"/>
        </w:rPr>
        <w:t>ili</w:t>
      </w:r>
      <w:r w:rsidR="00C71C7B" w:rsidRPr="00711E68">
        <w:rPr>
          <w:szCs w:val="22"/>
          <w:lang w:val="sr-Latn-RS"/>
        </w:rPr>
        <w:t xml:space="preserve"> terapij</w:t>
      </w:r>
      <w:r w:rsidR="00154C4E" w:rsidRPr="00711E68">
        <w:rPr>
          <w:szCs w:val="22"/>
          <w:lang w:val="sr-Latn-RS"/>
        </w:rPr>
        <w:t>u</w:t>
      </w:r>
      <w:r w:rsidR="00C71C7B" w:rsidRPr="00711E68">
        <w:rPr>
          <w:szCs w:val="22"/>
          <w:lang w:val="sr-Latn-RS"/>
        </w:rPr>
        <w:t xml:space="preserve"> adalimuma</w:t>
      </w:r>
      <w:r w:rsidR="002311EB" w:rsidRPr="00711E68">
        <w:rPr>
          <w:szCs w:val="22"/>
          <w:lang w:val="sr-Latn-RS"/>
        </w:rPr>
        <w:t>b</w:t>
      </w:r>
      <w:r w:rsidR="00C71C7B" w:rsidRPr="00711E68">
        <w:rPr>
          <w:szCs w:val="22"/>
          <w:lang w:val="sr-Latn-RS"/>
        </w:rPr>
        <w:t xml:space="preserve">om bile </w:t>
      </w:r>
      <w:r w:rsidR="00720EF7" w:rsidRPr="00711E68">
        <w:rPr>
          <w:szCs w:val="22"/>
          <w:lang w:val="sr-Latn-RS"/>
        </w:rPr>
        <w:t xml:space="preserve">su </w:t>
      </w:r>
      <w:r w:rsidR="00C71C7B" w:rsidRPr="00711E68">
        <w:rPr>
          <w:szCs w:val="22"/>
          <w:lang w:val="sr-Latn-RS"/>
        </w:rPr>
        <w:t>zab</w:t>
      </w:r>
      <w:r w:rsidR="00720EF7" w:rsidRPr="00711E68">
        <w:rPr>
          <w:szCs w:val="22"/>
          <w:lang w:val="sr-Latn-RS"/>
        </w:rPr>
        <w:t>i</w:t>
      </w:r>
      <w:r w:rsidR="00C71C7B" w:rsidRPr="00711E68">
        <w:rPr>
          <w:szCs w:val="22"/>
          <w:lang w:val="sr-Latn-RS"/>
        </w:rPr>
        <w:t>l</w:t>
      </w:r>
      <w:r w:rsidR="00441E54" w:rsidRPr="00711E68">
        <w:rPr>
          <w:szCs w:val="22"/>
          <w:lang w:val="sr-Latn-RS"/>
        </w:rPr>
        <w:t>j</w:t>
      </w:r>
      <w:r w:rsidR="00C71C7B" w:rsidRPr="00711E68">
        <w:rPr>
          <w:szCs w:val="22"/>
          <w:lang w:val="sr-Latn-RS"/>
        </w:rPr>
        <w:t>ežene 4 ned</w:t>
      </w:r>
      <w:r w:rsidR="00720EF7" w:rsidRPr="00711E68">
        <w:rPr>
          <w:szCs w:val="22"/>
          <w:lang w:val="sr-Latn-RS"/>
        </w:rPr>
        <w:t>j</w:t>
      </w:r>
      <w:r w:rsidR="00C71C7B" w:rsidRPr="00711E68">
        <w:rPr>
          <w:szCs w:val="22"/>
          <w:lang w:val="sr-Latn-RS"/>
        </w:rPr>
        <w:t xml:space="preserve">elje nakon </w:t>
      </w:r>
      <w:r w:rsidR="002311EB" w:rsidRPr="00711E68">
        <w:rPr>
          <w:szCs w:val="22"/>
          <w:lang w:val="sr-Latn-RS"/>
        </w:rPr>
        <w:t xml:space="preserve">ponovne </w:t>
      </w:r>
      <w:r w:rsidR="00C71C7B" w:rsidRPr="00711E68">
        <w:rPr>
          <w:szCs w:val="22"/>
          <w:lang w:val="sr-Latn-RS"/>
        </w:rPr>
        <w:t>randomizacije (49</w:t>
      </w:r>
      <w:r w:rsidR="000E6F46" w:rsidRPr="00711E68">
        <w:rPr>
          <w:szCs w:val="22"/>
          <w:lang w:val="sr-Latn-RS"/>
        </w:rPr>
        <w:t>,</w:t>
      </w:r>
      <w:r w:rsidR="00C71C7B" w:rsidRPr="00711E68">
        <w:rPr>
          <w:szCs w:val="22"/>
          <w:lang w:val="sr-Latn-RS"/>
        </w:rPr>
        <w:t xml:space="preserve">1% </w:t>
      </w:r>
      <w:r w:rsidRPr="00711E68">
        <w:rPr>
          <w:szCs w:val="22"/>
          <w:lang w:val="sr-Latn-RS"/>
        </w:rPr>
        <w:t xml:space="preserve">u odnosu na </w:t>
      </w:r>
      <w:r w:rsidR="00C71C7B" w:rsidRPr="00711E68">
        <w:rPr>
          <w:szCs w:val="22"/>
          <w:lang w:val="sr-Latn-RS"/>
        </w:rPr>
        <w:t>26</w:t>
      </w:r>
      <w:r w:rsidR="000E6F46" w:rsidRPr="00711E68">
        <w:rPr>
          <w:szCs w:val="22"/>
          <w:lang w:val="sr-Latn-RS"/>
        </w:rPr>
        <w:t>,</w:t>
      </w:r>
      <w:r w:rsidR="00C71C7B" w:rsidRPr="00711E68">
        <w:rPr>
          <w:szCs w:val="22"/>
          <w:lang w:val="sr-Latn-RS"/>
        </w:rPr>
        <w:t>8%)</w:t>
      </w:r>
      <w:r w:rsidR="000E6F46" w:rsidRPr="00711E68">
        <w:rPr>
          <w:szCs w:val="22"/>
          <w:lang w:val="sr-Latn-RS"/>
        </w:rPr>
        <w:t>.</w:t>
      </w:r>
    </w:p>
    <w:p w14:paraId="7546E4C9" w14:textId="3BC3D94C" w:rsidR="000E6F46" w:rsidRPr="00711E68" w:rsidRDefault="000E6F46" w:rsidP="00711E68">
      <w:pPr>
        <w:jc w:val="left"/>
        <w:rPr>
          <w:szCs w:val="22"/>
          <w:lang w:val="sr-Latn-RS"/>
        </w:rPr>
      </w:pPr>
    </w:p>
    <w:p w14:paraId="7F61CC38" w14:textId="740684B8" w:rsidR="000E6F46" w:rsidRPr="00711E68" w:rsidRDefault="000E6F46" w:rsidP="00711E68">
      <w:pPr>
        <w:jc w:val="left"/>
        <w:rPr>
          <w:bCs/>
          <w:szCs w:val="22"/>
          <w:lang w:val="sr-Latn-RS"/>
        </w:rPr>
      </w:pPr>
      <w:r w:rsidRPr="00711E68">
        <w:rPr>
          <w:szCs w:val="22"/>
          <w:lang w:val="sr-Latn-RS"/>
        </w:rPr>
        <w:t>Rezultati 28 ned</w:t>
      </w:r>
      <w:r w:rsidR="00720EF7" w:rsidRPr="00711E68">
        <w:rPr>
          <w:szCs w:val="22"/>
          <w:lang w:val="sr-Latn-RS"/>
        </w:rPr>
        <w:t>j</w:t>
      </w:r>
      <w:r w:rsidRPr="00711E68">
        <w:rPr>
          <w:szCs w:val="22"/>
          <w:lang w:val="sr-Latn-RS"/>
        </w:rPr>
        <w:t xml:space="preserve">elja nakon </w:t>
      </w:r>
      <w:r w:rsidR="002311EB" w:rsidRPr="00711E68">
        <w:rPr>
          <w:szCs w:val="22"/>
          <w:lang w:val="sr-Latn-RS"/>
        </w:rPr>
        <w:t xml:space="preserve">ponovne </w:t>
      </w:r>
      <w:r w:rsidRPr="00711E68">
        <w:rPr>
          <w:szCs w:val="22"/>
          <w:lang w:val="sr-Latn-RS"/>
        </w:rPr>
        <w:t>randomizacije su prikazani u Tabeli 5 i na Slici 2.</w:t>
      </w:r>
    </w:p>
    <w:p w14:paraId="08C89343" w14:textId="11C62232" w:rsidR="000E6F46" w:rsidRPr="00711E68" w:rsidRDefault="000E6F46" w:rsidP="00711E68">
      <w:pPr>
        <w:jc w:val="left"/>
        <w:rPr>
          <w:bCs/>
          <w:szCs w:val="22"/>
          <w:lang w:val="sr-Latn-RS"/>
        </w:rPr>
      </w:pPr>
    </w:p>
    <w:p w14:paraId="791A9C1F" w14:textId="0E82265E" w:rsidR="000E6F46" w:rsidRDefault="000E6F46" w:rsidP="00711E68">
      <w:pPr>
        <w:jc w:val="left"/>
        <w:rPr>
          <w:b/>
          <w:bCs/>
          <w:szCs w:val="22"/>
          <w:lang w:val="sr-Latn-RS"/>
        </w:rPr>
      </w:pPr>
      <w:r w:rsidRPr="00711E68">
        <w:rPr>
          <w:b/>
          <w:bCs/>
          <w:szCs w:val="22"/>
          <w:lang w:val="sr-Latn-RS"/>
        </w:rPr>
        <w:t>Tabela 5: Rezultati efikasnosti 28 ned</w:t>
      </w:r>
      <w:r w:rsidR="00720EF7" w:rsidRPr="00711E68">
        <w:rPr>
          <w:b/>
          <w:bCs/>
          <w:szCs w:val="22"/>
          <w:lang w:val="sr-Latn-RS"/>
        </w:rPr>
        <w:t>j</w:t>
      </w:r>
      <w:r w:rsidRPr="00711E68">
        <w:rPr>
          <w:b/>
          <w:bCs/>
          <w:szCs w:val="22"/>
          <w:lang w:val="sr-Latn-RS"/>
        </w:rPr>
        <w:t xml:space="preserve">elja nakon </w:t>
      </w:r>
      <w:r w:rsidR="002311EB" w:rsidRPr="00711E68">
        <w:rPr>
          <w:b/>
          <w:bCs/>
          <w:szCs w:val="22"/>
          <w:lang w:val="sr-Latn-RS"/>
        </w:rPr>
        <w:t xml:space="preserve">ponovne </w:t>
      </w:r>
      <w:r w:rsidRPr="00711E68">
        <w:rPr>
          <w:b/>
          <w:bCs/>
          <w:szCs w:val="22"/>
          <w:lang w:val="sr-Latn-RS"/>
        </w:rPr>
        <w:t>randomizacije u IMMVENT studiji</w:t>
      </w:r>
    </w:p>
    <w:p w14:paraId="3206A676" w14:textId="77777777" w:rsidR="00865DFA" w:rsidRPr="00711E68" w:rsidRDefault="00865DFA" w:rsidP="00711E68">
      <w:pPr>
        <w:jc w:val="left"/>
        <w:rPr>
          <w:b/>
          <w:bCs/>
          <w:szCs w:val="22"/>
          <w:lang w:val="sr-Latn-RS"/>
        </w:rPr>
      </w:pPr>
    </w:p>
    <w:tbl>
      <w:tblPr>
        <w:tblW w:w="7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2260"/>
        <w:gridCol w:w="1984"/>
      </w:tblGrid>
      <w:tr w:rsidR="000E6F46" w:rsidRPr="00711E68" w14:paraId="4B91F265" w14:textId="77777777" w:rsidTr="00865DFA">
        <w:trPr>
          <w:jc w:val="center"/>
        </w:trPr>
        <w:tc>
          <w:tcPr>
            <w:tcW w:w="3235" w:type="dxa"/>
            <w:shd w:val="clear" w:color="auto" w:fill="auto"/>
          </w:tcPr>
          <w:p w14:paraId="0E90C228" w14:textId="77777777" w:rsidR="000E6F46" w:rsidRPr="00711E68" w:rsidRDefault="000E6F46" w:rsidP="00711E68">
            <w:pPr>
              <w:keepNext/>
              <w:rPr>
                <w:szCs w:val="22"/>
                <w:lang w:val="sr-Latn-RS"/>
              </w:rPr>
            </w:pPr>
          </w:p>
        </w:tc>
        <w:tc>
          <w:tcPr>
            <w:tcW w:w="2260" w:type="dxa"/>
            <w:shd w:val="clear" w:color="auto" w:fill="auto"/>
          </w:tcPr>
          <w:p w14:paraId="6275348C" w14:textId="5D126E42" w:rsidR="000E6F46" w:rsidRPr="00711E68" w:rsidRDefault="000E6F46" w:rsidP="00711E68">
            <w:pPr>
              <w:keepNext/>
              <w:jc w:val="center"/>
              <w:rPr>
                <w:szCs w:val="22"/>
                <w:lang w:val="sr-Latn-RS"/>
              </w:rPr>
            </w:pPr>
            <w:r w:rsidRPr="00711E68">
              <w:rPr>
                <w:b/>
                <w:bCs/>
                <w:szCs w:val="22"/>
                <w:lang w:val="sr-Latn-RS"/>
              </w:rPr>
              <w:t>Prebačeni na terapiju risankizumabom</w:t>
            </w:r>
            <w:r w:rsidRPr="00711E68">
              <w:rPr>
                <w:szCs w:val="22"/>
                <w:lang w:val="sr-Latn-RS"/>
              </w:rPr>
              <w:br/>
            </w:r>
            <w:r w:rsidRPr="00711E68">
              <w:rPr>
                <w:b/>
                <w:bCs/>
                <w:szCs w:val="22"/>
                <w:lang w:val="sr-Latn-RS"/>
              </w:rPr>
              <w:t>(N=53)</w:t>
            </w:r>
            <w:r w:rsidRPr="00711E68">
              <w:rPr>
                <w:szCs w:val="22"/>
                <w:lang w:val="sr-Latn-RS"/>
              </w:rPr>
              <w:br/>
            </w:r>
            <w:r w:rsidRPr="00711E68">
              <w:rPr>
                <w:b/>
                <w:bCs/>
                <w:szCs w:val="22"/>
                <w:lang w:val="sr-Latn-RS"/>
              </w:rPr>
              <w:t>n (%)</w:t>
            </w:r>
          </w:p>
        </w:tc>
        <w:tc>
          <w:tcPr>
            <w:tcW w:w="1984" w:type="dxa"/>
            <w:shd w:val="clear" w:color="auto" w:fill="auto"/>
          </w:tcPr>
          <w:p w14:paraId="456DCBA8" w14:textId="67437229" w:rsidR="000E6F46" w:rsidRPr="00711E68" w:rsidRDefault="000E6F46" w:rsidP="00711E68">
            <w:pPr>
              <w:keepNext/>
              <w:jc w:val="center"/>
              <w:rPr>
                <w:b/>
                <w:bCs/>
                <w:szCs w:val="22"/>
                <w:lang w:val="sr-Latn-RS"/>
              </w:rPr>
            </w:pPr>
            <w:r w:rsidRPr="00711E68">
              <w:rPr>
                <w:b/>
                <w:bCs/>
                <w:szCs w:val="22"/>
                <w:lang w:val="sr-Latn-RS"/>
              </w:rPr>
              <w:t>Nastavili terapiju adalimumabom</w:t>
            </w:r>
          </w:p>
          <w:p w14:paraId="202ABBFB" w14:textId="77777777" w:rsidR="000E6F46" w:rsidRPr="00711E68" w:rsidRDefault="000E6F46" w:rsidP="00711E68">
            <w:pPr>
              <w:keepNext/>
              <w:jc w:val="center"/>
              <w:rPr>
                <w:b/>
                <w:bCs/>
                <w:szCs w:val="22"/>
                <w:lang w:val="sr-Latn-RS"/>
              </w:rPr>
            </w:pPr>
            <w:r w:rsidRPr="00711E68">
              <w:rPr>
                <w:b/>
                <w:bCs/>
                <w:szCs w:val="22"/>
                <w:lang w:val="sr-Latn-RS"/>
              </w:rPr>
              <w:t>(N=56)</w:t>
            </w:r>
          </w:p>
          <w:p w14:paraId="227A5EC2" w14:textId="77777777" w:rsidR="000E6F46" w:rsidRPr="00711E68" w:rsidRDefault="000E6F46" w:rsidP="00711E68">
            <w:pPr>
              <w:keepNext/>
              <w:jc w:val="center"/>
              <w:rPr>
                <w:b/>
                <w:bCs/>
                <w:szCs w:val="22"/>
                <w:lang w:val="sr-Latn-RS"/>
              </w:rPr>
            </w:pPr>
            <w:r w:rsidRPr="00711E68">
              <w:rPr>
                <w:b/>
                <w:bCs/>
                <w:szCs w:val="22"/>
                <w:lang w:val="sr-Latn-RS"/>
              </w:rPr>
              <w:t>n (%)</w:t>
            </w:r>
          </w:p>
        </w:tc>
      </w:tr>
      <w:tr w:rsidR="000E6F46" w:rsidRPr="00711E68" w14:paraId="1AED76A3" w14:textId="77777777" w:rsidTr="00865DFA">
        <w:trPr>
          <w:jc w:val="center"/>
        </w:trPr>
        <w:tc>
          <w:tcPr>
            <w:tcW w:w="3235" w:type="dxa"/>
            <w:shd w:val="clear" w:color="auto" w:fill="auto"/>
            <w:vAlign w:val="center"/>
          </w:tcPr>
          <w:p w14:paraId="390CF631" w14:textId="77777777" w:rsidR="000E6F46" w:rsidRPr="00711E68" w:rsidRDefault="000E6F46" w:rsidP="00711E68">
            <w:pPr>
              <w:keepNext/>
              <w:rPr>
                <w:b/>
                <w:szCs w:val="22"/>
                <w:vertAlign w:val="superscript"/>
                <w:lang w:val="sr-Latn-RS"/>
              </w:rPr>
            </w:pPr>
            <w:r w:rsidRPr="00711E68">
              <w:rPr>
                <w:b/>
                <w:szCs w:val="22"/>
                <w:lang w:val="sr-Latn-RS"/>
              </w:rPr>
              <w:t>PASI 90</w:t>
            </w:r>
          </w:p>
        </w:tc>
        <w:tc>
          <w:tcPr>
            <w:tcW w:w="2260" w:type="dxa"/>
            <w:shd w:val="clear" w:color="auto" w:fill="auto"/>
            <w:vAlign w:val="center"/>
          </w:tcPr>
          <w:p w14:paraId="414D860D" w14:textId="57BE835D" w:rsidR="000E6F46" w:rsidRPr="00711E68" w:rsidRDefault="000E6F46" w:rsidP="00711E68">
            <w:pPr>
              <w:keepNext/>
              <w:jc w:val="center"/>
              <w:rPr>
                <w:szCs w:val="22"/>
                <w:lang w:val="sr-Latn-RS"/>
              </w:rPr>
            </w:pPr>
            <w:r w:rsidRPr="00711E68">
              <w:rPr>
                <w:szCs w:val="22"/>
                <w:lang w:val="sr-Latn-RS"/>
              </w:rPr>
              <w:t xml:space="preserve">35 (66,0) </w:t>
            </w:r>
          </w:p>
        </w:tc>
        <w:tc>
          <w:tcPr>
            <w:tcW w:w="1984" w:type="dxa"/>
            <w:shd w:val="clear" w:color="auto" w:fill="auto"/>
            <w:vAlign w:val="center"/>
          </w:tcPr>
          <w:p w14:paraId="561C68CD" w14:textId="3A6C5025" w:rsidR="000E6F46" w:rsidRPr="00711E68" w:rsidRDefault="000E6F46" w:rsidP="00711E68">
            <w:pPr>
              <w:keepNext/>
              <w:jc w:val="center"/>
              <w:rPr>
                <w:szCs w:val="22"/>
                <w:lang w:val="sr-Latn-RS"/>
              </w:rPr>
            </w:pPr>
            <w:r w:rsidRPr="00711E68">
              <w:rPr>
                <w:szCs w:val="22"/>
                <w:lang w:val="sr-Latn-RS"/>
              </w:rPr>
              <w:t xml:space="preserve">12 (21,4) </w:t>
            </w:r>
          </w:p>
        </w:tc>
      </w:tr>
      <w:tr w:rsidR="000E6F46" w:rsidRPr="00711E68" w14:paraId="56EF3BA4" w14:textId="77777777" w:rsidTr="00865DFA">
        <w:trPr>
          <w:jc w:val="center"/>
        </w:trPr>
        <w:tc>
          <w:tcPr>
            <w:tcW w:w="3235" w:type="dxa"/>
            <w:shd w:val="clear" w:color="auto" w:fill="auto"/>
            <w:vAlign w:val="center"/>
          </w:tcPr>
          <w:p w14:paraId="22ED0FDA" w14:textId="77777777" w:rsidR="000E6F46" w:rsidRPr="00711E68" w:rsidRDefault="000E6F46" w:rsidP="00711E68">
            <w:pPr>
              <w:keepNext/>
              <w:rPr>
                <w:szCs w:val="22"/>
                <w:lang w:val="sr-Latn-RS"/>
              </w:rPr>
            </w:pPr>
            <w:r w:rsidRPr="00711E68">
              <w:rPr>
                <w:b/>
                <w:szCs w:val="22"/>
                <w:lang w:val="sr-Latn-RS"/>
              </w:rPr>
              <w:t>PASI 100</w:t>
            </w:r>
          </w:p>
        </w:tc>
        <w:tc>
          <w:tcPr>
            <w:tcW w:w="2260" w:type="dxa"/>
            <w:shd w:val="clear" w:color="auto" w:fill="auto"/>
            <w:vAlign w:val="center"/>
          </w:tcPr>
          <w:p w14:paraId="7B85E05B" w14:textId="3615CAE4" w:rsidR="000E6F46" w:rsidRPr="00711E68" w:rsidRDefault="000E6F46" w:rsidP="00711E68">
            <w:pPr>
              <w:keepNext/>
              <w:jc w:val="center"/>
              <w:rPr>
                <w:szCs w:val="22"/>
                <w:lang w:val="sr-Latn-RS"/>
              </w:rPr>
            </w:pPr>
            <w:r w:rsidRPr="00711E68">
              <w:rPr>
                <w:szCs w:val="22"/>
                <w:lang w:val="sr-Latn-RS"/>
              </w:rPr>
              <w:t xml:space="preserve">21 (39,6) </w:t>
            </w:r>
          </w:p>
        </w:tc>
        <w:tc>
          <w:tcPr>
            <w:tcW w:w="1984" w:type="dxa"/>
            <w:shd w:val="clear" w:color="auto" w:fill="auto"/>
            <w:vAlign w:val="center"/>
          </w:tcPr>
          <w:p w14:paraId="59FCEBCF" w14:textId="31D39D59" w:rsidR="000E6F46" w:rsidRPr="00711E68" w:rsidRDefault="000E6F46" w:rsidP="00711E68">
            <w:pPr>
              <w:keepNext/>
              <w:jc w:val="center"/>
              <w:rPr>
                <w:szCs w:val="22"/>
                <w:lang w:val="sr-Latn-RS"/>
              </w:rPr>
            </w:pPr>
            <w:r w:rsidRPr="00711E68">
              <w:rPr>
                <w:szCs w:val="22"/>
                <w:lang w:val="sr-Latn-RS"/>
              </w:rPr>
              <w:t xml:space="preserve">4 (7,1) </w:t>
            </w:r>
          </w:p>
        </w:tc>
      </w:tr>
      <w:tr w:rsidR="000E6F46" w:rsidRPr="00711E68" w14:paraId="6B226839" w14:textId="77777777" w:rsidTr="00865DFA">
        <w:trPr>
          <w:jc w:val="center"/>
        </w:trPr>
        <w:tc>
          <w:tcPr>
            <w:tcW w:w="7479" w:type="dxa"/>
            <w:gridSpan w:val="3"/>
            <w:shd w:val="clear" w:color="auto" w:fill="auto"/>
            <w:vAlign w:val="center"/>
          </w:tcPr>
          <w:p w14:paraId="32CFDB72" w14:textId="4BF67849" w:rsidR="000E6F46" w:rsidRPr="00711E68" w:rsidRDefault="000E6F46" w:rsidP="00711E68">
            <w:pPr>
              <w:keepNext/>
              <w:rPr>
                <w:szCs w:val="22"/>
                <w:lang w:val="sr-Latn-RS"/>
              </w:rPr>
            </w:pPr>
            <w:r w:rsidRPr="00711E68">
              <w:rPr>
                <w:szCs w:val="22"/>
                <w:lang w:val="sr-Latn-RS"/>
              </w:rPr>
              <w:t>Sva poređenja su postigla p&lt;0</w:t>
            </w:r>
            <w:r w:rsidR="006149CF" w:rsidRPr="00711E68">
              <w:rPr>
                <w:szCs w:val="22"/>
                <w:lang w:val="sr-Latn-RS"/>
              </w:rPr>
              <w:t>,</w:t>
            </w:r>
            <w:r w:rsidRPr="00711E68">
              <w:rPr>
                <w:szCs w:val="22"/>
                <w:lang w:val="sr-Latn-RS"/>
              </w:rPr>
              <w:t>001</w:t>
            </w:r>
            <w:r w:rsidRPr="00711E68">
              <w:rPr>
                <w:szCs w:val="22"/>
                <w:vertAlign w:val="superscript"/>
                <w:lang w:val="sr-Latn-RS"/>
              </w:rPr>
              <w:t xml:space="preserve"> </w:t>
            </w:r>
          </w:p>
        </w:tc>
      </w:tr>
    </w:tbl>
    <w:p w14:paraId="2CA344BD" w14:textId="271CBDA2" w:rsidR="000E6F46" w:rsidRPr="00711E68" w:rsidRDefault="000E6F46" w:rsidP="00711E68">
      <w:pPr>
        <w:jc w:val="left"/>
        <w:rPr>
          <w:bCs/>
          <w:szCs w:val="22"/>
          <w:lang w:val="sr-Latn-RS"/>
        </w:rPr>
      </w:pPr>
    </w:p>
    <w:p w14:paraId="14A3B9A9" w14:textId="0B034D75" w:rsidR="000E6F46" w:rsidRDefault="000E6F46" w:rsidP="00711E68">
      <w:pPr>
        <w:jc w:val="left"/>
        <w:rPr>
          <w:b/>
          <w:bCs/>
          <w:szCs w:val="22"/>
          <w:lang w:val="sr-Latn-RS"/>
        </w:rPr>
      </w:pPr>
      <w:r w:rsidRPr="00711E68">
        <w:rPr>
          <w:b/>
          <w:bCs/>
          <w:szCs w:val="22"/>
          <w:lang w:val="sr-Latn-RS"/>
        </w:rPr>
        <w:t>Slika 2: Vremens</w:t>
      </w:r>
      <w:r w:rsidR="00C842ED" w:rsidRPr="00711E68">
        <w:rPr>
          <w:b/>
          <w:bCs/>
          <w:szCs w:val="22"/>
          <w:lang w:val="sr-Latn-RS"/>
        </w:rPr>
        <w:t>k</w:t>
      </w:r>
      <w:r w:rsidRPr="00711E68">
        <w:rPr>
          <w:b/>
          <w:bCs/>
          <w:szCs w:val="22"/>
          <w:lang w:val="sr-Latn-RS"/>
        </w:rPr>
        <w:t xml:space="preserve">i tok PASI 90 nakon </w:t>
      </w:r>
      <w:r w:rsidR="00C842ED" w:rsidRPr="00711E68">
        <w:rPr>
          <w:b/>
          <w:bCs/>
          <w:szCs w:val="22"/>
          <w:lang w:val="sr-Latn-RS"/>
        </w:rPr>
        <w:t xml:space="preserve">ponovne </w:t>
      </w:r>
      <w:r w:rsidRPr="00711E68">
        <w:rPr>
          <w:b/>
          <w:bCs/>
          <w:szCs w:val="22"/>
          <w:lang w:val="sr-Latn-RS"/>
        </w:rPr>
        <w:t>randomizacije u IMMVENT studiji</w:t>
      </w:r>
    </w:p>
    <w:p w14:paraId="18BF3056" w14:textId="77777777" w:rsidR="00865DFA" w:rsidRPr="00711E68" w:rsidRDefault="00865DFA" w:rsidP="00711E68">
      <w:pPr>
        <w:jc w:val="left"/>
        <w:rPr>
          <w:b/>
          <w:bCs/>
          <w:szCs w:val="22"/>
          <w:lang w:val="sr-Latn-RS"/>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8820"/>
      </w:tblGrid>
      <w:tr w:rsidR="000E6F46" w:rsidRPr="00711E68" w14:paraId="51514D32" w14:textId="77777777" w:rsidTr="000E6F46">
        <w:trPr>
          <w:cantSplit/>
          <w:trHeight w:val="1134"/>
        </w:trPr>
        <w:tc>
          <w:tcPr>
            <w:tcW w:w="630" w:type="dxa"/>
            <w:textDirection w:val="btLr"/>
            <w:vAlign w:val="center"/>
          </w:tcPr>
          <w:p w14:paraId="3A90B6D7" w14:textId="443B03F2" w:rsidR="000E6F46" w:rsidRPr="00711E68" w:rsidRDefault="000E6F46" w:rsidP="00711E68">
            <w:pPr>
              <w:keepNext/>
              <w:ind w:left="113" w:right="113"/>
              <w:jc w:val="center"/>
              <w:rPr>
                <w:b/>
                <w:szCs w:val="22"/>
                <w:lang w:val="sr-Latn-RS"/>
              </w:rPr>
            </w:pPr>
            <w:r w:rsidRPr="00711E68">
              <w:rPr>
                <w:b/>
                <w:szCs w:val="22"/>
                <w:lang w:val="sr-Latn-RS"/>
              </w:rPr>
              <w:t>Procenat ispitanika</w:t>
            </w:r>
          </w:p>
        </w:tc>
        <w:tc>
          <w:tcPr>
            <w:tcW w:w="8820" w:type="dxa"/>
          </w:tcPr>
          <w:p w14:paraId="5CC325AE" w14:textId="77777777" w:rsidR="000E6F46" w:rsidRPr="00711E68" w:rsidRDefault="000E6F46" w:rsidP="00711E68">
            <w:pPr>
              <w:keepNext/>
              <w:rPr>
                <w:b/>
                <w:bCs/>
                <w:szCs w:val="22"/>
                <w:lang w:val="sr-Latn-RS"/>
              </w:rPr>
            </w:pPr>
            <w:r w:rsidRPr="00711E68">
              <w:rPr>
                <w:b/>
                <w:noProof/>
                <w:szCs w:val="22"/>
              </w:rPr>
              <w:drawing>
                <wp:anchor distT="0" distB="0" distL="114300" distR="114300" simplePos="0" relativeHeight="251660288" behindDoc="0" locked="0" layoutInCell="1" allowOverlap="1" wp14:anchorId="2797CA0A" wp14:editId="052EBB1A">
                  <wp:simplePos x="0" y="0"/>
                  <wp:positionH relativeFrom="column">
                    <wp:posOffset>3810</wp:posOffset>
                  </wp:positionH>
                  <wp:positionV relativeFrom="paragraph">
                    <wp:posOffset>123825</wp:posOffset>
                  </wp:positionV>
                  <wp:extent cx="4994275" cy="290131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a Ps CCDS Figure 2 25Jan2018_900px-no tex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94275" cy="2901315"/>
                          </a:xfrm>
                          <a:prstGeom prst="rect">
                            <a:avLst/>
                          </a:prstGeom>
                        </pic:spPr>
                      </pic:pic>
                    </a:graphicData>
                  </a:graphic>
                  <wp14:sizeRelH relativeFrom="page">
                    <wp14:pctWidth>0</wp14:pctWidth>
                  </wp14:sizeRelH>
                  <wp14:sizeRelV relativeFrom="page">
                    <wp14:pctHeight>0</wp14:pctHeight>
                  </wp14:sizeRelV>
                </wp:anchor>
              </w:drawing>
            </w:r>
          </w:p>
          <w:p w14:paraId="45895A4E" w14:textId="77777777" w:rsidR="000E6F46" w:rsidRPr="00711E68" w:rsidRDefault="000E6F46" w:rsidP="00711E68">
            <w:pPr>
              <w:keepNext/>
              <w:rPr>
                <w:b/>
                <w:bCs/>
                <w:szCs w:val="22"/>
                <w:lang w:val="sr-Latn-RS"/>
              </w:rPr>
            </w:pPr>
          </w:p>
          <w:p w14:paraId="415A30DC" w14:textId="77777777" w:rsidR="000E6F46" w:rsidRPr="00711E68" w:rsidRDefault="000E6F46" w:rsidP="00711E68">
            <w:pPr>
              <w:keepNext/>
              <w:rPr>
                <w:b/>
                <w:bCs/>
                <w:szCs w:val="22"/>
                <w:lang w:val="sr-Latn-RS"/>
              </w:rPr>
            </w:pPr>
          </w:p>
          <w:p w14:paraId="3C114F8C" w14:textId="77777777" w:rsidR="000E6F46" w:rsidRPr="00711E68" w:rsidRDefault="000E6F46" w:rsidP="00711E68">
            <w:pPr>
              <w:keepNext/>
              <w:rPr>
                <w:b/>
                <w:bCs/>
                <w:szCs w:val="22"/>
                <w:lang w:val="sr-Latn-RS"/>
              </w:rPr>
            </w:pPr>
          </w:p>
          <w:p w14:paraId="7F258FB6" w14:textId="77777777" w:rsidR="000E6F46" w:rsidRPr="00711E68" w:rsidRDefault="000E6F46" w:rsidP="00711E68">
            <w:pPr>
              <w:keepNext/>
              <w:rPr>
                <w:b/>
                <w:bCs/>
                <w:szCs w:val="22"/>
                <w:lang w:val="sr-Latn-RS"/>
              </w:rPr>
            </w:pPr>
          </w:p>
          <w:p w14:paraId="5F0741DC" w14:textId="77777777" w:rsidR="000E6F46" w:rsidRPr="00711E68" w:rsidRDefault="000E6F46" w:rsidP="00711E68">
            <w:pPr>
              <w:keepNext/>
              <w:rPr>
                <w:b/>
                <w:bCs/>
                <w:szCs w:val="22"/>
                <w:lang w:val="sr-Latn-RS"/>
              </w:rPr>
            </w:pPr>
          </w:p>
          <w:p w14:paraId="347681CB" w14:textId="77777777" w:rsidR="000E6F46" w:rsidRPr="00711E68" w:rsidRDefault="000E6F46" w:rsidP="00711E68">
            <w:pPr>
              <w:keepNext/>
              <w:rPr>
                <w:b/>
                <w:bCs/>
                <w:szCs w:val="22"/>
                <w:lang w:val="sr-Latn-RS"/>
              </w:rPr>
            </w:pPr>
          </w:p>
          <w:p w14:paraId="415E1FAA" w14:textId="77777777" w:rsidR="000E6F46" w:rsidRPr="00711E68" w:rsidRDefault="000E6F46" w:rsidP="00711E68">
            <w:pPr>
              <w:keepNext/>
              <w:rPr>
                <w:b/>
                <w:bCs/>
                <w:szCs w:val="22"/>
                <w:lang w:val="sr-Latn-RS"/>
              </w:rPr>
            </w:pPr>
          </w:p>
          <w:p w14:paraId="52F18B35" w14:textId="77777777" w:rsidR="000E6F46" w:rsidRPr="00711E68" w:rsidRDefault="000E6F46" w:rsidP="00711E68">
            <w:pPr>
              <w:keepNext/>
              <w:rPr>
                <w:b/>
                <w:bCs/>
                <w:szCs w:val="22"/>
                <w:lang w:val="sr-Latn-RS"/>
              </w:rPr>
            </w:pPr>
          </w:p>
          <w:p w14:paraId="177650EA" w14:textId="77777777" w:rsidR="000E6F46" w:rsidRPr="00711E68" w:rsidRDefault="000E6F46" w:rsidP="00711E68">
            <w:pPr>
              <w:keepNext/>
              <w:rPr>
                <w:b/>
                <w:bCs/>
                <w:szCs w:val="22"/>
                <w:lang w:val="sr-Latn-RS"/>
              </w:rPr>
            </w:pPr>
          </w:p>
          <w:p w14:paraId="310AE0A0" w14:textId="77777777" w:rsidR="000E6F46" w:rsidRPr="00711E68" w:rsidRDefault="000E6F46" w:rsidP="00711E68">
            <w:pPr>
              <w:keepNext/>
              <w:rPr>
                <w:b/>
                <w:bCs/>
                <w:szCs w:val="22"/>
                <w:lang w:val="sr-Latn-RS"/>
              </w:rPr>
            </w:pPr>
          </w:p>
          <w:p w14:paraId="095815C6" w14:textId="77777777" w:rsidR="000E6F46" w:rsidRPr="00711E68" w:rsidRDefault="000E6F46" w:rsidP="00711E68">
            <w:pPr>
              <w:keepNext/>
              <w:rPr>
                <w:b/>
                <w:bCs/>
                <w:szCs w:val="22"/>
                <w:lang w:val="sr-Latn-RS"/>
              </w:rPr>
            </w:pPr>
          </w:p>
          <w:p w14:paraId="1347F086" w14:textId="77777777" w:rsidR="000E6F46" w:rsidRPr="00711E68" w:rsidRDefault="000E6F46" w:rsidP="00711E68">
            <w:pPr>
              <w:keepNext/>
              <w:rPr>
                <w:b/>
                <w:bCs/>
                <w:szCs w:val="22"/>
                <w:lang w:val="sr-Latn-RS"/>
              </w:rPr>
            </w:pPr>
          </w:p>
          <w:p w14:paraId="49E302DF" w14:textId="77777777" w:rsidR="000E6F46" w:rsidRPr="00711E68" w:rsidRDefault="000E6F46" w:rsidP="00711E68">
            <w:pPr>
              <w:keepNext/>
              <w:rPr>
                <w:b/>
                <w:bCs/>
                <w:szCs w:val="22"/>
                <w:lang w:val="sr-Latn-RS"/>
              </w:rPr>
            </w:pPr>
          </w:p>
          <w:p w14:paraId="24F1F5B6" w14:textId="77777777" w:rsidR="000E6F46" w:rsidRPr="00711E68" w:rsidRDefault="000E6F46" w:rsidP="00711E68">
            <w:pPr>
              <w:keepNext/>
              <w:rPr>
                <w:b/>
                <w:bCs/>
                <w:szCs w:val="22"/>
                <w:lang w:val="sr-Latn-RS"/>
              </w:rPr>
            </w:pPr>
          </w:p>
          <w:p w14:paraId="716C12A4" w14:textId="77777777" w:rsidR="000E6F46" w:rsidRPr="00711E68" w:rsidRDefault="000E6F46" w:rsidP="00711E68">
            <w:pPr>
              <w:keepNext/>
              <w:rPr>
                <w:b/>
                <w:bCs/>
                <w:szCs w:val="22"/>
                <w:lang w:val="sr-Latn-RS"/>
              </w:rPr>
            </w:pPr>
          </w:p>
          <w:p w14:paraId="5A142160" w14:textId="77777777" w:rsidR="000E6F46" w:rsidRPr="00711E68" w:rsidRDefault="000E6F46" w:rsidP="00711E68">
            <w:pPr>
              <w:keepNext/>
              <w:rPr>
                <w:b/>
                <w:bCs/>
                <w:szCs w:val="22"/>
                <w:lang w:val="sr-Latn-RS"/>
              </w:rPr>
            </w:pPr>
          </w:p>
        </w:tc>
      </w:tr>
      <w:tr w:rsidR="000E6F46" w:rsidRPr="00711E68" w14:paraId="6130C8E4" w14:textId="77777777" w:rsidTr="000E6F46">
        <w:tc>
          <w:tcPr>
            <w:tcW w:w="630" w:type="dxa"/>
          </w:tcPr>
          <w:p w14:paraId="370B5187" w14:textId="77777777" w:rsidR="000E6F46" w:rsidRPr="00711E68" w:rsidRDefault="000E6F46" w:rsidP="00711E68">
            <w:pPr>
              <w:rPr>
                <w:b/>
                <w:bCs/>
                <w:szCs w:val="22"/>
                <w:lang w:val="sr-Latn-RS"/>
              </w:rPr>
            </w:pPr>
          </w:p>
        </w:tc>
        <w:tc>
          <w:tcPr>
            <w:tcW w:w="8820" w:type="dxa"/>
          </w:tcPr>
          <w:p w14:paraId="48438421" w14:textId="300D4786" w:rsidR="000E6F46" w:rsidRPr="00711E68" w:rsidRDefault="000E6F46" w:rsidP="00711E68">
            <w:pPr>
              <w:jc w:val="center"/>
              <w:rPr>
                <w:b/>
                <w:szCs w:val="22"/>
                <w:lang w:val="sr-Latn-RS"/>
              </w:rPr>
            </w:pPr>
            <w:r w:rsidRPr="00711E68">
              <w:rPr>
                <w:b/>
                <w:szCs w:val="22"/>
                <w:lang w:val="sr-Latn-RS"/>
              </w:rPr>
              <w:t>Ned</w:t>
            </w:r>
            <w:r w:rsidR="00720EF7" w:rsidRPr="00711E68">
              <w:rPr>
                <w:b/>
                <w:szCs w:val="22"/>
                <w:lang w:val="sr-Latn-RS"/>
              </w:rPr>
              <w:t>j</w:t>
            </w:r>
            <w:r w:rsidRPr="00711E68">
              <w:rPr>
                <w:b/>
                <w:szCs w:val="22"/>
                <w:lang w:val="sr-Latn-RS"/>
              </w:rPr>
              <w:t xml:space="preserve">elje nakon </w:t>
            </w:r>
            <w:r w:rsidR="00C842ED" w:rsidRPr="00711E68">
              <w:rPr>
                <w:b/>
                <w:szCs w:val="22"/>
                <w:lang w:val="sr-Latn-RS"/>
              </w:rPr>
              <w:t xml:space="preserve">ponovne </w:t>
            </w:r>
            <w:r w:rsidRPr="00711E68">
              <w:rPr>
                <w:b/>
                <w:szCs w:val="22"/>
                <w:lang w:val="sr-Latn-RS"/>
              </w:rPr>
              <w:t>randomizacije</w:t>
            </w:r>
          </w:p>
        </w:tc>
      </w:tr>
    </w:tbl>
    <w:p w14:paraId="6FD44448" w14:textId="77777777" w:rsidR="00865DFA" w:rsidRDefault="00865DFA" w:rsidP="00711E68">
      <w:pPr>
        <w:ind w:left="720"/>
        <w:rPr>
          <w:szCs w:val="22"/>
          <w:lang w:val="sr-Latn-RS"/>
        </w:rPr>
      </w:pPr>
    </w:p>
    <w:p w14:paraId="6E9ABF5D" w14:textId="4C659364" w:rsidR="000E6F46" w:rsidRPr="00711E68" w:rsidRDefault="000E6F46" w:rsidP="00711E68">
      <w:pPr>
        <w:ind w:left="720"/>
        <w:rPr>
          <w:szCs w:val="22"/>
          <w:lang w:val="sr-Latn-RS"/>
        </w:rPr>
      </w:pPr>
      <w:r w:rsidRPr="00711E68">
        <w:rPr>
          <w:szCs w:val="22"/>
          <w:lang w:val="sr-Latn-RS"/>
        </w:rPr>
        <w:lastRenderedPageBreak/>
        <w:t>ADA/ADA: Ispitanici randomizovani na adalimumab i kasnije nastavili terapiju adalimumabom</w:t>
      </w:r>
    </w:p>
    <w:p w14:paraId="41AC5769" w14:textId="77955A79" w:rsidR="000E6F46" w:rsidRPr="00711E68" w:rsidRDefault="000E6F46" w:rsidP="00711E68">
      <w:pPr>
        <w:pStyle w:val="TableFootnoteSymbol"/>
        <w:spacing w:line="240" w:lineRule="auto"/>
        <w:ind w:left="720" w:firstLine="0"/>
        <w:rPr>
          <w:strike/>
          <w:sz w:val="22"/>
          <w:szCs w:val="22"/>
          <w:lang w:val="sr-Latn-RS"/>
        </w:rPr>
      </w:pPr>
      <w:r w:rsidRPr="00711E68">
        <w:rPr>
          <w:sz w:val="22"/>
          <w:szCs w:val="22"/>
          <w:lang w:val="sr-Latn-RS"/>
        </w:rPr>
        <w:t>ADA/RZB: </w:t>
      </w:r>
      <w:r w:rsidR="00964F87" w:rsidRPr="00711E68">
        <w:rPr>
          <w:sz w:val="22"/>
          <w:szCs w:val="22"/>
          <w:lang w:val="sr-Latn-RS"/>
        </w:rPr>
        <w:t xml:space="preserve">Ispitanici randomizovani na </w:t>
      </w:r>
      <w:r w:rsidRPr="00711E68">
        <w:rPr>
          <w:sz w:val="22"/>
          <w:szCs w:val="22"/>
          <w:lang w:val="sr-Latn-RS"/>
        </w:rPr>
        <w:t xml:space="preserve">adalimumab </w:t>
      </w:r>
      <w:r w:rsidR="00964F87" w:rsidRPr="00711E68">
        <w:rPr>
          <w:sz w:val="22"/>
          <w:szCs w:val="22"/>
          <w:lang w:val="sr-Latn-RS"/>
        </w:rPr>
        <w:t xml:space="preserve">kasnije </w:t>
      </w:r>
      <w:r w:rsidR="00720EF7" w:rsidRPr="00711E68">
        <w:rPr>
          <w:sz w:val="22"/>
          <w:szCs w:val="22"/>
          <w:lang w:val="sr-Latn-RS"/>
        </w:rPr>
        <w:t xml:space="preserve">prebačeni </w:t>
      </w:r>
      <w:r w:rsidR="00964F87" w:rsidRPr="00711E68">
        <w:rPr>
          <w:sz w:val="22"/>
          <w:szCs w:val="22"/>
          <w:lang w:val="sr-Latn-RS"/>
        </w:rPr>
        <w:t>na terapiju</w:t>
      </w:r>
      <w:r w:rsidRPr="00711E68">
        <w:rPr>
          <w:sz w:val="22"/>
          <w:szCs w:val="22"/>
          <w:lang w:val="sr-Latn-RS"/>
        </w:rPr>
        <w:t xml:space="preserve"> risankizumab</w:t>
      </w:r>
      <w:r w:rsidR="00964F87" w:rsidRPr="00711E68">
        <w:rPr>
          <w:sz w:val="22"/>
          <w:szCs w:val="22"/>
          <w:lang w:val="sr-Latn-RS"/>
        </w:rPr>
        <w:t>om</w:t>
      </w:r>
    </w:p>
    <w:p w14:paraId="0BA21E1B" w14:textId="5F949820" w:rsidR="000E6F46" w:rsidRPr="00711E68" w:rsidRDefault="000E6F46" w:rsidP="00711E68">
      <w:pPr>
        <w:pStyle w:val="TableFootnoteSymbol"/>
        <w:spacing w:line="240" w:lineRule="auto"/>
        <w:ind w:left="720" w:firstLine="0"/>
        <w:rPr>
          <w:sz w:val="22"/>
          <w:szCs w:val="22"/>
          <w:lang w:val="sr-Latn-RS"/>
        </w:rPr>
      </w:pPr>
      <w:r w:rsidRPr="00711E68">
        <w:rPr>
          <w:sz w:val="22"/>
          <w:szCs w:val="22"/>
          <w:lang w:val="sr-Latn-RS"/>
        </w:rPr>
        <w:t>p&lt;0</w:t>
      </w:r>
      <w:r w:rsidR="00964F87" w:rsidRPr="00711E68">
        <w:rPr>
          <w:sz w:val="22"/>
          <w:szCs w:val="22"/>
          <w:lang w:val="sr-Latn-RS"/>
        </w:rPr>
        <w:t>,</w:t>
      </w:r>
      <w:r w:rsidRPr="00711E68">
        <w:rPr>
          <w:sz w:val="22"/>
          <w:szCs w:val="22"/>
          <w:lang w:val="sr-Latn-RS"/>
        </w:rPr>
        <w:t xml:space="preserve">05 </w:t>
      </w:r>
      <w:r w:rsidR="00964F87" w:rsidRPr="00711E68">
        <w:rPr>
          <w:sz w:val="22"/>
          <w:szCs w:val="22"/>
          <w:lang w:val="sr-Latn-RS"/>
        </w:rPr>
        <w:t xml:space="preserve">u </w:t>
      </w:r>
      <w:r w:rsidR="00720EF7" w:rsidRPr="00711E68">
        <w:rPr>
          <w:sz w:val="22"/>
          <w:szCs w:val="22"/>
          <w:lang w:val="sr-Latn-RS"/>
        </w:rPr>
        <w:t xml:space="preserve">4. </w:t>
      </w:r>
      <w:r w:rsidR="00964F87" w:rsidRPr="00711E68">
        <w:rPr>
          <w:sz w:val="22"/>
          <w:szCs w:val="22"/>
          <w:lang w:val="sr-Latn-RS"/>
        </w:rPr>
        <w:t>ned</w:t>
      </w:r>
      <w:r w:rsidR="00720EF7" w:rsidRPr="00711E68">
        <w:rPr>
          <w:sz w:val="22"/>
          <w:szCs w:val="22"/>
          <w:lang w:val="sr-Latn-RS"/>
        </w:rPr>
        <w:t>j</w:t>
      </w:r>
      <w:r w:rsidR="00964F87" w:rsidRPr="00711E68">
        <w:rPr>
          <w:sz w:val="22"/>
          <w:szCs w:val="22"/>
          <w:lang w:val="sr-Latn-RS"/>
        </w:rPr>
        <w:t>elji</w:t>
      </w:r>
      <w:r w:rsidRPr="00711E68">
        <w:rPr>
          <w:sz w:val="22"/>
          <w:szCs w:val="22"/>
          <w:lang w:val="sr-Latn-RS"/>
        </w:rPr>
        <w:t xml:space="preserve"> </w:t>
      </w:r>
      <w:r w:rsidR="00964F87" w:rsidRPr="00711E68">
        <w:rPr>
          <w:sz w:val="22"/>
          <w:szCs w:val="22"/>
          <w:lang w:val="sr-Latn-RS"/>
        </w:rPr>
        <w:t>i</w:t>
      </w:r>
      <w:r w:rsidRPr="00711E68">
        <w:rPr>
          <w:sz w:val="22"/>
          <w:szCs w:val="22"/>
          <w:lang w:val="sr-Latn-RS"/>
        </w:rPr>
        <w:t xml:space="preserve"> p&lt;0</w:t>
      </w:r>
      <w:r w:rsidR="00964F87" w:rsidRPr="00711E68">
        <w:rPr>
          <w:sz w:val="22"/>
          <w:szCs w:val="22"/>
          <w:lang w:val="sr-Latn-RS"/>
        </w:rPr>
        <w:t>,</w:t>
      </w:r>
      <w:r w:rsidRPr="00711E68">
        <w:rPr>
          <w:sz w:val="22"/>
          <w:szCs w:val="22"/>
          <w:lang w:val="sr-Latn-RS"/>
        </w:rPr>
        <w:t xml:space="preserve">001 </w:t>
      </w:r>
      <w:r w:rsidR="00964F87" w:rsidRPr="00711E68">
        <w:rPr>
          <w:sz w:val="22"/>
          <w:szCs w:val="22"/>
          <w:lang w:val="sr-Latn-RS"/>
        </w:rPr>
        <w:t xml:space="preserve">u svakoj vremenskoj tački počevši od </w:t>
      </w:r>
      <w:r w:rsidR="00720EF7" w:rsidRPr="00711E68">
        <w:rPr>
          <w:sz w:val="22"/>
          <w:szCs w:val="22"/>
          <w:lang w:val="sr-Latn-RS"/>
        </w:rPr>
        <w:t xml:space="preserve">8. </w:t>
      </w:r>
      <w:r w:rsidR="00964F87" w:rsidRPr="00711E68">
        <w:rPr>
          <w:sz w:val="22"/>
          <w:szCs w:val="22"/>
          <w:lang w:val="sr-Latn-RS"/>
        </w:rPr>
        <w:t>ned</w:t>
      </w:r>
      <w:r w:rsidR="00720EF7" w:rsidRPr="00711E68">
        <w:rPr>
          <w:sz w:val="22"/>
          <w:szCs w:val="22"/>
          <w:lang w:val="sr-Latn-RS"/>
        </w:rPr>
        <w:t>j</w:t>
      </w:r>
      <w:r w:rsidR="00964F87" w:rsidRPr="00711E68">
        <w:rPr>
          <w:sz w:val="22"/>
          <w:szCs w:val="22"/>
          <w:lang w:val="sr-Latn-RS"/>
        </w:rPr>
        <w:t>elje</w:t>
      </w:r>
      <w:r w:rsidRPr="00711E68">
        <w:rPr>
          <w:sz w:val="22"/>
          <w:szCs w:val="22"/>
          <w:lang w:val="sr-Latn-RS"/>
        </w:rPr>
        <w:t xml:space="preserve"> </w:t>
      </w:r>
    </w:p>
    <w:p w14:paraId="636526DC" w14:textId="12F7ABCF" w:rsidR="000E6F46" w:rsidRPr="00711E68" w:rsidRDefault="000E6F46" w:rsidP="00711E68">
      <w:pPr>
        <w:jc w:val="left"/>
        <w:rPr>
          <w:b/>
          <w:bCs/>
          <w:szCs w:val="22"/>
          <w:lang w:val="sr-Latn-RS"/>
        </w:rPr>
      </w:pPr>
    </w:p>
    <w:p w14:paraId="4286DCEC" w14:textId="030CD017" w:rsidR="00964F87" w:rsidRPr="00711E68" w:rsidRDefault="00964F87" w:rsidP="00711E68">
      <w:pPr>
        <w:rPr>
          <w:szCs w:val="22"/>
          <w:lang w:val="sr-Latn-RS"/>
        </w:rPr>
      </w:pPr>
      <w:r w:rsidRPr="00711E68">
        <w:rPr>
          <w:bCs/>
          <w:szCs w:val="22"/>
          <w:lang w:val="sr-Latn-RS"/>
        </w:rPr>
        <w:t>Kod 270 pacijenata koji</w:t>
      </w:r>
      <w:r w:rsidR="00720EF7" w:rsidRPr="00711E68">
        <w:rPr>
          <w:bCs/>
          <w:szCs w:val="22"/>
          <w:lang w:val="sr-Latn-RS"/>
        </w:rPr>
        <w:t xml:space="preserve"> su</w:t>
      </w:r>
      <w:r w:rsidRPr="00711E68">
        <w:rPr>
          <w:bCs/>
          <w:szCs w:val="22"/>
          <w:lang w:val="sr-Latn-RS"/>
        </w:rPr>
        <w:t xml:space="preserve"> prešli sa adalimumaba na risankizumab </w:t>
      </w:r>
      <w:r w:rsidRPr="00711E68">
        <w:rPr>
          <w:szCs w:val="22"/>
          <w:lang w:val="sr-Latn-RS"/>
        </w:rPr>
        <w:t>u uslovima kada l</w:t>
      </w:r>
      <w:r w:rsidR="00441E54" w:rsidRPr="00711E68">
        <w:rPr>
          <w:szCs w:val="22"/>
          <w:lang w:val="sr-Latn-RS"/>
        </w:rPr>
        <w:t>ij</w:t>
      </w:r>
      <w:r w:rsidRPr="00711E68">
        <w:rPr>
          <w:szCs w:val="22"/>
          <w:lang w:val="sr-Latn-RS"/>
        </w:rPr>
        <w:t>ek nije u potpunosti eliminisan</w:t>
      </w:r>
      <w:r w:rsidR="00E454BB" w:rsidRPr="00711E68">
        <w:rPr>
          <w:szCs w:val="22"/>
          <w:lang w:val="sr-Latn-RS"/>
        </w:rPr>
        <w:t xml:space="preserve"> iz organizma</w:t>
      </w:r>
      <w:r w:rsidRPr="00711E68">
        <w:rPr>
          <w:szCs w:val="22"/>
          <w:lang w:val="sr-Latn-RS"/>
        </w:rPr>
        <w:t xml:space="preserve"> (“washout” period), bezb</w:t>
      </w:r>
      <w:r w:rsidR="00441E54" w:rsidRPr="00711E68">
        <w:rPr>
          <w:szCs w:val="22"/>
          <w:lang w:val="sr-Latn-RS"/>
        </w:rPr>
        <w:t>j</w:t>
      </w:r>
      <w:r w:rsidRPr="00711E68">
        <w:rPr>
          <w:szCs w:val="22"/>
          <w:lang w:val="sr-Latn-RS"/>
        </w:rPr>
        <w:t xml:space="preserve">ednosni profil risankizumaba je bio sličan </w:t>
      </w:r>
      <w:r w:rsidR="00E454BB" w:rsidRPr="00711E68">
        <w:rPr>
          <w:szCs w:val="22"/>
          <w:lang w:val="sr-Latn-RS"/>
        </w:rPr>
        <w:t>onom</w:t>
      </w:r>
      <w:r w:rsidRPr="00711E68">
        <w:rPr>
          <w:szCs w:val="22"/>
          <w:lang w:val="sr-Latn-RS"/>
        </w:rPr>
        <w:t xml:space="preserve"> kod pacijenata koji su započeli terapiju risankizumabom nakon perioda eliminacije bilo koje prethodne sistemske terapije.</w:t>
      </w:r>
    </w:p>
    <w:p w14:paraId="2C7AC5EE" w14:textId="767D8497" w:rsidR="00964F87" w:rsidRPr="00711E68" w:rsidRDefault="00964F87" w:rsidP="00711E68">
      <w:pPr>
        <w:jc w:val="left"/>
        <w:rPr>
          <w:bCs/>
          <w:szCs w:val="22"/>
          <w:lang w:val="sr-Latn-RS"/>
        </w:rPr>
      </w:pPr>
    </w:p>
    <w:p w14:paraId="6C523B60" w14:textId="77777777" w:rsidR="00964F87" w:rsidRPr="00711E68" w:rsidRDefault="00964F87" w:rsidP="00711E68">
      <w:pPr>
        <w:tabs>
          <w:tab w:val="clear" w:pos="284"/>
        </w:tabs>
        <w:autoSpaceDE w:val="0"/>
        <w:autoSpaceDN w:val="0"/>
        <w:adjustRightInd w:val="0"/>
        <w:rPr>
          <w:szCs w:val="22"/>
          <w:u w:val="single"/>
          <w:lang w:val="sr-Latn-RS"/>
        </w:rPr>
      </w:pPr>
      <w:r w:rsidRPr="00711E68">
        <w:rPr>
          <w:szCs w:val="22"/>
          <w:u w:val="single"/>
          <w:lang w:val="sr-Latn-RS"/>
        </w:rPr>
        <w:t xml:space="preserve">Pedijatrijska populacija </w:t>
      </w:r>
    </w:p>
    <w:p w14:paraId="29BCB588" w14:textId="77777777" w:rsidR="00964F87" w:rsidRPr="00711E68" w:rsidRDefault="00964F87" w:rsidP="00711E68">
      <w:pPr>
        <w:tabs>
          <w:tab w:val="clear" w:pos="284"/>
        </w:tabs>
        <w:autoSpaceDE w:val="0"/>
        <w:autoSpaceDN w:val="0"/>
        <w:adjustRightInd w:val="0"/>
        <w:rPr>
          <w:szCs w:val="22"/>
          <w:lang w:val="sr-Latn-RS"/>
        </w:rPr>
      </w:pPr>
    </w:p>
    <w:p w14:paraId="478CEC5C" w14:textId="7F4E320E" w:rsidR="00964F87" w:rsidRPr="00711E68" w:rsidRDefault="00964F87" w:rsidP="00711E68">
      <w:pPr>
        <w:tabs>
          <w:tab w:val="clear" w:pos="284"/>
        </w:tabs>
        <w:autoSpaceDE w:val="0"/>
        <w:autoSpaceDN w:val="0"/>
        <w:adjustRightInd w:val="0"/>
        <w:rPr>
          <w:szCs w:val="22"/>
          <w:lang w:val="sr-Latn-RS"/>
        </w:rPr>
      </w:pPr>
      <w:r w:rsidRPr="00711E68">
        <w:rPr>
          <w:szCs w:val="22"/>
          <w:lang w:val="sr-Latn-RS"/>
        </w:rPr>
        <w:t>Evropska agencija za l</w:t>
      </w:r>
      <w:r w:rsidR="00441E54" w:rsidRPr="00711E68">
        <w:rPr>
          <w:szCs w:val="22"/>
          <w:lang w:val="sr-Latn-RS"/>
        </w:rPr>
        <w:t>j</w:t>
      </w:r>
      <w:r w:rsidRPr="00711E68">
        <w:rPr>
          <w:szCs w:val="22"/>
          <w:lang w:val="sr-Latn-RS"/>
        </w:rPr>
        <w:t xml:space="preserve">ekove je odložila obavezu podnošenja rezultata ispitivanja risankizumaba u jednoj ili više podgrupa pedijatrijske populacije u </w:t>
      </w:r>
      <w:r w:rsidR="00E454BB" w:rsidRPr="00711E68">
        <w:rPr>
          <w:szCs w:val="22"/>
          <w:lang w:val="sr-Latn-RS"/>
        </w:rPr>
        <w:t>terapiji</w:t>
      </w:r>
      <w:r w:rsidRPr="00711E68">
        <w:rPr>
          <w:szCs w:val="22"/>
          <w:lang w:val="sr-Latn-RS"/>
        </w:rPr>
        <w:t xml:space="preserve"> plak psorijaze</w:t>
      </w:r>
      <w:r w:rsidR="00E454BB" w:rsidRPr="00711E68">
        <w:rPr>
          <w:szCs w:val="22"/>
          <w:lang w:val="sr-Latn-RS"/>
        </w:rPr>
        <w:t xml:space="preserve"> (</w:t>
      </w:r>
      <w:r w:rsidRPr="00711E68">
        <w:rPr>
          <w:szCs w:val="22"/>
          <w:lang w:val="sr-Latn-RS"/>
        </w:rPr>
        <w:t>vid</w:t>
      </w:r>
      <w:r w:rsidR="00441E54" w:rsidRPr="00711E68">
        <w:rPr>
          <w:szCs w:val="22"/>
          <w:lang w:val="sr-Latn-RS"/>
        </w:rPr>
        <w:t>j</w:t>
      </w:r>
      <w:r w:rsidRPr="00711E68">
        <w:rPr>
          <w:szCs w:val="22"/>
          <w:lang w:val="sr-Latn-RS"/>
        </w:rPr>
        <w:t xml:space="preserve">eti </w:t>
      </w:r>
      <w:r w:rsidR="0022483D" w:rsidRPr="00711E68">
        <w:rPr>
          <w:szCs w:val="22"/>
          <w:lang w:val="sr-Latn-RS"/>
        </w:rPr>
        <w:t>dio</w:t>
      </w:r>
      <w:r w:rsidRPr="00711E68">
        <w:rPr>
          <w:szCs w:val="22"/>
          <w:lang w:val="sr-Latn-RS"/>
        </w:rPr>
        <w:t xml:space="preserve"> 4.2 za informacije o prim</w:t>
      </w:r>
      <w:r w:rsidR="00441E54" w:rsidRPr="00711E68">
        <w:rPr>
          <w:szCs w:val="22"/>
          <w:lang w:val="sr-Latn-RS"/>
        </w:rPr>
        <w:t>j</w:t>
      </w:r>
      <w:r w:rsidRPr="00711E68">
        <w:rPr>
          <w:szCs w:val="22"/>
          <w:lang w:val="sr-Latn-RS"/>
        </w:rPr>
        <w:t>eni l</w:t>
      </w:r>
      <w:r w:rsidR="00441E54" w:rsidRPr="00711E68">
        <w:rPr>
          <w:szCs w:val="22"/>
          <w:lang w:val="sr-Latn-RS"/>
        </w:rPr>
        <w:t>ij</w:t>
      </w:r>
      <w:r w:rsidRPr="00711E68">
        <w:rPr>
          <w:szCs w:val="22"/>
          <w:lang w:val="sr-Latn-RS"/>
        </w:rPr>
        <w:t>eka u pedijatrijskoj populaciji</w:t>
      </w:r>
      <w:r w:rsidR="00E454BB" w:rsidRPr="00711E68">
        <w:rPr>
          <w:szCs w:val="22"/>
          <w:lang w:val="sr-Latn-RS"/>
        </w:rPr>
        <w:t>)</w:t>
      </w:r>
      <w:r w:rsidRPr="00711E68">
        <w:rPr>
          <w:szCs w:val="22"/>
          <w:lang w:val="sr-Latn-RS"/>
        </w:rPr>
        <w:t>.</w:t>
      </w:r>
    </w:p>
    <w:p w14:paraId="48547D28" w14:textId="77777777" w:rsidR="00964F87" w:rsidRPr="00711E68" w:rsidRDefault="00964F87" w:rsidP="00711E68">
      <w:pPr>
        <w:jc w:val="left"/>
        <w:rPr>
          <w:bCs/>
          <w:szCs w:val="22"/>
          <w:lang w:val="sr-Latn-RS"/>
        </w:rPr>
      </w:pPr>
    </w:p>
    <w:p w14:paraId="15533023" w14:textId="37FCA572" w:rsidR="00CE09F3" w:rsidRPr="00711E68" w:rsidRDefault="00CE09F3" w:rsidP="00711E68">
      <w:pPr>
        <w:jc w:val="left"/>
        <w:rPr>
          <w:b/>
          <w:bCs/>
          <w:szCs w:val="22"/>
          <w:lang w:val="sr-Latn-RS"/>
        </w:rPr>
      </w:pPr>
      <w:r w:rsidRPr="00711E68">
        <w:rPr>
          <w:b/>
          <w:bCs/>
          <w:szCs w:val="22"/>
          <w:lang w:val="sr-Latn-RS"/>
        </w:rPr>
        <w:t>5.2. Farmakokinetički podaci</w:t>
      </w:r>
    </w:p>
    <w:p w14:paraId="336A74D9" w14:textId="4645E4E7" w:rsidR="00CE09F3" w:rsidRPr="00711E68" w:rsidRDefault="00CE09F3" w:rsidP="00711E68">
      <w:pPr>
        <w:rPr>
          <w:szCs w:val="22"/>
          <w:lang w:val="sr-Latn-RS"/>
        </w:rPr>
      </w:pPr>
    </w:p>
    <w:p w14:paraId="026B5700" w14:textId="629CF6DD" w:rsidR="00964F87" w:rsidRPr="00711E68" w:rsidRDefault="00FB2F54" w:rsidP="00711E68">
      <w:pPr>
        <w:rPr>
          <w:szCs w:val="22"/>
          <w:u w:val="single"/>
          <w:lang w:val="sr-Latn-RS"/>
        </w:rPr>
      </w:pPr>
      <w:r w:rsidRPr="00711E68">
        <w:rPr>
          <w:szCs w:val="22"/>
          <w:u w:val="single"/>
          <w:lang w:val="sr-Latn-RS"/>
        </w:rPr>
        <w:t>Re</w:t>
      </w:r>
      <w:r w:rsidR="00964F87" w:rsidRPr="00711E68">
        <w:rPr>
          <w:szCs w:val="22"/>
          <w:u w:val="single"/>
          <w:lang w:val="sr-Latn-RS"/>
        </w:rPr>
        <w:t>sorpcija</w:t>
      </w:r>
    </w:p>
    <w:p w14:paraId="44A70500" w14:textId="5677A3B8" w:rsidR="00964F87" w:rsidRPr="00711E68" w:rsidRDefault="00964F87" w:rsidP="00711E68">
      <w:pPr>
        <w:rPr>
          <w:szCs w:val="22"/>
          <w:lang w:val="sr-Latn-RS"/>
        </w:rPr>
      </w:pPr>
    </w:p>
    <w:p w14:paraId="46D0B810" w14:textId="2886833E" w:rsidR="00964F87" w:rsidRPr="00711E68" w:rsidRDefault="00964F87" w:rsidP="00711E68">
      <w:pPr>
        <w:rPr>
          <w:szCs w:val="22"/>
          <w:lang w:val="sr-Latn-RS"/>
        </w:rPr>
      </w:pPr>
      <w:r w:rsidRPr="00711E68">
        <w:rPr>
          <w:szCs w:val="22"/>
          <w:lang w:val="sr-Latn-RS"/>
        </w:rPr>
        <w:t xml:space="preserve">Risankizumab je pokazao linearnu farmakokinetiku sa povećanjem izloženosti </w:t>
      </w:r>
      <w:r w:rsidR="00720EF7" w:rsidRPr="00711E68">
        <w:rPr>
          <w:szCs w:val="22"/>
          <w:lang w:val="sr-Latn-RS"/>
        </w:rPr>
        <w:t xml:space="preserve">proporcionalno dozi </w:t>
      </w:r>
      <w:r w:rsidRPr="00711E68">
        <w:rPr>
          <w:szCs w:val="22"/>
          <w:lang w:val="sr-Latn-RS"/>
        </w:rPr>
        <w:t xml:space="preserve">u opsegu doza od 18 </w:t>
      </w:r>
      <w:r w:rsidR="00E454BB" w:rsidRPr="00711E68">
        <w:rPr>
          <w:szCs w:val="22"/>
          <w:lang w:val="sr-Latn-RS"/>
        </w:rPr>
        <w:t xml:space="preserve">mg </w:t>
      </w:r>
      <w:r w:rsidRPr="00711E68">
        <w:rPr>
          <w:szCs w:val="22"/>
          <w:lang w:val="sr-Latn-RS"/>
        </w:rPr>
        <w:t>do 300 mg i od 0,25</w:t>
      </w:r>
      <w:r w:rsidR="00E454BB" w:rsidRPr="00711E68">
        <w:rPr>
          <w:szCs w:val="22"/>
          <w:lang w:val="sr-Latn-RS"/>
        </w:rPr>
        <w:t xml:space="preserve"> mg/kg</w:t>
      </w:r>
      <w:r w:rsidRPr="00711E68">
        <w:rPr>
          <w:szCs w:val="22"/>
          <w:lang w:val="sr-Latn-RS"/>
        </w:rPr>
        <w:t xml:space="preserve"> do 1 mg/kg prim</w:t>
      </w:r>
      <w:r w:rsidR="00441E54" w:rsidRPr="00711E68">
        <w:rPr>
          <w:szCs w:val="22"/>
          <w:lang w:val="sr-Latn-RS"/>
        </w:rPr>
        <w:t>ij</w:t>
      </w:r>
      <w:r w:rsidRPr="00711E68">
        <w:rPr>
          <w:szCs w:val="22"/>
          <w:lang w:val="sr-Latn-RS"/>
        </w:rPr>
        <w:t xml:space="preserve">enjenih </w:t>
      </w:r>
      <w:r w:rsidR="00233F8F" w:rsidRPr="00711E68">
        <w:rPr>
          <w:szCs w:val="22"/>
          <w:lang w:val="sr-Latn-RS"/>
        </w:rPr>
        <w:t>subkutano</w:t>
      </w:r>
      <w:r w:rsidRPr="00711E68">
        <w:rPr>
          <w:szCs w:val="22"/>
          <w:lang w:val="sr-Latn-RS"/>
        </w:rPr>
        <w:t>, kao i od 200</w:t>
      </w:r>
      <w:r w:rsidR="00E454BB" w:rsidRPr="00711E68">
        <w:rPr>
          <w:szCs w:val="22"/>
          <w:lang w:val="sr-Latn-RS"/>
        </w:rPr>
        <w:t xml:space="preserve"> mg</w:t>
      </w:r>
      <w:r w:rsidRPr="00711E68">
        <w:rPr>
          <w:szCs w:val="22"/>
          <w:lang w:val="sr-Latn-RS"/>
        </w:rPr>
        <w:t xml:space="preserve"> do 1200 mg i </w:t>
      </w:r>
      <w:r w:rsidR="00720EF7" w:rsidRPr="00711E68">
        <w:rPr>
          <w:szCs w:val="22"/>
          <w:lang w:val="sr-Latn-RS"/>
        </w:rPr>
        <w:t xml:space="preserve">od </w:t>
      </w:r>
      <w:r w:rsidRPr="00711E68">
        <w:rPr>
          <w:szCs w:val="22"/>
          <w:lang w:val="sr-Latn-RS"/>
        </w:rPr>
        <w:t xml:space="preserve">0,01 </w:t>
      </w:r>
      <w:r w:rsidR="00E454BB" w:rsidRPr="00711E68">
        <w:rPr>
          <w:szCs w:val="22"/>
          <w:lang w:val="sr-Latn-RS"/>
        </w:rPr>
        <w:t xml:space="preserve">mg/kg </w:t>
      </w:r>
      <w:r w:rsidRPr="00711E68">
        <w:rPr>
          <w:szCs w:val="22"/>
          <w:lang w:val="sr-Latn-RS"/>
        </w:rPr>
        <w:t>do 5 mg/kg prim</w:t>
      </w:r>
      <w:r w:rsidR="00441E54" w:rsidRPr="00711E68">
        <w:rPr>
          <w:szCs w:val="22"/>
          <w:lang w:val="sr-Latn-RS"/>
        </w:rPr>
        <w:t>ij</w:t>
      </w:r>
      <w:r w:rsidRPr="00711E68">
        <w:rPr>
          <w:szCs w:val="22"/>
          <w:lang w:val="sr-Latn-RS"/>
        </w:rPr>
        <w:t>enjenih intravenski.</w:t>
      </w:r>
    </w:p>
    <w:p w14:paraId="019FA8A5" w14:textId="65157723" w:rsidR="00964F87" w:rsidRPr="00711E68" w:rsidRDefault="00964F87" w:rsidP="00711E68">
      <w:pPr>
        <w:rPr>
          <w:szCs w:val="22"/>
          <w:lang w:val="sr-Latn-RS"/>
        </w:rPr>
      </w:pPr>
    </w:p>
    <w:p w14:paraId="61DDC02F" w14:textId="76E788F9" w:rsidR="00964F87" w:rsidRPr="00711E68" w:rsidRDefault="00964F87" w:rsidP="00711E68">
      <w:pPr>
        <w:rPr>
          <w:szCs w:val="22"/>
          <w:lang w:val="sr-Latn-RS"/>
        </w:rPr>
      </w:pPr>
      <w:r w:rsidRPr="00711E68">
        <w:rPr>
          <w:szCs w:val="22"/>
          <w:lang w:val="sr-Latn-RS"/>
        </w:rPr>
        <w:t xml:space="preserve">Nakon </w:t>
      </w:r>
      <w:r w:rsidR="00233F8F" w:rsidRPr="00711E68">
        <w:rPr>
          <w:szCs w:val="22"/>
          <w:lang w:val="sr-Latn-RS"/>
        </w:rPr>
        <w:t xml:space="preserve">subkutanog </w:t>
      </w:r>
      <w:r w:rsidRPr="00711E68">
        <w:rPr>
          <w:szCs w:val="22"/>
          <w:lang w:val="sr-Latn-RS"/>
        </w:rPr>
        <w:t xml:space="preserve">doziranja risankizumaba, maksimalne koncentracije </w:t>
      </w:r>
      <w:r w:rsidR="00720EF7" w:rsidRPr="00711E68">
        <w:rPr>
          <w:szCs w:val="22"/>
          <w:lang w:val="sr-Latn-RS"/>
        </w:rPr>
        <w:t xml:space="preserve">u plazmi </w:t>
      </w:r>
      <w:r w:rsidRPr="00711E68">
        <w:rPr>
          <w:szCs w:val="22"/>
          <w:lang w:val="sr-Latn-RS"/>
        </w:rPr>
        <w:t>su postignute između 3</w:t>
      </w:r>
      <w:r w:rsidR="00720EF7" w:rsidRPr="00711E68">
        <w:rPr>
          <w:szCs w:val="22"/>
          <w:lang w:val="sr-Latn-RS"/>
        </w:rPr>
        <w:t xml:space="preserve"> i </w:t>
      </w:r>
      <w:r w:rsidRPr="00711E68">
        <w:rPr>
          <w:szCs w:val="22"/>
          <w:lang w:val="sr-Latn-RS"/>
        </w:rPr>
        <w:t>14 dana nakon do</w:t>
      </w:r>
      <w:r w:rsidR="00E454BB" w:rsidRPr="00711E68">
        <w:rPr>
          <w:szCs w:val="22"/>
          <w:lang w:val="sr-Latn-RS"/>
        </w:rPr>
        <w:t>z</w:t>
      </w:r>
      <w:r w:rsidRPr="00711E68">
        <w:rPr>
          <w:szCs w:val="22"/>
          <w:lang w:val="sr-Latn-RS"/>
        </w:rPr>
        <w:t>iranja sa proc</w:t>
      </w:r>
      <w:r w:rsidR="00720EF7" w:rsidRPr="00711E68">
        <w:rPr>
          <w:szCs w:val="22"/>
          <w:lang w:val="sr-Latn-RS"/>
        </w:rPr>
        <w:t>i</w:t>
      </w:r>
      <w:r w:rsidR="00441E54" w:rsidRPr="00711E68">
        <w:rPr>
          <w:szCs w:val="22"/>
          <w:lang w:val="sr-Latn-RS"/>
        </w:rPr>
        <w:t>j</w:t>
      </w:r>
      <w:r w:rsidRPr="00711E68">
        <w:rPr>
          <w:szCs w:val="22"/>
          <w:lang w:val="sr-Latn-RS"/>
        </w:rPr>
        <w:t xml:space="preserve">enjenom apsolutnom bioraspoloživošću od 89%. Pri doziranju od 150 mg u </w:t>
      </w:r>
      <w:r w:rsidR="00720EF7" w:rsidRPr="00711E68">
        <w:rPr>
          <w:szCs w:val="22"/>
          <w:lang w:val="sr-Latn-RS"/>
        </w:rPr>
        <w:t xml:space="preserve">0. </w:t>
      </w:r>
      <w:r w:rsidRPr="00711E68">
        <w:rPr>
          <w:szCs w:val="22"/>
          <w:lang w:val="sr-Latn-RS"/>
        </w:rPr>
        <w:t>ned</w:t>
      </w:r>
      <w:r w:rsidR="00720EF7" w:rsidRPr="00711E68">
        <w:rPr>
          <w:szCs w:val="22"/>
          <w:lang w:val="sr-Latn-RS"/>
        </w:rPr>
        <w:t>j</w:t>
      </w:r>
      <w:r w:rsidRPr="00711E68">
        <w:rPr>
          <w:szCs w:val="22"/>
          <w:lang w:val="sr-Latn-RS"/>
        </w:rPr>
        <w:t xml:space="preserve">elji, </w:t>
      </w:r>
      <w:r w:rsidR="00720EF7" w:rsidRPr="00711E68">
        <w:rPr>
          <w:szCs w:val="22"/>
          <w:lang w:val="sr-Latn-RS"/>
        </w:rPr>
        <w:t xml:space="preserve">4. </w:t>
      </w:r>
      <w:r w:rsidRPr="00711E68">
        <w:rPr>
          <w:szCs w:val="22"/>
          <w:lang w:val="sr-Latn-RS"/>
        </w:rPr>
        <w:t>ned</w:t>
      </w:r>
      <w:r w:rsidR="00720EF7" w:rsidRPr="00711E68">
        <w:rPr>
          <w:szCs w:val="22"/>
          <w:lang w:val="sr-Latn-RS"/>
        </w:rPr>
        <w:t>j</w:t>
      </w:r>
      <w:r w:rsidRPr="00711E68">
        <w:rPr>
          <w:szCs w:val="22"/>
          <w:lang w:val="sr-Latn-RS"/>
        </w:rPr>
        <w:t>elji i na svakih 12 ned</w:t>
      </w:r>
      <w:r w:rsidR="00720EF7" w:rsidRPr="00711E68">
        <w:rPr>
          <w:szCs w:val="22"/>
          <w:lang w:val="sr-Latn-RS"/>
        </w:rPr>
        <w:t>j</w:t>
      </w:r>
      <w:r w:rsidRPr="00711E68">
        <w:rPr>
          <w:szCs w:val="22"/>
          <w:lang w:val="sr-Latn-RS"/>
        </w:rPr>
        <w:t>elja</w:t>
      </w:r>
      <w:r w:rsidR="00E454BB" w:rsidRPr="00711E68">
        <w:rPr>
          <w:szCs w:val="22"/>
          <w:lang w:val="sr-Latn-RS"/>
        </w:rPr>
        <w:t xml:space="preserve"> nakon toga</w:t>
      </w:r>
      <w:r w:rsidRPr="00711E68">
        <w:rPr>
          <w:szCs w:val="22"/>
          <w:lang w:val="sr-Latn-RS"/>
        </w:rPr>
        <w:t>, proc</w:t>
      </w:r>
      <w:r w:rsidR="009E1F22" w:rsidRPr="00711E68">
        <w:rPr>
          <w:szCs w:val="22"/>
          <w:lang w:val="sr-Latn-RS"/>
        </w:rPr>
        <w:t>ij</w:t>
      </w:r>
      <w:r w:rsidRPr="00711E68">
        <w:rPr>
          <w:szCs w:val="22"/>
          <w:lang w:val="sr-Latn-RS"/>
        </w:rPr>
        <w:t>enjene maksimaln</w:t>
      </w:r>
      <w:r w:rsidR="00E454BB" w:rsidRPr="00711E68">
        <w:rPr>
          <w:szCs w:val="22"/>
          <w:lang w:val="sr-Latn-RS"/>
        </w:rPr>
        <w:t>e</w:t>
      </w:r>
      <w:r w:rsidRPr="00711E68">
        <w:rPr>
          <w:szCs w:val="22"/>
          <w:lang w:val="sr-Latn-RS"/>
        </w:rPr>
        <w:t xml:space="preserve"> i minimaln</w:t>
      </w:r>
      <w:r w:rsidR="00E454BB" w:rsidRPr="00711E68">
        <w:rPr>
          <w:szCs w:val="22"/>
          <w:lang w:val="sr-Latn-RS"/>
        </w:rPr>
        <w:t>e</w:t>
      </w:r>
      <w:r w:rsidRPr="00711E68">
        <w:rPr>
          <w:szCs w:val="22"/>
          <w:lang w:val="sr-Latn-RS"/>
        </w:rPr>
        <w:t xml:space="preserve"> koncentracij</w:t>
      </w:r>
      <w:r w:rsidR="00E454BB" w:rsidRPr="00711E68">
        <w:rPr>
          <w:szCs w:val="22"/>
          <w:lang w:val="sr-Latn-RS"/>
        </w:rPr>
        <w:t>e</w:t>
      </w:r>
      <w:r w:rsidRPr="00711E68">
        <w:rPr>
          <w:szCs w:val="22"/>
          <w:lang w:val="sr-Latn-RS"/>
        </w:rPr>
        <w:t xml:space="preserve"> u plazmi u stanju dinamičke ravnoteže iznosile su 12 </w:t>
      </w:r>
      <w:r w:rsidR="00BB619F" w:rsidRPr="00711E68">
        <w:rPr>
          <w:szCs w:val="22"/>
          <w:lang w:val="sr-Latn-RS"/>
        </w:rPr>
        <w:t>μ</w:t>
      </w:r>
      <w:r w:rsidRPr="00711E68">
        <w:rPr>
          <w:szCs w:val="22"/>
          <w:lang w:val="sr-Latn-RS"/>
        </w:rPr>
        <w:t>g/mL</w:t>
      </w:r>
      <w:r w:rsidR="002C0160" w:rsidRPr="00711E68">
        <w:rPr>
          <w:szCs w:val="22"/>
          <w:lang w:val="sr-Latn-RS"/>
        </w:rPr>
        <w:t xml:space="preserve">, odnosno </w:t>
      </w:r>
      <w:r w:rsidRPr="00711E68">
        <w:rPr>
          <w:szCs w:val="22"/>
          <w:lang w:val="sr-Latn-RS"/>
        </w:rPr>
        <w:t xml:space="preserve">2 </w:t>
      </w:r>
      <w:r w:rsidR="00BB619F" w:rsidRPr="00711E68">
        <w:rPr>
          <w:szCs w:val="22"/>
          <w:lang w:val="sr-Latn-RS"/>
        </w:rPr>
        <w:t>μ</w:t>
      </w:r>
      <w:r w:rsidRPr="00711E68">
        <w:rPr>
          <w:szCs w:val="22"/>
          <w:lang w:val="sr-Latn-RS"/>
        </w:rPr>
        <w:t>g/mL</w:t>
      </w:r>
      <w:r w:rsidR="002C0160" w:rsidRPr="00711E68">
        <w:rPr>
          <w:szCs w:val="22"/>
          <w:lang w:val="sr-Latn-RS"/>
        </w:rPr>
        <w:t>.</w:t>
      </w:r>
    </w:p>
    <w:p w14:paraId="1A2D49EC" w14:textId="56799695" w:rsidR="00964F87" w:rsidRPr="00711E68" w:rsidRDefault="00964F87" w:rsidP="00711E68">
      <w:pPr>
        <w:rPr>
          <w:szCs w:val="22"/>
          <w:lang w:val="sr-Latn-RS"/>
        </w:rPr>
      </w:pPr>
    </w:p>
    <w:p w14:paraId="1192C6A5" w14:textId="30E961BD" w:rsidR="00964F87" w:rsidRPr="00711E68" w:rsidRDefault="00964F87" w:rsidP="00711E68">
      <w:pPr>
        <w:rPr>
          <w:szCs w:val="22"/>
          <w:u w:val="single"/>
          <w:lang w:val="sr-Latn-RS"/>
        </w:rPr>
      </w:pPr>
      <w:r w:rsidRPr="00711E68">
        <w:rPr>
          <w:szCs w:val="22"/>
          <w:u w:val="single"/>
          <w:lang w:val="sr-Latn-RS"/>
        </w:rPr>
        <w:t>Distribucija</w:t>
      </w:r>
    </w:p>
    <w:p w14:paraId="2DDEC68A" w14:textId="02C8CA25" w:rsidR="00964F87" w:rsidRPr="00711E68" w:rsidRDefault="00964F87" w:rsidP="00711E68">
      <w:pPr>
        <w:rPr>
          <w:szCs w:val="22"/>
          <w:lang w:val="sr-Latn-RS"/>
        </w:rPr>
      </w:pPr>
    </w:p>
    <w:p w14:paraId="6BFF8E55" w14:textId="6C526DC3" w:rsidR="00C220A8" w:rsidRPr="00711E68" w:rsidRDefault="00C220A8" w:rsidP="00711E68">
      <w:pPr>
        <w:rPr>
          <w:szCs w:val="22"/>
          <w:lang w:val="sr-Latn-RS"/>
        </w:rPr>
      </w:pPr>
      <w:r w:rsidRPr="00711E68">
        <w:rPr>
          <w:szCs w:val="22"/>
          <w:lang w:val="sr-Latn-RS"/>
        </w:rPr>
        <w:t>Srednji (±</w:t>
      </w:r>
      <w:r w:rsidR="00CE05AA" w:rsidRPr="00711E68">
        <w:rPr>
          <w:szCs w:val="22"/>
          <w:lang w:val="sr-Latn-RS"/>
        </w:rPr>
        <w:t xml:space="preserve"> </w:t>
      </w:r>
      <w:r w:rsidRPr="00711E68">
        <w:rPr>
          <w:szCs w:val="22"/>
          <w:lang w:val="sr-Latn-RS"/>
        </w:rPr>
        <w:t>standardna devijacija) volumen distribucije u stanju dinamičke ravnoteže (V</w:t>
      </w:r>
      <w:r w:rsidRPr="00711E68">
        <w:rPr>
          <w:szCs w:val="22"/>
          <w:vertAlign w:val="subscript"/>
          <w:lang w:val="sr-Latn-RS"/>
        </w:rPr>
        <w:t>ss</w:t>
      </w:r>
      <w:r w:rsidRPr="00711E68">
        <w:rPr>
          <w:szCs w:val="22"/>
          <w:lang w:val="sr-Latn-RS"/>
        </w:rPr>
        <w:t>) risankizumaba iznosio je 11,4 (±</w:t>
      </w:r>
      <w:r w:rsidR="002C0160" w:rsidRPr="00711E68">
        <w:rPr>
          <w:szCs w:val="22"/>
          <w:lang w:val="sr-Latn-RS"/>
        </w:rPr>
        <w:t xml:space="preserve"> </w:t>
      </w:r>
      <w:r w:rsidRPr="00711E68">
        <w:rPr>
          <w:szCs w:val="22"/>
          <w:lang w:val="sr-Latn-RS"/>
        </w:rPr>
        <w:t>2,7) L u studijama faze III kod ispitanika sa psorijazom, ukazujući na činjenicu da je distribucija risankizumaba primarno ograničena na vaskularn</w:t>
      </w:r>
      <w:r w:rsidR="002C0160" w:rsidRPr="00711E68">
        <w:rPr>
          <w:szCs w:val="22"/>
          <w:lang w:val="sr-Latn-RS"/>
        </w:rPr>
        <w:t>i</w:t>
      </w:r>
      <w:r w:rsidRPr="00711E68">
        <w:rPr>
          <w:szCs w:val="22"/>
          <w:lang w:val="sr-Latn-RS"/>
        </w:rPr>
        <w:t xml:space="preserve"> i intersticijaln</w:t>
      </w:r>
      <w:r w:rsidR="002C0160" w:rsidRPr="00711E68">
        <w:rPr>
          <w:szCs w:val="22"/>
          <w:lang w:val="sr-Latn-RS"/>
        </w:rPr>
        <w:t>i</w:t>
      </w:r>
      <w:r w:rsidRPr="00711E68">
        <w:rPr>
          <w:szCs w:val="22"/>
          <w:lang w:val="sr-Latn-RS"/>
        </w:rPr>
        <w:t xml:space="preserve"> prostor.</w:t>
      </w:r>
    </w:p>
    <w:p w14:paraId="27E6EE1E" w14:textId="6149C5D2" w:rsidR="00C220A8" w:rsidRPr="00711E68" w:rsidRDefault="00C220A8" w:rsidP="00711E68">
      <w:pPr>
        <w:rPr>
          <w:szCs w:val="22"/>
          <w:lang w:val="sr-Latn-RS"/>
        </w:rPr>
      </w:pPr>
    </w:p>
    <w:p w14:paraId="6636E9B8" w14:textId="103460D1" w:rsidR="00C220A8" w:rsidRPr="00711E68" w:rsidRDefault="00C220A8" w:rsidP="00711E68">
      <w:pPr>
        <w:rPr>
          <w:szCs w:val="22"/>
          <w:u w:val="single"/>
          <w:lang w:val="sr-Latn-RS"/>
        </w:rPr>
      </w:pPr>
      <w:r w:rsidRPr="00711E68">
        <w:rPr>
          <w:szCs w:val="22"/>
          <w:u w:val="single"/>
          <w:lang w:val="sr-Latn-RS"/>
        </w:rPr>
        <w:t>Biotransformacija</w:t>
      </w:r>
    </w:p>
    <w:p w14:paraId="1A220646" w14:textId="26576A85" w:rsidR="00C220A8" w:rsidRPr="00711E68" w:rsidRDefault="00C220A8" w:rsidP="00711E68">
      <w:pPr>
        <w:rPr>
          <w:szCs w:val="22"/>
          <w:lang w:val="sr-Latn-RS"/>
        </w:rPr>
      </w:pPr>
    </w:p>
    <w:p w14:paraId="3B77DD08" w14:textId="494B4ADF" w:rsidR="00C220A8" w:rsidRPr="00711E68" w:rsidRDefault="00C220A8" w:rsidP="00711E68">
      <w:pPr>
        <w:rPr>
          <w:szCs w:val="22"/>
          <w:lang w:val="sr-Latn-RS"/>
        </w:rPr>
      </w:pPr>
      <w:r w:rsidRPr="00711E68">
        <w:rPr>
          <w:szCs w:val="22"/>
          <w:lang w:val="sr-Latn-RS"/>
        </w:rPr>
        <w:t>Terapijska IgG monoklonska antit</w:t>
      </w:r>
      <w:r w:rsidR="009E1F22" w:rsidRPr="00711E68">
        <w:rPr>
          <w:szCs w:val="22"/>
          <w:lang w:val="sr-Latn-RS"/>
        </w:rPr>
        <w:t>ij</w:t>
      </w:r>
      <w:r w:rsidRPr="00711E68">
        <w:rPr>
          <w:szCs w:val="22"/>
          <w:lang w:val="sr-Latn-RS"/>
        </w:rPr>
        <w:t>ela tipično podl</w:t>
      </w:r>
      <w:r w:rsidR="00BB619F" w:rsidRPr="00711E68">
        <w:rPr>
          <w:szCs w:val="22"/>
          <w:lang w:val="sr-Latn-RS"/>
        </w:rPr>
        <w:t>ij</w:t>
      </w:r>
      <w:r w:rsidRPr="00711E68">
        <w:rPr>
          <w:szCs w:val="22"/>
          <w:lang w:val="sr-Latn-RS"/>
        </w:rPr>
        <w:t xml:space="preserve">ežu degradaciji </w:t>
      </w:r>
      <w:r w:rsidR="002C0160" w:rsidRPr="00711E68">
        <w:rPr>
          <w:szCs w:val="22"/>
          <w:lang w:val="sr-Latn-RS"/>
        </w:rPr>
        <w:t>na</w:t>
      </w:r>
      <w:r w:rsidRPr="00711E68">
        <w:rPr>
          <w:szCs w:val="22"/>
          <w:lang w:val="sr-Latn-RS"/>
        </w:rPr>
        <w:t xml:space="preserve"> male peptide i aminokiseline kataboličkim putevima na isti način kao i endogen</w:t>
      </w:r>
      <w:r w:rsidR="002C0160" w:rsidRPr="00711E68">
        <w:rPr>
          <w:szCs w:val="22"/>
          <w:lang w:val="sr-Latn-RS"/>
        </w:rPr>
        <w:t>i</w:t>
      </w:r>
      <w:r w:rsidRPr="00711E68">
        <w:rPr>
          <w:szCs w:val="22"/>
          <w:lang w:val="sr-Latn-RS"/>
        </w:rPr>
        <w:t xml:space="preserve"> IgG. Ne očekuje se da se risankizumab metaboliše putem enzima citohrom P450 oksidaze.</w:t>
      </w:r>
    </w:p>
    <w:p w14:paraId="15C783C7" w14:textId="77777777" w:rsidR="00C220A8" w:rsidRPr="00711E68" w:rsidRDefault="00C220A8" w:rsidP="00711E68">
      <w:pPr>
        <w:rPr>
          <w:szCs w:val="22"/>
          <w:lang w:val="sr-Latn-RS"/>
        </w:rPr>
      </w:pPr>
    </w:p>
    <w:p w14:paraId="22CA2DF0" w14:textId="7EE3B56D" w:rsidR="00964F87" w:rsidRPr="00711E68" w:rsidRDefault="00C220A8" w:rsidP="00711E68">
      <w:pPr>
        <w:rPr>
          <w:szCs w:val="22"/>
          <w:u w:val="single"/>
          <w:lang w:val="sr-Latn-RS"/>
        </w:rPr>
      </w:pPr>
      <w:r w:rsidRPr="00711E68">
        <w:rPr>
          <w:szCs w:val="22"/>
          <w:u w:val="single"/>
          <w:lang w:val="sr-Latn-RS"/>
        </w:rPr>
        <w:t xml:space="preserve">Eliminacija </w:t>
      </w:r>
    </w:p>
    <w:p w14:paraId="084481AB" w14:textId="472F3DDC" w:rsidR="00C220A8" w:rsidRPr="00711E68" w:rsidRDefault="00C220A8" w:rsidP="00711E68">
      <w:pPr>
        <w:rPr>
          <w:szCs w:val="22"/>
          <w:lang w:val="sr-Latn-RS"/>
        </w:rPr>
      </w:pPr>
    </w:p>
    <w:p w14:paraId="19EF2AA1" w14:textId="34881F49" w:rsidR="00C220A8" w:rsidRPr="00711E68" w:rsidRDefault="00C220A8" w:rsidP="00711E68">
      <w:pPr>
        <w:rPr>
          <w:szCs w:val="22"/>
          <w:lang w:val="sr-Latn-RS"/>
        </w:rPr>
      </w:pPr>
      <w:r w:rsidRPr="00711E68">
        <w:rPr>
          <w:szCs w:val="22"/>
          <w:lang w:val="sr-Latn-RS"/>
        </w:rPr>
        <w:t>Srednji (±</w:t>
      </w:r>
      <w:r w:rsidR="002C0160" w:rsidRPr="00711E68">
        <w:rPr>
          <w:szCs w:val="22"/>
          <w:lang w:val="sr-Latn-RS"/>
        </w:rPr>
        <w:t xml:space="preserve"> </w:t>
      </w:r>
      <w:r w:rsidRPr="00711E68">
        <w:rPr>
          <w:szCs w:val="22"/>
          <w:lang w:val="sr-Latn-RS"/>
        </w:rPr>
        <w:t>standardna devijacija) sistemski klirens (CL) risankizumaba iznosio je 0,3 (±</w:t>
      </w:r>
      <w:r w:rsidR="002C0160" w:rsidRPr="00711E68">
        <w:rPr>
          <w:szCs w:val="22"/>
          <w:lang w:val="sr-Latn-RS"/>
        </w:rPr>
        <w:t xml:space="preserve"> </w:t>
      </w:r>
      <w:r w:rsidRPr="00711E68">
        <w:rPr>
          <w:szCs w:val="22"/>
          <w:lang w:val="sr-Latn-RS"/>
        </w:rPr>
        <w:t>0,1) L/dan u studijama faze III kod ispitanika sa psorijazom. Srednje terminalno poluvr</w:t>
      </w:r>
      <w:r w:rsidR="009E1F22" w:rsidRPr="00711E68">
        <w:rPr>
          <w:szCs w:val="22"/>
          <w:lang w:val="sr-Latn-RS"/>
        </w:rPr>
        <w:t>ij</w:t>
      </w:r>
      <w:r w:rsidRPr="00711E68">
        <w:rPr>
          <w:szCs w:val="22"/>
          <w:lang w:val="sr-Latn-RS"/>
        </w:rPr>
        <w:t xml:space="preserve">eme eliminacije risankizumaba </w:t>
      </w:r>
      <w:r w:rsidR="00BB619F" w:rsidRPr="00711E68">
        <w:rPr>
          <w:szCs w:val="22"/>
          <w:lang w:val="sr-Latn-RS"/>
        </w:rPr>
        <w:t>kretalo se između</w:t>
      </w:r>
      <w:r w:rsidRPr="00711E68">
        <w:rPr>
          <w:szCs w:val="22"/>
          <w:lang w:val="sr-Latn-RS"/>
        </w:rPr>
        <w:t xml:space="preserve"> 28 </w:t>
      </w:r>
      <w:r w:rsidR="00BB619F" w:rsidRPr="00711E68">
        <w:rPr>
          <w:szCs w:val="22"/>
          <w:lang w:val="sr-Latn-RS"/>
        </w:rPr>
        <w:t>i</w:t>
      </w:r>
      <w:r w:rsidRPr="00711E68">
        <w:rPr>
          <w:szCs w:val="22"/>
          <w:lang w:val="sr-Latn-RS"/>
        </w:rPr>
        <w:t xml:space="preserve"> 29 dana u studijama faze III kod ispitanika sa psorijazom.</w:t>
      </w:r>
    </w:p>
    <w:p w14:paraId="1E383E03" w14:textId="6EAFB568" w:rsidR="00C220A8" w:rsidRPr="00711E68" w:rsidRDefault="00C220A8" w:rsidP="00711E68">
      <w:pPr>
        <w:rPr>
          <w:szCs w:val="22"/>
          <w:lang w:val="sr-Latn-RS"/>
        </w:rPr>
      </w:pPr>
    </w:p>
    <w:p w14:paraId="65CF3916" w14:textId="48CE3ABC" w:rsidR="00C220A8" w:rsidRPr="00711E68" w:rsidRDefault="002C0160" w:rsidP="00711E68">
      <w:pPr>
        <w:rPr>
          <w:szCs w:val="22"/>
          <w:lang w:val="sr-Latn-RS"/>
        </w:rPr>
      </w:pPr>
      <w:r w:rsidRPr="00711E68">
        <w:rPr>
          <w:szCs w:val="22"/>
          <w:lang w:val="sr-Latn-RS"/>
        </w:rPr>
        <w:t>Ne očekuje se da se risankizumab, k</w:t>
      </w:r>
      <w:r w:rsidR="00C220A8" w:rsidRPr="00711E68">
        <w:rPr>
          <w:szCs w:val="22"/>
          <w:lang w:val="sr-Latn-RS"/>
        </w:rPr>
        <w:t>ao I</w:t>
      </w:r>
      <w:r w:rsidR="00324A04" w:rsidRPr="00711E68">
        <w:rPr>
          <w:szCs w:val="22"/>
          <w:lang w:val="sr-Latn-RS"/>
        </w:rPr>
        <w:t>g</w:t>
      </w:r>
      <w:r w:rsidR="00C220A8" w:rsidRPr="00711E68">
        <w:rPr>
          <w:szCs w:val="22"/>
          <w:lang w:val="sr-Latn-RS"/>
        </w:rPr>
        <w:t>G1 monoklonsko antit</w:t>
      </w:r>
      <w:r w:rsidR="009E1F22" w:rsidRPr="00711E68">
        <w:rPr>
          <w:szCs w:val="22"/>
          <w:lang w:val="sr-Latn-RS"/>
        </w:rPr>
        <w:t>ij</w:t>
      </w:r>
      <w:r w:rsidR="00C220A8" w:rsidRPr="00711E68">
        <w:rPr>
          <w:szCs w:val="22"/>
          <w:lang w:val="sr-Latn-RS"/>
        </w:rPr>
        <w:t>elo, filt</w:t>
      </w:r>
      <w:r w:rsidRPr="00711E68">
        <w:rPr>
          <w:szCs w:val="22"/>
          <w:lang w:val="sr-Latn-RS"/>
        </w:rPr>
        <w:t>r</w:t>
      </w:r>
      <w:r w:rsidR="00C220A8" w:rsidRPr="00711E68">
        <w:rPr>
          <w:szCs w:val="22"/>
          <w:lang w:val="sr-Latn-RS"/>
        </w:rPr>
        <w:t>i</w:t>
      </w:r>
      <w:r w:rsidRPr="00711E68">
        <w:rPr>
          <w:szCs w:val="22"/>
          <w:lang w:val="sr-Latn-RS"/>
        </w:rPr>
        <w:t>r</w:t>
      </w:r>
      <w:r w:rsidR="00C220A8" w:rsidRPr="00711E68">
        <w:rPr>
          <w:szCs w:val="22"/>
          <w:lang w:val="sr-Latn-RS"/>
        </w:rPr>
        <w:t xml:space="preserve">a glomerularnom filtracijom u bubrezima ili da se izlučuje kao </w:t>
      </w:r>
      <w:r w:rsidRPr="00711E68">
        <w:rPr>
          <w:szCs w:val="22"/>
          <w:lang w:val="sr-Latn-RS"/>
        </w:rPr>
        <w:t>intaktan</w:t>
      </w:r>
      <w:r w:rsidR="00C220A8" w:rsidRPr="00711E68">
        <w:rPr>
          <w:szCs w:val="22"/>
          <w:lang w:val="sr-Latn-RS"/>
        </w:rPr>
        <w:t xml:space="preserve"> molekul putem urina.</w:t>
      </w:r>
    </w:p>
    <w:p w14:paraId="37FB64DF" w14:textId="425992EE" w:rsidR="00C220A8" w:rsidRPr="00711E68" w:rsidRDefault="00C220A8" w:rsidP="00711E68">
      <w:pPr>
        <w:rPr>
          <w:szCs w:val="22"/>
          <w:lang w:val="sr-Latn-RS"/>
        </w:rPr>
      </w:pPr>
    </w:p>
    <w:p w14:paraId="01669F17" w14:textId="02D5BD80" w:rsidR="00C220A8" w:rsidRPr="00711E68" w:rsidRDefault="00C220A8" w:rsidP="00711E68">
      <w:pPr>
        <w:rPr>
          <w:szCs w:val="22"/>
          <w:u w:val="single"/>
          <w:lang w:val="sr-Latn-RS"/>
        </w:rPr>
      </w:pPr>
      <w:r w:rsidRPr="00711E68">
        <w:rPr>
          <w:szCs w:val="22"/>
          <w:u w:val="single"/>
          <w:lang w:val="sr-Latn-RS"/>
        </w:rPr>
        <w:t>Linearnost/nelinearnost</w:t>
      </w:r>
    </w:p>
    <w:p w14:paraId="5CD3946A" w14:textId="2E0852EA" w:rsidR="00C220A8" w:rsidRPr="00711E68" w:rsidRDefault="00C220A8" w:rsidP="00711E68">
      <w:pPr>
        <w:rPr>
          <w:szCs w:val="22"/>
          <w:lang w:val="sr-Latn-RS"/>
        </w:rPr>
      </w:pPr>
    </w:p>
    <w:p w14:paraId="10619468" w14:textId="56C99343" w:rsidR="00C220A8" w:rsidRPr="00711E68" w:rsidRDefault="00C220A8" w:rsidP="00711E68">
      <w:pPr>
        <w:rPr>
          <w:szCs w:val="22"/>
          <w:lang w:val="sr-Latn-RS"/>
        </w:rPr>
      </w:pPr>
      <w:r w:rsidRPr="00711E68">
        <w:rPr>
          <w:szCs w:val="22"/>
          <w:lang w:val="sr-Latn-RS"/>
        </w:rPr>
        <w:t xml:space="preserve">Risankizumab je pokazao linearnu farmakokinetiku sa povećanjem sistemske izloženosti </w:t>
      </w:r>
      <w:r w:rsidR="005060B6" w:rsidRPr="00711E68">
        <w:rPr>
          <w:szCs w:val="22"/>
          <w:lang w:val="sr-Latn-RS"/>
        </w:rPr>
        <w:t xml:space="preserve">približno proporcionalnim dozi </w:t>
      </w:r>
      <w:r w:rsidRPr="00711E68">
        <w:rPr>
          <w:szCs w:val="22"/>
          <w:lang w:val="sr-Latn-RS"/>
        </w:rPr>
        <w:t>(C</w:t>
      </w:r>
      <w:r w:rsidRPr="00711E68">
        <w:rPr>
          <w:szCs w:val="22"/>
          <w:vertAlign w:val="subscript"/>
          <w:lang w:val="sr-Latn-RS"/>
        </w:rPr>
        <w:t>max</w:t>
      </w:r>
      <w:r w:rsidRPr="00711E68">
        <w:rPr>
          <w:szCs w:val="22"/>
          <w:lang w:val="sr-Latn-RS"/>
        </w:rPr>
        <w:t xml:space="preserve"> </w:t>
      </w:r>
      <w:r w:rsidR="009E5E45" w:rsidRPr="00711E68">
        <w:rPr>
          <w:szCs w:val="22"/>
          <w:lang w:val="sr-Latn-RS"/>
        </w:rPr>
        <w:t>i</w:t>
      </w:r>
      <w:r w:rsidRPr="00711E68">
        <w:rPr>
          <w:szCs w:val="22"/>
          <w:lang w:val="sr-Latn-RS"/>
        </w:rPr>
        <w:t xml:space="preserve"> PIK) u proc</w:t>
      </w:r>
      <w:r w:rsidR="009E1F22" w:rsidRPr="00711E68">
        <w:rPr>
          <w:szCs w:val="22"/>
          <w:lang w:val="sr-Latn-RS"/>
        </w:rPr>
        <w:t>ij</w:t>
      </w:r>
      <w:r w:rsidRPr="00711E68">
        <w:rPr>
          <w:szCs w:val="22"/>
          <w:lang w:val="sr-Latn-RS"/>
        </w:rPr>
        <w:t>enjenom opsegu doza od 18</w:t>
      </w:r>
      <w:r w:rsidR="009E5E45" w:rsidRPr="00711E68">
        <w:rPr>
          <w:szCs w:val="22"/>
          <w:lang w:val="sr-Latn-RS"/>
        </w:rPr>
        <w:t xml:space="preserve"> mg</w:t>
      </w:r>
      <w:r w:rsidRPr="00711E68">
        <w:rPr>
          <w:szCs w:val="22"/>
          <w:lang w:val="sr-Latn-RS"/>
        </w:rPr>
        <w:t xml:space="preserve"> do 300 mg i</w:t>
      </w:r>
      <w:r w:rsidR="00B70A39" w:rsidRPr="00711E68">
        <w:rPr>
          <w:szCs w:val="22"/>
          <w:lang w:val="sr-Latn-RS"/>
        </w:rPr>
        <w:t>li</w:t>
      </w:r>
      <w:r w:rsidRPr="00711E68">
        <w:rPr>
          <w:szCs w:val="22"/>
          <w:lang w:val="sr-Latn-RS"/>
        </w:rPr>
        <w:t xml:space="preserve"> od 0,25 </w:t>
      </w:r>
      <w:r w:rsidR="009E5E45" w:rsidRPr="00711E68">
        <w:rPr>
          <w:szCs w:val="22"/>
          <w:lang w:val="sr-Latn-RS"/>
        </w:rPr>
        <w:t xml:space="preserve">mg/kg </w:t>
      </w:r>
      <w:r w:rsidRPr="00711E68">
        <w:rPr>
          <w:szCs w:val="22"/>
          <w:lang w:val="sr-Latn-RS"/>
        </w:rPr>
        <w:t>do 1 mg/kg prim</w:t>
      </w:r>
      <w:r w:rsidR="009E1F22" w:rsidRPr="00711E68">
        <w:rPr>
          <w:szCs w:val="22"/>
          <w:lang w:val="sr-Latn-RS"/>
        </w:rPr>
        <w:t>ij</w:t>
      </w:r>
      <w:r w:rsidRPr="00711E68">
        <w:rPr>
          <w:szCs w:val="22"/>
          <w:lang w:val="sr-Latn-RS"/>
        </w:rPr>
        <w:t xml:space="preserve">enjenih </w:t>
      </w:r>
      <w:r w:rsidR="00233F8F" w:rsidRPr="00711E68">
        <w:rPr>
          <w:szCs w:val="22"/>
          <w:lang w:val="sr-Latn-RS"/>
        </w:rPr>
        <w:t xml:space="preserve">subkutano </w:t>
      </w:r>
      <w:r w:rsidRPr="00711E68">
        <w:rPr>
          <w:szCs w:val="22"/>
          <w:lang w:val="sr-Latn-RS"/>
        </w:rPr>
        <w:t>kod zdravih ispitanika ili ispitanika sa psorijazom.</w:t>
      </w:r>
    </w:p>
    <w:p w14:paraId="168608C9" w14:textId="2F0BB600" w:rsidR="00C220A8" w:rsidRPr="00711E68" w:rsidRDefault="00C220A8" w:rsidP="00711E68">
      <w:pPr>
        <w:rPr>
          <w:szCs w:val="22"/>
          <w:u w:val="single"/>
          <w:lang w:val="sr-Latn-RS"/>
        </w:rPr>
      </w:pPr>
    </w:p>
    <w:p w14:paraId="6F51F391" w14:textId="68073594" w:rsidR="00C220A8" w:rsidRPr="00711E68" w:rsidRDefault="001D70E9" w:rsidP="00711E68">
      <w:pPr>
        <w:rPr>
          <w:szCs w:val="22"/>
          <w:u w:val="single"/>
          <w:lang w:val="sr-Latn-RS"/>
        </w:rPr>
      </w:pPr>
      <w:r w:rsidRPr="00711E68">
        <w:rPr>
          <w:szCs w:val="22"/>
          <w:u w:val="single"/>
          <w:lang w:val="sr-Latn-RS"/>
        </w:rPr>
        <w:lastRenderedPageBreak/>
        <w:t>Interakcije sa drugim l</w:t>
      </w:r>
      <w:r w:rsidR="009E1F22" w:rsidRPr="00711E68">
        <w:rPr>
          <w:szCs w:val="22"/>
          <w:u w:val="single"/>
          <w:lang w:val="sr-Latn-RS"/>
        </w:rPr>
        <w:t>j</w:t>
      </w:r>
      <w:r w:rsidRPr="00711E68">
        <w:rPr>
          <w:szCs w:val="22"/>
          <w:u w:val="single"/>
          <w:lang w:val="sr-Latn-RS"/>
        </w:rPr>
        <w:t>ekovima</w:t>
      </w:r>
    </w:p>
    <w:p w14:paraId="68FD1A21" w14:textId="50E04804" w:rsidR="001D70E9" w:rsidRPr="00711E68" w:rsidRDefault="001D70E9" w:rsidP="00711E68">
      <w:pPr>
        <w:rPr>
          <w:szCs w:val="22"/>
          <w:lang w:val="sr-Latn-RS"/>
        </w:rPr>
      </w:pPr>
    </w:p>
    <w:p w14:paraId="4737AE19" w14:textId="7EBBE6DF" w:rsidR="001D70E9" w:rsidRPr="00711E68" w:rsidRDefault="001D70E9" w:rsidP="00711E68">
      <w:pPr>
        <w:rPr>
          <w:szCs w:val="22"/>
          <w:lang w:val="sr-Latn-RS"/>
        </w:rPr>
      </w:pPr>
      <w:r w:rsidRPr="00711E68">
        <w:rPr>
          <w:szCs w:val="22"/>
          <w:lang w:val="sr-Latn-RS"/>
        </w:rPr>
        <w:t>Ispitivanje interakcija sa drugim l</w:t>
      </w:r>
      <w:r w:rsidR="009E1F22" w:rsidRPr="00711E68">
        <w:rPr>
          <w:szCs w:val="22"/>
          <w:lang w:val="sr-Latn-RS"/>
        </w:rPr>
        <w:t>j</w:t>
      </w:r>
      <w:r w:rsidRPr="00711E68">
        <w:rPr>
          <w:szCs w:val="22"/>
          <w:lang w:val="sr-Latn-RS"/>
        </w:rPr>
        <w:t xml:space="preserve">ekovima je sprovedeno </w:t>
      </w:r>
      <w:r w:rsidR="00B70A39" w:rsidRPr="00711E68">
        <w:rPr>
          <w:szCs w:val="22"/>
          <w:lang w:val="sr-Latn-RS"/>
        </w:rPr>
        <w:t>kod</w:t>
      </w:r>
      <w:r w:rsidRPr="00711E68">
        <w:rPr>
          <w:szCs w:val="22"/>
          <w:lang w:val="sr-Latn-RS"/>
        </w:rPr>
        <w:t xml:space="preserve"> ispitani</w:t>
      </w:r>
      <w:r w:rsidR="00B70A39" w:rsidRPr="00711E68">
        <w:rPr>
          <w:szCs w:val="22"/>
          <w:lang w:val="sr-Latn-RS"/>
        </w:rPr>
        <w:t>ka</w:t>
      </w:r>
      <w:r w:rsidRPr="00711E68">
        <w:rPr>
          <w:szCs w:val="22"/>
          <w:lang w:val="sr-Latn-RS"/>
        </w:rPr>
        <w:t xml:space="preserve"> sa plak psorijazom kako bi se proc</w:t>
      </w:r>
      <w:r w:rsidR="009E1F22" w:rsidRPr="00711E68">
        <w:rPr>
          <w:szCs w:val="22"/>
          <w:lang w:val="sr-Latn-RS"/>
        </w:rPr>
        <w:t>ij</w:t>
      </w:r>
      <w:r w:rsidRPr="00711E68">
        <w:rPr>
          <w:szCs w:val="22"/>
          <w:lang w:val="sr-Latn-RS"/>
        </w:rPr>
        <w:t xml:space="preserve">enilo dejstvo ponavljane </w:t>
      </w:r>
      <w:r w:rsidR="009E5E45" w:rsidRPr="00711E68">
        <w:rPr>
          <w:szCs w:val="22"/>
          <w:lang w:val="sr-Latn-RS"/>
        </w:rPr>
        <w:t>prim</w:t>
      </w:r>
      <w:r w:rsidR="009E1F22" w:rsidRPr="00711E68">
        <w:rPr>
          <w:szCs w:val="22"/>
          <w:lang w:val="sr-Latn-RS"/>
        </w:rPr>
        <w:t>j</w:t>
      </w:r>
      <w:r w:rsidR="009E5E45" w:rsidRPr="00711E68">
        <w:rPr>
          <w:szCs w:val="22"/>
          <w:lang w:val="sr-Latn-RS"/>
        </w:rPr>
        <w:t>ene</w:t>
      </w:r>
      <w:r w:rsidRPr="00711E68">
        <w:rPr>
          <w:szCs w:val="22"/>
          <w:lang w:val="sr-Latn-RS"/>
        </w:rPr>
        <w:t xml:space="preserve"> risankizuma</w:t>
      </w:r>
      <w:r w:rsidR="00B70A39" w:rsidRPr="00711E68">
        <w:rPr>
          <w:szCs w:val="22"/>
          <w:lang w:val="sr-Latn-RS"/>
        </w:rPr>
        <w:t>b</w:t>
      </w:r>
      <w:r w:rsidRPr="00711E68">
        <w:rPr>
          <w:szCs w:val="22"/>
          <w:lang w:val="sr-Latn-RS"/>
        </w:rPr>
        <w:t>a na farmakokinetiku citohrom P450 (CYP) os</w:t>
      </w:r>
      <w:r w:rsidR="009E1F22" w:rsidRPr="00711E68">
        <w:rPr>
          <w:szCs w:val="22"/>
          <w:lang w:val="sr-Latn-RS"/>
        </w:rPr>
        <w:t>j</w:t>
      </w:r>
      <w:r w:rsidRPr="00711E68">
        <w:rPr>
          <w:szCs w:val="22"/>
          <w:lang w:val="sr-Latn-RS"/>
        </w:rPr>
        <w:t>etljivih probnih supstrata. Izloženost kofeinu (CYP1A2 supstrat), varfarinu (CYP2C9 supstrat), omeprazolu (CYP2C19 supstrat), metoprololu (CYP2D6 supstrat) i midazolamu (CYP3A supstrat) nakon terapije risankizumabom bil</w:t>
      </w:r>
      <w:r w:rsidR="005060B6" w:rsidRPr="00711E68">
        <w:rPr>
          <w:szCs w:val="22"/>
          <w:lang w:val="sr-Latn-RS"/>
        </w:rPr>
        <w:t>a</w:t>
      </w:r>
      <w:r w:rsidRPr="00711E68">
        <w:rPr>
          <w:szCs w:val="22"/>
          <w:lang w:val="sr-Latn-RS"/>
        </w:rPr>
        <w:t xml:space="preserve"> </w:t>
      </w:r>
      <w:r w:rsidR="005060B6" w:rsidRPr="00711E68">
        <w:rPr>
          <w:szCs w:val="22"/>
          <w:lang w:val="sr-Latn-RS"/>
        </w:rPr>
        <w:t>je</w:t>
      </w:r>
      <w:r w:rsidRPr="00711E68">
        <w:rPr>
          <w:szCs w:val="22"/>
          <w:lang w:val="sr-Latn-RS"/>
        </w:rPr>
        <w:t xml:space="preserve"> uporediv</w:t>
      </w:r>
      <w:r w:rsidR="005060B6" w:rsidRPr="00711E68">
        <w:rPr>
          <w:szCs w:val="22"/>
          <w:lang w:val="sr-Latn-RS"/>
        </w:rPr>
        <w:t>a</w:t>
      </w:r>
      <w:r w:rsidRPr="00711E68">
        <w:rPr>
          <w:szCs w:val="22"/>
          <w:lang w:val="sr-Latn-RS"/>
        </w:rPr>
        <w:t xml:space="preserve"> sa izloženostima pr</w:t>
      </w:r>
      <w:r w:rsidR="005060B6" w:rsidRPr="00711E68">
        <w:rPr>
          <w:szCs w:val="22"/>
          <w:lang w:val="sr-Latn-RS"/>
        </w:rPr>
        <w:t>ij</w:t>
      </w:r>
      <w:r w:rsidRPr="00711E68">
        <w:rPr>
          <w:szCs w:val="22"/>
          <w:lang w:val="sr-Latn-RS"/>
        </w:rPr>
        <w:t xml:space="preserve">e terapije risankizumabom, </w:t>
      </w:r>
      <w:r w:rsidR="005060B6" w:rsidRPr="00711E68">
        <w:rPr>
          <w:szCs w:val="22"/>
          <w:lang w:val="sr-Latn-RS"/>
        </w:rPr>
        <w:t xml:space="preserve">što </w:t>
      </w:r>
      <w:r w:rsidRPr="00711E68">
        <w:rPr>
          <w:szCs w:val="22"/>
          <w:lang w:val="sr-Latn-RS"/>
        </w:rPr>
        <w:t>ukazuj</w:t>
      </w:r>
      <w:r w:rsidR="005060B6" w:rsidRPr="00711E68">
        <w:rPr>
          <w:szCs w:val="22"/>
          <w:lang w:val="sr-Latn-RS"/>
        </w:rPr>
        <w:t>e</w:t>
      </w:r>
      <w:r w:rsidRPr="00711E68">
        <w:rPr>
          <w:szCs w:val="22"/>
          <w:lang w:val="sr-Latn-RS"/>
        </w:rPr>
        <w:t xml:space="preserve"> na činjenicu da nema klinički značajnih interakcija putem pomenutih enzima.</w:t>
      </w:r>
    </w:p>
    <w:p w14:paraId="234F786F" w14:textId="3ACBF0B9" w:rsidR="001D70E9" w:rsidRPr="00711E68" w:rsidRDefault="001D70E9" w:rsidP="00711E68">
      <w:pPr>
        <w:rPr>
          <w:szCs w:val="22"/>
          <w:lang w:val="sr-Latn-RS"/>
        </w:rPr>
      </w:pPr>
    </w:p>
    <w:p w14:paraId="3CDEBE1A" w14:textId="56E8379D" w:rsidR="001D70E9" w:rsidRPr="00711E68" w:rsidRDefault="001D70E9" w:rsidP="00711E68">
      <w:pPr>
        <w:rPr>
          <w:szCs w:val="22"/>
          <w:lang w:val="sr-Latn-RS"/>
        </w:rPr>
      </w:pPr>
      <w:r w:rsidRPr="00711E68">
        <w:rPr>
          <w:szCs w:val="22"/>
          <w:lang w:val="sr-Latn-RS"/>
        </w:rPr>
        <w:t>Populacione farmakokinetičke analize pokazale su da istovremeno prim</w:t>
      </w:r>
      <w:r w:rsidR="009E1F22" w:rsidRPr="00711E68">
        <w:rPr>
          <w:szCs w:val="22"/>
          <w:lang w:val="sr-Latn-RS"/>
        </w:rPr>
        <w:t>j</w:t>
      </w:r>
      <w:r w:rsidRPr="00711E68">
        <w:rPr>
          <w:szCs w:val="22"/>
          <w:lang w:val="sr-Latn-RS"/>
        </w:rPr>
        <w:t>enjivani l</w:t>
      </w:r>
      <w:r w:rsidR="009E1F22" w:rsidRPr="00711E68">
        <w:rPr>
          <w:szCs w:val="22"/>
          <w:lang w:val="sr-Latn-RS"/>
        </w:rPr>
        <w:t>j</w:t>
      </w:r>
      <w:r w:rsidRPr="00711E68">
        <w:rPr>
          <w:szCs w:val="22"/>
          <w:lang w:val="sr-Latn-RS"/>
        </w:rPr>
        <w:t xml:space="preserve">ekovi </w:t>
      </w:r>
      <w:r w:rsidR="009E5E45" w:rsidRPr="00711E68">
        <w:rPr>
          <w:szCs w:val="22"/>
          <w:lang w:val="sr-Latn-RS"/>
        </w:rPr>
        <w:t>kod</w:t>
      </w:r>
      <w:r w:rsidRPr="00711E68">
        <w:rPr>
          <w:szCs w:val="22"/>
          <w:lang w:val="sr-Latn-RS"/>
        </w:rPr>
        <w:t xml:space="preserve"> nekih ispitanika sa plak psorijazom u kliničkim studijama (metformin, atorvastatin, lizinopril, amlodipin, ibuprofen, acetilsalicilat </w:t>
      </w:r>
      <w:r w:rsidR="00482E52" w:rsidRPr="00711E68">
        <w:rPr>
          <w:szCs w:val="22"/>
          <w:lang w:val="sr-Latn-RS"/>
        </w:rPr>
        <w:t>i</w:t>
      </w:r>
      <w:r w:rsidRPr="00711E68">
        <w:rPr>
          <w:szCs w:val="22"/>
          <w:lang w:val="sr-Latn-RS"/>
        </w:rPr>
        <w:t xml:space="preserve"> levotiroksin) ni</w:t>
      </w:r>
      <w:r w:rsidR="005060B6" w:rsidRPr="00711E68">
        <w:rPr>
          <w:szCs w:val="22"/>
          <w:lang w:val="sr-Latn-RS"/>
        </w:rPr>
        <w:t>je</w:t>
      </w:r>
      <w:r w:rsidRPr="00711E68">
        <w:rPr>
          <w:szCs w:val="22"/>
          <w:lang w:val="sr-Latn-RS"/>
        </w:rPr>
        <w:t>su uticali na izloženost risankizumabu.</w:t>
      </w:r>
    </w:p>
    <w:p w14:paraId="3EB57264" w14:textId="5959FAC0" w:rsidR="00C220A8" w:rsidRPr="00711E68" w:rsidRDefault="00C220A8" w:rsidP="00711E68">
      <w:pPr>
        <w:rPr>
          <w:szCs w:val="22"/>
          <w:lang w:val="sr-Latn-RS"/>
        </w:rPr>
      </w:pPr>
    </w:p>
    <w:p w14:paraId="6BF586CB" w14:textId="39D1C4E6" w:rsidR="001D70E9" w:rsidRPr="00711E68" w:rsidRDefault="001D70E9" w:rsidP="00711E68">
      <w:pPr>
        <w:rPr>
          <w:szCs w:val="22"/>
          <w:u w:val="single"/>
          <w:lang w:val="sr-Latn-RS"/>
        </w:rPr>
      </w:pPr>
      <w:r w:rsidRPr="00711E68">
        <w:rPr>
          <w:szCs w:val="22"/>
          <w:u w:val="single"/>
          <w:lang w:val="sr-Latn-RS"/>
        </w:rPr>
        <w:t>Posebne populacije</w:t>
      </w:r>
    </w:p>
    <w:p w14:paraId="1C0ABE4C" w14:textId="77777777" w:rsidR="001D70E9" w:rsidRPr="00711E68" w:rsidRDefault="001D70E9" w:rsidP="00711E68">
      <w:pPr>
        <w:rPr>
          <w:szCs w:val="22"/>
          <w:u w:val="single"/>
          <w:lang w:val="sr-Latn-RS"/>
        </w:rPr>
      </w:pPr>
    </w:p>
    <w:p w14:paraId="23FEBEB7" w14:textId="63331956" w:rsidR="001D70E9" w:rsidRPr="00711E68" w:rsidRDefault="001D70E9" w:rsidP="00711E68">
      <w:pPr>
        <w:rPr>
          <w:i/>
          <w:szCs w:val="22"/>
          <w:u w:val="single"/>
          <w:lang w:val="sr-Latn-RS"/>
        </w:rPr>
      </w:pPr>
      <w:r w:rsidRPr="00711E68">
        <w:rPr>
          <w:i/>
          <w:szCs w:val="22"/>
          <w:u w:val="single"/>
          <w:lang w:val="sr-Latn-RS"/>
        </w:rPr>
        <w:t>Pedijatrijski pacijenti</w:t>
      </w:r>
    </w:p>
    <w:p w14:paraId="3A5FED22" w14:textId="77777777" w:rsidR="001D70E9" w:rsidRPr="00711E68" w:rsidRDefault="001D70E9" w:rsidP="00711E68">
      <w:pPr>
        <w:rPr>
          <w:i/>
          <w:szCs w:val="22"/>
          <w:u w:val="single"/>
          <w:lang w:val="sr-Latn-RS"/>
        </w:rPr>
      </w:pPr>
    </w:p>
    <w:p w14:paraId="318CC6ED" w14:textId="0A7366DD" w:rsidR="001D70E9" w:rsidRPr="00711E68" w:rsidRDefault="001D70E9" w:rsidP="00711E68">
      <w:pPr>
        <w:rPr>
          <w:szCs w:val="22"/>
          <w:lang w:val="sr-Latn-RS"/>
        </w:rPr>
      </w:pPr>
      <w:r w:rsidRPr="00711E68">
        <w:rPr>
          <w:szCs w:val="22"/>
          <w:lang w:val="sr-Latn-RS"/>
        </w:rPr>
        <w:t>Farmakokin</w:t>
      </w:r>
      <w:r w:rsidR="009E5E45" w:rsidRPr="00711E68">
        <w:rPr>
          <w:szCs w:val="22"/>
          <w:lang w:val="sr-Latn-RS"/>
        </w:rPr>
        <w:t>e</w:t>
      </w:r>
      <w:r w:rsidRPr="00711E68">
        <w:rPr>
          <w:szCs w:val="22"/>
          <w:lang w:val="sr-Latn-RS"/>
        </w:rPr>
        <w:t>tika risankizumaba nije ustanovljena kod pedijatrijskih pacijenata.</w:t>
      </w:r>
    </w:p>
    <w:p w14:paraId="7A345B22" w14:textId="459913C6" w:rsidR="001D70E9" w:rsidRPr="00711E68" w:rsidRDefault="001D70E9" w:rsidP="00711E68">
      <w:pPr>
        <w:rPr>
          <w:szCs w:val="22"/>
          <w:lang w:val="sr-Latn-RS"/>
        </w:rPr>
      </w:pPr>
    </w:p>
    <w:p w14:paraId="1C98667A" w14:textId="761C6168" w:rsidR="001D70E9" w:rsidRPr="00711E68" w:rsidRDefault="001D70E9" w:rsidP="00711E68">
      <w:pPr>
        <w:rPr>
          <w:i/>
          <w:szCs w:val="22"/>
          <w:u w:val="single"/>
          <w:lang w:val="sr-Latn-RS"/>
        </w:rPr>
      </w:pPr>
      <w:r w:rsidRPr="00711E68">
        <w:rPr>
          <w:i/>
          <w:szCs w:val="22"/>
          <w:u w:val="single"/>
          <w:lang w:val="sr-Latn-RS"/>
        </w:rPr>
        <w:t>Stariji pacijenti</w:t>
      </w:r>
    </w:p>
    <w:p w14:paraId="0BA67950" w14:textId="0C88BA12" w:rsidR="001D70E9" w:rsidRPr="00711E68" w:rsidRDefault="001D70E9" w:rsidP="00711E68">
      <w:pPr>
        <w:rPr>
          <w:szCs w:val="22"/>
          <w:lang w:val="sr-Latn-RS"/>
        </w:rPr>
      </w:pPr>
    </w:p>
    <w:p w14:paraId="74570D5E" w14:textId="0CC3B503" w:rsidR="001D70E9" w:rsidRPr="00711E68" w:rsidRDefault="001D70E9" w:rsidP="00711E68">
      <w:pPr>
        <w:rPr>
          <w:szCs w:val="22"/>
          <w:lang w:val="sr-Latn-RS"/>
        </w:rPr>
      </w:pPr>
      <w:r w:rsidRPr="00711E68">
        <w:rPr>
          <w:szCs w:val="22"/>
          <w:lang w:val="sr-Latn-RS"/>
        </w:rPr>
        <w:t>O</w:t>
      </w:r>
      <w:r w:rsidR="009E5E45" w:rsidRPr="00711E68">
        <w:rPr>
          <w:szCs w:val="22"/>
          <w:lang w:val="sr-Latn-RS"/>
        </w:rPr>
        <w:t>d</w:t>
      </w:r>
      <w:r w:rsidRPr="00711E68">
        <w:rPr>
          <w:szCs w:val="22"/>
          <w:lang w:val="sr-Latn-RS"/>
        </w:rPr>
        <w:t xml:space="preserve"> 2234 pacijenata sa plak psorijazom koji su bili izloženi risankizumabu, 243 su imali 65 ili više godina, a 24 ispitanika je imalo 75 ili više godina. Ni</w:t>
      </w:r>
      <w:r w:rsidR="005060B6" w:rsidRPr="00711E68">
        <w:rPr>
          <w:szCs w:val="22"/>
          <w:lang w:val="sr-Latn-RS"/>
        </w:rPr>
        <w:t>je</w:t>
      </w:r>
      <w:r w:rsidRPr="00711E68">
        <w:rPr>
          <w:szCs w:val="22"/>
          <w:lang w:val="sr-Latn-RS"/>
        </w:rPr>
        <w:t>su uočene sveukupne razlike u izloženosti risankizumabu</w:t>
      </w:r>
      <w:r w:rsidR="00A936FA" w:rsidRPr="00711E68">
        <w:rPr>
          <w:szCs w:val="22"/>
          <w:lang w:val="sr-Latn-RS"/>
        </w:rPr>
        <w:t xml:space="preserve"> </w:t>
      </w:r>
      <w:r w:rsidRPr="00711E68">
        <w:rPr>
          <w:szCs w:val="22"/>
          <w:lang w:val="sr-Latn-RS"/>
        </w:rPr>
        <w:t>između starijih i mlađih ispitanika koji su primali risankizumab.</w:t>
      </w:r>
    </w:p>
    <w:p w14:paraId="3A943D8C" w14:textId="77777777" w:rsidR="001D70E9" w:rsidRPr="00711E68" w:rsidRDefault="001D70E9" w:rsidP="00711E68">
      <w:pPr>
        <w:rPr>
          <w:i/>
          <w:szCs w:val="22"/>
          <w:u w:val="single"/>
          <w:lang w:val="sr-Latn-RS"/>
        </w:rPr>
      </w:pPr>
    </w:p>
    <w:p w14:paraId="0F49D0CF" w14:textId="4922959D" w:rsidR="001D70E9" w:rsidRPr="00711E68" w:rsidRDefault="001D70E9" w:rsidP="00711E68">
      <w:pPr>
        <w:rPr>
          <w:i/>
          <w:szCs w:val="22"/>
          <w:u w:val="single"/>
          <w:lang w:val="sr-Latn-RS"/>
        </w:rPr>
      </w:pPr>
      <w:r w:rsidRPr="00711E68">
        <w:rPr>
          <w:i/>
          <w:szCs w:val="22"/>
          <w:u w:val="single"/>
          <w:lang w:val="sr-Latn-RS"/>
        </w:rPr>
        <w:t>Pacijenti sa ošteće</w:t>
      </w:r>
      <w:r w:rsidR="00DE267B" w:rsidRPr="00711E68">
        <w:rPr>
          <w:i/>
          <w:szCs w:val="22"/>
          <w:u w:val="single"/>
          <w:lang w:val="sr-Latn-RS"/>
        </w:rPr>
        <w:t>nom</w:t>
      </w:r>
      <w:r w:rsidRPr="00711E68">
        <w:rPr>
          <w:i/>
          <w:szCs w:val="22"/>
          <w:u w:val="single"/>
          <w:lang w:val="sr-Latn-RS"/>
        </w:rPr>
        <w:t xml:space="preserve"> funkcij</w:t>
      </w:r>
      <w:r w:rsidR="00DE267B" w:rsidRPr="00711E68">
        <w:rPr>
          <w:i/>
          <w:szCs w:val="22"/>
          <w:u w:val="single"/>
          <w:lang w:val="sr-Latn-RS"/>
        </w:rPr>
        <w:t>om</w:t>
      </w:r>
      <w:r w:rsidRPr="00711E68">
        <w:rPr>
          <w:i/>
          <w:szCs w:val="22"/>
          <w:u w:val="single"/>
          <w:lang w:val="sr-Latn-RS"/>
        </w:rPr>
        <w:t xml:space="preserve"> jetre ili bubrega</w:t>
      </w:r>
    </w:p>
    <w:p w14:paraId="6B03B3FA" w14:textId="7B93EE24" w:rsidR="001D70E9" w:rsidRPr="00711E68" w:rsidRDefault="001D70E9" w:rsidP="00711E68">
      <w:pPr>
        <w:rPr>
          <w:szCs w:val="22"/>
          <w:lang w:val="sr-Latn-RS"/>
        </w:rPr>
      </w:pPr>
      <w:r w:rsidRPr="00711E68">
        <w:rPr>
          <w:szCs w:val="22"/>
          <w:lang w:val="sr-Latn-RS"/>
        </w:rPr>
        <w:t xml:space="preserve">Nisu sprovedene </w:t>
      </w:r>
      <w:r w:rsidR="00DE267B" w:rsidRPr="00711E68">
        <w:rPr>
          <w:szCs w:val="22"/>
          <w:lang w:val="sr-Latn-RS"/>
        </w:rPr>
        <w:t xml:space="preserve">posebne </w:t>
      </w:r>
      <w:r w:rsidRPr="00711E68">
        <w:rPr>
          <w:szCs w:val="22"/>
          <w:lang w:val="sr-Latn-RS"/>
        </w:rPr>
        <w:t xml:space="preserve">studije </w:t>
      </w:r>
      <w:r w:rsidR="00DE267B" w:rsidRPr="00711E68">
        <w:rPr>
          <w:szCs w:val="22"/>
          <w:lang w:val="sr-Latn-RS"/>
        </w:rPr>
        <w:t>sa</w:t>
      </w:r>
      <w:r w:rsidR="00C85BAE" w:rsidRPr="00711E68">
        <w:rPr>
          <w:szCs w:val="22"/>
          <w:lang w:val="sr-Latn-RS"/>
        </w:rPr>
        <w:t xml:space="preserve"> svrhom proc</w:t>
      </w:r>
      <w:r w:rsidR="009E1F22" w:rsidRPr="00711E68">
        <w:rPr>
          <w:szCs w:val="22"/>
          <w:lang w:val="sr-Latn-RS"/>
        </w:rPr>
        <w:t>j</w:t>
      </w:r>
      <w:r w:rsidR="00C85BAE" w:rsidRPr="00711E68">
        <w:rPr>
          <w:szCs w:val="22"/>
          <w:lang w:val="sr-Latn-RS"/>
        </w:rPr>
        <w:t xml:space="preserve">ene efekta koji </w:t>
      </w:r>
      <w:r w:rsidR="00DE267B" w:rsidRPr="00711E68">
        <w:rPr>
          <w:szCs w:val="22"/>
          <w:lang w:val="sr-Latn-RS"/>
        </w:rPr>
        <w:t xml:space="preserve">bi </w:t>
      </w:r>
      <w:r w:rsidRPr="00711E68">
        <w:rPr>
          <w:szCs w:val="22"/>
          <w:lang w:val="sr-Latn-RS"/>
        </w:rPr>
        <w:t>oštećen</w:t>
      </w:r>
      <w:r w:rsidR="00DE267B" w:rsidRPr="00711E68">
        <w:rPr>
          <w:szCs w:val="22"/>
          <w:lang w:val="sr-Latn-RS"/>
        </w:rPr>
        <w:t>a</w:t>
      </w:r>
      <w:r w:rsidRPr="00711E68">
        <w:rPr>
          <w:szCs w:val="22"/>
          <w:lang w:val="sr-Latn-RS"/>
        </w:rPr>
        <w:t xml:space="preserve"> funkcij</w:t>
      </w:r>
      <w:r w:rsidR="00DE267B" w:rsidRPr="00711E68">
        <w:rPr>
          <w:szCs w:val="22"/>
          <w:lang w:val="sr-Latn-RS"/>
        </w:rPr>
        <w:t>a</w:t>
      </w:r>
      <w:r w:rsidRPr="00711E68">
        <w:rPr>
          <w:szCs w:val="22"/>
          <w:lang w:val="sr-Latn-RS"/>
        </w:rPr>
        <w:t xml:space="preserve"> jetre ili </w:t>
      </w:r>
      <w:r w:rsidR="00324A04" w:rsidRPr="00711E68">
        <w:rPr>
          <w:szCs w:val="22"/>
          <w:lang w:val="sr-Latn-RS"/>
        </w:rPr>
        <w:t>bubrega</w:t>
      </w:r>
      <w:r w:rsidRPr="00711E68">
        <w:rPr>
          <w:szCs w:val="22"/>
          <w:lang w:val="sr-Latn-RS"/>
        </w:rPr>
        <w:t xml:space="preserve"> </w:t>
      </w:r>
      <w:r w:rsidR="00C85BAE" w:rsidRPr="00711E68">
        <w:rPr>
          <w:szCs w:val="22"/>
          <w:lang w:val="sr-Latn-RS"/>
        </w:rPr>
        <w:t>ima</w:t>
      </w:r>
      <w:r w:rsidR="00DE267B" w:rsidRPr="00711E68">
        <w:rPr>
          <w:szCs w:val="22"/>
          <w:lang w:val="sr-Latn-RS"/>
        </w:rPr>
        <w:t>la</w:t>
      </w:r>
      <w:r w:rsidR="00C85BAE" w:rsidRPr="00711E68">
        <w:rPr>
          <w:szCs w:val="22"/>
          <w:lang w:val="sr-Latn-RS"/>
        </w:rPr>
        <w:t xml:space="preserve"> </w:t>
      </w:r>
      <w:r w:rsidRPr="00711E68">
        <w:rPr>
          <w:szCs w:val="22"/>
          <w:lang w:val="sr-Latn-RS"/>
        </w:rPr>
        <w:t>na farmakokinetiku risankizumaba. Na osno</w:t>
      </w:r>
      <w:r w:rsidR="00C85BAE" w:rsidRPr="00711E68">
        <w:rPr>
          <w:szCs w:val="22"/>
          <w:lang w:val="sr-Latn-RS"/>
        </w:rPr>
        <w:t>v</w:t>
      </w:r>
      <w:r w:rsidRPr="00711E68">
        <w:rPr>
          <w:szCs w:val="22"/>
          <w:lang w:val="sr-Latn-RS"/>
        </w:rPr>
        <w:t>u populacionih farmakokinetičkih analiza, nivoi serumskog kreatinina</w:t>
      </w:r>
      <w:r w:rsidR="00324A04" w:rsidRPr="00711E68">
        <w:rPr>
          <w:szCs w:val="22"/>
          <w:lang w:val="sr-Latn-RS"/>
        </w:rPr>
        <w:t>, klirens kreatinina ili markeri hepatičke funkcije (ALT/AST/bilirubin) ni</w:t>
      </w:r>
      <w:r w:rsidR="006D457C" w:rsidRPr="00711E68">
        <w:rPr>
          <w:szCs w:val="22"/>
          <w:lang w:val="sr-Latn-RS"/>
        </w:rPr>
        <w:t>je</w:t>
      </w:r>
      <w:r w:rsidR="00324A04" w:rsidRPr="00711E68">
        <w:rPr>
          <w:szCs w:val="22"/>
          <w:lang w:val="sr-Latn-RS"/>
        </w:rPr>
        <w:t>su imali značajan uticaj na klirens risankizumaba kod ispitanika sa psorijazom.</w:t>
      </w:r>
    </w:p>
    <w:p w14:paraId="0AE2F724" w14:textId="402FC671" w:rsidR="00324A04" w:rsidRPr="00711E68" w:rsidRDefault="00324A04" w:rsidP="00711E68">
      <w:pPr>
        <w:rPr>
          <w:szCs w:val="22"/>
          <w:lang w:val="sr-Latn-RS"/>
        </w:rPr>
      </w:pPr>
    </w:p>
    <w:p w14:paraId="03DCB6E5" w14:textId="4CFB7E8B" w:rsidR="00324A04" w:rsidRPr="00711E68" w:rsidRDefault="003231BB" w:rsidP="00711E68">
      <w:pPr>
        <w:rPr>
          <w:szCs w:val="22"/>
          <w:lang w:val="sr-Latn-RS"/>
        </w:rPr>
      </w:pPr>
      <w:r w:rsidRPr="00711E68">
        <w:rPr>
          <w:szCs w:val="22"/>
          <w:lang w:val="sr-Latn-RS"/>
        </w:rPr>
        <w:t>Kao</w:t>
      </w:r>
      <w:r w:rsidR="00301011" w:rsidRPr="00711E68">
        <w:rPr>
          <w:szCs w:val="22"/>
          <w:lang w:val="sr-Latn-RS"/>
        </w:rPr>
        <w:t xml:space="preserve"> </w:t>
      </w:r>
      <w:r w:rsidR="00324A04" w:rsidRPr="00711E68">
        <w:rPr>
          <w:szCs w:val="22"/>
          <w:lang w:val="sr-Latn-RS"/>
        </w:rPr>
        <w:t>IgG1 monoklonsko antit</w:t>
      </w:r>
      <w:r w:rsidR="009E1F22" w:rsidRPr="00711E68">
        <w:rPr>
          <w:szCs w:val="22"/>
          <w:lang w:val="sr-Latn-RS"/>
        </w:rPr>
        <w:t>ij</w:t>
      </w:r>
      <w:r w:rsidR="00324A04" w:rsidRPr="00711E68">
        <w:rPr>
          <w:szCs w:val="22"/>
          <w:lang w:val="sr-Latn-RS"/>
        </w:rPr>
        <w:t xml:space="preserve">elo, </w:t>
      </w:r>
      <w:r w:rsidRPr="00711E68">
        <w:rPr>
          <w:szCs w:val="22"/>
          <w:lang w:val="sr-Latn-RS"/>
        </w:rPr>
        <w:t>risankizumab</w:t>
      </w:r>
      <w:r w:rsidR="00324A04" w:rsidRPr="00711E68">
        <w:rPr>
          <w:szCs w:val="22"/>
          <w:lang w:val="sr-Latn-RS"/>
        </w:rPr>
        <w:t xml:space="preserve"> </w:t>
      </w:r>
      <w:r w:rsidRPr="00711E68">
        <w:rPr>
          <w:szCs w:val="22"/>
          <w:lang w:val="sr-Latn-RS"/>
        </w:rPr>
        <w:t>se</w:t>
      </w:r>
      <w:r w:rsidR="000C6070" w:rsidRPr="00711E68">
        <w:rPr>
          <w:szCs w:val="22"/>
          <w:lang w:val="sr-Latn-RS"/>
        </w:rPr>
        <w:t xml:space="preserve"> </w:t>
      </w:r>
      <w:r w:rsidR="00324A04" w:rsidRPr="00711E68">
        <w:rPr>
          <w:szCs w:val="22"/>
          <w:lang w:val="sr-Latn-RS"/>
        </w:rPr>
        <w:t xml:space="preserve">uglavnom eliminiše intracelularnim katabolizmom i ne očekuje se </w:t>
      </w:r>
      <w:r w:rsidRPr="00711E68">
        <w:rPr>
          <w:szCs w:val="22"/>
          <w:lang w:val="sr-Latn-RS"/>
        </w:rPr>
        <w:t>njegov</w:t>
      </w:r>
      <w:r w:rsidR="006D457C" w:rsidRPr="00711E68">
        <w:rPr>
          <w:szCs w:val="22"/>
          <w:lang w:val="sr-Latn-RS"/>
        </w:rPr>
        <w:t>o</w:t>
      </w:r>
      <w:r w:rsidR="00324A04" w:rsidRPr="00711E68">
        <w:rPr>
          <w:szCs w:val="22"/>
          <w:lang w:val="sr-Latn-RS"/>
        </w:rPr>
        <w:t xml:space="preserve"> metaboli</w:t>
      </w:r>
      <w:r w:rsidR="006D457C" w:rsidRPr="00711E68">
        <w:rPr>
          <w:szCs w:val="22"/>
          <w:lang w:val="sr-Latn-RS"/>
        </w:rPr>
        <w:t>sanje</w:t>
      </w:r>
      <w:r w:rsidR="00324A04" w:rsidRPr="00711E68">
        <w:rPr>
          <w:szCs w:val="22"/>
          <w:lang w:val="sr-Latn-RS"/>
        </w:rPr>
        <w:t xml:space="preserve"> putem hepatičkih enzima citohrom P450 oksidaze </w:t>
      </w:r>
      <w:r w:rsidR="006D457C" w:rsidRPr="00711E68">
        <w:rPr>
          <w:szCs w:val="22"/>
          <w:lang w:val="sr-Latn-RS"/>
        </w:rPr>
        <w:t>niti</w:t>
      </w:r>
      <w:r w:rsidR="00324A04" w:rsidRPr="00711E68">
        <w:rPr>
          <w:szCs w:val="22"/>
          <w:lang w:val="sr-Latn-RS"/>
        </w:rPr>
        <w:t xml:space="preserve"> elimi</w:t>
      </w:r>
      <w:r w:rsidRPr="00711E68">
        <w:rPr>
          <w:szCs w:val="22"/>
          <w:lang w:val="sr-Latn-RS"/>
        </w:rPr>
        <w:t>n</w:t>
      </w:r>
      <w:r w:rsidR="006D457C" w:rsidRPr="00711E68">
        <w:rPr>
          <w:szCs w:val="22"/>
          <w:lang w:val="sr-Latn-RS"/>
        </w:rPr>
        <w:t>isanje</w:t>
      </w:r>
      <w:r w:rsidR="00324A04" w:rsidRPr="00711E68">
        <w:rPr>
          <w:szCs w:val="22"/>
          <w:lang w:val="sr-Latn-RS"/>
        </w:rPr>
        <w:t xml:space="preserve"> putem bubrega.</w:t>
      </w:r>
    </w:p>
    <w:p w14:paraId="050BE9EE" w14:textId="351A1452" w:rsidR="00324A04" w:rsidRPr="00711E68" w:rsidRDefault="00324A04" w:rsidP="00711E68">
      <w:pPr>
        <w:rPr>
          <w:szCs w:val="22"/>
          <w:lang w:val="sr-Latn-RS"/>
        </w:rPr>
      </w:pPr>
    </w:p>
    <w:p w14:paraId="448A64DB" w14:textId="0B5D3004" w:rsidR="00324A04" w:rsidRPr="00711E68" w:rsidRDefault="00324A04" w:rsidP="00711E68">
      <w:pPr>
        <w:rPr>
          <w:i/>
          <w:szCs w:val="22"/>
          <w:u w:val="single"/>
          <w:lang w:val="sr-Latn-RS"/>
        </w:rPr>
      </w:pPr>
      <w:r w:rsidRPr="00711E68">
        <w:rPr>
          <w:i/>
          <w:szCs w:val="22"/>
          <w:u w:val="single"/>
          <w:lang w:val="sr-Latn-RS"/>
        </w:rPr>
        <w:t>T</w:t>
      </w:r>
      <w:r w:rsidR="009E1F22" w:rsidRPr="00711E68">
        <w:rPr>
          <w:i/>
          <w:szCs w:val="22"/>
          <w:u w:val="single"/>
          <w:lang w:val="sr-Latn-RS"/>
        </w:rPr>
        <w:t>j</w:t>
      </w:r>
      <w:r w:rsidRPr="00711E68">
        <w:rPr>
          <w:i/>
          <w:szCs w:val="22"/>
          <w:u w:val="single"/>
          <w:lang w:val="sr-Latn-RS"/>
        </w:rPr>
        <w:t>elesna masa</w:t>
      </w:r>
    </w:p>
    <w:p w14:paraId="747DE3AF" w14:textId="470BADAB" w:rsidR="00324A04" w:rsidRPr="00711E68" w:rsidRDefault="00324A04" w:rsidP="00711E68">
      <w:pPr>
        <w:rPr>
          <w:i/>
          <w:szCs w:val="22"/>
          <w:u w:val="single"/>
          <w:lang w:val="sr-Latn-RS"/>
        </w:rPr>
      </w:pPr>
    </w:p>
    <w:p w14:paraId="2612457A" w14:textId="0ECF6437" w:rsidR="00324A04" w:rsidRPr="00711E68" w:rsidRDefault="00324A04" w:rsidP="00711E68">
      <w:pPr>
        <w:rPr>
          <w:szCs w:val="22"/>
          <w:lang w:val="sr-Latn-RS"/>
        </w:rPr>
      </w:pPr>
      <w:r w:rsidRPr="00711E68">
        <w:rPr>
          <w:szCs w:val="22"/>
          <w:lang w:val="sr-Latn-RS"/>
        </w:rPr>
        <w:t>Klirens i volumen distribucije risankizumaba se povećavaju sa povećanjem t</w:t>
      </w:r>
      <w:r w:rsidR="009E1F22" w:rsidRPr="00711E68">
        <w:rPr>
          <w:szCs w:val="22"/>
          <w:lang w:val="sr-Latn-RS"/>
        </w:rPr>
        <w:t>j</w:t>
      </w:r>
      <w:r w:rsidRPr="00711E68">
        <w:rPr>
          <w:szCs w:val="22"/>
          <w:lang w:val="sr-Latn-RS"/>
        </w:rPr>
        <w:t>elesne mase</w:t>
      </w:r>
      <w:r w:rsidR="000C6070" w:rsidRPr="00711E68">
        <w:rPr>
          <w:szCs w:val="22"/>
          <w:lang w:val="sr-Latn-RS"/>
        </w:rPr>
        <w:t xml:space="preserve">, što može </w:t>
      </w:r>
      <w:r w:rsidR="00B1785E" w:rsidRPr="00711E68">
        <w:rPr>
          <w:szCs w:val="22"/>
          <w:lang w:val="sr-Latn-RS"/>
        </w:rPr>
        <w:t>dovesti do</w:t>
      </w:r>
      <w:r w:rsidR="000C6070" w:rsidRPr="00711E68">
        <w:rPr>
          <w:szCs w:val="22"/>
          <w:lang w:val="sr-Latn-RS"/>
        </w:rPr>
        <w:t xml:space="preserve"> </w:t>
      </w:r>
      <w:r w:rsidR="00B1785E" w:rsidRPr="00711E68">
        <w:rPr>
          <w:szCs w:val="22"/>
          <w:lang w:val="sr-Latn-RS"/>
        </w:rPr>
        <w:t>s</w:t>
      </w:r>
      <w:r w:rsidR="000C6070" w:rsidRPr="00711E68">
        <w:rPr>
          <w:szCs w:val="22"/>
          <w:lang w:val="sr-Latn-RS"/>
        </w:rPr>
        <w:t>manjen</w:t>
      </w:r>
      <w:r w:rsidR="00B1785E" w:rsidRPr="00711E68">
        <w:rPr>
          <w:szCs w:val="22"/>
          <w:lang w:val="sr-Latn-RS"/>
        </w:rPr>
        <w:t>e</w:t>
      </w:r>
      <w:r w:rsidR="000C6070" w:rsidRPr="00711E68">
        <w:rPr>
          <w:szCs w:val="22"/>
          <w:lang w:val="sr-Latn-RS"/>
        </w:rPr>
        <w:t xml:space="preserve"> efikasnosti</w:t>
      </w:r>
      <w:r w:rsidRPr="00711E68">
        <w:rPr>
          <w:szCs w:val="22"/>
          <w:lang w:val="sr-Latn-RS"/>
        </w:rPr>
        <w:t xml:space="preserve"> kod ispitanik</w:t>
      </w:r>
      <w:r w:rsidR="00C85BAE" w:rsidRPr="00711E68">
        <w:rPr>
          <w:szCs w:val="22"/>
          <w:lang w:val="sr-Latn-RS"/>
        </w:rPr>
        <w:t>a</w:t>
      </w:r>
      <w:r w:rsidRPr="00711E68">
        <w:rPr>
          <w:szCs w:val="22"/>
          <w:lang w:val="sr-Latn-RS"/>
        </w:rPr>
        <w:t xml:space="preserve"> sa visokom t</w:t>
      </w:r>
      <w:r w:rsidR="009E1F22" w:rsidRPr="00711E68">
        <w:rPr>
          <w:szCs w:val="22"/>
          <w:lang w:val="sr-Latn-RS"/>
        </w:rPr>
        <w:t>j</w:t>
      </w:r>
      <w:r w:rsidRPr="00711E68">
        <w:rPr>
          <w:szCs w:val="22"/>
          <w:lang w:val="sr-Latn-RS"/>
        </w:rPr>
        <w:t>elesnom masom (&gt;130 kg). Međutim, ovo zapažanje je zasnovano na ograničeno</w:t>
      </w:r>
      <w:r w:rsidR="00151206" w:rsidRPr="00711E68">
        <w:rPr>
          <w:szCs w:val="22"/>
          <w:lang w:val="sr-Latn-RS"/>
        </w:rPr>
        <w:t>m</w:t>
      </w:r>
      <w:r w:rsidRPr="00711E68">
        <w:rPr>
          <w:szCs w:val="22"/>
          <w:lang w:val="sr-Latn-RS"/>
        </w:rPr>
        <w:t xml:space="preserve"> broj</w:t>
      </w:r>
      <w:r w:rsidR="00151206" w:rsidRPr="00711E68">
        <w:rPr>
          <w:szCs w:val="22"/>
          <w:lang w:val="sr-Latn-RS"/>
        </w:rPr>
        <w:t>u</w:t>
      </w:r>
      <w:r w:rsidRPr="00711E68">
        <w:rPr>
          <w:szCs w:val="22"/>
          <w:lang w:val="sr-Latn-RS"/>
        </w:rPr>
        <w:t xml:space="preserve"> ispitanika. Trenutno se ne preporučuje prilagođavanje doziranja na osnovu t</w:t>
      </w:r>
      <w:r w:rsidR="009E1F22" w:rsidRPr="00711E68">
        <w:rPr>
          <w:szCs w:val="22"/>
          <w:lang w:val="sr-Latn-RS"/>
        </w:rPr>
        <w:t>j</w:t>
      </w:r>
      <w:r w:rsidRPr="00711E68">
        <w:rPr>
          <w:szCs w:val="22"/>
          <w:lang w:val="sr-Latn-RS"/>
        </w:rPr>
        <w:t>elesne mase.</w:t>
      </w:r>
    </w:p>
    <w:p w14:paraId="42BEA3AD" w14:textId="77777777" w:rsidR="00324A04" w:rsidRPr="00711E68" w:rsidRDefault="00324A04" w:rsidP="00711E68">
      <w:pPr>
        <w:rPr>
          <w:szCs w:val="22"/>
          <w:lang w:val="sr-Latn-RS"/>
        </w:rPr>
      </w:pPr>
    </w:p>
    <w:p w14:paraId="0C9CB315" w14:textId="7A1D09BE" w:rsidR="00324A04" w:rsidRPr="00711E68" w:rsidRDefault="00324A04" w:rsidP="00711E68">
      <w:pPr>
        <w:rPr>
          <w:i/>
          <w:szCs w:val="22"/>
          <w:u w:val="single"/>
          <w:lang w:val="sr-Latn-RS"/>
        </w:rPr>
      </w:pPr>
      <w:r w:rsidRPr="00711E68">
        <w:rPr>
          <w:i/>
          <w:szCs w:val="22"/>
          <w:u w:val="single"/>
          <w:lang w:val="sr-Latn-RS"/>
        </w:rPr>
        <w:t>Pol ili rasa</w:t>
      </w:r>
    </w:p>
    <w:p w14:paraId="68E74690" w14:textId="5F42DD36" w:rsidR="001D70E9" w:rsidRPr="00711E68" w:rsidRDefault="001D70E9" w:rsidP="00711E68">
      <w:pPr>
        <w:rPr>
          <w:szCs w:val="22"/>
          <w:lang w:val="sr-Latn-RS"/>
        </w:rPr>
      </w:pPr>
    </w:p>
    <w:p w14:paraId="65AE70C3" w14:textId="3012C2FA" w:rsidR="00324A04" w:rsidRPr="00711E68" w:rsidRDefault="00324A04" w:rsidP="00711E68">
      <w:pPr>
        <w:rPr>
          <w:szCs w:val="22"/>
          <w:lang w:val="sr-Latn-RS"/>
        </w:rPr>
      </w:pPr>
      <w:r w:rsidRPr="00711E68">
        <w:rPr>
          <w:szCs w:val="22"/>
          <w:lang w:val="sr-Latn-RS"/>
        </w:rPr>
        <w:t>Pol ili rasa ni</w:t>
      </w:r>
      <w:r w:rsidR="006D457C" w:rsidRPr="00711E68">
        <w:rPr>
          <w:szCs w:val="22"/>
          <w:lang w:val="sr-Latn-RS"/>
        </w:rPr>
        <w:t>je</w:t>
      </w:r>
      <w:r w:rsidRPr="00711E68">
        <w:rPr>
          <w:szCs w:val="22"/>
          <w:lang w:val="sr-Latn-RS"/>
        </w:rPr>
        <w:t>su imali značajan uticaj na klirens risankizumaba kod odraslih ispitanika sa plak psorijazom. Ni</w:t>
      </w:r>
      <w:r w:rsidR="006D457C" w:rsidRPr="00711E68">
        <w:rPr>
          <w:szCs w:val="22"/>
          <w:lang w:val="sr-Latn-RS"/>
        </w:rPr>
        <w:t>je</w:t>
      </w:r>
      <w:r w:rsidRPr="00711E68">
        <w:rPr>
          <w:szCs w:val="22"/>
          <w:lang w:val="sr-Latn-RS"/>
        </w:rPr>
        <w:t>su uočene klinički značajne razlike u izloženosti risankizumabu kod ispitanika</w:t>
      </w:r>
      <w:r w:rsidR="000C6070" w:rsidRPr="00711E68">
        <w:rPr>
          <w:szCs w:val="22"/>
          <w:lang w:val="sr-Latn-RS"/>
        </w:rPr>
        <w:t xml:space="preserve"> por</w:t>
      </w:r>
      <w:r w:rsidR="00393774" w:rsidRPr="00711E68">
        <w:rPr>
          <w:szCs w:val="22"/>
          <w:lang w:val="sr-Latn-RS"/>
        </w:rPr>
        <w:t>ij</w:t>
      </w:r>
      <w:r w:rsidR="000C6070" w:rsidRPr="00711E68">
        <w:rPr>
          <w:szCs w:val="22"/>
          <w:lang w:val="sr-Latn-RS"/>
        </w:rPr>
        <w:t>eklom</w:t>
      </w:r>
      <w:r w:rsidRPr="00711E68">
        <w:rPr>
          <w:szCs w:val="22"/>
          <w:lang w:val="sr-Latn-RS"/>
        </w:rPr>
        <w:t xml:space="preserve"> iz Kine ili Japana u poređen</w:t>
      </w:r>
      <w:r w:rsidR="00C85BAE" w:rsidRPr="00711E68">
        <w:rPr>
          <w:szCs w:val="22"/>
          <w:lang w:val="sr-Latn-RS"/>
        </w:rPr>
        <w:t>j</w:t>
      </w:r>
      <w:r w:rsidRPr="00711E68">
        <w:rPr>
          <w:szCs w:val="22"/>
          <w:lang w:val="sr-Latn-RS"/>
        </w:rPr>
        <w:t>u sa pripadnicima b</w:t>
      </w:r>
      <w:r w:rsidR="00393774" w:rsidRPr="00711E68">
        <w:rPr>
          <w:szCs w:val="22"/>
          <w:lang w:val="sr-Latn-RS"/>
        </w:rPr>
        <w:t>ij</w:t>
      </w:r>
      <w:r w:rsidRPr="00711E68">
        <w:rPr>
          <w:szCs w:val="22"/>
          <w:lang w:val="sr-Latn-RS"/>
        </w:rPr>
        <w:t>ele rase u kliničkoj farmakokinetičkoj studiji.</w:t>
      </w:r>
    </w:p>
    <w:p w14:paraId="68650C00" w14:textId="77777777" w:rsidR="00324A04" w:rsidRPr="00711E68" w:rsidRDefault="00324A04" w:rsidP="00711E68">
      <w:pPr>
        <w:rPr>
          <w:szCs w:val="22"/>
          <w:lang w:val="sr-Latn-RS"/>
        </w:rPr>
      </w:pPr>
    </w:p>
    <w:p w14:paraId="16118346" w14:textId="153A6803" w:rsidR="00CE09F3" w:rsidRPr="00711E68" w:rsidRDefault="00CE09F3" w:rsidP="00711E68">
      <w:pPr>
        <w:rPr>
          <w:b/>
          <w:bCs/>
          <w:szCs w:val="22"/>
          <w:lang w:val="sr-Latn-RS"/>
        </w:rPr>
      </w:pPr>
      <w:r w:rsidRPr="00711E68">
        <w:rPr>
          <w:b/>
          <w:bCs/>
          <w:szCs w:val="22"/>
          <w:lang w:val="sr-Latn-RS"/>
        </w:rPr>
        <w:t>5.3. Pretklinički podaci o bezb</w:t>
      </w:r>
      <w:r w:rsidR="00233F8F" w:rsidRPr="00711E68">
        <w:rPr>
          <w:b/>
          <w:bCs/>
          <w:szCs w:val="22"/>
          <w:lang w:val="sr-Latn-RS"/>
        </w:rPr>
        <w:t>i</w:t>
      </w:r>
      <w:r w:rsidR="00393774" w:rsidRPr="00711E68">
        <w:rPr>
          <w:b/>
          <w:bCs/>
          <w:szCs w:val="22"/>
          <w:lang w:val="sr-Latn-RS"/>
        </w:rPr>
        <w:t>j</w:t>
      </w:r>
      <w:r w:rsidRPr="00711E68">
        <w:rPr>
          <w:b/>
          <w:bCs/>
          <w:szCs w:val="22"/>
          <w:lang w:val="sr-Latn-RS"/>
        </w:rPr>
        <w:t>ednosti</w:t>
      </w:r>
    </w:p>
    <w:p w14:paraId="38E5D11F" w14:textId="77777777" w:rsidR="00CE09F3" w:rsidRPr="00711E68" w:rsidRDefault="00CE09F3" w:rsidP="00711E68">
      <w:pPr>
        <w:rPr>
          <w:szCs w:val="22"/>
          <w:lang w:val="sr-Latn-RS"/>
        </w:rPr>
      </w:pPr>
    </w:p>
    <w:p w14:paraId="53CE177B" w14:textId="7F8C29F4" w:rsidR="00071F86" w:rsidRPr="00711E68" w:rsidRDefault="0075627A" w:rsidP="00711E68">
      <w:pPr>
        <w:rPr>
          <w:szCs w:val="22"/>
        </w:rPr>
      </w:pPr>
      <w:r w:rsidRPr="00711E68">
        <w:rPr>
          <w:szCs w:val="22"/>
        </w:rPr>
        <w:t>Pret</w:t>
      </w:r>
      <w:r w:rsidR="00071F86" w:rsidRPr="00711E68">
        <w:rPr>
          <w:szCs w:val="22"/>
        </w:rPr>
        <w:t xml:space="preserve">klinički podaci ne ukazuju na poseban rizik za ljude na </w:t>
      </w:r>
      <w:r w:rsidR="00BD242C" w:rsidRPr="00711E68">
        <w:rPr>
          <w:szCs w:val="22"/>
        </w:rPr>
        <w:t>osnov</w:t>
      </w:r>
      <w:r w:rsidR="00071F86" w:rsidRPr="00711E68">
        <w:rPr>
          <w:szCs w:val="22"/>
        </w:rPr>
        <w:t xml:space="preserve">u ispitivanja toksičnosti ponovljenih doza, uključujući </w:t>
      </w:r>
      <w:r w:rsidR="00AD579B" w:rsidRPr="00711E68">
        <w:rPr>
          <w:szCs w:val="22"/>
        </w:rPr>
        <w:t>procjene bezbjednos</w:t>
      </w:r>
      <w:r w:rsidR="006D457C" w:rsidRPr="00711E68">
        <w:rPr>
          <w:szCs w:val="22"/>
        </w:rPr>
        <w:t>ne farmakolo</w:t>
      </w:r>
      <w:r w:rsidR="00071F86" w:rsidRPr="00711E68">
        <w:rPr>
          <w:szCs w:val="22"/>
        </w:rPr>
        <w:t xml:space="preserve">gije, </w:t>
      </w:r>
      <w:r w:rsidR="00242181" w:rsidRPr="00711E68">
        <w:rPr>
          <w:szCs w:val="22"/>
        </w:rPr>
        <w:t>kao ni</w:t>
      </w:r>
      <w:r w:rsidR="00071F86" w:rsidRPr="00711E68">
        <w:rPr>
          <w:szCs w:val="22"/>
        </w:rPr>
        <w:t xml:space="preserve"> ispitivanja reproduktivne i razvojne toksičnosti </w:t>
      </w:r>
      <w:r w:rsidR="00242181" w:rsidRPr="00711E68">
        <w:rPr>
          <w:szCs w:val="22"/>
        </w:rPr>
        <w:t>s</w:t>
      </w:r>
      <w:r w:rsidR="00071F86" w:rsidRPr="00711E68">
        <w:rPr>
          <w:szCs w:val="22"/>
        </w:rPr>
        <w:t xml:space="preserve">provedenog </w:t>
      </w:r>
      <w:r w:rsidR="006D457C" w:rsidRPr="00711E68">
        <w:rPr>
          <w:szCs w:val="22"/>
        </w:rPr>
        <w:t>kod</w:t>
      </w:r>
      <w:r w:rsidR="00071F86" w:rsidRPr="00711E68">
        <w:rPr>
          <w:szCs w:val="22"/>
        </w:rPr>
        <w:t xml:space="preserve"> makaki majmuna uz doze do 50 mg/kg/</w:t>
      </w:r>
      <w:r w:rsidR="006D457C" w:rsidRPr="00711E68">
        <w:rPr>
          <w:szCs w:val="22"/>
        </w:rPr>
        <w:t xml:space="preserve">nedjeljno </w:t>
      </w:r>
      <w:r w:rsidR="00071F86" w:rsidRPr="00711E68">
        <w:rPr>
          <w:szCs w:val="22"/>
        </w:rPr>
        <w:t>(kojima se postižu izloženosti približno 70 puta veće od kliničke izloženosti nakon primjene najveće preporučene doze za ljude).</w:t>
      </w:r>
    </w:p>
    <w:p w14:paraId="535F1AE1" w14:textId="02970D79" w:rsidR="00585B25" w:rsidRPr="00711E68" w:rsidRDefault="00585B25" w:rsidP="00711E68">
      <w:pPr>
        <w:rPr>
          <w:szCs w:val="22"/>
          <w:lang w:val="sr-Latn-RS"/>
        </w:rPr>
      </w:pPr>
    </w:p>
    <w:p w14:paraId="77EC855D" w14:textId="0DB49315" w:rsidR="00585B25" w:rsidRPr="00711E68" w:rsidRDefault="00585B25" w:rsidP="00711E68">
      <w:pPr>
        <w:rPr>
          <w:szCs w:val="22"/>
          <w:lang w:val="sr-Latn-RS"/>
        </w:rPr>
      </w:pPr>
      <w:r w:rsidRPr="00711E68">
        <w:rPr>
          <w:szCs w:val="22"/>
          <w:lang w:val="sr-Latn-RS"/>
        </w:rPr>
        <w:lastRenderedPageBreak/>
        <w:t>Studije mutagenosti i karcinogenosti ni</w:t>
      </w:r>
      <w:r w:rsidR="006D457C" w:rsidRPr="00711E68">
        <w:rPr>
          <w:szCs w:val="22"/>
          <w:lang w:val="sr-Latn-RS"/>
        </w:rPr>
        <w:t>je</w:t>
      </w:r>
      <w:r w:rsidRPr="00711E68">
        <w:rPr>
          <w:szCs w:val="22"/>
          <w:lang w:val="sr-Latn-RS"/>
        </w:rPr>
        <w:t>su sprovedene sa risankizumabom. U studiji hronične toksi</w:t>
      </w:r>
      <w:r w:rsidR="00D94896" w:rsidRPr="00711E68">
        <w:rPr>
          <w:szCs w:val="22"/>
          <w:lang w:val="sr-Latn-RS"/>
        </w:rPr>
        <w:t>čnosti</w:t>
      </w:r>
      <w:r w:rsidRPr="00711E68">
        <w:rPr>
          <w:szCs w:val="22"/>
          <w:lang w:val="sr-Latn-RS"/>
        </w:rPr>
        <w:t xml:space="preserve"> koja je trajala 26 ned</w:t>
      </w:r>
      <w:r w:rsidR="006D457C" w:rsidRPr="00711E68">
        <w:rPr>
          <w:szCs w:val="22"/>
          <w:lang w:val="sr-Latn-RS"/>
        </w:rPr>
        <w:t>j</w:t>
      </w:r>
      <w:r w:rsidRPr="00711E68">
        <w:rPr>
          <w:szCs w:val="22"/>
          <w:lang w:val="sr-Latn-RS"/>
        </w:rPr>
        <w:t>elja na makaki majmunima pri dozama od 50 mg/kg/ned</w:t>
      </w:r>
      <w:r w:rsidR="006D457C" w:rsidRPr="00711E68">
        <w:rPr>
          <w:szCs w:val="22"/>
          <w:lang w:val="sr-Latn-RS"/>
        </w:rPr>
        <w:t>j</w:t>
      </w:r>
      <w:r w:rsidRPr="00711E68">
        <w:rPr>
          <w:szCs w:val="22"/>
          <w:lang w:val="sr-Latn-RS"/>
        </w:rPr>
        <w:t xml:space="preserve">eljno (izloženosti približno 70 puta veće od </w:t>
      </w:r>
      <w:r w:rsidR="00A936FA" w:rsidRPr="00711E68">
        <w:rPr>
          <w:szCs w:val="22"/>
          <w:lang w:val="sr-Latn-RS"/>
        </w:rPr>
        <w:t>kliničke</w:t>
      </w:r>
      <w:r w:rsidRPr="00711E68">
        <w:rPr>
          <w:szCs w:val="22"/>
          <w:lang w:val="sr-Latn-RS"/>
        </w:rPr>
        <w:t xml:space="preserve"> izloženosti pri maksimalnoj preporučenoj dozi za ljude), ni</w:t>
      </w:r>
      <w:r w:rsidR="006D457C" w:rsidRPr="00711E68">
        <w:rPr>
          <w:szCs w:val="22"/>
          <w:lang w:val="sr-Latn-RS"/>
        </w:rPr>
        <w:t>je</w:t>
      </w:r>
      <w:r w:rsidR="00D94896" w:rsidRPr="00711E68">
        <w:rPr>
          <w:szCs w:val="22"/>
          <w:lang w:val="sr-Latn-RS"/>
        </w:rPr>
        <w:t>su</w:t>
      </w:r>
      <w:r w:rsidRPr="00711E68">
        <w:rPr>
          <w:szCs w:val="22"/>
          <w:lang w:val="sr-Latn-RS"/>
        </w:rPr>
        <w:t xml:space="preserve"> za</w:t>
      </w:r>
      <w:r w:rsidR="00D94896" w:rsidRPr="00711E68">
        <w:rPr>
          <w:szCs w:val="22"/>
          <w:lang w:val="sr-Latn-RS"/>
        </w:rPr>
        <w:t>pažene</w:t>
      </w:r>
      <w:r w:rsidRPr="00711E68">
        <w:rPr>
          <w:szCs w:val="22"/>
          <w:lang w:val="sr-Latn-RS"/>
        </w:rPr>
        <w:t xml:space="preserve"> preneoplastičn</w:t>
      </w:r>
      <w:r w:rsidR="00D94896" w:rsidRPr="00711E68">
        <w:rPr>
          <w:szCs w:val="22"/>
          <w:lang w:val="sr-Latn-RS"/>
        </w:rPr>
        <w:t>e</w:t>
      </w:r>
      <w:r w:rsidRPr="00711E68">
        <w:rPr>
          <w:szCs w:val="22"/>
          <w:lang w:val="sr-Latn-RS"/>
        </w:rPr>
        <w:t xml:space="preserve"> </w:t>
      </w:r>
      <w:r w:rsidR="006D457C" w:rsidRPr="00711E68">
        <w:rPr>
          <w:szCs w:val="22"/>
          <w:lang w:val="sr-Latn-RS"/>
        </w:rPr>
        <w:t>niti</w:t>
      </w:r>
      <w:r w:rsidRPr="00711E68">
        <w:rPr>
          <w:szCs w:val="22"/>
          <w:lang w:val="sr-Latn-RS"/>
        </w:rPr>
        <w:t xml:space="preserve"> neoplastičn</w:t>
      </w:r>
      <w:r w:rsidR="00D94896" w:rsidRPr="00711E68">
        <w:rPr>
          <w:szCs w:val="22"/>
          <w:lang w:val="sr-Latn-RS"/>
        </w:rPr>
        <w:t>e</w:t>
      </w:r>
      <w:r w:rsidRPr="00711E68">
        <w:rPr>
          <w:szCs w:val="22"/>
          <w:lang w:val="sr-Latn-RS"/>
        </w:rPr>
        <w:t xml:space="preserve"> lezij</w:t>
      </w:r>
      <w:r w:rsidR="00D94896" w:rsidRPr="00711E68">
        <w:rPr>
          <w:szCs w:val="22"/>
          <w:lang w:val="sr-Latn-RS"/>
        </w:rPr>
        <w:t>e, i ni</w:t>
      </w:r>
      <w:r w:rsidR="006D457C" w:rsidRPr="00711E68">
        <w:rPr>
          <w:szCs w:val="22"/>
          <w:lang w:val="sr-Latn-RS"/>
        </w:rPr>
        <w:t>je</w:t>
      </w:r>
      <w:r w:rsidR="00D94896" w:rsidRPr="00711E68">
        <w:rPr>
          <w:szCs w:val="22"/>
          <w:lang w:val="sr-Latn-RS"/>
        </w:rPr>
        <w:t>su zabel</w:t>
      </w:r>
      <w:r w:rsidR="00393774" w:rsidRPr="00711E68">
        <w:rPr>
          <w:szCs w:val="22"/>
          <w:lang w:val="sr-Latn-RS"/>
        </w:rPr>
        <w:t>j</w:t>
      </w:r>
      <w:r w:rsidR="00D94896" w:rsidRPr="00711E68">
        <w:rPr>
          <w:szCs w:val="22"/>
          <w:lang w:val="sr-Latn-RS"/>
        </w:rPr>
        <w:t>eženi</w:t>
      </w:r>
      <w:r w:rsidRPr="00711E68">
        <w:rPr>
          <w:szCs w:val="22"/>
          <w:lang w:val="sr-Latn-RS"/>
        </w:rPr>
        <w:t xml:space="preserve"> </w:t>
      </w:r>
      <w:r w:rsidR="00D94896" w:rsidRPr="00711E68">
        <w:rPr>
          <w:szCs w:val="22"/>
          <w:lang w:val="sr-Latn-RS"/>
        </w:rPr>
        <w:t xml:space="preserve">štetni </w:t>
      </w:r>
      <w:r w:rsidRPr="00711E68">
        <w:rPr>
          <w:szCs w:val="22"/>
          <w:lang w:val="sr-Latn-RS"/>
        </w:rPr>
        <w:t>imunoto</w:t>
      </w:r>
      <w:r w:rsidR="00D94896" w:rsidRPr="00711E68">
        <w:rPr>
          <w:szCs w:val="22"/>
          <w:lang w:val="sr-Latn-RS"/>
        </w:rPr>
        <w:t>ks</w:t>
      </w:r>
      <w:r w:rsidRPr="00711E68">
        <w:rPr>
          <w:szCs w:val="22"/>
          <w:lang w:val="sr-Latn-RS"/>
        </w:rPr>
        <w:t>ični ili kardiovaskularni efek</w:t>
      </w:r>
      <w:r w:rsidR="00D94896" w:rsidRPr="00711E68">
        <w:rPr>
          <w:szCs w:val="22"/>
          <w:lang w:val="sr-Latn-RS"/>
        </w:rPr>
        <w:t>ti</w:t>
      </w:r>
      <w:r w:rsidRPr="00711E68">
        <w:rPr>
          <w:szCs w:val="22"/>
          <w:lang w:val="sr-Latn-RS"/>
        </w:rPr>
        <w:t>.</w:t>
      </w:r>
    </w:p>
    <w:p w14:paraId="357DF194" w14:textId="77777777" w:rsidR="00D94896" w:rsidRPr="00711E68" w:rsidRDefault="00D94896" w:rsidP="00865DFA">
      <w:pPr>
        <w:pStyle w:val="NASLOV123"/>
        <w:spacing w:before="0"/>
        <w:rPr>
          <w:lang w:val="sr-Latn-RS"/>
        </w:rPr>
      </w:pPr>
    </w:p>
    <w:p w14:paraId="50C1AA95" w14:textId="0CC9D1AF" w:rsidR="00CE09F3" w:rsidRPr="00711E68" w:rsidRDefault="00CE09F3" w:rsidP="00711E68">
      <w:pPr>
        <w:pStyle w:val="NASLOV123"/>
        <w:rPr>
          <w:lang w:val="sr-Latn-RS"/>
        </w:rPr>
      </w:pPr>
      <w:r w:rsidRPr="00711E68">
        <w:rPr>
          <w:lang w:val="sr-Latn-RS"/>
        </w:rPr>
        <w:t>6. FARMACEUTSKI PODACI</w:t>
      </w:r>
    </w:p>
    <w:p w14:paraId="30B9EC13" w14:textId="069D80A3" w:rsidR="00CE09F3" w:rsidRPr="00711E68" w:rsidRDefault="00CE09F3" w:rsidP="00711E68">
      <w:pPr>
        <w:rPr>
          <w:b/>
          <w:bCs/>
          <w:szCs w:val="22"/>
          <w:lang w:val="sr-Latn-RS"/>
        </w:rPr>
      </w:pPr>
      <w:r w:rsidRPr="00711E68">
        <w:rPr>
          <w:b/>
          <w:bCs/>
          <w:szCs w:val="22"/>
          <w:lang w:val="sr-Latn-RS"/>
        </w:rPr>
        <w:t>6.1. Lista pomoćnih supstanci</w:t>
      </w:r>
      <w:r w:rsidR="00867879" w:rsidRPr="00711E68">
        <w:rPr>
          <w:b/>
          <w:bCs/>
          <w:szCs w:val="22"/>
          <w:lang w:val="sr-Latn-RS"/>
        </w:rPr>
        <w:t xml:space="preserve"> </w:t>
      </w:r>
      <w:r w:rsidR="00867879" w:rsidRPr="00711E68">
        <w:rPr>
          <w:b/>
          <w:bCs/>
          <w:szCs w:val="22"/>
        </w:rPr>
        <w:t>(ekscipijenasa)</w:t>
      </w:r>
    </w:p>
    <w:p w14:paraId="67A2557D" w14:textId="77777777" w:rsidR="00CE09F3" w:rsidRPr="00711E68" w:rsidRDefault="00CE09F3" w:rsidP="00711E68">
      <w:pPr>
        <w:rPr>
          <w:szCs w:val="22"/>
          <w:lang w:val="sr-Latn-RS"/>
        </w:rPr>
      </w:pPr>
    </w:p>
    <w:p w14:paraId="59B68C47" w14:textId="637B571B" w:rsidR="00CE09F3" w:rsidRPr="00711E68" w:rsidRDefault="00324A04" w:rsidP="00711E68">
      <w:pPr>
        <w:rPr>
          <w:szCs w:val="22"/>
          <w:lang w:val="sr-Latn-RS"/>
        </w:rPr>
      </w:pPr>
      <w:r w:rsidRPr="00711E68">
        <w:rPr>
          <w:szCs w:val="22"/>
          <w:lang w:val="sr-Latn-RS"/>
        </w:rPr>
        <w:t>Dinatrijum</w:t>
      </w:r>
      <w:r w:rsidR="00C30E60" w:rsidRPr="00711E68">
        <w:rPr>
          <w:szCs w:val="22"/>
          <w:lang w:val="sr-Latn-RS"/>
        </w:rPr>
        <w:t xml:space="preserve"> </w:t>
      </w:r>
      <w:r w:rsidRPr="00711E68">
        <w:rPr>
          <w:szCs w:val="22"/>
          <w:lang w:val="sr-Latn-RS"/>
        </w:rPr>
        <w:t>sukcinat</w:t>
      </w:r>
      <w:r w:rsidR="008308E0" w:rsidRPr="00711E68">
        <w:rPr>
          <w:szCs w:val="22"/>
          <w:lang w:val="sr-Latn-RS"/>
        </w:rPr>
        <w:t xml:space="preserve">, </w:t>
      </w:r>
      <w:r w:rsidRPr="00711E68">
        <w:rPr>
          <w:szCs w:val="22"/>
          <w:lang w:val="sr-Latn-RS"/>
        </w:rPr>
        <w:t>heksahidrat</w:t>
      </w:r>
    </w:p>
    <w:p w14:paraId="58CA126A" w14:textId="4A460BC3" w:rsidR="00324A04" w:rsidRPr="00711E68" w:rsidRDefault="00CA1DA0" w:rsidP="00711E68">
      <w:pPr>
        <w:rPr>
          <w:szCs w:val="22"/>
          <w:lang w:val="sr-Latn-RS"/>
        </w:rPr>
      </w:pPr>
      <w:r w:rsidRPr="00711E68">
        <w:rPr>
          <w:szCs w:val="22"/>
          <w:lang w:val="sr-Latn-RS"/>
        </w:rPr>
        <w:t>Ćilibarna</w:t>
      </w:r>
      <w:r w:rsidR="00324A04" w:rsidRPr="00711E68">
        <w:rPr>
          <w:szCs w:val="22"/>
          <w:lang w:val="sr-Latn-RS"/>
        </w:rPr>
        <w:t xml:space="preserve"> kiselina</w:t>
      </w:r>
    </w:p>
    <w:p w14:paraId="10C0CD3C" w14:textId="25AB41B4" w:rsidR="00324A04" w:rsidRPr="00711E68" w:rsidRDefault="00324A04" w:rsidP="00711E68">
      <w:pPr>
        <w:rPr>
          <w:szCs w:val="22"/>
          <w:lang w:val="sr-Latn-RS"/>
        </w:rPr>
      </w:pPr>
      <w:r w:rsidRPr="00711E68">
        <w:rPr>
          <w:szCs w:val="22"/>
          <w:lang w:val="sr-Latn-RS"/>
        </w:rPr>
        <w:t>Sorbitol</w:t>
      </w:r>
    </w:p>
    <w:p w14:paraId="3604649E" w14:textId="63447794" w:rsidR="00324A04" w:rsidRPr="00711E68" w:rsidRDefault="00324A04" w:rsidP="00711E68">
      <w:pPr>
        <w:rPr>
          <w:szCs w:val="22"/>
          <w:lang w:val="sr-Latn-RS"/>
        </w:rPr>
      </w:pPr>
      <w:r w:rsidRPr="00711E68">
        <w:rPr>
          <w:szCs w:val="22"/>
          <w:lang w:val="sr-Latn-RS"/>
        </w:rPr>
        <w:t>Polisorbat 20</w:t>
      </w:r>
    </w:p>
    <w:p w14:paraId="54AC5689" w14:textId="00B2381F" w:rsidR="00324A04" w:rsidRPr="00711E68" w:rsidRDefault="00324A04" w:rsidP="00711E68">
      <w:pPr>
        <w:rPr>
          <w:szCs w:val="22"/>
          <w:lang w:val="sr-Latn-RS"/>
        </w:rPr>
      </w:pPr>
      <w:r w:rsidRPr="00711E68">
        <w:rPr>
          <w:szCs w:val="22"/>
          <w:lang w:val="sr-Latn-RS"/>
        </w:rPr>
        <w:t>Voda za injekcije</w:t>
      </w:r>
    </w:p>
    <w:p w14:paraId="501FB8C1" w14:textId="77777777" w:rsidR="00324A04" w:rsidRPr="00711E68" w:rsidRDefault="00324A04" w:rsidP="00711E68">
      <w:pPr>
        <w:rPr>
          <w:szCs w:val="22"/>
          <w:lang w:val="sr-Latn-RS"/>
        </w:rPr>
      </w:pPr>
    </w:p>
    <w:p w14:paraId="4B3060E6" w14:textId="635CB3DF" w:rsidR="00CE09F3" w:rsidRPr="00711E68" w:rsidRDefault="00CE09F3" w:rsidP="00711E68">
      <w:pPr>
        <w:rPr>
          <w:b/>
          <w:bCs/>
          <w:szCs w:val="22"/>
          <w:lang w:val="sr-Latn-RS"/>
        </w:rPr>
      </w:pPr>
      <w:r w:rsidRPr="00711E68">
        <w:rPr>
          <w:b/>
          <w:bCs/>
          <w:szCs w:val="22"/>
          <w:lang w:val="sr-Latn-RS"/>
        </w:rPr>
        <w:t>6.2. Inkompatibilnost</w:t>
      </w:r>
      <w:r w:rsidR="00867879" w:rsidRPr="00711E68">
        <w:rPr>
          <w:b/>
          <w:bCs/>
          <w:szCs w:val="22"/>
          <w:lang w:val="sr-Latn-RS"/>
        </w:rPr>
        <w:t>i</w:t>
      </w:r>
    </w:p>
    <w:p w14:paraId="1A0240FB" w14:textId="77777777" w:rsidR="00CE09F3" w:rsidRPr="00711E68" w:rsidRDefault="00CE09F3" w:rsidP="00711E68">
      <w:pPr>
        <w:rPr>
          <w:szCs w:val="22"/>
          <w:lang w:val="sr-Latn-RS"/>
        </w:rPr>
      </w:pPr>
    </w:p>
    <w:p w14:paraId="226CCEB2" w14:textId="6A0FDDD3" w:rsidR="00585B25" w:rsidRPr="00711E68" w:rsidRDefault="00585B25" w:rsidP="00711E68">
      <w:pPr>
        <w:rPr>
          <w:szCs w:val="22"/>
          <w:lang w:val="sr-Latn-RS"/>
        </w:rPr>
      </w:pPr>
      <w:r w:rsidRPr="00711E68">
        <w:rPr>
          <w:szCs w:val="22"/>
          <w:lang w:val="sr-Latn-RS"/>
        </w:rPr>
        <w:t>Usled nedostatka studija kompatibilnosti, ovaj l</w:t>
      </w:r>
      <w:r w:rsidR="00393774" w:rsidRPr="00711E68">
        <w:rPr>
          <w:szCs w:val="22"/>
          <w:lang w:val="sr-Latn-RS"/>
        </w:rPr>
        <w:t>ij</w:t>
      </w:r>
      <w:r w:rsidRPr="00711E68">
        <w:rPr>
          <w:szCs w:val="22"/>
          <w:lang w:val="sr-Latn-RS"/>
        </w:rPr>
        <w:t>ek se ne sm</w:t>
      </w:r>
      <w:r w:rsidR="00393774" w:rsidRPr="00711E68">
        <w:rPr>
          <w:szCs w:val="22"/>
          <w:lang w:val="sr-Latn-RS"/>
        </w:rPr>
        <w:t>ij</w:t>
      </w:r>
      <w:r w:rsidRPr="00711E68">
        <w:rPr>
          <w:szCs w:val="22"/>
          <w:lang w:val="sr-Latn-RS"/>
        </w:rPr>
        <w:t>e m</w:t>
      </w:r>
      <w:r w:rsidR="00393774" w:rsidRPr="00711E68">
        <w:rPr>
          <w:szCs w:val="22"/>
          <w:lang w:val="sr-Latn-RS"/>
        </w:rPr>
        <w:t>ij</w:t>
      </w:r>
      <w:r w:rsidRPr="00711E68">
        <w:rPr>
          <w:szCs w:val="22"/>
          <w:lang w:val="sr-Latn-RS"/>
        </w:rPr>
        <w:t xml:space="preserve">ešati sa drugim </w:t>
      </w:r>
      <w:r w:rsidR="004D1036" w:rsidRPr="00711E68">
        <w:rPr>
          <w:szCs w:val="22"/>
          <w:lang w:val="sr-Latn-RS"/>
        </w:rPr>
        <w:t>l</w:t>
      </w:r>
      <w:r w:rsidR="00393774" w:rsidRPr="00711E68">
        <w:rPr>
          <w:szCs w:val="22"/>
          <w:lang w:val="sr-Latn-RS"/>
        </w:rPr>
        <w:t>j</w:t>
      </w:r>
      <w:r w:rsidR="004D1036" w:rsidRPr="00711E68">
        <w:rPr>
          <w:szCs w:val="22"/>
          <w:lang w:val="sr-Latn-RS"/>
        </w:rPr>
        <w:t>ekovima</w:t>
      </w:r>
      <w:r w:rsidRPr="00711E68">
        <w:rPr>
          <w:szCs w:val="22"/>
          <w:lang w:val="sr-Latn-RS"/>
        </w:rPr>
        <w:t>.</w:t>
      </w:r>
    </w:p>
    <w:p w14:paraId="6383A676" w14:textId="77777777" w:rsidR="00CE09F3" w:rsidRPr="00711E68" w:rsidRDefault="00CE09F3" w:rsidP="00711E68">
      <w:pPr>
        <w:rPr>
          <w:szCs w:val="22"/>
          <w:lang w:val="sr-Latn-RS"/>
        </w:rPr>
      </w:pPr>
    </w:p>
    <w:p w14:paraId="4C95EF6F" w14:textId="77777777" w:rsidR="00CE09F3" w:rsidRPr="00711E68" w:rsidRDefault="00CE09F3" w:rsidP="00711E68">
      <w:pPr>
        <w:rPr>
          <w:b/>
          <w:bCs/>
          <w:szCs w:val="22"/>
          <w:lang w:val="sr-Latn-RS"/>
        </w:rPr>
      </w:pPr>
      <w:r w:rsidRPr="00711E68">
        <w:rPr>
          <w:b/>
          <w:bCs/>
          <w:szCs w:val="22"/>
          <w:lang w:val="sr-Latn-RS"/>
        </w:rPr>
        <w:t>6.3. Rok upotrebe</w:t>
      </w:r>
    </w:p>
    <w:p w14:paraId="2F0F44C0" w14:textId="77777777" w:rsidR="00CE09F3" w:rsidRPr="00711E68" w:rsidRDefault="00CE09F3" w:rsidP="00711E68">
      <w:pPr>
        <w:rPr>
          <w:szCs w:val="22"/>
          <w:lang w:val="sr-Latn-RS"/>
        </w:rPr>
      </w:pPr>
    </w:p>
    <w:p w14:paraId="77CD41E7" w14:textId="7F53E572" w:rsidR="00CE09F3" w:rsidRPr="00711E68" w:rsidRDefault="00324A04" w:rsidP="00711E68">
      <w:pPr>
        <w:rPr>
          <w:szCs w:val="22"/>
          <w:lang w:val="sr-Latn-RS"/>
        </w:rPr>
      </w:pPr>
      <w:r w:rsidRPr="00711E68">
        <w:rPr>
          <w:szCs w:val="22"/>
          <w:lang w:val="sr-Latn-RS"/>
        </w:rPr>
        <w:t>2 godine</w:t>
      </w:r>
    </w:p>
    <w:p w14:paraId="509634A2" w14:textId="77777777" w:rsidR="00324A04" w:rsidRPr="00711E68" w:rsidRDefault="00324A04" w:rsidP="00711E68">
      <w:pPr>
        <w:rPr>
          <w:szCs w:val="22"/>
          <w:lang w:val="sr-Latn-RS"/>
        </w:rPr>
      </w:pPr>
    </w:p>
    <w:p w14:paraId="1866380D" w14:textId="5DEDBE9B" w:rsidR="00CE09F3" w:rsidRPr="00711E68" w:rsidRDefault="00CE09F3" w:rsidP="00711E68">
      <w:pPr>
        <w:rPr>
          <w:b/>
          <w:bCs/>
          <w:szCs w:val="22"/>
          <w:lang w:val="sr-Latn-RS"/>
        </w:rPr>
      </w:pPr>
      <w:r w:rsidRPr="00711E68">
        <w:rPr>
          <w:b/>
          <w:bCs/>
          <w:szCs w:val="22"/>
          <w:lang w:val="sr-Latn-RS"/>
        </w:rPr>
        <w:t>6.4. Posebne m</w:t>
      </w:r>
      <w:r w:rsidR="00393774" w:rsidRPr="00711E68">
        <w:rPr>
          <w:b/>
          <w:bCs/>
          <w:szCs w:val="22"/>
          <w:lang w:val="sr-Latn-RS"/>
        </w:rPr>
        <w:t>j</w:t>
      </w:r>
      <w:r w:rsidRPr="00711E68">
        <w:rPr>
          <w:b/>
          <w:bCs/>
          <w:szCs w:val="22"/>
          <w:lang w:val="sr-Latn-RS"/>
        </w:rPr>
        <w:t>ere opreza pri čuvanju</w:t>
      </w:r>
      <w:r w:rsidR="00867879" w:rsidRPr="00711E68">
        <w:rPr>
          <w:b/>
          <w:bCs/>
          <w:szCs w:val="22"/>
          <w:lang w:val="sr-Latn-RS"/>
        </w:rPr>
        <w:t xml:space="preserve"> lijeka</w:t>
      </w:r>
    </w:p>
    <w:p w14:paraId="24810B63" w14:textId="77777777" w:rsidR="00CE09F3" w:rsidRPr="00711E68" w:rsidRDefault="00CE09F3" w:rsidP="00711E68">
      <w:pPr>
        <w:rPr>
          <w:szCs w:val="22"/>
          <w:lang w:val="sr-Latn-RS"/>
        </w:rPr>
      </w:pPr>
    </w:p>
    <w:p w14:paraId="1EAEEE0E" w14:textId="77777777" w:rsidR="00585B25" w:rsidRPr="00711E68" w:rsidRDefault="00585B25" w:rsidP="00711E68">
      <w:pPr>
        <w:tabs>
          <w:tab w:val="center" w:pos="4536"/>
          <w:tab w:val="right" w:pos="9072"/>
        </w:tabs>
        <w:ind w:right="9"/>
        <w:rPr>
          <w:szCs w:val="22"/>
          <w:lang w:val="sr-Latn-RS"/>
        </w:rPr>
      </w:pPr>
      <w:r w:rsidRPr="00711E68">
        <w:rPr>
          <w:szCs w:val="22"/>
          <w:lang w:val="sr-Latn-RS"/>
        </w:rPr>
        <w:t xml:space="preserve">Čuvati u frižideru (na temperaturi od 2°C do 8°C). Ne zamrzavati. </w:t>
      </w:r>
    </w:p>
    <w:p w14:paraId="37EF4449" w14:textId="79AB2BC5" w:rsidR="00585B25" w:rsidRPr="00711E68" w:rsidRDefault="00585B25" w:rsidP="00711E68">
      <w:pPr>
        <w:pStyle w:val="Header"/>
        <w:tabs>
          <w:tab w:val="clear" w:pos="4536"/>
          <w:tab w:val="clear" w:pos="9072"/>
          <w:tab w:val="left" w:pos="284"/>
        </w:tabs>
        <w:ind w:right="9"/>
        <w:rPr>
          <w:szCs w:val="22"/>
          <w:lang w:val="sr-Latn-RS"/>
        </w:rPr>
      </w:pPr>
      <w:r w:rsidRPr="00711E68">
        <w:rPr>
          <w:szCs w:val="22"/>
          <w:lang w:val="sr-Latn-RS"/>
        </w:rPr>
        <w:t>Čuvati u originalnom pakovanju radi zaštite od sv</w:t>
      </w:r>
      <w:r w:rsidR="00393774" w:rsidRPr="00711E68">
        <w:rPr>
          <w:szCs w:val="22"/>
          <w:lang w:val="sr-Latn-RS"/>
        </w:rPr>
        <w:t>j</w:t>
      </w:r>
      <w:r w:rsidRPr="00711E68">
        <w:rPr>
          <w:szCs w:val="22"/>
          <w:lang w:val="sr-Latn-RS"/>
        </w:rPr>
        <w:t>etlosti.</w:t>
      </w:r>
      <w:r w:rsidRPr="00711E68" w:rsidDel="009843A7">
        <w:rPr>
          <w:szCs w:val="22"/>
          <w:lang w:val="sr-Latn-RS"/>
        </w:rPr>
        <w:t xml:space="preserve"> </w:t>
      </w:r>
    </w:p>
    <w:p w14:paraId="059EA571" w14:textId="77777777" w:rsidR="00CE09F3" w:rsidRPr="00711E68" w:rsidRDefault="00CE09F3" w:rsidP="00711E68">
      <w:pPr>
        <w:rPr>
          <w:szCs w:val="22"/>
          <w:lang w:val="sr-Latn-RS"/>
        </w:rPr>
      </w:pPr>
    </w:p>
    <w:p w14:paraId="323D96AD" w14:textId="305F5FA9" w:rsidR="00CE09F3" w:rsidRPr="00711E68" w:rsidRDefault="0022223A" w:rsidP="00711E68">
      <w:pPr>
        <w:rPr>
          <w:b/>
          <w:bCs/>
          <w:szCs w:val="22"/>
          <w:lang w:val="sr-Latn-RS"/>
        </w:rPr>
      </w:pPr>
      <w:r w:rsidRPr="00711E68">
        <w:rPr>
          <w:b/>
          <w:bCs/>
          <w:szCs w:val="22"/>
          <w:lang w:val="sr-Latn-RS"/>
        </w:rPr>
        <w:t xml:space="preserve">6.5. </w:t>
      </w:r>
      <w:r w:rsidR="00CE09F3" w:rsidRPr="00711E68">
        <w:rPr>
          <w:b/>
          <w:bCs/>
          <w:szCs w:val="22"/>
          <w:lang w:val="sr-Latn-RS"/>
        </w:rPr>
        <w:t>Priroda i sadržaj pakovanja</w:t>
      </w:r>
      <w:r w:rsidR="00F42610" w:rsidRPr="00711E68">
        <w:rPr>
          <w:b/>
          <w:bCs/>
          <w:szCs w:val="22"/>
          <w:lang w:val="sr-Latn-RS"/>
        </w:rPr>
        <w:t xml:space="preserve"> </w:t>
      </w:r>
    </w:p>
    <w:p w14:paraId="55E59CFA" w14:textId="64C400B4" w:rsidR="00585B25" w:rsidRPr="00711E68" w:rsidRDefault="00585B25" w:rsidP="00711E68">
      <w:pPr>
        <w:rPr>
          <w:b/>
          <w:bCs/>
          <w:szCs w:val="22"/>
          <w:lang w:val="sr-Latn-RS"/>
        </w:rPr>
      </w:pPr>
    </w:p>
    <w:p w14:paraId="38ADA183" w14:textId="575C7DF3" w:rsidR="00585B25" w:rsidRPr="00711E68" w:rsidRDefault="00585B25" w:rsidP="00711E68">
      <w:pPr>
        <w:rPr>
          <w:szCs w:val="22"/>
          <w:lang w:val="sr-Latn-RS"/>
        </w:rPr>
      </w:pPr>
      <w:r w:rsidRPr="00711E68">
        <w:rPr>
          <w:szCs w:val="22"/>
          <w:lang w:val="sr-Latn-RS"/>
        </w:rPr>
        <w:t xml:space="preserve">Napunjen </w:t>
      </w:r>
      <w:r w:rsidR="00442412" w:rsidRPr="00711E68">
        <w:rPr>
          <w:szCs w:val="22"/>
          <w:lang w:val="sr-Latn-RS"/>
        </w:rPr>
        <w:t>stakleni</w:t>
      </w:r>
      <w:r w:rsidRPr="00711E68">
        <w:rPr>
          <w:szCs w:val="22"/>
          <w:lang w:val="sr-Latn-RS"/>
        </w:rPr>
        <w:t xml:space="preserve"> špric sa </w:t>
      </w:r>
      <w:r w:rsidR="00442412" w:rsidRPr="00711E68">
        <w:rPr>
          <w:szCs w:val="22"/>
          <w:lang w:val="sr-Latn-RS"/>
        </w:rPr>
        <w:t>pričvršćenom</w:t>
      </w:r>
      <w:r w:rsidRPr="00711E68">
        <w:rPr>
          <w:szCs w:val="22"/>
          <w:lang w:val="sr-Latn-RS"/>
        </w:rPr>
        <w:t xml:space="preserve"> iglom i poklopcem igle,</w:t>
      </w:r>
      <w:r w:rsidR="00281087" w:rsidRPr="00711E68">
        <w:rPr>
          <w:szCs w:val="22"/>
          <w:lang w:val="sr-Latn-RS"/>
        </w:rPr>
        <w:t xml:space="preserve"> </w:t>
      </w:r>
      <w:r w:rsidR="00134D25" w:rsidRPr="00711E68">
        <w:rPr>
          <w:szCs w:val="22"/>
          <w:lang w:val="sr-Latn-RS"/>
        </w:rPr>
        <w:t>kao sastavnim dijelom automatskog štitnika</w:t>
      </w:r>
      <w:r w:rsidRPr="00711E68">
        <w:rPr>
          <w:szCs w:val="22"/>
          <w:lang w:val="sr-Latn-RS"/>
        </w:rPr>
        <w:t xml:space="preserve"> </w:t>
      </w:r>
      <w:r w:rsidR="006A60AA" w:rsidRPr="00711E68">
        <w:rPr>
          <w:szCs w:val="22"/>
          <w:lang w:val="sr-Latn-RS"/>
        </w:rPr>
        <w:t>za iglu</w:t>
      </w:r>
      <w:r w:rsidRPr="00711E68">
        <w:rPr>
          <w:szCs w:val="22"/>
          <w:lang w:val="sr-Latn-RS"/>
        </w:rPr>
        <w:t>.</w:t>
      </w:r>
    </w:p>
    <w:p w14:paraId="1CAD0557" w14:textId="11E72856" w:rsidR="00585B25" w:rsidRPr="00711E68" w:rsidRDefault="00585B25" w:rsidP="00711E68">
      <w:pPr>
        <w:rPr>
          <w:szCs w:val="22"/>
          <w:lang w:val="sr-Latn-RS"/>
        </w:rPr>
      </w:pPr>
      <w:r w:rsidRPr="00711E68">
        <w:rPr>
          <w:szCs w:val="22"/>
          <w:lang w:val="sr-Latn-RS"/>
        </w:rPr>
        <w:t>Jed</w:t>
      </w:r>
      <w:r w:rsidR="00281087" w:rsidRPr="00711E68">
        <w:rPr>
          <w:szCs w:val="22"/>
          <w:lang w:val="sr-Latn-RS"/>
        </w:rPr>
        <w:t>a</w:t>
      </w:r>
      <w:r w:rsidR="00C30E60" w:rsidRPr="00711E68">
        <w:rPr>
          <w:szCs w:val="22"/>
          <w:lang w:val="sr-Latn-RS"/>
        </w:rPr>
        <w:t>n</w:t>
      </w:r>
      <w:r w:rsidRPr="00711E68">
        <w:rPr>
          <w:szCs w:val="22"/>
          <w:lang w:val="sr-Latn-RS"/>
        </w:rPr>
        <w:t xml:space="preserve"> napunjen špric</w:t>
      </w:r>
      <w:r w:rsidR="003C3369">
        <w:rPr>
          <w:szCs w:val="22"/>
          <w:lang w:val="sr-Latn-RS"/>
        </w:rPr>
        <w:t xml:space="preserve"> sadrži 75 mg risankizumaba u 0.</w:t>
      </w:r>
      <w:r w:rsidRPr="00711E68">
        <w:rPr>
          <w:szCs w:val="22"/>
          <w:lang w:val="sr-Latn-RS"/>
        </w:rPr>
        <w:t>83 m</w:t>
      </w:r>
      <w:r w:rsidR="00281087" w:rsidRPr="00711E68">
        <w:rPr>
          <w:szCs w:val="22"/>
          <w:lang w:val="sr-Latn-RS"/>
        </w:rPr>
        <w:t>l</w:t>
      </w:r>
      <w:r w:rsidR="00164B19" w:rsidRPr="00711E68">
        <w:rPr>
          <w:szCs w:val="22"/>
          <w:lang w:val="sr-Latn-RS"/>
        </w:rPr>
        <w:t xml:space="preserve"> rastvora</w:t>
      </w:r>
      <w:r w:rsidRPr="00711E68">
        <w:rPr>
          <w:szCs w:val="22"/>
          <w:lang w:val="sr-Latn-RS"/>
        </w:rPr>
        <w:t>.</w:t>
      </w:r>
    </w:p>
    <w:p w14:paraId="4563E6DE" w14:textId="249C9BDB" w:rsidR="00585B25" w:rsidRPr="00711E68" w:rsidRDefault="00585B25" w:rsidP="00711E68">
      <w:pPr>
        <w:rPr>
          <w:szCs w:val="22"/>
          <w:lang w:val="sr-Latn-RS"/>
        </w:rPr>
      </w:pPr>
    </w:p>
    <w:p w14:paraId="7FCA2E48" w14:textId="450DD671" w:rsidR="00CE09F3" w:rsidRPr="00711E68" w:rsidRDefault="00585B25" w:rsidP="00711E68">
      <w:pPr>
        <w:rPr>
          <w:szCs w:val="22"/>
          <w:lang w:val="sr-Latn-RS"/>
        </w:rPr>
      </w:pPr>
      <w:r w:rsidRPr="00711E68">
        <w:rPr>
          <w:szCs w:val="22"/>
          <w:lang w:val="sr-Latn-RS"/>
        </w:rPr>
        <w:t>L</w:t>
      </w:r>
      <w:r w:rsidR="00393774" w:rsidRPr="00711E68">
        <w:rPr>
          <w:szCs w:val="22"/>
          <w:lang w:val="sr-Latn-RS"/>
        </w:rPr>
        <w:t>ij</w:t>
      </w:r>
      <w:r w:rsidRPr="00711E68">
        <w:rPr>
          <w:szCs w:val="22"/>
          <w:lang w:val="sr-Latn-RS"/>
        </w:rPr>
        <w:t>ek Skyrizi je dostupan u pakovanj</w:t>
      </w:r>
      <w:r w:rsidR="00535242" w:rsidRPr="00711E68">
        <w:rPr>
          <w:szCs w:val="22"/>
          <w:lang w:val="sr-Latn-RS"/>
        </w:rPr>
        <w:t>u</w:t>
      </w:r>
      <w:r w:rsidRPr="00711E68">
        <w:rPr>
          <w:szCs w:val="22"/>
          <w:lang w:val="sr-Latn-RS"/>
        </w:rPr>
        <w:t xml:space="preserve"> koj</w:t>
      </w:r>
      <w:r w:rsidR="00535242" w:rsidRPr="00711E68">
        <w:rPr>
          <w:szCs w:val="22"/>
          <w:lang w:val="sr-Latn-RS"/>
        </w:rPr>
        <w:t>e</w:t>
      </w:r>
      <w:r w:rsidRPr="00711E68">
        <w:rPr>
          <w:szCs w:val="22"/>
          <w:lang w:val="sr-Latn-RS"/>
        </w:rPr>
        <w:t xml:space="preserve"> sadrž</w:t>
      </w:r>
      <w:r w:rsidR="00535242" w:rsidRPr="00711E68">
        <w:rPr>
          <w:szCs w:val="22"/>
          <w:lang w:val="sr-Latn-RS"/>
        </w:rPr>
        <w:t>i</w:t>
      </w:r>
      <w:r w:rsidRPr="00711E68">
        <w:rPr>
          <w:szCs w:val="22"/>
          <w:lang w:val="sr-Latn-RS"/>
        </w:rPr>
        <w:t xml:space="preserve"> 2 napunjena šprica i 2</w:t>
      </w:r>
      <w:r w:rsidR="00281087" w:rsidRPr="00711E68">
        <w:rPr>
          <w:szCs w:val="22"/>
          <w:lang w:val="sr-Latn-RS"/>
        </w:rPr>
        <w:t xml:space="preserve"> jastučića natopljena </w:t>
      </w:r>
      <w:r w:rsidRPr="00711E68">
        <w:rPr>
          <w:szCs w:val="22"/>
          <w:lang w:val="sr-Latn-RS"/>
        </w:rPr>
        <w:t>alkohol</w:t>
      </w:r>
      <w:r w:rsidR="00281087" w:rsidRPr="00711E68">
        <w:rPr>
          <w:szCs w:val="22"/>
          <w:lang w:val="sr-Latn-RS"/>
        </w:rPr>
        <w:t>om.</w:t>
      </w:r>
    </w:p>
    <w:p w14:paraId="3EE88970" w14:textId="77777777" w:rsidR="00281087" w:rsidRPr="00711E68" w:rsidRDefault="00281087" w:rsidP="00711E68">
      <w:pPr>
        <w:rPr>
          <w:szCs w:val="22"/>
          <w:lang w:val="sr-Latn-RS"/>
        </w:rPr>
      </w:pPr>
    </w:p>
    <w:p w14:paraId="0A5E6C48" w14:textId="62A02CB8" w:rsidR="00CE09F3" w:rsidRPr="00711E68" w:rsidRDefault="00CE09F3" w:rsidP="00711E68">
      <w:pPr>
        <w:rPr>
          <w:b/>
          <w:bCs/>
          <w:szCs w:val="22"/>
          <w:lang w:val="sr-Latn-RS"/>
        </w:rPr>
      </w:pPr>
      <w:r w:rsidRPr="00711E68">
        <w:rPr>
          <w:b/>
          <w:bCs/>
          <w:szCs w:val="22"/>
          <w:lang w:val="sr-Latn-RS"/>
        </w:rPr>
        <w:t>6.6. Posebne m</w:t>
      </w:r>
      <w:r w:rsidR="00393774" w:rsidRPr="00711E68">
        <w:rPr>
          <w:b/>
          <w:bCs/>
          <w:szCs w:val="22"/>
          <w:lang w:val="sr-Latn-RS"/>
        </w:rPr>
        <w:t>j</w:t>
      </w:r>
      <w:r w:rsidRPr="00711E68">
        <w:rPr>
          <w:b/>
          <w:bCs/>
          <w:szCs w:val="22"/>
          <w:lang w:val="sr-Latn-RS"/>
        </w:rPr>
        <w:t>ere opreza pri odlaganju materijala koji treba odbaciti nakon prim</w:t>
      </w:r>
      <w:r w:rsidR="00393774" w:rsidRPr="00711E68">
        <w:rPr>
          <w:b/>
          <w:bCs/>
          <w:szCs w:val="22"/>
          <w:lang w:val="sr-Latn-RS"/>
        </w:rPr>
        <w:t>j</w:t>
      </w:r>
      <w:r w:rsidRPr="00711E68">
        <w:rPr>
          <w:b/>
          <w:bCs/>
          <w:szCs w:val="22"/>
          <w:lang w:val="sr-Latn-RS"/>
        </w:rPr>
        <w:t>ene l</w:t>
      </w:r>
      <w:r w:rsidR="00393774" w:rsidRPr="00711E68">
        <w:rPr>
          <w:b/>
          <w:bCs/>
          <w:szCs w:val="22"/>
          <w:lang w:val="sr-Latn-RS"/>
        </w:rPr>
        <w:t>ij</w:t>
      </w:r>
      <w:r w:rsidRPr="00711E68">
        <w:rPr>
          <w:b/>
          <w:bCs/>
          <w:szCs w:val="22"/>
          <w:lang w:val="sr-Latn-RS"/>
        </w:rPr>
        <w:t>eka (i druga uputstva za rukovanje l</w:t>
      </w:r>
      <w:r w:rsidR="00393774" w:rsidRPr="00711E68">
        <w:rPr>
          <w:b/>
          <w:bCs/>
          <w:szCs w:val="22"/>
          <w:lang w:val="sr-Latn-RS"/>
        </w:rPr>
        <w:t>ij</w:t>
      </w:r>
      <w:r w:rsidRPr="00711E68">
        <w:rPr>
          <w:b/>
          <w:bCs/>
          <w:szCs w:val="22"/>
          <w:lang w:val="sr-Latn-RS"/>
        </w:rPr>
        <w:t>ekom)</w:t>
      </w:r>
    </w:p>
    <w:p w14:paraId="636CBDD3" w14:textId="77777777" w:rsidR="00CE09F3" w:rsidRPr="00711E68" w:rsidRDefault="00CE09F3" w:rsidP="00711E68">
      <w:pPr>
        <w:rPr>
          <w:szCs w:val="22"/>
          <w:lang w:val="sr-Latn-RS"/>
        </w:rPr>
      </w:pPr>
    </w:p>
    <w:p w14:paraId="52CB5380" w14:textId="0716332C" w:rsidR="00585B25" w:rsidRPr="00711E68" w:rsidRDefault="00585B25" w:rsidP="00711E68">
      <w:pPr>
        <w:pStyle w:val="Header"/>
        <w:tabs>
          <w:tab w:val="clear" w:pos="4536"/>
          <w:tab w:val="clear" w:pos="9072"/>
          <w:tab w:val="left" w:pos="284"/>
        </w:tabs>
        <w:jc w:val="left"/>
        <w:rPr>
          <w:szCs w:val="22"/>
          <w:lang w:val="sr-Latn-RS"/>
        </w:rPr>
      </w:pPr>
      <w:r w:rsidRPr="00711E68">
        <w:rPr>
          <w:szCs w:val="22"/>
          <w:lang w:val="sr-Latn-RS"/>
        </w:rPr>
        <w:t>Pr</w:t>
      </w:r>
      <w:r w:rsidR="00393774" w:rsidRPr="00711E68">
        <w:rPr>
          <w:szCs w:val="22"/>
          <w:lang w:val="sr-Latn-RS"/>
        </w:rPr>
        <w:t>ij</w:t>
      </w:r>
      <w:r w:rsidRPr="00711E68">
        <w:rPr>
          <w:szCs w:val="22"/>
          <w:lang w:val="sr-Latn-RS"/>
        </w:rPr>
        <w:t xml:space="preserve">e </w:t>
      </w:r>
      <w:r w:rsidR="006017B0" w:rsidRPr="00711E68">
        <w:rPr>
          <w:szCs w:val="22"/>
          <w:lang w:val="sr-Latn-RS"/>
        </w:rPr>
        <w:t>prim</w:t>
      </w:r>
      <w:r w:rsidR="00393774" w:rsidRPr="00711E68">
        <w:rPr>
          <w:szCs w:val="22"/>
          <w:lang w:val="sr-Latn-RS"/>
        </w:rPr>
        <w:t>j</w:t>
      </w:r>
      <w:r w:rsidR="006017B0" w:rsidRPr="00711E68">
        <w:rPr>
          <w:szCs w:val="22"/>
          <w:lang w:val="sr-Latn-RS"/>
        </w:rPr>
        <w:t>ene injekcije</w:t>
      </w:r>
      <w:r w:rsidRPr="00711E68">
        <w:rPr>
          <w:szCs w:val="22"/>
          <w:lang w:val="sr-Latn-RS"/>
        </w:rPr>
        <w:t xml:space="preserve">, pacijenti mogu </w:t>
      </w:r>
      <w:r w:rsidR="00BD49B9" w:rsidRPr="00711E68">
        <w:rPr>
          <w:szCs w:val="22"/>
          <w:lang w:val="sr-Latn-RS"/>
        </w:rPr>
        <w:t>izvaditi</w:t>
      </w:r>
      <w:r w:rsidRPr="00711E68">
        <w:rPr>
          <w:szCs w:val="22"/>
          <w:lang w:val="sr-Latn-RS"/>
        </w:rPr>
        <w:t xml:space="preserve"> </w:t>
      </w:r>
      <w:r w:rsidR="001A5EFB" w:rsidRPr="00711E68">
        <w:rPr>
          <w:szCs w:val="22"/>
          <w:lang w:val="sr-Latn-RS"/>
        </w:rPr>
        <w:t>kutiju</w:t>
      </w:r>
      <w:r w:rsidRPr="00711E68">
        <w:rPr>
          <w:szCs w:val="22"/>
          <w:lang w:val="sr-Latn-RS"/>
        </w:rPr>
        <w:t xml:space="preserve"> iz frižidera i </w:t>
      </w:r>
      <w:r w:rsidR="00BD49B9" w:rsidRPr="00711E68">
        <w:rPr>
          <w:szCs w:val="22"/>
          <w:lang w:val="sr-Latn-RS"/>
        </w:rPr>
        <w:t>p</w:t>
      </w:r>
      <w:r w:rsidR="00C935EE" w:rsidRPr="00711E68">
        <w:rPr>
          <w:szCs w:val="22"/>
          <w:lang w:val="sr-Latn-RS"/>
        </w:rPr>
        <w:t>ričekati</w:t>
      </w:r>
      <w:r w:rsidR="00BD49B9" w:rsidRPr="00711E68">
        <w:rPr>
          <w:szCs w:val="22"/>
          <w:lang w:val="sr-Latn-RS"/>
        </w:rPr>
        <w:t xml:space="preserve"> da se </w:t>
      </w:r>
      <w:r w:rsidR="00C935EE" w:rsidRPr="00711E68">
        <w:rPr>
          <w:szCs w:val="22"/>
          <w:lang w:val="sr-Latn-RS"/>
        </w:rPr>
        <w:t>lijek ugrije</w:t>
      </w:r>
      <w:r w:rsidR="00361D67" w:rsidRPr="00711E68">
        <w:rPr>
          <w:szCs w:val="22"/>
          <w:lang w:val="sr-Latn-RS"/>
        </w:rPr>
        <w:t xml:space="preserve"> na </w:t>
      </w:r>
      <w:r w:rsidR="00BD49B9" w:rsidRPr="00711E68">
        <w:rPr>
          <w:szCs w:val="22"/>
          <w:lang w:val="sr-Latn-RS"/>
        </w:rPr>
        <w:t>sobn</w:t>
      </w:r>
      <w:r w:rsidR="00361D67" w:rsidRPr="00711E68">
        <w:rPr>
          <w:szCs w:val="22"/>
          <w:lang w:val="sr-Latn-RS"/>
        </w:rPr>
        <w:t>u</w:t>
      </w:r>
      <w:r w:rsidR="00BD49B9" w:rsidRPr="00711E68">
        <w:rPr>
          <w:szCs w:val="22"/>
          <w:lang w:val="sr-Latn-RS"/>
        </w:rPr>
        <w:t xml:space="preserve"> temperatur</w:t>
      </w:r>
      <w:r w:rsidR="00361D67" w:rsidRPr="00711E68">
        <w:rPr>
          <w:szCs w:val="22"/>
          <w:lang w:val="sr-Latn-RS"/>
        </w:rPr>
        <w:t>u</w:t>
      </w:r>
      <w:r w:rsidR="00BD49B9" w:rsidRPr="00711E68">
        <w:rPr>
          <w:szCs w:val="22"/>
          <w:lang w:val="sr-Latn-RS"/>
        </w:rPr>
        <w:t xml:space="preserve"> </w:t>
      </w:r>
      <w:r w:rsidR="00361D67" w:rsidRPr="00711E68">
        <w:rPr>
          <w:szCs w:val="22"/>
          <w:lang w:val="sr-Latn-RS"/>
        </w:rPr>
        <w:t xml:space="preserve">bez izlaganja </w:t>
      </w:r>
      <w:r w:rsidR="00BD49B9" w:rsidRPr="00711E68">
        <w:rPr>
          <w:szCs w:val="22"/>
          <w:lang w:val="sr-Latn-RS"/>
        </w:rPr>
        <w:t>direktn</w:t>
      </w:r>
      <w:r w:rsidR="00361D67" w:rsidRPr="00711E68">
        <w:rPr>
          <w:szCs w:val="22"/>
          <w:lang w:val="sr-Latn-RS"/>
        </w:rPr>
        <w:t>oj</w:t>
      </w:r>
      <w:r w:rsidR="00BD49B9" w:rsidRPr="00711E68">
        <w:rPr>
          <w:szCs w:val="22"/>
          <w:lang w:val="sr-Latn-RS"/>
        </w:rPr>
        <w:t xml:space="preserve"> sunčev</w:t>
      </w:r>
      <w:r w:rsidR="00361D67" w:rsidRPr="00711E68">
        <w:rPr>
          <w:szCs w:val="22"/>
          <w:lang w:val="sr-Latn-RS"/>
        </w:rPr>
        <w:t>oj</w:t>
      </w:r>
      <w:r w:rsidR="00BD49B9" w:rsidRPr="00711E68">
        <w:rPr>
          <w:szCs w:val="22"/>
          <w:lang w:val="sr-Latn-RS"/>
        </w:rPr>
        <w:t xml:space="preserve"> sv</w:t>
      </w:r>
      <w:r w:rsidR="00393774" w:rsidRPr="00711E68">
        <w:rPr>
          <w:szCs w:val="22"/>
          <w:lang w:val="sr-Latn-RS"/>
        </w:rPr>
        <w:t>j</w:t>
      </w:r>
      <w:r w:rsidR="00BD49B9" w:rsidRPr="00711E68">
        <w:rPr>
          <w:szCs w:val="22"/>
          <w:lang w:val="sr-Latn-RS"/>
        </w:rPr>
        <w:t xml:space="preserve">etlosti (15 do 30 minuta) </w:t>
      </w:r>
      <w:r w:rsidR="00361D67" w:rsidRPr="00711E68">
        <w:rPr>
          <w:szCs w:val="22"/>
          <w:lang w:val="sr-Latn-RS"/>
        </w:rPr>
        <w:t xml:space="preserve">i </w:t>
      </w:r>
      <w:r w:rsidR="00BD49B9" w:rsidRPr="00711E68">
        <w:rPr>
          <w:szCs w:val="22"/>
          <w:lang w:val="sr-Latn-RS"/>
        </w:rPr>
        <w:t>bez vađenja napunjenih špriceva iz kutije.</w:t>
      </w:r>
    </w:p>
    <w:p w14:paraId="0C3EDE1E" w14:textId="62DBD826" w:rsidR="00BD49B9" w:rsidRPr="00711E68" w:rsidRDefault="00BD49B9" w:rsidP="00711E68">
      <w:pPr>
        <w:pStyle w:val="Header"/>
        <w:tabs>
          <w:tab w:val="clear" w:pos="4536"/>
          <w:tab w:val="clear" w:pos="9072"/>
          <w:tab w:val="left" w:pos="284"/>
        </w:tabs>
        <w:jc w:val="left"/>
        <w:rPr>
          <w:szCs w:val="22"/>
          <w:lang w:val="sr-Latn-RS"/>
        </w:rPr>
      </w:pPr>
    </w:p>
    <w:p w14:paraId="27000CF0" w14:textId="7C83A2C4" w:rsidR="00BD49B9" w:rsidRPr="00711E68" w:rsidRDefault="00BD49B9" w:rsidP="00711E68">
      <w:pPr>
        <w:pStyle w:val="Header"/>
        <w:tabs>
          <w:tab w:val="clear" w:pos="4536"/>
          <w:tab w:val="clear" w:pos="9072"/>
          <w:tab w:val="left" w:pos="284"/>
        </w:tabs>
        <w:jc w:val="left"/>
        <w:rPr>
          <w:szCs w:val="22"/>
          <w:lang w:val="sr-Latn-RS"/>
        </w:rPr>
      </w:pPr>
      <w:r w:rsidRPr="00711E68">
        <w:rPr>
          <w:szCs w:val="22"/>
          <w:lang w:val="sr-Latn-RS"/>
        </w:rPr>
        <w:t>Pr</w:t>
      </w:r>
      <w:r w:rsidR="00393774" w:rsidRPr="00711E68">
        <w:rPr>
          <w:szCs w:val="22"/>
          <w:lang w:val="sr-Latn-RS"/>
        </w:rPr>
        <w:t>ij</w:t>
      </w:r>
      <w:r w:rsidRPr="00711E68">
        <w:rPr>
          <w:szCs w:val="22"/>
          <w:lang w:val="sr-Latn-RS"/>
        </w:rPr>
        <w:t>e prim</w:t>
      </w:r>
      <w:r w:rsidR="00393774" w:rsidRPr="00711E68">
        <w:rPr>
          <w:szCs w:val="22"/>
          <w:lang w:val="sr-Latn-RS"/>
        </w:rPr>
        <w:t>j</w:t>
      </w:r>
      <w:r w:rsidRPr="00711E68">
        <w:rPr>
          <w:szCs w:val="22"/>
          <w:lang w:val="sr-Latn-RS"/>
        </w:rPr>
        <w:t>ene</w:t>
      </w:r>
      <w:r w:rsidR="00FC64F1" w:rsidRPr="00711E68">
        <w:rPr>
          <w:szCs w:val="22"/>
          <w:lang w:val="sr-Latn-RS"/>
        </w:rPr>
        <w:t xml:space="preserve"> </w:t>
      </w:r>
      <w:r w:rsidRPr="00711E68">
        <w:rPr>
          <w:szCs w:val="22"/>
          <w:lang w:val="sr-Latn-RS"/>
        </w:rPr>
        <w:t>prepor</w:t>
      </w:r>
      <w:r w:rsidR="006017B0" w:rsidRPr="00711E68">
        <w:rPr>
          <w:szCs w:val="22"/>
          <w:lang w:val="sr-Latn-RS"/>
        </w:rPr>
        <w:t>učuje se</w:t>
      </w:r>
      <w:r w:rsidRPr="00711E68">
        <w:rPr>
          <w:szCs w:val="22"/>
          <w:lang w:val="sr-Latn-RS"/>
        </w:rPr>
        <w:t xml:space="preserve"> vizueln</w:t>
      </w:r>
      <w:r w:rsidR="00FC64F1" w:rsidRPr="00711E68">
        <w:rPr>
          <w:szCs w:val="22"/>
          <w:lang w:val="sr-Latn-RS"/>
        </w:rPr>
        <w:t xml:space="preserve">o pregledati </w:t>
      </w:r>
      <w:r w:rsidRPr="00711E68">
        <w:rPr>
          <w:szCs w:val="22"/>
          <w:lang w:val="sr-Latn-RS"/>
        </w:rPr>
        <w:t>svak</w:t>
      </w:r>
      <w:r w:rsidR="00FC64F1" w:rsidRPr="00711E68">
        <w:rPr>
          <w:szCs w:val="22"/>
          <w:lang w:val="sr-Latn-RS"/>
        </w:rPr>
        <w:t>i</w:t>
      </w:r>
      <w:r w:rsidRPr="00711E68">
        <w:rPr>
          <w:szCs w:val="22"/>
          <w:lang w:val="sr-Latn-RS"/>
        </w:rPr>
        <w:t xml:space="preserve"> napunjen</w:t>
      </w:r>
      <w:r w:rsidR="00C20AF0" w:rsidRPr="00711E68">
        <w:rPr>
          <w:szCs w:val="22"/>
          <w:lang w:val="sr-Latn-RS"/>
        </w:rPr>
        <w:t xml:space="preserve"> </w:t>
      </w:r>
      <w:r w:rsidRPr="00711E68">
        <w:rPr>
          <w:szCs w:val="22"/>
          <w:lang w:val="sr-Latn-RS"/>
        </w:rPr>
        <w:t xml:space="preserve">špric. Rastvor </w:t>
      </w:r>
      <w:r w:rsidR="00E5336D" w:rsidRPr="00711E68">
        <w:rPr>
          <w:szCs w:val="22"/>
          <w:lang w:val="sr-Latn-RS"/>
        </w:rPr>
        <w:t>mora biti</w:t>
      </w:r>
      <w:r w:rsidRPr="00711E68">
        <w:rPr>
          <w:szCs w:val="22"/>
          <w:lang w:val="sr-Latn-RS"/>
        </w:rPr>
        <w:t xml:space="preserve"> bezbojan do bl</w:t>
      </w:r>
      <w:r w:rsidR="00393774" w:rsidRPr="00711E68">
        <w:rPr>
          <w:szCs w:val="22"/>
          <w:lang w:val="sr-Latn-RS"/>
        </w:rPr>
        <w:t>ij</w:t>
      </w:r>
      <w:r w:rsidRPr="00711E68">
        <w:rPr>
          <w:szCs w:val="22"/>
          <w:lang w:val="sr-Latn-RS"/>
        </w:rPr>
        <w:t>edožut i bistar do blago zamućen. Rastvor može sadržati par prozračnih do b</w:t>
      </w:r>
      <w:r w:rsidR="00393774" w:rsidRPr="00711E68">
        <w:rPr>
          <w:szCs w:val="22"/>
          <w:lang w:val="sr-Latn-RS"/>
        </w:rPr>
        <w:t>ij</w:t>
      </w:r>
      <w:r w:rsidRPr="00711E68">
        <w:rPr>
          <w:szCs w:val="22"/>
          <w:lang w:val="sr-Latn-RS"/>
        </w:rPr>
        <w:t xml:space="preserve">elih čestica koje potiču od </w:t>
      </w:r>
      <w:r w:rsidR="003C3A34" w:rsidRPr="00711E68">
        <w:rPr>
          <w:szCs w:val="22"/>
          <w:lang w:val="sr-Latn-RS"/>
        </w:rPr>
        <w:t>l</w:t>
      </w:r>
      <w:r w:rsidR="00393774" w:rsidRPr="00711E68">
        <w:rPr>
          <w:szCs w:val="22"/>
          <w:lang w:val="sr-Latn-RS"/>
        </w:rPr>
        <w:t>ij</w:t>
      </w:r>
      <w:r w:rsidR="003C3A34" w:rsidRPr="00711E68">
        <w:rPr>
          <w:szCs w:val="22"/>
          <w:lang w:val="sr-Latn-RS"/>
        </w:rPr>
        <w:t>eka</w:t>
      </w:r>
      <w:r w:rsidRPr="00711E68">
        <w:rPr>
          <w:szCs w:val="22"/>
          <w:lang w:val="sr-Latn-RS"/>
        </w:rPr>
        <w:t>. L</w:t>
      </w:r>
      <w:r w:rsidR="00393774" w:rsidRPr="00711E68">
        <w:rPr>
          <w:szCs w:val="22"/>
          <w:lang w:val="sr-Latn-RS"/>
        </w:rPr>
        <w:t>ij</w:t>
      </w:r>
      <w:r w:rsidRPr="00711E68">
        <w:rPr>
          <w:szCs w:val="22"/>
          <w:lang w:val="sr-Latn-RS"/>
        </w:rPr>
        <w:t xml:space="preserve">ek Skyrizi </w:t>
      </w:r>
      <w:r w:rsidR="003C3A34" w:rsidRPr="00711E68">
        <w:rPr>
          <w:szCs w:val="22"/>
          <w:lang w:val="sr-Latn-RS"/>
        </w:rPr>
        <w:t xml:space="preserve">se </w:t>
      </w:r>
      <w:r w:rsidRPr="00711E68">
        <w:rPr>
          <w:szCs w:val="22"/>
          <w:lang w:val="sr-Latn-RS"/>
        </w:rPr>
        <w:t xml:space="preserve">ne </w:t>
      </w:r>
      <w:r w:rsidR="003C3A34" w:rsidRPr="00711E68">
        <w:rPr>
          <w:szCs w:val="22"/>
          <w:lang w:val="sr-Latn-RS"/>
        </w:rPr>
        <w:t>sm</w:t>
      </w:r>
      <w:r w:rsidR="00393774" w:rsidRPr="00711E68">
        <w:rPr>
          <w:szCs w:val="22"/>
          <w:lang w:val="sr-Latn-RS"/>
        </w:rPr>
        <w:t>ij</w:t>
      </w:r>
      <w:r w:rsidR="003C3A34" w:rsidRPr="00711E68">
        <w:rPr>
          <w:szCs w:val="22"/>
          <w:lang w:val="sr-Latn-RS"/>
        </w:rPr>
        <w:t>e prim</w:t>
      </w:r>
      <w:r w:rsidR="00393774" w:rsidRPr="00711E68">
        <w:rPr>
          <w:szCs w:val="22"/>
          <w:lang w:val="sr-Latn-RS"/>
        </w:rPr>
        <w:t>ij</w:t>
      </w:r>
      <w:r w:rsidR="003C3A34" w:rsidRPr="00711E68">
        <w:rPr>
          <w:szCs w:val="22"/>
          <w:lang w:val="sr-Latn-RS"/>
        </w:rPr>
        <w:t>eniti</w:t>
      </w:r>
      <w:r w:rsidRPr="00711E68">
        <w:rPr>
          <w:szCs w:val="22"/>
          <w:lang w:val="sr-Latn-RS"/>
        </w:rPr>
        <w:t xml:space="preserve"> ukoliko je rastvor zamućen ili</w:t>
      </w:r>
      <w:r w:rsidR="003C3A34" w:rsidRPr="00711E68">
        <w:rPr>
          <w:szCs w:val="22"/>
          <w:lang w:val="sr-Latn-RS"/>
        </w:rPr>
        <w:t xml:space="preserve"> je prom</w:t>
      </w:r>
      <w:r w:rsidR="00393774" w:rsidRPr="00711E68">
        <w:rPr>
          <w:szCs w:val="22"/>
          <w:lang w:val="sr-Latn-RS"/>
        </w:rPr>
        <w:t>ij</w:t>
      </w:r>
      <w:r w:rsidR="003C3A34" w:rsidRPr="00711E68">
        <w:rPr>
          <w:szCs w:val="22"/>
          <w:lang w:val="sr-Latn-RS"/>
        </w:rPr>
        <w:t>enio boju</w:t>
      </w:r>
      <w:r w:rsidRPr="00711E68">
        <w:rPr>
          <w:szCs w:val="22"/>
          <w:lang w:val="sr-Latn-RS"/>
        </w:rPr>
        <w:t xml:space="preserve">, ili </w:t>
      </w:r>
      <w:r w:rsidR="003C3A34" w:rsidRPr="00711E68">
        <w:rPr>
          <w:szCs w:val="22"/>
          <w:lang w:val="sr-Latn-RS"/>
        </w:rPr>
        <w:t xml:space="preserve">ako </w:t>
      </w:r>
      <w:r w:rsidRPr="00711E68">
        <w:rPr>
          <w:szCs w:val="22"/>
          <w:lang w:val="sr-Latn-RS"/>
        </w:rPr>
        <w:t xml:space="preserve">sadrži velike čestice. </w:t>
      </w:r>
    </w:p>
    <w:p w14:paraId="3C7BCCD6" w14:textId="746E034F" w:rsidR="00BD49B9" w:rsidRPr="00711E68" w:rsidRDefault="00BD49B9" w:rsidP="00711E68">
      <w:pPr>
        <w:pStyle w:val="Header"/>
        <w:tabs>
          <w:tab w:val="clear" w:pos="4536"/>
          <w:tab w:val="clear" w:pos="9072"/>
          <w:tab w:val="left" w:pos="284"/>
        </w:tabs>
        <w:jc w:val="left"/>
        <w:rPr>
          <w:szCs w:val="22"/>
          <w:lang w:val="sr-Latn-RS"/>
        </w:rPr>
      </w:pPr>
    </w:p>
    <w:p w14:paraId="3B81D82C" w14:textId="43322010" w:rsidR="00BD49B9" w:rsidRPr="00711E68" w:rsidRDefault="0047019F" w:rsidP="00711E68">
      <w:pPr>
        <w:pStyle w:val="Header"/>
        <w:tabs>
          <w:tab w:val="clear" w:pos="4536"/>
          <w:tab w:val="clear" w:pos="9072"/>
          <w:tab w:val="left" w:pos="284"/>
        </w:tabs>
        <w:jc w:val="left"/>
        <w:rPr>
          <w:szCs w:val="22"/>
          <w:lang w:val="sr-Latn-RS"/>
        </w:rPr>
      </w:pPr>
      <w:r w:rsidRPr="00711E68">
        <w:rPr>
          <w:szCs w:val="22"/>
          <w:lang w:val="sr-Latn-RS"/>
        </w:rPr>
        <w:t>Z</w:t>
      </w:r>
      <w:r w:rsidR="00BD49B9" w:rsidRPr="00711E68">
        <w:rPr>
          <w:szCs w:val="22"/>
          <w:lang w:val="sr-Latn-RS"/>
        </w:rPr>
        <w:t>a prim</w:t>
      </w:r>
      <w:r w:rsidR="00393774" w:rsidRPr="00711E68">
        <w:rPr>
          <w:szCs w:val="22"/>
          <w:lang w:val="sr-Latn-RS"/>
        </w:rPr>
        <w:t>j</w:t>
      </w:r>
      <w:r w:rsidR="00BD49B9" w:rsidRPr="00711E68">
        <w:rPr>
          <w:szCs w:val="22"/>
          <w:lang w:val="sr-Latn-RS"/>
        </w:rPr>
        <w:t>enu pune doze od 150 mg</w:t>
      </w:r>
      <w:r w:rsidRPr="00711E68">
        <w:rPr>
          <w:szCs w:val="22"/>
          <w:lang w:val="sr-Latn-RS"/>
        </w:rPr>
        <w:t xml:space="preserve"> </w:t>
      </w:r>
      <w:r w:rsidR="00CD7BD8" w:rsidRPr="00711E68">
        <w:rPr>
          <w:szCs w:val="22"/>
          <w:lang w:val="sr-Latn-RS"/>
        </w:rPr>
        <w:t xml:space="preserve">potrebno je injektovati sadržaj </w:t>
      </w:r>
      <w:r w:rsidRPr="00711E68">
        <w:rPr>
          <w:szCs w:val="22"/>
          <w:lang w:val="sr-Latn-RS"/>
        </w:rPr>
        <w:t>dva napunjena šprica</w:t>
      </w:r>
      <w:r w:rsidR="00BD49B9" w:rsidRPr="00711E68">
        <w:rPr>
          <w:szCs w:val="22"/>
          <w:lang w:val="sr-Latn-RS"/>
        </w:rPr>
        <w:t xml:space="preserve">. </w:t>
      </w:r>
      <w:r w:rsidR="0027065A" w:rsidRPr="00711E68">
        <w:rPr>
          <w:szCs w:val="22"/>
          <w:lang w:val="sr-Latn-RS"/>
        </w:rPr>
        <w:t>Detaljna</w:t>
      </w:r>
      <w:r w:rsidR="00BD49B9" w:rsidRPr="00711E68">
        <w:rPr>
          <w:szCs w:val="22"/>
          <w:lang w:val="sr-Latn-RS"/>
        </w:rPr>
        <w:t xml:space="preserve"> uputstva za </w:t>
      </w:r>
      <w:r w:rsidR="0027065A" w:rsidRPr="00711E68">
        <w:rPr>
          <w:szCs w:val="22"/>
          <w:lang w:val="sr-Latn-RS"/>
        </w:rPr>
        <w:t>upotreb</w:t>
      </w:r>
      <w:r w:rsidR="00BD49B9" w:rsidRPr="00711E68">
        <w:rPr>
          <w:szCs w:val="22"/>
          <w:lang w:val="sr-Latn-RS"/>
        </w:rPr>
        <w:t xml:space="preserve">u </w:t>
      </w:r>
      <w:r w:rsidR="005B5D4E" w:rsidRPr="00711E68">
        <w:rPr>
          <w:szCs w:val="22"/>
          <w:lang w:val="sr-Latn-RS"/>
        </w:rPr>
        <w:t>navedena su</w:t>
      </w:r>
      <w:r w:rsidR="00BD49B9" w:rsidRPr="00711E68">
        <w:rPr>
          <w:szCs w:val="22"/>
          <w:lang w:val="sr-Latn-RS"/>
        </w:rPr>
        <w:t xml:space="preserve"> u Uputstvu za </w:t>
      </w:r>
      <w:r w:rsidR="00E102E7" w:rsidRPr="00711E68">
        <w:rPr>
          <w:szCs w:val="22"/>
          <w:lang w:val="sr-Latn-RS"/>
        </w:rPr>
        <w:t>lijek</w:t>
      </w:r>
      <w:r w:rsidR="00BD49B9" w:rsidRPr="00711E68">
        <w:rPr>
          <w:szCs w:val="22"/>
          <w:lang w:val="sr-Latn-RS"/>
        </w:rPr>
        <w:t>.</w:t>
      </w:r>
    </w:p>
    <w:p w14:paraId="4128962B" w14:textId="77777777" w:rsidR="00585B25" w:rsidRPr="00711E68" w:rsidRDefault="00585B25" w:rsidP="00711E68">
      <w:pPr>
        <w:pStyle w:val="Header"/>
        <w:tabs>
          <w:tab w:val="clear" w:pos="4536"/>
          <w:tab w:val="clear" w:pos="9072"/>
          <w:tab w:val="left" w:pos="284"/>
        </w:tabs>
        <w:jc w:val="left"/>
        <w:rPr>
          <w:szCs w:val="22"/>
          <w:lang w:val="sr-Latn-RS"/>
        </w:rPr>
      </w:pPr>
    </w:p>
    <w:p w14:paraId="299D523F" w14:textId="6AF354EE" w:rsidR="00585B25" w:rsidRPr="00711E68" w:rsidRDefault="00585B25" w:rsidP="00711E68">
      <w:pPr>
        <w:pStyle w:val="Header"/>
        <w:tabs>
          <w:tab w:val="clear" w:pos="4536"/>
          <w:tab w:val="clear" w:pos="9072"/>
          <w:tab w:val="left" w:pos="284"/>
        </w:tabs>
        <w:jc w:val="left"/>
        <w:rPr>
          <w:szCs w:val="22"/>
          <w:lang w:val="sr-Latn-RS"/>
        </w:rPr>
      </w:pPr>
      <w:r w:rsidRPr="00711E68">
        <w:rPr>
          <w:szCs w:val="22"/>
          <w:lang w:val="sr-Latn-RS"/>
        </w:rPr>
        <w:t xml:space="preserve">Svaki napunjen špric je </w:t>
      </w:r>
      <w:r w:rsidR="003C3A34" w:rsidRPr="00711E68">
        <w:rPr>
          <w:szCs w:val="22"/>
          <w:lang w:val="sr-Latn-RS"/>
        </w:rPr>
        <w:t>nam</w:t>
      </w:r>
      <w:r w:rsidR="009D73CE" w:rsidRPr="00711E68">
        <w:rPr>
          <w:szCs w:val="22"/>
          <w:lang w:val="sr-Latn-RS"/>
        </w:rPr>
        <w:t>ij</w:t>
      </w:r>
      <w:r w:rsidR="003C3A34" w:rsidRPr="00711E68">
        <w:rPr>
          <w:szCs w:val="22"/>
          <w:lang w:val="sr-Latn-RS"/>
        </w:rPr>
        <w:t xml:space="preserve">enjen </w:t>
      </w:r>
      <w:r w:rsidR="00D463CB" w:rsidRPr="00711E68">
        <w:rPr>
          <w:szCs w:val="22"/>
          <w:lang w:val="sr-Latn-RS"/>
        </w:rPr>
        <w:t>samo</w:t>
      </w:r>
      <w:r w:rsidR="00761BD4" w:rsidRPr="00711E68">
        <w:rPr>
          <w:szCs w:val="22"/>
          <w:lang w:val="sr-Latn-RS"/>
        </w:rPr>
        <w:t xml:space="preserve"> </w:t>
      </w:r>
      <w:r w:rsidRPr="00711E68">
        <w:rPr>
          <w:szCs w:val="22"/>
          <w:lang w:val="sr-Latn-RS"/>
        </w:rPr>
        <w:t>za jednokratnu upotrebu.</w:t>
      </w:r>
    </w:p>
    <w:p w14:paraId="3E16DA3B" w14:textId="77777777" w:rsidR="00585B25" w:rsidRPr="00711E68" w:rsidRDefault="00585B25" w:rsidP="00711E68">
      <w:pPr>
        <w:pStyle w:val="Header"/>
        <w:tabs>
          <w:tab w:val="clear" w:pos="4536"/>
          <w:tab w:val="clear" w:pos="9072"/>
          <w:tab w:val="left" w:pos="284"/>
        </w:tabs>
        <w:jc w:val="left"/>
        <w:rPr>
          <w:szCs w:val="22"/>
          <w:lang w:val="sr-Latn-RS"/>
        </w:rPr>
      </w:pPr>
    </w:p>
    <w:p w14:paraId="044B3F3E" w14:textId="40A93EA5" w:rsidR="00585B25" w:rsidRPr="00711E68" w:rsidRDefault="00585B25" w:rsidP="00711E68">
      <w:pPr>
        <w:pStyle w:val="Header"/>
        <w:tabs>
          <w:tab w:val="clear" w:pos="4536"/>
          <w:tab w:val="clear" w:pos="9072"/>
          <w:tab w:val="left" w:pos="284"/>
        </w:tabs>
        <w:jc w:val="left"/>
        <w:rPr>
          <w:szCs w:val="22"/>
          <w:lang w:val="sr-Latn-RS"/>
        </w:rPr>
      </w:pPr>
      <w:r w:rsidRPr="00711E68">
        <w:rPr>
          <w:szCs w:val="22"/>
          <w:lang w:val="sr-Latn-RS"/>
        </w:rPr>
        <w:t>Neupotr</w:t>
      </w:r>
      <w:r w:rsidR="00853870" w:rsidRPr="00711E68">
        <w:rPr>
          <w:szCs w:val="22"/>
          <w:lang w:val="sr-Latn-RS"/>
        </w:rPr>
        <w:t>ij</w:t>
      </w:r>
      <w:r w:rsidRPr="00711E68">
        <w:rPr>
          <w:szCs w:val="22"/>
          <w:lang w:val="sr-Latn-RS"/>
        </w:rPr>
        <w:t>ebljeni l</w:t>
      </w:r>
      <w:r w:rsidR="00393774" w:rsidRPr="00711E68">
        <w:rPr>
          <w:szCs w:val="22"/>
          <w:lang w:val="sr-Latn-RS"/>
        </w:rPr>
        <w:t>ij</w:t>
      </w:r>
      <w:r w:rsidRPr="00711E68">
        <w:rPr>
          <w:szCs w:val="22"/>
          <w:lang w:val="sr-Latn-RS"/>
        </w:rPr>
        <w:t xml:space="preserve">ek </w:t>
      </w:r>
      <w:r w:rsidR="00761BD4" w:rsidRPr="00711E68">
        <w:rPr>
          <w:szCs w:val="22"/>
          <w:lang w:val="sr-Latn-RS"/>
        </w:rPr>
        <w:t>ili otpadni materijal potrebno je zbrinuti</w:t>
      </w:r>
      <w:r w:rsidR="008429BF" w:rsidRPr="00711E68">
        <w:rPr>
          <w:szCs w:val="22"/>
          <w:lang w:val="sr-Latn-RS"/>
        </w:rPr>
        <w:t xml:space="preserve"> </w:t>
      </w:r>
      <w:r w:rsidRPr="00711E68">
        <w:rPr>
          <w:szCs w:val="22"/>
          <w:lang w:val="sr-Latn-RS"/>
        </w:rPr>
        <w:t>u skladu sa važećim propisima.</w:t>
      </w:r>
    </w:p>
    <w:p w14:paraId="2666222B" w14:textId="77777777" w:rsidR="00585B25" w:rsidRPr="00711E68" w:rsidRDefault="00585B25" w:rsidP="00711E68">
      <w:pPr>
        <w:pStyle w:val="Header"/>
        <w:tabs>
          <w:tab w:val="clear" w:pos="4536"/>
          <w:tab w:val="clear" w:pos="9072"/>
          <w:tab w:val="left" w:pos="284"/>
        </w:tabs>
        <w:jc w:val="left"/>
        <w:rPr>
          <w:szCs w:val="22"/>
          <w:lang w:val="sr-Latn-RS"/>
        </w:rPr>
      </w:pPr>
    </w:p>
    <w:p w14:paraId="3221EB62" w14:textId="77777777" w:rsidR="00393774" w:rsidRPr="00711E68" w:rsidRDefault="00393774" w:rsidP="00711E68">
      <w:pPr>
        <w:rPr>
          <w:b/>
          <w:bCs/>
          <w:szCs w:val="22"/>
          <w:lang w:val="sr-Latn-ME"/>
        </w:rPr>
      </w:pPr>
      <w:r w:rsidRPr="00711E68">
        <w:rPr>
          <w:b/>
          <w:bCs/>
          <w:szCs w:val="22"/>
          <w:lang w:val="sr-Latn-ME"/>
        </w:rPr>
        <w:lastRenderedPageBreak/>
        <w:t xml:space="preserve">7. </w:t>
      </w:r>
      <w:r w:rsidRPr="00711E68">
        <w:rPr>
          <w:b/>
          <w:bCs/>
          <w:szCs w:val="22"/>
          <w:lang w:val="sr-Latn-ME"/>
        </w:rPr>
        <w:tab/>
        <w:t xml:space="preserve">NOSILAC DOZVOLE </w:t>
      </w:r>
    </w:p>
    <w:p w14:paraId="5A4FCAB1" w14:textId="77777777" w:rsidR="00393774" w:rsidRPr="00711E68" w:rsidRDefault="00393774" w:rsidP="00711E68">
      <w:pPr>
        <w:rPr>
          <w:b/>
          <w:bCs/>
          <w:szCs w:val="22"/>
          <w:lang w:val="sr-Latn-ME"/>
        </w:rPr>
      </w:pPr>
      <w:r w:rsidRPr="00711E68">
        <w:rPr>
          <w:b/>
          <w:bCs/>
          <w:szCs w:val="22"/>
          <w:lang w:val="sr-Latn-ME"/>
        </w:rPr>
        <w:tab/>
      </w:r>
    </w:p>
    <w:p w14:paraId="421FDC11" w14:textId="206FC261" w:rsidR="00393774" w:rsidRPr="00711E68" w:rsidRDefault="00393774" w:rsidP="00711E68">
      <w:pPr>
        <w:rPr>
          <w:bCs/>
          <w:szCs w:val="22"/>
          <w:lang w:val="sr-Latn-ME"/>
        </w:rPr>
      </w:pPr>
      <w:r w:rsidRPr="00711E68">
        <w:rPr>
          <w:bCs/>
          <w:szCs w:val="22"/>
          <w:lang w:val="sr-Latn-ME"/>
        </w:rPr>
        <w:t>Glosarij d.o.o.</w:t>
      </w:r>
    </w:p>
    <w:p w14:paraId="5B4A4400" w14:textId="77777777" w:rsidR="00393774" w:rsidRPr="00711E68" w:rsidRDefault="00393774" w:rsidP="00711E68">
      <w:pPr>
        <w:rPr>
          <w:bCs/>
          <w:szCs w:val="22"/>
          <w:lang w:val="sr-Latn-ME"/>
        </w:rPr>
      </w:pPr>
      <w:r w:rsidRPr="00711E68">
        <w:rPr>
          <w:bCs/>
          <w:szCs w:val="22"/>
          <w:lang w:val="sr-Latn-ME"/>
        </w:rPr>
        <w:t>Vojislavljevića 76,</w:t>
      </w:r>
    </w:p>
    <w:p w14:paraId="4B1FAD4F" w14:textId="72B7CDB2" w:rsidR="00393774" w:rsidRPr="00711E68" w:rsidRDefault="001D0A5D" w:rsidP="00711E68">
      <w:pPr>
        <w:rPr>
          <w:bCs/>
          <w:szCs w:val="22"/>
          <w:lang w:val="sr-Latn-ME"/>
        </w:rPr>
      </w:pPr>
      <w:r w:rsidRPr="00711E68">
        <w:rPr>
          <w:bCs/>
          <w:szCs w:val="22"/>
          <w:lang w:val="sr-Latn-ME"/>
        </w:rPr>
        <w:t xml:space="preserve">81000 </w:t>
      </w:r>
      <w:r w:rsidR="00393774" w:rsidRPr="00711E68">
        <w:rPr>
          <w:bCs/>
          <w:szCs w:val="22"/>
          <w:lang w:val="sr-Latn-ME"/>
        </w:rPr>
        <w:t>Podgorica, Crna Gora</w:t>
      </w:r>
    </w:p>
    <w:p w14:paraId="19488C77" w14:textId="77777777" w:rsidR="00393774" w:rsidRPr="00711E68" w:rsidRDefault="00393774" w:rsidP="00711E68">
      <w:pPr>
        <w:rPr>
          <w:bCs/>
          <w:szCs w:val="22"/>
          <w:lang w:val="sr-Latn-ME"/>
        </w:rPr>
      </w:pPr>
    </w:p>
    <w:p w14:paraId="0F415FC4" w14:textId="77777777" w:rsidR="00393774" w:rsidRPr="00711E68" w:rsidRDefault="00393774" w:rsidP="00711E68">
      <w:pPr>
        <w:rPr>
          <w:bCs/>
          <w:szCs w:val="22"/>
          <w:lang w:val="sr-Latn-ME"/>
        </w:rPr>
      </w:pPr>
    </w:p>
    <w:p w14:paraId="5A038DF6" w14:textId="77777777" w:rsidR="00393774" w:rsidRPr="00711E68" w:rsidRDefault="00393774" w:rsidP="00711E68">
      <w:pPr>
        <w:rPr>
          <w:b/>
          <w:bCs/>
          <w:szCs w:val="22"/>
          <w:lang w:val="sr-Latn-ME"/>
        </w:rPr>
      </w:pPr>
      <w:r w:rsidRPr="00711E68">
        <w:rPr>
          <w:b/>
          <w:bCs/>
          <w:szCs w:val="22"/>
          <w:lang w:val="sr-Latn-ME"/>
        </w:rPr>
        <w:t xml:space="preserve">8. </w:t>
      </w:r>
      <w:r w:rsidRPr="00711E68">
        <w:rPr>
          <w:b/>
          <w:bCs/>
          <w:szCs w:val="22"/>
          <w:lang w:val="sr-Latn-ME"/>
        </w:rPr>
        <w:tab/>
        <w:t>BROJ DOZVOLE ZA STAVLJANJE LIJEKA U PROMET</w:t>
      </w:r>
    </w:p>
    <w:p w14:paraId="5569F334" w14:textId="77777777" w:rsidR="00393774" w:rsidRPr="00711E68" w:rsidRDefault="00393774" w:rsidP="00711E68">
      <w:pPr>
        <w:rPr>
          <w:bCs/>
          <w:szCs w:val="22"/>
          <w:lang w:val="sr-Latn-ME"/>
        </w:rPr>
      </w:pPr>
    </w:p>
    <w:p w14:paraId="607D2B5A" w14:textId="77777777" w:rsidR="009D73CE" w:rsidRPr="00711E68" w:rsidRDefault="009D73CE" w:rsidP="00711E68">
      <w:pPr>
        <w:rPr>
          <w:bCs/>
          <w:szCs w:val="22"/>
          <w:lang w:val="sr-Latn-ME"/>
        </w:rPr>
      </w:pPr>
      <w:r w:rsidRPr="00711E68">
        <w:rPr>
          <w:bCs/>
          <w:szCs w:val="22"/>
          <w:lang w:val="sr-Latn-ME"/>
        </w:rPr>
        <w:t xml:space="preserve">Skyrizi, rastvor za injekciju u napunjenom injekcionom špricu, 75 mg/0.83 ml, napunjeni injekcioni špric, </w:t>
      </w:r>
    </w:p>
    <w:p w14:paraId="5CA3EDC0" w14:textId="677735A7" w:rsidR="00393774" w:rsidRPr="00711E68" w:rsidRDefault="009D73CE" w:rsidP="00711E68">
      <w:pPr>
        <w:rPr>
          <w:bCs/>
          <w:szCs w:val="22"/>
          <w:lang w:val="sr-Latn-ME"/>
        </w:rPr>
      </w:pPr>
      <w:r w:rsidRPr="00711E68">
        <w:rPr>
          <w:bCs/>
          <w:szCs w:val="22"/>
          <w:lang w:val="sr-Latn-ME"/>
        </w:rPr>
        <w:t>2 x 0.83 ml:</w:t>
      </w:r>
      <w:r w:rsidR="00DC1B60" w:rsidRPr="00DC1B60">
        <w:t xml:space="preserve"> </w:t>
      </w:r>
      <w:r w:rsidR="00DC1B60" w:rsidRPr="00DC1B60">
        <w:rPr>
          <w:bCs/>
          <w:szCs w:val="22"/>
          <w:lang w:val="sr-Latn-ME"/>
        </w:rPr>
        <w:t>2030/21/446 - 4043</w:t>
      </w:r>
    </w:p>
    <w:p w14:paraId="6D369457" w14:textId="77777777" w:rsidR="009D73CE" w:rsidRPr="00711E68" w:rsidRDefault="009D73CE" w:rsidP="00711E68">
      <w:pPr>
        <w:rPr>
          <w:bCs/>
          <w:szCs w:val="22"/>
          <w:lang w:val="sr-Latn-ME"/>
        </w:rPr>
      </w:pPr>
    </w:p>
    <w:p w14:paraId="17E4D31E" w14:textId="77777777" w:rsidR="00393774" w:rsidRPr="00711E68" w:rsidRDefault="00393774" w:rsidP="00711E68">
      <w:pPr>
        <w:rPr>
          <w:bCs/>
          <w:szCs w:val="22"/>
          <w:lang w:val="sr-Latn-ME"/>
        </w:rPr>
      </w:pPr>
    </w:p>
    <w:p w14:paraId="4083DCBF" w14:textId="77777777" w:rsidR="00393774" w:rsidRPr="00711E68" w:rsidRDefault="00393774" w:rsidP="00711E68">
      <w:pPr>
        <w:rPr>
          <w:b/>
          <w:bCs/>
          <w:szCs w:val="22"/>
          <w:lang w:val="sr-Latn-ME"/>
        </w:rPr>
      </w:pPr>
      <w:r w:rsidRPr="00711E68">
        <w:rPr>
          <w:b/>
          <w:bCs/>
          <w:szCs w:val="22"/>
          <w:lang w:val="sr-Latn-ME"/>
        </w:rPr>
        <w:t xml:space="preserve">9. </w:t>
      </w:r>
      <w:r w:rsidRPr="00711E68">
        <w:rPr>
          <w:b/>
          <w:bCs/>
          <w:szCs w:val="22"/>
          <w:lang w:val="sr-Latn-ME"/>
        </w:rPr>
        <w:tab/>
        <w:t xml:space="preserve">DATUM PRVE DOZVOLE/OBNOVE DOZVOLE </w:t>
      </w:r>
      <w:r w:rsidRPr="00711E68">
        <w:rPr>
          <w:b/>
          <w:bCs/>
          <w:szCs w:val="22"/>
        </w:rPr>
        <w:t>ZA STAVLJANJE LIJEKA U PROMET</w:t>
      </w:r>
    </w:p>
    <w:p w14:paraId="1DB863BB" w14:textId="77777777" w:rsidR="00393774" w:rsidRPr="00711E68" w:rsidRDefault="00393774" w:rsidP="00711E68">
      <w:pPr>
        <w:rPr>
          <w:bCs/>
          <w:szCs w:val="22"/>
          <w:lang w:val="sr-Latn-ME"/>
        </w:rPr>
      </w:pPr>
    </w:p>
    <w:p w14:paraId="52A4B06B" w14:textId="77777777" w:rsidR="009D73CE" w:rsidRPr="00711E68" w:rsidRDefault="009D73CE" w:rsidP="00711E68">
      <w:pPr>
        <w:rPr>
          <w:bCs/>
          <w:szCs w:val="22"/>
          <w:lang w:val="sr-Latn-ME"/>
        </w:rPr>
      </w:pPr>
      <w:r w:rsidRPr="00711E68">
        <w:rPr>
          <w:bCs/>
          <w:szCs w:val="22"/>
          <w:lang w:val="sr-Latn-ME"/>
        </w:rPr>
        <w:t xml:space="preserve">Skyrizi, rastvor za injekciju u napunjenom injekcionom špricu, 75 mg/0.83 ml, napunjeni injekcioni špric, </w:t>
      </w:r>
    </w:p>
    <w:p w14:paraId="1310E4FF" w14:textId="68878751" w:rsidR="009D73CE" w:rsidRPr="00711E68" w:rsidRDefault="009D73CE" w:rsidP="00711E68">
      <w:pPr>
        <w:rPr>
          <w:bCs/>
          <w:szCs w:val="22"/>
          <w:lang w:val="sr-Latn-ME"/>
        </w:rPr>
      </w:pPr>
      <w:r w:rsidRPr="00711E68">
        <w:rPr>
          <w:bCs/>
          <w:szCs w:val="22"/>
          <w:lang w:val="sr-Latn-ME"/>
        </w:rPr>
        <w:t>2 x 0.83 ml:</w:t>
      </w:r>
      <w:r w:rsidR="00DC1B60" w:rsidRPr="00DC1B60">
        <w:t xml:space="preserve"> </w:t>
      </w:r>
      <w:r w:rsidR="00DC1B60" w:rsidRPr="00DC1B60">
        <w:rPr>
          <w:bCs/>
          <w:szCs w:val="22"/>
          <w:lang w:val="sr-Latn-ME"/>
        </w:rPr>
        <w:t>16.03.2021. godine</w:t>
      </w:r>
    </w:p>
    <w:p w14:paraId="45D6B654" w14:textId="77777777" w:rsidR="00393774" w:rsidRPr="00711E68" w:rsidRDefault="00393774" w:rsidP="00711E68">
      <w:pPr>
        <w:rPr>
          <w:bCs/>
          <w:szCs w:val="22"/>
          <w:lang w:val="sr-Latn-ME"/>
        </w:rPr>
      </w:pPr>
    </w:p>
    <w:p w14:paraId="591D9399" w14:textId="77777777" w:rsidR="00393774" w:rsidRPr="00711E68" w:rsidRDefault="00393774" w:rsidP="00711E68">
      <w:pPr>
        <w:rPr>
          <w:bCs/>
          <w:szCs w:val="22"/>
          <w:lang w:val="sr-Latn-ME"/>
        </w:rPr>
      </w:pPr>
    </w:p>
    <w:p w14:paraId="5EB441AD" w14:textId="7A80C805" w:rsidR="00393774" w:rsidRPr="00711E68" w:rsidRDefault="00393774" w:rsidP="00711E68">
      <w:pPr>
        <w:rPr>
          <w:b/>
          <w:bCs/>
          <w:szCs w:val="22"/>
          <w:lang w:val="sr-Latn-ME"/>
        </w:rPr>
      </w:pPr>
      <w:r w:rsidRPr="00711E68">
        <w:rPr>
          <w:b/>
          <w:bCs/>
          <w:szCs w:val="22"/>
          <w:lang w:val="sr-Latn-ME"/>
        </w:rPr>
        <w:t xml:space="preserve">10. DATUM REVIZIJE TEKSTA </w:t>
      </w:r>
    </w:p>
    <w:p w14:paraId="444875AB" w14:textId="77777777" w:rsidR="00393774" w:rsidRPr="00711E68" w:rsidRDefault="00393774" w:rsidP="00711E68">
      <w:pPr>
        <w:rPr>
          <w:bCs/>
          <w:szCs w:val="22"/>
          <w:lang w:val="sr-Latn-ME"/>
        </w:rPr>
      </w:pPr>
    </w:p>
    <w:p w14:paraId="264CF735" w14:textId="4B01C645" w:rsidR="00923865" w:rsidRPr="00711E68" w:rsidRDefault="00865DFA" w:rsidP="00711E68">
      <w:pPr>
        <w:rPr>
          <w:bCs/>
          <w:szCs w:val="22"/>
          <w:lang w:val="sr-Latn-RS"/>
        </w:rPr>
      </w:pPr>
      <w:r>
        <w:rPr>
          <w:bCs/>
          <w:szCs w:val="22"/>
          <w:lang w:val="sr-Latn-RS"/>
        </w:rPr>
        <w:t>Mart, 2021. godine</w:t>
      </w:r>
      <w:bookmarkStart w:id="0" w:name="_GoBack"/>
      <w:bookmarkEnd w:id="0"/>
    </w:p>
    <w:sectPr w:rsidR="00923865" w:rsidRPr="00711E68" w:rsidSect="00F120A0">
      <w:footerReference w:type="even" r:id="rId13"/>
      <w:footerReference w:type="default" r:id="rId14"/>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57FA0" w14:textId="77777777" w:rsidR="00A021FE" w:rsidRDefault="00A021FE">
      <w:r>
        <w:separator/>
      </w:r>
    </w:p>
  </w:endnote>
  <w:endnote w:type="continuationSeparator" w:id="0">
    <w:p w14:paraId="03DB2E3C" w14:textId="77777777" w:rsidR="00A021FE" w:rsidRDefault="00A0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S Mincho">
    <w:altName w:val="Yu Gothic UI"/>
    <w:panose1 w:val="02020609040205080304"/>
    <w:charset w:val="80"/>
    <w:family w:val="modern"/>
    <w:pitch w:val="fixed"/>
    <w:sig w:usb0="E00002FF" w:usb1="6AC7FDFB" w:usb2="08000012" w:usb3="00000000" w:csb0="0002009F" w:csb1="00000000"/>
  </w:font>
  <w:font w:name="HelveticaNeueLTStd-Cn">
    <w:altName w:val="Arial Unicode MS"/>
    <w:panose1 w:val="00000000000000000000"/>
    <w:charset w:val="81"/>
    <w:family w:val="swiss"/>
    <w:notTrueType/>
    <w:pitch w:val="default"/>
    <w:sig w:usb0="00000000" w:usb1="09060000" w:usb2="00000010" w:usb3="00000000" w:csb0="00080000" w:csb1="00000000"/>
  </w:font>
  <w:font w:name="TimesNewRoman,Bold">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A447" w14:textId="77777777" w:rsidR="001D0A5D" w:rsidRDefault="001D0A5D"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3E1751" w14:textId="77777777" w:rsidR="001D0A5D" w:rsidRDefault="001D0A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8A652" w14:textId="540DEBE0" w:rsidR="001D0A5D" w:rsidRPr="00C536C2" w:rsidRDefault="00A021FE" w:rsidP="00711E68">
    <w:pPr>
      <w:pStyle w:val="Footer"/>
      <w:tabs>
        <w:tab w:val="left" w:pos="5448"/>
      </w:tabs>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711E68" w:rsidRPr="00711E68">
              <w:rPr>
                <w:szCs w:val="22"/>
              </w:rPr>
              <w:fldChar w:fldCharType="begin"/>
            </w:r>
            <w:r w:rsidR="00711E68" w:rsidRPr="00711E68">
              <w:rPr>
                <w:szCs w:val="22"/>
              </w:rPr>
              <w:instrText xml:space="preserve"> PAGE </w:instrText>
            </w:r>
            <w:r w:rsidR="00711E68" w:rsidRPr="00711E68">
              <w:rPr>
                <w:szCs w:val="22"/>
              </w:rPr>
              <w:fldChar w:fldCharType="separate"/>
            </w:r>
            <w:r w:rsidR="003C3369">
              <w:rPr>
                <w:noProof/>
                <w:szCs w:val="22"/>
              </w:rPr>
              <w:t>15</w:t>
            </w:r>
            <w:r w:rsidR="00711E68" w:rsidRPr="00711E68">
              <w:rPr>
                <w:szCs w:val="22"/>
              </w:rPr>
              <w:fldChar w:fldCharType="end"/>
            </w:r>
            <w:r w:rsidR="00711E68" w:rsidRPr="00711E68">
              <w:rPr>
                <w:szCs w:val="22"/>
              </w:rPr>
              <w:t xml:space="preserve"> / </w:t>
            </w:r>
            <w:r w:rsidR="00711E68" w:rsidRPr="00711E68">
              <w:rPr>
                <w:szCs w:val="22"/>
              </w:rPr>
              <w:fldChar w:fldCharType="begin"/>
            </w:r>
            <w:r w:rsidR="00711E68" w:rsidRPr="00711E68">
              <w:rPr>
                <w:szCs w:val="22"/>
              </w:rPr>
              <w:instrText xml:space="preserve"> NUMPAGES </w:instrText>
            </w:r>
            <w:r w:rsidR="00711E68" w:rsidRPr="00711E68">
              <w:rPr>
                <w:szCs w:val="22"/>
              </w:rPr>
              <w:fldChar w:fldCharType="separate"/>
            </w:r>
            <w:r w:rsidR="003C3369">
              <w:rPr>
                <w:noProof/>
                <w:szCs w:val="22"/>
              </w:rPr>
              <w:t>15</w:t>
            </w:r>
            <w:r w:rsidR="00711E68" w:rsidRPr="00711E68">
              <w:rPr>
                <w:szCs w:val="22"/>
              </w:rPr>
              <w:fldChar w:fldCharType="end"/>
            </w:r>
            <w:r w:rsidR="00711E68">
              <w:rPr>
                <w:szCs w:val="22"/>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E4F8B" w14:textId="77777777" w:rsidR="00A021FE" w:rsidRDefault="00A021FE">
      <w:r>
        <w:separator/>
      </w:r>
    </w:p>
  </w:footnote>
  <w:footnote w:type="continuationSeparator" w:id="0">
    <w:p w14:paraId="51B07DD0" w14:textId="77777777" w:rsidR="00A021FE" w:rsidRDefault="00A0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32B125C"/>
    <w:multiLevelType w:val="hybridMultilevel"/>
    <w:tmpl w:val="FB8CF0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9C52D01"/>
    <w:multiLevelType w:val="hybridMultilevel"/>
    <w:tmpl w:val="115C4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0"/>
    <w:lvlOverride w:ilvl="0">
      <w:startOverride w:val="7"/>
    </w:lvlOverride>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B7E"/>
    <w:rsid w:val="00017801"/>
    <w:rsid w:val="00032B47"/>
    <w:rsid w:val="000365B6"/>
    <w:rsid w:val="00043854"/>
    <w:rsid w:val="0005798D"/>
    <w:rsid w:val="00064273"/>
    <w:rsid w:val="00071F86"/>
    <w:rsid w:val="00076150"/>
    <w:rsid w:val="00083BE0"/>
    <w:rsid w:val="00086806"/>
    <w:rsid w:val="00093404"/>
    <w:rsid w:val="00093888"/>
    <w:rsid w:val="00095FB6"/>
    <w:rsid w:val="0009758B"/>
    <w:rsid w:val="000A0F4A"/>
    <w:rsid w:val="000A4B13"/>
    <w:rsid w:val="000B20D6"/>
    <w:rsid w:val="000C1B6A"/>
    <w:rsid w:val="000C48ED"/>
    <w:rsid w:val="000C4DA0"/>
    <w:rsid w:val="000C6070"/>
    <w:rsid w:val="000D4AD5"/>
    <w:rsid w:val="000D5631"/>
    <w:rsid w:val="000E0A38"/>
    <w:rsid w:val="000E119C"/>
    <w:rsid w:val="000E6F46"/>
    <w:rsid w:val="000E75C0"/>
    <w:rsid w:val="00101365"/>
    <w:rsid w:val="00107C7F"/>
    <w:rsid w:val="00116753"/>
    <w:rsid w:val="00120AB4"/>
    <w:rsid w:val="00134D25"/>
    <w:rsid w:val="00137EAE"/>
    <w:rsid w:val="00141639"/>
    <w:rsid w:val="0014180A"/>
    <w:rsid w:val="0014739D"/>
    <w:rsid w:val="00151206"/>
    <w:rsid w:val="0015240F"/>
    <w:rsid w:val="00154C4E"/>
    <w:rsid w:val="001567E8"/>
    <w:rsid w:val="00162435"/>
    <w:rsid w:val="00164B19"/>
    <w:rsid w:val="001651B4"/>
    <w:rsid w:val="00170C26"/>
    <w:rsid w:val="00173D18"/>
    <w:rsid w:val="00175649"/>
    <w:rsid w:val="00175772"/>
    <w:rsid w:val="00175A7E"/>
    <w:rsid w:val="00182057"/>
    <w:rsid w:val="00182DA4"/>
    <w:rsid w:val="0018601D"/>
    <w:rsid w:val="001A04BC"/>
    <w:rsid w:val="001A2E82"/>
    <w:rsid w:val="001A5EFB"/>
    <w:rsid w:val="001A6E69"/>
    <w:rsid w:val="001B6381"/>
    <w:rsid w:val="001B706A"/>
    <w:rsid w:val="001B789F"/>
    <w:rsid w:val="001C2FC8"/>
    <w:rsid w:val="001C3DA1"/>
    <w:rsid w:val="001D0A5D"/>
    <w:rsid w:val="001D10C9"/>
    <w:rsid w:val="001D2C0F"/>
    <w:rsid w:val="001D70E9"/>
    <w:rsid w:val="001E0A07"/>
    <w:rsid w:val="001E28FA"/>
    <w:rsid w:val="001E6145"/>
    <w:rsid w:val="001F2D4E"/>
    <w:rsid w:val="001F39B6"/>
    <w:rsid w:val="001F5CF1"/>
    <w:rsid w:val="002009A9"/>
    <w:rsid w:val="002105B6"/>
    <w:rsid w:val="002152EF"/>
    <w:rsid w:val="0021691B"/>
    <w:rsid w:val="0022218E"/>
    <w:rsid w:val="0022223A"/>
    <w:rsid w:val="0022483D"/>
    <w:rsid w:val="00224A0E"/>
    <w:rsid w:val="002311EB"/>
    <w:rsid w:val="002331FB"/>
    <w:rsid w:val="00233F8F"/>
    <w:rsid w:val="00234BB6"/>
    <w:rsid w:val="00236FD7"/>
    <w:rsid w:val="00237816"/>
    <w:rsid w:val="0024132F"/>
    <w:rsid w:val="00242181"/>
    <w:rsid w:val="00242DCD"/>
    <w:rsid w:val="00247C5C"/>
    <w:rsid w:val="002523E5"/>
    <w:rsid w:val="00255635"/>
    <w:rsid w:val="00257E26"/>
    <w:rsid w:val="0027065A"/>
    <w:rsid w:val="00273BE0"/>
    <w:rsid w:val="00281087"/>
    <w:rsid w:val="00292188"/>
    <w:rsid w:val="002B6F6A"/>
    <w:rsid w:val="002C0160"/>
    <w:rsid w:val="002C048C"/>
    <w:rsid w:val="002C0FBF"/>
    <w:rsid w:val="002C177B"/>
    <w:rsid w:val="002C3F8F"/>
    <w:rsid w:val="002C6630"/>
    <w:rsid w:val="002D6E45"/>
    <w:rsid w:val="002E042B"/>
    <w:rsid w:val="002F05F8"/>
    <w:rsid w:val="002F5C85"/>
    <w:rsid w:val="002F5E2F"/>
    <w:rsid w:val="00300A3F"/>
    <w:rsid w:val="00301011"/>
    <w:rsid w:val="00304FED"/>
    <w:rsid w:val="00305478"/>
    <w:rsid w:val="00312BB2"/>
    <w:rsid w:val="00316FC0"/>
    <w:rsid w:val="003200DD"/>
    <w:rsid w:val="0032286C"/>
    <w:rsid w:val="003231BB"/>
    <w:rsid w:val="00324863"/>
    <w:rsid w:val="00324A04"/>
    <w:rsid w:val="0033280C"/>
    <w:rsid w:val="003452C0"/>
    <w:rsid w:val="0034583A"/>
    <w:rsid w:val="00355380"/>
    <w:rsid w:val="00361D67"/>
    <w:rsid w:val="003633E9"/>
    <w:rsid w:val="003742D4"/>
    <w:rsid w:val="00374686"/>
    <w:rsid w:val="00383195"/>
    <w:rsid w:val="0038385B"/>
    <w:rsid w:val="00390679"/>
    <w:rsid w:val="00392B0F"/>
    <w:rsid w:val="00393774"/>
    <w:rsid w:val="003A0E07"/>
    <w:rsid w:val="003A2DF8"/>
    <w:rsid w:val="003A5AE1"/>
    <w:rsid w:val="003A641D"/>
    <w:rsid w:val="003A676A"/>
    <w:rsid w:val="003A7202"/>
    <w:rsid w:val="003B2082"/>
    <w:rsid w:val="003C0E65"/>
    <w:rsid w:val="003C18A4"/>
    <w:rsid w:val="003C3369"/>
    <w:rsid w:val="003C3468"/>
    <w:rsid w:val="003C3A34"/>
    <w:rsid w:val="003D29F3"/>
    <w:rsid w:val="003D4201"/>
    <w:rsid w:val="003E3EC7"/>
    <w:rsid w:val="003F2A5A"/>
    <w:rsid w:val="003F3D66"/>
    <w:rsid w:val="00400142"/>
    <w:rsid w:val="0040219A"/>
    <w:rsid w:val="00403B18"/>
    <w:rsid w:val="004123CD"/>
    <w:rsid w:val="00412DA6"/>
    <w:rsid w:val="0041579E"/>
    <w:rsid w:val="0041670C"/>
    <w:rsid w:val="004234ED"/>
    <w:rsid w:val="00427D41"/>
    <w:rsid w:val="004315F6"/>
    <w:rsid w:val="004365E2"/>
    <w:rsid w:val="00441CD1"/>
    <w:rsid w:val="00441E54"/>
    <w:rsid w:val="00442412"/>
    <w:rsid w:val="00447A80"/>
    <w:rsid w:val="00456AE2"/>
    <w:rsid w:val="00462C33"/>
    <w:rsid w:val="00463802"/>
    <w:rsid w:val="00466B2C"/>
    <w:rsid w:val="0047019F"/>
    <w:rsid w:val="00476FFE"/>
    <w:rsid w:val="00482E52"/>
    <w:rsid w:val="00492248"/>
    <w:rsid w:val="004927C7"/>
    <w:rsid w:val="00497648"/>
    <w:rsid w:val="004A1F64"/>
    <w:rsid w:val="004A7BB0"/>
    <w:rsid w:val="004B5A11"/>
    <w:rsid w:val="004B7A50"/>
    <w:rsid w:val="004B7F04"/>
    <w:rsid w:val="004D1036"/>
    <w:rsid w:val="004D230F"/>
    <w:rsid w:val="004D3288"/>
    <w:rsid w:val="004D38A9"/>
    <w:rsid w:val="005021A4"/>
    <w:rsid w:val="00503974"/>
    <w:rsid w:val="005060B6"/>
    <w:rsid w:val="005157D9"/>
    <w:rsid w:val="0052230B"/>
    <w:rsid w:val="005250F8"/>
    <w:rsid w:val="00525A8A"/>
    <w:rsid w:val="005276F0"/>
    <w:rsid w:val="00530812"/>
    <w:rsid w:val="00530909"/>
    <w:rsid w:val="00531C2E"/>
    <w:rsid w:val="00532A54"/>
    <w:rsid w:val="00533FF3"/>
    <w:rsid w:val="00535242"/>
    <w:rsid w:val="00543595"/>
    <w:rsid w:val="005524DA"/>
    <w:rsid w:val="00555E9F"/>
    <w:rsid w:val="00585B25"/>
    <w:rsid w:val="00586911"/>
    <w:rsid w:val="0059055A"/>
    <w:rsid w:val="005A46C2"/>
    <w:rsid w:val="005A6B71"/>
    <w:rsid w:val="005B05F7"/>
    <w:rsid w:val="005B0712"/>
    <w:rsid w:val="005B3388"/>
    <w:rsid w:val="005B4794"/>
    <w:rsid w:val="005B5D4E"/>
    <w:rsid w:val="005C3F73"/>
    <w:rsid w:val="005C5FB0"/>
    <w:rsid w:val="005C7077"/>
    <w:rsid w:val="005C7891"/>
    <w:rsid w:val="005D35F5"/>
    <w:rsid w:val="005E08C8"/>
    <w:rsid w:val="005F04B5"/>
    <w:rsid w:val="006017B0"/>
    <w:rsid w:val="006022B0"/>
    <w:rsid w:val="00603302"/>
    <w:rsid w:val="00604E4F"/>
    <w:rsid w:val="006054EE"/>
    <w:rsid w:val="006115AD"/>
    <w:rsid w:val="006118B6"/>
    <w:rsid w:val="006149CF"/>
    <w:rsid w:val="00617745"/>
    <w:rsid w:val="006270C0"/>
    <w:rsid w:val="00630195"/>
    <w:rsid w:val="00636AA9"/>
    <w:rsid w:val="00644511"/>
    <w:rsid w:val="006559AF"/>
    <w:rsid w:val="006571EB"/>
    <w:rsid w:val="0065781B"/>
    <w:rsid w:val="00660ED5"/>
    <w:rsid w:val="006866E9"/>
    <w:rsid w:val="00693874"/>
    <w:rsid w:val="00693F46"/>
    <w:rsid w:val="006A60AA"/>
    <w:rsid w:val="006B6841"/>
    <w:rsid w:val="006B7539"/>
    <w:rsid w:val="006D2FF9"/>
    <w:rsid w:val="006D457C"/>
    <w:rsid w:val="006D5284"/>
    <w:rsid w:val="006D5BC7"/>
    <w:rsid w:val="006E78DD"/>
    <w:rsid w:val="006F1198"/>
    <w:rsid w:val="006F158F"/>
    <w:rsid w:val="006F304B"/>
    <w:rsid w:val="00700905"/>
    <w:rsid w:val="007068F6"/>
    <w:rsid w:val="00706BD5"/>
    <w:rsid w:val="00711E68"/>
    <w:rsid w:val="00720A96"/>
    <w:rsid w:val="00720EF7"/>
    <w:rsid w:val="00730549"/>
    <w:rsid w:val="00740149"/>
    <w:rsid w:val="0074633D"/>
    <w:rsid w:val="00755CF9"/>
    <w:rsid w:val="0075627A"/>
    <w:rsid w:val="00761BD4"/>
    <w:rsid w:val="00764648"/>
    <w:rsid w:val="007672F3"/>
    <w:rsid w:val="00786A86"/>
    <w:rsid w:val="00787C2B"/>
    <w:rsid w:val="0079154D"/>
    <w:rsid w:val="00796D3A"/>
    <w:rsid w:val="007A68DA"/>
    <w:rsid w:val="007B0101"/>
    <w:rsid w:val="007B16C4"/>
    <w:rsid w:val="007B6C4E"/>
    <w:rsid w:val="007C2D7E"/>
    <w:rsid w:val="007D0CDC"/>
    <w:rsid w:val="007D17FD"/>
    <w:rsid w:val="007D48C5"/>
    <w:rsid w:val="007E06F0"/>
    <w:rsid w:val="007E18BE"/>
    <w:rsid w:val="007E3563"/>
    <w:rsid w:val="007E5F08"/>
    <w:rsid w:val="00802DFC"/>
    <w:rsid w:val="00814781"/>
    <w:rsid w:val="008175BE"/>
    <w:rsid w:val="00826331"/>
    <w:rsid w:val="008308E0"/>
    <w:rsid w:val="00834DBB"/>
    <w:rsid w:val="008429BF"/>
    <w:rsid w:val="00842FFB"/>
    <w:rsid w:val="00852F0B"/>
    <w:rsid w:val="00853870"/>
    <w:rsid w:val="0086351A"/>
    <w:rsid w:val="008656EE"/>
    <w:rsid w:val="00865DFA"/>
    <w:rsid w:val="00867879"/>
    <w:rsid w:val="00874B61"/>
    <w:rsid w:val="00881418"/>
    <w:rsid w:val="00895B9C"/>
    <w:rsid w:val="00897471"/>
    <w:rsid w:val="008A48B7"/>
    <w:rsid w:val="008A53A5"/>
    <w:rsid w:val="008B3EB5"/>
    <w:rsid w:val="008C5809"/>
    <w:rsid w:val="008C609A"/>
    <w:rsid w:val="008C7A50"/>
    <w:rsid w:val="008D78C9"/>
    <w:rsid w:val="008E0FC9"/>
    <w:rsid w:val="008E17F9"/>
    <w:rsid w:val="008F0BE7"/>
    <w:rsid w:val="008F32E4"/>
    <w:rsid w:val="00900B06"/>
    <w:rsid w:val="00913684"/>
    <w:rsid w:val="009158FA"/>
    <w:rsid w:val="00923865"/>
    <w:rsid w:val="0092656F"/>
    <w:rsid w:val="0093016E"/>
    <w:rsid w:val="00934B4D"/>
    <w:rsid w:val="00935FC1"/>
    <w:rsid w:val="00940EB8"/>
    <w:rsid w:val="00944123"/>
    <w:rsid w:val="00950FAA"/>
    <w:rsid w:val="00955C75"/>
    <w:rsid w:val="00964F87"/>
    <w:rsid w:val="009677DF"/>
    <w:rsid w:val="00967CDB"/>
    <w:rsid w:val="00971736"/>
    <w:rsid w:val="009735FB"/>
    <w:rsid w:val="00977555"/>
    <w:rsid w:val="009835A7"/>
    <w:rsid w:val="009946F8"/>
    <w:rsid w:val="00996064"/>
    <w:rsid w:val="00996E6B"/>
    <w:rsid w:val="0099733C"/>
    <w:rsid w:val="009A1D64"/>
    <w:rsid w:val="009A265F"/>
    <w:rsid w:val="009A66F8"/>
    <w:rsid w:val="009B062B"/>
    <w:rsid w:val="009B0835"/>
    <w:rsid w:val="009B1292"/>
    <w:rsid w:val="009B1F33"/>
    <w:rsid w:val="009B2430"/>
    <w:rsid w:val="009B338B"/>
    <w:rsid w:val="009B5800"/>
    <w:rsid w:val="009B58AD"/>
    <w:rsid w:val="009B69E9"/>
    <w:rsid w:val="009B7935"/>
    <w:rsid w:val="009C2936"/>
    <w:rsid w:val="009C7BA2"/>
    <w:rsid w:val="009D1161"/>
    <w:rsid w:val="009D346C"/>
    <w:rsid w:val="009D4923"/>
    <w:rsid w:val="009D667B"/>
    <w:rsid w:val="009D73CE"/>
    <w:rsid w:val="009E1F22"/>
    <w:rsid w:val="009E3EA6"/>
    <w:rsid w:val="009E5E45"/>
    <w:rsid w:val="009F4449"/>
    <w:rsid w:val="00A00FB3"/>
    <w:rsid w:val="00A021FE"/>
    <w:rsid w:val="00A02252"/>
    <w:rsid w:val="00A127F1"/>
    <w:rsid w:val="00A1288A"/>
    <w:rsid w:val="00A21567"/>
    <w:rsid w:val="00A21ADD"/>
    <w:rsid w:val="00A25810"/>
    <w:rsid w:val="00A27130"/>
    <w:rsid w:val="00A2780E"/>
    <w:rsid w:val="00A427DD"/>
    <w:rsid w:val="00A54291"/>
    <w:rsid w:val="00A563E5"/>
    <w:rsid w:val="00A5668B"/>
    <w:rsid w:val="00A60DC4"/>
    <w:rsid w:val="00A61CF9"/>
    <w:rsid w:val="00A7147C"/>
    <w:rsid w:val="00A74CAF"/>
    <w:rsid w:val="00A7660B"/>
    <w:rsid w:val="00A848DB"/>
    <w:rsid w:val="00A86897"/>
    <w:rsid w:val="00A936FA"/>
    <w:rsid w:val="00A95733"/>
    <w:rsid w:val="00AA03AA"/>
    <w:rsid w:val="00AA079E"/>
    <w:rsid w:val="00AB219F"/>
    <w:rsid w:val="00AB49E3"/>
    <w:rsid w:val="00AB5465"/>
    <w:rsid w:val="00AB79B3"/>
    <w:rsid w:val="00AC2AEC"/>
    <w:rsid w:val="00AD579B"/>
    <w:rsid w:val="00AD7F1C"/>
    <w:rsid w:val="00AE0798"/>
    <w:rsid w:val="00AF497E"/>
    <w:rsid w:val="00B07A5F"/>
    <w:rsid w:val="00B149C4"/>
    <w:rsid w:val="00B1785E"/>
    <w:rsid w:val="00B17971"/>
    <w:rsid w:val="00B216D1"/>
    <w:rsid w:val="00B26FAC"/>
    <w:rsid w:val="00B31AA2"/>
    <w:rsid w:val="00B34788"/>
    <w:rsid w:val="00B3713B"/>
    <w:rsid w:val="00B520F0"/>
    <w:rsid w:val="00B5526F"/>
    <w:rsid w:val="00B554D7"/>
    <w:rsid w:val="00B56EBD"/>
    <w:rsid w:val="00B60573"/>
    <w:rsid w:val="00B70A39"/>
    <w:rsid w:val="00B70BE6"/>
    <w:rsid w:val="00B74C0B"/>
    <w:rsid w:val="00B8400D"/>
    <w:rsid w:val="00B93A37"/>
    <w:rsid w:val="00BA1819"/>
    <w:rsid w:val="00BA4033"/>
    <w:rsid w:val="00BA4385"/>
    <w:rsid w:val="00BA5A22"/>
    <w:rsid w:val="00BB06D6"/>
    <w:rsid w:val="00BB55E5"/>
    <w:rsid w:val="00BB619F"/>
    <w:rsid w:val="00BD242C"/>
    <w:rsid w:val="00BD49B9"/>
    <w:rsid w:val="00BD725A"/>
    <w:rsid w:val="00BE4321"/>
    <w:rsid w:val="00BF2E2B"/>
    <w:rsid w:val="00BF3750"/>
    <w:rsid w:val="00C06244"/>
    <w:rsid w:val="00C17A7A"/>
    <w:rsid w:val="00C20AF0"/>
    <w:rsid w:val="00C220A8"/>
    <w:rsid w:val="00C30E60"/>
    <w:rsid w:val="00C372B9"/>
    <w:rsid w:val="00C41CFA"/>
    <w:rsid w:val="00C42C10"/>
    <w:rsid w:val="00C536C2"/>
    <w:rsid w:val="00C55F47"/>
    <w:rsid w:val="00C56E2E"/>
    <w:rsid w:val="00C64A31"/>
    <w:rsid w:val="00C669BE"/>
    <w:rsid w:val="00C70831"/>
    <w:rsid w:val="00C71C7B"/>
    <w:rsid w:val="00C82E8B"/>
    <w:rsid w:val="00C842ED"/>
    <w:rsid w:val="00C85BAE"/>
    <w:rsid w:val="00C916E5"/>
    <w:rsid w:val="00C935EE"/>
    <w:rsid w:val="00CA1DA0"/>
    <w:rsid w:val="00CA6632"/>
    <w:rsid w:val="00CB059E"/>
    <w:rsid w:val="00CB77C4"/>
    <w:rsid w:val="00CC4C88"/>
    <w:rsid w:val="00CC61B6"/>
    <w:rsid w:val="00CD08C8"/>
    <w:rsid w:val="00CD0B1F"/>
    <w:rsid w:val="00CD19D5"/>
    <w:rsid w:val="00CD3F96"/>
    <w:rsid w:val="00CD7BD8"/>
    <w:rsid w:val="00CE05AA"/>
    <w:rsid w:val="00CE09F3"/>
    <w:rsid w:val="00CE2233"/>
    <w:rsid w:val="00CE37CC"/>
    <w:rsid w:val="00CE76DA"/>
    <w:rsid w:val="00D006DF"/>
    <w:rsid w:val="00D10FFA"/>
    <w:rsid w:val="00D11E94"/>
    <w:rsid w:val="00D16FF0"/>
    <w:rsid w:val="00D17584"/>
    <w:rsid w:val="00D24A8F"/>
    <w:rsid w:val="00D30389"/>
    <w:rsid w:val="00D337F6"/>
    <w:rsid w:val="00D36F80"/>
    <w:rsid w:val="00D463CB"/>
    <w:rsid w:val="00D52CDB"/>
    <w:rsid w:val="00D53807"/>
    <w:rsid w:val="00D55198"/>
    <w:rsid w:val="00D61710"/>
    <w:rsid w:val="00D6611E"/>
    <w:rsid w:val="00D70AA4"/>
    <w:rsid w:val="00D7126F"/>
    <w:rsid w:val="00D85F37"/>
    <w:rsid w:val="00D94896"/>
    <w:rsid w:val="00DB09C7"/>
    <w:rsid w:val="00DB4534"/>
    <w:rsid w:val="00DB5ABE"/>
    <w:rsid w:val="00DC1B60"/>
    <w:rsid w:val="00DD2A82"/>
    <w:rsid w:val="00DD327D"/>
    <w:rsid w:val="00DD7E78"/>
    <w:rsid w:val="00DE267B"/>
    <w:rsid w:val="00DE2719"/>
    <w:rsid w:val="00DF33C4"/>
    <w:rsid w:val="00DF46E4"/>
    <w:rsid w:val="00E01E81"/>
    <w:rsid w:val="00E04856"/>
    <w:rsid w:val="00E058C2"/>
    <w:rsid w:val="00E102E7"/>
    <w:rsid w:val="00E31CB2"/>
    <w:rsid w:val="00E454BB"/>
    <w:rsid w:val="00E50CD3"/>
    <w:rsid w:val="00E5336D"/>
    <w:rsid w:val="00E56089"/>
    <w:rsid w:val="00E72505"/>
    <w:rsid w:val="00E87BE1"/>
    <w:rsid w:val="00E944C4"/>
    <w:rsid w:val="00EA020F"/>
    <w:rsid w:val="00EA1F85"/>
    <w:rsid w:val="00ED4585"/>
    <w:rsid w:val="00ED58C1"/>
    <w:rsid w:val="00ED735F"/>
    <w:rsid w:val="00EE1B13"/>
    <w:rsid w:val="00EF5AA4"/>
    <w:rsid w:val="00EF7D26"/>
    <w:rsid w:val="00F00690"/>
    <w:rsid w:val="00F006D9"/>
    <w:rsid w:val="00F11694"/>
    <w:rsid w:val="00F120A0"/>
    <w:rsid w:val="00F12716"/>
    <w:rsid w:val="00F23525"/>
    <w:rsid w:val="00F36E23"/>
    <w:rsid w:val="00F42610"/>
    <w:rsid w:val="00F467C4"/>
    <w:rsid w:val="00F5138F"/>
    <w:rsid w:val="00F528DA"/>
    <w:rsid w:val="00F56DF1"/>
    <w:rsid w:val="00F5775F"/>
    <w:rsid w:val="00F61553"/>
    <w:rsid w:val="00F63F24"/>
    <w:rsid w:val="00F648AF"/>
    <w:rsid w:val="00F71EE5"/>
    <w:rsid w:val="00F745AA"/>
    <w:rsid w:val="00F76AF2"/>
    <w:rsid w:val="00F776DE"/>
    <w:rsid w:val="00F85A9E"/>
    <w:rsid w:val="00F90AE1"/>
    <w:rsid w:val="00FA5EAB"/>
    <w:rsid w:val="00FA6C1F"/>
    <w:rsid w:val="00FB1687"/>
    <w:rsid w:val="00FB2F54"/>
    <w:rsid w:val="00FB4CD7"/>
    <w:rsid w:val="00FC2DCF"/>
    <w:rsid w:val="00FC64F1"/>
    <w:rsid w:val="00FD3280"/>
    <w:rsid w:val="00FD7DEA"/>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A007E9"/>
  <w15:docId w15:val="{D7730010-FCDB-4456-BCE0-739794A9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 Char Char1,Char Char1 Char Char"/>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Char Char1 Char"/>
    <w:basedOn w:val="DefaultParagraphFont"/>
    <w:link w:val="Header"/>
    <w:rsid w:val="00F745AA"/>
    <w:rPr>
      <w:sz w:val="22"/>
      <w:szCs w:val="24"/>
    </w:rPr>
  </w:style>
  <w:style w:type="paragraph" w:customStyle="1" w:styleId="TableFootnoteSymbol">
    <w:name w:val="Table Footnote Symbol"/>
    <w:basedOn w:val="Normal"/>
    <w:link w:val="TableFootnoteSymbolChar"/>
    <w:rsid w:val="008E17F9"/>
    <w:pPr>
      <w:tabs>
        <w:tab w:val="clear" w:pos="284"/>
      </w:tabs>
      <w:spacing w:before="40" w:line="240" w:lineRule="exact"/>
      <w:ind w:left="360" w:hanging="360"/>
      <w:jc w:val="left"/>
    </w:pPr>
    <w:rPr>
      <w:rFonts w:eastAsiaTheme="minorHAnsi"/>
      <w:sz w:val="18"/>
      <w:szCs w:val="18"/>
      <w:lang w:eastAsia="ja-JP"/>
    </w:rPr>
  </w:style>
  <w:style w:type="character" w:customStyle="1" w:styleId="TableFootnoteSymbolChar">
    <w:name w:val="Table Footnote Symbol Char"/>
    <w:link w:val="TableFootnoteSymbol"/>
    <w:rsid w:val="008E17F9"/>
    <w:rPr>
      <w:rFonts w:eastAsiaTheme="minorHAnsi"/>
      <w:sz w:val="18"/>
      <w:szCs w:val="18"/>
      <w:lang w:eastAsia="ja-JP"/>
    </w:rPr>
  </w:style>
  <w:style w:type="character" w:customStyle="1" w:styleId="gtcitalic2">
    <w:name w:val="gtcitalic2"/>
    <w:rsid w:val="00755CF9"/>
    <w:rPr>
      <w:i/>
    </w:rPr>
  </w:style>
  <w:style w:type="paragraph" w:styleId="ListParagraph">
    <w:name w:val="List Paragraph"/>
    <w:basedOn w:val="Normal"/>
    <w:uiPriority w:val="34"/>
    <w:qFormat/>
    <w:rsid w:val="0041670C"/>
    <w:pPr>
      <w:ind w:left="720"/>
      <w:contextualSpacing/>
    </w:pPr>
  </w:style>
  <w:style w:type="table" w:styleId="TableGrid">
    <w:name w:val="Table Grid"/>
    <w:basedOn w:val="TableNormal"/>
    <w:rsid w:val="0032486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05F8"/>
    <w:pPr>
      <w:autoSpaceDE w:val="0"/>
      <w:autoSpaceDN w:val="0"/>
      <w:adjustRightInd w:val="0"/>
    </w:pPr>
    <w:rPr>
      <w:rFonts w:eastAsia="SimSun"/>
      <w:color w:val="000000"/>
      <w:sz w:val="24"/>
      <w:szCs w:val="24"/>
    </w:rPr>
  </w:style>
  <w:style w:type="paragraph" w:styleId="NoSpacing">
    <w:name w:val="No Spacing"/>
    <w:uiPriority w:val="1"/>
    <w:qFormat/>
    <w:rsid w:val="00B07A5F"/>
    <w:rPr>
      <w:sz w:val="24"/>
      <w:szCs w:val="24"/>
    </w:rPr>
  </w:style>
  <w:style w:type="character" w:styleId="Hyperlink">
    <w:name w:val="Hyperlink"/>
    <w:basedOn w:val="DefaultParagraphFont"/>
    <w:rsid w:val="00B07A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uyx1\AppData\Local\Microsoft\Windows\Temporary%20Internet%20Files\Content.Outlook\ALLX7ELV\Per%20chg%20fm%20BL%20PASI%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514685578066097E-2"/>
          <c:y val="3.5963561839950572E-2"/>
          <c:w val="0.91828421447319086"/>
          <c:h val="0.8576303048033852"/>
        </c:manualLayout>
      </c:layout>
      <c:lineChart>
        <c:grouping val="standard"/>
        <c:varyColors val="0"/>
        <c:ser>
          <c:idx val="0"/>
          <c:order val="0"/>
          <c:tx>
            <c:strRef>
              <c:f>Sheet1!$D$9</c:f>
              <c:strCache>
                <c:ptCount val="1"/>
                <c:pt idx="0">
                  <c:v>RZB</c:v>
                </c:pt>
              </c:strCache>
            </c:strRef>
          </c:tx>
          <c:spPr>
            <a:ln>
              <a:solidFill>
                <a:schemeClr val="tx1"/>
              </a:solidFill>
            </a:ln>
          </c:spPr>
          <c:marker>
            <c:symbol val="square"/>
            <c:size val="7"/>
            <c:spPr>
              <a:solidFill>
                <a:schemeClr val="tx1"/>
              </a:solidFill>
              <a:ln>
                <a:solidFill>
                  <a:schemeClr val="tx1"/>
                </a:solidFill>
              </a:ln>
            </c:spPr>
          </c:marker>
          <c:cat>
            <c:numRef>
              <c:f>Sheet1!$C$10:$C$20</c:f>
              <c:numCache>
                <c:formatCode>General</c:formatCode>
                <c:ptCount val="11"/>
                <c:pt idx="0">
                  <c:v>0</c:v>
                </c:pt>
                <c:pt idx="1">
                  <c:v>4</c:v>
                </c:pt>
                <c:pt idx="2">
                  <c:v>8</c:v>
                </c:pt>
                <c:pt idx="3">
                  <c:v>12</c:v>
                </c:pt>
                <c:pt idx="4">
                  <c:v>16</c:v>
                </c:pt>
                <c:pt idx="5">
                  <c:v>22</c:v>
                </c:pt>
                <c:pt idx="6">
                  <c:v>28</c:v>
                </c:pt>
                <c:pt idx="7">
                  <c:v>34</c:v>
                </c:pt>
                <c:pt idx="8">
                  <c:v>40</c:v>
                </c:pt>
                <c:pt idx="9">
                  <c:v>46</c:v>
                </c:pt>
                <c:pt idx="10">
                  <c:v>52</c:v>
                </c:pt>
              </c:numCache>
            </c:numRef>
          </c:cat>
          <c:val>
            <c:numRef>
              <c:f>Sheet1!$D$10:$D$20</c:f>
              <c:numCache>
                <c:formatCode>General</c:formatCode>
                <c:ptCount val="11"/>
                <c:pt idx="0">
                  <c:v>0</c:v>
                </c:pt>
                <c:pt idx="1">
                  <c:v>-57.594000000000001</c:v>
                </c:pt>
                <c:pt idx="2">
                  <c:v>-82.495000000000005</c:v>
                </c:pt>
                <c:pt idx="3">
                  <c:v>-88.900999999999996</c:v>
                </c:pt>
                <c:pt idx="4">
                  <c:v>-91.105000000000004</c:v>
                </c:pt>
                <c:pt idx="5">
                  <c:v>-91.103999999999999</c:v>
                </c:pt>
                <c:pt idx="6">
                  <c:v>-93.686000000000007</c:v>
                </c:pt>
                <c:pt idx="7">
                  <c:v>-95.197000000000003</c:v>
                </c:pt>
                <c:pt idx="8">
                  <c:v>-94.525000000000006</c:v>
                </c:pt>
                <c:pt idx="9">
                  <c:v>-95.415999999999997</c:v>
                </c:pt>
                <c:pt idx="10">
                  <c:v>-94.563999999999993</c:v>
                </c:pt>
              </c:numCache>
            </c:numRef>
          </c:val>
          <c:smooth val="0"/>
          <c:extLst>
            <c:ext xmlns:c16="http://schemas.microsoft.com/office/drawing/2014/chart" uri="{C3380CC4-5D6E-409C-BE32-E72D297353CC}">
              <c16:uniqueId val="{00000000-108B-42F2-9E9A-444CDF549029}"/>
            </c:ext>
          </c:extLst>
        </c:ser>
        <c:ser>
          <c:idx val="1"/>
          <c:order val="1"/>
          <c:tx>
            <c:strRef>
              <c:f>Sheet1!$E$9</c:f>
              <c:strCache>
                <c:ptCount val="1"/>
                <c:pt idx="0">
                  <c:v>UST</c:v>
                </c:pt>
              </c:strCache>
            </c:strRef>
          </c:tx>
          <c:spPr>
            <a:ln>
              <a:solidFill>
                <a:schemeClr val="tx1"/>
              </a:solidFill>
              <a:prstDash val="dash"/>
            </a:ln>
          </c:spPr>
          <c:marker>
            <c:symbol val="diamond"/>
            <c:size val="7"/>
            <c:spPr>
              <a:solidFill>
                <a:schemeClr val="bg1"/>
              </a:solidFill>
              <a:ln w="12700">
                <a:solidFill>
                  <a:schemeClr val="tx1"/>
                </a:solidFill>
                <a:prstDash val="solid"/>
              </a:ln>
            </c:spPr>
          </c:marker>
          <c:cat>
            <c:numRef>
              <c:f>Sheet1!$C$10:$C$20</c:f>
              <c:numCache>
                <c:formatCode>General</c:formatCode>
                <c:ptCount val="11"/>
                <c:pt idx="0">
                  <c:v>0</c:v>
                </c:pt>
                <c:pt idx="1">
                  <c:v>4</c:v>
                </c:pt>
                <c:pt idx="2">
                  <c:v>8</c:v>
                </c:pt>
                <c:pt idx="3">
                  <c:v>12</c:v>
                </c:pt>
                <c:pt idx="4">
                  <c:v>16</c:v>
                </c:pt>
                <c:pt idx="5">
                  <c:v>22</c:v>
                </c:pt>
                <c:pt idx="6">
                  <c:v>28</c:v>
                </c:pt>
                <c:pt idx="7">
                  <c:v>34</c:v>
                </c:pt>
                <c:pt idx="8">
                  <c:v>40</c:v>
                </c:pt>
                <c:pt idx="9">
                  <c:v>46</c:v>
                </c:pt>
                <c:pt idx="10">
                  <c:v>52</c:v>
                </c:pt>
              </c:numCache>
            </c:numRef>
          </c:cat>
          <c:val>
            <c:numRef>
              <c:f>Sheet1!$E$10:$E$20</c:f>
              <c:numCache>
                <c:formatCode>General</c:formatCode>
                <c:ptCount val="11"/>
                <c:pt idx="0">
                  <c:v>0</c:v>
                </c:pt>
                <c:pt idx="1">
                  <c:v>-47.395000000000003</c:v>
                </c:pt>
                <c:pt idx="2">
                  <c:v>-73.427999999999997</c:v>
                </c:pt>
                <c:pt idx="3">
                  <c:v>-80.405000000000001</c:v>
                </c:pt>
                <c:pt idx="4">
                  <c:v>-79.370999999999995</c:v>
                </c:pt>
                <c:pt idx="5">
                  <c:v>-79.373000000000005</c:v>
                </c:pt>
                <c:pt idx="6">
                  <c:v>-84.417000000000002</c:v>
                </c:pt>
                <c:pt idx="7">
                  <c:v>-85.96</c:v>
                </c:pt>
                <c:pt idx="8">
                  <c:v>-82.355000000000004</c:v>
                </c:pt>
                <c:pt idx="9">
                  <c:v>-86.403000000000006</c:v>
                </c:pt>
                <c:pt idx="10">
                  <c:v>-83.338999999999999</c:v>
                </c:pt>
              </c:numCache>
            </c:numRef>
          </c:val>
          <c:smooth val="0"/>
          <c:extLst>
            <c:ext xmlns:c16="http://schemas.microsoft.com/office/drawing/2014/chart" uri="{C3380CC4-5D6E-409C-BE32-E72D297353CC}">
              <c16:uniqueId val="{00000001-108B-42F2-9E9A-444CDF549029}"/>
            </c:ext>
          </c:extLst>
        </c:ser>
        <c:ser>
          <c:idx val="2"/>
          <c:order val="2"/>
          <c:tx>
            <c:strRef>
              <c:f>Sheet1!$F$9</c:f>
              <c:strCache>
                <c:ptCount val="1"/>
                <c:pt idx="0">
                  <c:v>PBO</c:v>
                </c:pt>
              </c:strCache>
            </c:strRef>
          </c:tx>
          <c:spPr>
            <a:ln>
              <a:solidFill>
                <a:schemeClr val="tx1"/>
              </a:solidFill>
              <a:prstDash val="sysDot"/>
            </a:ln>
          </c:spPr>
          <c:marker>
            <c:symbol val="circle"/>
            <c:size val="7"/>
            <c:spPr>
              <a:solidFill>
                <a:schemeClr val="bg1"/>
              </a:solidFill>
              <a:ln w="12700">
                <a:solidFill>
                  <a:schemeClr val="tx1"/>
                </a:solidFill>
              </a:ln>
            </c:spPr>
          </c:marker>
          <c:cat>
            <c:numRef>
              <c:f>Sheet1!$C$10:$C$20</c:f>
              <c:numCache>
                <c:formatCode>General</c:formatCode>
                <c:ptCount val="11"/>
                <c:pt idx="0">
                  <c:v>0</c:v>
                </c:pt>
                <c:pt idx="1">
                  <c:v>4</c:v>
                </c:pt>
                <c:pt idx="2">
                  <c:v>8</c:v>
                </c:pt>
                <c:pt idx="3">
                  <c:v>12</c:v>
                </c:pt>
                <c:pt idx="4">
                  <c:v>16</c:v>
                </c:pt>
                <c:pt idx="5">
                  <c:v>22</c:v>
                </c:pt>
                <c:pt idx="6">
                  <c:v>28</c:v>
                </c:pt>
                <c:pt idx="7">
                  <c:v>34</c:v>
                </c:pt>
                <c:pt idx="8">
                  <c:v>40</c:v>
                </c:pt>
                <c:pt idx="9">
                  <c:v>46</c:v>
                </c:pt>
                <c:pt idx="10">
                  <c:v>52</c:v>
                </c:pt>
              </c:numCache>
            </c:numRef>
          </c:cat>
          <c:val>
            <c:numRef>
              <c:f>Sheet1!$F$10:$F$20</c:f>
              <c:numCache>
                <c:formatCode>General</c:formatCode>
                <c:ptCount val="11"/>
                <c:pt idx="0">
                  <c:v>0</c:v>
                </c:pt>
                <c:pt idx="1">
                  <c:v>-9.2330000000000005</c:v>
                </c:pt>
                <c:pt idx="2">
                  <c:v>-13.19</c:v>
                </c:pt>
                <c:pt idx="3">
                  <c:v>-11.378</c:v>
                </c:pt>
                <c:pt idx="4">
                  <c:v>-9.5779999999999994</c:v>
                </c:pt>
              </c:numCache>
            </c:numRef>
          </c:val>
          <c:smooth val="0"/>
          <c:extLst>
            <c:ext xmlns:c16="http://schemas.microsoft.com/office/drawing/2014/chart" uri="{C3380CC4-5D6E-409C-BE32-E72D297353CC}">
              <c16:uniqueId val="{00000002-108B-42F2-9E9A-444CDF549029}"/>
            </c:ext>
          </c:extLst>
        </c:ser>
        <c:dLbls>
          <c:showLegendKey val="0"/>
          <c:showVal val="0"/>
          <c:showCatName val="0"/>
          <c:showSerName val="0"/>
          <c:showPercent val="0"/>
          <c:showBubbleSize val="0"/>
        </c:dLbls>
        <c:marker val="1"/>
        <c:smooth val="0"/>
        <c:axId val="285031040"/>
        <c:axId val="285033216"/>
      </c:lineChart>
      <c:catAx>
        <c:axId val="285031040"/>
        <c:scaling>
          <c:orientation val="minMax"/>
        </c:scaling>
        <c:delete val="0"/>
        <c:axPos val="b"/>
        <c:numFmt formatCode="General" sourceLinked="1"/>
        <c:majorTickMark val="none"/>
        <c:minorTickMark val="none"/>
        <c:tickLblPos val="nextTo"/>
        <c:crossAx val="285033216"/>
        <c:crossesAt val="-100"/>
        <c:auto val="1"/>
        <c:lblAlgn val="ctr"/>
        <c:lblOffset val="100"/>
        <c:noMultiLvlLbl val="0"/>
      </c:catAx>
      <c:valAx>
        <c:axId val="285033216"/>
        <c:scaling>
          <c:orientation val="minMax"/>
          <c:min val="-100"/>
        </c:scaling>
        <c:delete val="0"/>
        <c:axPos val="l"/>
        <c:numFmt formatCode="General" sourceLinked="1"/>
        <c:majorTickMark val="none"/>
        <c:minorTickMark val="none"/>
        <c:tickLblPos val="nextTo"/>
        <c:crossAx val="285031040"/>
        <c:crossesAt val="1"/>
        <c:crossBetween val="between"/>
      </c:valAx>
    </c:plotArea>
    <c:legend>
      <c:legendPos val="b"/>
      <c:layout>
        <c:manualLayout>
          <c:xMode val="edge"/>
          <c:yMode val="edge"/>
          <c:x val="0.76510762911022978"/>
          <c:y val="0.2926775999181338"/>
          <c:w val="0.14902217400744616"/>
          <c:h val="0.2674958891666047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1E36E-6063-453E-836C-9F2ACCCF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5112</Words>
  <Characters>29144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Gordana Boljević</cp:lastModifiedBy>
  <cp:revision>7</cp:revision>
  <cp:lastPrinted>2020-02-18T13:50:00Z</cp:lastPrinted>
  <dcterms:created xsi:type="dcterms:W3CDTF">2021-03-09T09:12:00Z</dcterms:created>
  <dcterms:modified xsi:type="dcterms:W3CDTF">2021-03-16T11:49:00Z</dcterms:modified>
</cp:coreProperties>
</file>