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D261A" w14:textId="77777777" w:rsidR="005C008E" w:rsidRPr="007821D0" w:rsidRDefault="005C008E" w:rsidP="007821D0">
      <w:pPr>
        <w:spacing w:after="0" w:line="240" w:lineRule="auto"/>
        <w:ind w:left="0" w:right="1" w:firstLine="0"/>
        <w:jc w:val="center"/>
        <w:rPr>
          <w:b/>
          <w:u w:val="single" w:color="000000"/>
          <w:lang w:val="sr-Latn-ME"/>
        </w:rPr>
      </w:pPr>
    </w:p>
    <w:p w14:paraId="44747F5C" w14:textId="4A30C25C" w:rsidR="00284634" w:rsidRPr="007821D0" w:rsidRDefault="00313D4B" w:rsidP="007821D0">
      <w:pPr>
        <w:spacing w:after="0" w:line="240" w:lineRule="auto"/>
        <w:ind w:left="0" w:right="1" w:firstLine="0"/>
        <w:jc w:val="center"/>
        <w:rPr>
          <w:lang w:val="sr-Latn-ME"/>
        </w:rPr>
      </w:pPr>
      <w:r w:rsidRPr="007821D0">
        <w:rPr>
          <w:b/>
          <w:u w:val="single" w:color="000000"/>
          <w:lang w:val="sr-Latn-ME"/>
        </w:rPr>
        <w:t>SAŽETAK KARAKTERISTIKA L</w:t>
      </w:r>
      <w:r w:rsidR="009F2AF5" w:rsidRPr="007821D0">
        <w:rPr>
          <w:b/>
          <w:u w:val="single" w:color="000000"/>
          <w:lang w:val="sr-Latn-ME"/>
        </w:rPr>
        <w:t>IJ</w:t>
      </w:r>
      <w:r w:rsidRPr="007821D0">
        <w:rPr>
          <w:b/>
          <w:u w:val="single" w:color="000000"/>
          <w:lang w:val="sr-Latn-ME"/>
        </w:rPr>
        <w:t>EKA</w:t>
      </w:r>
    </w:p>
    <w:p w14:paraId="5A7E1235" w14:textId="77777777" w:rsidR="00762C8D" w:rsidRPr="007821D0" w:rsidRDefault="00762C8D" w:rsidP="007821D0">
      <w:pPr>
        <w:pStyle w:val="Heading1"/>
        <w:spacing w:after="0" w:line="240" w:lineRule="auto"/>
        <w:ind w:left="-5"/>
        <w:rPr>
          <w:lang w:val="sr-Latn-ME"/>
        </w:rPr>
      </w:pPr>
    </w:p>
    <w:p w14:paraId="07426FA1" w14:textId="77777777" w:rsidR="005C008E" w:rsidRPr="007821D0" w:rsidRDefault="005C008E" w:rsidP="007821D0">
      <w:pPr>
        <w:pStyle w:val="Heading1"/>
        <w:spacing w:after="0" w:line="240" w:lineRule="auto"/>
        <w:ind w:left="-5"/>
        <w:rPr>
          <w:lang w:val="sr-Latn-ME"/>
        </w:rPr>
      </w:pPr>
    </w:p>
    <w:p w14:paraId="4446D519" w14:textId="2906DC69" w:rsidR="00284634" w:rsidRPr="007821D0" w:rsidRDefault="00313D4B" w:rsidP="007821D0">
      <w:pPr>
        <w:pStyle w:val="Heading1"/>
        <w:spacing w:after="0" w:line="240" w:lineRule="auto"/>
        <w:ind w:left="-5"/>
        <w:rPr>
          <w:lang w:val="sr-Latn-ME"/>
        </w:rPr>
      </w:pPr>
      <w:r w:rsidRPr="007821D0">
        <w:rPr>
          <w:lang w:val="sr-Latn-ME"/>
        </w:rPr>
        <w:t xml:space="preserve">1. </w:t>
      </w:r>
      <w:r w:rsidR="009F2AF5" w:rsidRPr="007821D0">
        <w:rPr>
          <w:lang w:val="sr-Latn-ME"/>
        </w:rPr>
        <w:t>NAZIV LIJEKA</w:t>
      </w:r>
    </w:p>
    <w:p w14:paraId="5616C709" w14:textId="77777777" w:rsidR="00762C8D" w:rsidRPr="007821D0" w:rsidRDefault="00762C8D" w:rsidP="007821D0">
      <w:pPr>
        <w:spacing w:after="0" w:line="240" w:lineRule="auto"/>
        <w:ind w:left="-5" w:right="3"/>
        <w:rPr>
          <w:lang w:val="sr-Latn-ME"/>
        </w:rPr>
      </w:pPr>
    </w:p>
    <w:p w14:paraId="6C69F067" w14:textId="32C79747" w:rsidR="00284634" w:rsidRPr="007821D0" w:rsidRDefault="00313D4B" w:rsidP="007821D0">
      <w:pPr>
        <w:spacing w:after="0" w:line="240" w:lineRule="auto"/>
        <w:ind w:left="-5" w:right="3"/>
        <w:rPr>
          <w:lang w:val="sr-Latn-ME"/>
        </w:rPr>
      </w:pPr>
      <w:r w:rsidRPr="007821D0">
        <w:rPr>
          <w:lang w:val="sr-Latn-ME"/>
        </w:rPr>
        <w:t>Dutasterid Sandoz</w:t>
      </w:r>
      <w:r w:rsidRPr="007821D0">
        <w:rPr>
          <w:vertAlign w:val="superscript"/>
          <w:lang w:val="sr-Latn-ME"/>
        </w:rPr>
        <w:t>®</w:t>
      </w:r>
      <w:r w:rsidRPr="007821D0">
        <w:rPr>
          <w:lang w:val="sr-Latn-ME"/>
        </w:rPr>
        <w:t xml:space="preserve">, 0,5 mg, </w:t>
      </w:r>
      <w:r w:rsidR="005C008E" w:rsidRPr="007821D0">
        <w:rPr>
          <w:lang w:val="sr-Latn-ME"/>
        </w:rPr>
        <w:t>kapsula</w:t>
      </w:r>
      <w:r w:rsidRPr="007821D0">
        <w:rPr>
          <w:lang w:val="sr-Latn-ME"/>
        </w:rPr>
        <w:t xml:space="preserve">, </w:t>
      </w:r>
      <w:r w:rsidR="005C008E" w:rsidRPr="007821D0">
        <w:rPr>
          <w:lang w:val="sr-Latn-ME"/>
        </w:rPr>
        <w:t>meka</w:t>
      </w:r>
    </w:p>
    <w:p w14:paraId="373894D5" w14:textId="77777777" w:rsidR="00284634" w:rsidRPr="007821D0" w:rsidRDefault="00313D4B" w:rsidP="007821D0">
      <w:pPr>
        <w:spacing w:after="0" w:line="240" w:lineRule="auto"/>
        <w:ind w:left="-5" w:right="3"/>
        <w:rPr>
          <w:lang w:val="sr-Latn-ME"/>
        </w:rPr>
      </w:pPr>
      <w:r w:rsidRPr="007821D0">
        <w:rPr>
          <w:lang w:val="sr-Latn-ME"/>
        </w:rPr>
        <w:t>INN: dutasterid</w:t>
      </w:r>
    </w:p>
    <w:p w14:paraId="7BB9B02F" w14:textId="49C9C155" w:rsidR="00D05C0E" w:rsidRPr="007821D0" w:rsidRDefault="00D05C0E" w:rsidP="007821D0">
      <w:pPr>
        <w:pStyle w:val="Heading1"/>
        <w:spacing w:after="0" w:line="240" w:lineRule="auto"/>
        <w:ind w:left="-5"/>
        <w:rPr>
          <w:lang w:val="sr-Latn-ME"/>
        </w:rPr>
      </w:pPr>
    </w:p>
    <w:p w14:paraId="5C0ABAAF" w14:textId="77777777" w:rsidR="005C008E" w:rsidRPr="007821D0" w:rsidRDefault="005C008E" w:rsidP="007821D0">
      <w:pPr>
        <w:spacing w:after="0" w:line="240" w:lineRule="auto"/>
        <w:rPr>
          <w:lang w:val="sr-Latn-ME"/>
        </w:rPr>
      </w:pPr>
    </w:p>
    <w:p w14:paraId="10B27B22" w14:textId="07F5CCAD" w:rsidR="00284634" w:rsidRPr="007821D0" w:rsidRDefault="00313D4B" w:rsidP="007821D0">
      <w:pPr>
        <w:pStyle w:val="Heading1"/>
        <w:spacing w:after="0" w:line="240" w:lineRule="auto"/>
        <w:ind w:left="-5"/>
        <w:rPr>
          <w:lang w:val="sr-Latn-ME"/>
        </w:rPr>
      </w:pPr>
      <w:r w:rsidRPr="007821D0">
        <w:rPr>
          <w:lang w:val="sr-Latn-ME"/>
        </w:rPr>
        <w:t>2. KVALITATIVNI I KVANTITATIVNI SASTAV</w:t>
      </w:r>
    </w:p>
    <w:p w14:paraId="37310D4B" w14:textId="77777777" w:rsidR="00762C8D" w:rsidRPr="007821D0" w:rsidRDefault="00762C8D" w:rsidP="007821D0">
      <w:pPr>
        <w:spacing w:after="0" w:line="240" w:lineRule="auto"/>
        <w:ind w:left="-5" w:right="3"/>
        <w:rPr>
          <w:lang w:val="sr-Latn-ME"/>
        </w:rPr>
      </w:pPr>
    </w:p>
    <w:p w14:paraId="2A2A9355" w14:textId="544A0866" w:rsidR="00284634" w:rsidRPr="007821D0" w:rsidRDefault="00313D4B" w:rsidP="007821D0">
      <w:pPr>
        <w:spacing w:after="0" w:line="240" w:lineRule="auto"/>
        <w:ind w:left="-5" w:right="3"/>
        <w:rPr>
          <w:lang w:val="sr-Latn-ME"/>
        </w:rPr>
      </w:pPr>
      <w:r w:rsidRPr="007821D0">
        <w:rPr>
          <w:lang w:val="sr-Latn-ME"/>
        </w:rPr>
        <w:t>Jedna kapsula, meka sadrži 0,5 mg dutasterida.</w:t>
      </w:r>
    </w:p>
    <w:p w14:paraId="3CB16011" w14:textId="77777777" w:rsidR="00B633B0" w:rsidRPr="007821D0" w:rsidRDefault="00B633B0" w:rsidP="007821D0">
      <w:pPr>
        <w:spacing w:after="0" w:line="240" w:lineRule="auto"/>
        <w:ind w:left="-5" w:right="5560"/>
        <w:rPr>
          <w:lang w:val="sr-Latn-ME"/>
        </w:rPr>
      </w:pPr>
    </w:p>
    <w:p w14:paraId="4959101D" w14:textId="77777777" w:rsidR="00B633B0" w:rsidRPr="007821D0" w:rsidRDefault="00313D4B" w:rsidP="007821D0">
      <w:pPr>
        <w:spacing w:after="0" w:line="240" w:lineRule="auto"/>
        <w:ind w:left="-5" w:right="5560"/>
        <w:rPr>
          <w:lang w:val="sr-Latn-ME"/>
        </w:rPr>
      </w:pPr>
      <w:r w:rsidRPr="007821D0">
        <w:rPr>
          <w:lang w:val="sr-Latn-ME"/>
        </w:rPr>
        <w:t xml:space="preserve">Pomoćna supstanca sa potvrđenim dejstvom: </w:t>
      </w:r>
    </w:p>
    <w:p w14:paraId="50FB0EFE" w14:textId="2E03544A" w:rsidR="00B633B0" w:rsidRPr="007821D0" w:rsidRDefault="00313D4B" w:rsidP="007821D0">
      <w:pPr>
        <w:pStyle w:val="ListParagraph"/>
        <w:numPr>
          <w:ilvl w:val="0"/>
          <w:numId w:val="3"/>
        </w:numPr>
        <w:spacing w:after="0" w:line="240" w:lineRule="auto"/>
        <w:ind w:right="5560"/>
        <w:rPr>
          <w:lang w:val="sr-Latn-ME"/>
        </w:rPr>
      </w:pPr>
      <w:r w:rsidRPr="007821D0">
        <w:rPr>
          <w:lang w:val="sr-Latn-ME"/>
        </w:rPr>
        <w:t>lecitin (soja) (E322)</w:t>
      </w:r>
    </w:p>
    <w:p w14:paraId="3E62DE66" w14:textId="50C55806" w:rsidR="00284634" w:rsidRPr="007821D0" w:rsidRDefault="00284634" w:rsidP="007821D0">
      <w:pPr>
        <w:pStyle w:val="ListParagraph"/>
        <w:spacing w:after="0" w:line="240" w:lineRule="auto"/>
        <w:ind w:left="345" w:right="5560" w:firstLine="0"/>
        <w:rPr>
          <w:lang w:val="sr-Latn-ME"/>
        </w:rPr>
      </w:pPr>
    </w:p>
    <w:p w14:paraId="2F071B20" w14:textId="77777777" w:rsidR="009F2AF5" w:rsidRPr="007821D0" w:rsidRDefault="009F2AF5" w:rsidP="007821D0">
      <w:pPr>
        <w:spacing w:after="0" w:line="240" w:lineRule="auto"/>
        <w:rPr>
          <w:lang w:val="sr-Latn-ME"/>
        </w:rPr>
      </w:pPr>
      <w:r w:rsidRPr="007821D0">
        <w:rPr>
          <w:lang w:val="sr-Latn-ME"/>
        </w:rPr>
        <w:t>Za spisak svih ekscipijenasa, pogledati dio 6.1.</w:t>
      </w:r>
    </w:p>
    <w:p w14:paraId="2BF82744" w14:textId="77777777" w:rsidR="00D05C0E" w:rsidRPr="007821D0" w:rsidRDefault="00D05C0E" w:rsidP="007821D0">
      <w:pPr>
        <w:pStyle w:val="Heading1"/>
        <w:spacing w:after="0" w:line="240" w:lineRule="auto"/>
        <w:ind w:left="-5"/>
        <w:rPr>
          <w:lang w:val="sr-Latn-ME"/>
        </w:rPr>
      </w:pPr>
    </w:p>
    <w:p w14:paraId="2D8C14FE" w14:textId="77777777" w:rsidR="00B633B0" w:rsidRPr="007821D0" w:rsidRDefault="00B633B0" w:rsidP="007821D0">
      <w:pPr>
        <w:pStyle w:val="Heading1"/>
        <w:spacing w:after="0" w:line="240" w:lineRule="auto"/>
        <w:ind w:left="-5"/>
        <w:rPr>
          <w:lang w:val="sr-Latn-ME"/>
        </w:rPr>
      </w:pPr>
    </w:p>
    <w:p w14:paraId="3C2DB40C" w14:textId="3FD01A41" w:rsidR="00284634" w:rsidRPr="007821D0" w:rsidRDefault="00313D4B" w:rsidP="007821D0">
      <w:pPr>
        <w:pStyle w:val="Heading1"/>
        <w:spacing w:after="0" w:line="240" w:lineRule="auto"/>
        <w:ind w:left="-5"/>
        <w:rPr>
          <w:lang w:val="sr-Latn-ME"/>
        </w:rPr>
      </w:pPr>
      <w:r w:rsidRPr="007821D0">
        <w:rPr>
          <w:lang w:val="sr-Latn-ME"/>
        </w:rPr>
        <w:t>3. FARMACEUTSKI OBLIK</w:t>
      </w:r>
    </w:p>
    <w:p w14:paraId="2F1FBFD6" w14:textId="77777777" w:rsidR="00B633B0" w:rsidRPr="007821D0" w:rsidRDefault="00B633B0" w:rsidP="007821D0">
      <w:pPr>
        <w:spacing w:after="0" w:line="240" w:lineRule="auto"/>
        <w:ind w:left="-5" w:right="3"/>
        <w:rPr>
          <w:lang w:val="sr-Latn-ME"/>
        </w:rPr>
      </w:pPr>
    </w:p>
    <w:p w14:paraId="4060FB83" w14:textId="7622C656" w:rsidR="00284634" w:rsidRPr="007821D0" w:rsidRDefault="00313D4B" w:rsidP="007821D0">
      <w:pPr>
        <w:spacing w:after="0" w:line="240" w:lineRule="auto"/>
        <w:ind w:left="-5" w:right="3"/>
        <w:rPr>
          <w:lang w:val="sr-Latn-ME"/>
        </w:rPr>
      </w:pPr>
      <w:r w:rsidRPr="007821D0">
        <w:rPr>
          <w:lang w:val="sr-Latn-ME"/>
        </w:rPr>
        <w:t>Kapsula, meka.</w:t>
      </w:r>
    </w:p>
    <w:p w14:paraId="43498C5E" w14:textId="77777777" w:rsidR="00EB62EC" w:rsidRPr="007821D0" w:rsidRDefault="00EB62EC" w:rsidP="007821D0">
      <w:pPr>
        <w:spacing w:after="0" w:line="240" w:lineRule="auto"/>
        <w:ind w:left="-5" w:right="3"/>
        <w:rPr>
          <w:lang w:val="sr-Latn-ME"/>
        </w:rPr>
      </w:pPr>
    </w:p>
    <w:p w14:paraId="639DB18C" w14:textId="671F9FFD" w:rsidR="00284634" w:rsidRPr="007821D0" w:rsidRDefault="00313D4B" w:rsidP="007821D0">
      <w:pPr>
        <w:spacing w:after="0" w:line="240" w:lineRule="auto"/>
        <w:ind w:left="-5" w:right="3"/>
        <w:rPr>
          <w:lang w:val="sr-Latn-ME"/>
        </w:rPr>
      </w:pPr>
      <w:r w:rsidRPr="007821D0">
        <w:rPr>
          <w:lang w:val="sr-Latn-ME"/>
        </w:rPr>
        <w:t>Duguljaste, žute boje, neprovidne želatinske kapsule, meke, napunjene uljanom žućkastom tečnošću.</w:t>
      </w:r>
    </w:p>
    <w:p w14:paraId="6C9CC064" w14:textId="77777777" w:rsidR="00D05C0E" w:rsidRPr="007821D0" w:rsidRDefault="00D05C0E" w:rsidP="007821D0">
      <w:pPr>
        <w:pStyle w:val="Heading1"/>
        <w:spacing w:after="0" w:line="240" w:lineRule="auto"/>
        <w:ind w:left="-5"/>
        <w:rPr>
          <w:lang w:val="sr-Latn-ME"/>
        </w:rPr>
      </w:pPr>
    </w:p>
    <w:p w14:paraId="1CC41AE3" w14:textId="77777777" w:rsidR="00B633B0" w:rsidRPr="007821D0" w:rsidRDefault="00B633B0" w:rsidP="007821D0">
      <w:pPr>
        <w:pStyle w:val="Heading1"/>
        <w:spacing w:after="0" w:line="240" w:lineRule="auto"/>
        <w:ind w:left="-5"/>
        <w:rPr>
          <w:lang w:val="sr-Latn-ME"/>
        </w:rPr>
      </w:pPr>
    </w:p>
    <w:p w14:paraId="33B12359" w14:textId="114B9C9E" w:rsidR="00284634" w:rsidRPr="007821D0" w:rsidRDefault="00313D4B" w:rsidP="007821D0">
      <w:pPr>
        <w:pStyle w:val="Heading1"/>
        <w:spacing w:after="0" w:line="240" w:lineRule="auto"/>
        <w:ind w:left="-5"/>
        <w:rPr>
          <w:lang w:val="sr-Latn-ME"/>
        </w:rPr>
      </w:pPr>
      <w:r w:rsidRPr="007821D0">
        <w:rPr>
          <w:lang w:val="sr-Latn-ME"/>
        </w:rPr>
        <w:t>4. KLINIČKI PODACI</w:t>
      </w:r>
    </w:p>
    <w:p w14:paraId="32B18754" w14:textId="77777777" w:rsidR="00B633B0" w:rsidRPr="007821D0" w:rsidRDefault="00B633B0" w:rsidP="007821D0">
      <w:pPr>
        <w:pStyle w:val="Heading2"/>
        <w:spacing w:after="0" w:line="240" w:lineRule="auto"/>
        <w:ind w:left="-5"/>
        <w:rPr>
          <w:b/>
          <w:u w:val="none"/>
          <w:lang w:val="sr-Latn-ME"/>
        </w:rPr>
      </w:pPr>
    </w:p>
    <w:p w14:paraId="2DA5DEDB" w14:textId="2D6910AD" w:rsidR="00284634" w:rsidRPr="007821D0" w:rsidRDefault="00313D4B" w:rsidP="007821D0">
      <w:pPr>
        <w:pStyle w:val="Heading2"/>
        <w:spacing w:after="0" w:line="240" w:lineRule="auto"/>
        <w:ind w:left="-5"/>
        <w:rPr>
          <w:lang w:val="sr-Latn-ME"/>
        </w:rPr>
      </w:pPr>
      <w:r w:rsidRPr="007821D0">
        <w:rPr>
          <w:b/>
          <w:u w:val="none"/>
          <w:lang w:val="sr-Latn-ME"/>
        </w:rPr>
        <w:t>4.1. Terapijske indikacije</w:t>
      </w:r>
    </w:p>
    <w:p w14:paraId="1CD1137B" w14:textId="77777777" w:rsidR="00B633B0" w:rsidRPr="007821D0" w:rsidRDefault="00B633B0" w:rsidP="007821D0">
      <w:pPr>
        <w:spacing w:after="0" w:line="240" w:lineRule="auto"/>
        <w:ind w:left="-5" w:right="3"/>
        <w:jc w:val="both"/>
        <w:rPr>
          <w:lang w:val="sr-Latn-ME"/>
        </w:rPr>
      </w:pPr>
    </w:p>
    <w:p w14:paraId="4F634303" w14:textId="0673A016" w:rsidR="00284634" w:rsidRPr="007821D0" w:rsidRDefault="00313D4B" w:rsidP="007821D0">
      <w:pPr>
        <w:spacing w:after="0" w:line="240" w:lineRule="auto"/>
        <w:ind w:left="-5" w:right="3"/>
        <w:jc w:val="both"/>
        <w:rPr>
          <w:lang w:val="sr-Latn-ME"/>
        </w:rPr>
      </w:pPr>
      <w:r w:rsidRPr="007821D0">
        <w:rPr>
          <w:lang w:val="sr-Latn-ME"/>
        </w:rPr>
        <w:t>Terapija um</w:t>
      </w:r>
      <w:r w:rsidR="000E3F7D" w:rsidRPr="007821D0">
        <w:rPr>
          <w:lang w:val="sr-Latn-ME"/>
        </w:rPr>
        <w:t>j</w:t>
      </w:r>
      <w:r w:rsidRPr="007821D0">
        <w:rPr>
          <w:lang w:val="sr-Latn-ME"/>
        </w:rPr>
        <w:t>erenih do teških simptoma benigne hiperplazije prostate (BHP).</w:t>
      </w:r>
    </w:p>
    <w:p w14:paraId="2E0EA08F" w14:textId="22885014" w:rsidR="00284634" w:rsidRPr="007821D0" w:rsidRDefault="00313D4B" w:rsidP="007821D0">
      <w:pPr>
        <w:spacing w:after="0" w:line="240" w:lineRule="auto"/>
        <w:ind w:left="-5" w:right="3"/>
        <w:jc w:val="both"/>
        <w:rPr>
          <w:lang w:val="sr-Latn-ME"/>
        </w:rPr>
      </w:pPr>
      <w:r w:rsidRPr="007821D0">
        <w:rPr>
          <w:lang w:val="sr-Latn-ME"/>
        </w:rPr>
        <w:t>Smanjenje rizika od nastanka akutne urinarne retencije (AUR) i operacije kod pacijenata sa um</w:t>
      </w:r>
      <w:r w:rsidR="009F2AF5" w:rsidRPr="007821D0">
        <w:rPr>
          <w:lang w:val="sr-Latn-ME"/>
        </w:rPr>
        <w:t>j</w:t>
      </w:r>
      <w:r w:rsidRPr="007821D0">
        <w:rPr>
          <w:lang w:val="sr-Latn-ME"/>
        </w:rPr>
        <w:t>erenim do teškim simptomima BHP.</w:t>
      </w:r>
    </w:p>
    <w:p w14:paraId="023258F5" w14:textId="3DCEC069" w:rsidR="00284634" w:rsidRPr="007821D0" w:rsidRDefault="00313D4B" w:rsidP="007821D0">
      <w:pPr>
        <w:spacing w:after="0" w:line="240" w:lineRule="auto"/>
        <w:ind w:left="-5" w:right="3"/>
        <w:jc w:val="both"/>
        <w:rPr>
          <w:lang w:val="sr-Latn-ME"/>
        </w:rPr>
      </w:pPr>
      <w:r w:rsidRPr="007821D0">
        <w:rPr>
          <w:lang w:val="sr-Latn-ME"/>
        </w:rPr>
        <w:t>Za informacije o dejstvima terapije i populacionim grupama pacijenata koje su bile uključene u klinička ispitivanja, vid</w:t>
      </w:r>
      <w:r w:rsidR="009F2AF5" w:rsidRPr="007821D0">
        <w:rPr>
          <w:lang w:val="sr-Latn-ME"/>
        </w:rPr>
        <w:t>j</w:t>
      </w:r>
      <w:r w:rsidRPr="007821D0">
        <w:rPr>
          <w:lang w:val="sr-Latn-ME"/>
        </w:rPr>
        <w:t xml:space="preserve">eti </w:t>
      </w:r>
      <w:r w:rsidR="00E416FF" w:rsidRPr="007821D0">
        <w:rPr>
          <w:lang w:val="sr-Latn-ME"/>
        </w:rPr>
        <w:t xml:space="preserve">dio </w:t>
      </w:r>
      <w:r w:rsidRPr="007821D0">
        <w:rPr>
          <w:lang w:val="sr-Latn-ME"/>
        </w:rPr>
        <w:t xml:space="preserve">5.1. </w:t>
      </w:r>
    </w:p>
    <w:p w14:paraId="602716EA" w14:textId="77777777" w:rsidR="00EB62EC" w:rsidRPr="007821D0" w:rsidRDefault="00EB62EC" w:rsidP="007821D0">
      <w:pPr>
        <w:pStyle w:val="Heading2"/>
        <w:spacing w:after="0" w:line="240" w:lineRule="auto"/>
        <w:ind w:left="-5"/>
        <w:rPr>
          <w:b/>
          <w:u w:val="none"/>
          <w:lang w:val="sr-Latn-ME"/>
        </w:rPr>
      </w:pPr>
    </w:p>
    <w:p w14:paraId="608B5BA9" w14:textId="52108E12" w:rsidR="00284634" w:rsidRPr="007821D0" w:rsidRDefault="00313D4B" w:rsidP="007821D0">
      <w:pPr>
        <w:pStyle w:val="Heading2"/>
        <w:spacing w:after="0" w:line="240" w:lineRule="auto"/>
        <w:ind w:left="-5"/>
        <w:rPr>
          <w:lang w:val="sr-Latn-ME"/>
        </w:rPr>
      </w:pPr>
      <w:r w:rsidRPr="007821D0">
        <w:rPr>
          <w:b/>
          <w:u w:val="none"/>
          <w:lang w:val="sr-Latn-ME"/>
        </w:rPr>
        <w:t xml:space="preserve">4.2. Doziranje i način </w:t>
      </w:r>
      <w:r w:rsidR="00E91FDE" w:rsidRPr="007821D0">
        <w:rPr>
          <w:b/>
          <w:u w:val="none"/>
          <w:lang w:val="sr-Latn-ME"/>
        </w:rPr>
        <w:t>primjene</w:t>
      </w:r>
    </w:p>
    <w:p w14:paraId="2E494810" w14:textId="77777777" w:rsidR="00EB62EC" w:rsidRPr="007821D0" w:rsidRDefault="00EB62EC" w:rsidP="007821D0">
      <w:pPr>
        <w:spacing w:after="0" w:line="240" w:lineRule="auto"/>
        <w:ind w:left="-5" w:right="3"/>
        <w:jc w:val="both"/>
        <w:rPr>
          <w:u w:val="single"/>
          <w:lang w:val="sr-Latn-ME"/>
        </w:rPr>
      </w:pPr>
    </w:p>
    <w:p w14:paraId="0132E2E5" w14:textId="491E6659" w:rsidR="00E416FF" w:rsidRPr="007821D0" w:rsidRDefault="00E416FF" w:rsidP="007821D0">
      <w:pPr>
        <w:spacing w:after="0" w:line="240" w:lineRule="auto"/>
        <w:ind w:left="-5" w:right="3"/>
        <w:jc w:val="both"/>
        <w:rPr>
          <w:u w:val="single"/>
          <w:lang w:val="sr-Latn-ME"/>
        </w:rPr>
      </w:pPr>
      <w:r w:rsidRPr="007821D0">
        <w:rPr>
          <w:u w:val="single"/>
          <w:lang w:val="sr-Latn-ME"/>
        </w:rPr>
        <w:t>Doziranje</w:t>
      </w:r>
    </w:p>
    <w:p w14:paraId="5D484620" w14:textId="3FB85B01" w:rsidR="00284634" w:rsidRPr="007821D0" w:rsidRDefault="009F2AF5" w:rsidP="007821D0">
      <w:pPr>
        <w:spacing w:after="0" w:line="240" w:lineRule="auto"/>
        <w:ind w:left="-5" w:right="3"/>
        <w:jc w:val="both"/>
        <w:rPr>
          <w:lang w:val="sr-Latn-ME"/>
        </w:rPr>
      </w:pPr>
      <w:r w:rsidRPr="007821D0">
        <w:rPr>
          <w:lang w:val="sr-Latn-ME"/>
        </w:rPr>
        <w:t>Lijek</w:t>
      </w:r>
      <w:r w:rsidR="00313D4B" w:rsidRPr="007821D0">
        <w:rPr>
          <w:lang w:val="sr-Latn-ME"/>
        </w:rPr>
        <w:t xml:space="preserve"> Dutasterid Sandoz može da se prim</w:t>
      </w:r>
      <w:r w:rsidRPr="007821D0">
        <w:rPr>
          <w:lang w:val="sr-Latn-ME"/>
        </w:rPr>
        <w:t>j</w:t>
      </w:r>
      <w:r w:rsidR="00313D4B" w:rsidRPr="007821D0">
        <w:rPr>
          <w:lang w:val="sr-Latn-ME"/>
        </w:rPr>
        <w:t>enjuje kao monoterapija ili u kombinaciji sa alfa blokatorom tamsulosinom (0,4 mg) (vid</w:t>
      </w:r>
      <w:r w:rsidRPr="007821D0">
        <w:rPr>
          <w:lang w:val="sr-Latn-ME"/>
        </w:rPr>
        <w:t>j</w:t>
      </w:r>
      <w:r w:rsidR="00313D4B" w:rsidRPr="007821D0">
        <w:rPr>
          <w:lang w:val="sr-Latn-ME"/>
        </w:rPr>
        <w:t xml:space="preserve">eti </w:t>
      </w:r>
      <w:r w:rsidR="00E416FF" w:rsidRPr="007821D0">
        <w:rPr>
          <w:lang w:val="sr-Latn-ME"/>
        </w:rPr>
        <w:t xml:space="preserve">djelove </w:t>
      </w:r>
      <w:r w:rsidR="00313D4B" w:rsidRPr="007821D0">
        <w:rPr>
          <w:lang w:val="sr-Latn-ME"/>
        </w:rPr>
        <w:t>4.4, 4.8</w:t>
      </w:r>
      <w:r w:rsidR="00E416FF" w:rsidRPr="007821D0">
        <w:rPr>
          <w:lang w:val="sr-Latn-ME"/>
        </w:rPr>
        <w:t>.</w:t>
      </w:r>
      <w:r w:rsidR="00313D4B" w:rsidRPr="007821D0">
        <w:rPr>
          <w:lang w:val="sr-Latn-ME"/>
        </w:rPr>
        <w:t xml:space="preserve"> i 5.1).</w:t>
      </w:r>
    </w:p>
    <w:p w14:paraId="266BB0EA" w14:textId="77777777" w:rsidR="00EB62EC" w:rsidRPr="007821D0" w:rsidRDefault="00EB62EC" w:rsidP="007821D0">
      <w:pPr>
        <w:pStyle w:val="Heading2"/>
        <w:spacing w:after="0" w:line="240" w:lineRule="auto"/>
        <w:ind w:left="-5"/>
        <w:jc w:val="both"/>
        <w:rPr>
          <w:i/>
          <w:u w:val="none"/>
          <w:lang w:val="sr-Latn-ME"/>
        </w:rPr>
      </w:pPr>
    </w:p>
    <w:p w14:paraId="38B72167" w14:textId="24D8A62C" w:rsidR="00284634" w:rsidRPr="007821D0" w:rsidRDefault="00313D4B" w:rsidP="007821D0">
      <w:pPr>
        <w:pStyle w:val="Heading2"/>
        <w:spacing w:after="0" w:line="240" w:lineRule="auto"/>
        <w:ind w:left="-5"/>
        <w:jc w:val="both"/>
        <w:rPr>
          <w:i/>
          <w:u w:val="none"/>
          <w:lang w:val="sr-Latn-ME"/>
        </w:rPr>
      </w:pPr>
      <w:r w:rsidRPr="007821D0">
        <w:rPr>
          <w:i/>
          <w:u w:val="none"/>
          <w:lang w:val="sr-Latn-ME"/>
        </w:rPr>
        <w:t>Odrasli (uključujući starije pacijente)</w:t>
      </w:r>
    </w:p>
    <w:p w14:paraId="648935D9" w14:textId="52C68880" w:rsidR="00284634" w:rsidRPr="007821D0" w:rsidRDefault="00313D4B" w:rsidP="007821D0">
      <w:pPr>
        <w:spacing w:after="0" w:line="240" w:lineRule="auto"/>
        <w:ind w:left="-5" w:right="3"/>
        <w:jc w:val="both"/>
        <w:rPr>
          <w:lang w:val="sr-Latn-ME"/>
        </w:rPr>
      </w:pPr>
      <w:r w:rsidRPr="007821D0">
        <w:rPr>
          <w:lang w:val="sr-Latn-ME"/>
        </w:rPr>
        <w:t>Preporučena doza l</w:t>
      </w:r>
      <w:r w:rsidR="009F2AF5" w:rsidRPr="007821D0">
        <w:rPr>
          <w:lang w:val="sr-Latn-ME"/>
        </w:rPr>
        <w:t>ij</w:t>
      </w:r>
      <w:r w:rsidRPr="007821D0">
        <w:rPr>
          <w:lang w:val="sr-Latn-ME"/>
        </w:rPr>
        <w:t>eka Dutasterid Sandoz je jedna kapsula (0,5 mg) jednom dnevno, prim</w:t>
      </w:r>
      <w:r w:rsidR="009F2AF5" w:rsidRPr="007821D0">
        <w:rPr>
          <w:lang w:val="sr-Latn-ME"/>
        </w:rPr>
        <w:t>ij</w:t>
      </w:r>
      <w:r w:rsidRPr="007821D0">
        <w:rPr>
          <w:lang w:val="sr-Latn-ME"/>
        </w:rPr>
        <w:t>enjena oralnim putem.</w:t>
      </w:r>
      <w:r w:rsidR="002E001C" w:rsidRPr="007821D0">
        <w:rPr>
          <w:lang w:val="sr-Latn-ME"/>
        </w:rPr>
        <w:t xml:space="preserve"> Iako se u ranom stadijumu terapije može uočiti poboljšanje, može biti potrebno i do 6 mjeseci do postizanja odgovarajućeg terapijskog odgovora. Nije neophodno prilagođavanje doze kod starijih pacijenata.</w:t>
      </w:r>
    </w:p>
    <w:p w14:paraId="1A7F3BB4" w14:textId="77777777" w:rsidR="00E416FF" w:rsidRPr="007821D0" w:rsidRDefault="00E416FF" w:rsidP="007821D0">
      <w:pPr>
        <w:spacing w:after="0" w:line="240" w:lineRule="auto"/>
        <w:ind w:left="-5" w:right="3"/>
        <w:jc w:val="both"/>
        <w:rPr>
          <w:lang w:val="sr-Latn-ME"/>
        </w:rPr>
      </w:pPr>
    </w:p>
    <w:p w14:paraId="7D7CDAA3" w14:textId="77777777" w:rsidR="00284634" w:rsidRPr="007821D0" w:rsidRDefault="00313D4B" w:rsidP="007821D0">
      <w:pPr>
        <w:pStyle w:val="Heading2"/>
        <w:spacing w:after="0" w:line="240" w:lineRule="auto"/>
        <w:ind w:left="-5"/>
        <w:jc w:val="both"/>
        <w:rPr>
          <w:lang w:val="sr-Latn-ME"/>
        </w:rPr>
      </w:pPr>
      <w:r w:rsidRPr="007821D0">
        <w:rPr>
          <w:i/>
          <w:u w:val="none"/>
          <w:lang w:val="sr-Latn-ME"/>
        </w:rPr>
        <w:t>Oštećenje funkcije bubrega</w:t>
      </w:r>
    </w:p>
    <w:p w14:paraId="39DC8EA2" w14:textId="23A0C71C" w:rsidR="00284634" w:rsidRPr="007821D0" w:rsidRDefault="00313D4B" w:rsidP="007821D0">
      <w:pPr>
        <w:spacing w:after="0" w:line="240" w:lineRule="auto"/>
        <w:ind w:left="-5" w:right="3"/>
        <w:jc w:val="both"/>
        <w:rPr>
          <w:lang w:val="sr-Latn-ME"/>
        </w:rPr>
      </w:pPr>
      <w:r w:rsidRPr="007821D0">
        <w:rPr>
          <w:lang w:val="sr-Latn-ME"/>
        </w:rPr>
        <w:t>Nije ispitan uticaj oštećenja funkcije bubrega na farmakokinetiku dutasterida. Nije potrebno prilagođavanje doze kod pacijenata sa oštećenjem funkcije bubrega (vid</w:t>
      </w:r>
      <w:r w:rsidR="009F2AF5" w:rsidRPr="007821D0">
        <w:rPr>
          <w:lang w:val="sr-Latn-ME"/>
        </w:rPr>
        <w:t>j</w:t>
      </w:r>
      <w:r w:rsidRPr="007821D0">
        <w:rPr>
          <w:lang w:val="sr-Latn-ME"/>
        </w:rPr>
        <w:t xml:space="preserve">eti </w:t>
      </w:r>
      <w:r w:rsidR="00483E4A" w:rsidRPr="007821D0">
        <w:rPr>
          <w:lang w:val="sr-Latn-ME"/>
        </w:rPr>
        <w:t xml:space="preserve">dio </w:t>
      </w:r>
      <w:r w:rsidRPr="007821D0">
        <w:rPr>
          <w:lang w:val="sr-Latn-ME"/>
        </w:rPr>
        <w:t>5.2).</w:t>
      </w:r>
    </w:p>
    <w:p w14:paraId="0DBE4EE3" w14:textId="77777777" w:rsidR="00EB62EC" w:rsidRPr="007821D0" w:rsidRDefault="00EB62EC" w:rsidP="007821D0">
      <w:pPr>
        <w:pStyle w:val="Heading2"/>
        <w:spacing w:after="0" w:line="240" w:lineRule="auto"/>
        <w:ind w:left="-5"/>
        <w:jc w:val="both"/>
        <w:rPr>
          <w:i/>
          <w:u w:val="none"/>
          <w:lang w:val="sr-Latn-ME"/>
        </w:rPr>
      </w:pPr>
    </w:p>
    <w:p w14:paraId="5D58BA96" w14:textId="7079DA73" w:rsidR="00284634" w:rsidRPr="007821D0" w:rsidRDefault="00313D4B" w:rsidP="007821D0">
      <w:pPr>
        <w:pStyle w:val="Heading2"/>
        <w:spacing w:after="0" w:line="240" w:lineRule="auto"/>
        <w:ind w:left="-5"/>
        <w:jc w:val="both"/>
        <w:rPr>
          <w:i/>
          <w:u w:val="none"/>
          <w:lang w:val="sr-Latn-ME"/>
        </w:rPr>
      </w:pPr>
      <w:r w:rsidRPr="007821D0">
        <w:rPr>
          <w:i/>
          <w:u w:val="none"/>
          <w:lang w:val="sr-Latn-ME"/>
        </w:rPr>
        <w:t>Oštećenje funkcije jetre</w:t>
      </w:r>
    </w:p>
    <w:p w14:paraId="2FFAEF40" w14:textId="6A034327" w:rsidR="00284634" w:rsidRPr="007821D0" w:rsidRDefault="00313D4B" w:rsidP="007821D0">
      <w:pPr>
        <w:spacing w:after="0" w:line="240" w:lineRule="auto"/>
        <w:ind w:left="-5" w:right="3"/>
        <w:jc w:val="both"/>
        <w:rPr>
          <w:lang w:val="sr-Latn-ME"/>
        </w:rPr>
      </w:pPr>
      <w:r w:rsidRPr="007821D0">
        <w:rPr>
          <w:lang w:val="sr-Latn-ME"/>
        </w:rPr>
        <w:t>Nije ispitan uticaj oštećenja funkcije jetre na farmakokinetiku dutasterida, stoga je neophodan oprez pri prim</w:t>
      </w:r>
      <w:r w:rsidR="00E602C2" w:rsidRPr="007821D0">
        <w:rPr>
          <w:lang w:val="sr-Latn-ME"/>
        </w:rPr>
        <w:t>j</w:t>
      </w:r>
      <w:r w:rsidRPr="007821D0">
        <w:rPr>
          <w:lang w:val="sr-Latn-ME"/>
        </w:rPr>
        <w:t xml:space="preserve">eni </w:t>
      </w:r>
      <w:r w:rsidR="009F2AF5" w:rsidRPr="007821D0">
        <w:rPr>
          <w:lang w:val="sr-Latn-ME"/>
        </w:rPr>
        <w:t>lijek</w:t>
      </w:r>
      <w:r w:rsidRPr="007821D0">
        <w:rPr>
          <w:lang w:val="sr-Latn-ME"/>
        </w:rPr>
        <w:t>a kod pacijenata sa blagim do um</w:t>
      </w:r>
      <w:r w:rsidR="00483E4A" w:rsidRPr="007821D0">
        <w:rPr>
          <w:lang w:val="sr-Latn-ME"/>
        </w:rPr>
        <w:t>j</w:t>
      </w:r>
      <w:r w:rsidRPr="007821D0">
        <w:rPr>
          <w:lang w:val="sr-Latn-ME"/>
        </w:rPr>
        <w:t>erenim oštećenjem funkcije jetre (vid</w:t>
      </w:r>
      <w:r w:rsidR="00E602C2" w:rsidRPr="007821D0">
        <w:rPr>
          <w:lang w:val="sr-Latn-ME"/>
        </w:rPr>
        <w:t>j</w:t>
      </w:r>
      <w:r w:rsidRPr="007821D0">
        <w:rPr>
          <w:lang w:val="sr-Latn-ME"/>
        </w:rPr>
        <w:t xml:space="preserve">eti </w:t>
      </w:r>
      <w:r w:rsidR="00483E4A" w:rsidRPr="007821D0">
        <w:rPr>
          <w:lang w:val="sr-Latn-ME"/>
        </w:rPr>
        <w:t xml:space="preserve">djelove </w:t>
      </w:r>
      <w:r w:rsidRPr="007821D0">
        <w:rPr>
          <w:lang w:val="sr-Latn-ME"/>
        </w:rPr>
        <w:t>4.4</w:t>
      </w:r>
      <w:r w:rsidR="00483E4A" w:rsidRPr="007821D0">
        <w:rPr>
          <w:lang w:val="sr-Latn-ME"/>
        </w:rPr>
        <w:t>.</w:t>
      </w:r>
      <w:r w:rsidRPr="007821D0">
        <w:rPr>
          <w:lang w:val="sr-Latn-ME"/>
        </w:rPr>
        <w:t xml:space="preserve"> i 5.2). </w:t>
      </w:r>
    </w:p>
    <w:p w14:paraId="48B92D29" w14:textId="1A342209" w:rsidR="00284634" w:rsidRPr="007821D0" w:rsidRDefault="00313D4B" w:rsidP="007821D0">
      <w:pPr>
        <w:spacing w:after="0" w:line="240" w:lineRule="auto"/>
        <w:ind w:left="-5" w:right="3"/>
        <w:jc w:val="both"/>
        <w:rPr>
          <w:lang w:val="sr-Latn-ME"/>
        </w:rPr>
      </w:pPr>
      <w:r w:rsidRPr="007821D0">
        <w:rPr>
          <w:lang w:val="sr-Latn-ME"/>
        </w:rPr>
        <w:t>Kontraindikovana je prim</w:t>
      </w:r>
      <w:r w:rsidR="00E602C2" w:rsidRPr="007821D0">
        <w:rPr>
          <w:lang w:val="sr-Latn-ME"/>
        </w:rPr>
        <w:t>j</w:t>
      </w:r>
      <w:r w:rsidRPr="007821D0">
        <w:rPr>
          <w:lang w:val="sr-Latn-ME"/>
        </w:rPr>
        <w:t>ena dutasterida kod pacijentata sa teškim oštećenjem funkcije jetre (vid</w:t>
      </w:r>
      <w:r w:rsidR="00E602C2" w:rsidRPr="007821D0">
        <w:rPr>
          <w:lang w:val="sr-Latn-ME"/>
        </w:rPr>
        <w:t>j</w:t>
      </w:r>
      <w:r w:rsidRPr="007821D0">
        <w:rPr>
          <w:lang w:val="sr-Latn-ME"/>
        </w:rPr>
        <w:t xml:space="preserve">eti </w:t>
      </w:r>
      <w:r w:rsidR="00483E4A" w:rsidRPr="007821D0">
        <w:rPr>
          <w:lang w:val="sr-Latn-ME"/>
        </w:rPr>
        <w:t xml:space="preserve">dio </w:t>
      </w:r>
      <w:r w:rsidRPr="007821D0">
        <w:rPr>
          <w:lang w:val="sr-Latn-ME"/>
        </w:rPr>
        <w:t>4.3).</w:t>
      </w:r>
    </w:p>
    <w:p w14:paraId="5F864525" w14:textId="77777777" w:rsidR="00EB62EC" w:rsidRPr="007821D0" w:rsidRDefault="00EB62EC" w:rsidP="007821D0">
      <w:pPr>
        <w:spacing w:after="0" w:line="240" w:lineRule="auto"/>
        <w:ind w:left="-5" w:right="3"/>
        <w:jc w:val="both"/>
        <w:rPr>
          <w:u w:val="single"/>
          <w:lang w:val="sr-Latn-ME"/>
        </w:rPr>
      </w:pPr>
    </w:p>
    <w:p w14:paraId="5ED827DD" w14:textId="65328E34" w:rsidR="002E001C" w:rsidRPr="007821D0" w:rsidRDefault="002E001C" w:rsidP="007821D0">
      <w:pPr>
        <w:spacing w:after="0" w:line="240" w:lineRule="auto"/>
        <w:ind w:left="-5" w:right="3"/>
        <w:jc w:val="both"/>
        <w:rPr>
          <w:u w:val="single"/>
          <w:lang w:val="sr-Latn-ME"/>
        </w:rPr>
      </w:pPr>
      <w:r w:rsidRPr="007821D0">
        <w:rPr>
          <w:u w:val="single"/>
          <w:lang w:val="sr-Latn-ME"/>
        </w:rPr>
        <w:t>Način primjene</w:t>
      </w:r>
    </w:p>
    <w:p w14:paraId="511BD6C6" w14:textId="158599DF" w:rsidR="002E001C" w:rsidRPr="007821D0" w:rsidRDefault="002E001C" w:rsidP="007821D0">
      <w:pPr>
        <w:spacing w:after="0" w:line="240" w:lineRule="auto"/>
        <w:ind w:left="-5" w:right="3"/>
        <w:jc w:val="both"/>
        <w:rPr>
          <w:lang w:val="sr-Latn-ME"/>
        </w:rPr>
      </w:pPr>
      <w:r w:rsidRPr="007821D0">
        <w:rPr>
          <w:lang w:val="sr-Latn-ME"/>
        </w:rPr>
        <w:t>Kapsulu treba progutati cijelu, ne žvakati je i ne otvarati, s obzirom na to da sadržaj kapsule može izazvati iritaciju orofaringealne mukoze.</w:t>
      </w:r>
      <w:r w:rsidR="00483E4A" w:rsidRPr="007821D0">
        <w:rPr>
          <w:lang w:val="sr-Latn-ME"/>
        </w:rPr>
        <w:t xml:space="preserve"> Kapsule se mogu uzeti uz obrok</w:t>
      </w:r>
      <w:r w:rsidRPr="007821D0">
        <w:rPr>
          <w:lang w:val="sr-Latn-ME"/>
        </w:rPr>
        <w:t xml:space="preserve"> ili nezavisno od obroka.</w:t>
      </w:r>
    </w:p>
    <w:p w14:paraId="414E0636" w14:textId="77777777" w:rsidR="00EB62EC" w:rsidRPr="007821D0" w:rsidRDefault="00EB62EC" w:rsidP="007821D0">
      <w:pPr>
        <w:pStyle w:val="Heading3"/>
        <w:spacing w:after="0" w:line="240" w:lineRule="auto"/>
        <w:ind w:left="-5"/>
        <w:rPr>
          <w:lang w:val="sr-Latn-ME"/>
        </w:rPr>
      </w:pPr>
    </w:p>
    <w:p w14:paraId="03065F9B" w14:textId="58EAC32A" w:rsidR="00284634" w:rsidRPr="007821D0" w:rsidRDefault="00313D4B" w:rsidP="007821D0">
      <w:pPr>
        <w:pStyle w:val="Heading3"/>
        <w:spacing w:after="0" w:line="240" w:lineRule="auto"/>
        <w:ind w:left="-5"/>
        <w:rPr>
          <w:lang w:val="sr-Latn-ME"/>
        </w:rPr>
      </w:pPr>
      <w:r w:rsidRPr="007821D0">
        <w:rPr>
          <w:lang w:val="sr-Latn-ME"/>
        </w:rPr>
        <w:t>4.3. Kontraindikacije</w:t>
      </w:r>
    </w:p>
    <w:p w14:paraId="5C70C62D" w14:textId="77777777" w:rsidR="00EB62EC" w:rsidRPr="007821D0" w:rsidRDefault="00EB62EC" w:rsidP="007821D0">
      <w:pPr>
        <w:spacing w:after="0" w:line="240" w:lineRule="auto"/>
        <w:ind w:left="-5" w:right="3"/>
        <w:jc w:val="both"/>
        <w:rPr>
          <w:lang w:val="sr-Latn-ME"/>
        </w:rPr>
      </w:pPr>
    </w:p>
    <w:p w14:paraId="268E6B64" w14:textId="6CF2CE59" w:rsidR="00284634" w:rsidRPr="007821D0" w:rsidRDefault="00E602C2" w:rsidP="007821D0">
      <w:pPr>
        <w:spacing w:after="0" w:line="240" w:lineRule="auto"/>
        <w:ind w:left="-5" w:right="3"/>
        <w:jc w:val="both"/>
        <w:rPr>
          <w:lang w:val="sr-Latn-ME"/>
        </w:rPr>
      </w:pPr>
      <w:r w:rsidRPr="007821D0">
        <w:rPr>
          <w:lang w:val="sr-Latn-ME"/>
        </w:rPr>
        <w:t>Primjena</w:t>
      </w:r>
      <w:r w:rsidR="00313D4B" w:rsidRPr="007821D0">
        <w:rPr>
          <w:lang w:val="sr-Latn-ME"/>
        </w:rPr>
        <w:t xml:space="preserve"> </w:t>
      </w:r>
      <w:r w:rsidR="009F2AF5" w:rsidRPr="007821D0">
        <w:rPr>
          <w:lang w:val="sr-Latn-ME"/>
        </w:rPr>
        <w:t>lijek</w:t>
      </w:r>
      <w:r w:rsidR="00313D4B" w:rsidRPr="007821D0">
        <w:rPr>
          <w:lang w:val="sr-Latn-ME"/>
        </w:rPr>
        <w:t xml:space="preserve">a Dutasterid Sandoz je kontraindikovana kod: </w:t>
      </w:r>
    </w:p>
    <w:p w14:paraId="40BAAA01" w14:textId="39E310F6" w:rsidR="00284634" w:rsidRPr="007821D0" w:rsidRDefault="00313D4B" w:rsidP="007821D0">
      <w:pPr>
        <w:numPr>
          <w:ilvl w:val="0"/>
          <w:numId w:val="1"/>
        </w:numPr>
        <w:spacing w:after="0" w:line="240" w:lineRule="auto"/>
        <w:ind w:right="86" w:hanging="130"/>
        <w:jc w:val="both"/>
        <w:rPr>
          <w:lang w:val="sr-Latn-ME"/>
        </w:rPr>
      </w:pPr>
      <w:r w:rsidRPr="007821D0">
        <w:rPr>
          <w:lang w:val="sr-Latn-ME"/>
        </w:rPr>
        <w:t>žena, d</w:t>
      </w:r>
      <w:r w:rsidR="00E602C2" w:rsidRPr="007821D0">
        <w:rPr>
          <w:lang w:val="sr-Latn-ME"/>
        </w:rPr>
        <w:t>j</w:t>
      </w:r>
      <w:r w:rsidRPr="007821D0">
        <w:rPr>
          <w:lang w:val="sr-Latn-ME"/>
        </w:rPr>
        <w:t>ece i adolescenata (</w:t>
      </w:r>
      <w:r w:rsidR="00E602C2" w:rsidRPr="007821D0">
        <w:rPr>
          <w:lang w:val="sr-Latn-ME"/>
        </w:rPr>
        <w:t>vidjeti</w:t>
      </w:r>
      <w:r w:rsidRPr="007821D0">
        <w:rPr>
          <w:lang w:val="sr-Latn-ME"/>
        </w:rPr>
        <w:t xml:space="preserve"> </w:t>
      </w:r>
      <w:r w:rsidR="00483E4A" w:rsidRPr="007821D0">
        <w:rPr>
          <w:lang w:val="sr-Latn-ME"/>
        </w:rPr>
        <w:t xml:space="preserve">dio </w:t>
      </w:r>
      <w:r w:rsidRPr="007821D0">
        <w:rPr>
          <w:lang w:val="sr-Latn-ME"/>
        </w:rPr>
        <w:t>4.6),</w:t>
      </w:r>
    </w:p>
    <w:p w14:paraId="3E9BA363" w14:textId="6315518C" w:rsidR="00483E4A" w:rsidRPr="007821D0" w:rsidRDefault="00313D4B" w:rsidP="007821D0">
      <w:pPr>
        <w:numPr>
          <w:ilvl w:val="0"/>
          <w:numId w:val="1"/>
        </w:numPr>
        <w:spacing w:after="0" w:line="240" w:lineRule="auto"/>
        <w:ind w:right="86" w:hanging="130"/>
        <w:jc w:val="both"/>
        <w:rPr>
          <w:lang w:val="sr-Latn-ME"/>
        </w:rPr>
      </w:pPr>
      <w:r w:rsidRPr="007821D0">
        <w:rPr>
          <w:lang w:val="sr-Latn-ME"/>
        </w:rPr>
        <w:t>pacijenata koji su preos</w:t>
      </w:r>
      <w:r w:rsidR="00483E4A" w:rsidRPr="007821D0">
        <w:rPr>
          <w:lang w:val="sr-Latn-ME"/>
        </w:rPr>
        <w:t>j</w:t>
      </w:r>
      <w:r w:rsidRPr="007821D0">
        <w:rPr>
          <w:lang w:val="sr-Latn-ME"/>
        </w:rPr>
        <w:t xml:space="preserve">etljivi na dutasterid, druge inhibitore 5-alfa reduktaze, soju, kikiriki ili na bilo koju od pomoćnih supstanci navedenih u </w:t>
      </w:r>
      <w:r w:rsidR="00483E4A" w:rsidRPr="007821D0">
        <w:rPr>
          <w:lang w:val="sr-Latn-ME"/>
        </w:rPr>
        <w:t xml:space="preserve">dijelu </w:t>
      </w:r>
      <w:r w:rsidRPr="007821D0">
        <w:rPr>
          <w:lang w:val="sr-Latn-ME"/>
        </w:rPr>
        <w:t>6.1</w:t>
      </w:r>
      <w:r w:rsidR="00483E4A" w:rsidRPr="007821D0">
        <w:rPr>
          <w:lang w:val="sr-Latn-ME"/>
        </w:rPr>
        <w:t>,</w:t>
      </w:r>
    </w:p>
    <w:p w14:paraId="5418CE91" w14:textId="736D81F4" w:rsidR="00284634" w:rsidRPr="007821D0" w:rsidRDefault="00313D4B" w:rsidP="007821D0">
      <w:pPr>
        <w:numPr>
          <w:ilvl w:val="0"/>
          <w:numId w:val="1"/>
        </w:numPr>
        <w:spacing w:after="0" w:line="240" w:lineRule="auto"/>
        <w:ind w:right="86" w:hanging="130"/>
        <w:jc w:val="both"/>
        <w:rPr>
          <w:lang w:val="sr-Latn-ME"/>
        </w:rPr>
      </w:pPr>
      <w:r w:rsidRPr="007821D0">
        <w:rPr>
          <w:lang w:val="sr-Latn-ME"/>
        </w:rPr>
        <w:t>pacijenata sa teškim oštećenjem funkcije jetre.</w:t>
      </w:r>
    </w:p>
    <w:p w14:paraId="6FCE9E9E" w14:textId="77777777" w:rsidR="00483E4A" w:rsidRPr="007821D0" w:rsidRDefault="00483E4A" w:rsidP="007821D0">
      <w:pPr>
        <w:spacing w:after="0" w:line="240" w:lineRule="auto"/>
        <w:ind w:left="12" w:right="86" w:firstLine="0"/>
        <w:jc w:val="both"/>
        <w:rPr>
          <w:lang w:val="sr-Latn-ME"/>
        </w:rPr>
      </w:pPr>
    </w:p>
    <w:p w14:paraId="56B96139" w14:textId="0825863E" w:rsidR="00284634" w:rsidRPr="007821D0" w:rsidRDefault="00313D4B" w:rsidP="007821D0">
      <w:pPr>
        <w:pStyle w:val="Heading3"/>
        <w:spacing w:after="0" w:line="240" w:lineRule="auto"/>
        <w:ind w:left="-5"/>
        <w:rPr>
          <w:lang w:val="sr-Latn-ME"/>
        </w:rPr>
      </w:pPr>
      <w:r w:rsidRPr="007821D0">
        <w:rPr>
          <w:lang w:val="sr-Latn-ME"/>
        </w:rPr>
        <w:t>4.4. Posebna upozorenja i m</w:t>
      </w:r>
      <w:r w:rsidR="00E602C2" w:rsidRPr="007821D0">
        <w:rPr>
          <w:lang w:val="sr-Latn-ME"/>
        </w:rPr>
        <w:t>j</w:t>
      </w:r>
      <w:r w:rsidRPr="007821D0">
        <w:rPr>
          <w:lang w:val="sr-Latn-ME"/>
        </w:rPr>
        <w:t xml:space="preserve">ere opreza pri upotrebi </w:t>
      </w:r>
      <w:r w:rsidR="009F2AF5" w:rsidRPr="007821D0">
        <w:rPr>
          <w:lang w:val="sr-Latn-ME"/>
        </w:rPr>
        <w:t>lijek</w:t>
      </w:r>
      <w:r w:rsidRPr="007821D0">
        <w:rPr>
          <w:lang w:val="sr-Latn-ME"/>
        </w:rPr>
        <w:t>a</w:t>
      </w:r>
    </w:p>
    <w:p w14:paraId="7EB89FF7" w14:textId="77777777" w:rsidR="00EB62EC" w:rsidRPr="007821D0" w:rsidRDefault="00EB62EC" w:rsidP="007821D0">
      <w:pPr>
        <w:spacing w:after="0" w:line="240" w:lineRule="auto"/>
        <w:ind w:left="-5" w:right="3"/>
        <w:jc w:val="both"/>
        <w:rPr>
          <w:lang w:val="sr-Latn-ME"/>
        </w:rPr>
      </w:pPr>
    </w:p>
    <w:p w14:paraId="20D3ABAA" w14:textId="4B1F75A3" w:rsidR="00284634" w:rsidRPr="007821D0" w:rsidRDefault="00313D4B" w:rsidP="007821D0">
      <w:pPr>
        <w:spacing w:after="0" w:line="240" w:lineRule="auto"/>
        <w:ind w:left="-5" w:right="3"/>
        <w:jc w:val="both"/>
        <w:rPr>
          <w:lang w:val="sr-Latn-ME"/>
        </w:rPr>
      </w:pPr>
      <w:r w:rsidRPr="007821D0">
        <w:rPr>
          <w:lang w:val="sr-Latn-ME"/>
        </w:rPr>
        <w:t xml:space="preserve">Uzimajući u obzir potencijalno povišen rizik od pojave neželjenih dejstava (uključujući pojavu srčane insuficijencije), </w:t>
      </w:r>
      <w:r w:rsidR="00E602C2" w:rsidRPr="007821D0">
        <w:rPr>
          <w:lang w:val="sr-Latn-ME"/>
        </w:rPr>
        <w:t>primjena</w:t>
      </w:r>
      <w:r w:rsidRPr="007821D0">
        <w:rPr>
          <w:lang w:val="sr-Latn-ME"/>
        </w:rPr>
        <w:t xml:space="preserve"> kombinovane terapije treba da bude propisana nakon pažljive proc</w:t>
      </w:r>
      <w:r w:rsidR="00E602C2" w:rsidRPr="007821D0">
        <w:rPr>
          <w:lang w:val="sr-Latn-ME"/>
        </w:rPr>
        <w:t>j</w:t>
      </w:r>
      <w:r w:rsidRPr="007821D0">
        <w:rPr>
          <w:lang w:val="sr-Latn-ME"/>
        </w:rPr>
        <w:t>ene koristi i rizika prim</w:t>
      </w:r>
      <w:r w:rsidR="00E602C2" w:rsidRPr="007821D0">
        <w:rPr>
          <w:lang w:val="sr-Latn-ME"/>
        </w:rPr>
        <w:t>j</w:t>
      </w:r>
      <w:r w:rsidRPr="007821D0">
        <w:rPr>
          <w:lang w:val="sr-Latn-ME"/>
        </w:rPr>
        <w:t>ene, kao i nakon razmatranja prim</w:t>
      </w:r>
      <w:r w:rsidR="00E602C2" w:rsidRPr="007821D0">
        <w:rPr>
          <w:lang w:val="sr-Latn-ME"/>
        </w:rPr>
        <w:t>j</w:t>
      </w:r>
      <w:r w:rsidRPr="007821D0">
        <w:rPr>
          <w:lang w:val="sr-Latn-ME"/>
        </w:rPr>
        <w:t>ene alternativnih terapijskih mogućnosti, uključujući monoterapiju (</w:t>
      </w:r>
      <w:r w:rsidR="00E602C2" w:rsidRPr="007821D0">
        <w:rPr>
          <w:lang w:val="sr-Latn-ME"/>
        </w:rPr>
        <w:t>vidjeti</w:t>
      </w:r>
      <w:r w:rsidRPr="007821D0">
        <w:rPr>
          <w:lang w:val="sr-Latn-ME"/>
        </w:rPr>
        <w:t xml:space="preserve"> </w:t>
      </w:r>
      <w:r w:rsidR="003742FD" w:rsidRPr="007821D0">
        <w:rPr>
          <w:lang w:val="sr-Latn-ME"/>
        </w:rPr>
        <w:t xml:space="preserve">dio </w:t>
      </w:r>
      <w:r w:rsidRPr="007821D0">
        <w:rPr>
          <w:lang w:val="sr-Latn-ME"/>
        </w:rPr>
        <w:t>4.2).</w:t>
      </w:r>
    </w:p>
    <w:p w14:paraId="76FCEB05" w14:textId="77777777" w:rsidR="00EB62EC" w:rsidRPr="007821D0" w:rsidRDefault="00EB62EC" w:rsidP="007821D0">
      <w:pPr>
        <w:pStyle w:val="Heading2"/>
        <w:spacing w:after="0" w:line="240" w:lineRule="auto"/>
        <w:ind w:left="-5"/>
        <w:jc w:val="both"/>
        <w:rPr>
          <w:lang w:val="sr-Latn-ME"/>
        </w:rPr>
      </w:pPr>
    </w:p>
    <w:p w14:paraId="736D5812" w14:textId="2995E848" w:rsidR="00284634" w:rsidRPr="007821D0" w:rsidRDefault="00313D4B" w:rsidP="007821D0">
      <w:pPr>
        <w:pStyle w:val="Heading2"/>
        <w:spacing w:after="0" w:line="240" w:lineRule="auto"/>
        <w:ind w:left="-5"/>
        <w:jc w:val="both"/>
        <w:rPr>
          <w:lang w:val="sr-Latn-ME"/>
        </w:rPr>
      </w:pPr>
      <w:r w:rsidRPr="007821D0">
        <w:rPr>
          <w:lang w:val="sr-Latn-ME"/>
        </w:rPr>
        <w:t>Karcinom prostate i tumori visokog stepena maligniteta</w:t>
      </w:r>
    </w:p>
    <w:p w14:paraId="44D89709" w14:textId="49EA1FCC" w:rsidR="00284634" w:rsidRPr="007821D0" w:rsidRDefault="00313D4B" w:rsidP="007821D0">
      <w:pPr>
        <w:spacing w:after="0" w:line="240" w:lineRule="auto"/>
        <w:ind w:left="-5" w:right="3"/>
        <w:jc w:val="both"/>
        <w:rPr>
          <w:lang w:val="sr-Latn-ME"/>
        </w:rPr>
      </w:pPr>
      <w:r w:rsidRPr="007821D0">
        <w:rPr>
          <w:lang w:val="sr-Latn-ME"/>
        </w:rPr>
        <w:t>REDUCE studija, četvorogodišnja, multicentrična, randomizovana, dvostruko sl</w:t>
      </w:r>
      <w:r w:rsidR="00E602C2" w:rsidRPr="007821D0">
        <w:rPr>
          <w:lang w:val="sr-Latn-ME"/>
        </w:rPr>
        <w:t>ij</w:t>
      </w:r>
      <w:r w:rsidRPr="007821D0">
        <w:rPr>
          <w:lang w:val="sr-Latn-ME"/>
        </w:rPr>
        <w:t>epa, placebo kontrolisana studija</w:t>
      </w:r>
      <w:r w:rsidR="003742FD" w:rsidRPr="007821D0">
        <w:rPr>
          <w:lang w:val="sr-Latn-ME"/>
        </w:rPr>
        <w:t>,</w:t>
      </w:r>
      <w:r w:rsidRPr="007821D0">
        <w:rPr>
          <w:lang w:val="sr-Latn-ME"/>
        </w:rPr>
        <w:t xml:space="preserve"> ispitivala </w:t>
      </w:r>
      <w:r w:rsidR="003742FD" w:rsidRPr="007821D0">
        <w:rPr>
          <w:lang w:val="sr-Latn-ME"/>
        </w:rPr>
        <w:t xml:space="preserve">je </w:t>
      </w:r>
      <w:r w:rsidRPr="007821D0">
        <w:rPr>
          <w:lang w:val="sr-Latn-ME"/>
        </w:rPr>
        <w:t xml:space="preserve">dejstvo dutasterida u dozi od 0,5 mg dnevno kod pacijenata sa visokim rizikom za nastanak karcinoma prostate (uključujući muškarce od 50 do 75 godina sa </w:t>
      </w:r>
      <w:r w:rsidR="00E602C2" w:rsidRPr="007821D0">
        <w:rPr>
          <w:lang w:val="sr-Latn-ME"/>
        </w:rPr>
        <w:t>vrijednosti</w:t>
      </w:r>
      <w:r w:rsidRPr="007821D0">
        <w:rPr>
          <w:lang w:val="sr-Latn-ME"/>
        </w:rPr>
        <w:t xml:space="preserve">ma PSA od 2,5 do 10 nanograma/mL i negativnom biopsijom prostate 6 </w:t>
      </w:r>
      <w:r w:rsidR="00367D43" w:rsidRPr="007821D0">
        <w:rPr>
          <w:lang w:val="sr-Latn-ME"/>
        </w:rPr>
        <w:t>mjeseci</w:t>
      </w:r>
      <w:r w:rsidRPr="007821D0">
        <w:rPr>
          <w:lang w:val="sr-Latn-ME"/>
        </w:rPr>
        <w:t xml:space="preserve"> pr</w:t>
      </w:r>
      <w:r w:rsidR="003742FD" w:rsidRPr="007821D0">
        <w:rPr>
          <w:lang w:val="sr-Latn-ME"/>
        </w:rPr>
        <w:t>ij</w:t>
      </w:r>
      <w:r w:rsidRPr="007821D0">
        <w:rPr>
          <w:lang w:val="sr-Latn-ME"/>
        </w:rPr>
        <w:t xml:space="preserve">e uključivanja u studiju) u poređenju sa placebom. Rezultati ove studije su otkrili veću incidencu pojave karcinoma prostate </w:t>
      </w:r>
      <w:r w:rsidRPr="007821D0">
        <w:rPr>
          <w:i/>
          <w:lang w:val="sr-Latn-ME"/>
        </w:rPr>
        <w:t xml:space="preserve">Gleason </w:t>
      </w:r>
      <w:r w:rsidRPr="007821D0">
        <w:rPr>
          <w:lang w:val="sr-Latn-ME"/>
        </w:rPr>
        <w:t>skora 8-10 kod muškaraca koji su</w:t>
      </w:r>
      <w:r w:rsidR="003742FD" w:rsidRPr="007821D0">
        <w:rPr>
          <w:lang w:val="sr-Latn-ME"/>
        </w:rPr>
        <w:t xml:space="preserve"> bili</w:t>
      </w:r>
      <w:r w:rsidRPr="007821D0">
        <w:rPr>
          <w:lang w:val="sr-Latn-ME"/>
        </w:rPr>
        <w:t xml:space="preserve"> na terapiji dutasteridom (n=29, 0,9%) u poređenju sa placebom (n=19, 0,6%). Odnos između dutasterida i karcinoma prostate </w:t>
      </w:r>
      <w:r w:rsidRPr="007821D0">
        <w:rPr>
          <w:i/>
          <w:lang w:val="sr-Latn-ME"/>
        </w:rPr>
        <w:t xml:space="preserve">Gleason </w:t>
      </w:r>
      <w:r w:rsidRPr="007821D0">
        <w:rPr>
          <w:lang w:val="sr-Latn-ME"/>
        </w:rPr>
        <w:t xml:space="preserve">skora 8-10 nije jasan. Potrebno je redovno pregledati pacijente muškog pola koji </w:t>
      </w:r>
      <w:r w:rsidR="003742FD" w:rsidRPr="007821D0">
        <w:rPr>
          <w:lang w:val="sr-Latn-ME"/>
        </w:rPr>
        <w:t xml:space="preserve">primaju </w:t>
      </w:r>
      <w:r w:rsidRPr="007821D0">
        <w:rPr>
          <w:lang w:val="sr-Latn-ME"/>
        </w:rPr>
        <w:t>terapiju dutasteridom u cilju proc</w:t>
      </w:r>
      <w:r w:rsidR="00E602C2" w:rsidRPr="007821D0">
        <w:rPr>
          <w:lang w:val="sr-Latn-ME"/>
        </w:rPr>
        <w:t>j</w:t>
      </w:r>
      <w:r w:rsidRPr="007821D0">
        <w:rPr>
          <w:lang w:val="sr-Latn-ME"/>
        </w:rPr>
        <w:t>ene rizika od pojave karcinoma prostate (</w:t>
      </w:r>
      <w:r w:rsidR="00E602C2" w:rsidRPr="007821D0">
        <w:rPr>
          <w:lang w:val="sr-Latn-ME"/>
        </w:rPr>
        <w:t>vidjeti</w:t>
      </w:r>
      <w:r w:rsidRPr="007821D0">
        <w:rPr>
          <w:lang w:val="sr-Latn-ME"/>
        </w:rPr>
        <w:t xml:space="preserve"> </w:t>
      </w:r>
      <w:r w:rsidR="003742FD" w:rsidRPr="007821D0">
        <w:rPr>
          <w:lang w:val="sr-Latn-ME"/>
        </w:rPr>
        <w:t xml:space="preserve">dio </w:t>
      </w:r>
      <w:r w:rsidRPr="007821D0">
        <w:rPr>
          <w:lang w:val="sr-Latn-ME"/>
        </w:rPr>
        <w:t>5.1).</w:t>
      </w:r>
    </w:p>
    <w:p w14:paraId="2CD9ADC7" w14:textId="77777777" w:rsidR="00EB62EC" w:rsidRPr="007821D0" w:rsidRDefault="00EB62EC" w:rsidP="007821D0">
      <w:pPr>
        <w:pStyle w:val="Heading2"/>
        <w:spacing w:after="0" w:line="240" w:lineRule="auto"/>
        <w:ind w:left="-5"/>
        <w:jc w:val="both"/>
        <w:rPr>
          <w:lang w:val="sr-Latn-ME"/>
        </w:rPr>
      </w:pPr>
    </w:p>
    <w:p w14:paraId="44270EB5" w14:textId="7D39C8CF" w:rsidR="00284634" w:rsidRPr="007821D0" w:rsidRDefault="00313D4B" w:rsidP="007821D0">
      <w:pPr>
        <w:pStyle w:val="Heading2"/>
        <w:spacing w:after="0" w:line="240" w:lineRule="auto"/>
        <w:ind w:left="-5"/>
        <w:jc w:val="both"/>
        <w:rPr>
          <w:lang w:val="sr-Latn-ME"/>
        </w:rPr>
      </w:pPr>
      <w:r w:rsidRPr="007821D0">
        <w:rPr>
          <w:lang w:val="sr-Latn-ME"/>
        </w:rPr>
        <w:t>Prostata specifični antigen (PSA)</w:t>
      </w:r>
      <w:r w:rsidRPr="007821D0">
        <w:rPr>
          <w:u w:val="none"/>
          <w:lang w:val="sr-Latn-ME"/>
        </w:rPr>
        <w:t xml:space="preserve"> </w:t>
      </w:r>
    </w:p>
    <w:p w14:paraId="296C18D0" w14:textId="2566D291" w:rsidR="00284634" w:rsidRPr="007821D0" w:rsidRDefault="00313D4B" w:rsidP="007821D0">
      <w:pPr>
        <w:spacing w:after="0" w:line="240" w:lineRule="auto"/>
        <w:ind w:left="-5" w:right="3"/>
        <w:jc w:val="both"/>
        <w:rPr>
          <w:lang w:val="sr-Latn-ME"/>
        </w:rPr>
      </w:pPr>
      <w:r w:rsidRPr="007821D0">
        <w:rPr>
          <w:lang w:val="sr-Latn-ME"/>
        </w:rPr>
        <w:t xml:space="preserve">Koncentracija prostata specifičnog antigena (PSA) u serumu je važan faktor u otkrivanju karcinoma prostate. </w:t>
      </w:r>
      <w:r w:rsidR="00E602C2" w:rsidRPr="007821D0">
        <w:rPr>
          <w:lang w:val="sr-Latn-ME"/>
        </w:rPr>
        <w:t>Primjena</w:t>
      </w:r>
      <w:r w:rsidRPr="007821D0">
        <w:rPr>
          <w:lang w:val="sr-Latn-ME"/>
        </w:rPr>
        <w:t xml:space="preserve"> dutasterida, nakon 6 </w:t>
      </w:r>
      <w:r w:rsidR="00367D43" w:rsidRPr="007821D0">
        <w:rPr>
          <w:lang w:val="sr-Latn-ME"/>
        </w:rPr>
        <w:t>mjeseci</w:t>
      </w:r>
      <w:r w:rsidRPr="007821D0">
        <w:rPr>
          <w:lang w:val="sr-Latn-ME"/>
        </w:rPr>
        <w:t xml:space="preserve"> terapije, dovodi do smanjenja koncentracije PSA u serumu muškaraca za približno 50%. </w:t>
      </w:r>
    </w:p>
    <w:p w14:paraId="03A6246A" w14:textId="77777777" w:rsidR="00EB62EC" w:rsidRPr="007821D0" w:rsidRDefault="00EB62EC" w:rsidP="007821D0">
      <w:pPr>
        <w:spacing w:after="0" w:line="240" w:lineRule="auto"/>
        <w:ind w:left="-5" w:right="3"/>
        <w:jc w:val="both"/>
        <w:rPr>
          <w:lang w:val="sr-Latn-ME"/>
        </w:rPr>
      </w:pPr>
    </w:p>
    <w:p w14:paraId="33009BFC" w14:textId="27F7FC29" w:rsidR="00284634" w:rsidRPr="007821D0" w:rsidRDefault="00313D4B" w:rsidP="007821D0">
      <w:pPr>
        <w:spacing w:after="0" w:line="240" w:lineRule="auto"/>
        <w:ind w:left="-5" w:right="3"/>
        <w:jc w:val="both"/>
        <w:rPr>
          <w:lang w:val="sr-Latn-ME"/>
        </w:rPr>
      </w:pPr>
      <w:r w:rsidRPr="007821D0">
        <w:rPr>
          <w:lang w:val="sr-Latn-ME"/>
        </w:rPr>
        <w:t>Neophodno je da</w:t>
      </w:r>
      <w:r w:rsidR="000E5C55" w:rsidRPr="007821D0">
        <w:rPr>
          <w:lang w:val="sr-Latn-ME"/>
        </w:rPr>
        <w:t xml:space="preserve"> se kod</w:t>
      </w:r>
      <w:r w:rsidRPr="007821D0">
        <w:rPr>
          <w:lang w:val="sr-Latn-ME"/>
        </w:rPr>
        <w:t xml:space="preserve"> pacijen</w:t>
      </w:r>
      <w:r w:rsidR="000E5C55" w:rsidRPr="007821D0">
        <w:rPr>
          <w:lang w:val="sr-Latn-ME"/>
        </w:rPr>
        <w:t>ata</w:t>
      </w:r>
      <w:r w:rsidRPr="007821D0">
        <w:rPr>
          <w:lang w:val="sr-Latn-ME"/>
        </w:rPr>
        <w:t xml:space="preserve"> koji </w:t>
      </w:r>
      <w:r w:rsidR="003742FD" w:rsidRPr="007821D0">
        <w:rPr>
          <w:lang w:val="sr-Latn-ME"/>
        </w:rPr>
        <w:t xml:space="preserve">primaju </w:t>
      </w:r>
      <w:r w:rsidRPr="007821D0">
        <w:rPr>
          <w:lang w:val="sr-Latn-ME"/>
        </w:rPr>
        <w:t xml:space="preserve">terapiju dutasteridom </w:t>
      </w:r>
      <w:r w:rsidR="000E5C55" w:rsidRPr="007821D0">
        <w:rPr>
          <w:lang w:val="sr-Latn-ME"/>
        </w:rPr>
        <w:t xml:space="preserve">ustanovi </w:t>
      </w:r>
      <w:r w:rsidRPr="007821D0">
        <w:rPr>
          <w:lang w:val="sr-Latn-ME"/>
        </w:rPr>
        <w:t>nov</w:t>
      </w:r>
      <w:r w:rsidR="000E5C55" w:rsidRPr="007821D0">
        <w:rPr>
          <w:lang w:val="sr-Latn-ME"/>
        </w:rPr>
        <w:t>a</w:t>
      </w:r>
      <w:r w:rsidRPr="007821D0">
        <w:rPr>
          <w:lang w:val="sr-Latn-ME"/>
        </w:rPr>
        <w:t xml:space="preserve"> početn</w:t>
      </w:r>
      <w:r w:rsidR="000E5C55" w:rsidRPr="007821D0">
        <w:rPr>
          <w:lang w:val="sr-Latn-ME"/>
        </w:rPr>
        <w:t>a</w:t>
      </w:r>
      <w:r w:rsidRPr="007821D0">
        <w:rPr>
          <w:lang w:val="sr-Latn-ME"/>
        </w:rPr>
        <w:t xml:space="preserve"> </w:t>
      </w:r>
      <w:r w:rsidR="000A2950" w:rsidRPr="007821D0">
        <w:rPr>
          <w:lang w:val="sr-Latn-ME"/>
        </w:rPr>
        <w:t>vrijednost</w:t>
      </w:r>
      <w:r w:rsidRPr="007821D0">
        <w:rPr>
          <w:lang w:val="sr-Latn-ME"/>
        </w:rPr>
        <w:t xml:space="preserve"> PSA nakon prim</w:t>
      </w:r>
      <w:r w:rsidR="00E602C2" w:rsidRPr="007821D0">
        <w:rPr>
          <w:lang w:val="sr-Latn-ME"/>
        </w:rPr>
        <w:t>j</w:t>
      </w:r>
      <w:r w:rsidRPr="007821D0">
        <w:rPr>
          <w:lang w:val="sr-Latn-ME"/>
        </w:rPr>
        <w:t xml:space="preserve">ene dutasterida u periodu od 6 </w:t>
      </w:r>
      <w:r w:rsidR="00367D43" w:rsidRPr="007821D0">
        <w:rPr>
          <w:lang w:val="sr-Latn-ME"/>
        </w:rPr>
        <w:t>mjeseci</w:t>
      </w:r>
      <w:r w:rsidRPr="007821D0">
        <w:rPr>
          <w:lang w:val="sr-Latn-ME"/>
        </w:rPr>
        <w:t xml:space="preserve">. Nakon navedenog perioda, preporučuje se redovno praćenje </w:t>
      </w:r>
      <w:r w:rsidR="00E602C2" w:rsidRPr="007821D0">
        <w:rPr>
          <w:lang w:val="sr-Latn-ME"/>
        </w:rPr>
        <w:t>vrijednosti</w:t>
      </w:r>
      <w:r w:rsidRPr="007821D0">
        <w:rPr>
          <w:lang w:val="sr-Latn-ME"/>
        </w:rPr>
        <w:t xml:space="preserve"> PSA. Svako potvrđeno povećanje </w:t>
      </w:r>
      <w:r w:rsidR="00E602C2" w:rsidRPr="007821D0">
        <w:rPr>
          <w:lang w:val="sr-Latn-ME"/>
        </w:rPr>
        <w:t>vrijednosti</w:t>
      </w:r>
      <w:r w:rsidRPr="007821D0">
        <w:rPr>
          <w:lang w:val="sr-Latn-ME"/>
        </w:rPr>
        <w:t xml:space="preserve"> PSA od najmanje </w:t>
      </w:r>
      <w:r w:rsidR="00E602C2" w:rsidRPr="007821D0">
        <w:rPr>
          <w:lang w:val="sr-Latn-ME"/>
        </w:rPr>
        <w:t>vrijednosti</w:t>
      </w:r>
      <w:r w:rsidRPr="007821D0">
        <w:rPr>
          <w:lang w:val="sr-Latn-ME"/>
        </w:rPr>
        <w:t xml:space="preserve"> u toku prim</w:t>
      </w:r>
      <w:r w:rsidR="00E602C2" w:rsidRPr="007821D0">
        <w:rPr>
          <w:lang w:val="sr-Latn-ME"/>
        </w:rPr>
        <w:t>j</w:t>
      </w:r>
      <w:r w:rsidRPr="007821D0">
        <w:rPr>
          <w:lang w:val="sr-Latn-ME"/>
        </w:rPr>
        <w:t>ene terapije dutasteridom može ukazati na postojanje karcinoma prostate ili odsustvo komplijanse od strane pacijenta tokom terapije dutasteridom</w:t>
      </w:r>
      <w:r w:rsidR="000E5C55" w:rsidRPr="007821D0">
        <w:rPr>
          <w:lang w:val="sr-Latn-ME"/>
        </w:rPr>
        <w:t>,</w:t>
      </w:r>
      <w:r w:rsidRPr="007821D0">
        <w:rPr>
          <w:lang w:val="sr-Latn-ME"/>
        </w:rPr>
        <w:t xml:space="preserve"> i stoga mora biti pažljivo proc</w:t>
      </w:r>
      <w:r w:rsidR="00E602C2" w:rsidRPr="007821D0">
        <w:rPr>
          <w:lang w:val="sr-Latn-ME"/>
        </w:rPr>
        <w:t>ij</w:t>
      </w:r>
      <w:r w:rsidRPr="007821D0">
        <w:rPr>
          <w:lang w:val="sr-Latn-ME"/>
        </w:rPr>
        <w:t>enjeno, čak i ukoliko su navedene vr</w:t>
      </w:r>
      <w:r w:rsidR="00E602C2" w:rsidRPr="007821D0">
        <w:rPr>
          <w:lang w:val="sr-Latn-ME"/>
        </w:rPr>
        <w:t>ij</w:t>
      </w:r>
      <w:r w:rsidRPr="007821D0">
        <w:rPr>
          <w:lang w:val="sr-Latn-ME"/>
        </w:rPr>
        <w:t xml:space="preserve">ednosti u okviru uobičajenog raspona </w:t>
      </w:r>
      <w:r w:rsidR="00E602C2" w:rsidRPr="007821D0">
        <w:rPr>
          <w:lang w:val="sr-Latn-ME"/>
        </w:rPr>
        <w:t>vrijednosti</w:t>
      </w:r>
      <w:r w:rsidRPr="007821D0">
        <w:rPr>
          <w:lang w:val="sr-Latn-ME"/>
        </w:rPr>
        <w:t xml:space="preserve"> za muškarce koji ne uzimaju inhibitore 5-alfa reduktaze (</w:t>
      </w:r>
      <w:r w:rsidR="00E602C2" w:rsidRPr="007821D0">
        <w:rPr>
          <w:lang w:val="sr-Latn-ME"/>
        </w:rPr>
        <w:t>vidjeti</w:t>
      </w:r>
      <w:r w:rsidRPr="007821D0">
        <w:rPr>
          <w:lang w:val="sr-Latn-ME"/>
        </w:rPr>
        <w:t xml:space="preserve"> </w:t>
      </w:r>
      <w:r w:rsidR="000E5C55" w:rsidRPr="007821D0">
        <w:rPr>
          <w:lang w:val="sr-Latn-ME"/>
        </w:rPr>
        <w:t xml:space="preserve">dio </w:t>
      </w:r>
      <w:r w:rsidRPr="007821D0">
        <w:rPr>
          <w:lang w:val="sr-Latn-ME"/>
        </w:rPr>
        <w:t xml:space="preserve">5.1). Prilikom interpretacije PSA </w:t>
      </w:r>
      <w:r w:rsidR="00E602C2" w:rsidRPr="007821D0">
        <w:rPr>
          <w:lang w:val="sr-Latn-ME"/>
        </w:rPr>
        <w:t>vrijednosti</w:t>
      </w:r>
      <w:r w:rsidRPr="007821D0">
        <w:rPr>
          <w:lang w:val="sr-Latn-ME"/>
        </w:rPr>
        <w:t xml:space="preserve"> kod pacijenata koji su na terapiji dutasteridom potrebno je zaht</w:t>
      </w:r>
      <w:r w:rsidR="00E602C2" w:rsidRPr="007821D0">
        <w:rPr>
          <w:lang w:val="sr-Latn-ME"/>
        </w:rPr>
        <w:t>ij</w:t>
      </w:r>
      <w:r w:rsidRPr="007821D0">
        <w:rPr>
          <w:lang w:val="sr-Latn-ME"/>
        </w:rPr>
        <w:t xml:space="preserve">evati prethodnu PSA </w:t>
      </w:r>
      <w:r w:rsidR="000A2950" w:rsidRPr="007821D0">
        <w:rPr>
          <w:lang w:val="sr-Latn-ME"/>
        </w:rPr>
        <w:t>vrijednost</w:t>
      </w:r>
      <w:r w:rsidRPr="007821D0">
        <w:rPr>
          <w:lang w:val="sr-Latn-ME"/>
        </w:rPr>
        <w:t xml:space="preserve"> u cilju poređenja.</w:t>
      </w:r>
    </w:p>
    <w:p w14:paraId="0658F4B7" w14:textId="77777777" w:rsidR="00EB62EC" w:rsidRPr="007821D0" w:rsidRDefault="00EB62EC" w:rsidP="007821D0">
      <w:pPr>
        <w:spacing w:after="0" w:line="240" w:lineRule="auto"/>
        <w:ind w:left="-5" w:right="3"/>
        <w:jc w:val="both"/>
        <w:rPr>
          <w:lang w:val="sr-Latn-ME"/>
        </w:rPr>
      </w:pPr>
    </w:p>
    <w:p w14:paraId="396CE3C5" w14:textId="4130C095" w:rsidR="00284634" w:rsidRPr="007821D0" w:rsidRDefault="00313D4B" w:rsidP="007821D0">
      <w:pPr>
        <w:spacing w:after="0" w:line="240" w:lineRule="auto"/>
        <w:ind w:left="-5" w:right="3"/>
        <w:jc w:val="both"/>
        <w:rPr>
          <w:lang w:val="sr-Latn-ME"/>
        </w:rPr>
      </w:pPr>
      <w:r w:rsidRPr="007821D0">
        <w:rPr>
          <w:lang w:val="sr-Latn-ME"/>
        </w:rPr>
        <w:t xml:space="preserve">Nakon što je određena nova početna PSA </w:t>
      </w:r>
      <w:r w:rsidR="000A2950" w:rsidRPr="007821D0">
        <w:rPr>
          <w:lang w:val="sr-Latn-ME"/>
        </w:rPr>
        <w:t>vrijednost</w:t>
      </w:r>
      <w:r w:rsidRPr="007821D0">
        <w:rPr>
          <w:lang w:val="sr-Latn-ME"/>
        </w:rPr>
        <w:t>, terapija dutasteridom ne utiče na korišćenje PSA kao testa koji može biti od pomoći u dijagnostifikovanju karcinoma prostate.</w:t>
      </w:r>
    </w:p>
    <w:p w14:paraId="216AD283" w14:textId="07B68043" w:rsidR="00284634" w:rsidRPr="007821D0" w:rsidRDefault="00313D4B" w:rsidP="007821D0">
      <w:pPr>
        <w:spacing w:after="0" w:line="240" w:lineRule="auto"/>
        <w:ind w:left="-5" w:right="3"/>
        <w:jc w:val="both"/>
        <w:rPr>
          <w:lang w:val="sr-Latn-ME"/>
        </w:rPr>
      </w:pPr>
      <w:r w:rsidRPr="007821D0">
        <w:rPr>
          <w:lang w:val="sr-Latn-ME"/>
        </w:rPr>
        <w:t>Vr</w:t>
      </w:r>
      <w:r w:rsidR="00E602C2" w:rsidRPr="007821D0">
        <w:rPr>
          <w:lang w:val="sr-Latn-ME"/>
        </w:rPr>
        <w:t>ij</w:t>
      </w:r>
      <w:r w:rsidRPr="007821D0">
        <w:rPr>
          <w:lang w:val="sr-Latn-ME"/>
        </w:rPr>
        <w:t>ednost ukupnog PSA u serumu se vraća na početnu vr</w:t>
      </w:r>
      <w:r w:rsidR="00801048" w:rsidRPr="007821D0">
        <w:rPr>
          <w:lang w:val="sr-Latn-ME"/>
        </w:rPr>
        <w:t>ij</w:t>
      </w:r>
      <w:r w:rsidRPr="007821D0">
        <w:rPr>
          <w:lang w:val="sr-Latn-ME"/>
        </w:rPr>
        <w:t>ednost najduže 6 m</w:t>
      </w:r>
      <w:r w:rsidR="00E602C2" w:rsidRPr="007821D0">
        <w:rPr>
          <w:lang w:val="sr-Latn-ME"/>
        </w:rPr>
        <w:t>j</w:t>
      </w:r>
      <w:r w:rsidRPr="007821D0">
        <w:rPr>
          <w:lang w:val="sr-Latn-ME"/>
        </w:rPr>
        <w:t>eseci nakon prekida terapije. Odnos vr</w:t>
      </w:r>
      <w:r w:rsidR="00E602C2" w:rsidRPr="007821D0">
        <w:rPr>
          <w:lang w:val="sr-Latn-ME"/>
        </w:rPr>
        <w:t>ij</w:t>
      </w:r>
      <w:r w:rsidRPr="007821D0">
        <w:rPr>
          <w:lang w:val="sr-Latn-ME"/>
        </w:rPr>
        <w:t>ednosti slobodnog i ukupnog PSA ostaje neprom</w:t>
      </w:r>
      <w:r w:rsidR="00E602C2" w:rsidRPr="007821D0">
        <w:rPr>
          <w:lang w:val="sr-Latn-ME"/>
        </w:rPr>
        <w:t>ij</w:t>
      </w:r>
      <w:r w:rsidRPr="007821D0">
        <w:rPr>
          <w:lang w:val="sr-Latn-ME"/>
        </w:rPr>
        <w:t xml:space="preserve">enjen čak i pod uticajem dutasterida. Ukoliko se </w:t>
      </w:r>
      <w:r w:rsidR="009F2AF5" w:rsidRPr="007821D0">
        <w:rPr>
          <w:lang w:val="sr-Latn-ME"/>
        </w:rPr>
        <w:t>ljekar</w:t>
      </w:r>
      <w:r w:rsidRPr="007821D0">
        <w:rPr>
          <w:lang w:val="sr-Latn-ME"/>
        </w:rPr>
        <w:t>i odluče za korišćenje procenta slobodnog PSA kao parametra pri otkrivanju karcinoma prostate kod muškaraca podvrgnutih terapiji dutasteridom, nije neophodno prilagođavanje njegovih vr</w:t>
      </w:r>
      <w:r w:rsidR="00E602C2" w:rsidRPr="007821D0">
        <w:rPr>
          <w:lang w:val="sr-Latn-ME"/>
        </w:rPr>
        <w:t>ij</w:t>
      </w:r>
      <w:r w:rsidRPr="007821D0">
        <w:rPr>
          <w:lang w:val="sr-Latn-ME"/>
        </w:rPr>
        <w:t xml:space="preserve">ednosti. </w:t>
      </w:r>
    </w:p>
    <w:p w14:paraId="0CB5775E" w14:textId="77777777" w:rsidR="00EB62EC" w:rsidRPr="007821D0" w:rsidRDefault="00EB62EC" w:rsidP="007821D0">
      <w:pPr>
        <w:spacing w:after="0" w:line="240" w:lineRule="auto"/>
        <w:ind w:left="-5" w:right="3"/>
        <w:jc w:val="both"/>
        <w:rPr>
          <w:lang w:val="sr-Latn-ME"/>
        </w:rPr>
      </w:pPr>
    </w:p>
    <w:p w14:paraId="1A1AAC2E" w14:textId="6F9184E3" w:rsidR="00284634" w:rsidRPr="007821D0" w:rsidRDefault="00313D4B" w:rsidP="007821D0">
      <w:pPr>
        <w:spacing w:after="0" w:line="240" w:lineRule="auto"/>
        <w:ind w:left="-5" w:right="3"/>
        <w:jc w:val="both"/>
        <w:rPr>
          <w:lang w:val="sr-Latn-ME"/>
        </w:rPr>
      </w:pPr>
      <w:r w:rsidRPr="007821D0">
        <w:rPr>
          <w:lang w:val="sr-Latn-ME"/>
        </w:rPr>
        <w:t>Pr</w:t>
      </w:r>
      <w:r w:rsidR="00801048" w:rsidRPr="007821D0">
        <w:rPr>
          <w:lang w:val="sr-Latn-ME"/>
        </w:rPr>
        <w:t>ij</w:t>
      </w:r>
      <w:r w:rsidRPr="007821D0">
        <w:rPr>
          <w:lang w:val="sr-Latn-ME"/>
        </w:rPr>
        <w:t xml:space="preserve">e početka terapije </w:t>
      </w:r>
      <w:r w:rsidR="009F2AF5" w:rsidRPr="007821D0">
        <w:rPr>
          <w:lang w:val="sr-Latn-ME"/>
        </w:rPr>
        <w:t>lijek</w:t>
      </w:r>
      <w:r w:rsidRPr="007821D0">
        <w:rPr>
          <w:lang w:val="sr-Latn-ME"/>
        </w:rPr>
        <w:t>om Dutasterid Sandoz neophodni su digitalni rektalni pregled pacijenta, kao i drugi pregledi u cilju dijagnostike karcinoma prostate, uz periodično ponavljanje navedenih pregleda.</w:t>
      </w:r>
    </w:p>
    <w:p w14:paraId="41AE2B0D" w14:textId="77777777" w:rsidR="00EB62EC" w:rsidRPr="007821D0" w:rsidRDefault="00EB62EC" w:rsidP="007821D0">
      <w:pPr>
        <w:pStyle w:val="Heading2"/>
        <w:spacing w:after="0" w:line="240" w:lineRule="auto"/>
        <w:ind w:left="-5"/>
        <w:jc w:val="both"/>
        <w:rPr>
          <w:lang w:val="sr-Latn-ME"/>
        </w:rPr>
      </w:pPr>
    </w:p>
    <w:p w14:paraId="0C4C2A38" w14:textId="70A9EB20" w:rsidR="00284634" w:rsidRPr="007821D0" w:rsidRDefault="00313D4B" w:rsidP="007821D0">
      <w:pPr>
        <w:pStyle w:val="Heading2"/>
        <w:spacing w:after="0" w:line="240" w:lineRule="auto"/>
        <w:ind w:left="-5"/>
        <w:jc w:val="both"/>
        <w:rPr>
          <w:lang w:val="sr-Latn-ME"/>
        </w:rPr>
      </w:pPr>
      <w:r w:rsidRPr="007821D0">
        <w:rPr>
          <w:lang w:val="sr-Latn-ME"/>
        </w:rPr>
        <w:t>Kardiovaskularni neželjeni događaji</w:t>
      </w:r>
      <w:r w:rsidRPr="007821D0">
        <w:rPr>
          <w:u w:val="none"/>
          <w:lang w:val="sr-Latn-ME"/>
        </w:rPr>
        <w:t xml:space="preserve"> </w:t>
      </w:r>
    </w:p>
    <w:p w14:paraId="60FC6116" w14:textId="01A0D218" w:rsidR="00284634" w:rsidRPr="007821D0" w:rsidRDefault="00313D4B" w:rsidP="007821D0">
      <w:pPr>
        <w:spacing w:after="0" w:line="240" w:lineRule="auto"/>
        <w:ind w:left="-5" w:right="3"/>
        <w:jc w:val="both"/>
        <w:rPr>
          <w:lang w:val="sr-Latn-ME"/>
        </w:rPr>
      </w:pPr>
      <w:r w:rsidRPr="007821D0">
        <w:rPr>
          <w:lang w:val="sr-Latn-ME"/>
        </w:rPr>
        <w:t>U dva četvorogodišnja klinička ispitivanja, incidenca pojave srčane insuficijencije (skup prijavljenih događaja, primarno srčane insuficijencije i kongestivne srčane insuficijencije) bila je marginalno veća u grupi ispitanika kod kojih je prim</w:t>
      </w:r>
      <w:r w:rsidR="00801048" w:rsidRPr="007821D0">
        <w:rPr>
          <w:lang w:val="sr-Latn-ME"/>
        </w:rPr>
        <w:t>j</w:t>
      </w:r>
      <w:r w:rsidRPr="007821D0">
        <w:rPr>
          <w:lang w:val="sr-Latn-ME"/>
        </w:rPr>
        <w:t>enjivana kombinovana terapija dutasterid</w:t>
      </w:r>
      <w:r w:rsidR="00F50F2A" w:rsidRPr="007821D0">
        <w:rPr>
          <w:lang w:val="sr-Latn-ME"/>
        </w:rPr>
        <w:t>om</w:t>
      </w:r>
      <w:r w:rsidRPr="007821D0">
        <w:rPr>
          <w:lang w:val="sr-Latn-ME"/>
        </w:rPr>
        <w:t xml:space="preserve"> i nek</w:t>
      </w:r>
      <w:r w:rsidR="00F50F2A" w:rsidRPr="007821D0">
        <w:rPr>
          <w:lang w:val="sr-Latn-ME"/>
        </w:rPr>
        <w:t>im</w:t>
      </w:r>
      <w:r w:rsidRPr="007821D0">
        <w:rPr>
          <w:lang w:val="sr-Latn-ME"/>
        </w:rPr>
        <w:t xml:space="preserve"> od alfa blokatora, primarno tamsulosin</w:t>
      </w:r>
      <w:r w:rsidR="00F50F2A" w:rsidRPr="007821D0">
        <w:rPr>
          <w:lang w:val="sr-Latn-ME"/>
        </w:rPr>
        <w:t>om</w:t>
      </w:r>
      <w:r w:rsidRPr="007821D0">
        <w:rPr>
          <w:lang w:val="sr-Latn-ME"/>
        </w:rPr>
        <w:t>, u odnosu na grupu ispitanika kod kojih nije prim</w:t>
      </w:r>
      <w:r w:rsidR="00801048" w:rsidRPr="007821D0">
        <w:rPr>
          <w:lang w:val="sr-Latn-ME"/>
        </w:rPr>
        <w:t>j</w:t>
      </w:r>
      <w:r w:rsidRPr="007821D0">
        <w:rPr>
          <w:lang w:val="sr-Latn-ME"/>
        </w:rPr>
        <w:t xml:space="preserve">enjivana kombinovana terapija. Međutim, incidenca pojave srčane insuficijencije u ovim ispitivanjima bila </w:t>
      </w:r>
      <w:r w:rsidR="00F50F2A" w:rsidRPr="007821D0">
        <w:rPr>
          <w:lang w:val="sr-Latn-ME"/>
        </w:rPr>
        <w:t xml:space="preserve">je </w:t>
      </w:r>
      <w:r w:rsidRPr="007821D0">
        <w:rPr>
          <w:lang w:val="sr-Latn-ME"/>
        </w:rPr>
        <w:t>manja u svim aktivno l</w:t>
      </w:r>
      <w:r w:rsidR="00801048" w:rsidRPr="007821D0">
        <w:rPr>
          <w:lang w:val="sr-Latn-ME"/>
        </w:rPr>
        <w:t>ij</w:t>
      </w:r>
      <w:r w:rsidRPr="007821D0">
        <w:rPr>
          <w:lang w:val="sr-Latn-ME"/>
        </w:rPr>
        <w:t>ečenim grupama u poređenju sa placebo grupom, i ostali dostupni podaci za dutasterid ili alfa blokatore ne podržavaju zaključak o povećanim kardiovaskularnim rizicima (</w:t>
      </w:r>
      <w:r w:rsidR="00E602C2" w:rsidRPr="007821D0">
        <w:rPr>
          <w:lang w:val="sr-Latn-ME"/>
        </w:rPr>
        <w:t>vidjeti</w:t>
      </w:r>
      <w:r w:rsidRPr="007821D0">
        <w:rPr>
          <w:lang w:val="sr-Latn-ME"/>
        </w:rPr>
        <w:t xml:space="preserve"> </w:t>
      </w:r>
      <w:r w:rsidR="00F50F2A" w:rsidRPr="007821D0">
        <w:rPr>
          <w:lang w:val="sr-Latn-ME"/>
        </w:rPr>
        <w:t xml:space="preserve">dio </w:t>
      </w:r>
      <w:r w:rsidRPr="007821D0">
        <w:rPr>
          <w:lang w:val="sr-Latn-ME"/>
        </w:rPr>
        <w:t xml:space="preserve">5.1). </w:t>
      </w:r>
    </w:p>
    <w:p w14:paraId="238C2234" w14:textId="77777777" w:rsidR="00EB62EC" w:rsidRPr="007821D0" w:rsidRDefault="00EB62EC" w:rsidP="007821D0">
      <w:pPr>
        <w:pStyle w:val="Heading2"/>
        <w:spacing w:after="0" w:line="240" w:lineRule="auto"/>
        <w:ind w:left="-5"/>
        <w:jc w:val="both"/>
        <w:rPr>
          <w:lang w:val="sr-Latn-ME"/>
        </w:rPr>
      </w:pPr>
    </w:p>
    <w:p w14:paraId="4D25726A" w14:textId="48453EEF" w:rsidR="00284634" w:rsidRPr="007821D0" w:rsidRDefault="00313D4B" w:rsidP="007821D0">
      <w:pPr>
        <w:pStyle w:val="Heading2"/>
        <w:spacing w:after="0" w:line="240" w:lineRule="auto"/>
        <w:ind w:left="-5"/>
        <w:jc w:val="both"/>
        <w:rPr>
          <w:lang w:val="sr-Latn-ME"/>
        </w:rPr>
      </w:pPr>
      <w:r w:rsidRPr="007821D0">
        <w:rPr>
          <w:lang w:val="sr-Latn-ME"/>
        </w:rPr>
        <w:t>Neoplazija dojki</w:t>
      </w:r>
    </w:p>
    <w:p w14:paraId="30A33C27" w14:textId="1730275B" w:rsidR="00284634" w:rsidRPr="007821D0" w:rsidRDefault="00313D4B" w:rsidP="007821D0">
      <w:pPr>
        <w:spacing w:after="0" w:line="240" w:lineRule="auto"/>
        <w:ind w:left="-5" w:right="3"/>
        <w:jc w:val="both"/>
        <w:rPr>
          <w:lang w:val="sr-Latn-ME"/>
        </w:rPr>
      </w:pPr>
      <w:r w:rsidRPr="007821D0">
        <w:rPr>
          <w:lang w:val="sr-Latn-ME"/>
        </w:rPr>
        <w:t xml:space="preserve">Postoje </w:t>
      </w:r>
      <w:r w:rsidR="00F50F2A" w:rsidRPr="007821D0">
        <w:rPr>
          <w:lang w:val="sr-Latn-ME"/>
        </w:rPr>
        <w:t xml:space="preserve">rijetki </w:t>
      </w:r>
      <w:r w:rsidRPr="007821D0">
        <w:rPr>
          <w:lang w:val="sr-Latn-ME"/>
        </w:rPr>
        <w:t>izv</w:t>
      </w:r>
      <w:r w:rsidR="00F50F2A" w:rsidRPr="007821D0">
        <w:rPr>
          <w:lang w:val="sr-Latn-ME"/>
        </w:rPr>
        <w:t>j</w:t>
      </w:r>
      <w:r w:rsidRPr="007821D0">
        <w:rPr>
          <w:lang w:val="sr-Latn-ME"/>
        </w:rPr>
        <w:t xml:space="preserve">eštaji o pojavi karcinoma dojke kod muškaraca koji su </w:t>
      </w:r>
      <w:r w:rsidR="00F50F2A" w:rsidRPr="007821D0">
        <w:rPr>
          <w:lang w:val="sr-Latn-ME"/>
        </w:rPr>
        <w:t xml:space="preserve">primali </w:t>
      </w:r>
      <w:r w:rsidRPr="007821D0">
        <w:rPr>
          <w:lang w:val="sr-Latn-ME"/>
        </w:rPr>
        <w:t xml:space="preserve">dutasterid u toku kliničkih ispitivanja i u toku postmarketinškog praćenja. Međutim, epidemiološke studije </w:t>
      </w:r>
      <w:r w:rsidR="00F50F2A" w:rsidRPr="007821D0">
        <w:rPr>
          <w:lang w:val="sr-Latn-ME"/>
        </w:rPr>
        <w:t>nije</w:t>
      </w:r>
      <w:r w:rsidRPr="007821D0">
        <w:rPr>
          <w:lang w:val="sr-Latn-ME"/>
        </w:rPr>
        <w:t>su pokazale povećanje rizika od razvoja karcinoma dojki kod muškaraca u kombinovanoj terapiji sa inhibitorima 5–alfa reduktaze (</w:t>
      </w:r>
      <w:r w:rsidR="00E602C2" w:rsidRPr="007821D0">
        <w:rPr>
          <w:lang w:val="sr-Latn-ME"/>
        </w:rPr>
        <w:t>vidjeti</w:t>
      </w:r>
      <w:r w:rsidRPr="007821D0">
        <w:rPr>
          <w:lang w:val="sr-Latn-ME"/>
        </w:rPr>
        <w:t xml:space="preserve"> </w:t>
      </w:r>
      <w:r w:rsidR="00F50F2A" w:rsidRPr="007821D0">
        <w:rPr>
          <w:lang w:val="sr-Latn-ME"/>
        </w:rPr>
        <w:t xml:space="preserve">dio </w:t>
      </w:r>
      <w:r w:rsidRPr="007821D0">
        <w:rPr>
          <w:lang w:val="sr-Latn-ME"/>
        </w:rPr>
        <w:t xml:space="preserve">5.1). Neophodno je da </w:t>
      </w:r>
      <w:r w:rsidR="009F2AF5" w:rsidRPr="007821D0">
        <w:rPr>
          <w:lang w:val="sr-Latn-ME"/>
        </w:rPr>
        <w:t>ljekar</w:t>
      </w:r>
      <w:r w:rsidRPr="007821D0">
        <w:rPr>
          <w:lang w:val="sr-Latn-ME"/>
        </w:rPr>
        <w:t>i upozore pacijente da odmah prijave bilo kakve izm</w:t>
      </w:r>
      <w:r w:rsidR="00F50F2A" w:rsidRPr="007821D0">
        <w:rPr>
          <w:lang w:val="sr-Latn-ME"/>
        </w:rPr>
        <w:t>j</w:t>
      </w:r>
      <w:r w:rsidRPr="007821D0">
        <w:rPr>
          <w:lang w:val="sr-Latn-ME"/>
        </w:rPr>
        <w:t>ene u tkivu dojke, kao što su kvržice ili pojave isc</w:t>
      </w:r>
      <w:r w:rsidR="00F50F2A" w:rsidRPr="007821D0">
        <w:rPr>
          <w:lang w:val="sr-Latn-ME"/>
        </w:rPr>
        <w:t>j</w:t>
      </w:r>
      <w:r w:rsidRPr="007821D0">
        <w:rPr>
          <w:lang w:val="sr-Latn-ME"/>
        </w:rPr>
        <w:t>e</w:t>
      </w:r>
      <w:r w:rsidR="00EB62EC" w:rsidRPr="007821D0">
        <w:rPr>
          <w:lang w:val="sr-Latn-ME"/>
        </w:rPr>
        <w:t>d</w:t>
      </w:r>
      <w:r w:rsidRPr="007821D0">
        <w:rPr>
          <w:lang w:val="sr-Latn-ME"/>
        </w:rPr>
        <w:t xml:space="preserve">ka iz bradavice. </w:t>
      </w:r>
    </w:p>
    <w:p w14:paraId="3610B133" w14:textId="77777777" w:rsidR="00EB62EC" w:rsidRPr="007821D0" w:rsidRDefault="00EB62EC" w:rsidP="007821D0">
      <w:pPr>
        <w:pStyle w:val="Heading2"/>
        <w:spacing w:after="0" w:line="240" w:lineRule="auto"/>
        <w:ind w:left="-5"/>
        <w:jc w:val="both"/>
        <w:rPr>
          <w:lang w:val="sr-Latn-ME"/>
        </w:rPr>
      </w:pPr>
    </w:p>
    <w:p w14:paraId="01477060" w14:textId="22BFE068" w:rsidR="00284634" w:rsidRPr="007821D0" w:rsidRDefault="00313D4B" w:rsidP="007821D0">
      <w:pPr>
        <w:pStyle w:val="Heading2"/>
        <w:spacing w:after="0" w:line="240" w:lineRule="auto"/>
        <w:ind w:left="-5"/>
        <w:jc w:val="both"/>
        <w:rPr>
          <w:lang w:val="sr-Latn-ME"/>
        </w:rPr>
      </w:pPr>
      <w:r w:rsidRPr="007821D0">
        <w:rPr>
          <w:lang w:val="sr-Latn-ME"/>
        </w:rPr>
        <w:t>Oštećenje kapsula</w:t>
      </w:r>
    </w:p>
    <w:p w14:paraId="2CAEBBF0" w14:textId="256302F0" w:rsidR="00284634" w:rsidRPr="007821D0" w:rsidRDefault="00313D4B" w:rsidP="007821D0">
      <w:pPr>
        <w:spacing w:after="0" w:line="240" w:lineRule="auto"/>
        <w:ind w:left="-5" w:right="3"/>
        <w:jc w:val="both"/>
        <w:rPr>
          <w:lang w:val="sr-Latn-ME"/>
        </w:rPr>
      </w:pPr>
      <w:r w:rsidRPr="007821D0">
        <w:rPr>
          <w:lang w:val="sr-Latn-ME"/>
        </w:rPr>
        <w:t>S obzirom na to da se dutasterid resorbuje preko kože, žene, d</w:t>
      </w:r>
      <w:r w:rsidR="00801048" w:rsidRPr="007821D0">
        <w:rPr>
          <w:lang w:val="sr-Latn-ME"/>
        </w:rPr>
        <w:t>j</w:t>
      </w:r>
      <w:r w:rsidRPr="007821D0">
        <w:rPr>
          <w:lang w:val="sr-Latn-ME"/>
        </w:rPr>
        <w:t>eca i adolescenti moraju da izbegavaju kontakt sa oštećenim kapsulama (</w:t>
      </w:r>
      <w:r w:rsidR="00E602C2" w:rsidRPr="007821D0">
        <w:rPr>
          <w:lang w:val="sr-Latn-ME"/>
        </w:rPr>
        <w:t>vidjeti</w:t>
      </w:r>
      <w:r w:rsidRPr="007821D0">
        <w:rPr>
          <w:lang w:val="sr-Latn-ME"/>
        </w:rPr>
        <w:t xml:space="preserve"> </w:t>
      </w:r>
      <w:r w:rsidR="00F50F2A" w:rsidRPr="007821D0">
        <w:rPr>
          <w:lang w:val="sr-Latn-ME"/>
        </w:rPr>
        <w:t xml:space="preserve">dio </w:t>
      </w:r>
      <w:r w:rsidRPr="007821D0">
        <w:rPr>
          <w:lang w:val="sr-Latn-ME"/>
        </w:rPr>
        <w:t>4.6). Ukoliko dođe do kontakta sa oštećenim kapsulama, potrebno je odmah oprati sapunom i vodom pred</w:t>
      </w:r>
      <w:r w:rsidR="00F50F2A" w:rsidRPr="007821D0">
        <w:rPr>
          <w:lang w:val="sr-Latn-ME"/>
        </w:rPr>
        <w:t>i</w:t>
      </w:r>
      <w:r w:rsidRPr="007821D0">
        <w:rPr>
          <w:lang w:val="sr-Latn-ME"/>
        </w:rPr>
        <w:t>o kože koji je bio u kontaktu sa sadržajem kapsule.</w:t>
      </w:r>
    </w:p>
    <w:p w14:paraId="52DFEC69" w14:textId="77777777" w:rsidR="00EB62EC" w:rsidRPr="007821D0" w:rsidRDefault="00EB62EC" w:rsidP="007821D0">
      <w:pPr>
        <w:pStyle w:val="Heading2"/>
        <w:spacing w:after="0" w:line="240" w:lineRule="auto"/>
        <w:ind w:left="-5"/>
        <w:jc w:val="both"/>
        <w:rPr>
          <w:lang w:val="sr-Latn-ME"/>
        </w:rPr>
      </w:pPr>
    </w:p>
    <w:p w14:paraId="466CAE58" w14:textId="547CCD61" w:rsidR="00284634" w:rsidRPr="007821D0" w:rsidRDefault="00313D4B" w:rsidP="007821D0">
      <w:pPr>
        <w:pStyle w:val="Heading2"/>
        <w:spacing w:after="0" w:line="240" w:lineRule="auto"/>
        <w:ind w:left="-5"/>
        <w:jc w:val="both"/>
        <w:rPr>
          <w:lang w:val="sr-Latn-ME"/>
        </w:rPr>
      </w:pPr>
      <w:r w:rsidRPr="007821D0">
        <w:rPr>
          <w:lang w:val="sr-Latn-ME"/>
        </w:rPr>
        <w:t>Oštećenje funkcije jetre</w:t>
      </w:r>
    </w:p>
    <w:p w14:paraId="5269483D" w14:textId="62746F60" w:rsidR="00284634" w:rsidRPr="007821D0" w:rsidRDefault="00313D4B" w:rsidP="007821D0">
      <w:pPr>
        <w:spacing w:after="0" w:line="240" w:lineRule="auto"/>
        <w:ind w:left="-5" w:right="3"/>
        <w:jc w:val="both"/>
        <w:rPr>
          <w:lang w:val="sr-Latn-ME"/>
        </w:rPr>
      </w:pPr>
      <w:r w:rsidRPr="007821D0">
        <w:rPr>
          <w:lang w:val="sr-Latn-ME"/>
        </w:rPr>
        <w:t xml:space="preserve">Nije ispitana </w:t>
      </w:r>
      <w:r w:rsidR="00E602C2" w:rsidRPr="007821D0">
        <w:rPr>
          <w:lang w:val="sr-Latn-ME"/>
        </w:rPr>
        <w:t>primjena</w:t>
      </w:r>
      <w:r w:rsidRPr="007821D0">
        <w:rPr>
          <w:lang w:val="sr-Latn-ME"/>
        </w:rPr>
        <w:t xml:space="preserve"> dutasterida kod pacijenata sa oboljenjem jetre. Dutasterid treba prim</w:t>
      </w:r>
      <w:r w:rsidR="00F50F2A" w:rsidRPr="007821D0">
        <w:rPr>
          <w:lang w:val="sr-Latn-ME"/>
        </w:rPr>
        <w:t>j</w:t>
      </w:r>
      <w:r w:rsidRPr="007821D0">
        <w:rPr>
          <w:lang w:val="sr-Latn-ME"/>
        </w:rPr>
        <w:t>enjivati sa oprezom kod pacijenata sa blagim do um</w:t>
      </w:r>
      <w:r w:rsidR="00F50F2A" w:rsidRPr="007821D0">
        <w:rPr>
          <w:lang w:val="sr-Latn-ME"/>
        </w:rPr>
        <w:t>j</w:t>
      </w:r>
      <w:r w:rsidRPr="007821D0">
        <w:rPr>
          <w:lang w:val="sr-Latn-ME"/>
        </w:rPr>
        <w:t>erenim oštećenjem funkcije jetre (</w:t>
      </w:r>
      <w:r w:rsidR="00E602C2" w:rsidRPr="007821D0">
        <w:rPr>
          <w:lang w:val="sr-Latn-ME"/>
        </w:rPr>
        <w:t>vidjeti</w:t>
      </w:r>
      <w:r w:rsidRPr="007821D0">
        <w:rPr>
          <w:lang w:val="sr-Latn-ME"/>
        </w:rPr>
        <w:t xml:space="preserve"> </w:t>
      </w:r>
      <w:r w:rsidR="00F50F2A" w:rsidRPr="007821D0">
        <w:rPr>
          <w:lang w:val="sr-Latn-ME"/>
        </w:rPr>
        <w:t xml:space="preserve">djelove </w:t>
      </w:r>
      <w:r w:rsidRPr="007821D0">
        <w:rPr>
          <w:lang w:val="sr-Latn-ME"/>
        </w:rPr>
        <w:t>4.2, 4.3</w:t>
      </w:r>
      <w:r w:rsidR="00F50F2A" w:rsidRPr="007821D0">
        <w:rPr>
          <w:lang w:val="sr-Latn-ME"/>
        </w:rPr>
        <w:t>.</w:t>
      </w:r>
      <w:r w:rsidRPr="007821D0">
        <w:rPr>
          <w:lang w:val="sr-Latn-ME"/>
        </w:rPr>
        <w:t xml:space="preserve"> i 5.2).</w:t>
      </w:r>
    </w:p>
    <w:p w14:paraId="36BCBACF" w14:textId="77777777" w:rsidR="00EB62EC" w:rsidRPr="007821D0" w:rsidRDefault="00EB62EC" w:rsidP="007821D0">
      <w:pPr>
        <w:spacing w:after="0" w:line="240" w:lineRule="auto"/>
        <w:ind w:left="-5"/>
        <w:jc w:val="both"/>
        <w:rPr>
          <w:b/>
          <w:lang w:val="sr-Latn-ME"/>
        </w:rPr>
      </w:pPr>
    </w:p>
    <w:p w14:paraId="2C051B49" w14:textId="32F9DDBF" w:rsidR="00284634" w:rsidRPr="007821D0" w:rsidRDefault="009F2AF5" w:rsidP="007821D0">
      <w:pPr>
        <w:spacing w:after="0" w:line="240" w:lineRule="auto"/>
        <w:ind w:left="-5"/>
        <w:jc w:val="both"/>
        <w:rPr>
          <w:lang w:val="sr-Latn-ME"/>
        </w:rPr>
      </w:pPr>
      <w:r w:rsidRPr="007821D0">
        <w:rPr>
          <w:b/>
          <w:lang w:val="sr-Latn-ME"/>
        </w:rPr>
        <w:t>Lijek</w:t>
      </w:r>
      <w:r w:rsidR="00313D4B" w:rsidRPr="007821D0">
        <w:rPr>
          <w:b/>
          <w:lang w:val="sr-Latn-ME"/>
        </w:rPr>
        <w:t xml:space="preserve"> Dutasterid Sandoz sadrži lecitin (soja)(E322). </w:t>
      </w:r>
    </w:p>
    <w:p w14:paraId="5AF4922A" w14:textId="27E1ACF0" w:rsidR="00284634" w:rsidRPr="007821D0" w:rsidRDefault="00313D4B" w:rsidP="007821D0">
      <w:pPr>
        <w:spacing w:after="0" w:line="240" w:lineRule="auto"/>
        <w:ind w:left="-5" w:right="3"/>
        <w:jc w:val="both"/>
        <w:rPr>
          <w:lang w:val="sr-Latn-ME"/>
        </w:rPr>
      </w:pPr>
      <w:r w:rsidRPr="007821D0">
        <w:rPr>
          <w:lang w:val="sr-Latn-ME"/>
        </w:rPr>
        <w:t>U slučaju alergije na kikiriki ili soju (ulje od kikirikija ili sojino ulje) ne sm</w:t>
      </w:r>
      <w:r w:rsidR="00801048" w:rsidRPr="007821D0">
        <w:rPr>
          <w:lang w:val="sr-Latn-ME"/>
        </w:rPr>
        <w:t>ij</w:t>
      </w:r>
      <w:r w:rsidRPr="007821D0">
        <w:rPr>
          <w:lang w:val="sr-Latn-ME"/>
        </w:rPr>
        <w:t xml:space="preserve">ete koristiti ovaj </w:t>
      </w:r>
      <w:r w:rsidR="009F2AF5" w:rsidRPr="007821D0">
        <w:rPr>
          <w:lang w:val="sr-Latn-ME"/>
        </w:rPr>
        <w:t>lijek</w:t>
      </w:r>
      <w:r w:rsidRPr="007821D0">
        <w:rPr>
          <w:lang w:val="sr-Latn-ME"/>
        </w:rPr>
        <w:t xml:space="preserve"> (</w:t>
      </w:r>
      <w:r w:rsidR="00E602C2" w:rsidRPr="007821D0">
        <w:rPr>
          <w:lang w:val="sr-Latn-ME"/>
        </w:rPr>
        <w:t>vidjeti</w:t>
      </w:r>
      <w:r w:rsidRPr="007821D0">
        <w:rPr>
          <w:lang w:val="sr-Latn-ME"/>
        </w:rPr>
        <w:t xml:space="preserve"> </w:t>
      </w:r>
      <w:r w:rsidR="00055D5D" w:rsidRPr="007821D0">
        <w:rPr>
          <w:lang w:val="sr-Latn-ME"/>
        </w:rPr>
        <w:t xml:space="preserve">dio </w:t>
      </w:r>
      <w:r w:rsidRPr="007821D0">
        <w:rPr>
          <w:lang w:val="sr-Latn-ME"/>
        </w:rPr>
        <w:t>4.3).</w:t>
      </w:r>
    </w:p>
    <w:p w14:paraId="06190077" w14:textId="77777777" w:rsidR="00EB62EC" w:rsidRPr="007821D0" w:rsidRDefault="00EB62EC" w:rsidP="007821D0">
      <w:pPr>
        <w:pStyle w:val="Heading3"/>
        <w:spacing w:after="0" w:line="240" w:lineRule="auto"/>
        <w:ind w:left="-5"/>
        <w:rPr>
          <w:lang w:val="sr-Latn-ME"/>
        </w:rPr>
      </w:pPr>
    </w:p>
    <w:p w14:paraId="73983C82" w14:textId="17B43EB8" w:rsidR="00284634" w:rsidRPr="007821D0" w:rsidRDefault="00313D4B" w:rsidP="007821D0">
      <w:pPr>
        <w:pStyle w:val="Heading3"/>
        <w:spacing w:after="0" w:line="240" w:lineRule="auto"/>
        <w:ind w:left="-5"/>
        <w:rPr>
          <w:lang w:val="sr-Latn-ME"/>
        </w:rPr>
      </w:pPr>
      <w:r w:rsidRPr="007821D0">
        <w:rPr>
          <w:lang w:val="sr-Latn-ME"/>
        </w:rPr>
        <w:t xml:space="preserve">4.5. Interakcije sa drugim </w:t>
      </w:r>
      <w:r w:rsidR="009F2AF5" w:rsidRPr="007821D0">
        <w:rPr>
          <w:lang w:val="sr-Latn-ME"/>
        </w:rPr>
        <w:t>ljek</w:t>
      </w:r>
      <w:r w:rsidRPr="007821D0">
        <w:rPr>
          <w:lang w:val="sr-Latn-ME"/>
        </w:rPr>
        <w:t>ovima i druge vrste interakcija</w:t>
      </w:r>
    </w:p>
    <w:p w14:paraId="1B02C9F7" w14:textId="77777777" w:rsidR="00EB62EC" w:rsidRPr="007821D0" w:rsidRDefault="00EB62EC" w:rsidP="007821D0">
      <w:pPr>
        <w:spacing w:after="0" w:line="240" w:lineRule="auto"/>
        <w:ind w:left="-5" w:right="3"/>
        <w:jc w:val="both"/>
        <w:rPr>
          <w:lang w:val="sr-Latn-ME"/>
        </w:rPr>
      </w:pPr>
    </w:p>
    <w:p w14:paraId="32562C9B" w14:textId="78D6CFEA" w:rsidR="00284634" w:rsidRPr="007821D0" w:rsidRDefault="00313D4B" w:rsidP="007821D0">
      <w:pPr>
        <w:spacing w:after="0" w:line="240" w:lineRule="auto"/>
        <w:ind w:left="-5" w:right="3"/>
        <w:jc w:val="both"/>
        <w:rPr>
          <w:lang w:val="sr-Latn-ME"/>
        </w:rPr>
      </w:pPr>
      <w:r w:rsidRPr="007821D0">
        <w:rPr>
          <w:lang w:val="sr-Latn-ME"/>
        </w:rPr>
        <w:t xml:space="preserve">Za informacije o smanjenju </w:t>
      </w:r>
      <w:r w:rsidR="00E602C2" w:rsidRPr="007821D0">
        <w:rPr>
          <w:lang w:val="sr-Latn-ME"/>
        </w:rPr>
        <w:t>vrijednosti</w:t>
      </w:r>
      <w:r w:rsidRPr="007821D0">
        <w:rPr>
          <w:lang w:val="sr-Latn-ME"/>
        </w:rPr>
        <w:t xml:space="preserve"> PSA u serumu u toku terapije dutasteridom i sm</w:t>
      </w:r>
      <w:r w:rsidR="00055D5D" w:rsidRPr="007821D0">
        <w:rPr>
          <w:lang w:val="sr-Latn-ME"/>
        </w:rPr>
        <w:t>j</w:t>
      </w:r>
      <w:r w:rsidRPr="007821D0">
        <w:rPr>
          <w:lang w:val="sr-Latn-ME"/>
        </w:rPr>
        <w:t xml:space="preserve">ernicama za otkrivanje karcinoma prostate, </w:t>
      </w:r>
      <w:r w:rsidR="00E602C2" w:rsidRPr="007821D0">
        <w:rPr>
          <w:lang w:val="sr-Latn-ME"/>
        </w:rPr>
        <w:t>vidjeti</w:t>
      </w:r>
      <w:r w:rsidRPr="007821D0">
        <w:rPr>
          <w:lang w:val="sr-Latn-ME"/>
        </w:rPr>
        <w:t xml:space="preserve"> </w:t>
      </w:r>
      <w:r w:rsidR="00055D5D" w:rsidRPr="007821D0">
        <w:rPr>
          <w:lang w:val="sr-Latn-ME"/>
        </w:rPr>
        <w:t xml:space="preserve">dio </w:t>
      </w:r>
      <w:r w:rsidRPr="007821D0">
        <w:rPr>
          <w:lang w:val="sr-Latn-ME"/>
        </w:rPr>
        <w:t>4.4.</w:t>
      </w:r>
    </w:p>
    <w:p w14:paraId="5D44EDCF" w14:textId="77777777" w:rsidR="00EB62EC" w:rsidRPr="007821D0" w:rsidRDefault="00EB62EC" w:rsidP="007821D0">
      <w:pPr>
        <w:pStyle w:val="Heading2"/>
        <w:spacing w:after="0" w:line="240" w:lineRule="auto"/>
        <w:ind w:left="-5"/>
        <w:jc w:val="both"/>
        <w:rPr>
          <w:lang w:val="sr-Latn-ME"/>
        </w:rPr>
      </w:pPr>
    </w:p>
    <w:p w14:paraId="2EFA0702" w14:textId="63F33140" w:rsidR="00284634" w:rsidRPr="007821D0" w:rsidRDefault="00313D4B" w:rsidP="007821D0">
      <w:pPr>
        <w:pStyle w:val="Heading2"/>
        <w:spacing w:after="0" w:line="240" w:lineRule="auto"/>
        <w:ind w:left="-5"/>
        <w:jc w:val="both"/>
        <w:rPr>
          <w:lang w:val="sr-Latn-ME"/>
        </w:rPr>
      </w:pPr>
      <w:r w:rsidRPr="007821D0">
        <w:rPr>
          <w:lang w:val="sr-Latn-ME"/>
        </w:rPr>
        <w:t xml:space="preserve">Uticaj drugih </w:t>
      </w:r>
      <w:r w:rsidR="009F2AF5" w:rsidRPr="007821D0">
        <w:rPr>
          <w:lang w:val="sr-Latn-ME"/>
        </w:rPr>
        <w:t>ljek</w:t>
      </w:r>
      <w:r w:rsidRPr="007821D0">
        <w:rPr>
          <w:lang w:val="sr-Latn-ME"/>
        </w:rPr>
        <w:t>ova na farmakokinetiku dutasterida</w:t>
      </w:r>
    </w:p>
    <w:p w14:paraId="67438991" w14:textId="77777777" w:rsidR="00EB62EC" w:rsidRPr="007821D0" w:rsidRDefault="00EB62EC" w:rsidP="007821D0">
      <w:pPr>
        <w:spacing w:after="0" w:line="240" w:lineRule="auto"/>
        <w:ind w:left="0" w:firstLine="0"/>
        <w:jc w:val="both"/>
        <w:rPr>
          <w:i/>
          <w:lang w:val="sr-Latn-ME"/>
        </w:rPr>
      </w:pPr>
    </w:p>
    <w:p w14:paraId="48EBA341" w14:textId="34CAE86E" w:rsidR="00284634" w:rsidRPr="007821D0" w:rsidRDefault="00313D4B" w:rsidP="007821D0">
      <w:pPr>
        <w:spacing w:after="0" w:line="240" w:lineRule="auto"/>
        <w:ind w:left="0" w:firstLine="0"/>
        <w:jc w:val="both"/>
        <w:rPr>
          <w:lang w:val="sr-Latn-ME"/>
        </w:rPr>
      </w:pPr>
      <w:r w:rsidRPr="007821D0">
        <w:rPr>
          <w:i/>
          <w:lang w:val="sr-Latn-ME"/>
        </w:rPr>
        <w:t xml:space="preserve">Istovremena </w:t>
      </w:r>
      <w:r w:rsidR="00E602C2" w:rsidRPr="007821D0">
        <w:rPr>
          <w:i/>
          <w:lang w:val="sr-Latn-ME"/>
        </w:rPr>
        <w:t>primjena</w:t>
      </w:r>
      <w:r w:rsidRPr="007821D0">
        <w:rPr>
          <w:i/>
          <w:lang w:val="sr-Latn-ME"/>
        </w:rPr>
        <w:t xml:space="preserve"> sa CYP3A4 i/ili P-glikoprotein inhibitorima:</w:t>
      </w:r>
    </w:p>
    <w:p w14:paraId="12E2D20D" w14:textId="57503808" w:rsidR="00284634" w:rsidRPr="007821D0" w:rsidRDefault="00313D4B" w:rsidP="007821D0">
      <w:pPr>
        <w:spacing w:after="0" w:line="240" w:lineRule="auto"/>
        <w:ind w:left="-5" w:right="3"/>
        <w:jc w:val="both"/>
        <w:rPr>
          <w:lang w:val="sr-Latn-ME"/>
        </w:rPr>
      </w:pPr>
      <w:r w:rsidRPr="007821D0">
        <w:rPr>
          <w:lang w:val="sr-Latn-ME"/>
        </w:rPr>
        <w:t xml:space="preserve">Dutasterid se uglavnom eliminiše putem metabolizma. </w:t>
      </w:r>
      <w:r w:rsidRPr="007821D0">
        <w:rPr>
          <w:i/>
          <w:lang w:val="sr-Latn-ME"/>
        </w:rPr>
        <w:t xml:space="preserve">In vitro </w:t>
      </w:r>
      <w:r w:rsidRPr="007821D0">
        <w:rPr>
          <w:lang w:val="sr-Latn-ME"/>
        </w:rPr>
        <w:t>ispitivanja pokazuju da je metabolizam dutasterida katalizovan izoenzimima CYP3A4 i CYP3A5. Ni</w:t>
      </w:r>
      <w:r w:rsidR="00055D5D" w:rsidRPr="007821D0">
        <w:rPr>
          <w:lang w:val="sr-Latn-ME"/>
        </w:rPr>
        <w:t>je</w:t>
      </w:r>
      <w:r w:rsidRPr="007821D0">
        <w:rPr>
          <w:lang w:val="sr-Latn-ME"/>
        </w:rPr>
        <w:t>su sprovedena formalna ispitivanja interakcije sa snažnim CYP3A4 inhibitorima. Ipak, u populacionoj farmakokinetičkoj studiji, koncentracije dutasterida u serumu bile su u pros</w:t>
      </w:r>
      <w:r w:rsidR="00801048" w:rsidRPr="007821D0">
        <w:rPr>
          <w:lang w:val="sr-Latn-ME"/>
        </w:rPr>
        <w:t>j</w:t>
      </w:r>
      <w:r w:rsidRPr="007821D0">
        <w:rPr>
          <w:lang w:val="sr-Latn-ME"/>
        </w:rPr>
        <w:t>eku 1,6 do 1,8 puta veće kod malog broja pacijenata koji su istovremeno l</w:t>
      </w:r>
      <w:r w:rsidR="00801048" w:rsidRPr="007821D0">
        <w:rPr>
          <w:lang w:val="sr-Latn-ME"/>
        </w:rPr>
        <w:t>ij</w:t>
      </w:r>
      <w:r w:rsidRPr="007821D0">
        <w:rPr>
          <w:lang w:val="sr-Latn-ME"/>
        </w:rPr>
        <w:t>ečeni verapamilom ili diltiazemom (um</w:t>
      </w:r>
      <w:r w:rsidR="00801048" w:rsidRPr="007821D0">
        <w:rPr>
          <w:lang w:val="sr-Latn-ME"/>
        </w:rPr>
        <w:t>j</w:t>
      </w:r>
      <w:r w:rsidRPr="007821D0">
        <w:rPr>
          <w:lang w:val="sr-Latn-ME"/>
        </w:rPr>
        <w:t>ereni inhibitori CYP3A4 i inhibitori P-glikoproteina) u poređenju sa ostalim pacijentima.</w:t>
      </w:r>
    </w:p>
    <w:p w14:paraId="46B46C63" w14:textId="77777777" w:rsidR="00EB62EC" w:rsidRPr="007821D0" w:rsidRDefault="00EB62EC" w:rsidP="007821D0">
      <w:pPr>
        <w:spacing w:after="0" w:line="240" w:lineRule="auto"/>
        <w:ind w:left="-5" w:right="3"/>
        <w:jc w:val="both"/>
        <w:rPr>
          <w:lang w:val="sr-Latn-ME"/>
        </w:rPr>
      </w:pPr>
    </w:p>
    <w:p w14:paraId="22A1039B" w14:textId="03B55E2A" w:rsidR="00284634" w:rsidRPr="007821D0" w:rsidRDefault="00313D4B" w:rsidP="007821D0">
      <w:pPr>
        <w:spacing w:after="0" w:line="240" w:lineRule="auto"/>
        <w:ind w:left="-5" w:right="3"/>
        <w:jc w:val="both"/>
        <w:rPr>
          <w:lang w:val="sr-Latn-ME"/>
        </w:rPr>
      </w:pPr>
      <w:r w:rsidRPr="007821D0">
        <w:rPr>
          <w:lang w:val="sr-Latn-ME"/>
        </w:rPr>
        <w:t xml:space="preserve">Dugotrajna, istovremena </w:t>
      </w:r>
      <w:r w:rsidR="00E602C2" w:rsidRPr="007821D0">
        <w:rPr>
          <w:lang w:val="sr-Latn-ME"/>
        </w:rPr>
        <w:t>primjena</w:t>
      </w:r>
      <w:r w:rsidRPr="007821D0">
        <w:rPr>
          <w:lang w:val="sr-Latn-ME"/>
        </w:rPr>
        <w:t xml:space="preserve"> dutasterida sa </w:t>
      </w:r>
      <w:r w:rsidR="009F2AF5" w:rsidRPr="007821D0">
        <w:rPr>
          <w:lang w:val="sr-Latn-ME"/>
        </w:rPr>
        <w:t>ljek</w:t>
      </w:r>
      <w:r w:rsidRPr="007821D0">
        <w:rPr>
          <w:lang w:val="sr-Latn-ME"/>
        </w:rPr>
        <w:t>ovima koji su snažni inhibitori izoenzima CYP3A4 (kao što su ritonavir, indinavir, nefazodon, itrakonazol, ketokonazol</w:t>
      </w:r>
      <w:r w:rsidR="00055D5D" w:rsidRPr="007821D0">
        <w:rPr>
          <w:lang w:val="sr-Latn-ME"/>
        </w:rPr>
        <w:t>,</w:t>
      </w:r>
      <w:r w:rsidRPr="007821D0">
        <w:rPr>
          <w:lang w:val="sr-Latn-ME"/>
        </w:rPr>
        <w:t xml:space="preserve"> koji se prim</w:t>
      </w:r>
      <w:r w:rsidR="00055D5D" w:rsidRPr="007821D0">
        <w:rPr>
          <w:lang w:val="sr-Latn-ME"/>
        </w:rPr>
        <w:t>j</w:t>
      </w:r>
      <w:r w:rsidRPr="007821D0">
        <w:rPr>
          <w:lang w:val="sr-Latn-ME"/>
        </w:rPr>
        <w:t>enjuju oralnim putem) može povećati koncentraciju dutasterida u serumu. Malo je v</w:t>
      </w:r>
      <w:r w:rsidR="00055D5D" w:rsidRPr="007821D0">
        <w:rPr>
          <w:lang w:val="sr-Latn-ME"/>
        </w:rPr>
        <w:t>j</w:t>
      </w:r>
      <w:r w:rsidRPr="007821D0">
        <w:rPr>
          <w:lang w:val="sr-Latn-ME"/>
        </w:rPr>
        <w:t>erovatna dalja inhibicija 5-alfa reduktaze pri produženoj izloženosti dutasteridu. Međutim, ukoliko dođe do pojave neželjenih dejstava, potrebno je razmotriti mogućnost smanjenja učestalosti doziranja dutasterida. U slučaju enzimske inhibicije, dugo poluvr</w:t>
      </w:r>
      <w:r w:rsidR="00801048" w:rsidRPr="007821D0">
        <w:rPr>
          <w:lang w:val="sr-Latn-ME"/>
        </w:rPr>
        <w:t>ij</w:t>
      </w:r>
      <w:r w:rsidRPr="007821D0">
        <w:rPr>
          <w:lang w:val="sr-Latn-ME"/>
        </w:rPr>
        <w:t>eme eliminacije može se dodatno produžiti i može biti potrebno više od 6 m</w:t>
      </w:r>
      <w:r w:rsidR="00801048" w:rsidRPr="007821D0">
        <w:rPr>
          <w:lang w:val="sr-Latn-ME"/>
        </w:rPr>
        <w:t>j</w:t>
      </w:r>
      <w:r w:rsidRPr="007821D0">
        <w:rPr>
          <w:lang w:val="sr-Latn-ME"/>
        </w:rPr>
        <w:t>eseci istovremene terapije do ponovnog postizanja stanja ravnoteže.</w:t>
      </w:r>
    </w:p>
    <w:p w14:paraId="161424B5" w14:textId="1B4F1F9D" w:rsidR="00284634" w:rsidRPr="007821D0" w:rsidRDefault="00E602C2" w:rsidP="007821D0">
      <w:pPr>
        <w:spacing w:after="0" w:line="240" w:lineRule="auto"/>
        <w:ind w:left="-5" w:right="3"/>
        <w:jc w:val="both"/>
        <w:rPr>
          <w:lang w:val="sr-Latn-ME"/>
        </w:rPr>
      </w:pPr>
      <w:r w:rsidRPr="007821D0">
        <w:rPr>
          <w:lang w:val="sr-Latn-ME"/>
        </w:rPr>
        <w:t>Primjena</w:t>
      </w:r>
      <w:r w:rsidR="00313D4B" w:rsidRPr="007821D0">
        <w:rPr>
          <w:lang w:val="sr-Latn-ME"/>
        </w:rPr>
        <w:t xml:space="preserve"> 12 g holestiramina jedan sat nakon prim</w:t>
      </w:r>
      <w:r w:rsidR="00801048" w:rsidRPr="007821D0">
        <w:rPr>
          <w:lang w:val="sr-Latn-ME"/>
        </w:rPr>
        <w:t>j</w:t>
      </w:r>
      <w:r w:rsidR="00313D4B" w:rsidRPr="007821D0">
        <w:rPr>
          <w:lang w:val="sr-Latn-ME"/>
        </w:rPr>
        <w:t>ene pojedinačne doze dutasterida od 5 mg ne utiče na farmakokinetiku dutasterida.</w:t>
      </w:r>
    </w:p>
    <w:p w14:paraId="05AC659C" w14:textId="77777777" w:rsidR="00EB62EC" w:rsidRPr="007821D0" w:rsidRDefault="00EB62EC" w:rsidP="007821D0">
      <w:pPr>
        <w:pStyle w:val="Heading2"/>
        <w:spacing w:after="0" w:line="240" w:lineRule="auto"/>
        <w:ind w:left="-5"/>
        <w:jc w:val="both"/>
        <w:rPr>
          <w:lang w:val="sr-Latn-ME"/>
        </w:rPr>
      </w:pPr>
    </w:p>
    <w:p w14:paraId="1DD0ED9A" w14:textId="5FEA12AD" w:rsidR="00284634" w:rsidRPr="007821D0" w:rsidRDefault="00313D4B" w:rsidP="007821D0">
      <w:pPr>
        <w:pStyle w:val="Heading2"/>
        <w:spacing w:after="0" w:line="240" w:lineRule="auto"/>
        <w:ind w:left="-5"/>
        <w:jc w:val="both"/>
        <w:rPr>
          <w:lang w:val="sr-Latn-ME"/>
        </w:rPr>
      </w:pPr>
      <w:r w:rsidRPr="007821D0">
        <w:rPr>
          <w:lang w:val="sr-Latn-ME"/>
        </w:rPr>
        <w:t xml:space="preserve">Uticaj dutasterida na farmakokinetiku drugih </w:t>
      </w:r>
      <w:r w:rsidR="009F2AF5" w:rsidRPr="007821D0">
        <w:rPr>
          <w:lang w:val="sr-Latn-ME"/>
        </w:rPr>
        <w:t>ljek</w:t>
      </w:r>
      <w:r w:rsidRPr="007821D0">
        <w:rPr>
          <w:lang w:val="sr-Latn-ME"/>
        </w:rPr>
        <w:t>ova</w:t>
      </w:r>
    </w:p>
    <w:p w14:paraId="278AA631" w14:textId="77777777" w:rsidR="00EB62EC" w:rsidRPr="007821D0" w:rsidRDefault="00EB62EC" w:rsidP="007821D0">
      <w:pPr>
        <w:spacing w:after="0" w:line="240" w:lineRule="auto"/>
        <w:ind w:left="-5" w:right="3"/>
        <w:jc w:val="both"/>
        <w:rPr>
          <w:lang w:val="sr-Latn-ME"/>
        </w:rPr>
      </w:pPr>
    </w:p>
    <w:p w14:paraId="7337E91C" w14:textId="45C480D5" w:rsidR="00284634" w:rsidRPr="007821D0" w:rsidRDefault="00313D4B" w:rsidP="007821D0">
      <w:pPr>
        <w:spacing w:after="0" w:line="240" w:lineRule="auto"/>
        <w:ind w:left="-5" w:right="3"/>
        <w:jc w:val="both"/>
        <w:rPr>
          <w:lang w:val="sr-Latn-ME"/>
        </w:rPr>
      </w:pPr>
      <w:r w:rsidRPr="007821D0">
        <w:rPr>
          <w:lang w:val="sr-Latn-ME"/>
        </w:rPr>
        <w:t>Dutasterid nema uticaj na farmakokinetiku varfarina ili digoksina. Iz navedenog se može zaključiti da dutasterid ne inhibira/indukuje CYP2C9 niti transport</w:t>
      </w:r>
      <w:r w:rsidR="00C52ABC" w:rsidRPr="007821D0">
        <w:rPr>
          <w:lang w:val="sr-Latn-ME"/>
        </w:rPr>
        <w:t>ni</w:t>
      </w:r>
      <w:r w:rsidRPr="007821D0">
        <w:rPr>
          <w:lang w:val="sr-Latn-ME"/>
        </w:rPr>
        <w:t xml:space="preserve"> P-glikoprotein. Studije interakcij</w:t>
      </w:r>
      <w:r w:rsidR="003C6C4C" w:rsidRPr="007821D0">
        <w:rPr>
          <w:lang w:val="sr-Latn-ME"/>
        </w:rPr>
        <w:t>a</w:t>
      </w:r>
      <w:r w:rsidRPr="007821D0">
        <w:rPr>
          <w:lang w:val="sr-Latn-ME"/>
        </w:rPr>
        <w:t xml:space="preserve"> </w:t>
      </w:r>
      <w:r w:rsidRPr="007821D0">
        <w:rPr>
          <w:i/>
          <w:lang w:val="sr-Latn-ME"/>
        </w:rPr>
        <w:t xml:space="preserve">in vitro </w:t>
      </w:r>
      <w:r w:rsidRPr="007821D0">
        <w:rPr>
          <w:lang w:val="sr-Latn-ME"/>
        </w:rPr>
        <w:t>ukazuju da dutasterid ne inhibira izoenzime CYP1A2, CYP2D6, CYP2C9, CYP2C19 ili CYP3A4.</w:t>
      </w:r>
    </w:p>
    <w:p w14:paraId="42F6D1E8" w14:textId="76C70101" w:rsidR="00284634" w:rsidRPr="007821D0" w:rsidRDefault="00313D4B" w:rsidP="007821D0">
      <w:pPr>
        <w:spacing w:after="0" w:line="240" w:lineRule="auto"/>
        <w:ind w:left="-5" w:right="3"/>
        <w:jc w:val="both"/>
        <w:rPr>
          <w:lang w:val="sr-Latn-ME"/>
        </w:rPr>
      </w:pPr>
      <w:r w:rsidRPr="007821D0">
        <w:rPr>
          <w:lang w:val="sr-Latn-ME"/>
        </w:rPr>
        <w:t>U malom ispitivanju na zdravim muškarcima (N=24) u trajanju od dv</w:t>
      </w:r>
      <w:r w:rsidR="00801048" w:rsidRPr="007821D0">
        <w:rPr>
          <w:lang w:val="sr-Latn-ME"/>
        </w:rPr>
        <w:t>ij</w:t>
      </w:r>
      <w:r w:rsidRPr="007821D0">
        <w:rPr>
          <w:lang w:val="sr-Latn-ME"/>
        </w:rPr>
        <w:t>e ned</w:t>
      </w:r>
      <w:r w:rsidR="003C6C4C" w:rsidRPr="007821D0">
        <w:rPr>
          <w:lang w:val="sr-Latn-ME"/>
        </w:rPr>
        <w:t>j</w:t>
      </w:r>
      <w:r w:rsidRPr="007821D0">
        <w:rPr>
          <w:lang w:val="sr-Latn-ME"/>
        </w:rPr>
        <w:t>elje, nije prim</w:t>
      </w:r>
      <w:r w:rsidR="00801048" w:rsidRPr="007821D0">
        <w:rPr>
          <w:lang w:val="sr-Latn-ME"/>
        </w:rPr>
        <w:t>ij</w:t>
      </w:r>
      <w:r w:rsidRPr="007821D0">
        <w:rPr>
          <w:lang w:val="sr-Latn-ME"/>
        </w:rPr>
        <w:t>ećen uticaj dutasterida (0,5 mg dnevno) na farmakokinetiku tamsulosina ili terazosina. U navedenom ispitivanju ni</w:t>
      </w:r>
      <w:r w:rsidR="003C6C4C" w:rsidRPr="007821D0">
        <w:rPr>
          <w:lang w:val="sr-Latn-ME"/>
        </w:rPr>
        <w:t>je</w:t>
      </w:r>
      <w:r w:rsidRPr="007821D0">
        <w:rPr>
          <w:lang w:val="sr-Latn-ME"/>
        </w:rPr>
        <w:t>su prim</w:t>
      </w:r>
      <w:r w:rsidR="00801048" w:rsidRPr="007821D0">
        <w:rPr>
          <w:lang w:val="sr-Latn-ME"/>
        </w:rPr>
        <w:t>ij</w:t>
      </w:r>
      <w:r w:rsidRPr="007821D0">
        <w:rPr>
          <w:lang w:val="sr-Latn-ME"/>
        </w:rPr>
        <w:t xml:space="preserve">ećene </w:t>
      </w:r>
      <w:r w:rsidR="003C6C4C" w:rsidRPr="007821D0">
        <w:rPr>
          <w:lang w:val="sr-Latn-ME"/>
        </w:rPr>
        <w:t xml:space="preserve">ni </w:t>
      </w:r>
      <w:r w:rsidRPr="007821D0">
        <w:rPr>
          <w:lang w:val="sr-Latn-ME"/>
        </w:rPr>
        <w:t>farmakodinamske interakcije.</w:t>
      </w:r>
    </w:p>
    <w:p w14:paraId="22E3F278" w14:textId="77777777" w:rsidR="00EB62EC" w:rsidRPr="007821D0" w:rsidRDefault="00EB62EC" w:rsidP="007821D0">
      <w:pPr>
        <w:spacing w:after="0" w:line="240" w:lineRule="auto"/>
        <w:ind w:left="-5"/>
        <w:rPr>
          <w:b/>
          <w:lang w:val="sr-Latn-ME"/>
        </w:rPr>
      </w:pPr>
    </w:p>
    <w:p w14:paraId="11DF7924" w14:textId="4BE1721F" w:rsidR="00284634" w:rsidRPr="007821D0" w:rsidRDefault="00313D4B" w:rsidP="007821D0">
      <w:pPr>
        <w:spacing w:after="0" w:line="240" w:lineRule="auto"/>
        <w:ind w:left="-5"/>
        <w:rPr>
          <w:lang w:val="sr-Latn-ME"/>
        </w:rPr>
      </w:pPr>
      <w:r w:rsidRPr="007821D0">
        <w:rPr>
          <w:b/>
          <w:lang w:val="sr-Latn-ME"/>
        </w:rPr>
        <w:t>4.6. Plodnost, trudnoća i dojenje</w:t>
      </w:r>
    </w:p>
    <w:p w14:paraId="212D0B57" w14:textId="77777777" w:rsidR="00EB62EC" w:rsidRPr="007821D0" w:rsidRDefault="00EB62EC" w:rsidP="007821D0">
      <w:pPr>
        <w:spacing w:after="0" w:line="240" w:lineRule="auto"/>
        <w:ind w:left="-5" w:right="3"/>
        <w:jc w:val="both"/>
        <w:rPr>
          <w:lang w:val="sr-Latn-ME"/>
        </w:rPr>
      </w:pPr>
    </w:p>
    <w:p w14:paraId="453714F9" w14:textId="6CEED34C" w:rsidR="00284634" w:rsidRPr="007821D0" w:rsidRDefault="00E602C2" w:rsidP="007821D0">
      <w:pPr>
        <w:spacing w:after="0" w:line="240" w:lineRule="auto"/>
        <w:ind w:left="-5" w:right="3"/>
        <w:jc w:val="both"/>
        <w:rPr>
          <w:lang w:val="sr-Latn-ME"/>
        </w:rPr>
      </w:pPr>
      <w:r w:rsidRPr="007821D0">
        <w:rPr>
          <w:lang w:val="sr-Latn-ME"/>
        </w:rPr>
        <w:t>Primjena</w:t>
      </w:r>
      <w:r w:rsidR="00313D4B" w:rsidRPr="007821D0">
        <w:rPr>
          <w:lang w:val="sr-Latn-ME"/>
        </w:rPr>
        <w:t xml:space="preserve"> </w:t>
      </w:r>
      <w:r w:rsidR="009F2AF5" w:rsidRPr="007821D0">
        <w:rPr>
          <w:lang w:val="sr-Latn-ME"/>
        </w:rPr>
        <w:t>lijek</w:t>
      </w:r>
      <w:r w:rsidR="00313D4B" w:rsidRPr="007821D0">
        <w:rPr>
          <w:lang w:val="sr-Latn-ME"/>
        </w:rPr>
        <w:t>a Dutasterid Sandoz je kontraindikovana kod žena.</w:t>
      </w:r>
    </w:p>
    <w:p w14:paraId="60681808" w14:textId="77777777" w:rsidR="00EB62EC" w:rsidRPr="007821D0" w:rsidRDefault="00EB62EC" w:rsidP="007821D0">
      <w:pPr>
        <w:pStyle w:val="Heading2"/>
        <w:spacing w:after="0" w:line="240" w:lineRule="auto"/>
        <w:ind w:left="-5"/>
        <w:jc w:val="both"/>
        <w:rPr>
          <w:lang w:val="sr-Latn-ME"/>
        </w:rPr>
      </w:pPr>
    </w:p>
    <w:p w14:paraId="64FFA374" w14:textId="5F5BD0DA" w:rsidR="003C6C4C" w:rsidRPr="007821D0" w:rsidRDefault="003C6C4C" w:rsidP="007821D0">
      <w:pPr>
        <w:pStyle w:val="Heading2"/>
        <w:spacing w:after="0" w:line="240" w:lineRule="auto"/>
        <w:ind w:left="-5"/>
        <w:jc w:val="both"/>
        <w:rPr>
          <w:lang w:val="sr-Latn-ME"/>
        </w:rPr>
      </w:pPr>
      <w:r w:rsidRPr="007821D0">
        <w:rPr>
          <w:lang w:val="sr-Latn-ME"/>
        </w:rPr>
        <w:t>Plodnost</w:t>
      </w:r>
    </w:p>
    <w:p w14:paraId="3E2E93CC" w14:textId="47B6B61A" w:rsidR="003C6C4C" w:rsidRPr="007821D0" w:rsidRDefault="003C6C4C" w:rsidP="007821D0">
      <w:pPr>
        <w:spacing w:after="0" w:line="240" w:lineRule="auto"/>
        <w:ind w:left="-5" w:right="3"/>
        <w:jc w:val="both"/>
        <w:rPr>
          <w:lang w:val="sr-Latn-ME"/>
        </w:rPr>
      </w:pPr>
      <w:r w:rsidRPr="007821D0">
        <w:rPr>
          <w:lang w:val="sr-Latn-ME"/>
        </w:rPr>
        <w:t xml:space="preserve">Postoje izvještaji o uticaju dutasterida na karakteristike sperme (smanjenje broja spermatozoida, zapremine sperme i pokretljivosti spermatozoida) kod zdravih muškaraca (vidjeti dio 5.1). </w:t>
      </w:r>
    </w:p>
    <w:p w14:paraId="1BE8E037" w14:textId="77777777" w:rsidR="003C6C4C" w:rsidRPr="007821D0" w:rsidRDefault="003C6C4C" w:rsidP="007821D0">
      <w:pPr>
        <w:spacing w:after="0" w:line="240" w:lineRule="auto"/>
        <w:ind w:left="-5" w:right="3"/>
        <w:jc w:val="both"/>
        <w:rPr>
          <w:lang w:val="sr-Latn-ME"/>
        </w:rPr>
      </w:pPr>
      <w:r w:rsidRPr="007821D0">
        <w:rPr>
          <w:lang w:val="sr-Latn-ME"/>
        </w:rPr>
        <w:t xml:space="preserve">Ne može se isključiti mogućnost smanjenja plodnosti kod muškaraca. </w:t>
      </w:r>
    </w:p>
    <w:p w14:paraId="3712E461" w14:textId="77777777" w:rsidR="00EB62EC" w:rsidRPr="007821D0" w:rsidRDefault="00EB62EC" w:rsidP="007821D0">
      <w:pPr>
        <w:pStyle w:val="Heading2"/>
        <w:spacing w:after="0" w:line="240" w:lineRule="auto"/>
        <w:ind w:left="-5"/>
        <w:jc w:val="both"/>
        <w:rPr>
          <w:lang w:val="sr-Latn-ME"/>
        </w:rPr>
      </w:pPr>
    </w:p>
    <w:p w14:paraId="6D2C6574" w14:textId="1109912B" w:rsidR="00284634" w:rsidRPr="007821D0" w:rsidRDefault="00313D4B" w:rsidP="007821D0">
      <w:pPr>
        <w:pStyle w:val="Heading2"/>
        <w:spacing w:after="0" w:line="240" w:lineRule="auto"/>
        <w:ind w:left="-5"/>
        <w:jc w:val="both"/>
        <w:rPr>
          <w:lang w:val="sr-Latn-ME"/>
        </w:rPr>
      </w:pPr>
      <w:r w:rsidRPr="007821D0">
        <w:rPr>
          <w:lang w:val="sr-Latn-ME"/>
        </w:rPr>
        <w:t>Trudnoća</w:t>
      </w:r>
    </w:p>
    <w:p w14:paraId="5B3CFA8A" w14:textId="28C5B4D9" w:rsidR="00284634" w:rsidRPr="007821D0" w:rsidRDefault="00313D4B" w:rsidP="007821D0">
      <w:pPr>
        <w:spacing w:after="0" w:line="240" w:lineRule="auto"/>
        <w:ind w:left="-5" w:right="3"/>
        <w:jc w:val="both"/>
        <w:rPr>
          <w:lang w:val="sr-Latn-ME"/>
        </w:rPr>
      </w:pPr>
      <w:r w:rsidRPr="007821D0">
        <w:rPr>
          <w:lang w:val="sr-Latn-ME"/>
        </w:rPr>
        <w:t>Kao i drugi inhibitori 5-alfa reduktaze, dutasterid inhibira konverziju testosterona u dihidrotestosteron i može, ukoliko ga prim</w:t>
      </w:r>
      <w:r w:rsidR="00801048" w:rsidRPr="007821D0">
        <w:rPr>
          <w:lang w:val="sr-Latn-ME"/>
        </w:rPr>
        <w:t>ij</w:t>
      </w:r>
      <w:r w:rsidRPr="007821D0">
        <w:rPr>
          <w:lang w:val="sr-Latn-ME"/>
        </w:rPr>
        <w:t>eni žena koja nosi fetus muškog pola, spr</w:t>
      </w:r>
      <w:r w:rsidR="003C6C4C" w:rsidRPr="007821D0">
        <w:rPr>
          <w:lang w:val="sr-Latn-ME"/>
        </w:rPr>
        <w:t>ij</w:t>
      </w:r>
      <w:r w:rsidRPr="007821D0">
        <w:rPr>
          <w:lang w:val="sr-Latn-ME"/>
        </w:rPr>
        <w:t>ečiti razvoj spoljašnjih genitalija fetusa (</w:t>
      </w:r>
      <w:r w:rsidR="00E602C2" w:rsidRPr="007821D0">
        <w:rPr>
          <w:lang w:val="sr-Latn-ME"/>
        </w:rPr>
        <w:t>vidjeti</w:t>
      </w:r>
      <w:r w:rsidRPr="007821D0">
        <w:rPr>
          <w:lang w:val="sr-Latn-ME"/>
        </w:rPr>
        <w:t xml:space="preserve"> </w:t>
      </w:r>
      <w:r w:rsidR="003C6C4C" w:rsidRPr="007821D0">
        <w:rPr>
          <w:lang w:val="sr-Latn-ME"/>
        </w:rPr>
        <w:t xml:space="preserve">dio </w:t>
      </w:r>
      <w:r w:rsidRPr="007821D0">
        <w:rPr>
          <w:lang w:val="sr-Latn-ME"/>
        </w:rPr>
        <w:t>4.4). Pronađene su male količine dutasterida u spermi ispitanika koji prim</w:t>
      </w:r>
      <w:r w:rsidR="00801048" w:rsidRPr="007821D0">
        <w:rPr>
          <w:lang w:val="sr-Latn-ME"/>
        </w:rPr>
        <w:t>j</w:t>
      </w:r>
      <w:r w:rsidRPr="007821D0">
        <w:rPr>
          <w:lang w:val="sr-Latn-ME"/>
        </w:rPr>
        <w:t xml:space="preserve">enjuju 0,5 mg dutasterida dnevno. Nije poznato da li će doći do pojave neželjenih </w:t>
      </w:r>
      <w:r w:rsidR="003C6C4C" w:rsidRPr="007821D0">
        <w:rPr>
          <w:lang w:val="sr-Latn-ME"/>
        </w:rPr>
        <w:t xml:space="preserve">uticaja </w:t>
      </w:r>
      <w:r w:rsidRPr="007821D0">
        <w:rPr>
          <w:lang w:val="sr-Latn-ME"/>
        </w:rPr>
        <w:t>na fetus muškog pola ukoliko je majka izložena spermi pacijenta koji je na terapiji dutasteridom (rizik je najveći tokom prvih 16 ned</w:t>
      </w:r>
      <w:r w:rsidR="003C6C4C" w:rsidRPr="007821D0">
        <w:rPr>
          <w:lang w:val="sr-Latn-ME"/>
        </w:rPr>
        <w:t>j</w:t>
      </w:r>
      <w:r w:rsidRPr="007821D0">
        <w:rPr>
          <w:lang w:val="sr-Latn-ME"/>
        </w:rPr>
        <w:t xml:space="preserve">elja trudnoće). </w:t>
      </w:r>
    </w:p>
    <w:p w14:paraId="21EE2615" w14:textId="77777777" w:rsidR="00EB62EC" w:rsidRPr="007821D0" w:rsidRDefault="00EB62EC" w:rsidP="007821D0">
      <w:pPr>
        <w:spacing w:after="0" w:line="240" w:lineRule="auto"/>
        <w:ind w:left="-5" w:right="3"/>
        <w:jc w:val="both"/>
        <w:rPr>
          <w:lang w:val="sr-Latn-ME"/>
        </w:rPr>
      </w:pPr>
    </w:p>
    <w:p w14:paraId="4D647372" w14:textId="193F06A2" w:rsidR="00284634" w:rsidRPr="007821D0" w:rsidRDefault="00313D4B" w:rsidP="007821D0">
      <w:pPr>
        <w:spacing w:after="0" w:line="240" w:lineRule="auto"/>
        <w:ind w:left="-5" w:right="3"/>
        <w:jc w:val="both"/>
        <w:rPr>
          <w:lang w:val="sr-Latn-ME"/>
        </w:rPr>
      </w:pPr>
      <w:r w:rsidRPr="007821D0">
        <w:rPr>
          <w:lang w:val="sr-Latn-ME"/>
        </w:rPr>
        <w:t>Kao i kod svih inhibitora 5-alfa reduktaze, ukoliko je partnerka pacijenta koji je na terapiji dutasteridom u drugom stanju ili postoji mogućnost da je u drugom stanju, preporučuje se upotreba kondoma u cilju sprečavanja izloženosti partnerke spermi pacijenta.</w:t>
      </w:r>
    </w:p>
    <w:p w14:paraId="242F57AD" w14:textId="77777777" w:rsidR="00EB62EC" w:rsidRPr="007821D0" w:rsidRDefault="00EB62EC" w:rsidP="007821D0">
      <w:pPr>
        <w:spacing w:after="0" w:line="240" w:lineRule="auto"/>
        <w:ind w:left="-5" w:right="3"/>
        <w:jc w:val="both"/>
        <w:rPr>
          <w:lang w:val="sr-Latn-ME"/>
        </w:rPr>
      </w:pPr>
    </w:p>
    <w:p w14:paraId="21ADCB29" w14:textId="43B7B4CF" w:rsidR="00284634" w:rsidRPr="007821D0" w:rsidRDefault="00313D4B" w:rsidP="007821D0">
      <w:pPr>
        <w:spacing w:after="0" w:line="240" w:lineRule="auto"/>
        <w:ind w:left="-5" w:right="3"/>
        <w:jc w:val="both"/>
        <w:rPr>
          <w:lang w:val="sr-Latn-ME"/>
        </w:rPr>
      </w:pPr>
      <w:r w:rsidRPr="007821D0">
        <w:rPr>
          <w:lang w:val="sr-Latn-ME"/>
        </w:rPr>
        <w:t xml:space="preserve">Za informacije o pretkliničkim podacima, </w:t>
      </w:r>
      <w:r w:rsidR="00E602C2" w:rsidRPr="007821D0">
        <w:rPr>
          <w:lang w:val="sr-Latn-ME"/>
        </w:rPr>
        <w:t>vidjeti</w:t>
      </w:r>
      <w:r w:rsidRPr="007821D0">
        <w:rPr>
          <w:lang w:val="sr-Latn-ME"/>
        </w:rPr>
        <w:t xml:space="preserve"> </w:t>
      </w:r>
      <w:r w:rsidR="003C6C4C" w:rsidRPr="007821D0">
        <w:rPr>
          <w:lang w:val="sr-Latn-ME"/>
        </w:rPr>
        <w:t xml:space="preserve">dio </w:t>
      </w:r>
      <w:r w:rsidRPr="007821D0">
        <w:rPr>
          <w:lang w:val="sr-Latn-ME"/>
        </w:rPr>
        <w:t>5.3.</w:t>
      </w:r>
    </w:p>
    <w:p w14:paraId="3BAB164E" w14:textId="77777777" w:rsidR="00EB62EC" w:rsidRPr="007821D0" w:rsidRDefault="00EB62EC" w:rsidP="007821D0">
      <w:pPr>
        <w:spacing w:after="0" w:line="240" w:lineRule="auto"/>
        <w:ind w:left="-5"/>
        <w:jc w:val="both"/>
        <w:rPr>
          <w:u w:val="single" w:color="000000"/>
          <w:lang w:val="sr-Latn-ME"/>
        </w:rPr>
      </w:pPr>
    </w:p>
    <w:p w14:paraId="2357A935" w14:textId="52E87A5D" w:rsidR="00284634" w:rsidRPr="007821D0" w:rsidRDefault="00313D4B" w:rsidP="007821D0">
      <w:pPr>
        <w:spacing w:after="0" w:line="240" w:lineRule="auto"/>
        <w:ind w:left="-5"/>
        <w:jc w:val="both"/>
        <w:rPr>
          <w:lang w:val="sr-Latn-ME"/>
        </w:rPr>
      </w:pPr>
      <w:r w:rsidRPr="007821D0">
        <w:rPr>
          <w:u w:val="single" w:color="000000"/>
          <w:lang w:val="sr-Latn-ME"/>
        </w:rPr>
        <w:t>Dojenje</w:t>
      </w:r>
    </w:p>
    <w:p w14:paraId="75030A67" w14:textId="73FA82AF" w:rsidR="00284634" w:rsidRPr="007821D0" w:rsidRDefault="00313D4B" w:rsidP="007821D0">
      <w:pPr>
        <w:spacing w:after="0" w:line="240" w:lineRule="auto"/>
        <w:ind w:left="-5" w:right="3"/>
        <w:jc w:val="both"/>
        <w:rPr>
          <w:lang w:val="sr-Latn-ME"/>
        </w:rPr>
      </w:pPr>
      <w:r w:rsidRPr="007821D0">
        <w:rPr>
          <w:lang w:val="sr-Latn-ME"/>
        </w:rPr>
        <w:t>Nije poznato da li se dutasterid izlučuje u majčino m</w:t>
      </w:r>
      <w:r w:rsidR="009F2AF5" w:rsidRPr="007821D0">
        <w:rPr>
          <w:lang w:val="sr-Latn-ME"/>
        </w:rPr>
        <w:t>lijek</w:t>
      </w:r>
      <w:r w:rsidRPr="007821D0">
        <w:rPr>
          <w:lang w:val="sr-Latn-ME"/>
        </w:rPr>
        <w:t>o.</w:t>
      </w:r>
    </w:p>
    <w:p w14:paraId="0E0E1BAB" w14:textId="77777777" w:rsidR="00EB62EC" w:rsidRPr="007821D0" w:rsidRDefault="00EB62EC" w:rsidP="007821D0">
      <w:pPr>
        <w:pStyle w:val="Heading3"/>
        <w:spacing w:after="0" w:line="240" w:lineRule="auto"/>
        <w:ind w:left="-5"/>
        <w:rPr>
          <w:lang w:val="sr-Latn-ME"/>
        </w:rPr>
      </w:pPr>
    </w:p>
    <w:p w14:paraId="27877994" w14:textId="79A04A14" w:rsidR="00284634" w:rsidRPr="007821D0" w:rsidRDefault="00313D4B" w:rsidP="007821D0">
      <w:pPr>
        <w:pStyle w:val="Heading3"/>
        <w:spacing w:after="0" w:line="240" w:lineRule="auto"/>
        <w:ind w:left="-5"/>
        <w:rPr>
          <w:lang w:val="sr-Latn-ME"/>
        </w:rPr>
      </w:pPr>
      <w:r w:rsidRPr="007821D0">
        <w:rPr>
          <w:lang w:val="sr-Latn-ME"/>
        </w:rPr>
        <w:t xml:space="preserve">4.7. Uticaj </w:t>
      </w:r>
      <w:r w:rsidR="009F2AF5" w:rsidRPr="007821D0">
        <w:rPr>
          <w:lang w:val="sr-Latn-ME"/>
        </w:rPr>
        <w:t>lijek</w:t>
      </w:r>
      <w:r w:rsidRPr="007821D0">
        <w:rPr>
          <w:lang w:val="sr-Latn-ME"/>
        </w:rPr>
        <w:t>a na sposobnost upravljanja vozilima i rukovanj</w:t>
      </w:r>
      <w:r w:rsidR="00D05C0E" w:rsidRPr="007821D0">
        <w:rPr>
          <w:lang w:val="sr-Latn-ME"/>
        </w:rPr>
        <w:t>e</w:t>
      </w:r>
      <w:r w:rsidRPr="007821D0">
        <w:rPr>
          <w:lang w:val="sr-Latn-ME"/>
        </w:rPr>
        <w:t xml:space="preserve"> mašinama</w:t>
      </w:r>
    </w:p>
    <w:p w14:paraId="51D62304" w14:textId="77777777" w:rsidR="00EB62EC" w:rsidRPr="007821D0" w:rsidRDefault="00EB62EC" w:rsidP="007821D0">
      <w:pPr>
        <w:spacing w:after="0" w:line="240" w:lineRule="auto"/>
        <w:ind w:left="-5" w:right="3"/>
        <w:jc w:val="both"/>
        <w:rPr>
          <w:lang w:val="sr-Latn-ME"/>
        </w:rPr>
      </w:pPr>
    </w:p>
    <w:p w14:paraId="134FF57D" w14:textId="37EB1D77" w:rsidR="00284634" w:rsidRPr="007821D0" w:rsidRDefault="00313D4B" w:rsidP="007821D0">
      <w:pPr>
        <w:spacing w:after="0" w:line="240" w:lineRule="auto"/>
        <w:ind w:left="-5" w:right="3"/>
        <w:jc w:val="both"/>
        <w:rPr>
          <w:lang w:val="sr-Latn-ME"/>
        </w:rPr>
      </w:pPr>
      <w:r w:rsidRPr="007821D0">
        <w:rPr>
          <w:lang w:val="sr-Latn-ME"/>
        </w:rPr>
        <w:t>Na osnovu farmakodinamičkih svojstava dutasterida, ne očekuje se da terapija dutasteridom utiče na sposobnost upravljanja vozilima ili rukovanja mašinama.</w:t>
      </w:r>
    </w:p>
    <w:p w14:paraId="18FDC019" w14:textId="77777777" w:rsidR="00EB62EC" w:rsidRPr="007821D0" w:rsidRDefault="00EB62EC" w:rsidP="007821D0">
      <w:pPr>
        <w:spacing w:after="0" w:line="240" w:lineRule="auto"/>
        <w:ind w:left="-5"/>
        <w:rPr>
          <w:b/>
          <w:lang w:val="sr-Latn-ME"/>
        </w:rPr>
      </w:pPr>
    </w:p>
    <w:p w14:paraId="7D898443" w14:textId="6BD65813" w:rsidR="00284634" w:rsidRPr="007821D0" w:rsidRDefault="00313D4B" w:rsidP="007821D0">
      <w:pPr>
        <w:spacing w:after="0" w:line="240" w:lineRule="auto"/>
        <w:ind w:left="-5"/>
        <w:rPr>
          <w:lang w:val="sr-Latn-ME"/>
        </w:rPr>
      </w:pPr>
      <w:r w:rsidRPr="007821D0">
        <w:rPr>
          <w:b/>
          <w:lang w:val="sr-Latn-ME"/>
        </w:rPr>
        <w:t>4.8. Neželjena dejstva</w:t>
      </w:r>
    </w:p>
    <w:p w14:paraId="1B285DD9" w14:textId="77777777" w:rsidR="00EB62EC" w:rsidRPr="007821D0" w:rsidRDefault="00EB62EC" w:rsidP="007821D0">
      <w:pPr>
        <w:pStyle w:val="Heading1"/>
        <w:spacing w:after="0" w:line="240" w:lineRule="auto"/>
        <w:ind w:left="-5"/>
        <w:rPr>
          <w:lang w:val="sr-Latn-ME"/>
        </w:rPr>
      </w:pPr>
    </w:p>
    <w:p w14:paraId="1FA405F6" w14:textId="6115C4B6" w:rsidR="00284634" w:rsidRPr="007821D0" w:rsidRDefault="00E602C2" w:rsidP="007821D0">
      <w:pPr>
        <w:pStyle w:val="Heading1"/>
        <w:spacing w:after="0" w:line="240" w:lineRule="auto"/>
        <w:ind w:left="-5"/>
        <w:rPr>
          <w:lang w:val="sr-Latn-ME"/>
        </w:rPr>
      </w:pPr>
      <w:r w:rsidRPr="007821D0">
        <w:rPr>
          <w:lang w:val="sr-Latn-ME"/>
        </w:rPr>
        <w:t>Primjena</w:t>
      </w:r>
      <w:r w:rsidR="00313D4B" w:rsidRPr="007821D0">
        <w:rPr>
          <w:lang w:val="sr-Latn-ME"/>
        </w:rPr>
        <w:t xml:space="preserve"> dutasterida u monoterapiji</w:t>
      </w:r>
    </w:p>
    <w:p w14:paraId="1B9D2253" w14:textId="77777777" w:rsidR="00EB62EC" w:rsidRPr="007821D0" w:rsidRDefault="00EB62EC" w:rsidP="007821D0">
      <w:pPr>
        <w:spacing w:after="0" w:line="240" w:lineRule="auto"/>
        <w:ind w:left="-5" w:right="3"/>
        <w:rPr>
          <w:lang w:val="sr-Latn-ME"/>
        </w:rPr>
      </w:pPr>
    </w:p>
    <w:p w14:paraId="72857F83" w14:textId="1546DC27" w:rsidR="00284634" w:rsidRPr="007821D0" w:rsidRDefault="00313D4B" w:rsidP="007821D0">
      <w:pPr>
        <w:spacing w:after="0" w:line="240" w:lineRule="auto"/>
        <w:ind w:left="-5" w:right="3"/>
        <w:jc w:val="both"/>
        <w:rPr>
          <w:lang w:val="sr-Latn-ME"/>
        </w:rPr>
      </w:pPr>
      <w:r w:rsidRPr="007821D0">
        <w:rPr>
          <w:lang w:val="sr-Latn-ME"/>
        </w:rPr>
        <w:t>Kod približno 19% od ukupno 2167 pacijenata koji su uzimali dutasterid tokom perioda od dv</w:t>
      </w:r>
      <w:r w:rsidR="00801048" w:rsidRPr="007821D0">
        <w:rPr>
          <w:lang w:val="sr-Latn-ME"/>
        </w:rPr>
        <w:t>ij</w:t>
      </w:r>
      <w:r w:rsidRPr="007821D0">
        <w:rPr>
          <w:lang w:val="sr-Latn-ME"/>
        </w:rPr>
        <w:t>e godine u fazi III placebo-kontrolisanih kliničkih ispitivanja, tokom prve godine terapije došlo je do pojave neželjenih dejstava. Većina neželjenih dejstava ispoljila se na reproduktivnom sistemu i bila su blaga do um</w:t>
      </w:r>
      <w:r w:rsidR="00801048" w:rsidRPr="007821D0">
        <w:rPr>
          <w:lang w:val="sr-Latn-ME"/>
        </w:rPr>
        <w:t>j</w:t>
      </w:r>
      <w:r w:rsidRPr="007821D0">
        <w:rPr>
          <w:lang w:val="sr-Latn-ME"/>
        </w:rPr>
        <w:t>erena. Nije došlo do prom</w:t>
      </w:r>
      <w:r w:rsidR="00801048" w:rsidRPr="007821D0">
        <w:rPr>
          <w:lang w:val="sr-Latn-ME"/>
        </w:rPr>
        <w:t>j</w:t>
      </w:r>
      <w:r w:rsidRPr="007821D0">
        <w:rPr>
          <w:lang w:val="sr-Latn-ME"/>
        </w:rPr>
        <w:t xml:space="preserve">ene profila neželjenih događaja tokom naredne 2 godine u okviru produženih otvorenih kliničkih ispitivanja. </w:t>
      </w:r>
    </w:p>
    <w:p w14:paraId="3EB65679" w14:textId="77777777" w:rsidR="00EB62EC" w:rsidRPr="007821D0" w:rsidRDefault="00EB62EC" w:rsidP="007821D0">
      <w:pPr>
        <w:spacing w:after="0" w:line="240" w:lineRule="auto"/>
        <w:ind w:left="-5" w:right="3"/>
        <w:jc w:val="both"/>
        <w:rPr>
          <w:lang w:val="sr-Latn-ME"/>
        </w:rPr>
      </w:pPr>
    </w:p>
    <w:p w14:paraId="0679B9EE" w14:textId="778741FF" w:rsidR="00284634" w:rsidRPr="007821D0" w:rsidRDefault="00313D4B" w:rsidP="007821D0">
      <w:pPr>
        <w:spacing w:after="0" w:line="240" w:lineRule="auto"/>
        <w:ind w:left="-5" w:right="3"/>
        <w:jc w:val="both"/>
        <w:rPr>
          <w:lang w:val="sr-Latn-ME"/>
        </w:rPr>
      </w:pPr>
      <w:r w:rsidRPr="007821D0">
        <w:rPr>
          <w:lang w:val="sr-Latn-ME"/>
        </w:rPr>
        <w:t>U dol</w:t>
      </w:r>
      <w:r w:rsidR="00801048" w:rsidRPr="007821D0">
        <w:rPr>
          <w:lang w:val="sr-Latn-ME"/>
        </w:rPr>
        <w:t>j</w:t>
      </w:r>
      <w:r w:rsidRPr="007821D0">
        <w:rPr>
          <w:lang w:val="sr-Latn-ME"/>
        </w:rPr>
        <w:t xml:space="preserve">e navedenoj tabeli prikazane su neželjene reakcije dobijene iz kontrolisanih kliničkih ispitivanja i postmarketinškog praćenja. Navedeni neželjeni događaji, dobijeni iz kliničkih ispitivanja </w:t>
      </w:r>
      <w:r w:rsidR="007D6015" w:rsidRPr="007821D0">
        <w:rPr>
          <w:lang w:val="sr-Latn-ME"/>
        </w:rPr>
        <w:t>i</w:t>
      </w:r>
      <w:r w:rsidRPr="007821D0">
        <w:rPr>
          <w:lang w:val="sr-Latn-ME"/>
        </w:rPr>
        <w:t xml:space="preserve"> prema proc</w:t>
      </w:r>
      <w:r w:rsidR="00801048" w:rsidRPr="007821D0">
        <w:rPr>
          <w:lang w:val="sr-Latn-ME"/>
        </w:rPr>
        <w:t>j</w:t>
      </w:r>
      <w:r w:rsidRPr="007821D0">
        <w:rPr>
          <w:lang w:val="sr-Latn-ME"/>
        </w:rPr>
        <w:t>eni ispitivača povezan</w:t>
      </w:r>
      <w:r w:rsidR="007D6015" w:rsidRPr="007821D0">
        <w:rPr>
          <w:lang w:val="sr-Latn-ME"/>
        </w:rPr>
        <w:t>i</w:t>
      </w:r>
      <w:r w:rsidRPr="007821D0">
        <w:rPr>
          <w:lang w:val="sr-Latn-ME"/>
        </w:rPr>
        <w:t xml:space="preserve"> </w:t>
      </w:r>
      <w:r w:rsidR="007D6015" w:rsidRPr="007821D0">
        <w:rPr>
          <w:lang w:val="sr-Latn-ME"/>
        </w:rPr>
        <w:t>s</w:t>
      </w:r>
      <w:r w:rsidRPr="007821D0">
        <w:rPr>
          <w:lang w:val="sr-Latn-ME"/>
        </w:rPr>
        <w:t>a prim</w:t>
      </w:r>
      <w:r w:rsidR="007D6015" w:rsidRPr="007821D0">
        <w:rPr>
          <w:lang w:val="sr-Latn-ME"/>
        </w:rPr>
        <w:t>j</w:t>
      </w:r>
      <w:r w:rsidRPr="007821D0">
        <w:rPr>
          <w:lang w:val="sr-Latn-ME"/>
        </w:rPr>
        <w:t>en</w:t>
      </w:r>
      <w:r w:rsidR="007D6015" w:rsidRPr="007821D0">
        <w:rPr>
          <w:lang w:val="sr-Latn-ME"/>
        </w:rPr>
        <w:t>om</w:t>
      </w:r>
      <w:r w:rsidRPr="007821D0">
        <w:rPr>
          <w:lang w:val="sr-Latn-ME"/>
        </w:rPr>
        <w:t xml:space="preserve"> </w:t>
      </w:r>
      <w:r w:rsidR="009F2AF5" w:rsidRPr="007821D0">
        <w:rPr>
          <w:lang w:val="sr-Latn-ME"/>
        </w:rPr>
        <w:t>lijek</w:t>
      </w:r>
      <w:r w:rsidRPr="007821D0">
        <w:rPr>
          <w:lang w:val="sr-Latn-ME"/>
        </w:rPr>
        <w:t>a (sa incidencom većom ili jednakom 1%), javljal</w:t>
      </w:r>
      <w:r w:rsidR="007D6015" w:rsidRPr="007821D0">
        <w:rPr>
          <w:lang w:val="sr-Latn-ME"/>
        </w:rPr>
        <w:t>i</w:t>
      </w:r>
      <w:r w:rsidRPr="007821D0">
        <w:rPr>
          <w:lang w:val="sr-Latn-ME"/>
        </w:rPr>
        <w:t xml:space="preserve"> su se sa većom incidencom kod pacijenata koji su bili na terapiji dutasteridom u odnosu na placebo tokom prve godine terapije. Neželjeni događaji tokom postmarketinškog praćenja prikupljeni su iz spontanih prijava; stoga je prava incidenca nepoznata.</w:t>
      </w:r>
    </w:p>
    <w:p w14:paraId="39BF26BC" w14:textId="77777777" w:rsidR="00EB62EC" w:rsidRPr="007821D0" w:rsidRDefault="00EB62EC" w:rsidP="007821D0">
      <w:pPr>
        <w:spacing w:after="0" w:line="240" w:lineRule="auto"/>
        <w:ind w:left="-5" w:right="3"/>
        <w:jc w:val="both"/>
        <w:rPr>
          <w:lang w:val="sr-Latn-ME"/>
        </w:rPr>
      </w:pPr>
    </w:p>
    <w:p w14:paraId="06DEA453" w14:textId="46D01552" w:rsidR="00284634" w:rsidRPr="007821D0" w:rsidRDefault="00313D4B" w:rsidP="007821D0">
      <w:pPr>
        <w:spacing w:after="0" w:line="240" w:lineRule="auto"/>
        <w:ind w:left="-5" w:right="3"/>
        <w:jc w:val="both"/>
        <w:rPr>
          <w:lang w:val="sr-Latn-ME"/>
        </w:rPr>
      </w:pPr>
      <w:r w:rsidRPr="007821D0">
        <w:rPr>
          <w:lang w:val="sr-Latn-ME"/>
        </w:rPr>
        <w:t>Veoma često (≥ 1/10), često (≥ 1/100 do &lt; 1/10), povremeno (≥ 1/1000 do &lt; 1/100), r</w:t>
      </w:r>
      <w:r w:rsidR="009660E2" w:rsidRPr="007821D0">
        <w:rPr>
          <w:lang w:val="sr-Latn-ME"/>
        </w:rPr>
        <w:t>ij</w:t>
      </w:r>
      <w:r w:rsidRPr="007821D0">
        <w:rPr>
          <w:lang w:val="sr-Latn-ME"/>
        </w:rPr>
        <w:t>etko (≥ 1/10000 do &lt; 1/1000), veoma r</w:t>
      </w:r>
      <w:r w:rsidR="009660E2" w:rsidRPr="007821D0">
        <w:rPr>
          <w:lang w:val="sr-Latn-ME"/>
        </w:rPr>
        <w:t>ij</w:t>
      </w:r>
      <w:r w:rsidRPr="007821D0">
        <w:rPr>
          <w:lang w:val="sr-Latn-ME"/>
        </w:rPr>
        <w:t>etko (&lt; 1/10000), nepoznato (ne može se proc</w:t>
      </w:r>
      <w:r w:rsidR="00DB797F" w:rsidRPr="007821D0">
        <w:rPr>
          <w:lang w:val="sr-Latn-ME"/>
        </w:rPr>
        <w:t>ij</w:t>
      </w:r>
      <w:r w:rsidRPr="007821D0">
        <w:rPr>
          <w:lang w:val="sr-Latn-ME"/>
        </w:rPr>
        <w:t>eniti na osnovu dostupnih podataka).</w:t>
      </w:r>
    </w:p>
    <w:p w14:paraId="3BF14372" w14:textId="77777777" w:rsidR="00EB62EC" w:rsidRPr="007821D0" w:rsidRDefault="00EB62EC" w:rsidP="007821D0">
      <w:pPr>
        <w:spacing w:after="0" w:line="240" w:lineRule="auto"/>
        <w:ind w:left="-5" w:right="3"/>
        <w:jc w:val="both"/>
        <w:rPr>
          <w:lang w:val="sr-Latn-ME"/>
        </w:rPr>
      </w:pPr>
    </w:p>
    <w:tbl>
      <w:tblPr>
        <w:tblStyle w:val="TableGrid"/>
        <w:tblW w:w="9859" w:type="dxa"/>
        <w:tblInd w:w="-110" w:type="dxa"/>
        <w:tblCellMar>
          <w:top w:w="46" w:type="dxa"/>
          <w:left w:w="106" w:type="dxa"/>
          <w:bottom w:w="5" w:type="dxa"/>
          <w:right w:w="130" w:type="dxa"/>
        </w:tblCellMar>
        <w:tblLook w:val="04A0" w:firstRow="1" w:lastRow="0" w:firstColumn="1" w:lastColumn="0" w:noHBand="0" w:noVBand="1"/>
      </w:tblPr>
      <w:tblGrid>
        <w:gridCol w:w="2693"/>
        <w:gridCol w:w="2947"/>
        <w:gridCol w:w="1944"/>
        <w:gridCol w:w="2275"/>
      </w:tblGrid>
      <w:tr w:rsidR="00284634" w:rsidRPr="007821D0" w14:paraId="20EC023F" w14:textId="77777777">
        <w:trPr>
          <w:trHeight w:val="514"/>
        </w:trPr>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2652B4DC" w14:textId="77777777" w:rsidR="00284634" w:rsidRPr="007821D0" w:rsidRDefault="00313D4B" w:rsidP="007821D0">
            <w:pPr>
              <w:spacing w:after="0" w:line="240" w:lineRule="auto"/>
              <w:ind w:left="15" w:firstLine="0"/>
              <w:jc w:val="center"/>
              <w:rPr>
                <w:lang w:val="sr-Latn-ME"/>
              </w:rPr>
            </w:pPr>
            <w:r w:rsidRPr="007821D0">
              <w:rPr>
                <w:b/>
                <w:lang w:val="sr-Latn-ME"/>
              </w:rPr>
              <w:t>Klasa sistema organa</w:t>
            </w:r>
          </w:p>
        </w:tc>
        <w:tc>
          <w:tcPr>
            <w:tcW w:w="2947" w:type="dxa"/>
            <w:vMerge w:val="restart"/>
            <w:tcBorders>
              <w:top w:val="single" w:sz="4" w:space="0" w:color="000000"/>
              <w:left w:val="single" w:sz="4" w:space="0" w:color="000000"/>
              <w:bottom w:val="single" w:sz="4" w:space="0" w:color="000000"/>
              <w:right w:val="single" w:sz="4" w:space="0" w:color="000000"/>
            </w:tcBorders>
            <w:vAlign w:val="center"/>
          </w:tcPr>
          <w:p w14:paraId="4DF111F2" w14:textId="77777777" w:rsidR="00284634" w:rsidRPr="007821D0" w:rsidRDefault="00313D4B" w:rsidP="007821D0">
            <w:pPr>
              <w:spacing w:after="0" w:line="240" w:lineRule="auto"/>
              <w:ind w:left="20" w:firstLine="0"/>
              <w:jc w:val="center"/>
              <w:rPr>
                <w:lang w:val="sr-Latn-ME"/>
              </w:rPr>
            </w:pPr>
            <w:r w:rsidRPr="007821D0">
              <w:rPr>
                <w:b/>
                <w:lang w:val="sr-Latn-ME"/>
              </w:rPr>
              <w:t>Neželjena reakcija</w:t>
            </w:r>
          </w:p>
        </w:tc>
        <w:tc>
          <w:tcPr>
            <w:tcW w:w="4219" w:type="dxa"/>
            <w:gridSpan w:val="2"/>
            <w:tcBorders>
              <w:top w:val="single" w:sz="4" w:space="0" w:color="000000"/>
              <w:left w:val="single" w:sz="4" w:space="0" w:color="000000"/>
              <w:bottom w:val="single" w:sz="4" w:space="0" w:color="000000"/>
              <w:right w:val="single" w:sz="4" w:space="0" w:color="000000"/>
            </w:tcBorders>
          </w:tcPr>
          <w:p w14:paraId="344A4955" w14:textId="77777777" w:rsidR="00284634" w:rsidRPr="007821D0" w:rsidRDefault="00313D4B" w:rsidP="007821D0">
            <w:pPr>
              <w:spacing w:after="0" w:line="240" w:lineRule="auto"/>
              <w:ind w:left="30" w:firstLine="0"/>
              <w:jc w:val="center"/>
              <w:rPr>
                <w:lang w:val="sr-Latn-ME"/>
              </w:rPr>
            </w:pPr>
            <w:r w:rsidRPr="007821D0">
              <w:rPr>
                <w:b/>
                <w:lang w:val="sr-Latn-ME"/>
              </w:rPr>
              <w:t>Incidenca na osnovu podataka dobijenih iz kliničkih ispitivanja</w:t>
            </w:r>
          </w:p>
        </w:tc>
      </w:tr>
      <w:tr w:rsidR="00284634" w:rsidRPr="007821D0" w14:paraId="0D0A91A6" w14:textId="77777777">
        <w:trPr>
          <w:trHeight w:val="768"/>
        </w:trPr>
        <w:tc>
          <w:tcPr>
            <w:tcW w:w="0" w:type="auto"/>
            <w:vMerge/>
            <w:tcBorders>
              <w:top w:val="nil"/>
              <w:left w:val="single" w:sz="4" w:space="0" w:color="000000"/>
              <w:bottom w:val="single" w:sz="4" w:space="0" w:color="000000"/>
              <w:right w:val="single" w:sz="4" w:space="0" w:color="000000"/>
            </w:tcBorders>
          </w:tcPr>
          <w:p w14:paraId="191EDF7D" w14:textId="77777777" w:rsidR="00284634" w:rsidRPr="007821D0" w:rsidRDefault="00284634" w:rsidP="007821D0">
            <w:pPr>
              <w:spacing w:after="0" w:line="240" w:lineRule="auto"/>
              <w:ind w:left="0" w:firstLine="0"/>
              <w:rPr>
                <w:lang w:val="sr-Latn-ME"/>
              </w:rPr>
            </w:pPr>
          </w:p>
        </w:tc>
        <w:tc>
          <w:tcPr>
            <w:tcW w:w="0" w:type="auto"/>
            <w:vMerge/>
            <w:tcBorders>
              <w:top w:val="nil"/>
              <w:left w:val="single" w:sz="4" w:space="0" w:color="000000"/>
              <w:bottom w:val="single" w:sz="4" w:space="0" w:color="000000"/>
              <w:right w:val="single" w:sz="4" w:space="0" w:color="000000"/>
            </w:tcBorders>
          </w:tcPr>
          <w:p w14:paraId="50708584" w14:textId="77777777" w:rsidR="00284634" w:rsidRPr="007821D0" w:rsidRDefault="00284634" w:rsidP="007821D0">
            <w:pPr>
              <w:spacing w:after="0" w:line="240" w:lineRule="auto"/>
              <w:ind w:left="0" w:firstLine="0"/>
              <w:rPr>
                <w:lang w:val="sr-Latn-ME"/>
              </w:rPr>
            </w:pPr>
          </w:p>
        </w:tc>
        <w:tc>
          <w:tcPr>
            <w:tcW w:w="1944" w:type="dxa"/>
            <w:tcBorders>
              <w:top w:val="single" w:sz="4" w:space="0" w:color="000000"/>
              <w:left w:val="single" w:sz="4" w:space="0" w:color="000000"/>
              <w:bottom w:val="single" w:sz="4" w:space="0" w:color="000000"/>
              <w:right w:val="single" w:sz="4" w:space="0" w:color="000000"/>
            </w:tcBorders>
          </w:tcPr>
          <w:p w14:paraId="07BF0142" w14:textId="77777777" w:rsidR="00284634" w:rsidRPr="007821D0" w:rsidRDefault="00313D4B" w:rsidP="007821D0">
            <w:pPr>
              <w:spacing w:after="0" w:line="240" w:lineRule="auto"/>
              <w:ind w:left="86" w:firstLine="0"/>
              <w:rPr>
                <w:lang w:val="sr-Latn-ME"/>
              </w:rPr>
            </w:pPr>
            <w:r w:rsidRPr="007821D0">
              <w:rPr>
                <w:b/>
                <w:lang w:val="sr-Latn-ME"/>
              </w:rPr>
              <w:t>Incidenca tokom</w:t>
            </w:r>
          </w:p>
          <w:p w14:paraId="459FEE75" w14:textId="77777777" w:rsidR="00284634" w:rsidRPr="007821D0" w:rsidRDefault="00313D4B" w:rsidP="007821D0">
            <w:pPr>
              <w:spacing w:after="0" w:line="240" w:lineRule="auto"/>
              <w:ind w:left="0" w:firstLine="0"/>
              <w:jc w:val="center"/>
              <w:rPr>
                <w:lang w:val="sr-Latn-ME"/>
              </w:rPr>
            </w:pPr>
            <w:r w:rsidRPr="007821D0">
              <w:rPr>
                <w:b/>
                <w:lang w:val="sr-Latn-ME"/>
              </w:rPr>
              <w:t>1. godine terapije (n=2167)</w:t>
            </w:r>
          </w:p>
        </w:tc>
        <w:tc>
          <w:tcPr>
            <w:tcW w:w="2275" w:type="dxa"/>
            <w:tcBorders>
              <w:top w:val="single" w:sz="4" w:space="0" w:color="000000"/>
              <w:left w:val="single" w:sz="4" w:space="0" w:color="000000"/>
              <w:bottom w:val="single" w:sz="4" w:space="0" w:color="000000"/>
              <w:right w:val="single" w:sz="4" w:space="0" w:color="000000"/>
            </w:tcBorders>
          </w:tcPr>
          <w:p w14:paraId="238BE229" w14:textId="77777777" w:rsidR="00284634" w:rsidRPr="007821D0" w:rsidRDefault="00313D4B" w:rsidP="007821D0">
            <w:pPr>
              <w:spacing w:after="0" w:line="240" w:lineRule="auto"/>
              <w:ind w:left="0" w:firstLine="0"/>
              <w:jc w:val="center"/>
              <w:rPr>
                <w:lang w:val="sr-Latn-ME"/>
              </w:rPr>
            </w:pPr>
            <w:r w:rsidRPr="007821D0">
              <w:rPr>
                <w:b/>
                <w:lang w:val="sr-Latn-ME"/>
              </w:rPr>
              <w:t>Incidenca tokom 2. godine terapije</w:t>
            </w:r>
          </w:p>
          <w:p w14:paraId="487008B3" w14:textId="77777777" w:rsidR="00284634" w:rsidRPr="007821D0" w:rsidRDefault="00313D4B" w:rsidP="007821D0">
            <w:pPr>
              <w:spacing w:after="0" w:line="240" w:lineRule="auto"/>
              <w:ind w:left="22" w:firstLine="0"/>
              <w:jc w:val="center"/>
              <w:rPr>
                <w:lang w:val="sr-Latn-ME"/>
              </w:rPr>
            </w:pPr>
            <w:r w:rsidRPr="007821D0">
              <w:rPr>
                <w:b/>
                <w:lang w:val="sr-Latn-ME"/>
              </w:rPr>
              <w:t>(n=1744)</w:t>
            </w:r>
          </w:p>
        </w:tc>
      </w:tr>
      <w:tr w:rsidR="00284634" w:rsidRPr="007821D0" w14:paraId="1931918E" w14:textId="77777777">
        <w:trPr>
          <w:trHeight w:val="264"/>
        </w:trPr>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69823FE1" w14:textId="77777777" w:rsidR="00284634" w:rsidRPr="007821D0" w:rsidRDefault="00313D4B" w:rsidP="007821D0">
            <w:pPr>
              <w:spacing w:after="0" w:line="240" w:lineRule="auto"/>
              <w:ind w:left="5" w:firstLine="0"/>
              <w:jc w:val="both"/>
              <w:rPr>
                <w:lang w:val="sr-Latn-ME"/>
              </w:rPr>
            </w:pPr>
            <w:r w:rsidRPr="007821D0">
              <w:rPr>
                <w:lang w:val="sr-Latn-ME"/>
              </w:rPr>
              <w:t>Poremećaji reproduktivnog sistema i dojki</w:t>
            </w:r>
          </w:p>
        </w:tc>
        <w:tc>
          <w:tcPr>
            <w:tcW w:w="2947" w:type="dxa"/>
            <w:tcBorders>
              <w:top w:val="single" w:sz="4" w:space="0" w:color="000000"/>
              <w:left w:val="single" w:sz="4" w:space="0" w:color="000000"/>
              <w:bottom w:val="single" w:sz="4" w:space="0" w:color="000000"/>
              <w:right w:val="single" w:sz="4" w:space="0" w:color="000000"/>
            </w:tcBorders>
          </w:tcPr>
          <w:p w14:paraId="44D98BE1" w14:textId="77777777" w:rsidR="00284634" w:rsidRPr="007821D0" w:rsidRDefault="00313D4B" w:rsidP="007821D0">
            <w:pPr>
              <w:spacing w:after="0" w:line="240" w:lineRule="auto"/>
              <w:ind w:left="0" w:firstLine="0"/>
              <w:rPr>
                <w:lang w:val="sr-Latn-ME"/>
              </w:rPr>
            </w:pPr>
            <w:r w:rsidRPr="007821D0">
              <w:rPr>
                <w:lang w:val="sr-Latn-ME"/>
              </w:rPr>
              <w:t>Impotencija*</w:t>
            </w:r>
          </w:p>
        </w:tc>
        <w:tc>
          <w:tcPr>
            <w:tcW w:w="1944" w:type="dxa"/>
            <w:tcBorders>
              <w:top w:val="single" w:sz="4" w:space="0" w:color="000000"/>
              <w:left w:val="single" w:sz="4" w:space="0" w:color="000000"/>
              <w:bottom w:val="single" w:sz="4" w:space="0" w:color="000000"/>
              <w:right w:val="single" w:sz="4" w:space="0" w:color="000000"/>
            </w:tcBorders>
          </w:tcPr>
          <w:p w14:paraId="68D81B37" w14:textId="77777777" w:rsidR="00284634" w:rsidRPr="007821D0" w:rsidRDefault="00313D4B" w:rsidP="007821D0">
            <w:pPr>
              <w:spacing w:after="0" w:line="240" w:lineRule="auto"/>
              <w:ind w:left="31" w:firstLine="0"/>
              <w:jc w:val="center"/>
              <w:rPr>
                <w:lang w:val="sr-Latn-ME"/>
              </w:rPr>
            </w:pPr>
            <w:r w:rsidRPr="007821D0">
              <w:rPr>
                <w:lang w:val="sr-Latn-ME"/>
              </w:rPr>
              <w:t>6,0%</w:t>
            </w:r>
          </w:p>
        </w:tc>
        <w:tc>
          <w:tcPr>
            <w:tcW w:w="2275" w:type="dxa"/>
            <w:tcBorders>
              <w:top w:val="single" w:sz="4" w:space="0" w:color="000000"/>
              <w:left w:val="single" w:sz="4" w:space="0" w:color="000000"/>
              <w:bottom w:val="single" w:sz="4" w:space="0" w:color="000000"/>
              <w:right w:val="single" w:sz="4" w:space="0" w:color="000000"/>
            </w:tcBorders>
          </w:tcPr>
          <w:p w14:paraId="4598FD13" w14:textId="77777777" w:rsidR="00284634" w:rsidRPr="007821D0" w:rsidRDefault="00313D4B" w:rsidP="007821D0">
            <w:pPr>
              <w:spacing w:after="0" w:line="240" w:lineRule="auto"/>
              <w:ind w:left="36" w:firstLine="0"/>
              <w:jc w:val="center"/>
              <w:rPr>
                <w:lang w:val="sr-Latn-ME"/>
              </w:rPr>
            </w:pPr>
            <w:r w:rsidRPr="007821D0">
              <w:rPr>
                <w:lang w:val="sr-Latn-ME"/>
              </w:rPr>
              <w:t>1,7%</w:t>
            </w:r>
          </w:p>
        </w:tc>
      </w:tr>
      <w:tr w:rsidR="00284634" w:rsidRPr="007821D0" w14:paraId="417920A1" w14:textId="77777777">
        <w:trPr>
          <w:trHeight w:val="264"/>
        </w:trPr>
        <w:tc>
          <w:tcPr>
            <w:tcW w:w="0" w:type="auto"/>
            <w:vMerge/>
            <w:tcBorders>
              <w:top w:val="nil"/>
              <w:left w:val="single" w:sz="4" w:space="0" w:color="000000"/>
              <w:bottom w:val="nil"/>
              <w:right w:val="single" w:sz="4" w:space="0" w:color="000000"/>
            </w:tcBorders>
          </w:tcPr>
          <w:p w14:paraId="1DA9AB49" w14:textId="77777777" w:rsidR="00284634" w:rsidRPr="007821D0" w:rsidRDefault="00284634" w:rsidP="007821D0">
            <w:pPr>
              <w:spacing w:after="0" w:line="240" w:lineRule="auto"/>
              <w:ind w:left="0" w:firstLine="0"/>
              <w:rPr>
                <w:lang w:val="sr-Latn-ME"/>
              </w:rPr>
            </w:pPr>
          </w:p>
        </w:tc>
        <w:tc>
          <w:tcPr>
            <w:tcW w:w="2947" w:type="dxa"/>
            <w:tcBorders>
              <w:top w:val="single" w:sz="4" w:space="0" w:color="000000"/>
              <w:left w:val="single" w:sz="4" w:space="0" w:color="000000"/>
              <w:bottom w:val="single" w:sz="4" w:space="0" w:color="000000"/>
              <w:right w:val="single" w:sz="4" w:space="0" w:color="000000"/>
            </w:tcBorders>
          </w:tcPr>
          <w:p w14:paraId="111CD9ED" w14:textId="03D77847" w:rsidR="00284634" w:rsidRPr="007821D0" w:rsidRDefault="00313D4B" w:rsidP="007821D0">
            <w:pPr>
              <w:spacing w:after="0" w:line="240" w:lineRule="auto"/>
              <w:ind w:left="0" w:firstLine="0"/>
              <w:rPr>
                <w:lang w:val="sr-Latn-ME"/>
              </w:rPr>
            </w:pPr>
            <w:r w:rsidRPr="007821D0">
              <w:rPr>
                <w:lang w:val="sr-Latn-ME"/>
              </w:rPr>
              <w:t>Izm</w:t>
            </w:r>
            <w:r w:rsidR="0079280A" w:rsidRPr="007821D0">
              <w:rPr>
                <w:lang w:val="sr-Latn-ME"/>
              </w:rPr>
              <w:t>ij</w:t>
            </w:r>
            <w:r w:rsidRPr="007821D0">
              <w:rPr>
                <w:lang w:val="sr-Latn-ME"/>
              </w:rPr>
              <w:t>enjen (smanjen) libido*</w:t>
            </w:r>
          </w:p>
        </w:tc>
        <w:tc>
          <w:tcPr>
            <w:tcW w:w="1944" w:type="dxa"/>
            <w:tcBorders>
              <w:top w:val="single" w:sz="4" w:space="0" w:color="000000"/>
              <w:left w:val="single" w:sz="4" w:space="0" w:color="000000"/>
              <w:bottom w:val="single" w:sz="4" w:space="0" w:color="000000"/>
              <w:right w:val="single" w:sz="4" w:space="0" w:color="000000"/>
            </w:tcBorders>
          </w:tcPr>
          <w:p w14:paraId="1AE11ABD" w14:textId="77777777" w:rsidR="00284634" w:rsidRPr="007821D0" w:rsidRDefault="00313D4B" w:rsidP="007821D0">
            <w:pPr>
              <w:spacing w:after="0" w:line="240" w:lineRule="auto"/>
              <w:ind w:left="31" w:firstLine="0"/>
              <w:jc w:val="center"/>
              <w:rPr>
                <w:lang w:val="sr-Latn-ME"/>
              </w:rPr>
            </w:pPr>
            <w:r w:rsidRPr="007821D0">
              <w:rPr>
                <w:lang w:val="sr-Latn-ME"/>
              </w:rPr>
              <w:t>3,7%</w:t>
            </w:r>
          </w:p>
        </w:tc>
        <w:tc>
          <w:tcPr>
            <w:tcW w:w="2275" w:type="dxa"/>
            <w:tcBorders>
              <w:top w:val="single" w:sz="4" w:space="0" w:color="000000"/>
              <w:left w:val="single" w:sz="4" w:space="0" w:color="000000"/>
              <w:bottom w:val="single" w:sz="4" w:space="0" w:color="000000"/>
              <w:right w:val="single" w:sz="4" w:space="0" w:color="000000"/>
            </w:tcBorders>
          </w:tcPr>
          <w:p w14:paraId="48CB7CA2" w14:textId="77777777" w:rsidR="00284634" w:rsidRPr="007821D0" w:rsidRDefault="00313D4B" w:rsidP="007821D0">
            <w:pPr>
              <w:spacing w:after="0" w:line="240" w:lineRule="auto"/>
              <w:ind w:left="36" w:firstLine="0"/>
              <w:jc w:val="center"/>
              <w:rPr>
                <w:lang w:val="sr-Latn-ME"/>
              </w:rPr>
            </w:pPr>
            <w:r w:rsidRPr="007821D0">
              <w:rPr>
                <w:lang w:val="sr-Latn-ME"/>
              </w:rPr>
              <w:t>0,6%</w:t>
            </w:r>
          </w:p>
        </w:tc>
      </w:tr>
      <w:tr w:rsidR="00284634" w:rsidRPr="007821D0" w14:paraId="405A3CEE" w14:textId="77777777">
        <w:trPr>
          <w:trHeight w:val="264"/>
        </w:trPr>
        <w:tc>
          <w:tcPr>
            <w:tcW w:w="0" w:type="auto"/>
            <w:vMerge/>
            <w:tcBorders>
              <w:top w:val="nil"/>
              <w:left w:val="single" w:sz="4" w:space="0" w:color="000000"/>
              <w:bottom w:val="nil"/>
              <w:right w:val="single" w:sz="4" w:space="0" w:color="000000"/>
            </w:tcBorders>
          </w:tcPr>
          <w:p w14:paraId="5EE588CB" w14:textId="77777777" w:rsidR="00284634" w:rsidRPr="007821D0" w:rsidRDefault="00284634" w:rsidP="007821D0">
            <w:pPr>
              <w:spacing w:after="0" w:line="240" w:lineRule="auto"/>
              <w:ind w:left="0" w:firstLine="0"/>
              <w:rPr>
                <w:lang w:val="sr-Latn-ME"/>
              </w:rPr>
            </w:pPr>
          </w:p>
        </w:tc>
        <w:tc>
          <w:tcPr>
            <w:tcW w:w="2947" w:type="dxa"/>
            <w:tcBorders>
              <w:top w:val="single" w:sz="4" w:space="0" w:color="000000"/>
              <w:left w:val="single" w:sz="4" w:space="0" w:color="000000"/>
              <w:bottom w:val="single" w:sz="4" w:space="0" w:color="000000"/>
              <w:right w:val="single" w:sz="4" w:space="0" w:color="000000"/>
            </w:tcBorders>
          </w:tcPr>
          <w:p w14:paraId="26BDB874" w14:textId="77777777" w:rsidR="00284634" w:rsidRPr="007821D0" w:rsidRDefault="00313D4B" w:rsidP="007821D0">
            <w:pPr>
              <w:spacing w:after="0" w:line="240" w:lineRule="auto"/>
              <w:ind w:left="0" w:firstLine="0"/>
              <w:rPr>
                <w:lang w:val="sr-Latn-ME"/>
              </w:rPr>
            </w:pPr>
            <w:r w:rsidRPr="007821D0">
              <w:rPr>
                <w:lang w:val="sr-Latn-ME"/>
              </w:rPr>
              <w:t>Poremećaji ejakulacije*^</w:t>
            </w:r>
          </w:p>
        </w:tc>
        <w:tc>
          <w:tcPr>
            <w:tcW w:w="1944" w:type="dxa"/>
            <w:tcBorders>
              <w:top w:val="single" w:sz="4" w:space="0" w:color="000000"/>
              <w:left w:val="single" w:sz="4" w:space="0" w:color="000000"/>
              <w:bottom w:val="single" w:sz="4" w:space="0" w:color="000000"/>
              <w:right w:val="single" w:sz="4" w:space="0" w:color="000000"/>
            </w:tcBorders>
          </w:tcPr>
          <w:p w14:paraId="5759F269" w14:textId="77777777" w:rsidR="00284634" w:rsidRPr="007821D0" w:rsidRDefault="00313D4B" w:rsidP="007821D0">
            <w:pPr>
              <w:spacing w:after="0" w:line="240" w:lineRule="auto"/>
              <w:ind w:left="31" w:firstLine="0"/>
              <w:jc w:val="center"/>
              <w:rPr>
                <w:lang w:val="sr-Latn-ME"/>
              </w:rPr>
            </w:pPr>
            <w:r w:rsidRPr="007821D0">
              <w:rPr>
                <w:lang w:val="sr-Latn-ME"/>
              </w:rPr>
              <w:t>1,8%</w:t>
            </w:r>
          </w:p>
        </w:tc>
        <w:tc>
          <w:tcPr>
            <w:tcW w:w="2275" w:type="dxa"/>
            <w:tcBorders>
              <w:top w:val="single" w:sz="4" w:space="0" w:color="000000"/>
              <w:left w:val="single" w:sz="4" w:space="0" w:color="000000"/>
              <w:bottom w:val="single" w:sz="4" w:space="0" w:color="000000"/>
              <w:right w:val="single" w:sz="4" w:space="0" w:color="000000"/>
            </w:tcBorders>
          </w:tcPr>
          <w:p w14:paraId="30B58FCB" w14:textId="77777777" w:rsidR="00284634" w:rsidRPr="007821D0" w:rsidRDefault="00313D4B" w:rsidP="007821D0">
            <w:pPr>
              <w:spacing w:after="0" w:line="240" w:lineRule="auto"/>
              <w:ind w:left="36" w:firstLine="0"/>
              <w:jc w:val="center"/>
              <w:rPr>
                <w:lang w:val="sr-Latn-ME"/>
              </w:rPr>
            </w:pPr>
            <w:r w:rsidRPr="007821D0">
              <w:rPr>
                <w:lang w:val="sr-Latn-ME"/>
              </w:rPr>
              <w:t>0,5%</w:t>
            </w:r>
          </w:p>
        </w:tc>
      </w:tr>
      <w:tr w:rsidR="00284634" w:rsidRPr="007821D0" w14:paraId="258FA886" w14:textId="77777777">
        <w:trPr>
          <w:trHeight w:val="259"/>
        </w:trPr>
        <w:tc>
          <w:tcPr>
            <w:tcW w:w="0" w:type="auto"/>
            <w:vMerge/>
            <w:tcBorders>
              <w:top w:val="nil"/>
              <w:left w:val="single" w:sz="4" w:space="0" w:color="000000"/>
              <w:bottom w:val="single" w:sz="4" w:space="0" w:color="000000"/>
              <w:right w:val="single" w:sz="4" w:space="0" w:color="000000"/>
            </w:tcBorders>
          </w:tcPr>
          <w:p w14:paraId="60E05CA9" w14:textId="77777777" w:rsidR="00284634" w:rsidRPr="007821D0" w:rsidRDefault="00284634" w:rsidP="007821D0">
            <w:pPr>
              <w:spacing w:after="0" w:line="240" w:lineRule="auto"/>
              <w:ind w:left="0" w:firstLine="0"/>
              <w:rPr>
                <w:lang w:val="sr-Latn-ME"/>
              </w:rPr>
            </w:pPr>
          </w:p>
        </w:tc>
        <w:tc>
          <w:tcPr>
            <w:tcW w:w="2947" w:type="dxa"/>
            <w:tcBorders>
              <w:top w:val="single" w:sz="4" w:space="0" w:color="000000"/>
              <w:left w:val="single" w:sz="4" w:space="0" w:color="000000"/>
              <w:bottom w:val="single" w:sz="4" w:space="0" w:color="000000"/>
              <w:right w:val="single" w:sz="4" w:space="0" w:color="000000"/>
            </w:tcBorders>
          </w:tcPr>
          <w:p w14:paraId="1A4FB64F" w14:textId="77777777" w:rsidR="00284634" w:rsidRPr="007821D0" w:rsidRDefault="00313D4B" w:rsidP="007821D0">
            <w:pPr>
              <w:spacing w:after="0" w:line="240" w:lineRule="auto"/>
              <w:ind w:left="0" w:firstLine="0"/>
              <w:rPr>
                <w:lang w:val="sr-Latn-ME"/>
              </w:rPr>
            </w:pPr>
            <w:r w:rsidRPr="007821D0">
              <w:rPr>
                <w:lang w:val="sr-Latn-ME"/>
              </w:rPr>
              <w:t>Poremećaji dojki</w:t>
            </w:r>
            <w:r w:rsidRPr="007821D0">
              <w:rPr>
                <w:vertAlign w:val="superscript"/>
                <w:lang w:val="sr-Latn-ME"/>
              </w:rPr>
              <w:t>+</w:t>
            </w:r>
          </w:p>
        </w:tc>
        <w:tc>
          <w:tcPr>
            <w:tcW w:w="1944" w:type="dxa"/>
            <w:tcBorders>
              <w:top w:val="single" w:sz="4" w:space="0" w:color="000000"/>
              <w:left w:val="single" w:sz="4" w:space="0" w:color="000000"/>
              <w:bottom w:val="single" w:sz="4" w:space="0" w:color="000000"/>
              <w:right w:val="single" w:sz="4" w:space="0" w:color="000000"/>
            </w:tcBorders>
          </w:tcPr>
          <w:p w14:paraId="7F11B249" w14:textId="77777777" w:rsidR="00284634" w:rsidRPr="007821D0" w:rsidRDefault="00313D4B" w:rsidP="007821D0">
            <w:pPr>
              <w:spacing w:after="0" w:line="240" w:lineRule="auto"/>
              <w:ind w:left="31" w:firstLine="0"/>
              <w:jc w:val="center"/>
              <w:rPr>
                <w:lang w:val="sr-Latn-ME"/>
              </w:rPr>
            </w:pPr>
            <w:r w:rsidRPr="007821D0">
              <w:rPr>
                <w:lang w:val="sr-Latn-ME"/>
              </w:rPr>
              <w:t>1,3%</w:t>
            </w:r>
          </w:p>
        </w:tc>
        <w:tc>
          <w:tcPr>
            <w:tcW w:w="2275" w:type="dxa"/>
            <w:tcBorders>
              <w:top w:val="single" w:sz="4" w:space="0" w:color="000000"/>
              <w:left w:val="single" w:sz="4" w:space="0" w:color="000000"/>
              <w:bottom w:val="single" w:sz="4" w:space="0" w:color="000000"/>
              <w:right w:val="single" w:sz="4" w:space="0" w:color="000000"/>
            </w:tcBorders>
          </w:tcPr>
          <w:p w14:paraId="64F1A68F" w14:textId="77777777" w:rsidR="00284634" w:rsidRPr="007821D0" w:rsidRDefault="00313D4B" w:rsidP="007821D0">
            <w:pPr>
              <w:spacing w:after="0" w:line="240" w:lineRule="auto"/>
              <w:ind w:left="36" w:firstLine="0"/>
              <w:jc w:val="center"/>
              <w:rPr>
                <w:lang w:val="sr-Latn-ME"/>
              </w:rPr>
            </w:pPr>
            <w:r w:rsidRPr="007821D0">
              <w:rPr>
                <w:lang w:val="sr-Latn-ME"/>
              </w:rPr>
              <w:t>1,3%</w:t>
            </w:r>
          </w:p>
        </w:tc>
      </w:tr>
      <w:tr w:rsidR="00284634" w:rsidRPr="007821D0" w14:paraId="172430DD" w14:textId="77777777">
        <w:trPr>
          <w:trHeight w:val="518"/>
        </w:trPr>
        <w:tc>
          <w:tcPr>
            <w:tcW w:w="2693" w:type="dxa"/>
            <w:vMerge w:val="restart"/>
            <w:tcBorders>
              <w:top w:val="single" w:sz="4" w:space="0" w:color="000000"/>
              <w:left w:val="single" w:sz="4" w:space="0" w:color="000000"/>
              <w:bottom w:val="single" w:sz="4" w:space="0" w:color="000000"/>
              <w:right w:val="single" w:sz="4" w:space="0" w:color="000000"/>
            </w:tcBorders>
            <w:vAlign w:val="center"/>
          </w:tcPr>
          <w:p w14:paraId="1340D7BA" w14:textId="37CED663" w:rsidR="00284634" w:rsidRPr="007821D0" w:rsidRDefault="00313D4B" w:rsidP="007821D0">
            <w:pPr>
              <w:spacing w:after="0" w:line="240" w:lineRule="auto"/>
              <w:ind w:left="5" w:firstLine="0"/>
              <w:rPr>
                <w:lang w:val="sr-Latn-ME"/>
              </w:rPr>
            </w:pPr>
            <w:r w:rsidRPr="007821D0">
              <w:rPr>
                <w:lang w:val="sr-Latn-ME"/>
              </w:rPr>
              <w:t>Poremećaji imunog sistema</w:t>
            </w:r>
          </w:p>
        </w:tc>
        <w:tc>
          <w:tcPr>
            <w:tcW w:w="2947" w:type="dxa"/>
            <w:vMerge w:val="restart"/>
            <w:tcBorders>
              <w:top w:val="single" w:sz="4" w:space="0" w:color="000000"/>
              <w:left w:val="single" w:sz="4" w:space="0" w:color="000000"/>
              <w:bottom w:val="single" w:sz="4" w:space="0" w:color="000000"/>
              <w:right w:val="single" w:sz="4" w:space="0" w:color="000000"/>
            </w:tcBorders>
            <w:vAlign w:val="bottom"/>
          </w:tcPr>
          <w:p w14:paraId="39A0B324" w14:textId="77777777" w:rsidR="00284634" w:rsidRPr="007821D0" w:rsidRDefault="00313D4B" w:rsidP="007821D0">
            <w:pPr>
              <w:spacing w:after="0" w:line="240" w:lineRule="auto"/>
              <w:ind w:left="0" w:firstLine="0"/>
              <w:rPr>
                <w:lang w:val="sr-Latn-ME"/>
              </w:rPr>
            </w:pPr>
            <w:r w:rsidRPr="007821D0">
              <w:rPr>
                <w:lang w:val="sr-Latn-ME"/>
              </w:rPr>
              <w:t>Alergijske reakcije uključujući osip, pruritus, urtikariju, lokalizovani edem i angioedem</w:t>
            </w:r>
          </w:p>
        </w:tc>
        <w:tc>
          <w:tcPr>
            <w:tcW w:w="4219" w:type="dxa"/>
            <w:gridSpan w:val="2"/>
            <w:tcBorders>
              <w:top w:val="single" w:sz="4" w:space="0" w:color="000000"/>
              <w:left w:val="single" w:sz="4" w:space="0" w:color="000000"/>
              <w:bottom w:val="single" w:sz="4" w:space="0" w:color="000000"/>
              <w:right w:val="single" w:sz="4" w:space="0" w:color="000000"/>
            </w:tcBorders>
          </w:tcPr>
          <w:p w14:paraId="65054B3C" w14:textId="19700426" w:rsidR="00284634" w:rsidRPr="007821D0" w:rsidRDefault="00313D4B" w:rsidP="007821D0">
            <w:pPr>
              <w:spacing w:after="0" w:line="240" w:lineRule="auto"/>
              <w:ind w:left="0" w:firstLine="0"/>
              <w:jc w:val="center"/>
              <w:rPr>
                <w:lang w:val="sr-Latn-ME"/>
              </w:rPr>
            </w:pPr>
            <w:r w:rsidRPr="007821D0">
              <w:rPr>
                <w:b/>
                <w:lang w:val="sr-Latn-ME"/>
              </w:rPr>
              <w:t>Incidenca proc</w:t>
            </w:r>
            <w:r w:rsidR="009660E2" w:rsidRPr="007821D0">
              <w:rPr>
                <w:b/>
                <w:lang w:val="sr-Latn-ME"/>
              </w:rPr>
              <w:t>ij</w:t>
            </w:r>
            <w:r w:rsidRPr="007821D0">
              <w:rPr>
                <w:b/>
                <w:lang w:val="sr-Latn-ME"/>
              </w:rPr>
              <w:t>enjena na osnovu postmarketinških podataka</w:t>
            </w:r>
          </w:p>
        </w:tc>
      </w:tr>
      <w:tr w:rsidR="00284634" w:rsidRPr="007821D0" w14:paraId="07ACD213" w14:textId="77777777">
        <w:trPr>
          <w:trHeight w:val="1013"/>
        </w:trPr>
        <w:tc>
          <w:tcPr>
            <w:tcW w:w="0" w:type="auto"/>
            <w:vMerge/>
            <w:tcBorders>
              <w:top w:val="nil"/>
              <w:left w:val="single" w:sz="4" w:space="0" w:color="000000"/>
              <w:bottom w:val="single" w:sz="4" w:space="0" w:color="000000"/>
              <w:right w:val="single" w:sz="4" w:space="0" w:color="000000"/>
            </w:tcBorders>
          </w:tcPr>
          <w:p w14:paraId="62734F9F" w14:textId="77777777" w:rsidR="00284634" w:rsidRPr="007821D0" w:rsidRDefault="00284634" w:rsidP="007821D0">
            <w:pPr>
              <w:spacing w:after="0" w:line="240" w:lineRule="auto"/>
              <w:ind w:left="0" w:firstLine="0"/>
              <w:rPr>
                <w:lang w:val="sr-Latn-ME"/>
              </w:rPr>
            </w:pPr>
          </w:p>
        </w:tc>
        <w:tc>
          <w:tcPr>
            <w:tcW w:w="0" w:type="auto"/>
            <w:vMerge/>
            <w:tcBorders>
              <w:top w:val="nil"/>
              <w:left w:val="single" w:sz="4" w:space="0" w:color="000000"/>
              <w:bottom w:val="single" w:sz="4" w:space="0" w:color="000000"/>
              <w:right w:val="single" w:sz="4" w:space="0" w:color="000000"/>
            </w:tcBorders>
          </w:tcPr>
          <w:p w14:paraId="7CC26F95" w14:textId="77777777" w:rsidR="00284634" w:rsidRPr="007821D0" w:rsidRDefault="00284634" w:rsidP="007821D0">
            <w:pPr>
              <w:spacing w:after="0" w:line="240" w:lineRule="auto"/>
              <w:ind w:left="0" w:firstLine="0"/>
              <w:rPr>
                <w:lang w:val="sr-Latn-ME"/>
              </w:rPr>
            </w:pPr>
          </w:p>
        </w:tc>
        <w:tc>
          <w:tcPr>
            <w:tcW w:w="4219" w:type="dxa"/>
            <w:gridSpan w:val="2"/>
            <w:tcBorders>
              <w:top w:val="single" w:sz="4" w:space="0" w:color="000000"/>
              <w:left w:val="single" w:sz="4" w:space="0" w:color="000000"/>
              <w:bottom w:val="single" w:sz="4" w:space="0" w:color="000000"/>
              <w:right w:val="single" w:sz="4" w:space="0" w:color="000000"/>
            </w:tcBorders>
            <w:vAlign w:val="center"/>
          </w:tcPr>
          <w:p w14:paraId="4A3FABC0" w14:textId="77777777" w:rsidR="00284634" w:rsidRPr="007821D0" w:rsidRDefault="00313D4B" w:rsidP="007821D0">
            <w:pPr>
              <w:spacing w:after="0" w:line="240" w:lineRule="auto"/>
              <w:ind w:left="34" w:firstLine="0"/>
              <w:jc w:val="center"/>
              <w:rPr>
                <w:lang w:val="sr-Latn-ME"/>
              </w:rPr>
            </w:pPr>
            <w:r w:rsidRPr="007821D0">
              <w:rPr>
                <w:lang w:val="sr-Latn-ME"/>
              </w:rPr>
              <w:t>Nepoznato</w:t>
            </w:r>
          </w:p>
        </w:tc>
      </w:tr>
      <w:tr w:rsidR="00284634" w:rsidRPr="007821D0" w14:paraId="66C564E9" w14:textId="77777777">
        <w:trPr>
          <w:trHeight w:val="264"/>
        </w:trPr>
        <w:tc>
          <w:tcPr>
            <w:tcW w:w="2693" w:type="dxa"/>
            <w:tcBorders>
              <w:top w:val="single" w:sz="4" w:space="0" w:color="000000"/>
              <w:left w:val="single" w:sz="4" w:space="0" w:color="000000"/>
              <w:bottom w:val="single" w:sz="4" w:space="0" w:color="000000"/>
              <w:right w:val="single" w:sz="4" w:space="0" w:color="000000"/>
            </w:tcBorders>
          </w:tcPr>
          <w:p w14:paraId="0C03D6E8" w14:textId="77777777" w:rsidR="00284634" w:rsidRPr="007821D0" w:rsidRDefault="00313D4B" w:rsidP="007821D0">
            <w:pPr>
              <w:spacing w:after="0" w:line="240" w:lineRule="auto"/>
              <w:ind w:left="5" w:firstLine="0"/>
              <w:rPr>
                <w:lang w:val="sr-Latn-ME"/>
              </w:rPr>
            </w:pPr>
            <w:r w:rsidRPr="007821D0">
              <w:rPr>
                <w:lang w:val="sr-Latn-ME"/>
              </w:rPr>
              <w:t>Psihijatrijski poremećaji</w:t>
            </w:r>
          </w:p>
        </w:tc>
        <w:tc>
          <w:tcPr>
            <w:tcW w:w="2947" w:type="dxa"/>
            <w:tcBorders>
              <w:top w:val="single" w:sz="4" w:space="0" w:color="000000"/>
              <w:left w:val="single" w:sz="4" w:space="0" w:color="000000"/>
              <w:bottom w:val="single" w:sz="4" w:space="0" w:color="000000"/>
              <w:right w:val="single" w:sz="4" w:space="0" w:color="000000"/>
            </w:tcBorders>
          </w:tcPr>
          <w:p w14:paraId="0A583802" w14:textId="77777777" w:rsidR="00284634" w:rsidRPr="007821D0" w:rsidRDefault="00313D4B" w:rsidP="007821D0">
            <w:pPr>
              <w:spacing w:after="0" w:line="240" w:lineRule="auto"/>
              <w:ind w:left="0" w:firstLine="0"/>
              <w:rPr>
                <w:lang w:val="sr-Latn-ME"/>
              </w:rPr>
            </w:pPr>
            <w:r w:rsidRPr="007821D0">
              <w:rPr>
                <w:lang w:val="sr-Latn-ME"/>
              </w:rPr>
              <w:t>Depresija</w:t>
            </w:r>
          </w:p>
        </w:tc>
        <w:tc>
          <w:tcPr>
            <w:tcW w:w="4219" w:type="dxa"/>
            <w:gridSpan w:val="2"/>
            <w:tcBorders>
              <w:top w:val="single" w:sz="4" w:space="0" w:color="000000"/>
              <w:left w:val="single" w:sz="4" w:space="0" w:color="000000"/>
              <w:bottom w:val="single" w:sz="4" w:space="0" w:color="000000"/>
              <w:right w:val="single" w:sz="4" w:space="0" w:color="000000"/>
            </w:tcBorders>
          </w:tcPr>
          <w:p w14:paraId="75696144" w14:textId="77777777" w:rsidR="00284634" w:rsidRPr="007821D0" w:rsidRDefault="00313D4B" w:rsidP="007821D0">
            <w:pPr>
              <w:spacing w:after="0" w:line="240" w:lineRule="auto"/>
              <w:ind w:left="34" w:firstLine="0"/>
              <w:jc w:val="center"/>
              <w:rPr>
                <w:lang w:val="sr-Latn-ME"/>
              </w:rPr>
            </w:pPr>
            <w:r w:rsidRPr="007821D0">
              <w:rPr>
                <w:lang w:val="sr-Latn-ME"/>
              </w:rPr>
              <w:t>Nepoznato</w:t>
            </w:r>
          </w:p>
        </w:tc>
      </w:tr>
      <w:tr w:rsidR="00284634" w:rsidRPr="007821D0" w14:paraId="4FA2BD07" w14:textId="77777777">
        <w:trPr>
          <w:trHeight w:val="768"/>
        </w:trPr>
        <w:tc>
          <w:tcPr>
            <w:tcW w:w="2693" w:type="dxa"/>
            <w:tcBorders>
              <w:top w:val="single" w:sz="4" w:space="0" w:color="000000"/>
              <w:left w:val="single" w:sz="4" w:space="0" w:color="000000"/>
              <w:bottom w:val="single" w:sz="4" w:space="0" w:color="000000"/>
              <w:right w:val="single" w:sz="4" w:space="0" w:color="000000"/>
            </w:tcBorders>
            <w:vAlign w:val="center"/>
          </w:tcPr>
          <w:p w14:paraId="3DBD3E8C" w14:textId="77777777" w:rsidR="00284634" w:rsidRPr="007821D0" w:rsidRDefault="00313D4B" w:rsidP="007821D0">
            <w:pPr>
              <w:spacing w:after="0" w:line="240" w:lineRule="auto"/>
              <w:ind w:left="5" w:firstLine="0"/>
              <w:rPr>
                <w:lang w:val="sr-Latn-ME"/>
              </w:rPr>
            </w:pPr>
            <w:r w:rsidRPr="007821D0">
              <w:rPr>
                <w:lang w:val="sr-Latn-ME"/>
              </w:rPr>
              <w:t>Poremećaji kože i potkožnog tkiva</w:t>
            </w:r>
          </w:p>
        </w:tc>
        <w:tc>
          <w:tcPr>
            <w:tcW w:w="2947" w:type="dxa"/>
            <w:tcBorders>
              <w:top w:val="single" w:sz="4" w:space="0" w:color="000000"/>
              <w:left w:val="single" w:sz="4" w:space="0" w:color="000000"/>
              <w:bottom w:val="single" w:sz="4" w:space="0" w:color="000000"/>
              <w:right w:val="single" w:sz="4" w:space="0" w:color="000000"/>
            </w:tcBorders>
          </w:tcPr>
          <w:p w14:paraId="20155D06" w14:textId="11B85AA5" w:rsidR="00284634" w:rsidRPr="007821D0" w:rsidRDefault="00313D4B" w:rsidP="007821D0">
            <w:pPr>
              <w:spacing w:after="0" w:line="240" w:lineRule="auto"/>
              <w:ind w:left="0" w:right="350" w:firstLine="0"/>
              <w:rPr>
                <w:lang w:val="sr-Latn-ME"/>
              </w:rPr>
            </w:pPr>
            <w:r w:rsidRPr="007821D0">
              <w:rPr>
                <w:lang w:val="sr-Latn-ME"/>
              </w:rPr>
              <w:t>Alopecija (primarno smanjenje maljavosti t</w:t>
            </w:r>
            <w:r w:rsidR="00156683" w:rsidRPr="007821D0">
              <w:rPr>
                <w:lang w:val="sr-Latn-ME"/>
              </w:rPr>
              <w:t>ij</w:t>
            </w:r>
            <w:r w:rsidRPr="007821D0">
              <w:rPr>
                <w:lang w:val="sr-Latn-ME"/>
              </w:rPr>
              <w:t>ela), hipertrihoza</w:t>
            </w:r>
          </w:p>
        </w:tc>
        <w:tc>
          <w:tcPr>
            <w:tcW w:w="4219" w:type="dxa"/>
            <w:gridSpan w:val="2"/>
            <w:tcBorders>
              <w:top w:val="single" w:sz="4" w:space="0" w:color="000000"/>
              <w:left w:val="single" w:sz="4" w:space="0" w:color="000000"/>
              <w:bottom w:val="single" w:sz="4" w:space="0" w:color="000000"/>
              <w:right w:val="single" w:sz="4" w:space="0" w:color="000000"/>
            </w:tcBorders>
            <w:vAlign w:val="center"/>
          </w:tcPr>
          <w:p w14:paraId="6E9E72B0" w14:textId="77777777" w:rsidR="00284634" w:rsidRPr="007821D0" w:rsidRDefault="00313D4B" w:rsidP="007821D0">
            <w:pPr>
              <w:spacing w:after="0" w:line="240" w:lineRule="auto"/>
              <w:ind w:left="20" w:firstLine="0"/>
              <w:jc w:val="center"/>
              <w:rPr>
                <w:lang w:val="sr-Latn-ME"/>
              </w:rPr>
            </w:pPr>
            <w:r w:rsidRPr="007821D0">
              <w:rPr>
                <w:lang w:val="sr-Latn-ME"/>
              </w:rPr>
              <w:t>Povremeno</w:t>
            </w:r>
          </w:p>
        </w:tc>
      </w:tr>
      <w:tr w:rsidR="00284634" w:rsidRPr="007821D0" w14:paraId="521C9883" w14:textId="77777777">
        <w:trPr>
          <w:trHeight w:val="514"/>
        </w:trPr>
        <w:tc>
          <w:tcPr>
            <w:tcW w:w="2693" w:type="dxa"/>
            <w:tcBorders>
              <w:top w:val="single" w:sz="4" w:space="0" w:color="000000"/>
              <w:left w:val="single" w:sz="4" w:space="0" w:color="000000"/>
              <w:bottom w:val="single" w:sz="4" w:space="0" w:color="000000"/>
              <w:right w:val="single" w:sz="4" w:space="0" w:color="000000"/>
            </w:tcBorders>
          </w:tcPr>
          <w:p w14:paraId="313A8F62" w14:textId="77777777" w:rsidR="00284634" w:rsidRPr="007821D0" w:rsidRDefault="00313D4B" w:rsidP="007821D0">
            <w:pPr>
              <w:spacing w:after="0" w:line="240" w:lineRule="auto"/>
              <w:ind w:left="5" w:firstLine="0"/>
              <w:jc w:val="both"/>
              <w:rPr>
                <w:lang w:val="sr-Latn-ME"/>
              </w:rPr>
            </w:pPr>
            <w:r w:rsidRPr="007821D0">
              <w:rPr>
                <w:lang w:val="sr-Latn-ME"/>
              </w:rPr>
              <w:t>Poremećaji reproduktivnog sistema i dojki</w:t>
            </w:r>
          </w:p>
        </w:tc>
        <w:tc>
          <w:tcPr>
            <w:tcW w:w="2947" w:type="dxa"/>
            <w:tcBorders>
              <w:top w:val="single" w:sz="4" w:space="0" w:color="000000"/>
              <w:left w:val="single" w:sz="4" w:space="0" w:color="000000"/>
              <w:bottom w:val="single" w:sz="4" w:space="0" w:color="000000"/>
              <w:right w:val="single" w:sz="4" w:space="0" w:color="000000"/>
            </w:tcBorders>
            <w:vAlign w:val="center"/>
          </w:tcPr>
          <w:p w14:paraId="2E9B7446" w14:textId="77777777" w:rsidR="00284634" w:rsidRPr="007821D0" w:rsidRDefault="00313D4B" w:rsidP="007821D0">
            <w:pPr>
              <w:spacing w:after="0" w:line="240" w:lineRule="auto"/>
              <w:ind w:left="0" w:firstLine="0"/>
              <w:rPr>
                <w:lang w:val="sr-Latn-ME"/>
              </w:rPr>
            </w:pPr>
            <w:r w:rsidRPr="007821D0">
              <w:rPr>
                <w:lang w:val="sr-Latn-ME"/>
              </w:rPr>
              <w:t>Bol i oticanje testisa</w:t>
            </w:r>
          </w:p>
        </w:tc>
        <w:tc>
          <w:tcPr>
            <w:tcW w:w="4219" w:type="dxa"/>
            <w:gridSpan w:val="2"/>
            <w:tcBorders>
              <w:top w:val="single" w:sz="4" w:space="0" w:color="000000"/>
              <w:left w:val="single" w:sz="4" w:space="0" w:color="000000"/>
              <w:bottom w:val="single" w:sz="4" w:space="0" w:color="000000"/>
              <w:right w:val="single" w:sz="4" w:space="0" w:color="000000"/>
            </w:tcBorders>
            <w:vAlign w:val="center"/>
          </w:tcPr>
          <w:p w14:paraId="1CC87AD2" w14:textId="77777777" w:rsidR="00284634" w:rsidRPr="007821D0" w:rsidRDefault="00313D4B" w:rsidP="007821D0">
            <w:pPr>
              <w:spacing w:after="0" w:line="240" w:lineRule="auto"/>
              <w:ind w:left="34" w:firstLine="0"/>
              <w:jc w:val="center"/>
              <w:rPr>
                <w:lang w:val="sr-Latn-ME"/>
              </w:rPr>
            </w:pPr>
            <w:r w:rsidRPr="007821D0">
              <w:rPr>
                <w:lang w:val="sr-Latn-ME"/>
              </w:rPr>
              <w:t>Nepoznato</w:t>
            </w:r>
          </w:p>
        </w:tc>
      </w:tr>
    </w:tbl>
    <w:p w14:paraId="2E13CBB5" w14:textId="212E1ACD" w:rsidR="00284634" w:rsidRPr="007821D0" w:rsidRDefault="00313D4B" w:rsidP="007821D0">
      <w:pPr>
        <w:spacing w:after="0" w:line="240" w:lineRule="auto"/>
        <w:ind w:left="-5"/>
        <w:rPr>
          <w:lang w:val="sr-Latn-ME"/>
        </w:rPr>
      </w:pPr>
      <w:r w:rsidRPr="007821D0">
        <w:rPr>
          <w:lang w:val="sr-Latn-ME"/>
        </w:rPr>
        <w:t>* Navedeni neželjeni događaji na nivou seksualne funkcije povezan</w:t>
      </w:r>
      <w:r w:rsidR="00DC3E00" w:rsidRPr="007821D0">
        <w:rPr>
          <w:lang w:val="sr-Latn-ME"/>
        </w:rPr>
        <w:t>i</w:t>
      </w:r>
      <w:r w:rsidRPr="007821D0">
        <w:rPr>
          <w:lang w:val="sr-Latn-ME"/>
        </w:rPr>
        <w:t xml:space="preserve"> su sa </w:t>
      </w:r>
      <w:r w:rsidR="000A2950" w:rsidRPr="007821D0">
        <w:rPr>
          <w:lang w:val="sr-Latn-ME"/>
        </w:rPr>
        <w:t>primjenom</w:t>
      </w:r>
      <w:r w:rsidRPr="007821D0">
        <w:rPr>
          <w:lang w:val="sr-Latn-ME"/>
        </w:rPr>
        <w:t xml:space="preserve"> dutasterida (uključujući monoterapiju i kombinaciju sa tamsulosinom). On</w:t>
      </w:r>
      <w:r w:rsidR="00DC3E00" w:rsidRPr="007821D0">
        <w:rPr>
          <w:lang w:val="sr-Latn-ME"/>
        </w:rPr>
        <w:t>i</w:t>
      </w:r>
      <w:r w:rsidRPr="007821D0">
        <w:rPr>
          <w:lang w:val="sr-Latn-ME"/>
        </w:rPr>
        <w:t xml:space="preserve"> mogu biti prisutn</w:t>
      </w:r>
      <w:r w:rsidR="00DC3E00" w:rsidRPr="007821D0">
        <w:rPr>
          <w:lang w:val="sr-Latn-ME"/>
        </w:rPr>
        <w:t>i</w:t>
      </w:r>
      <w:r w:rsidRPr="007821D0">
        <w:rPr>
          <w:lang w:val="sr-Latn-ME"/>
        </w:rPr>
        <w:t xml:space="preserve"> i nakon prestanka terapije. Uticaj dutasterida na njihovo trajanje nije poznat.</w:t>
      </w:r>
    </w:p>
    <w:p w14:paraId="487AAABB" w14:textId="77777777" w:rsidR="00284634" w:rsidRPr="007821D0" w:rsidRDefault="00313D4B" w:rsidP="007821D0">
      <w:pPr>
        <w:spacing w:after="0" w:line="240" w:lineRule="auto"/>
        <w:ind w:left="-5"/>
        <w:rPr>
          <w:lang w:val="sr-Latn-ME"/>
        </w:rPr>
      </w:pPr>
      <w:r w:rsidRPr="007821D0">
        <w:rPr>
          <w:lang w:val="sr-Latn-ME"/>
        </w:rPr>
        <w:t>^ Uključuje smanjenje zapremine sperme.</w:t>
      </w:r>
    </w:p>
    <w:p w14:paraId="58FD2E72" w14:textId="6D482AE1" w:rsidR="00284634" w:rsidRPr="007821D0" w:rsidRDefault="00EB62EC" w:rsidP="007821D0">
      <w:pPr>
        <w:spacing w:after="0" w:line="240" w:lineRule="auto"/>
        <w:rPr>
          <w:lang w:val="sr-Latn-ME"/>
        </w:rPr>
      </w:pPr>
      <w:r w:rsidRPr="007821D0">
        <w:rPr>
          <w:vertAlign w:val="superscript"/>
          <w:lang w:val="sr-Latn-ME"/>
        </w:rPr>
        <w:t xml:space="preserve">+ </w:t>
      </w:r>
      <w:r w:rsidR="00313D4B" w:rsidRPr="007821D0">
        <w:rPr>
          <w:lang w:val="sr-Latn-ME"/>
        </w:rPr>
        <w:t>Uključuje os</w:t>
      </w:r>
      <w:r w:rsidR="00DC3E00" w:rsidRPr="007821D0">
        <w:rPr>
          <w:lang w:val="sr-Latn-ME"/>
        </w:rPr>
        <w:t>j</w:t>
      </w:r>
      <w:r w:rsidR="00313D4B" w:rsidRPr="007821D0">
        <w:rPr>
          <w:lang w:val="sr-Latn-ME"/>
        </w:rPr>
        <w:t>etljivost dojki i uvećanje dojki</w:t>
      </w:r>
    </w:p>
    <w:p w14:paraId="53137976" w14:textId="77777777" w:rsidR="00EB62EC" w:rsidRPr="007821D0" w:rsidRDefault="00EB62EC" w:rsidP="007821D0">
      <w:pPr>
        <w:pStyle w:val="Heading1"/>
        <w:spacing w:after="0" w:line="240" w:lineRule="auto"/>
        <w:ind w:left="-5"/>
        <w:rPr>
          <w:lang w:val="sr-Latn-ME"/>
        </w:rPr>
      </w:pPr>
    </w:p>
    <w:p w14:paraId="03EBA110" w14:textId="117F1348" w:rsidR="00284634" w:rsidRPr="007821D0" w:rsidRDefault="00E602C2" w:rsidP="007821D0">
      <w:pPr>
        <w:pStyle w:val="Heading1"/>
        <w:spacing w:after="0" w:line="240" w:lineRule="auto"/>
        <w:ind w:left="-5"/>
        <w:rPr>
          <w:lang w:val="sr-Latn-ME"/>
        </w:rPr>
      </w:pPr>
      <w:r w:rsidRPr="007821D0">
        <w:rPr>
          <w:lang w:val="sr-Latn-ME"/>
        </w:rPr>
        <w:t>Primjena</w:t>
      </w:r>
      <w:r w:rsidR="00313D4B" w:rsidRPr="007821D0">
        <w:rPr>
          <w:lang w:val="sr-Latn-ME"/>
        </w:rPr>
        <w:t xml:space="preserve"> dutasterida u kombinovanoj terapiji sa alfa blokatorom tamsulosinom</w:t>
      </w:r>
    </w:p>
    <w:p w14:paraId="62FB65CF" w14:textId="77777777" w:rsidR="00EB62EC" w:rsidRPr="007821D0" w:rsidRDefault="00EB62EC" w:rsidP="007821D0">
      <w:pPr>
        <w:spacing w:after="0" w:line="240" w:lineRule="auto"/>
        <w:ind w:left="-5" w:right="3"/>
        <w:rPr>
          <w:lang w:val="sr-Latn-ME"/>
        </w:rPr>
      </w:pPr>
    </w:p>
    <w:p w14:paraId="018E8788" w14:textId="0855E9EA" w:rsidR="00284634" w:rsidRPr="007821D0" w:rsidRDefault="00313D4B" w:rsidP="007821D0">
      <w:pPr>
        <w:spacing w:after="0" w:line="240" w:lineRule="auto"/>
        <w:ind w:left="-5" w:right="3"/>
        <w:jc w:val="both"/>
        <w:rPr>
          <w:lang w:val="sr-Latn-ME"/>
        </w:rPr>
      </w:pPr>
      <w:r w:rsidRPr="007821D0">
        <w:rPr>
          <w:lang w:val="sr-Latn-ME"/>
        </w:rPr>
        <w:t xml:space="preserve">Podaci dobijeni iz četvorogodišnjeg kliničkog ispitivanja CombAT, u kome je poređena </w:t>
      </w:r>
      <w:r w:rsidR="00E602C2" w:rsidRPr="007821D0">
        <w:rPr>
          <w:lang w:val="sr-Latn-ME"/>
        </w:rPr>
        <w:t>primjena</w:t>
      </w:r>
      <w:r w:rsidRPr="007821D0">
        <w:rPr>
          <w:lang w:val="sr-Latn-ME"/>
        </w:rPr>
        <w:t xml:space="preserve"> 0,5 mg dutasterida (n=1623) i 0,4 mg tamsulosina (n=1611) jednom dnevno kao monoterapija i u kombinovanoj terapiji (n=1610), pokazali su da je incidenca bilo kojih neželjenih događaja, koji su prema proc</w:t>
      </w:r>
      <w:r w:rsidR="00137435" w:rsidRPr="007821D0">
        <w:rPr>
          <w:lang w:val="sr-Latn-ME"/>
        </w:rPr>
        <w:t>j</w:t>
      </w:r>
      <w:r w:rsidRPr="007821D0">
        <w:rPr>
          <w:lang w:val="sr-Latn-ME"/>
        </w:rPr>
        <w:t xml:space="preserve">eni ispitivača povezani sa </w:t>
      </w:r>
      <w:r w:rsidR="000A2950" w:rsidRPr="007821D0">
        <w:rPr>
          <w:lang w:val="sr-Latn-ME"/>
        </w:rPr>
        <w:t>primjenom</w:t>
      </w:r>
      <w:r w:rsidRPr="007821D0">
        <w:rPr>
          <w:lang w:val="sr-Latn-ME"/>
        </w:rPr>
        <w:t xml:space="preserve"> </w:t>
      </w:r>
      <w:r w:rsidR="009F2AF5" w:rsidRPr="007821D0">
        <w:rPr>
          <w:lang w:val="sr-Latn-ME"/>
        </w:rPr>
        <w:t>lijek</w:t>
      </w:r>
      <w:r w:rsidRPr="007821D0">
        <w:rPr>
          <w:lang w:val="sr-Latn-ME"/>
        </w:rPr>
        <w:t>a, tokom prve, druge, treće i četvrte godine terapije iznosila 22%, 6%, 4% i 2%, tim redom, za kombinovanu dutasterid/tamsulosin terapiju, 15%, 6%, 3% i 2%, tim redom, za monoterapiju dutasteridom i 13%, 5%, 2% i 2%, tim redom, za monoterapiju tamsulosinom. Veća incidenca neželjenih događaja u grupi u kojoj je prim</w:t>
      </w:r>
      <w:r w:rsidR="009660E2" w:rsidRPr="007821D0">
        <w:rPr>
          <w:lang w:val="sr-Latn-ME"/>
        </w:rPr>
        <w:t>ij</w:t>
      </w:r>
      <w:r w:rsidRPr="007821D0">
        <w:rPr>
          <w:lang w:val="sr-Latn-ME"/>
        </w:rPr>
        <w:t>enjena kombinovana terapija tokom prve godine terapije, bila je posledica veće incidence reproduktivnih poremećaja, uglavnom poremećaja ejakulacije, koji su prim</w:t>
      </w:r>
      <w:r w:rsidR="009660E2" w:rsidRPr="007821D0">
        <w:rPr>
          <w:lang w:val="sr-Latn-ME"/>
        </w:rPr>
        <w:t>ij</w:t>
      </w:r>
      <w:r w:rsidRPr="007821D0">
        <w:rPr>
          <w:lang w:val="sr-Latn-ME"/>
        </w:rPr>
        <w:t>ećeni u ovoj grupi.</w:t>
      </w:r>
    </w:p>
    <w:p w14:paraId="20EF74BE" w14:textId="77777777" w:rsidR="00EB62EC" w:rsidRPr="007821D0" w:rsidRDefault="00EB62EC" w:rsidP="007821D0">
      <w:pPr>
        <w:spacing w:after="0" w:line="240" w:lineRule="auto"/>
        <w:ind w:left="-5" w:right="3"/>
        <w:jc w:val="both"/>
        <w:rPr>
          <w:lang w:val="sr-Latn-ME"/>
        </w:rPr>
      </w:pPr>
    </w:p>
    <w:p w14:paraId="53F22008" w14:textId="6224B490" w:rsidR="00284634" w:rsidRPr="007821D0" w:rsidRDefault="00313D4B" w:rsidP="007821D0">
      <w:pPr>
        <w:spacing w:after="0" w:line="240" w:lineRule="auto"/>
        <w:ind w:left="-5" w:right="3"/>
        <w:jc w:val="both"/>
        <w:rPr>
          <w:lang w:val="sr-Latn-ME"/>
        </w:rPr>
      </w:pPr>
      <w:r w:rsidRPr="007821D0">
        <w:rPr>
          <w:lang w:val="sr-Latn-ME"/>
        </w:rPr>
        <w:t>Tokom prve godine terapije u CombAT kliničkom ispitivanju, na osnovu proc</w:t>
      </w:r>
      <w:r w:rsidR="00137435" w:rsidRPr="007821D0">
        <w:rPr>
          <w:lang w:val="sr-Latn-ME"/>
        </w:rPr>
        <w:t>j</w:t>
      </w:r>
      <w:r w:rsidRPr="007821D0">
        <w:rPr>
          <w:lang w:val="sr-Latn-ME"/>
        </w:rPr>
        <w:t>ene ispitivača, prijavljeni su dol</w:t>
      </w:r>
      <w:r w:rsidR="00137435" w:rsidRPr="007821D0">
        <w:rPr>
          <w:lang w:val="sr-Latn-ME"/>
        </w:rPr>
        <w:t>j</w:t>
      </w:r>
      <w:r w:rsidRPr="007821D0">
        <w:rPr>
          <w:lang w:val="sr-Latn-ME"/>
        </w:rPr>
        <w:t>e navedeni neželjeni događaji povezani sa prim</w:t>
      </w:r>
      <w:r w:rsidR="009660E2" w:rsidRPr="007821D0">
        <w:rPr>
          <w:lang w:val="sr-Latn-ME"/>
        </w:rPr>
        <w:t>ij</w:t>
      </w:r>
      <w:r w:rsidRPr="007821D0">
        <w:rPr>
          <w:lang w:val="sr-Latn-ME"/>
        </w:rPr>
        <w:t xml:space="preserve">enom </w:t>
      </w:r>
      <w:r w:rsidR="009F2AF5" w:rsidRPr="007821D0">
        <w:rPr>
          <w:lang w:val="sr-Latn-ME"/>
        </w:rPr>
        <w:t>lijek</w:t>
      </w:r>
      <w:r w:rsidRPr="007821D0">
        <w:rPr>
          <w:lang w:val="sr-Latn-ME"/>
        </w:rPr>
        <w:t>a, sa incidencom jednakom 1% ili većom; incidenca ovih neželjenih događaja u toku prim</w:t>
      </w:r>
      <w:r w:rsidR="009660E2" w:rsidRPr="007821D0">
        <w:rPr>
          <w:lang w:val="sr-Latn-ME"/>
        </w:rPr>
        <w:t>j</w:t>
      </w:r>
      <w:r w:rsidRPr="007821D0">
        <w:rPr>
          <w:lang w:val="sr-Latn-ME"/>
        </w:rPr>
        <w:t>ene terapije u periodu od 4 godine, prikazana je u dol</w:t>
      </w:r>
      <w:r w:rsidR="000E3F7D" w:rsidRPr="007821D0">
        <w:rPr>
          <w:lang w:val="sr-Latn-ME"/>
        </w:rPr>
        <w:t>j</w:t>
      </w:r>
      <w:r w:rsidRPr="007821D0">
        <w:rPr>
          <w:lang w:val="sr-Latn-ME"/>
        </w:rPr>
        <w:t>e navedenoj tabeli:</w:t>
      </w:r>
    </w:p>
    <w:p w14:paraId="352FE449" w14:textId="77777777" w:rsidR="00EB62EC" w:rsidRPr="007821D0" w:rsidRDefault="00EB62EC" w:rsidP="007821D0">
      <w:pPr>
        <w:spacing w:after="0" w:line="240" w:lineRule="auto"/>
        <w:ind w:left="-5" w:right="3"/>
        <w:jc w:val="both"/>
        <w:rPr>
          <w:lang w:val="sr-Latn-ME"/>
        </w:rPr>
      </w:pPr>
    </w:p>
    <w:tbl>
      <w:tblPr>
        <w:tblStyle w:val="TableGrid"/>
        <w:tblW w:w="9859" w:type="dxa"/>
        <w:tblInd w:w="-110" w:type="dxa"/>
        <w:tblCellMar>
          <w:top w:w="29" w:type="dxa"/>
          <w:left w:w="106" w:type="dxa"/>
          <w:bottom w:w="5" w:type="dxa"/>
          <w:right w:w="110" w:type="dxa"/>
        </w:tblCellMar>
        <w:tblLook w:val="04A0" w:firstRow="1" w:lastRow="0" w:firstColumn="1" w:lastColumn="0" w:noHBand="0" w:noVBand="1"/>
      </w:tblPr>
      <w:tblGrid>
        <w:gridCol w:w="2093"/>
        <w:gridCol w:w="2990"/>
        <w:gridCol w:w="1190"/>
        <w:gridCol w:w="1195"/>
        <w:gridCol w:w="1195"/>
        <w:gridCol w:w="1196"/>
      </w:tblGrid>
      <w:tr w:rsidR="00284634" w:rsidRPr="007821D0" w14:paraId="266B3C38" w14:textId="77777777">
        <w:trPr>
          <w:trHeight w:val="259"/>
        </w:trPr>
        <w:tc>
          <w:tcPr>
            <w:tcW w:w="2093" w:type="dxa"/>
            <w:vMerge w:val="restart"/>
            <w:tcBorders>
              <w:top w:val="single" w:sz="4" w:space="0" w:color="000000"/>
              <w:left w:val="single" w:sz="4" w:space="0" w:color="000000"/>
              <w:bottom w:val="nil"/>
              <w:right w:val="single" w:sz="4" w:space="0" w:color="000000"/>
            </w:tcBorders>
            <w:vAlign w:val="bottom"/>
          </w:tcPr>
          <w:p w14:paraId="0AC3B285" w14:textId="77777777" w:rsidR="00284634" w:rsidRPr="007821D0" w:rsidRDefault="00313D4B" w:rsidP="007821D0">
            <w:pPr>
              <w:spacing w:after="0" w:line="240" w:lineRule="auto"/>
              <w:ind w:left="5" w:firstLine="0"/>
              <w:rPr>
                <w:lang w:val="sr-Latn-ME"/>
              </w:rPr>
            </w:pPr>
            <w:r w:rsidRPr="007821D0">
              <w:rPr>
                <w:b/>
                <w:lang w:val="sr-Latn-ME"/>
              </w:rPr>
              <w:t>Klasa sistema organa</w:t>
            </w:r>
          </w:p>
        </w:tc>
        <w:tc>
          <w:tcPr>
            <w:tcW w:w="2990" w:type="dxa"/>
            <w:vMerge w:val="restart"/>
            <w:tcBorders>
              <w:top w:val="single" w:sz="4" w:space="0" w:color="000000"/>
              <w:left w:val="single" w:sz="4" w:space="0" w:color="000000"/>
              <w:bottom w:val="single" w:sz="4" w:space="0" w:color="000000"/>
              <w:right w:val="single" w:sz="4" w:space="0" w:color="000000"/>
            </w:tcBorders>
            <w:vAlign w:val="center"/>
          </w:tcPr>
          <w:p w14:paraId="10A44E91" w14:textId="77777777" w:rsidR="00284634" w:rsidRPr="007821D0" w:rsidRDefault="00313D4B" w:rsidP="007821D0">
            <w:pPr>
              <w:spacing w:after="0" w:line="240" w:lineRule="auto"/>
              <w:ind w:left="5" w:firstLine="0"/>
              <w:rPr>
                <w:lang w:val="sr-Latn-ME"/>
              </w:rPr>
            </w:pPr>
            <w:r w:rsidRPr="007821D0">
              <w:rPr>
                <w:b/>
                <w:lang w:val="sr-Latn-ME"/>
              </w:rPr>
              <w:t>Neželjena reakcija</w:t>
            </w:r>
          </w:p>
        </w:tc>
        <w:tc>
          <w:tcPr>
            <w:tcW w:w="4776" w:type="dxa"/>
            <w:gridSpan w:val="4"/>
            <w:tcBorders>
              <w:top w:val="single" w:sz="4" w:space="0" w:color="000000"/>
              <w:left w:val="single" w:sz="4" w:space="0" w:color="000000"/>
              <w:bottom w:val="single" w:sz="4" w:space="0" w:color="000000"/>
              <w:right w:val="single" w:sz="4" w:space="0" w:color="000000"/>
            </w:tcBorders>
          </w:tcPr>
          <w:p w14:paraId="0A66D7A3" w14:textId="77777777" w:rsidR="00284634" w:rsidRPr="007821D0" w:rsidRDefault="00313D4B" w:rsidP="007821D0">
            <w:pPr>
              <w:spacing w:after="0" w:line="240" w:lineRule="auto"/>
              <w:ind w:left="0" w:right="7" w:firstLine="0"/>
              <w:jc w:val="center"/>
              <w:rPr>
                <w:lang w:val="sr-Latn-ME"/>
              </w:rPr>
            </w:pPr>
            <w:r w:rsidRPr="007821D0">
              <w:rPr>
                <w:b/>
                <w:lang w:val="sr-Latn-ME"/>
              </w:rPr>
              <w:t>Incidenca tokom perioda terapije</w:t>
            </w:r>
          </w:p>
        </w:tc>
      </w:tr>
      <w:tr w:rsidR="00284634" w:rsidRPr="007821D0" w14:paraId="33A2402B" w14:textId="77777777">
        <w:trPr>
          <w:trHeight w:val="264"/>
        </w:trPr>
        <w:tc>
          <w:tcPr>
            <w:tcW w:w="0" w:type="auto"/>
            <w:vMerge/>
            <w:tcBorders>
              <w:top w:val="nil"/>
              <w:left w:val="single" w:sz="4" w:space="0" w:color="000000"/>
              <w:bottom w:val="nil"/>
              <w:right w:val="single" w:sz="4" w:space="0" w:color="000000"/>
            </w:tcBorders>
          </w:tcPr>
          <w:p w14:paraId="7AF1E610" w14:textId="77777777" w:rsidR="00284634" w:rsidRPr="007821D0" w:rsidRDefault="00284634" w:rsidP="007821D0">
            <w:pPr>
              <w:spacing w:after="0" w:line="240" w:lineRule="auto"/>
              <w:ind w:left="0" w:firstLine="0"/>
              <w:rPr>
                <w:lang w:val="sr-Latn-ME"/>
              </w:rPr>
            </w:pPr>
          </w:p>
        </w:tc>
        <w:tc>
          <w:tcPr>
            <w:tcW w:w="0" w:type="auto"/>
            <w:vMerge/>
            <w:tcBorders>
              <w:top w:val="nil"/>
              <w:left w:val="single" w:sz="4" w:space="0" w:color="000000"/>
              <w:bottom w:val="single" w:sz="4" w:space="0" w:color="000000"/>
              <w:right w:val="single" w:sz="4" w:space="0" w:color="000000"/>
            </w:tcBorders>
          </w:tcPr>
          <w:p w14:paraId="2D13FD15" w14:textId="77777777" w:rsidR="00284634" w:rsidRPr="007821D0" w:rsidRDefault="00284634" w:rsidP="007821D0">
            <w:pPr>
              <w:spacing w:after="0" w:line="240" w:lineRule="auto"/>
              <w:ind w:left="0" w:firstLine="0"/>
              <w:rPr>
                <w:lang w:val="sr-Latn-ME"/>
              </w:rPr>
            </w:pPr>
          </w:p>
        </w:tc>
        <w:tc>
          <w:tcPr>
            <w:tcW w:w="1190" w:type="dxa"/>
            <w:tcBorders>
              <w:top w:val="single" w:sz="4" w:space="0" w:color="000000"/>
              <w:left w:val="single" w:sz="4" w:space="0" w:color="000000"/>
              <w:bottom w:val="single" w:sz="4" w:space="0" w:color="000000"/>
              <w:right w:val="single" w:sz="4" w:space="0" w:color="000000"/>
            </w:tcBorders>
          </w:tcPr>
          <w:p w14:paraId="72E0DF79" w14:textId="77777777" w:rsidR="00284634" w:rsidRPr="007821D0" w:rsidRDefault="00313D4B" w:rsidP="007821D0">
            <w:pPr>
              <w:spacing w:after="0" w:line="240" w:lineRule="auto"/>
              <w:ind w:left="0" w:firstLine="0"/>
              <w:rPr>
                <w:lang w:val="sr-Latn-ME"/>
              </w:rPr>
            </w:pPr>
            <w:r w:rsidRPr="007821D0">
              <w:rPr>
                <w:b/>
                <w:lang w:val="sr-Latn-ME"/>
              </w:rPr>
              <w:t>1. godina</w:t>
            </w:r>
          </w:p>
        </w:tc>
        <w:tc>
          <w:tcPr>
            <w:tcW w:w="1195" w:type="dxa"/>
            <w:tcBorders>
              <w:top w:val="single" w:sz="4" w:space="0" w:color="000000"/>
              <w:left w:val="single" w:sz="4" w:space="0" w:color="000000"/>
              <w:bottom w:val="single" w:sz="4" w:space="0" w:color="000000"/>
              <w:right w:val="single" w:sz="4" w:space="0" w:color="000000"/>
            </w:tcBorders>
          </w:tcPr>
          <w:p w14:paraId="37EA24C9" w14:textId="77777777" w:rsidR="00284634" w:rsidRPr="007821D0" w:rsidRDefault="00313D4B" w:rsidP="007821D0">
            <w:pPr>
              <w:spacing w:after="0" w:line="240" w:lineRule="auto"/>
              <w:ind w:left="91" w:firstLine="0"/>
              <w:rPr>
                <w:lang w:val="sr-Latn-ME"/>
              </w:rPr>
            </w:pPr>
            <w:r w:rsidRPr="007821D0">
              <w:rPr>
                <w:b/>
                <w:lang w:val="sr-Latn-ME"/>
              </w:rPr>
              <w:t>2.godina</w:t>
            </w:r>
          </w:p>
        </w:tc>
        <w:tc>
          <w:tcPr>
            <w:tcW w:w="1195" w:type="dxa"/>
            <w:tcBorders>
              <w:top w:val="single" w:sz="4" w:space="0" w:color="000000"/>
              <w:left w:val="single" w:sz="4" w:space="0" w:color="000000"/>
              <w:bottom w:val="single" w:sz="4" w:space="0" w:color="000000"/>
              <w:right w:val="single" w:sz="4" w:space="0" w:color="000000"/>
            </w:tcBorders>
          </w:tcPr>
          <w:p w14:paraId="2C92085D" w14:textId="77777777" w:rsidR="00284634" w:rsidRPr="007821D0" w:rsidRDefault="00313D4B" w:rsidP="007821D0">
            <w:pPr>
              <w:spacing w:after="0" w:line="240" w:lineRule="auto"/>
              <w:ind w:left="91" w:firstLine="0"/>
              <w:rPr>
                <w:lang w:val="sr-Latn-ME"/>
              </w:rPr>
            </w:pPr>
            <w:r w:rsidRPr="007821D0">
              <w:rPr>
                <w:b/>
                <w:lang w:val="sr-Latn-ME"/>
              </w:rPr>
              <w:t>3.godina</w:t>
            </w:r>
          </w:p>
        </w:tc>
        <w:tc>
          <w:tcPr>
            <w:tcW w:w="1195" w:type="dxa"/>
            <w:tcBorders>
              <w:top w:val="single" w:sz="4" w:space="0" w:color="000000"/>
              <w:left w:val="single" w:sz="4" w:space="0" w:color="000000"/>
              <w:bottom w:val="single" w:sz="4" w:space="0" w:color="000000"/>
              <w:right w:val="single" w:sz="4" w:space="0" w:color="000000"/>
            </w:tcBorders>
          </w:tcPr>
          <w:p w14:paraId="7957AD5A" w14:textId="77777777" w:rsidR="00284634" w:rsidRPr="007821D0" w:rsidRDefault="00313D4B" w:rsidP="007821D0">
            <w:pPr>
              <w:spacing w:after="0" w:line="240" w:lineRule="auto"/>
              <w:ind w:left="91" w:firstLine="0"/>
              <w:rPr>
                <w:lang w:val="sr-Latn-ME"/>
              </w:rPr>
            </w:pPr>
            <w:r w:rsidRPr="007821D0">
              <w:rPr>
                <w:b/>
                <w:lang w:val="sr-Latn-ME"/>
              </w:rPr>
              <w:t>4.godina</w:t>
            </w:r>
          </w:p>
        </w:tc>
      </w:tr>
      <w:tr w:rsidR="00284634" w:rsidRPr="007821D0" w14:paraId="47A2E382" w14:textId="77777777">
        <w:trPr>
          <w:trHeight w:val="281"/>
        </w:trPr>
        <w:tc>
          <w:tcPr>
            <w:tcW w:w="0" w:type="auto"/>
            <w:vMerge/>
            <w:tcBorders>
              <w:top w:val="nil"/>
              <w:left w:val="single" w:sz="4" w:space="0" w:color="000000"/>
              <w:bottom w:val="nil"/>
              <w:right w:val="single" w:sz="4" w:space="0" w:color="000000"/>
            </w:tcBorders>
          </w:tcPr>
          <w:p w14:paraId="72848FCE" w14:textId="77777777" w:rsidR="00284634" w:rsidRPr="007821D0" w:rsidRDefault="00284634" w:rsidP="007821D0">
            <w:pPr>
              <w:spacing w:after="0" w:line="240" w:lineRule="auto"/>
              <w:ind w:left="0" w:firstLine="0"/>
              <w:rPr>
                <w:lang w:val="sr-Latn-ME"/>
              </w:rPr>
            </w:pPr>
          </w:p>
        </w:tc>
        <w:tc>
          <w:tcPr>
            <w:tcW w:w="2990" w:type="dxa"/>
            <w:tcBorders>
              <w:top w:val="single" w:sz="4" w:space="0" w:color="000000"/>
              <w:left w:val="single" w:sz="4" w:space="0" w:color="000000"/>
              <w:bottom w:val="nil"/>
              <w:right w:val="single" w:sz="4" w:space="0" w:color="000000"/>
            </w:tcBorders>
          </w:tcPr>
          <w:p w14:paraId="628DB809" w14:textId="77777777" w:rsidR="00284634" w:rsidRPr="007821D0" w:rsidRDefault="00313D4B" w:rsidP="007821D0">
            <w:pPr>
              <w:spacing w:after="0" w:line="240" w:lineRule="auto"/>
              <w:ind w:left="5" w:firstLine="0"/>
              <w:rPr>
                <w:lang w:val="sr-Latn-ME"/>
              </w:rPr>
            </w:pPr>
            <w:r w:rsidRPr="007821D0">
              <w:rPr>
                <w:lang w:val="sr-Latn-ME"/>
              </w:rPr>
              <w:t>Kombinacija</w:t>
            </w:r>
            <w:r w:rsidRPr="007821D0">
              <w:rPr>
                <w:vertAlign w:val="superscript"/>
                <w:lang w:val="sr-Latn-ME"/>
              </w:rPr>
              <w:t xml:space="preserve">a </w:t>
            </w:r>
            <w:r w:rsidRPr="007821D0">
              <w:rPr>
                <w:lang w:val="sr-Latn-ME"/>
              </w:rPr>
              <w:t>(n)</w:t>
            </w:r>
          </w:p>
        </w:tc>
        <w:tc>
          <w:tcPr>
            <w:tcW w:w="1190" w:type="dxa"/>
            <w:tcBorders>
              <w:top w:val="single" w:sz="4" w:space="0" w:color="000000"/>
              <w:left w:val="single" w:sz="4" w:space="0" w:color="000000"/>
              <w:bottom w:val="nil"/>
              <w:right w:val="single" w:sz="4" w:space="0" w:color="000000"/>
            </w:tcBorders>
          </w:tcPr>
          <w:p w14:paraId="71DA282E" w14:textId="77777777" w:rsidR="00284634" w:rsidRPr="007821D0" w:rsidRDefault="00313D4B" w:rsidP="007821D0">
            <w:pPr>
              <w:spacing w:after="0" w:line="240" w:lineRule="auto"/>
              <w:ind w:left="77" w:firstLine="0"/>
              <w:rPr>
                <w:lang w:val="sr-Latn-ME"/>
              </w:rPr>
            </w:pPr>
            <w:r w:rsidRPr="007821D0">
              <w:rPr>
                <w:lang w:val="sr-Latn-ME"/>
              </w:rPr>
              <w:t>(n=1610)</w:t>
            </w:r>
          </w:p>
        </w:tc>
        <w:tc>
          <w:tcPr>
            <w:tcW w:w="1195" w:type="dxa"/>
            <w:tcBorders>
              <w:top w:val="single" w:sz="4" w:space="0" w:color="000000"/>
              <w:left w:val="single" w:sz="4" w:space="0" w:color="000000"/>
              <w:bottom w:val="nil"/>
              <w:right w:val="single" w:sz="4" w:space="0" w:color="000000"/>
            </w:tcBorders>
          </w:tcPr>
          <w:p w14:paraId="594450AA" w14:textId="77777777" w:rsidR="00284634" w:rsidRPr="007821D0" w:rsidRDefault="00313D4B" w:rsidP="007821D0">
            <w:pPr>
              <w:spacing w:after="0" w:line="240" w:lineRule="auto"/>
              <w:ind w:left="82" w:firstLine="0"/>
              <w:rPr>
                <w:lang w:val="sr-Latn-ME"/>
              </w:rPr>
            </w:pPr>
            <w:r w:rsidRPr="007821D0">
              <w:rPr>
                <w:lang w:val="sr-Latn-ME"/>
              </w:rPr>
              <w:t>(n=1428)</w:t>
            </w:r>
          </w:p>
        </w:tc>
        <w:tc>
          <w:tcPr>
            <w:tcW w:w="1195" w:type="dxa"/>
            <w:tcBorders>
              <w:top w:val="single" w:sz="4" w:space="0" w:color="000000"/>
              <w:left w:val="single" w:sz="4" w:space="0" w:color="000000"/>
              <w:bottom w:val="nil"/>
              <w:right w:val="single" w:sz="4" w:space="0" w:color="000000"/>
            </w:tcBorders>
          </w:tcPr>
          <w:p w14:paraId="2CD76F96" w14:textId="77777777" w:rsidR="00284634" w:rsidRPr="007821D0" w:rsidRDefault="00313D4B" w:rsidP="007821D0">
            <w:pPr>
              <w:spacing w:after="0" w:line="240" w:lineRule="auto"/>
              <w:ind w:left="82" w:firstLine="0"/>
              <w:rPr>
                <w:lang w:val="sr-Latn-ME"/>
              </w:rPr>
            </w:pPr>
            <w:r w:rsidRPr="007821D0">
              <w:rPr>
                <w:lang w:val="sr-Latn-ME"/>
              </w:rPr>
              <w:t>(n=1283)</w:t>
            </w:r>
          </w:p>
        </w:tc>
        <w:tc>
          <w:tcPr>
            <w:tcW w:w="1195" w:type="dxa"/>
            <w:tcBorders>
              <w:top w:val="single" w:sz="4" w:space="0" w:color="000000"/>
              <w:left w:val="single" w:sz="4" w:space="0" w:color="000000"/>
              <w:bottom w:val="nil"/>
              <w:right w:val="single" w:sz="4" w:space="0" w:color="000000"/>
            </w:tcBorders>
          </w:tcPr>
          <w:p w14:paraId="5FE0A18F" w14:textId="77777777" w:rsidR="00284634" w:rsidRPr="007821D0" w:rsidRDefault="00313D4B" w:rsidP="007821D0">
            <w:pPr>
              <w:spacing w:after="0" w:line="240" w:lineRule="auto"/>
              <w:ind w:left="82" w:firstLine="0"/>
              <w:rPr>
                <w:lang w:val="sr-Latn-ME"/>
              </w:rPr>
            </w:pPr>
            <w:r w:rsidRPr="007821D0">
              <w:rPr>
                <w:lang w:val="sr-Latn-ME"/>
              </w:rPr>
              <w:t>(n=1200)</w:t>
            </w:r>
          </w:p>
        </w:tc>
      </w:tr>
      <w:tr w:rsidR="00284634" w:rsidRPr="007821D0" w14:paraId="6B1F9A72" w14:textId="77777777">
        <w:trPr>
          <w:trHeight w:val="264"/>
        </w:trPr>
        <w:tc>
          <w:tcPr>
            <w:tcW w:w="2093" w:type="dxa"/>
            <w:tcBorders>
              <w:top w:val="nil"/>
              <w:left w:val="single" w:sz="4" w:space="0" w:color="000000"/>
              <w:bottom w:val="nil"/>
              <w:right w:val="single" w:sz="4" w:space="0" w:color="000000"/>
            </w:tcBorders>
          </w:tcPr>
          <w:p w14:paraId="4EFED608" w14:textId="77777777" w:rsidR="00284634" w:rsidRPr="007821D0" w:rsidRDefault="00284634" w:rsidP="007821D0">
            <w:pPr>
              <w:spacing w:after="0" w:line="240" w:lineRule="auto"/>
              <w:ind w:left="0" w:firstLine="0"/>
              <w:rPr>
                <w:lang w:val="sr-Latn-ME"/>
              </w:rPr>
            </w:pPr>
          </w:p>
        </w:tc>
        <w:tc>
          <w:tcPr>
            <w:tcW w:w="2990" w:type="dxa"/>
            <w:tcBorders>
              <w:top w:val="nil"/>
              <w:left w:val="single" w:sz="4" w:space="0" w:color="000000"/>
              <w:bottom w:val="nil"/>
              <w:right w:val="single" w:sz="4" w:space="0" w:color="000000"/>
            </w:tcBorders>
          </w:tcPr>
          <w:p w14:paraId="2165C8A6" w14:textId="77777777" w:rsidR="00284634" w:rsidRPr="007821D0" w:rsidRDefault="00313D4B" w:rsidP="007821D0">
            <w:pPr>
              <w:spacing w:after="0" w:line="240" w:lineRule="auto"/>
              <w:ind w:left="5" w:firstLine="0"/>
              <w:rPr>
                <w:lang w:val="sr-Latn-ME"/>
              </w:rPr>
            </w:pPr>
            <w:r w:rsidRPr="007821D0">
              <w:rPr>
                <w:lang w:val="sr-Latn-ME"/>
              </w:rPr>
              <w:t>Dutasterid</w:t>
            </w:r>
          </w:p>
        </w:tc>
        <w:tc>
          <w:tcPr>
            <w:tcW w:w="1190" w:type="dxa"/>
            <w:tcBorders>
              <w:top w:val="nil"/>
              <w:left w:val="single" w:sz="4" w:space="0" w:color="000000"/>
              <w:bottom w:val="nil"/>
              <w:right w:val="single" w:sz="4" w:space="0" w:color="000000"/>
            </w:tcBorders>
          </w:tcPr>
          <w:p w14:paraId="58CF56AE" w14:textId="77777777" w:rsidR="00284634" w:rsidRPr="007821D0" w:rsidRDefault="00313D4B" w:rsidP="007821D0">
            <w:pPr>
              <w:spacing w:after="0" w:line="240" w:lineRule="auto"/>
              <w:ind w:left="77" w:firstLine="0"/>
              <w:rPr>
                <w:lang w:val="sr-Latn-ME"/>
              </w:rPr>
            </w:pPr>
            <w:r w:rsidRPr="007821D0">
              <w:rPr>
                <w:lang w:val="sr-Latn-ME"/>
              </w:rPr>
              <w:t>(n=1623)</w:t>
            </w:r>
          </w:p>
        </w:tc>
        <w:tc>
          <w:tcPr>
            <w:tcW w:w="1195" w:type="dxa"/>
            <w:tcBorders>
              <w:top w:val="nil"/>
              <w:left w:val="single" w:sz="4" w:space="0" w:color="000000"/>
              <w:bottom w:val="nil"/>
              <w:right w:val="single" w:sz="4" w:space="0" w:color="000000"/>
            </w:tcBorders>
          </w:tcPr>
          <w:p w14:paraId="253D2AE7" w14:textId="77777777" w:rsidR="00284634" w:rsidRPr="007821D0" w:rsidRDefault="00313D4B" w:rsidP="007821D0">
            <w:pPr>
              <w:spacing w:after="0" w:line="240" w:lineRule="auto"/>
              <w:ind w:left="82" w:firstLine="0"/>
              <w:rPr>
                <w:lang w:val="sr-Latn-ME"/>
              </w:rPr>
            </w:pPr>
            <w:r w:rsidRPr="007821D0">
              <w:rPr>
                <w:lang w:val="sr-Latn-ME"/>
              </w:rPr>
              <w:t>(n=1464)</w:t>
            </w:r>
          </w:p>
        </w:tc>
        <w:tc>
          <w:tcPr>
            <w:tcW w:w="1195" w:type="dxa"/>
            <w:tcBorders>
              <w:top w:val="nil"/>
              <w:left w:val="single" w:sz="4" w:space="0" w:color="000000"/>
              <w:bottom w:val="nil"/>
              <w:right w:val="single" w:sz="4" w:space="0" w:color="000000"/>
            </w:tcBorders>
          </w:tcPr>
          <w:p w14:paraId="36A3A3A7" w14:textId="77777777" w:rsidR="00284634" w:rsidRPr="007821D0" w:rsidRDefault="00313D4B" w:rsidP="007821D0">
            <w:pPr>
              <w:spacing w:after="0" w:line="240" w:lineRule="auto"/>
              <w:ind w:left="82" w:firstLine="0"/>
              <w:rPr>
                <w:lang w:val="sr-Latn-ME"/>
              </w:rPr>
            </w:pPr>
            <w:r w:rsidRPr="007821D0">
              <w:rPr>
                <w:lang w:val="sr-Latn-ME"/>
              </w:rPr>
              <w:t>(n=1325)</w:t>
            </w:r>
          </w:p>
        </w:tc>
        <w:tc>
          <w:tcPr>
            <w:tcW w:w="1195" w:type="dxa"/>
            <w:tcBorders>
              <w:top w:val="nil"/>
              <w:left w:val="single" w:sz="4" w:space="0" w:color="000000"/>
              <w:bottom w:val="nil"/>
              <w:right w:val="single" w:sz="4" w:space="0" w:color="000000"/>
            </w:tcBorders>
          </w:tcPr>
          <w:p w14:paraId="3ECA1F4D" w14:textId="77777777" w:rsidR="00284634" w:rsidRPr="007821D0" w:rsidRDefault="00313D4B" w:rsidP="007821D0">
            <w:pPr>
              <w:spacing w:after="0" w:line="240" w:lineRule="auto"/>
              <w:ind w:left="82" w:firstLine="0"/>
              <w:rPr>
                <w:lang w:val="sr-Latn-ME"/>
              </w:rPr>
            </w:pPr>
            <w:r w:rsidRPr="007821D0">
              <w:rPr>
                <w:lang w:val="sr-Latn-ME"/>
              </w:rPr>
              <w:t>(n=1200)</w:t>
            </w:r>
          </w:p>
        </w:tc>
      </w:tr>
      <w:tr w:rsidR="00284634" w:rsidRPr="007821D0" w14:paraId="074EDB11" w14:textId="77777777">
        <w:trPr>
          <w:trHeight w:val="242"/>
        </w:trPr>
        <w:tc>
          <w:tcPr>
            <w:tcW w:w="2093" w:type="dxa"/>
            <w:tcBorders>
              <w:top w:val="nil"/>
              <w:left w:val="single" w:sz="4" w:space="0" w:color="000000"/>
              <w:bottom w:val="single" w:sz="4" w:space="0" w:color="000000"/>
              <w:right w:val="single" w:sz="4" w:space="0" w:color="000000"/>
            </w:tcBorders>
          </w:tcPr>
          <w:p w14:paraId="36750093" w14:textId="77777777" w:rsidR="00284634" w:rsidRPr="007821D0" w:rsidRDefault="00284634" w:rsidP="007821D0">
            <w:pPr>
              <w:spacing w:after="0" w:line="240" w:lineRule="auto"/>
              <w:ind w:left="0" w:firstLine="0"/>
              <w:rPr>
                <w:lang w:val="sr-Latn-ME"/>
              </w:rPr>
            </w:pPr>
          </w:p>
        </w:tc>
        <w:tc>
          <w:tcPr>
            <w:tcW w:w="2990" w:type="dxa"/>
            <w:tcBorders>
              <w:top w:val="nil"/>
              <w:left w:val="single" w:sz="4" w:space="0" w:color="000000"/>
              <w:bottom w:val="single" w:sz="4" w:space="0" w:color="000000"/>
              <w:right w:val="single" w:sz="4" w:space="0" w:color="000000"/>
            </w:tcBorders>
          </w:tcPr>
          <w:p w14:paraId="41A3D64D" w14:textId="77777777" w:rsidR="00284634" w:rsidRPr="007821D0" w:rsidRDefault="00313D4B" w:rsidP="007821D0">
            <w:pPr>
              <w:spacing w:after="0" w:line="240" w:lineRule="auto"/>
              <w:ind w:left="5" w:firstLine="0"/>
              <w:rPr>
                <w:lang w:val="sr-Latn-ME"/>
              </w:rPr>
            </w:pPr>
            <w:r w:rsidRPr="007821D0">
              <w:rPr>
                <w:lang w:val="sr-Latn-ME"/>
              </w:rPr>
              <w:t>Tamsulosin</w:t>
            </w:r>
          </w:p>
        </w:tc>
        <w:tc>
          <w:tcPr>
            <w:tcW w:w="1190" w:type="dxa"/>
            <w:tcBorders>
              <w:top w:val="nil"/>
              <w:left w:val="single" w:sz="4" w:space="0" w:color="000000"/>
              <w:bottom w:val="single" w:sz="4" w:space="0" w:color="000000"/>
              <w:right w:val="single" w:sz="4" w:space="0" w:color="000000"/>
            </w:tcBorders>
          </w:tcPr>
          <w:p w14:paraId="45612C14" w14:textId="77777777" w:rsidR="00284634" w:rsidRPr="007821D0" w:rsidRDefault="00313D4B" w:rsidP="007821D0">
            <w:pPr>
              <w:spacing w:after="0" w:line="240" w:lineRule="auto"/>
              <w:ind w:left="77" w:firstLine="0"/>
              <w:rPr>
                <w:lang w:val="sr-Latn-ME"/>
              </w:rPr>
            </w:pPr>
            <w:r w:rsidRPr="007821D0">
              <w:rPr>
                <w:lang w:val="sr-Latn-ME"/>
              </w:rPr>
              <w:t>(n=1611)</w:t>
            </w:r>
          </w:p>
        </w:tc>
        <w:tc>
          <w:tcPr>
            <w:tcW w:w="1195" w:type="dxa"/>
            <w:tcBorders>
              <w:top w:val="nil"/>
              <w:left w:val="single" w:sz="4" w:space="0" w:color="000000"/>
              <w:bottom w:val="single" w:sz="4" w:space="0" w:color="000000"/>
              <w:right w:val="single" w:sz="4" w:space="0" w:color="000000"/>
            </w:tcBorders>
          </w:tcPr>
          <w:p w14:paraId="3BE4C884" w14:textId="77777777" w:rsidR="00284634" w:rsidRPr="007821D0" w:rsidRDefault="00313D4B" w:rsidP="007821D0">
            <w:pPr>
              <w:spacing w:after="0" w:line="240" w:lineRule="auto"/>
              <w:ind w:left="82" w:firstLine="0"/>
              <w:rPr>
                <w:lang w:val="sr-Latn-ME"/>
              </w:rPr>
            </w:pPr>
            <w:r w:rsidRPr="007821D0">
              <w:rPr>
                <w:lang w:val="sr-Latn-ME"/>
              </w:rPr>
              <w:t>(n=1468)</w:t>
            </w:r>
          </w:p>
        </w:tc>
        <w:tc>
          <w:tcPr>
            <w:tcW w:w="1195" w:type="dxa"/>
            <w:tcBorders>
              <w:top w:val="nil"/>
              <w:left w:val="single" w:sz="4" w:space="0" w:color="000000"/>
              <w:bottom w:val="single" w:sz="4" w:space="0" w:color="000000"/>
              <w:right w:val="single" w:sz="4" w:space="0" w:color="000000"/>
            </w:tcBorders>
          </w:tcPr>
          <w:p w14:paraId="52ED5435" w14:textId="77777777" w:rsidR="00284634" w:rsidRPr="007821D0" w:rsidRDefault="00313D4B" w:rsidP="007821D0">
            <w:pPr>
              <w:spacing w:after="0" w:line="240" w:lineRule="auto"/>
              <w:ind w:left="82" w:firstLine="0"/>
              <w:rPr>
                <w:lang w:val="sr-Latn-ME"/>
              </w:rPr>
            </w:pPr>
            <w:r w:rsidRPr="007821D0">
              <w:rPr>
                <w:lang w:val="sr-Latn-ME"/>
              </w:rPr>
              <w:t>(n=1281)</w:t>
            </w:r>
          </w:p>
        </w:tc>
        <w:tc>
          <w:tcPr>
            <w:tcW w:w="1195" w:type="dxa"/>
            <w:tcBorders>
              <w:top w:val="nil"/>
              <w:left w:val="single" w:sz="4" w:space="0" w:color="000000"/>
              <w:bottom w:val="single" w:sz="4" w:space="0" w:color="000000"/>
              <w:right w:val="single" w:sz="4" w:space="0" w:color="000000"/>
            </w:tcBorders>
          </w:tcPr>
          <w:p w14:paraId="75C45070" w14:textId="77777777" w:rsidR="00284634" w:rsidRPr="007821D0" w:rsidRDefault="00313D4B" w:rsidP="007821D0">
            <w:pPr>
              <w:spacing w:after="0" w:line="240" w:lineRule="auto"/>
              <w:ind w:left="82" w:firstLine="0"/>
              <w:rPr>
                <w:lang w:val="sr-Latn-ME"/>
              </w:rPr>
            </w:pPr>
            <w:r w:rsidRPr="007821D0">
              <w:rPr>
                <w:lang w:val="sr-Latn-ME"/>
              </w:rPr>
              <w:t>(n=1112)</w:t>
            </w:r>
          </w:p>
        </w:tc>
      </w:tr>
      <w:tr w:rsidR="00284634" w:rsidRPr="007821D0" w14:paraId="1375F5FC" w14:textId="77777777">
        <w:trPr>
          <w:trHeight w:val="1022"/>
        </w:trPr>
        <w:tc>
          <w:tcPr>
            <w:tcW w:w="2093" w:type="dxa"/>
            <w:tcBorders>
              <w:top w:val="single" w:sz="4" w:space="0" w:color="000000"/>
              <w:left w:val="single" w:sz="4" w:space="0" w:color="000000"/>
              <w:bottom w:val="single" w:sz="4" w:space="0" w:color="000000"/>
              <w:right w:val="single" w:sz="4" w:space="0" w:color="000000"/>
            </w:tcBorders>
          </w:tcPr>
          <w:p w14:paraId="7736D0BF" w14:textId="77777777" w:rsidR="00284634" w:rsidRPr="007821D0" w:rsidRDefault="00313D4B" w:rsidP="007821D0">
            <w:pPr>
              <w:spacing w:after="0" w:line="240" w:lineRule="auto"/>
              <w:ind w:left="5" w:firstLine="0"/>
              <w:rPr>
                <w:lang w:val="sr-Latn-ME"/>
              </w:rPr>
            </w:pPr>
            <w:r w:rsidRPr="007821D0">
              <w:rPr>
                <w:lang w:val="sr-Latn-ME"/>
              </w:rPr>
              <w:lastRenderedPageBreak/>
              <w:t>Poremećaji nervnog sistema</w:t>
            </w:r>
          </w:p>
        </w:tc>
        <w:tc>
          <w:tcPr>
            <w:tcW w:w="2990" w:type="dxa"/>
            <w:tcBorders>
              <w:top w:val="single" w:sz="4" w:space="0" w:color="000000"/>
              <w:left w:val="single" w:sz="4" w:space="0" w:color="000000"/>
              <w:bottom w:val="single" w:sz="4" w:space="0" w:color="000000"/>
              <w:right w:val="single" w:sz="4" w:space="0" w:color="000000"/>
            </w:tcBorders>
          </w:tcPr>
          <w:p w14:paraId="0CF32AB9" w14:textId="77777777" w:rsidR="00284634" w:rsidRPr="007821D0" w:rsidRDefault="00313D4B" w:rsidP="007821D0">
            <w:pPr>
              <w:spacing w:after="0" w:line="240" w:lineRule="auto"/>
              <w:ind w:left="5" w:firstLine="0"/>
              <w:rPr>
                <w:lang w:val="sr-Latn-ME"/>
              </w:rPr>
            </w:pPr>
            <w:r w:rsidRPr="007821D0">
              <w:rPr>
                <w:lang w:val="sr-Latn-ME"/>
              </w:rPr>
              <w:t>Vrtoglavica</w:t>
            </w:r>
          </w:p>
          <w:p w14:paraId="67BAAE15" w14:textId="77777777" w:rsidR="00284634" w:rsidRPr="007821D0" w:rsidRDefault="00313D4B" w:rsidP="007821D0">
            <w:pPr>
              <w:spacing w:after="0" w:line="240" w:lineRule="auto"/>
              <w:ind w:left="5" w:firstLine="0"/>
              <w:rPr>
                <w:lang w:val="sr-Latn-ME"/>
              </w:rPr>
            </w:pPr>
            <w:r w:rsidRPr="007821D0">
              <w:rPr>
                <w:lang w:val="sr-Latn-ME"/>
              </w:rPr>
              <w:t>Kombinacija</w:t>
            </w:r>
            <w:r w:rsidRPr="007821D0">
              <w:rPr>
                <w:vertAlign w:val="superscript"/>
                <w:lang w:val="sr-Latn-ME"/>
              </w:rPr>
              <w:t>a</w:t>
            </w:r>
          </w:p>
          <w:p w14:paraId="7FB54247" w14:textId="77777777" w:rsidR="00284634" w:rsidRPr="007821D0" w:rsidRDefault="00313D4B" w:rsidP="007821D0">
            <w:pPr>
              <w:spacing w:after="0" w:line="240" w:lineRule="auto"/>
              <w:ind w:left="5" w:firstLine="0"/>
              <w:rPr>
                <w:lang w:val="sr-Latn-ME"/>
              </w:rPr>
            </w:pPr>
            <w:r w:rsidRPr="007821D0">
              <w:rPr>
                <w:lang w:val="sr-Latn-ME"/>
              </w:rPr>
              <w:t>Dutasterid</w:t>
            </w:r>
          </w:p>
          <w:p w14:paraId="67BC9826" w14:textId="77777777" w:rsidR="00284634" w:rsidRPr="007821D0" w:rsidRDefault="00313D4B" w:rsidP="007821D0">
            <w:pPr>
              <w:spacing w:after="0" w:line="240" w:lineRule="auto"/>
              <w:ind w:left="5" w:firstLine="0"/>
              <w:rPr>
                <w:lang w:val="sr-Latn-ME"/>
              </w:rPr>
            </w:pPr>
            <w:r w:rsidRPr="007821D0">
              <w:rPr>
                <w:lang w:val="sr-Latn-ME"/>
              </w:rPr>
              <w:t>Tamsulosin</w:t>
            </w:r>
          </w:p>
        </w:tc>
        <w:tc>
          <w:tcPr>
            <w:tcW w:w="1190" w:type="dxa"/>
            <w:tcBorders>
              <w:top w:val="single" w:sz="4" w:space="0" w:color="000000"/>
              <w:left w:val="single" w:sz="4" w:space="0" w:color="000000"/>
              <w:bottom w:val="single" w:sz="4" w:space="0" w:color="000000"/>
              <w:right w:val="single" w:sz="4" w:space="0" w:color="000000"/>
            </w:tcBorders>
            <w:vAlign w:val="bottom"/>
          </w:tcPr>
          <w:p w14:paraId="4925DB78" w14:textId="77777777" w:rsidR="00284634" w:rsidRPr="007821D0" w:rsidRDefault="00313D4B" w:rsidP="007821D0">
            <w:pPr>
              <w:spacing w:after="0" w:line="240" w:lineRule="auto"/>
              <w:ind w:left="6" w:firstLine="0"/>
              <w:jc w:val="center"/>
              <w:rPr>
                <w:lang w:val="sr-Latn-ME"/>
              </w:rPr>
            </w:pPr>
            <w:r w:rsidRPr="007821D0">
              <w:rPr>
                <w:lang w:val="sr-Latn-ME"/>
              </w:rPr>
              <w:t>1,4%</w:t>
            </w:r>
          </w:p>
          <w:p w14:paraId="4C61797D" w14:textId="77777777" w:rsidR="00284634" w:rsidRPr="007821D0" w:rsidRDefault="00313D4B" w:rsidP="007821D0">
            <w:pPr>
              <w:spacing w:after="0" w:line="240" w:lineRule="auto"/>
              <w:ind w:left="6" w:firstLine="0"/>
              <w:jc w:val="center"/>
              <w:rPr>
                <w:lang w:val="sr-Latn-ME"/>
              </w:rPr>
            </w:pPr>
            <w:r w:rsidRPr="007821D0">
              <w:rPr>
                <w:lang w:val="sr-Latn-ME"/>
              </w:rPr>
              <w:t>0,7%</w:t>
            </w:r>
          </w:p>
          <w:p w14:paraId="527E83A8" w14:textId="77777777" w:rsidR="00284634" w:rsidRPr="007821D0" w:rsidRDefault="00313D4B" w:rsidP="007821D0">
            <w:pPr>
              <w:spacing w:after="0" w:line="240" w:lineRule="auto"/>
              <w:ind w:left="6" w:firstLine="0"/>
              <w:jc w:val="center"/>
              <w:rPr>
                <w:lang w:val="sr-Latn-ME"/>
              </w:rPr>
            </w:pPr>
            <w:r w:rsidRPr="007821D0">
              <w:rPr>
                <w:lang w:val="sr-Latn-ME"/>
              </w:rPr>
              <w:t>1,3%</w:t>
            </w:r>
          </w:p>
        </w:tc>
        <w:tc>
          <w:tcPr>
            <w:tcW w:w="1195" w:type="dxa"/>
            <w:tcBorders>
              <w:top w:val="single" w:sz="4" w:space="0" w:color="000000"/>
              <w:left w:val="single" w:sz="4" w:space="0" w:color="000000"/>
              <w:bottom w:val="single" w:sz="4" w:space="0" w:color="000000"/>
              <w:right w:val="single" w:sz="4" w:space="0" w:color="000000"/>
            </w:tcBorders>
            <w:vAlign w:val="bottom"/>
          </w:tcPr>
          <w:p w14:paraId="5A8D964D" w14:textId="77777777" w:rsidR="00284634" w:rsidRPr="007821D0" w:rsidRDefault="00313D4B" w:rsidP="007821D0">
            <w:pPr>
              <w:spacing w:after="0" w:line="240" w:lineRule="auto"/>
              <w:ind w:left="11" w:firstLine="0"/>
              <w:jc w:val="center"/>
              <w:rPr>
                <w:lang w:val="sr-Latn-ME"/>
              </w:rPr>
            </w:pPr>
            <w:r w:rsidRPr="007821D0">
              <w:rPr>
                <w:lang w:val="sr-Latn-ME"/>
              </w:rPr>
              <w:t>0,1%</w:t>
            </w:r>
          </w:p>
          <w:p w14:paraId="04CBF2C0" w14:textId="77777777" w:rsidR="00284634" w:rsidRPr="007821D0" w:rsidRDefault="00313D4B" w:rsidP="007821D0">
            <w:pPr>
              <w:spacing w:after="0" w:line="240" w:lineRule="auto"/>
              <w:ind w:left="11" w:firstLine="0"/>
              <w:jc w:val="center"/>
              <w:rPr>
                <w:lang w:val="sr-Latn-ME"/>
              </w:rPr>
            </w:pPr>
            <w:r w:rsidRPr="007821D0">
              <w:rPr>
                <w:lang w:val="sr-Latn-ME"/>
              </w:rPr>
              <w:t>0,1%</w:t>
            </w:r>
          </w:p>
          <w:p w14:paraId="1F2C5D02" w14:textId="77777777" w:rsidR="00284634" w:rsidRPr="007821D0" w:rsidRDefault="00313D4B" w:rsidP="007821D0">
            <w:pPr>
              <w:spacing w:after="0" w:line="240" w:lineRule="auto"/>
              <w:ind w:left="11" w:firstLine="0"/>
              <w:jc w:val="center"/>
              <w:rPr>
                <w:lang w:val="sr-Latn-ME"/>
              </w:rPr>
            </w:pPr>
            <w:r w:rsidRPr="007821D0">
              <w:rPr>
                <w:lang w:val="sr-Latn-ME"/>
              </w:rPr>
              <w:t>0,4%</w:t>
            </w:r>
          </w:p>
        </w:tc>
        <w:tc>
          <w:tcPr>
            <w:tcW w:w="1195" w:type="dxa"/>
            <w:tcBorders>
              <w:top w:val="single" w:sz="4" w:space="0" w:color="000000"/>
              <w:left w:val="single" w:sz="4" w:space="0" w:color="000000"/>
              <w:bottom w:val="single" w:sz="4" w:space="0" w:color="000000"/>
              <w:right w:val="single" w:sz="4" w:space="0" w:color="000000"/>
            </w:tcBorders>
            <w:vAlign w:val="bottom"/>
          </w:tcPr>
          <w:p w14:paraId="03F8E47B" w14:textId="77777777" w:rsidR="00284634" w:rsidRPr="007821D0" w:rsidRDefault="00313D4B" w:rsidP="007821D0">
            <w:pPr>
              <w:spacing w:after="0" w:line="240" w:lineRule="auto"/>
              <w:ind w:left="11" w:firstLine="0"/>
              <w:jc w:val="center"/>
              <w:rPr>
                <w:lang w:val="sr-Latn-ME"/>
              </w:rPr>
            </w:pPr>
            <w:r w:rsidRPr="007821D0">
              <w:rPr>
                <w:lang w:val="sr-Latn-ME"/>
              </w:rPr>
              <w:t>&lt;0,1%</w:t>
            </w:r>
          </w:p>
          <w:p w14:paraId="7E61F27C" w14:textId="77777777" w:rsidR="00284634" w:rsidRPr="007821D0" w:rsidRDefault="00313D4B" w:rsidP="007821D0">
            <w:pPr>
              <w:spacing w:after="0" w:line="240" w:lineRule="auto"/>
              <w:ind w:left="11" w:firstLine="0"/>
              <w:jc w:val="center"/>
              <w:rPr>
                <w:lang w:val="sr-Latn-ME"/>
              </w:rPr>
            </w:pPr>
            <w:r w:rsidRPr="007821D0">
              <w:rPr>
                <w:lang w:val="sr-Latn-ME"/>
              </w:rPr>
              <w:t>&lt;0,1%</w:t>
            </w:r>
          </w:p>
          <w:p w14:paraId="0EA07AE8" w14:textId="77777777" w:rsidR="00284634" w:rsidRPr="007821D0" w:rsidRDefault="00313D4B" w:rsidP="007821D0">
            <w:pPr>
              <w:spacing w:after="0" w:line="240" w:lineRule="auto"/>
              <w:ind w:left="11" w:firstLine="0"/>
              <w:jc w:val="center"/>
              <w:rPr>
                <w:lang w:val="sr-Latn-ME"/>
              </w:rPr>
            </w:pPr>
            <w:r w:rsidRPr="007821D0">
              <w:rPr>
                <w:lang w:val="sr-Latn-ME"/>
              </w:rPr>
              <w:t>&lt;0,1%</w:t>
            </w:r>
          </w:p>
        </w:tc>
        <w:tc>
          <w:tcPr>
            <w:tcW w:w="1195" w:type="dxa"/>
            <w:tcBorders>
              <w:top w:val="single" w:sz="4" w:space="0" w:color="000000"/>
              <w:left w:val="single" w:sz="4" w:space="0" w:color="000000"/>
              <w:bottom w:val="single" w:sz="4" w:space="0" w:color="000000"/>
              <w:right w:val="single" w:sz="4" w:space="0" w:color="000000"/>
            </w:tcBorders>
            <w:vAlign w:val="bottom"/>
          </w:tcPr>
          <w:p w14:paraId="3D97D380" w14:textId="77777777" w:rsidR="00284634" w:rsidRPr="007821D0" w:rsidRDefault="00313D4B" w:rsidP="007821D0">
            <w:pPr>
              <w:spacing w:after="0" w:line="240" w:lineRule="auto"/>
              <w:ind w:left="11" w:firstLine="0"/>
              <w:jc w:val="center"/>
              <w:rPr>
                <w:lang w:val="sr-Latn-ME"/>
              </w:rPr>
            </w:pPr>
            <w:r w:rsidRPr="007821D0">
              <w:rPr>
                <w:lang w:val="sr-Latn-ME"/>
              </w:rPr>
              <w:t>0,2%</w:t>
            </w:r>
          </w:p>
          <w:p w14:paraId="04999857" w14:textId="77777777" w:rsidR="00284634" w:rsidRPr="007821D0" w:rsidRDefault="00313D4B" w:rsidP="007821D0">
            <w:pPr>
              <w:spacing w:after="0" w:line="240" w:lineRule="auto"/>
              <w:ind w:left="54" w:right="43" w:firstLine="0"/>
              <w:jc w:val="center"/>
              <w:rPr>
                <w:lang w:val="sr-Latn-ME"/>
              </w:rPr>
            </w:pPr>
            <w:r w:rsidRPr="007821D0">
              <w:rPr>
                <w:lang w:val="sr-Latn-ME"/>
              </w:rPr>
              <w:t>&lt;0,1% 0%</w:t>
            </w:r>
          </w:p>
        </w:tc>
      </w:tr>
      <w:tr w:rsidR="00284634" w:rsidRPr="007821D0" w14:paraId="561E7EE1" w14:textId="77777777">
        <w:trPr>
          <w:trHeight w:val="1277"/>
        </w:trPr>
        <w:tc>
          <w:tcPr>
            <w:tcW w:w="2093" w:type="dxa"/>
            <w:tcBorders>
              <w:top w:val="single" w:sz="4" w:space="0" w:color="000000"/>
              <w:left w:val="single" w:sz="4" w:space="0" w:color="000000"/>
              <w:bottom w:val="single" w:sz="4" w:space="0" w:color="000000"/>
              <w:right w:val="single" w:sz="4" w:space="0" w:color="000000"/>
            </w:tcBorders>
          </w:tcPr>
          <w:p w14:paraId="2F6A76C0" w14:textId="77777777" w:rsidR="00284634" w:rsidRPr="007821D0" w:rsidRDefault="00313D4B" w:rsidP="007821D0">
            <w:pPr>
              <w:spacing w:after="0" w:line="240" w:lineRule="auto"/>
              <w:ind w:left="5" w:firstLine="0"/>
              <w:rPr>
                <w:lang w:val="sr-Latn-ME"/>
              </w:rPr>
            </w:pPr>
            <w:r w:rsidRPr="007821D0">
              <w:rPr>
                <w:lang w:val="sr-Latn-ME"/>
              </w:rPr>
              <w:t>Kardiološki poremećaji</w:t>
            </w:r>
          </w:p>
        </w:tc>
        <w:tc>
          <w:tcPr>
            <w:tcW w:w="2990" w:type="dxa"/>
            <w:tcBorders>
              <w:top w:val="single" w:sz="4" w:space="0" w:color="000000"/>
              <w:left w:val="single" w:sz="4" w:space="0" w:color="000000"/>
              <w:bottom w:val="single" w:sz="4" w:space="0" w:color="000000"/>
              <w:right w:val="single" w:sz="4" w:space="0" w:color="000000"/>
            </w:tcBorders>
          </w:tcPr>
          <w:p w14:paraId="225A720D" w14:textId="77777777" w:rsidR="00284634" w:rsidRPr="007821D0" w:rsidRDefault="00313D4B" w:rsidP="007821D0">
            <w:pPr>
              <w:spacing w:after="0" w:line="240" w:lineRule="auto"/>
              <w:ind w:left="62" w:firstLine="0"/>
              <w:rPr>
                <w:lang w:val="sr-Latn-ME"/>
              </w:rPr>
            </w:pPr>
            <w:r w:rsidRPr="007821D0">
              <w:rPr>
                <w:lang w:val="sr-Latn-ME"/>
              </w:rPr>
              <w:t>Srčana insuficijencija</w:t>
            </w:r>
          </w:p>
          <w:p w14:paraId="02D62F73" w14:textId="77777777" w:rsidR="00284634" w:rsidRPr="007821D0" w:rsidRDefault="00313D4B" w:rsidP="007821D0">
            <w:pPr>
              <w:spacing w:after="0" w:line="240" w:lineRule="auto"/>
              <w:ind w:left="5" w:firstLine="0"/>
              <w:rPr>
                <w:lang w:val="sr-Latn-ME"/>
              </w:rPr>
            </w:pPr>
            <w:r w:rsidRPr="007821D0">
              <w:rPr>
                <w:lang w:val="sr-Latn-ME"/>
              </w:rPr>
              <w:t>(skup prijavljljenih događaja</w:t>
            </w:r>
            <w:r w:rsidRPr="007821D0">
              <w:rPr>
                <w:vertAlign w:val="superscript"/>
                <w:lang w:val="sr-Latn-ME"/>
              </w:rPr>
              <w:t>b</w:t>
            </w:r>
            <w:r w:rsidRPr="007821D0">
              <w:rPr>
                <w:lang w:val="sr-Latn-ME"/>
              </w:rPr>
              <w:t>)</w:t>
            </w:r>
          </w:p>
          <w:p w14:paraId="6DE6F045" w14:textId="77777777" w:rsidR="00284634" w:rsidRPr="007821D0" w:rsidRDefault="00313D4B" w:rsidP="007821D0">
            <w:pPr>
              <w:spacing w:after="0" w:line="240" w:lineRule="auto"/>
              <w:ind w:left="5" w:firstLine="0"/>
              <w:rPr>
                <w:lang w:val="sr-Latn-ME"/>
              </w:rPr>
            </w:pPr>
            <w:r w:rsidRPr="007821D0">
              <w:rPr>
                <w:lang w:val="sr-Latn-ME"/>
              </w:rPr>
              <w:t>Kombinacija</w:t>
            </w:r>
            <w:r w:rsidRPr="007821D0">
              <w:rPr>
                <w:vertAlign w:val="superscript"/>
                <w:lang w:val="sr-Latn-ME"/>
              </w:rPr>
              <w:t>a</w:t>
            </w:r>
          </w:p>
          <w:p w14:paraId="4F9C6853" w14:textId="77777777" w:rsidR="00284634" w:rsidRPr="007821D0" w:rsidRDefault="00313D4B" w:rsidP="007821D0">
            <w:pPr>
              <w:spacing w:after="0" w:line="240" w:lineRule="auto"/>
              <w:ind w:left="5" w:firstLine="0"/>
              <w:rPr>
                <w:lang w:val="sr-Latn-ME"/>
              </w:rPr>
            </w:pPr>
            <w:r w:rsidRPr="007821D0">
              <w:rPr>
                <w:lang w:val="sr-Latn-ME"/>
              </w:rPr>
              <w:t>Dutasterid</w:t>
            </w:r>
          </w:p>
          <w:p w14:paraId="3E5B203A" w14:textId="77777777" w:rsidR="00284634" w:rsidRPr="007821D0" w:rsidRDefault="00313D4B" w:rsidP="007821D0">
            <w:pPr>
              <w:spacing w:after="0" w:line="240" w:lineRule="auto"/>
              <w:ind w:left="5" w:firstLine="0"/>
              <w:rPr>
                <w:lang w:val="sr-Latn-ME"/>
              </w:rPr>
            </w:pPr>
            <w:r w:rsidRPr="007821D0">
              <w:rPr>
                <w:lang w:val="sr-Latn-ME"/>
              </w:rPr>
              <w:t>Tamsulosin</w:t>
            </w:r>
          </w:p>
        </w:tc>
        <w:tc>
          <w:tcPr>
            <w:tcW w:w="1190" w:type="dxa"/>
            <w:tcBorders>
              <w:top w:val="single" w:sz="4" w:space="0" w:color="000000"/>
              <w:left w:val="single" w:sz="4" w:space="0" w:color="000000"/>
              <w:bottom w:val="single" w:sz="4" w:space="0" w:color="000000"/>
              <w:right w:val="single" w:sz="4" w:space="0" w:color="000000"/>
            </w:tcBorders>
            <w:vAlign w:val="bottom"/>
          </w:tcPr>
          <w:p w14:paraId="48F03660" w14:textId="77777777" w:rsidR="00284634" w:rsidRPr="007821D0" w:rsidRDefault="00313D4B" w:rsidP="007821D0">
            <w:pPr>
              <w:spacing w:after="0" w:line="240" w:lineRule="auto"/>
              <w:ind w:left="6" w:firstLine="0"/>
              <w:jc w:val="center"/>
              <w:rPr>
                <w:lang w:val="sr-Latn-ME"/>
              </w:rPr>
            </w:pPr>
            <w:r w:rsidRPr="007821D0">
              <w:rPr>
                <w:lang w:val="sr-Latn-ME"/>
              </w:rPr>
              <w:t>0,2%</w:t>
            </w:r>
          </w:p>
          <w:p w14:paraId="4262CA88" w14:textId="77777777" w:rsidR="00284634" w:rsidRPr="007821D0" w:rsidRDefault="00313D4B" w:rsidP="007821D0">
            <w:pPr>
              <w:spacing w:after="0" w:line="240" w:lineRule="auto"/>
              <w:ind w:left="6" w:firstLine="0"/>
              <w:jc w:val="center"/>
              <w:rPr>
                <w:lang w:val="sr-Latn-ME"/>
              </w:rPr>
            </w:pPr>
            <w:r w:rsidRPr="007821D0">
              <w:rPr>
                <w:lang w:val="sr-Latn-ME"/>
              </w:rPr>
              <w:t>&lt;0,1%</w:t>
            </w:r>
          </w:p>
          <w:p w14:paraId="63008C16" w14:textId="77777777" w:rsidR="00284634" w:rsidRPr="007821D0" w:rsidRDefault="00313D4B" w:rsidP="007821D0">
            <w:pPr>
              <w:spacing w:after="0" w:line="240" w:lineRule="auto"/>
              <w:ind w:left="6" w:firstLine="0"/>
              <w:jc w:val="center"/>
              <w:rPr>
                <w:lang w:val="sr-Latn-ME"/>
              </w:rPr>
            </w:pPr>
            <w:r w:rsidRPr="007821D0">
              <w:rPr>
                <w:lang w:val="sr-Latn-ME"/>
              </w:rPr>
              <w:t>0,1%</w:t>
            </w:r>
          </w:p>
        </w:tc>
        <w:tc>
          <w:tcPr>
            <w:tcW w:w="1195" w:type="dxa"/>
            <w:tcBorders>
              <w:top w:val="single" w:sz="4" w:space="0" w:color="000000"/>
              <w:left w:val="single" w:sz="4" w:space="0" w:color="000000"/>
              <w:bottom w:val="single" w:sz="4" w:space="0" w:color="000000"/>
              <w:right w:val="single" w:sz="4" w:space="0" w:color="000000"/>
            </w:tcBorders>
            <w:vAlign w:val="bottom"/>
          </w:tcPr>
          <w:p w14:paraId="270B092D" w14:textId="77777777" w:rsidR="00284634" w:rsidRPr="007821D0" w:rsidRDefault="00313D4B" w:rsidP="007821D0">
            <w:pPr>
              <w:spacing w:after="0" w:line="240" w:lineRule="auto"/>
              <w:ind w:left="11" w:firstLine="0"/>
              <w:jc w:val="center"/>
              <w:rPr>
                <w:lang w:val="sr-Latn-ME"/>
              </w:rPr>
            </w:pPr>
            <w:r w:rsidRPr="007821D0">
              <w:rPr>
                <w:lang w:val="sr-Latn-ME"/>
              </w:rPr>
              <w:t>0,4%</w:t>
            </w:r>
          </w:p>
          <w:p w14:paraId="6D6BCD60" w14:textId="77777777" w:rsidR="00284634" w:rsidRPr="007821D0" w:rsidRDefault="00313D4B" w:rsidP="007821D0">
            <w:pPr>
              <w:spacing w:after="0" w:line="240" w:lineRule="auto"/>
              <w:ind w:left="11" w:firstLine="0"/>
              <w:jc w:val="center"/>
              <w:rPr>
                <w:lang w:val="sr-Latn-ME"/>
              </w:rPr>
            </w:pPr>
            <w:r w:rsidRPr="007821D0">
              <w:rPr>
                <w:lang w:val="sr-Latn-ME"/>
              </w:rPr>
              <w:t>0,1%</w:t>
            </w:r>
          </w:p>
          <w:p w14:paraId="5BB2C765" w14:textId="77777777" w:rsidR="00284634" w:rsidRPr="007821D0" w:rsidRDefault="00313D4B" w:rsidP="007821D0">
            <w:pPr>
              <w:spacing w:after="0" w:line="240" w:lineRule="auto"/>
              <w:ind w:left="11" w:firstLine="0"/>
              <w:jc w:val="center"/>
              <w:rPr>
                <w:lang w:val="sr-Latn-ME"/>
              </w:rPr>
            </w:pPr>
            <w:r w:rsidRPr="007821D0">
              <w:rPr>
                <w:lang w:val="sr-Latn-ME"/>
              </w:rPr>
              <w:t>&lt;0,1%</w:t>
            </w:r>
          </w:p>
        </w:tc>
        <w:tc>
          <w:tcPr>
            <w:tcW w:w="1195" w:type="dxa"/>
            <w:tcBorders>
              <w:top w:val="single" w:sz="4" w:space="0" w:color="000000"/>
              <w:left w:val="single" w:sz="4" w:space="0" w:color="000000"/>
              <w:bottom w:val="single" w:sz="4" w:space="0" w:color="000000"/>
              <w:right w:val="single" w:sz="4" w:space="0" w:color="000000"/>
            </w:tcBorders>
            <w:vAlign w:val="bottom"/>
          </w:tcPr>
          <w:p w14:paraId="749860B4" w14:textId="77777777" w:rsidR="00284634" w:rsidRPr="007821D0" w:rsidRDefault="00313D4B" w:rsidP="007821D0">
            <w:pPr>
              <w:spacing w:after="0" w:line="240" w:lineRule="auto"/>
              <w:ind w:left="11" w:firstLine="0"/>
              <w:jc w:val="center"/>
              <w:rPr>
                <w:lang w:val="sr-Latn-ME"/>
              </w:rPr>
            </w:pPr>
            <w:r w:rsidRPr="007821D0">
              <w:rPr>
                <w:lang w:val="sr-Latn-ME"/>
              </w:rPr>
              <w:t>0,2%</w:t>
            </w:r>
          </w:p>
          <w:p w14:paraId="14C2D2A1" w14:textId="77777777" w:rsidR="00284634" w:rsidRPr="007821D0" w:rsidRDefault="00313D4B" w:rsidP="007821D0">
            <w:pPr>
              <w:spacing w:after="0" w:line="240" w:lineRule="auto"/>
              <w:ind w:left="11" w:firstLine="0"/>
              <w:jc w:val="center"/>
              <w:rPr>
                <w:lang w:val="sr-Latn-ME"/>
              </w:rPr>
            </w:pPr>
            <w:r w:rsidRPr="007821D0">
              <w:rPr>
                <w:lang w:val="sr-Latn-ME"/>
              </w:rPr>
              <w:t>&lt;0,1%</w:t>
            </w:r>
          </w:p>
          <w:p w14:paraId="11171A12" w14:textId="77777777" w:rsidR="00284634" w:rsidRPr="007821D0" w:rsidRDefault="00313D4B" w:rsidP="007821D0">
            <w:pPr>
              <w:spacing w:after="0" w:line="240" w:lineRule="auto"/>
              <w:ind w:left="11" w:firstLine="0"/>
              <w:jc w:val="center"/>
              <w:rPr>
                <w:lang w:val="sr-Latn-ME"/>
              </w:rPr>
            </w:pPr>
            <w:r w:rsidRPr="007821D0">
              <w:rPr>
                <w:lang w:val="sr-Latn-ME"/>
              </w:rPr>
              <w:t>0,4%</w:t>
            </w:r>
          </w:p>
        </w:tc>
        <w:tc>
          <w:tcPr>
            <w:tcW w:w="1195" w:type="dxa"/>
            <w:tcBorders>
              <w:top w:val="single" w:sz="4" w:space="0" w:color="000000"/>
              <w:left w:val="single" w:sz="4" w:space="0" w:color="000000"/>
              <w:bottom w:val="single" w:sz="4" w:space="0" w:color="000000"/>
              <w:right w:val="single" w:sz="4" w:space="0" w:color="000000"/>
            </w:tcBorders>
            <w:vAlign w:val="bottom"/>
          </w:tcPr>
          <w:p w14:paraId="3E4FE521" w14:textId="77777777" w:rsidR="00284634" w:rsidRPr="007821D0" w:rsidRDefault="00313D4B" w:rsidP="007821D0">
            <w:pPr>
              <w:spacing w:after="0" w:line="240" w:lineRule="auto"/>
              <w:ind w:left="117" w:right="106" w:firstLine="0"/>
              <w:jc w:val="center"/>
              <w:rPr>
                <w:lang w:val="sr-Latn-ME"/>
              </w:rPr>
            </w:pPr>
            <w:r w:rsidRPr="007821D0">
              <w:rPr>
                <w:lang w:val="sr-Latn-ME"/>
              </w:rPr>
              <w:t>0,2% 0%</w:t>
            </w:r>
          </w:p>
          <w:p w14:paraId="1A15EC7F" w14:textId="77777777" w:rsidR="00284634" w:rsidRPr="007821D0" w:rsidRDefault="00313D4B" w:rsidP="007821D0">
            <w:pPr>
              <w:spacing w:after="0" w:line="240" w:lineRule="auto"/>
              <w:ind w:left="11" w:firstLine="0"/>
              <w:jc w:val="center"/>
              <w:rPr>
                <w:lang w:val="sr-Latn-ME"/>
              </w:rPr>
            </w:pPr>
            <w:r w:rsidRPr="007821D0">
              <w:rPr>
                <w:lang w:val="sr-Latn-ME"/>
              </w:rPr>
              <w:t>0,2%</w:t>
            </w:r>
          </w:p>
        </w:tc>
      </w:tr>
      <w:tr w:rsidR="00284634" w:rsidRPr="007821D0" w14:paraId="592230DC" w14:textId="77777777">
        <w:trPr>
          <w:trHeight w:val="807"/>
        </w:trPr>
        <w:tc>
          <w:tcPr>
            <w:tcW w:w="2093" w:type="dxa"/>
            <w:tcBorders>
              <w:top w:val="single" w:sz="4" w:space="0" w:color="000000"/>
              <w:left w:val="single" w:sz="4" w:space="0" w:color="000000"/>
              <w:bottom w:val="nil"/>
              <w:right w:val="single" w:sz="4" w:space="0" w:color="000000"/>
            </w:tcBorders>
          </w:tcPr>
          <w:p w14:paraId="6AF66729" w14:textId="77777777" w:rsidR="00284634" w:rsidRPr="007821D0" w:rsidRDefault="00313D4B" w:rsidP="007821D0">
            <w:pPr>
              <w:spacing w:after="0" w:line="240" w:lineRule="auto"/>
              <w:ind w:left="5" w:firstLine="0"/>
              <w:rPr>
                <w:lang w:val="sr-Latn-ME"/>
              </w:rPr>
            </w:pPr>
            <w:r w:rsidRPr="007821D0">
              <w:rPr>
                <w:lang w:val="sr-Latn-ME"/>
              </w:rPr>
              <w:t>Poremećaji reproduktivnog sistema i dojki</w:t>
            </w:r>
          </w:p>
        </w:tc>
        <w:tc>
          <w:tcPr>
            <w:tcW w:w="2990" w:type="dxa"/>
            <w:tcBorders>
              <w:top w:val="single" w:sz="4" w:space="0" w:color="000000"/>
              <w:left w:val="single" w:sz="4" w:space="0" w:color="000000"/>
              <w:bottom w:val="nil"/>
              <w:right w:val="single" w:sz="4" w:space="0" w:color="000000"/>
            </w:tcBorders>
          </w:tcPr>
          <w:p w14:paraId="09E07F8B" w14:textId="77777777" w:rsidR="00284634" w:rsidRPr="007821D0" w:rsidRDefault="00313D4B" w:rsidP="007821D0">
            <w:pPr>
              <w:spacing w:after="0" w:line="240" w:lineRule="auto"/>
              <w:ind w:left="5" w:firstLine="0"/>
              <w:rPr>
                <w:lang w:val="sr-Latn-ME"/>
              </w:rPr>
            </w:pPr>
            <w:r w:rsidRPr="007821D0">
              <w:rPr>
                <w:lang w:val="sr-Latn-ME"/>
              </w:rPr>
              <w:t xml:space="preserve">   Impotencija</w:t>
            </w:r>
            <w:r w:rsidRPr="007821D0">
              <w:rPr>
                <w:vertAlign w:val="superscript"/>
                <w:lang w:val="sr-Latn-ME"/>
              </w:rPr>
              <w:t>c</w:t>
            </w:r>
          </w:p>
          <w:p w14:paraId="04899D7D" w14:textId="77777777" w:rsidR="00284634" w:rsidRPr="007821D0" w:rsidRDefault="00313D4B" w:rsidP="007821D0">
            <w:pPr>
              <w:spacing w:after="0" w:line="240" w:lineRule="auto"/>
              <w:ind w:left="168" w:firstLine="0"/>
              <w:rPr>
                <w:lang w:val="sr-Latn-ME"/>
              </w:rPr>
            </w:pPr>
            <w:r w:rsidRPr="007821D0">
              <w:rPr>
                <w:lang w:val="sr-Latn-ME"/>
              </w:rPr>
              <w:t>Kombinacija</w:t>
            </w:r>
            <w:r w:rsidRPr="007821D0">
              <w:rPr>
                <w:vertAlign w:val="superscript"/>
                <w:lang w:val="sr-Latn-ME"/>
              </w:rPr>
              <w:t>a</w:t>
            </w:r>
          </w:p>
          <w:p w14:paraId="2E6B7B69" w14:textId="77777777" w:rsidR="00284634" w:rsidRPr="007821D0" w:rsidRDefault="00313D4B" w:rsidP="007821D0">
            <w:pPr>
              <w:spacing w:after="0" w:line="240" w:lineRule="auto"/>
              <w:ind w:left="168" w:firstLine="0"/>
              <w:rPr>
                <w:lang w:val="sr-Latn-ME"/>
              </w:rPr>
            </w:pPr>
            <w:r w:rsidRPr="007821D0">
              <w:rPr>
                <w:lang w:val="sr-Latn-ME"/>
              </w:rPr>
              <w:t>Dutasterid</w:t>
            </w:r>
          </w:p>
        </w:tc>
        <w:tc>
          <w:tcPr>
            <w:tcW w:w="1190" w:type="dxa"/>
            <w:tcBorders>
              <w:top w:val="single" w:sz="4" w:space="0" w:color="000000"/>
              <w:left w:val="single" w:sz="4" w:space="0" w:color="000000"/>
              <w:bottom w:val="nil"/>
              <w:right w:val="single" w:sz="4" w:space="0" w:color="000000"/>
            </w:tcBorders>
            <w:vAlign w:val="bottom"/>
          </w:tcPr>
          <w:p w14:paraId="6C6A2B0E" w14:textId="77777777" w:rsidR="00284634" w:rsidRPr="007821D0" w:rsidRDefault="00313D4B" w:rsidP="007821D0">
            <w:pPr>
              <w:spacing w:after="0" w:line="240" w:lineRule="auto"/>
              <w:ind w:left="6" w:firstLine="0"/>
              <w:jc w:val="center"/>
              <w:rPr>
                <w:lang w:val="sr-Latn-ME"/>
              </w:rPr>
            </w:pPr>
            <w:r w:rsidRPr="007821D0">
              <w:rPr>
                <w:lang w:val="sr-Latn-ME"/>
              </w:rPr>
              <w:t>6,3%</w:t>
            </w:r>
          </w:p>
          <w:p w14:paraId="4002B5F7" w14:textId="77777777" w:rsidR="00284634" w:rsidRPr="007821D0" w:rsidRDefault="00313D4B" w:rsidP="007821D0">
            <w:pPr>
              <w:spacing w:after="0" w:line="240" w:lineRule="auto"/>
              <w:ind w:left="6" w:firstLine="0"/>
              <w:jc w:val="center"/>
              <w:rPr>
                <w:lang w:val="sr-Latn-ME"/>
              </w:rPr>
            </w:pPr>
            <w:r w:rsidRPr="007821D0">
              <w:rPr>
                <w:lang w:val="sr-Latn-ME"/>
              </w:rPr>
              <w:t>5,1%</w:t>
            </w:r>
          </w:p>
        </w:tc>
        <w:tc>
          <w:tcPr>
            <w:tcW w:w="1195" w:type="dxa"/>
            <w:tcBorders>
              <w:top w:val="single" w:sz="4" w:space="0" w:color="000000"/>
              <w:left w:val="single" w:sz="4" w:space="0" w:color="000000"/>
              <w:bottom w:val="nil"/>
              <w:right w:val="single" w:sz="4" w:space="0" w:color="000000"/>
            </w:tcBorders>
            <w:vAlign w:val="bottom"/>
          </w:tcPr>
          <w:p w14:paraId="430BA490" w14:textId="77777777" w:rsidR="00284634" w:rsidRPr="007821D0" w:rsidRDefault="00313D4B" w:rsidP="007821D0">
            <w:pPr>
              <w:spacing w:after="0" w:line="240" w:lineRule="auto"/>
              <w:ind w:left="9" w:firstLine="0"/>
              <w:jc w:val="center"/>
              <w:rPr>
                <w:lang w:val="sr-Latn-ME"/>
              </w:rPr>
            </w:pPr>
            <w:r w:rsidRPr="007821D0">
              <w:rPr>
                <w:lang w:val="sr-Latn-ME"/>
              </w:rPr>
              <w:t xml:space="preserve">1,8% </w:t>
            </w:r>
          </w:p>
          <w:p w14:paraId="30B50E5E" w14:textId="77777777" w:rsidR="00284634" w:rsidRPr="007821D0" w:rsidRDefault="00313D4B" w:rsidP="007821D0">
            <w:pPr>
              <w:spacing w:after="0" w:line="240" w:lineRule="auto"/>
              <w:ind w:left="9" w:firstLine="0"/>
              <w:jc w:val="center"/>
              <w:rPr>
                <w:lang w:val="sr-Latn-ME"/>
              </w:rPr>
            </w:pPr>
            <w:r w:rsidRPr="007821D0">
              <w:rPr>
                <w:lang w:val="sr-Latn-ME"/>
              </w:rPr>
              <w:t xml:space="preserve">1,6% </w:t>
            </w:r>
          </w:p>
        </w:tc>
        <w:tc>
          <w:tcPr>
            <w:tcW w:w="1195" w:type="dxa"/>
            <w:tcBorders>
              <w:top w:val="single" w:sz="4" w:space="0" w:color="000000"/>
              <w:left w:val="single" w:sz="4" w:space="0" w:color="000000"/>
              <w:bottom w:val="nil"/>
              <w:right w:val="single" w:sz="4" w:space="0" w:color="000000"/>
            </w:tcBorders>
            <w:vAlign w:val="bottom"/>
          </w:tcPr>
          <w:p w14:paraId="2CF4EEC3" w14:textId="77777777" w:rsidR="00284634" w:rsidRPr="007821D0" w:rsidRDefault="00313D4B" w:rsidP="007821D0">
            <w:pPr>
              <w:spacing w:after="0" w:line="240" w:lineRule="auto"/>
              <w:ind w:left="11" w:firstLine="0"/>
              <w:jc w:val="center"/>
              <w:rPr>
                <w:lang w:val="sr-Latn-ME"/>
              </w:rPr>
            </w:pPr>
            <w:r w:rsidRPr="007821D0">
              <w:rPr>
                <w:lang w:val="sr-Latn-ME"/>
              </w:rPr>
              <w:t>0,9%</w:t>
            </w:r>
          </w:p>
          <w:p w14:paraId="4B7874AC" w14:textId="77777777" w:rsidR="00284634" w:rsidRPr="007821D0" w:rsidRDefault="00313D4B" w:rsidP="007821D0">
            <w:pPr>
              <w:spacing w:after="0" w:line="240" w:lineRule="auto"/>
              <w:ind w:left="11" w:firstLine="0"/>
              <w:jc w:val="center"/>
              <w:rPr>
                <w:lang w:val="sr-Latn-ME"/>
              </w:rPr>
            </w:pPr>
            <w:r w:rsidRPr="007821D0">
              <w:rPr>
                <w:lang w:val="sr-Latn-ME"/>
              </w:rPr>
              <w:t>0,6%</w:t>
            </w:r>
          </w:p>
        </w:tc>
        <w:tc>
          <w:tcPr>
            <w:tcW w:w="1195" w:type="dxa"/>
            <w:tcBorders>
              <w:top w:val="single" w:sz="4" w:space="0" w:color="000000"/>
              <w:left w:val="single" w:sz="4" w:space="0" w:color="000000"/>
              <w:bottom w:val="nil"/>
              <w:right w:val="single" w:sz="4" w:space="0" w:color="000000"/>
            </w:tcBorders>
            <w:vAlign w:val="bottom"/>
          </w:tcPr>
          <w:p w14:paraId="6720CF69" w14:textId="77777777" w:rsidR="00284634" w:rsidRPr="007821D0" w:rsidRDefault="00313D4B" w:rsidP="007821D0">
            <w:pPr>
              <w:spacing w:after="0" w:line="240" w:lineRule="auto"/>
              <w:ind w:left="11" w:firstLine="0"/>
              <w:jc w:val="center"/>
              <w:rPr>
                <w:lang w:val="sr-Latn-ME"/>
              </w:rPr>
            </w:pPr>
            <w:r w:rsidRPr="007821D0">
              <w:rPr>
                <w:lang w:val="sr-Latn-ME"/>
              </w:rPr>
              <w:t>0,4%</w:t>
            </w:r>
          </w:p>
          <w:p w14:paraId="70C1E2AE" w14:textId="77777777" w:rsidR="00284634" w:rsidRPr="007821D0" w:rsidRDefault="00313D4B" w:rsidP="007821D0">
            <w:pPr>
              <w:spacing w:after="0" w:line="240" w:lineRule="auto"/>
              <w:ind w:left="11" w:firstLine="0"/>
              <w:jc w:val="center"/>
              <w:rPr>
                <w:lang w:val="sr-Latn-ME"/>
              </w:rPr>
            </w:pPr>
            <w:r w:rsidRPr="007821D0">
              <w:rPr>
                <w:lang w:val="sr-Latn-ME"/>
              </w:rPr>
              <w:t>0,3%</w:t>
            </w:r>
          </w:p>
        </w:tc>
      </w:tr>
      <w:tr w:rsidR="00284634" w:rsidRPr="007821D0" w14:paraId="5CA76FB8" w14:textId="77777777">
        <w:trPr>
          <w:trHeight w:val="245"/>
        </w:trPr>
        <w:tc>
          <w:tcPr>
            <w:tcW w:w="2093" w:type="dxa"/>
            <w:vMerge w:val="restart"/>
            <w:tcBorders>
              <w:top w:val="nil"/>
              <w:left w:val="single" w:sz="4" w:space="0" w:color="000000"/>
              <w:bottom w:val="nil"/>
              <w:right w:val="single" w:sz="4" w:space="0" w:color="000000"/>
            </w:tcBorders>
          </w:tcPr>
          <w:p w14:paraId="0FB9474F" w14:textId="77777777" w:rsidR="00284634" w:rsidRPr="007821D0" w:rsidRDefault="00284634" w:rsidP="007821D0">
            <w:pPr>
              <w:spacing w:after="0" w:line="240" w:lineRule="auto"/>
              <w:ind w:left="0" w:firstLine="0"/>
              <w:rPr>
                <w:lang w:val="sr-Latn-ME"/>
              </w:rPr>
            </w:pPr>
          </w:p>
        </w:tc>
        <w:tc>
          <w:tcPr>
            <w:tcW w:w="2990" w:type="dxa"/>
            <w:tcBorders>
              <w:top w:val="nil"/>
              <w:left w:val="single" w:sz="4" w:space="0" w:color="000000"/>
              <w:bottom w:val="single" w:sz="4" w:space="0" w:color="000000"/>
              <w:right w:val="single" w:sz="4" w:space="0" w:color="000000"/>
            </w:tcBorders>
          </w:tcPr>
          <w:p w14:paraId="51F15DF1" w14:textId="77777777" w:rsidR="00284634" w:rsidRPr="007821D0" w:rsidRDefault="00313D4B" w:rsidP="007821D0">
            <w:pPr>
              <w:spacing w:after="0" w:line="240" w:lineRule="auto"/>
              <w:ind w:left="168" w:firstLine="0"/>
              <w:rPr>
                <w:lang w:val="sr-Latn-ME"/>
              </w:rPr>
            </w:pPr>
            <w:r w:rsidRPr="007821D0">
              <w:rPr>
                <w:lang w:val="sr-Latn-ME"/>
              </w:rPr>
              <w:t>Tamsulosin</w:t>
            </w:r>
          </w:p>
        </w:tc>
        <w:tc>
          <w:tcPr>
            <w:tcW w:w="1190" w:type="dxa"/>
            <w:tcBorders>
              <w:top w:val="nil"/>
              <w:left w:val="single" w:sz="4" w:space="0" w:color="000000"/>
              <w:bottom w:val="single" w:sz="4" w:space="0" w:color="000000"/>
              <w:right w:val="single" w:sz="4" w:space="0" w:color="000000"/>
            </w:tcBorders>
          </w:tcPr>
          <w:p w14:paraId="33ADC1E4" w14:textId="77777777" w:rsidR="00284634" w:rsidRPr="007821D0" w:rsidRDefault="00313D4B" w:rsidP="007821D0">
            <w:pPr>
              <w:spacing w:after="0" w:line="240" w:lineRule="auto"/>
              <w:ind w:left="6" w:firstLine="0"/>
              <w:jc w:val="center"/>
              <w:rPr>
                <w:lang w:val="sr-Latn-ME"/>
              </w:rPr>
            </w:pPr>
            <w:r w:rsidRPr="007821D0">
              <w:rPr>
                <w:lang w:val="sr-Latn-ME"/>
              </w:rPr>
              <w:t>3,3%</w:t>
            </w:r>
          </w:p>
        </w:tc>
        <w:tc>
          <w:tcPr>
            <w:tcW w:w="1195" w:type="dxa"/>
            <w:tcBorders>
              <w:top w:val="nil"/>
              <w:left w:val="single" w:sz="4" w:space="0" w:color="000000"/>
              <w:bottom w:val="single" w:sz="4" w:space="0" w:color="000000"/>
              <w:right w:val="single" w:sz="4" w:space="0" w:color="000000"/>
            </w:tcBorders>
          </w:tcPr>
          <w:p w14:paraId="2BF40B6A" w14:textId="77777777" w:rsidR="00284634" w:rsidRPr="007821D0" w:rsidRDefault="00313D4B" w:rsidP="007821D0">
            <w:pPr>
              <w:spacing w:after="0" w:line="240" w:lineRule="auto"/>
              <w:ind w:left="9" w:firstLine="0"/>
              <w:jc w:val="center"/>
              <w:rPr>
                <w:lang w:val="sr-Latn-ME"/>
              </w:rPr>
            </w:pPr>
            <w:r w:rsidRPr="007821D0">
              <w:rPr>
                <w:lang w:val="sr-Latn-ME"/>
              </w:rPr>
              <w:t xml:space="preserve">1,0% </w:t>
            </w:r>
          </w:p>
        </w:tc>
        <w:tc>
          <w:tcPr>
            <w:tcW w:w="1195" w:type="dxa"/>
            <w:tcBorders>
              <w:top w:val="nil"/>
              <w:left w:val="single" w:sz="4" w:space="0" w:color="000000"/>
              <w:bottom w:val="single" w:sz="4" w:space="0" w:color="000000"/>
              <w:right w:val="single" w:sz="4" w:space="0" w:color="000000"/>
            </w:tcBorders>
          </w:tcPr>
          <w:p w14:paraId="4C66B534" w14:textId="77777777" w:rsidR="00284634" w:rsidRPr="007821D0" w:rsidRDefault="00313D4B" w:rsidP="007821D0">
            <w:pPr>
              <w:spacing w:after="0" w:line="240" w:lineRule="auto"/>
              <w:ind w:left="11" w:firstLine="0"/>
              <w:jc w:val="center"/>
              <w:rPr>
                <w:lang w:val="sr-Latn-ME"/>
              </w:rPr>
            </w:pPr>
            <w:r w:rsidRPr="007821D0">
              <w:rPr>
                <w:lang w:val="sr-Latn-ME"/>
              </w:rPr>
              <w:t>0,6%</w:t>
            </w:r>
          </w:p>
        </w:tc>
        <w:tc>
          <w:tcPr>
            <w:tcW w:w="1195" w:type="dxa"/>
            <w:tcBorders>
              <w:top w:val="nil"/>
              <w:left w:val="single" w:sz="4" w:space="0" w:color="000000"/>
              <w:bottom w:val="single" w:sz="4" w:space="0" w:color="000000"/>
              <w:right w:val="single" w:sz="4" w:space="0" w:color="000000"/>
            </w:tcBorders>
          </w:tcPr>
          <w:p w14:paraId="1B42619C" w14:textId="77777777" w:rsidR="00284634" w:rsidRPr="007821D0" w:rsidRDefault="00313D4B" w:rsidP="007821D0">
            <w:pPr>
              <w:spacing w:after="0" w:line="240" w:lineRule="auto"/>
              <w:ind w:left="9" w:firstLine="0"/>
              <w:jc w:val="center"/>
              <w:rPr>
                <w:lang w:val="sr-Latn-ME"/>
              </w:rPr>
            </w:pPr>
            <w:r w:rsidRPr="007821D0">
              <w:rPr>
                <w:lang w:val="sr-Latn-ME"/>
              </w:rPr>
              <w:t xml:space="preserve">1,1% </w:t>
            </w:r>
          </w:p>
        </w:tc>
      </w:tr>
      <w:tr w:rsidR="00284634" w:rsidRPr="007821D0" w14:paraId="5FB5E7E4" w14:textId="77777777">
        <w:trPr>
          <w:trHeight w:val="545"/>
        </w:trPr>
        <w:tc>
          <w:tcPr>
            <w:tcW w:w="0" w:type="auto"/>
            <w:vMerge/>
            <w:tcBorders>
              <w:top w:val="nil"/>
              <w:left w:val="single" w:sz="4" w:space="0" w:color="000000"/>
              <w:bottom w:val="nil"/>
              <w:right w:val="single" w:sz="4" w:space="0" w:color="000000"/>
            </w:tcBorders>
            <w:vAlign w:val="center"/>
          </w:tcPr>
          <w:p w14:paraId="1E75BBB7" w14:textId="77777777" w:rsidR="00284634" w:rsidRPr="007821D0" w:rsidRDefault="00284634" w:rsidP="007821D0">
            <w:pPr>
              <w:spacing w:after="0" w:line="240" w:lineRule="auto"/>
              <w:ind w:left="0" w:firstLine="0"/>
              <w:rPr>
                <w:lang w:val="sr-Latn-ME"/>
              </w:rPr>
            </w:pPr>
          </w:p>
        </w:tc>
        <w:tc>
          <w:tcPr>
            <w:tcW w:w="2990" w:type="dxa"/>
            <w:tcBorders>
              <w:top w:val="single" w:sz="4" w:space="0" w:color="000000"/>
              <w:left w:val="single" w:sz="4" w:space="0" w:color="000000"/>
              <w:bottom w:val="nil"/>
              <w:right w:val="single" w:sz="4" w:space="0" w:color="000000"/>
            </w:tcBorders>
          </w:tcPr>
          <w:p w14:paraId="25AF151A" w14:textId="76D3497A" w:rsidR="00284634" w:rsidRPr="007821D0" w:rsidRDefault="00313D4B" w:rsidP="007821D0">
            <w:pPr>
              <w:spacing w:after="0" w:line="240" w:lineRule="auto"/>
              <w:ind w:left="168" w:hanging="163"/>
              <w:rPr>
                <w:lang w:val="sr-Latn-ME"/>
              </w:rPr>
            </w:pPr>
            <w:r w:rsidRPr="007821D0">
              <w:rPr>
                <w:lang w:val="sr-Latn-ME"/>
              </w:rPr>
              <w:t xml:space="preserve">   Izm</w:t>
            </w:r>
            <w:r w:rsidR="00137435" w:rsidRPr="007821D0">
              <w:rPr>
                <w:lang w:val="sr-Latn-ME"/>
              </w:rPr>
              <w:t>ij</w:t>
            </w:r>
            <w:r w:rsidRPr="007821D0">
              <w:rPr>
                <w:lang w:val="sr-Latn-ME"/>
              </w:rPr>
              <w:t>enjen (smanjen) libido</w:t>
            </w:r>
            <w:r w:rsidRPr="007821D0">
              <w:rPr>
                <w:vertAlign w:val="superscript"/>
                <w:lang w:val="sr-Latn-ME"/>
              </w:rPr>
              <w:t xml:space="preserve">c </w:t>
            </w:r>
            <w:r w:rsidRPr="007821D0">
              <w:rPr>
                <w:lang w:val="sr-Latn-ME"/>
              </w:rPr>
              <w:t>Kombinacija</w:t>
            </w:r>
            <w:r w:rsidRPr="007821D0">
              <w:rPr>
                <w:vertAlign w:val="superscript"/>
                <w:lang w:val="sr-Latn-ME"/>
              </w:rPr>
              <w:t>a</w:t>
            </w:r>
          </w:p>
        </w:tc>
        <w:tc>
          <w:tcPr>
            <w:tcW w:w="1190" w:type="dxa"/>
            <w:tcBorders>
              <w:top w:val="single" w:sz="4" w:space="0" w:color="000000"/>
              <w:left w:val="single" w:sz="4" w:space="0" w:color="000000"/>
              <w:bottom w:val="nil"/>
              <w:right w:val="single" w:sz="4" w:space="0" w:color="000000"/>
            </w:tcBorders>
            <w:vAlign w:val="bottom"/>
          </w:tcPr>
          <w:p w14:paraId="48C95412" w14:textId="77777777" w:rsidR="00284634" w:rsidRPr="007821D0" w:rsidRDefault="00313D4B" w:rsidP="007821D0">
            <w:pPr>
              <w:spacing w:after="0" w:line="240" w:lineRule="auto"/>
              <w:ind w:left="6" w:firstLine="0"/>
              <w:jc w:val="center"/>
              <w:rPr>
                <w:lang w:val="sr-Latn-ME"/>
              </w:rPr>
            </w:pPr>
            <w:r w:rsidRPr="007821D0">
              <w:rPr>
                <w:lang w:val="sr-Latn-ME"/>
              </w:rPr>
              <w:t>5,3%</w:t>
            </w:r>
          </w:p>
        </w:tc>
        <w:tc>
          <w:tcPr>
            <w:tcW w:w="1195" w:type="dxa"/>
            <w:tcBorders>
              <w:top w:val="single" w:sz="4" w:space="0" w:color="000000"/>
              <w:left w:val="single" w:sz="4" w:space="0" w:color="000000"/>
              <w:bottom w:val="nil"/>
              <w:right w:val="single" w:sz="4" w:space="0" w:color="000000"/>
            </w:tcBorders>
            <w:vAlign w:val="bottom"/>
          </w:tcPr>
          <w:p w14:paraId="6EAB1745" w14:textId="77777777" w:rsidR="00284634" w:rsidRPr="007821D0" w:rsidRDefault="00313D4B" w:rsidP="007821D0">
            <w:pPr>
              <w:spacing w:after="0" w:line="240" w:lineRule="auto"/>
              <w:ind w:left="11" w:firstLine="0"/>
              <w:jc w:val="center"/>
              <w:rPr>
                <w:lang w:val="sr-Latn-ME"/>
              </w:rPr>
            </w:pPr>
            <w:r w:rsidRPr="007821D0">
              <w:rPr>
                <w:lang w:val="sr-Latn-ME"/>
              </w:rPr>
              <w:t>0,8%</w:t>
            </w:r>
          </w:p>
        </w:tc>
        <w:tc>
          <w:tcPr>
            <w:tcW w:w="1195" w:type="dxa"/>
            <w:tcBorders>
              <w:top w:val="single" w:sz="4" w:space="0" w:color="000000"/>
              <w:left w:val="single" w:sz="4" w:space="0" w:color="000000"/>
              <w:bottom w:val="nil"/>
              <w:right w:val="single" w:sz="4" w:space="0" w:color="000000"/>
            </w:tcBorders>
            <w:vAlign w:val="bottom"/>
          </w:tcPr>
          <w:p w14:paraId="34A89F03" w14:textId="77777777" w:rsidR="00284634" w:rsidRPr="007821D0" w:rsidRDefault="00313D4B" w:rsidP="007821D0">
            <w:pPr>
              <w:spacing w:after="0" w:line="240" w:lineRule="auto"/>
              <w:ind w:left="11" w:firstLine="0"/>
              <w:jc w:val="center"/>
              <w:rPr>
                <w:lang w:val="sr-Latn-ME"/>
              </w:rPr>
            </w:pPr>
            <w:r w:rsidRPr="007821D0">
              <w:rPr>
                <w:lang w:val="sr-Latn-ME"/>
              </w:rPr>
              <w:t>0,2%</w:t>
            </w:r>
          </w:p>
        </w:tc>
        <w:tc>
          <w:tcPr>
            <w:tcW w:w="1195" w:type="dxa"/>
            <w:tcBorders>
              <w:top w:val="single" w:sz="4" w:space="0" w:color="000000"/>
              <w:left w:val="single" w:sz="4" w:space="0" w:color="000000"/>
              <w:bottom w:val="nil"/>
              <w:right w:val="single" w:sz="4" w:space="0" w:color="000000"/>
            </w:tcBorders>
            <w:vAlign w:val="bottom"/>
          </w:tcPr>
          <w:p w14:paraId="43E91420" w14:textId="77777777" w:rsidR="00284634" w:rsidRPr="007821D0" w:rsidRDefault="00313D4B" w:rsidP="007821D0">
            <w:pPr>
              <w:spacing w:after="0" w:line="240" w:lineRule="auto"/>
              <w:ind w:left="6" w:firstLine="0"/>
              <w:jc w:val="center"/>
              <w:rPr>
                <w:lang w:val="sr-Latn-ME"/>
              </w:rPr>
            </w:pPr>
            <w:r w:rsidRPr="007821D0">
              <w:rPr>
                <w:lang w:val="sr-Latn-ME"/>
              </w:rPr>
              <w:t>0%</w:t>
            </w:r>
          </w:p>
        </w:tc>
      </w:tr>
      <w:tr w:rsidR="00284634" w:rsidRPr="007821D0" w14:paraId="7921BDA6" w14:textId="77777777">
        <w:trPr>
          <w:trHeight w:val="264"/>
        </w:trPr>
        <w:tc>
          <w:tcPr>
            <w:tcW w:w="2093" w:type="dxa"/>
            <w:tcBorders>
              <w:top w:val="nil"/>
              <w:left w:val="single" w:sz="4" w:space="0" w:color="000000"/>
              <w:bottom w:val="nil"/>
              <w:right w:val="single" w:sz="4" w:space="0" w:color="000000"/>
            </w:tcBorders>
          </w:tcPr>
          <w:p w14:paraId="608DEE9E" w14:textId="77777777" w:rsidR="00284634" w:rsidRPr="007821D0" w:rsidRDefault="00284634" w:rsidP="007821D0">
            <w:pPr>
              <w:spacing w:after="0" w:line="240" w:lineRule="auto"/>
              <w:ind w:left="0" w:firstLine="0"/>
              <w:rPr>
                <w:lang w:val="sr-Latn-ME"/>
              </w:rPr>
            </w:pPr>
          </w:p>
        </w:tc>
        <w:tc>
          <w:tcPr>
            <w:tcW w:w="2990" w:type="dxa"/>
            <w:tcBorders>
              <w:top w:val="nil"/>
              <w:left w:val="single" w:sz="4" w:space="0" w:color="000000"/>
              <w:bottom w:val="nil"/>
              <w:right w:val="single" w:sz="4" w:space="0" w:color="000000"/>
            </w:tcBorders>
          </w:tcPr>
          <w:p w14:paraId="4008069B" w14:textId="77777777" w:rsidR="00284634" w:rsidRPr="007821D0" w:rsidRDefault="00313D4B" w:rsidP="007821D0">
            <w:pPr>
              <w:spacing w:after="0" w:line="240" w:lineRule="auto"/>
              <w:ind w:left="168" w:firstLine="0"/>
              <w:rPr>
                <w:lang w:val="sr-Latn-ME"/>
              </w:rPr>
            </w:pPr>
            <w:r w:rsidRPr="007821D0">
              <w:rPr>
                <w:lang w:val="sr-Latn-ME"/>
              </w:rPr>
              <w:t>Dutasterid</w:t>
            </w:r>
          </w:p>
        </w:tc>
        <w:tc>
          <w:tcPr>
            <w:tcW w:w="1190" w:type="dxa"/>
            <w:tcBorders>
              <w:top w:val="nil"/>
              <w:left w:val="single" w:sz="4" w:space="0" w:color="000000"/>
              <w:bottom w:val="nil"/>
              <w:right w:val="single" w:sz="4" w:space="0" w:color="000000"/>
            </w:tcBorders>
          </w:tcPr>
          <w:p w14:paraId="0EF22EAB" w14:textId="77777777" w:rsidR="00284634" w:rsidRPr="007821D0" w:rsidRDefault="00313D4B" w:rsidP="007821D0">
            <w:pPr>
              <w:spacing w:after="0" w:line="240" w:lineRule="auto"/>
              <w:ind w:left="6" w:firstLine="0"/>
              <w:jc w:val="center"/>
              <w:rPr>
                <w:lang w:val="sr-Latn-ME"/>
              </w:rPr>
            </w:pPr>
            <w:r w:rsidRPr="007821D0">
              <w:rPr>
                <w:lang w:val="sr-Latn-ME"/>
              </w:rPr>
              <w:t>3,8%</w:t>
            </w:r>
          </w:p>
        </w:tc>
        <w:tc>
          <w:tcPr>
            <w:tcW w:w="1195" w:type="dxa"/>
            <w:tcBorders>
              <w:top w:val="nil"/>
              <w:left w:val="single" w:sz="4" w:space="0" w:color="000000"/>
              <w:bottom w:val="nil"/>
              <w:right w:val="single" w:sz="4" w:space="0" w:color="000000"/>
            </w:tcBorders>
          </w:tcPr>
          <w:p w14:paraId="7BF51F19" w14:textId="77777777" w:rsidR="00284634" w:rsidRPr="007821D0" w:rsidRDefault="00313D4B" w:rsidP="007821D0">
            <w:pPr>
              <w:spacing w:after="0" w:line="240" w:lineRule="auto"/>
              <w:ind w:left="11" w:firstLine="0"/>
              <w:jc w:val="center"/>
              <w:rPr>
                <w:lang w:val="sr-Latn-ME"/>
              </w:rPr>
            </w:pPr>
            <w:r w:rsidRPr="007821D0">
              <w:rPr>
                <w:lang w:val="sr-Latn-ME"/>
              </w:rPr>
              <w:t>1,0%</w:t>
            </w:r>
          </w:p>
        </w:tc>
        <w:tc>
          <w:tcPr>
            <w:tcW w:w="1195" w:type="dxa"/>
            <w:tcBorders>
              <w:top w:val="nil"/>
              <w:left w:val="single" w:sz="4" w:space="0" w:color="000000"/>
              <w:bottom w:val="nil"/>
              <w:right w:val="single" w:sz="4" w:space="0" w:color="000000"/>
            </w:tcBorders>
          </w:tcPr>
          <w:p w14:paraId="05B6FF24" w14:textId="77777777" w:rsidR="00284634" w:rsidRPr="007821D0" w:rsidRDefault="00313D4B" w:rsidP="007821D0">
            <w:pPr>
              <w:spacing w:after="0" w:line="240" w:lineRule="auto"/>
              <w:ind w:left="11" w:firstLine="0"/>
              <w:jc w:val="center"/>
              <w:rPr>
                <w:lang w:val="sr-Latn-ME"/>
              </w:rPr>
            </w:pPr>
            <w:r w:rsidRPr="007821D0">
              <w:rPr>
                <w:lang w:val="sr-Latn-ME"/>
              </w:rPr>
              <w:t>0,2%</w:t>
            </w:r>
          </w:p>
        </w:tc>
        <w:tc>
          <w:tcPr>
            <w:tcW w:w="1195" w:type="dxa"/>
            <w:tcBorders>
              <w:top w:val="nil"/>
              <w:left w:val="single" w:sz="4" w:space="0" w:color="000000"/>
              <w:bottom w:val="nil"/>
              <w:right w:val="single" w:sz="4" w:space="0" w:color="000000"/>
            </w:tcBorders>
          </w:tcPr>
          <w:p w14:paraId="5866C1B2" w14:textId="77777777" w:rsidR="00284634" w:rsidRPr="007821D0" w:rsidRDefault="00313D4B" w:rsidP="007821D0">
            <w:pPr>
              <w:spacing w:after="0" w:line="240" w:lineRule="auto"/>
              <w:ind w:left="6" w:firstLine="0"/>
              <w:jc w:val="center"/>
              <w:rPr>
                <w:lang w:val="sr-Latn-ME"/>
              </w:rPr>
            </w:pPr>
            <w:r w:rsidRPr="007821D0">
              <w:rPr>
                <w:lang w:val="sr-Latn-ME"/>
              </w:rPr>
              <w:t>0%</w:t>
            </w:r>
          </w:p>
        </w:tc>
      </w:tr>
      <w:tr w:rsidR="00284634" w:rsidRPr="007821D0" w14:paraId="316C670F" w14:textId="77777777">
        <w:trPr>
          <w:trHeight w:val="242"/>
        </w:trPr>
        <w:tc>
          <w:tcPr>
            <w:tcW w:w="2093" w:type="dxa"/>
            <w:vMerge w:val="restart"/>
            <w:tcBorders>
              <w:top w:val="nil"/>
              <w:left w:val="single" w:sz="4" w:space="0" w:color="000000"/>
              <w:bottom w:val="nil"/>
              <w:right w:val="single" w:sz="4" w:space="0" w:color="000000"/>
            </w:tcBorders>
          </w:tcPr>
          <w:p w14:paraId="1E759067" w14:textId="77777777" w:rsidR="00284634" w:rsidRPr="007821D0" w:rsidRDefault="00284634" w:rsidP="007821D0">
            <w:pPr>
              <w:spacing w:after="0" w:line="240" w:lineRule="auto"/>
              <w:ind w:left="0" w:firstLine="0"/>
              <w:rPr>
                <w:lang w:val="sr-Latn-ME"/>
              </w:rPr>
            </w:pPr>
          </w:p>
        </w:tc>
        <w:tc>
          <w:tcPr>
            <w:tcW w:w="2990" w:type="dxa"/>
            <w:tcBorders>
              <w:top w:val="nil"/>
              <w:left w:val="single" w:sz="4" w:space="0" w:color="000000"/>
              <w:bottom w:val="single" w:sz="4" w:space="0" w:color="000000"/>
              <w:right w:val="single" w:sz="4" w:space="0" w:color="000000"/>
            </w:tcBorders>
          </w:tcPr>
          <w:p w14:paraId="1F318614" w14:textId="77777777" w:rsidR="00284634" w:rsidRPr="007821D0" w:rsidRDefault="00313D4B" w:rsidP="007821D0">
            <w:pPr>
              <w:spacing w:after="0" w:line="240" w:lineRule="auto"/>
              <w:ind w:left="168" w:firstLine="0"/>
              <w:rPr>
                <w:lang w:val="sr-Latn-ME"/>
              </w:rPr>
            </w:pPr>
            <w:r w:rsidRPr="007821D0">
              <w:rPr>
                <w:lang w:val="sr-Latn-ME"/>
              </w:rPr>
              <w:t>Tamsulosin</w:t>
            </w:r>
          </w:p>
        </w:tc>
        <w:tc>
          <w:tcPr>
            <w:tcW w:w="1190" w:type="dxa"/>
            <w:tcBorders>
              <w:top w:val="nil"/>
              <w:left w:val="single" w:sz="4" w:space="0" w:color="000000"/>
              <w:bottom w:val="single" w:sz="4" w:space="0" w:color="000000"/>
              <w:right w:val="single" w:sz="4" w:space="0" w:color="000000"/>
            </w:tcBorders>
          </w:tcPr>
          <w:p w14:paraId="49F16BC1" w14:textId="77777777" w:rsidR="00284634" w:rsidRPr="007821D0" w:rsidRDefault="00313D4B" w:rsidP="007821D0">
            <w:pPr>
              <w:spacing w:after="0" w:line="240" w:lineRule="auto"/>
              <w:ind w:left="6" w:firstLine="0"/>
              <w:jc w:val="center"/>
              <w:rPr>
                <w:lang w:val="sr-Latn-ME"/>
              </w:rPr>
            </w:pPr>
            <w:r w:rsidRPr="007821D0">
              <w:rPr>
                <w:lang w:val="sr-Latn-ME"/>
              </w:rPr>
              <w:t>2,5%</w:t>
            </w:r>
          </w:p>
        </w:tc>
        <w:tc>
          <w:tcPr>
            <w:tcW w:w="1195" w:type="dxa"/>
            <w:tcBorders>
              <w:top w:val="nil"/>
              <w:left w:val="single" w:sz="4" w:space="0" w:color="000000"/>
              <w:bottom w:val="single" w:sz="4" w:space="0" w:color="000000"/>
              <w:right w:val="single" w:sz="4" w:space="0" w:color="000000"/>
            </w:tcBorders>
          </w:tcPr>
          <w:p w14:paraId="4DBFB7AF" w14:textId="77777777" w:rsidR="00284634" w:rsidRPr="007821D0" w:rsidRDefault="00313D4B" w:rsidP="007821D0">
            <w:pPr>
              <w:spacing w:after="0" w:line="240" w:lineRule="auto"/>
              <w:ind w:left="11" w:firstLine="0"/>
              <w:jc w:val="center"/>
              <w:rPr>
                <w:lang w:val="sr-Latn-ME"/>
              </w:rPr>
            </w:pPr>
            <w:r w:rsidRPr="007821D0">
              <w:rPr>
                <w:lang w:val="sr-Latn-ME"/>
              </w:rPr>
              <w:t>0,7%</w:t>
            </w:r>
          </w:p>
        </w:tc>
        <w:tc>
          <w:tcPr>
            <w:tcW w:w="1195" w:type="dxa"/>
            <w:tcBorders>
              <w:top w:val="nil"/>
              <w:left w:val="single" w:sz="4" w:space="0" w:color="000000"/>
              <w:bottom w:val="single" w:sz="4" w:space="0" w:color="000000"/>
              <w:right w:val="single" w:sz="4" w:space="0" w:color="000000"/>
            </w:tcBorders>
          </w:tcPr>
          <w:p w14:paraId="4EF695FB" w14:textId="77777777" w:rsidR="00284634" w:rsidRPr="007821D0" w:rsidRDefault="00313D4B" w:rsidP="007821D0">
            <w:pPr>
              <w:spacing w:after="0" w:line="240" w:lineRule="auto"/>
              <w:ind w:left="11" w:firstLine="0"/>
              <w:jc w:val="center"/>
              <w:rPr>
                <w:lang w:val="sr-Latn-ME"/>
              </w:rPr>
            </w:pPr>
            <w:r w:rsidRPr="007821D0">
              <w:rPr>
                <w:lang w:val="sr-Latn-ME"/>
              </w:rPr>
              <w:t>0,2%</w:t>
            </w:r>
          </w:p>
        </w:tc>
        <w:tc>
          <w:tcPr>
            <w:tcW w:w="1195" w:type="dxa"/>
            <w:tcBorders>
              <w:top w:val="nil"/>
              <w:left w:val="single" w:sz="4" w:space="0" w:color="000000"/>
              <w:bottom w:val="single" w:sz="4" w:space="0" w:color="000000"/>
              <w:right w:val="single" w:sz="4" w:space="0" w:color="000000"/>
            </w:tcBorders>
          </w:tcPr>
          <w:p w14:paraId="64E49D1E" w14:textId="77777777" w:rsidR="00284634" w:rsidRPr="007821D0" w:rsidRDefault="00313D4B" w:rsidP="007821D0">
            <w:pPr>
              <w:spacing w:after="0" w:line="240" w:lineRule="auto"/>
              <w:ind w:left="9" w:firstLine="0"/>
              <w:jc w:val="center"/>
              <w:rPr>
                <w:lang w:val="sr-Latn-ME"/>
              </w:rPr>
            </w:pPr>
            <w:r w:rsidRPr="007821D0">
              <w:rPr>
                <w:lang w:val="sr-Latn-ME"/>
              </w:rPr>
              <w:t xml:space="preserve">&lt;0,1% </w:t>
            </w:r>
          </w:p>
        </w:tc>
      </w:tr>
      <w:tr w:rsidR="00284634" w:rsidRPr="007821D0" w14:paraId="4ED67A73" w14:textId="77777777">
        <w:trPr>
          <w:trHeight w:val="545"/>
        </w:trPr>
        <w:tc>
          <w:tcPr>
            <w:tcW w:w="0" w:type="auto"/>
            <w:vMerge/>
            <w:tcBorders>
              <w:top w:val="nil"/>
              <w:left w:val="single" w:sz="4" w:space="0" w:color="000000"/>
              <w:bottom w:val="nil"/>
              <w:right w:val="single" w:sz="4" w:space="0" w:color="000000"/>
            </w:tcBorders>
          </w:tcPr>
          <w:p w14:paraId="26BA7827" w14:textId="77777777" w:rsidR="00284634" w:rsidRPr="007821D0" w:rsidRDefault="00284634" w:rsidP="007821D0">
            <w:pPr>
              <w:spacing w:after="0" w:line="240" w:lineRule="auto"/>
              <w:ind w:left="0" w:firstLine="0"/>
              <w:rPr>
                <w:lang w:val="sr-Latn-ME"/>
              </w:rPr>
            </w:pPr>
          </w:p>
        </w:tc>
        <w:tc>
          <w:tcPr>
            <w:tcW w:w="2990" w:type="dxa"/>
            <w:tcBorders>
              <w:top w:val="single" w:sz="4" w:space="0" w:color="000000"/>
              <w:left w:val="single" w:sz="4" w:space="0" w:color="000000"/>
              <w:bottom w:val="nil"/>
              <w:right w:val="single" w:sz="4" w:space="0" w:color="000000"/>
            </w:tcBorders>
          </w:tcPr>
          <w:p w14:paraId="5AA03181" w14:textId="77777777" w:rsidR="00284634" w:rsidRPr="007821D0" w:rsidRDefault="00313D4B" w:rsidP="007821D0">
            <w:pPr>
              <w:spacing w:after="0" w:line="240" w:lineRule="auto"/>
              <w:ind w:left="168" w:hanging="163"/>
              <w:rPr>
                <w:lang w:val="sr-Latn-ME"/>
              </w:rPr>
            </w:pPr>
            <w:r w:rsidRPr="007821D0">
              <w:rPr>
                <w:lang w:val="sr-Latn-ME"/>
              </w:rPr>
              <w:t xml:space="preserve">   Poremećaji ejakulacije</w:t>
            </w:r>
            <w:r w:rsidRPr="007821D0">
              <w:rPr>
                <w:vertAlign w:val="superscript"/>
                <w:lang w:val="sr-Latn-ME"/>
              </w:rPr>
              <w:t>c</w:t>
            </w:r>
            <w:r w:rsidRPr="007821D0">
              <w:rPr>
                <w:lang w:val="sr-Latn-ME"/>
              </w:rPr>
              <w:t>^ Kombinacija</w:t>
            </w:r>
            <w:r w:rsidRPr="007821D0">
              <w:rPr>
                <w:vertAlign w:val="superscript"/>
                <w:lang w:val="sr-Latn-ME"/>
              </w:rPr>
              <w:t>a</w:t>
            </w:r>
          </w:p>
        </w:tc>
        <w:tc>
          <w:tcPr>
            <w:tcW w:w="1190" w:type="dxa"/>
            <w:tcBorders>
              <w:top w:val="single" w:sz="4" w:space="0" w:color="000000"/>
              <w:left w:val="single" w:sz="4" w:space="0" w:color="000000"/>
              <w:bottom w:val="nil"/>
              <w:right w:val="single" w:sz="4" w:space="0" w:color="000000"/>
            </w:tcBorders>
            <w:vAlign w:val="bottom"/>
          </w:tcPr>
          <w:p w14:paraId="4E980AB0" w14:textId="77777777" w:rsidR="00284634" w:rsidRPr="007821D0" w:rsidRDefault="00313D4B" w:rsidP="007821D0">
            <w:pPr>
              <w:spacing w:after="0" w:line="240" w:lineRule="auto"/>
              <w:ind w:left="6" w:firstLine="0"/>
              <w:jc w:val="center"/>
              <w:rPr>
                <w:lang w:val="sr-Latn-ME"/>
              </w:rPr>
            </w:pPr>
            <w:r w:rsidRPr="007821D0">
              <w:rPr>
                <w:lang w:val="sr-Latn-ME"/>
              </w:rPr>
              <w:t>9,0%</w:t>
            </w:r>
          </w:p>
        </w:tc>
        <w:tc>
          <w:tcPr>
            <w:tcW w:w="1195" w:type="dxa"/>
            <w:tcBorders>
              <w:top w:val="single" w:sz="4" w:space="0" w:color="000000"/>
              <w:left w:val="single" w:sz="4" w:space="0" w:color="000000"/>
              <w:bottom w:val="nil"/>
              <w:right w:val="single" w:sz="4" w:space="0" w:color="000000"/>
            </w:tcBorders>
            <w:vAlign w:val="bottom"/>
          </w:tcPr>
          <w:p w14:paraId="39DEE033" w14:textId="77777777" w:rsidR="00284634" w:rsidRPr="007821D0" w:rsidRDefault="00313D4B" w:rsidP="007821D0">
            <w:pPr>
              <w:spacing w:after="0" w:line="240" w:lineRule="auto"/>
              <w:ind w:left="11" w:firstLine="0"/>
              <w:jc w:val="center"/>
              <w:rPr>
                <w:lang w:val="sr-Latn-ME"/>
              </w:rPr>
            </w:pPr>
            <w:r w:rsidRPr="007821D0">
              <w:rPr>
                <w:lang w:val="sr-Latn-ME"/>
              </w:rPr>
              <w:t>1,0%</w:t>
            </w:r>
          </w:p>
        </w:tc>
        <w:tc>
          <w:tcPr>
            <w:tcW w:w="1195" w:type="dxa"/>
            <w:tcBorders>
              <w:top w:val="single" w:sz="4" w:space="0" w:color="000000"/>
              <w:left w:val="single" w:sz="4" w:space="0" w:color="000000"/>
              <w:bottom w:val="nil"/>
              <w:right w:val="single" w:sz="4" w:space="0" w:color="000000"/>
            </w:tcBorders>
            <w:vAlign w:val="bottom"/>
          </w:tcPr>
          <w:p w14:paraId="364BCB56" w14:textId="77777777" w:rsidR="00284634" w:rsidRPr="007821D0" w:rsidRDefault="00313D4B" w:rsidP="007821D0">
            <w:pPr>
              <w:spacing w:after="0" w:line="240" w:lineRule="auto"/>
              <w:ind w:left="11" w:firstLine="0"/>
              <w:jc w:val="center"/>
              <w:rPr>
                <w:lang w:val="sr-Latn-ME"/>
              </w:rPr>
            </w:pPr>
            <w:r w:rsidRPr="007821D0">
              <w:rPr>
                <w:lang w:val="sr-Latn-ME"/>
              </w:rPr>
              <w:t>0,5%</w:t>
            </w:r>
          </w:p>
        </w:tc>
        <w:tc>
          <w:tcPr>
            <w:tcW w:w="1195" w:type="dxa"/>
            <w:tcBorders>
              <w:top w:val="single" w:sz="4" w:space="0" w:color="000000"/>
              <w:left w:val="single" w:sz="4" w:space="0" w:color="000000"/>
              <w:bottom w:val="nil"/>
              <w:right w:val="single" w:sz="4" w:space="0" w:color="000000"/>
            </w:tcBorders>
            <w:vAlign w:val="bottom"/>
          </w:tcPr>
          <w:p w14:paraId="14C46EAC" w14:textId="77777777" w:rsidR="00284634" w:rsidRPr="007821D0" w:rsidRDefault="00313D4B" w:rsidP="007821D0">
            <w:pPr>
              <w:spacing w:after="0" w:line="240" w:lineRule="auto"/>
              <w:ind w:left="11" w:firstLine="0"/>
              <w:jc w:val="center"/>
              <w:rPr>
                <w:lang w:val="sr-Latn-ME"/>
              </w:rPr>
            </w:pPr>
            <w:r w:rsidRPr="007821D0">
              <w:rPr>
                <w:lang w:val="sr-Latn-ME"/>
              </w:rPr>
              <w:t>&lt;0,1%</w:t>
            </w:r>
          </w:p>
        </w:tc>
      </w:tr>
      <w:tr w:rsidR="00284634" w:rsidRPr="007821D0" w14:paraId="6BAC97A2" w14:textId="77777777">
        <w:trPr>
          <w:trHeight w:val="264"/>
        </w:trPr>
        <w:tc>
          <w:tcPr>
            <w:tcW w:w="2093" w:type="dxa"/>
            <w:tcBorders>
              <w:top w:val="nil"/>
              <w:left w:val="single" w:sz="4" w:space="0" w:color="000000"/>
              <w:bottom w:val="nil"/>
              <w:right w:val="single" w:sz="4" w:space="0" w:color="000000"/>
            </w:tcBorders>
          </w:tcPr>
          <w:p w14:paraId="15246FF0" w14:textId="77777777" w:rsidR="00284634" w:rsidRPr="007821D0" w:rsidRDefault="00284634" w:rsidP="007821D0">
            <w:pPr>
              <w:spacing w:after="0" w:line="240" w:lineRule="auto"/>
              <w:ind w:left="0" w:firstLine="0"/>
              <w:rPr>
                <w:lang w:val="sr-Latn-ME"/>
              </w:rPr>
            </w:pPr>
          </w:p>
        </w:tc>
        <w:tc>
          <w:tcPr>
            <w:tcW w:w="2990" w:type="dxa"/>
            <w:tcBorders>
              <w:top w:val="nil"/>
              <w:left w:val="single" w:sz="4" w:space="0" w:color="000000"/>
              <w:bottom w:val="nil"/>
              <w:right w:val="single" w:sz="4" w:space="0" w:color="000000"/>
            </w:tcBorders>
          </w:tcPr>
          <w:p w14:paraId="31E6FBB7" w14:textId="77777777" w:rsidR="00284634" w:rsidRPr="007821D0" w:rsidRDefault="00313D4B" w:rsidP="007821D0">
            <w:pPr>
              <w:spacing w:after="0" w:line="240" w:lineRule="auto"/>
              <w:ind w:left="168" w:firstLine="0"/>
              <w:rPr>
                <w:lang w:val="sr-Latn-ME"/>
              </w:rPr>
            </w:pPr>
            <w:r w:rsidRPr="007821D0">
              <w:rPr>
                <w:lang w:val="sr-Latn-ME"/>
              </w:rPr>
              <w:t>Dutasterid</w:t>
            </w:r>
          </w:p>
        </w:tc>
        <w:tc>
          <w:tcPr>
            <w:tcW w:w="1190" w:type="dxa"/>
            <w:tcBorders>
              <w:top w:val="nil"/>
              <w:left w:val="single" w:sz="4" w:space="0" w:color="000000"/>
              <w:bottom w:val="nil"/>
              <w:right w:val="single" w:sz="4" w:space="0" w:color="000000"/>
            </w:tcBorders>
          </w:tcPr>
          <w:p w14:paraId="055377CC" w14:textId="77777777" w:rsidR="00284634" w:rsidRPr="007821D0" w:rsidRDefault="00313D4B" w:rsidP="007821D0">
            <w:pPr>
              <w:spacing w:after="0" w:line="240" w:lineRule="auto"/>
              <w:ind w:left="6" w:firstLine="0"/>
              <w:jc w:val="center"/>
              <w:rPr>
                <w:lang w:val="sr-Latn-ME"/>
              </w:rPr>
            </w:pPr>
            <w:r w:rsidRPr="007821D0">
              <w:rPr>
                <w:lang w:val="sr-Latn-ME"/>
              </w:rPr>
              <w:t>1,5%</w:t>
            </w:r>
          </w:p>
        </w:tc>
        <w:tc>
          <w:tcPr>
            <w:tcW w:w="1195" w:type="dxa"/>
            <w:tcBorders>
              <w:top w:val="nil"/>
              <w:left w:val="single" w:sz="4" w:space="0" w:color="000000"/>
              <w:bottom w:val="nil"/>
              <w:right w:val="single" w:sz="4" w:space="0" w:color="000000"/>
            </w:tcBorders>
          </w:tcPr>
          <w:p w14:paraId="6E277831" w14:textId="77777777" w:rsidR="00284634" w:rsidRPr="007821D0" w:rsidRDefault="00313D4B" w:rsidP="007821D0">
            <w:pPr>
              <w:spacing w:after="0" w:line="240" w:lineRule="auto"/>
              <w:ind w:left="11" w:firstLine="0"/>
              <w:jc w:val="center"/>
              <w:rPr>
                <w:lang w:val="sr-Latn-ME"/>
              </w:rPr>
            </w:pPr>
            <w:r w:rsidRPr="007821D0">
              <w:rPr>
                <w:lang w:val="sr-Latn-ME"/>
              </w:rPr>
              <w:t>0,5%</w:t>
            </w:r>
          </w:p>
        </w:tc>
        <w:tc>
          <w:tcPr>
            <w:tcW w:w="1195" w:type="dxa"/>
            <w:tcBorders>
              <w:top w:val="nil"/>
              <w:left w:val="single" w:sz="4" w:space="0" w:color="000000"/>
              <w:bottom w:val="nil"/>
              <w:right w:val="single" w:sz="4" w:space="0" w:color="000000"/>
            </w:tcBorders>
          </w:tcPr>
          <w:p w14:paraId="7B3ADAA5" w14:textId="77777777" w:rsidR="00284634" w:rsidRPr="007821D0" w:rsidRDefault="00313D4B" w:rsidP="007821D0">
            <w:pPr>
              <w:spacing w:after="0" w:line="240" w:lineRule="auto"/>
              <w:ind w:left="11" w:firstLine="0"/>
              <w:jc w:val="center"/>
              <w:rPr>
                <w:lang w:val="sr-Latn-ME"/>
              </w:rPr>
            </w:pPr>
            <w:r w:rsidRPr="007821D0">
              <w:rPr>
                <w:lang w:val="sr-Latn-ME"/>
              </w:rPr>
              <w:t>0,2%</w:t>
            </w:r>
          </w:p>
        </w:tc>
        <w:tc>
          <w:tcPr>
            <w:tcW w:w="1195" w:type="dxa"/>
            <w:tcBorders>
              <w:top w:val="nil"/>
              <w:left w:val="single" w:sz="4" w:space="0" w:color="000000"/>
              <w:bottom w:val="nil"/>
              <w:right w:val="single" w:sz="4" w:space="0" w:color="000000"/>
            </w:tcBorders>
          </w:tcPr>
          <w:p w14:paraId="1BE2ED0C" w14:textId="77777777" w:rsidR="00284634" w:rsidRPr="007821D0" w:rsidRDefault="00313D4B" w:rsidP="007821D0">
            <w:pPr>
              <w:spacing w:after="0" w:line="240" w:lineRule="auto"/>
              <w:ind w:left="11" w:firstLine="0"/>
              <w:jc w:val="center"/>
              <w:rPr>
                <w:lang w:val="sr-Latn-ME"/>
              </w:rPr>
            </w:pPr>
            <w:r w:rsidRPr="007821D0">
              <w:rPr>
                <w:lang w:val="sr-Latn-ME"/>
              </w:rPr>
              <w:t>0,3%</w:t>
            </w:r>
          </w:p>
        </w:tc>
      </w:tr>
      <w:tr w:rsidR="00284634" w:rsidRPr="007821D0" w14:paraId="03148F00" w14:textId="77777777">
        <w:trPr>
          <w:trHeight w:val="242"/>
        </w:trPr>
        <w:tc>
          <w:tcPr>
            <w:tcW w:w="2093" w:type="dxa"/>
            <w:vMerge w:val="restart"/>
            <w:tcBorders>
              <w:top w:val="nil"/>
              <w:left w:val="single" w:sz="4" w:space="0" w:color="000000"/>
              <w:bottom w:val="nil"/>
              <w:right w:val="single" w:sz="4" w:space="0" w:color="000000"/>
            </w:tcBorders>
          </w:tcPr>
          <w:p w14:paraId="57421D7B" w14:textId="77777777" w:rsidR="00284634" w:rsidRPr="007821D0" w:rsidRDefault="00284634" w:rsidP="007821D0">
            <w:pPr>
              <w:spacing w:after="0" w:line="240" w:lineRule="auto"/>
              <w:ind w:left="0" w:firstLine="0"/>
              <w:rPr>
                <w:lang w:val="sr-Latn-ME"/>
              </w:rPr>
            </w:pPr>
          </w:p>
        </w:tc>
        <w:tc>
          <w:tcPr>
            <w:tcW w:w="2990" w:type="dxa"/>
            <w:tcBorders>
              <w:top w:val="nil"/>
              <w:left w:val="single" w:sz="4" w:space="0" w:color="000000"/>
              <w:bottom w:val="single" w:sz="4" w:space="0" w:color="000000"/>
              <w:right w:val="single" w:sz="4" w:space="0" w:color="000000"/>
            </w:tcBorders>
          </w:tcPr>
          <w:p w14:paraId="1E71ECCD" w14:textId="77777777" w:rsidR="00284634" w:rsidRPr="007821D0" w:rsidRDefault="00313D4B" w:rsidP="007821D0">
            <w:pPr>
              <w:spacing w:after="0" w:line="240" w:lineRule="auto"/>
              <w:ind w:left="168" w:firstLine="0"/>
              <w:rPr>
                <w:lang w:val="sr-Latn-ME"/>
              </w:rPr>
            </w:pPr>
            <w:r w:rsidRPr="007821D0">
              <w:rPr>
                <w:lang w:val="sr-Latn-ME"/>
              </w:rPr>
              <w:t>Tamsulosin</w:t>
            </w:r>
          </w:p>
        </w:tc>
        <w:tc>
          <w:tcPr>
            <w:tcW w:w="1190" w:type="dxa"/>
            <w:tcBorders>
              <w:top w:val="nil"/>
              <w:left w:val="single" w:sz="4" w:space="0" w:color="000000"/>
              <w:bottom w:val="single" w:sz="4" w:space="0" w:color="000000"/>
              <w:right w:val="single" w:sz="4" w:space="0" w:color="000000"/>
            </w:tcBorders>
          </w:tcPr>
          <w:p w14:paraId="13962448" w14:textId="77777777" w:rsidR="00284634" w:rsidRPr="007821D0" w:rsidRDefault="00313D4B" w:rsidP="007821D0">
            <w:pPr>
              <w:spacing w:after="0" w:line="240" w:lineRule="auto"/>
              <w:ind w:left="6" w:firstLine="0"/>
              <w:jc w:val="center"/>
              <w:rPr>
                <w:lang w:val="sr-Latn-ME"/>
              </w:rPr>
            </w:pPr>
            <w:r w:rsidRPr="007821D0">
              <w:rPr>
                <w:lang w:val="sr-Latn-ME"/>
              </w:rPr>
              <w:t>2,7%</w:t>
            </w:r>
          </w:p>
        </w:tc>
        <w:tc>
          <w:tcPr>
            <w:tcW w:w="1195" w:type="dxa"/>
            <w:tcBorders>
              <w:top w:val="nil"/>
              <w:left w:val="single" w:sz="4" w:space="0" w:color="000000"/>
              <w:bottom w:val="single" w:sz="4" w:space="0" w:color="000000"/>
              <w:right w:val="single" w:sz="4" w:space="0" w:color="000000"/>
            </w:tcBorders>
          </w:tcPr>
          <w:p w14:paraId="01FA8D4A" w14:textId="77777777" w:rsidR="00284634" w:rsidRPr="007821D0" w:rsidRDefault="00313D4B" w:rsidP="007821D0">
            <w:pPr>
              <w:spacing w:after="0" w:line="240" w:lineRule="auto"/>
              <w:ind w:left="11" w:firstLine="0"/>
              <w:jc w:val="center"/>
              <w:rPr>
                <w:lang w:val="sr-Latn-ME"/>
              </w:rPr>
            </w:pPr>
            <w:r w:rsidRPr="007821D0">
              <w:rPr>
                <w:lang w:val="sr-Latn-ME"/>
              </w:rPr>
              <w:t>0,5%</w:t>
            </w:r>
          </w:p>
        </w:tc>
        <w:tc>
          <w:tcPr>
            <w:tcW w:w="1195" w:type="dxa"/>
            <w:tcBorders>
              <w:top w:val="nil"/>
              <w:left w:val="single" w:sz="4" w:space="0" w:color="000000"/>
              <w:bottom w:val="single" w:sz="4" w:space="0" w:color="000000"/>
              <w:right w:val="single" w:sz="4" w:space="0" w:color="000000"/>
            </w:tcBorders>
          </w:tcPr>
          <w:p w14:paraId="040B0D07" w14:textId="77777777" w:rsidR="00284634" w:rsidRPr="007821D0" w:rsidRDefault="00313D4B" w:rsidP="007821D0">
            <w:pPr>
              <w:spacing w:after="0" w:line="240" w:lineRule="auto"/>
              <w:ind w:left="11" w:firstLine="0"/>
              <w:jc w:val="center"/>
              <w:rPr>
                <w:lang w:val="sr-Latn-ME"/>
              </w:rPr>
            </w:pPr>
            <w:r w:rsidRPr="007821D0">
              <w:rPr>
                <w:lang w:val="sr-Latn-ME"/>
              </w:rPr>
              <w:t>0,2%</w:t>
            </w:r>
          </w:p>
        </w:tc>
        <w:tc>
          <w:tcPr>
            <w:tcW w:w="1195" w:type="dxa"/>
            <w:tcBorders>
              <w:top w:val="nil"/>
              <w:left w:val="single" w:sz="4" w:space="0" w:color="000000"/>
              <w:bottom w:val="single" w:sz="4" w:space="0" w:color="000000"/>
              <w:right w:val="single" w:sz="4" w:space="0" w:color="000000"/>
            </w:tcBorders>
          </w:tcPr>
          <w:p w14:paraId="36FF816A" w14:textId="77777777" w:rsidR="00284634" w:rsidRPr="007821D0" w:rsidRDefault="00313D4B" w:rsidP="007821D0">
            <w:pPr>
              <w:spacing w:after="0" w:line="240" w:lineRule="auto"/>
              <w:ind w:left="9" w:firstLine="0"/>
              <w:jc w:val="center"/>
              <w:rPr>
                <w:lang w:val="sr-Latn-ME"/>
              </w:rPr>
            </w:pPr>
            <w:r w:rsidRPr="007821D0">
              <w:rPr>
                <w:lang w:val="sr-Latn-ME"/>
              </w:rPr>
              <w:t xml:space="preserve">0,3% </w:t>
            </w:r>
          </w:p>
        </w:tc>
      </w:tr>
      <w:tr w:rsidR="00284634" w:rsidRPr="007821D0" w14:paraId="785889EC" w14:textId="77777777">
        <w:trPr>
          <w:trHeight w:val="545"/>
        </w:trPr>
        <w:tc>
          <w:tcPr>
            <w:tcW w:w="0" w:type="auto"/>
            <w:vMerge/>
            <w:tcBorders>
              <w:top w:val="nil"/>
              <w:left w:val="single" w:sz="4" w:space="0" w:color="000000"/>
              <w:bottom w:val="nil"/>
              <w:right w:val="single" w:sz="4" w:space="0" w:color="000000"/>
            </w:tcBorders>
          </w:tcPr>
          <w:p w14:paraId="46BEB2D7" w14:textId="77777777" w:rsidR="00284634" w:rsidRPr="007821D0" w:rsidRDefault="00284634" w:rsidP="007821D0">
            <w:pPr>
              <w:spacing w:after="0" w:line="240" w:lineRule="auto"/>
              <w:ind w:left="0" w:firstLine="0"/>
              <w:rPr>
                <w:lang w:val="sr-Latn-ME"/>
              </w:rPr>
            </w:pPr>
          </w:p>
        </w:tc>
        <w:tc>
          <w:tcPr>
            <w:tcW w:w="2990" w:type="dxa"/>
            <w:tcBorders>
              <w:top w:val="single" w:sz="4" w:space="0" w:color="000000"/>
              <w:left w:val="single" w:sz="4" w:space="0" w:color="000000"/>
              <w:bottom w:val="nil"/>
              <w:right w:val="single" w:sz="4" w:space="0" w:color="000000"/>
            </w:tcBorders>
          </w:tcPr>
          <w:p w14:paraId="1CDFB2A8" w14:textId="77777777" w:rsidR="00284634" w:rsidRPr="007821D0" w:rsidRDefault="00313D4B" w:rsidP="007821D0">
            <w:pPr>
              <w:spacing w:after="0" w:line="240" w:lineRule="auto"/>
              <w:ind w:left="168" w:hanging="163"/>
              <w:rPr>
                <w:lang w:val="sr-Latn-ME"/>
              </w:rPr>
            </w:pPr>
            <w:r w:rsidRPr="007821D0">
              <w:rPr>
                <w:lang w:val="sr-Latn-ME"/>
              </w:rPr>
              <w:t xml:space="preserve">   Poremećaji dojki</w:t>
            </w:r>
            <w:r w:rsidRPr="007821D0">
              <w:rPr>
                <w:vertAlign w:val="superscript"/>
                <w:lang w:val="sr-Latn-ME"/>
              </w:rPr>
              <w:t xml:space="preserve">d </w:t>
            </w:r>
            <w:r w:rsidRPr="007821D0">
              <w:rPr>
                <w:lang w:val="sr-Latn-ME"/>
              </w:rPr>
              <w:t>Kombinacija</w:t>
            </w:r>
            <w:r w:rsidRPr="007821D0">
              <w:rPr>
                <w:vertAlign w:val="superscript"/>
                <w:lang w:val="sr-Latn-ME"/>
              </w:rPr>
              <w:t>a</w:t>
            </w:r>
          </w:p>
        </w:tc>
        <w:tc>
          <w:tcPr>
            <w:tcW w:w="1190" w:type="dxa"/>
            <w:tcBorders>
              <w:top w:val="single" w:sz="4" w:space="0" w:color="000000"/>
              <w:left w:val="single" w:sz="4" w:space="0" w:color="000000"/>
              <w:bottom w:val="nil"/>
              <w:right w:val="single" w:sz="4" w:space="0" w:color="000000"/>
            </w:tcBorders>
            <w:vAlign w:val="bottom"/>
          </w:tcPr>
          <w:p w14:paraId="4CD5ABA0" w14:textId="77777777" w:rsidR="00284634" w:rsidRPr="007821D0" w:rsidRDefault="00313D4B" w:rsidP="007821D0">
            <w:pPr>
              <w:spacing w:after="0" w:line="240" w:lineRule="auto"/>
              <w:ind w:left="6" w:firstLine="0"/>
              <w:jc w:val="center"/>
              <w:rPr>
                <w:lang w:val="sr-Latn-ME"/>
              </w:rPr>
            </w:pPr>
            <w:r w:rsidRPr="007821D0">
              <w:rPr>
                <w:lang w:val="sr-Latn-ME"/>
              </w:rPr>
              <w:t>2,1%</w:t>
            </w:r>
          </w:p>
        </w:tc>
        <w:tc>
          <w:tcPr>
            <w:tcW w:w="1195" w:type="dxa"/>
            <w:tcBorders>
              <w:top w:val="single" w:sz="4" w:space="0" w:color="000000"/>
              <w:left w:val="single" w:sz="4" w:space="0" w:color="000000"/>
              <w:bottom w:val="nil"/>
              <w:right w:val="single" w:sz="4" w:space="0" w:color="000000"/>
            </w:tcBorders>
            <w:vAlign w:val="bottom"/>
          </w:tcPr>
          <w:p w14:paraId="3C25F5BD" w14:textId="77777777" w:rsidR="00284634" w:rsidRPr="007821D0" w:rsidRDefault="00313D4B" w:rsidP="007821D0">
            <w:pPr>
              <w:spacing w:after="0" w:line="240" w:lineRule="auto"/>
              <w:ind w:left="11" w:firstLine="0"/>
              <w:jc w:val="center"/>
              <w:rPr>
                <w:lang w:val="sr-Latn-ME"/>
              </w:rPr>
            </w:pPr>
            <w:r w:rsidRPr="007821D0">
              <w:rPr>
                <w:lang w:val="sr-Latn-ME"/>
              </w:rPr>
              <w:t>0,8%</w:t>
            </w:r>
          </w:p>
        </w:tc>
        <w:tc>
          <w:tcPr>
            <w:tcW w:w="1195" w:type="dxa"/>
            <w:tcBorders>
              <w:top w:val="single" w:sz="4" w:space="0" w:color="000000"/>
              <w:left w:val="single" w:sz="4" w:space="0" w:color="000000"/>
              <w:bottom w:val="nil"/>
              <w:right w:val="single" w:sz="4" w:space="0" w:color="000000"/>
            </w:tcBorders>
            <w:vAlign w:val="bottom"/>
          </w:tcPr>
          <w:p w14:paraId="17511A9F" w14:textId="77777777" w:rsidR="00284634" w:rsidRPr="007821D0" w:rsidRDefault="00313D4B" w:rsidP="007821D0">
            <w:pPr>
              <w:spacing w:after="0" w:line="240" w:lineRule="auto"/>
              <w:ind w:left="11" w:firstLine="0"/>
              <w:jc w:val="center"/>
              <w:rPr>
                <w:lang w:val="sr-Latn-ME"/>
              </w:rPr>
            </w:pPr>
            <w:r w:rsidRPr="007821D0">
              <w:rPr>
                <w:lang w:val="sr-Latn-ME"/>
              </w:rPr>
              <w:t>0,9%</w:t>
            </w:r>
          </w:p>
        </w:tc>
        <w:tc>
          <w:tcPr>
            <w:tcW w:w="1195" w:type="dxa"/>
            <w:tcBorders>
              <w:top w:val="single" w:sz="4" w:space="0" w:color="000000"/>
              <w:left w:val="single" w:sz="4" w:space="0" w:color="000000"/>
              <w:bottom w:val="nil"/>
              <w:right w:val="single" w:sz="4" w:space="0" w:color="000000"/>
            </w:tcBorders>
            <w:vAlign w:val="bottom"/>
          </w:tcPr>
          <w:p w14:paraId="1D76F9C4" w14:textId="77777777" w:rsidR="00284634" w:rsidRPr="007821D0" w:rsidRDefault="00313D4B" w:rsidP="007821D0">
            <w:pPr>
              <w:spacing w:after="0" w:line="240" w:lineRule="auto"/>
              <w:ind w:left="11" w:firstLine="0"/>
              <w:jc w:val="center"/>
              <w:rPr>
                <w:lang w:val="sr-Latn-ME"/>
              </w:rPr>
            </w:pPr>
            <w:r w:rsidRPr="007821D0">
              <w:rPr>
                <w:lang w:val="sr-Latn-ME"/>
              </w:rPr>
              <w:t>0,6%</w:t>
            </w:r>
          </w:p>
        </w:tc>
      </w:tr>
      <w:tr w:rsidR="00284634" w:rsidRPr="007821D0" w14:paraId="12891BBF" w14:textId="77777777">
        <w:trPr>
          <w:trHeight w:val="264"/>
        </w:trPr>
        <w:tc>
          <w:tcPr>
            <w:tcW w:w="2093" w:type="dxa"/>
            <w:tcBorders>
              <w:top w:val="nil"/>
              <w:left w:val="single" w:sz="4" w:space="0" w:color="000000"/>
              <w:bottom w:val="nil"/>
              <w:right w:val="single" w:sz="4" w:space="0" w:color="000000"/>
            </w:tcBorders>
          </w:tcPr>
          <w:p w14:paraId="77B02C00" w14:textId="77777777" w:rsidR="00284634" w:rsidRPr="007821D0" w:rsidRDefault="00284634" w:rsidP="007821D0">
            <w:pPr>
              <w:spacing w:after="0" w:line="240" w:lineRule="auto"/>
              <w:ind w:left="0" w:firstLine="0"/>
              <w:rPr>
                <w:lang w:val="sr-Latn-ME"/>
              </w:rPr>
            </w:pPr>
          </w:p>
        </w:tc>
        <w:tc>
          <w:tcPr>
            <w:tcW w:w="2990" w:type="dxa"/>
            <w:tcBorders>
              <w:top w:val="nil"/>
              <w:left w:val="single" w:sz="4" w:space="0" w:color="000000"/>
              <w:bottom w:val="nil"/>
              <w:right w:val="single" w:sz="4" w:space="0" w:color="000000"/>
            </w:tcBorders>
          </w:tcPr>
          <w:p w14:paraId="3C94F336" w14:textId="77777777" w:rsidR="00284634" w:rsidRPr="007821D0" w:rsidRDefault="00313D4B" w:rsidP="007821D0">
            <w:pPr>
              <w:spacing w:after="0" w:line="240" w:lineRule="auto"/>
              <w:ind w:left="168" w:firstLine="0"/>
              <w:rPr>
                <w:lang w:val="sr-Latn-ME"/>
              </w:rPr>
            </w:pPr>
            <w:r w:rsidRPr="007821D0">
              <w:rPr>
                <w:lang w:val="sr-Latn-ME"/>
              </w:rPr>
              <w:t>Dutasterid</w:t>
            </w:r>
          </w:p>
        </w:tc>
        <w:tc>
          <w:tcPr>
            <w:tcW w:w="1190" w:type="dxa"/>
            <w:tcBorders>
              <w:top w:val="nil"/>
              <w:left w:val="single" w:sz="4" w:space="0" w:color="000000"/>
              <w:bottom w:val="nil"/>
              <w:right w:val="single" w:sz="4" w:space="0" w:color="000000"/>
            </w:tcBorders>
          </w:tcPr>
          <w:p w14:paraId="39433828" w14:textId="77777777" w:rsidR="00284634" w:rsidRPr="007821D0" w:rsidRDefault="00313D4B" w:rsidP="007821D0">
            <w:pPr>
              <w:spacing w:after="0" w:line="240" w:lineRule="auto"/>
              <w:ind w:left="6" w:firstLine="0"/>
              <w:jc w:val="center"/>
              <w:rPr>
                <w:lang w:val="sr-Latn-ME"/>
              </w:rPr>
            </w:pPr>
            <w:r w:rsidRPr="007821D0">
              <w:rPr>
                <w:lang w:val="sr-Latn-ME"/>
              </w:rPr>
              <w:t>1,7%</w:t>
            </w:r>
          </w:p>
        </w:tc>
        <w:tc>
          <w:tcPr>
            <w:tcW w:w="1195" w:type="dxa"/>
            <w:tcBorders>
              <w:top w:val="nil"/>
              <w:left w:val="single" w:sz="4" w:space="0" w:color="000000"/>
              <w:bottom w:val="nil"/>
              <w:right w:val="single" w:sz="4" w:space="0" w:color="000000"/>
            </w:tcBorders>
          </w:tcPr>
          <w:p w14:paraId="62CE32B1" w14:textId="77777777" w:rsidR="00284634" w:rsidRPr="007821D0" w:rsidRDefault="00313D4B" w:rsidP="007821D0">
            <w:pPr>
              <w:spacing w:after="0" w:line="240" w:lineRule="auto"/>
              <w:ind w:left="11" w:firstLine="0"/>
              <w:jc w:val="center"/>
              <w:rPr>
                <w:lang w:val="sr-Latn-ME"/>
              </w:rPr>
            </w:pPr>
            <w:r w:rsidRPr="007821D0">
              <w:rPr>
                <w:lang w:val="sr-Latn-ME"/>
              </w:rPr>
              <w:t>1,2%</w:t>
            </w:r>
          </w:p>
        </w:tc>
        <w:tc>
          <w:tcPr>
            <w:tcW w:w="1195" w:type="dxa"/>
            <w:tcBorders>
              <w:top w:val="nil"/>
              <w:left w:val="single" w:sz="4" w:space="0" w:color="000000"/>
              <w:bottom w:val="nil"/>
              <w:right w:val="single" w:sz="4" w:space="0" w:color="000000"/>
            </w:tcBorders>
          </w:tcPr>
          <w:p w14:paraId="1B7B9A2D" w14:textId="77777777" w:rsidR="00284634" w:rsidRPr="007821D0" w:rsidRDefault="00313D4B" w:rsidP="007821D0">
            <w:pPr>
              <w:spacing w:after="0" w:line="240" w:lineRule="auto"/>
              <w:ind w:left="11" w:firstLine="0"/>
              <w:jc w:val="center"/>
              <w:rPr>
                <w:lang w:val="sr-Latn-ME"/>
              </w:rPr>
            </w:pPr>
            <w:r w:rsidRPr="007821D0">
              <w:rPr>
                <w:lang w:val="sr-Latn-ME"/>
              </w:rPr>
              <w:t>0,5%</w:t>
            </w:r>
          </w:p>
        </w:tc>
        <w:tc>
          <w:tcPr>
            <w:tcW w:w="1195" w:type="dxa"/>
            <w:tcBorders>
              <w:top w:val="nil"/>
              <w:left w:val="single" w:sz="4" w:space="0" w:color="000000"/>
              <w:bottom w:val="nil"/>
              <w:right w:val="single" w:sz="4" w:space="0" w:color="000000"/>
            </w:tcBorders>
          </w:tcPr>
          <w:p w14:paraId="6FD67D12" w14:textId="77777777" w:rsidR="00284634" w:rsidRPr="007821D0" w:rsidRDefault="00313D4B" w:rsidP="007821D0">
            <w:pPr>
              <w:spacing w:after="0" w:line="240" w:lineRule="auto"/>
              <w:ind w:left="11" w:firstLine="0"/>
              <w:jc w:val="center"/>
              <w:rPr>
                <w:lang w:val="sr-Latn-ME"/>
              </w:rPr>
            </w:pPr>
            <w:r w:rsidRPr="007821D0">
              <w:rPr>
                <w:lang w:val="sr-Latn-ME"/>
              </w:rPr>
              <w:t>0,7%</w:t>
            </w:r>
          </w:p>
        </w:tc>
      </w:tr>
      <w:tr w:rsidR="00284634" w:rsidRPr="007821D0" w14:paraId="76D3D625" w14:textId="77777777">
        <w:trPr>
          <w:trHeight w:val="247"/>
        </w:trPr>
        <w:tc>
          <w:tcPr>
            <w:tcW w:w="2093" w:type="dxa"/>
            <w:tcBorders>
              <w:top w:val="nil"/>
              <w:left w:val="single" w:sz="4" w:space="0" w:color="000000"/>
              <w:bottom w:val="single" w:sz="4" w:space="0" w:color="000000"/>
              <w:right w:val="single" w:sz="4" w:space="0" w:color="000000"/>
            </w:tcBorders>
          </w:tcPr>
          <w:p w14:paraId="30FA19C5" w14:textId="77777777" w:rsidR="00284634" w:rsidRPr="007821D0" w:rsidRDefault="00284634" w:rsidP="007821D0">
            <w:pPr>
              <w:spacing w:after="0" w:line="240" w:lineRule="auto"/>
              <w:ind w:left="0" w:firstLine="0"/>
              <w:rPr>
                <w:lang w:val="sr-Latn-ME"/>
              </w:rPr>
            </w:pPr>
          </w:p>
        </w:tc>
        <w:tc>
          <w:tcPr>
            <w:tcW w:w="2990" w:type="dxa"/>
            <w:tcBorders>
              <w:top w:val="nil"/>
              <w:left w:val="single" w:sz="4" w:space="0" w:color="000000"/>
              <w:bottom w:val="single" w:sz="4" w:space="0" w:color="000000"/>
              <w:right w:val="single" w:sz="4" w:space="0" w:color="000000"/>
            </w:tcBorders>
          </w:tcPr>
          <w:p w14:paraId="05BB7AEE" w14:textId="77777777" w:rsidR="00284634" w:rsidRPr="007821D0" w:rsidRDefault="00313D4B" w:rsidP="007821D0">
            <w:pPr>
              <w:spacing w:after="0" w:line="240" w:lineRule="auto"/>
              <w:ind w:left="168" w:firstLine="0"/>
              <w:rPr>
                <w:lang w:val="sr-Latn-ME"/>
              </w:rPr>
            </w:pPr>
            <w:r w:rsidRPr="007821D0">
              <w:rPr>
                <w:lang w:val="sr-Latn-ME"/>
              </w:rPr>
              <w:t>Tamsulosin</w:t>
            </w:r>
          </w:p>
        </w:tc>
        <w:tc>
          <w:tcPr>
            <w:tcW w:w="1190" w:type="dxa"/>
            <w:tcBorders>
              <w:top w:val="nil"/>
              <w:left w:val="single" w:sz="4" w:space="0" w:color="000000"/>
              <w:bottom w:val="single" w:sz="4" w:space="0" w:color="000000"/>
              <w:right w:val="single" w:sz="4" w:space="0" w:color="000000"/>
            </w:tcBorders>
          </w:tcPr>
          <w:p w14:paraId="0467A035" w14:textId="77777777" w:rsidR="00284634" w:rsidRPr="007821D0" w:rsidRDefault="00313D4B" w:rsidP="007821D0">
            <w:pPr>
              <w:spacing w:after="0" w:line="240" w:lineRule="auto"/>
              <w:ind w:left="6" w:firstLine="0"/>
              <w:jc w:val="center"/>
              <w:rPr>
                <w:lang w:val="sr-Latn-ME"/>
              </w:rPr>
            </w:pPr>
            <w:r w:rsidRPr="007821D0">
              <w:rPr>
                <w:lang w:val="sr-Latn-ME"/>
              </w:rPr>
              <w:t>0,8%</w:t>
            </w:r>
          </w:p>
        </w:tc>
        <w:tc>
          <w:tcPr>
            <w:tcW w:w="1195" w:type="dxa"/>
            <w:tcBorders>
              <w:top w:val="nil"/>
              <w:left w:val="single" w:sz="4" w:space="0" w:color="000000"/>
              <w:bottom w:val="single" w:sz="4" w:space="0" w:color="000000"/>
              <w:right w:val="single" w:sz="4" w:space="0" w:color="000000"/>
            </w:tcBorders>
          </w:tcPr>
          <w:p w14:paraId="1679B705" w14:textId="77777777" w:rsidR="00284634" w:rsidRPr="007821D0" w:rsidRDefault="00313D4B" w:rsidP="007821D0">
            <w:pPr>
              <w:spacing w:after="0" w:line="240" w:lineRule="auto"/>
              <w:ind w:left="11" w:firstLine="0"/>
              <w:jc w:val="center"/>
              <w:rPr>
                <w:lang w:val="sr-Latn-ME"/>
              </w:rPr>
            </w:pPr>
            <w:r w:rsidRPr="007821D0">
              <w:rPr>
                <w:lang w:val="sr-Latn-ME"/>
              </w:rPr>
              <w:t>0,4%</w:t>
            </w:r>
          </w:p>
        </w:tc>
        <w:tc>
          <w:tcPr>
            <w:tcW w:w="1195" w:type="dxa"/>
            <w:tcBorders>
              <w:top w:val="nil"/>
              <w:left w:val="single" w:sz="4" w:space="0" w:color="000000"/>
              <w:bottom w:val="single" w:sz="4" w:space="0" w:color="000000"/>
              <w:right w:val="single" w:sz="4" w:space="0" w:color="000000"/>
            </w:tcBorders>
          </w:tcPr>
          <w:p w14:paraId="566F0345" w14:textId="77777777" w:rsidR="00284634" w:rsidRPr="007821D0" w:rsidRDefault="00313D4B" w:rsidP="007821D0">
            <w:pPr>
              <w:spacing w:after="0" w:line="240" w:lineRule="auto"/>
              <w:ind w:left="11" w:firstLine="0"/>
              <w:jc w:val="center"/>
              <w:rPr>
                <w:lang w:val="sr-Latn-ME"/>
              </w:rPr>
            </w:pPr>
            <w:r w:rsidRPr="007821D0">
              <w:rPr>
                <w:lang w:val="sr-Latn-ME"/>
              </w:rPr>
              <w:t>0,2%</w:t>
            </w:r>
          </w:p>
        </w:tc>
        <w:tc>
          <w:tcPr>
            <w:tcW w:w="1195" w:type="dxa"/>
            <w:tcBorders>
              <w:top w:val="nil"/>
              <w:left w:val="single" w:sz="4" w:space="0" w:color="000000"/>
              <w:bottom w:val="single" w:sz="4" w:space="0" w:color="000000"/>
              <w:right w:val="single" w:sz="4" w:space="0" w:color="000000"/>
            </w:tcBorders>
          </w:tcPr>
          <w:p w14:paraId="7BDD60B4" w14:textId="77777777" w:rsidR="00284634" w:rsidRPr="007821D0" w:rsidRDefault="00313D4B" w:rsidP="007821D0">
            <w:pPr>
              <w:spacing w:after="0" w:line="240" w:lineRule="auto"/>
              <w:ind w:left="6" w:firstLine="0"/>
              <w:jc w:val="center"/>
              <w:rPr>
                <w:lang w:val="sr-Latn-ME"/>
              </w:rPr>
            </w:pPr>
            <w:r w:rsidRPr="007821D0">
              <w:rPr>
                <w:lang w:val="sr-Latn-ME"/>
              </w:rPr>
              <w:t xml:space="preserve">0% </w:t>
            </w:r>
          </w:p>
        </w:tc>
      </w:tr>
    </w:tbl>
    <w:p w14:paraId="09937632" w14:textId="2D6F17C2" w:rsidR="00284634" w:rsidRPr="007821D0" w:rsidRDefault="006E6677" w:rsidP="006E6677">
      <w:pPr>
        <w:spacing w:after="0" w:line="240" w:lineRule="auto"/>
        <w:ind w:left="-5"/>
        <w:rPr>
          <w:lang w:val="sr-Latn-ME"/>
        </w:rPr>
      </w:pPr>
      <w:r w:rsidRPr="006E6677">
        <w:rPr>
          <w:vertAlign w:val="superscript"/>
          <w:lang w:val="sr-Latn-ME"/>
        </w:rPr>
        <w:t>a</w:t>
      </w:r>
      <w:r>
        <w:rPr>
          <w:lang w:val="sr-Latn-ME"/>
        </w:rPr>
        <w:t xml:space="preserve"> </w:t>
      </w:r>
      <w:r w:rsidR="00313D4B" w:rsidRPr="007821D0">
        <w:rPr>
          <w:lang w:val="sr-Latn-ME"/>
        </w:rPr>
        <w:t>Kombinacija = dutasterid 0,5 mg jednom dnevno plus tamsulosin 0,4 mg jednom dnevno</w:t>
      </w:r>
    </w:p>
    <w:p w14:paraId="792A1C00" w14:textId="14BF977A" w:rsidR="00284634" w:rsidRPr="007821D0" w:rsidRDefault="00313D4B" w:rsidP="006E6677">
      <w:pPr>
        <w:spacing w:after="0" w:line="240" w:lineRule="auto"/>
        <w:ind w:left="-5" w:right="129"/>
        <w:jc w:val="both"/>
        <w:rPr>
          <w:lang w:val="sr-Latn-ME"/>
        </w:rPr>
      </w:pPr>
      <w:r w:rsidRPr="006E6677">
        <w:rPr>
          <w:vertAlign w:val="superscript"/>
          <w:lang w:val="sr-Latn-ME"/>
        </w:rPr>
        <w:t>b</w:t>
      </w:r>
      <w:r w:rsidRPr="007821D0">
        <w:rPr>
          <w:lang w:val="sr-Latn-ME"/>
        </w:rPr>
        <w:t xml:space="preserve"> Srčana insuficijencija je skup prijavljenih događaja koji obuhvata kongestivnu srčanu insuficijenciju, srčanu insuficijenciju, insuficijenciju l</w:t>
      </w:r>
      <w:r w:rsidR="009660E2" w:rsidRPr="007821D0">
        <w:rPr>
          <w:lang w:val="sr-Latn-ME"/>
        </w:rPr>
        <w:t>ij</w:t>
      </w:r>
      <w:r w:rsidRPr="007821D0">
        <w:rPr>
          <w:lang w:val="sr-Latn-ME"/>
        </w:rPr>
        <w:t>eve komore, akutnu srčanu insuficijenciju, kardiogeni šok, akutnu insuficijenciju l</w:t>
      </w:r>
      <w:r w:rsidR="009660E2" w:rsidRPr="007821D0">
        <w:rPr>
          <w:lang w:val="sr-Latn-ME"/>
        </w:rPr>
        <w:t>ij</w:t>
      </w:r>
      <w:r w:rsidRPr="007821D0">
        <w:rPr>
          <w:lang w:val="sr-Latn-ME"/>
        </w:rPr>
        <w:t xml:space="preserve">eve komore, insuficijenciju desne komore, akutnu insuficijenciju desne komore, insuficijenciju komore, kardiopulmonarnu insuficijenciju, kongestivnu kardiomiopatiju. </w:t>
      </w:r>
    </w:p>
    <w:p w14:paraId="782528AC" w14:textId="350D7925" w:rsidR="00284634" w:rsidRPr="007821D0" w:rsidRDefault="006E6677" w:rsidP="006E6677">
      <w:pPr>
        <w:spacing w:after="0" w:line="240" w:lineRule="auto"/>
        <w:ind w:left="-5"/>
        <w:jc w:val="both"/>
        <w:rPr>
          <w:lang w:val="sr-Latn-ME"/>
        </w:rPr>
      </w:pPr>
      <w:r w:rsidRPr="006E6677">
        <w:rPr>
          <w:vertAlign w:val="superscript"/>
          <w:lang w:val="sr-Latn-ME"/>
        </w:rPr>
        <w:t>c</w:t>
      </w:r>
      <w:r>
        <w:rPr>
          <w:lang w:val="sr-Latn-ME"/>
        </w:rPr>
        <w:t xml:space="preserve"> </w:t>
      </w:r>
      <w:r w:rsidR="00313D4B" w:rsidRPr="007821D0">
        <w:rPr>
          <w:lang w:val="sr-Latn-ME"/>
        </w:rPr>
        <w:t xml:space="preserve">Navedeni neželjeni događaji na nivou seksualne funkcije, povezani su sa </w:t>
      </w:r>
      <w:r w:rsidR="000A2950" w:rsidRPr="007821D0">
        <w:rPr>
          <w:lang w:val="sr-Latn-ME"/>
        </w:rPr>
        <w:t>primjenom</w:t>
      </w:r>
      <w:r w:rsidR="00313D4B" w:rsidRPr="007821D0">
        <w:rPr>
          <w:lang w:val="sr-Latn-ME"/>
        </w:rPr>
        <w:t xml:space="preserve"> dutasterida (uključujući monoterapiju i kombinaciju sa tamsulosinom). Oni mogu biti prisutni i nakon prestanka terapije. Uticaj dutasterida na njihovo trajanje nije poznat.</w:t>
      </w:r>
    </w:p>
    <w:p w14:paraId="181A7403" w14:textId="77777777" w:rsidR="006E6677" w:rsidRDefault="006E6677" w:rsidP="006E6677">
      <w:pPr>
        <w:tabs>
          <w:tab w:val="center" w:pos="3579"/>
        </w:tabs>
        <w:spacing w:after="0" w:line="240" w:lineRule="auto"/>
        <w:ind w:left="-15" w:firstLine="0"/>
        <w:jc w:val="both"/>
        <w:rPr>
          <w:lang w:val="sr-Latn-ME"/>
        </w:rPr>
      </w:pPr>
      <w:r w:rsidRPr="006E6677">
        <w:rPr>
          <w:vertAlign w:val="superscript"/>
          <w:lang w:val="sr-Latn-ME"/>
        </w:rPr>
        <w:t>d</w:t>
      </w:r>
      <w:r>
        <w:rPr>
          <w:lang w:val="sr-Latn-ME"/>
        </w:rPr>
        <w:t xml:space="preserve"> </w:t>
      </w:r>
      <w:r w:rsidR="00313D4B" w:rsidRPr="007821D0">
        <w:rPr>
          <w:lang w:val="sr-Latn-ME"/>
        </w:rPr>
        <w:t>Uključuje os</w:t>
      </w:r>
      <w:r w:rsidR="009660E2" w:rsidRPr="007821D0">
        <w:rPr>
          <w:lang w:val="sr-Latn-ME"/>
        </w:rPr>
        <w:t>j</w:t>
      </w:r>
      <w:r w:rsidR="00313D4B" w:rsidRPr="007821D0">
        <w:rPr>
          <w:lang w:val="sr-Latn-ME"/>
        </w:rPr>
        <w:t xml:space="preserve">etljivost dojki i uvećanje dojki </w:t>
      </w:r>
    </w:p>
    <w:p w14:paraId="52674983" w14:textId="3AA2F193" w:rsidR="00284634" w:rsidRPr="007821D0" w:rsidRDefault="00313D4B" w:rsidP="006E6677">
      <w:pPr>
        <w:tabs>
          <w:tab w:val="center" w:pos="3579"/>
        </w:tabs>
        <w:spacing w:after="0" w:line="240" w:lineRule="auto"/>
        <w:ind w:left="-15" w:firstLine="0"/>
        <w:jc w:val="both"/>
        <w:rPr>
          <w:lang w:val="sr-Latn-ME"/>
        </w:rPr>
      </w:pPr>
      <w:r w:rsidRPr="007821D0">
        <w:rPr>
          <w:lang w:val="sr-Latn-ME"/>
        </w:rPr>
        <w:t>^ Uključuje smanjenje zapremine sperme.</w:t>
      </w:r>
    </w:p>
    <w:p w14:paraId="016CF47A" w14:textId="77777777" w:rsidR="006E6677" w:rsidRDefault="006E6677" w:rsidP="007821D0">
      <w:pPr>
        <w:pStyle w:val="Heading1"/>
        <w:spacing w:after="0" w:line="240" w:lineRule="auto"/>
        <w:ind w:left="-5"/>
        <w:rPr>
          <w:lang w:val="sr-Latn-ME"/>
        </w:rPr>
      </w:pPr>
    </w:p>
    <w:p w14:paraId="5F7C0F57" w14:textId="352256E9" w:rsidR="00284634" w:rsidRPr="007821D0" w:rsidRDefault="00313D4B" w:rsidP="007821D0">
      <w:pPr>
        <w:pStyle w:val="Heading1"/>
        <w:spacing w:after="0" w:line="240" w:lineRule="auto"/>
        <w:ind w:left="-5"/>
        <w:rPr>
          <w:lang w:val="sr-Latn-ME"/>
        </w:rPr>
      </w:pPr>
      <w:r w:rsidRPr="007821D0">
        <w:rPr>
          <w:lang w:val="sr-Latn-ME"/>
        </w:rPr>
        <w:t>Ostali podaci</w:t>
      </w:r>
    </w:p>
    <w:p w14:paraId="7388A241" w14:textId="77777777" w:rsidR="00EB62EC" w:rsidRPr="007821D0" w:rsidRDefault="00EB62EC" w:rsidP="007821D0">
      <w:pPr>
        <w:spacing w:after="0" w:line="240" w:lineRule="auto"/>
        <w:ind w:left="-5" w:right="3"/>
        <w:rPr>
          <w:lang w:val="sr-Latn-ME"/>
        </w:rPr>
      </w:pPr>
    </w:p>
    <w:p w14:paraId="27BB66C9" w14:textId="53971FED" w:rsidR="00EB62EC" w:rsidRPr="007821D0" w:rsidRDefault="00313D4B" w:rsidP="007821D0">
      <w:pPr>
        <w:spacing w:after="0" w:line="240" w:lineRule="auto"/>
        <w:ind w:left="-5" w:right="3"/>
        <w:jc w:val="both"/>
        <w:rPr>
          <w:lang w:val="sr-Latn-ME"/>
        </w:rPr>
      </w:pPr>
      <w:r w:rsidRPr="007821D0">
        <w:rPr>
          <w:lang w:val="sr-Latn-ME"/>
        </w:rPr>
        <w:t xml:space="preserve">U okviru REDUCE kliničkog ispitivanja, pokazana je veća incidenca karcinoma prostate </w:t>
      </w:r>
      <w:r w:rsidRPr="007821D0">
        <w:rPr>
          <w:i/>
          <w:lang w:val="sr-Latn-ME"/>
        </w:rPr>
        <w:t xml:space="preserve">Gleason </w:t>
      </w:r>
      <w:r w:rsidRPr="007821D0">
        <w:rPr>
          <w:lang w:val="sr-Latn-ME"/>
        </w:rPr>
        <w:t>skora 8-10 u grupi pacijenata muškog pola koji su bili na terapiji dutasteridom u odnosu na grupu u kojoj je bio prim</w:t>
      </w:r>
      <w:r w:rsidR="003101B5" w:rsidRPr="007821D0">
        <w:rPr>
          <w:lang w:val="sr-Latn-ME"/>
        </w:rPr>
        <w:t>ij</w:t>
      </w:r>
      <w:r w:rsidRPr="007821D0">
        <w:rPr>
          <w:lang w:val="sr-Latn-ME"/>
        </w:rPr>
        <w:t>enjen placebo (</w:t>
      </w:r>
      <w:r w:rsidR="00E602C2" w:rsidRPr="007821D0">
        <w:rPr>
          <w:lang w:val="sr-Latn-ME"/>
        </w:rPr>
        <w:t>vidjeti</w:t>
      </w:r>
      <w:r w:rsidRPr="007821D0">
        <w:rPr>
          <w:lang w:val="sr-Latn-ME"/>
        </w:rPr>
        <w:t xml:space="preserve"> </w:t>
      </w:r>
      <w:r w:rsidR="0087432B" w:rsidRPr="007821D0">
        <w:rPr>
          <w:lang w:val="sr-Latn-ME"/>
        </w:rPr>
        <w:t>djelove</w:t>
      </w:r>
      <w:r w:rsidRPr="007821D0">
        <w:rPr>
          <w:lang w:val="sr-Latn-ME"/>
        </w:rPr>
        <w:t xml:space="preserve"> 4.4. i 5.1). </w:t>
      </w:r>
    </w:p>
    <w:p w14:paraId="0B50697D" w14:textId="4E4E2A59" w:rsidR="00284634" w:rsidRPr="007821D0" w:rsidRDefault="00313D4B" w:rsidP="007821D0">
      <w:pPr>
        <w:spacing w:after="0" w:line="240" w:lineRule="auto"/>
        <w:ind w:left="-5" w:right="3"/>
        <w:jc w:val="both"/>
        <w:rPr>
          <w:lang w:val="sr-Latn-ME"/>
        </w:rPr>
      </w:pPr>
      <w:r w:rsidRPr="007821D0">
        <w:rPr>
          <w:lang w:val="sr-Latn-ME"/>
        </w:rPr>
        <w:t>Nije utvrđeno da li postoji uticaj dutasterida na smanjenje veličine prostate ili su faktori povezani sa kliničkim ispitivanjem uticali na rezultate navedene studije.</w:t>
      </w:r>
    </w:p>
    <w:p w14:paraId="6DDFB1FD" w14:textId="77777777" w:rsidR="00EB62EC" w:rsidRPr="007821D0" w:rsidRDefault="00EB62EC" w:rsidP="007821D0">
      <w:pPr>
        <w:spacing w:after="0" w:line="240" w:lineRule="auto"/>
        <w:ind w:left="-5" w:right="3"/>
        <w:jc w:val="both"/>
        <w:rPr>
          <w:lang w:val="sr-Latn-ME"/>
        </w:rPr>
      </w:pPr>
    </w:p>
    <w:p w14:paraId="26EB861A" w14:textId="0056EF21" w:rsidR="00284634" w:rsidRPr="007821D0" w:rsidRDefault="00313D4B" w:rsidP="007821D0">
      <w:pPr>
        <w:spacing w:after="0" w:line="240" w:lineRule="auto"/>
        <w:ind w:left="-5" w:right="3"/>
        <w:jc w:val="both"/>
        <w:rPr>
          <w:lang w:val="sr-Latn-ME"/>
        </w:rPr>
      </w:pPr>
      <w:r w:rsidRPr="007821D0">
        <w:rPr>
          <w:lang w:val="sr-Latn-ME"/>
        </w:rPr>
        <w:t>Postoje izv</w:t>
      </w:r>
      <w:r w:rsidR="009660E2" w:rsidRPr="007821D0">
        <w:rPr>
          <w:lang w:val="sr-Latn-ME"/>
        </w:rPr>
        <w:t>j</w:t>
      </w:r>
      <w:r w:rsidRPr="007821D0">
        <w:rPr>
          <w:lang w:val="sr-Latn-ME"/>
        </w:rPr>
        <w:t>eštaji o pojavi karcinoma dojki kod muškaraca zab</w:t>
      </w:r>
      <w:r w:rsidR="0087432B" w:rsidRPr="007821D0">
        <w:rPr>
          <w:lang w:val="sr-Latn-ME"/>
        </w:rPr>
        <w:t>i</w:t>
      </w:r>
      <w:r w:rsidRPr="007821D0">
        <w:rPr>
          <w:lang w:val="sr-Latn-ME"/>
        </w:rPr>
        <w:t>l</w:t>
      </w:r>
      <w:r w:rsidR="0087432B" w:rsidRPr="007821D0">
        <w:rPr>
          <w:lang w:val="sr-Latn-ME"/>
        </w:rPr>
        <w:t>j</w:t>
      </w:r>
      <w:r w:rsidRPr="007821D0">
        <w:rPr>
          <w:lang w:val="sr-Latn-ME"/>
        </w:rPr>
        <w:t>eženih u toku kliničkih ispitivanja i postmarketinškog praćenja (</w:t>
      </w:r>
      <w:r w:rsidR="00E602C2" w:rsidRPr="007821D0">
        <w:rPr>
          <w:lang w:val="sr-Latn-ME"/>
        </w:rPr>
        <w:t>vidjeti</w:t>
      </w:r>
      <w:r w:rsidRPr="007821D0">
        <w:rPr>
          <w:lang w:val="sr-Latn-ME"/>
        </w:rPr>
        <w:t xml:space="preserve"> </w:t>
      </w:r>
      <w:r w:rsidR="0087432B" w:rsidRPr="007821D0">
        <w:rPr>
          <w:lang w:val="sr-Latn-ME"/>
        </w:rPr>
        <w:t>dio</w:t>
      </w:r>
      <w:r w:rsidRPr="007821D0">
        <w:rPr>
          <w:lang w:val="sr-Latn-ME"/>
        </w:rPr>
        <w:t xml:space="preserve"> 4.4).</w:t>
      </w:r>
    </w:p>
    <w:p w14:paraId="5649BC73" w14:textId="77777777" w:rsidR="00EB62EC" w:rsidRPr="007821D0" w:rsidRDefault="00EB62EC" w:rsidP="007821D0">
      <w:pPr>
        <w:pStyle w:val="Heading2"/>
        <w:spacing w:after="0" w:line="240" w:lineRule="auto"/>
        <w:ind w:left="-5"/>
        <w:rPr>
          <w:lang w:val="sr-Latn-ME"/>
        </w:rPr>
      </w:pPr>
    </w:p>
    <w:p w14:paraId="348454EF" w14:textId="366B87E9" w:rsidR="00284634" w:rsidRPr="007821D0" w:rsidRDefault="00313D4B" w:rsidP="007821D0">
      <w:pPr>
        <w:pStyle w:val="Heading2"/>
        <w:spacing w:after="0" w:line="240" w:lineRule="auto"/>
        <w:ind w:left="-5"/>
        <w:rPr>
          <w:lang w:val="sr-Latn-ME"/>
        </w:rPr>
      </w:pPr>
      <w:r w:rsidRPr="007821D0">
        <w:rPr>
          <w:lang w:val="sr-Latn-ME"/>
        </w:rPr>
        <w:t>Prijavljivanje neželjenih reakcija</w:t>
      </w:r>
    </w:p>
    <w:p w14:paraId="69EFCBC2" w14:textId="6FAE54E1" w:rsidR="003101B5" w:rsidRPr="007821D0" w:rsidRDefault="003101B5" w:rsidP="007821D0">
      <w:pPr>
        <w:spacing w:after="0" w:line="240" w:lineRule="auto"/>
        <w:ind w:left="0" w:firstLine="0"/>
        <w:jc w:val="both"/>
        <w:rPr>
          <w:rFonts w:eastAsia="Calibri"/>
          <w:color w:val="auto"/>
          <w:lang w:val="sr-Latn-ME"/>
        </w:rPr>
      </w:pPr>
      <w:r w:rsidRPr="007821D0">
        <w:rPr>
          <w:rFonts w:eastAsia="Calibri"/>
          <w:color w:val="auto"/>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DFB2DC8" w14:textId="77777777" w:rsidR="00211E52" w:rsidRPr="007821D0" w:rsidRDefault="00211E52" w:rsidP="007821D0">
      <w:pPr>
        <w:spacing w:after="0" w:line="240" w:lineRule="auto"/>
        <w:ind w:left="0" w:firstLine="0"/>
        <w:jc w:val="both"/>
        <w:rPr>
          <w:rFonts w:eastAsia="Calibri"/>
          <w:color w:val="auto"/>
          <w:lang w:val="sr-Latn-ME"/>
        </w:rPr>
      </w:pPr>
    </w:p>
    <w:p w14:paraId="0FEFA3E5" w14:textId="77777777" w:rsidR="006E6677" w:rsidRDefault="006E6677" w:rsidP="007821D0">
      <w:pPr>
        <w:spacing w:after="0" w:line="240" w:lineRule="auto"/>
        <w:ind w:left="0" w:firstLine="0"/>
        <w:jc w:val="both"/>
        <w:rPr>
          <w:rFonts w:eastAsia="Calibri"/>
          <w:color w:val="auto"/>
          <w:lang w:val="sr-Latn-ME"/>
        </w:rPr>
      </w:pPr>
    </w:p>
    <w:p w14:paraId="2F68BF83" w14:textId="48F23BDF" w:rsidR="003101B5" w:rsidRPr="007821D0" w:rsidRDefault="003101B5" w:rsidP="007821D0">
      <w:pPr>
        <w:spacing w:after="0" w:line="240" w:lineRule="auto"/>
        <w:ind w:left="0" w:firstLine="0"/>
        <w:jc w:val="both"/>
        <w:rPr>
          <w:rFonts w:eastAsia="Calibri"/>
          <w:color w:val="auto"/>
          <w:lang w:val="sr-Latn-ME"/>
        </w:rPr>
      </w:pPr>
      <w:r w:rsidRPr="007821D0">
        <w:rPr>
          <w:rFonts w:eastAsia="Calibri"/>
          <w:color w:val="auto"/>
          <w:lang w:val="sr-Latn-ME"/>
        </w:rPr>
        <w:lastRenderedPageBreak/>
        <w:t xml:space="preserve">Institut za ljekove i medicinska sredstva </w:t>
      </w:r>
    </w:p>
    <w:p w14:paraId="6087C148" w14:textId="77777777" w:rsidR="003101B5" w:rsidRPr="007821D0" w:rsidRDefault="003101B5" w:rsidP="007821D0">
      <w:pPr>
        <w:spacing w:after="0" w:line="240" w:lineRule="auto"/>
        <w:ind w:left="0" w:firstLine="0"/>
        <w:jc w:val="both"/>
        <w:rPr>
          <w:rFonts w:eastAsia="Calibri"/>
          <w:color w:val="auto"/>
          <w:lang w:val="sr-Latn-ME"/>
        </w:rPr>
      </w:pPr>
      <w:r w:rsidRPr="007821D0">
        <w:rPr>
          <w:rFonts w:eastAsia="Calibri"/>
          <w:color w:val="auto"/>
          <w:lang w:val="sr-Latn-ME"/>
        </w:rPr>
        <w:t>Odjeljenje za farmakovigilancu</w:t>
      </w:r>
    </w:p>
    <w:p w14:paraId="530EC5F1" w14:textId="77777777" w:rsidR="003101B5" w:rsidRPr="007821D0" w:rsidRDefault="003101B5" w:rsidP="007821D0">
      <w:pPr>
        <w:spacing w:after="0" w:line="240" w:lineRule="auto"/>
        <w:ind w:left="0" w:firstLine="0"/>
        <w:jc w:val="both"/>
        <w:rPr>
          <w:rFonts w:eastAsia="Calibri"/>
          <w:color w:val="auto"/>
          <w:lang w:val="sr-Latn-ME"/>
        </w:rPr>
      </w:pPr>
      <w:r w:rsidRPr="007821D0">
        <w:rPr>
          <w:rFonts w:eastAsia="Calibri"/>
          <w:color w:val="auto"/>
          <w:lang w:val="sr-Latn-ME"/>
        </w:rPr>
        <w:t>Bulevar Ivana Crnojevića 64a, 81000 Podgorica</w:t>
      </w:r>
    </w:p>
    <w:p w14:paraId="78CC7FC5" w14:textId="77777777" w:rsidR="003101B5" w:rsidRPr="007821D0" w:rsidRDefault="003101B5" w:rsidP="007821D0">
      <w:pPr>
        <w:spacing w:after="0" w:line="240" w:lineRule="auto"/>
        <w:ind w:left="0" w:firstLine="0"/>
        <w:rPr>
          <w:rFonts w:eastAsia="Calibri"/>
          <w:color w:val="auto"/>
          <w:lang w:val="sr-Latn-ME"/>
        </w:rPr>
      </w:pPr>
    </w:p>
    <w:p w14:paraId="584EA4DF" w14:textId="77777777" w:rsidR="003101B5" w:rsidRPr="007821D0" w:rsidRDefault="003101B5" w:rsidP="007821D0">
      <w:pPr>
        <w:spacing w:after="0" w:line="240" w:lineRule="auto"/>
        <w:ind w:left="0" w:firstLine="0"/>
        <w:jc w:val="both"/>
        <w:rPr>
          <w:rFonts w:eastAsia="Calibri"/>
          <w:color w:val="auto"/>
          <w:lang w:val="sr-Latn-ME"/>
        </w:rPr>
      </w:pPr>
      <w:r w:rsidRPr="007821D0">
        <w:rPr>
          <w:rFonts w:eastAsia="Calibri"/>
          <w:color w:val="auto"/>
          <w:lang w:val="sr-Latn-ME"/>
        </w:rPr>
        <w:t>tel: +382 (0) 20 310 280</w:t>
      </w:r>
    </w:p>
    <w:p w14:paraId="5C17E609" w14:textId="77777777" w:rsidR="003101B5" w:rsidRPr="007821D0" w:rsidRDefault="003101B5" w:rsidP="007821D0">
      <w:pPr>
        <w:spacing w:after="0" w:line="240" w:lineRule="auto"/>
        <w:ind w:left="0" w:firstLine="0"/>
        <w:jc w:val="both"/>
        <w:rPr>
          <w:rFonts w:eastAsia="Calibri"/>
          <w:color w:val="auto"/>
          <w:lang w:val="sr-Latn-ME"/>
        </w:rPr>
      </w:pPr>
      <w:r w:rsidRPr="007821D0">
        <w:rPr>
          <w:rFonts w:eastAsia="Calibri"/>
          <w:color w:val="auto"/>
          <w:lang w:val="sr-Latn-ME"/>
        </w:rPr>
        <w:t>fax: +382 (0) 20 310 581</w:t>
      </w:r>
    </w:p>
    <w:p w14:paraId="1BE0DE1C" w14:textId="77777777" w:rsidR="003101B5" w:rsidRPr="007821D0" w:rsidRDefault="00BE0B0D" w:rsidP="007821D0">
      <w:pPr>
        <w:spacing w:after="0" w:line="240" w:lineRule="auto"/>
        <w:ind w:left="0" w:firstLine="0"/>
        <w:jc w:val="both"/>
        <w:rPr>
          <w:rFonts w:eastAsia="Calibri"/>
          <w:color w:val="auto"/>
          <w:lang w:val="sr-Latn-ME"/>
        </w:rPr>
      </w:pPr>
      <w:hyperlink r:id="rId11" w:history="1">
        <w:r w:rsidR="003101B5" w:rsidRPr="007821D0">
          <w:rPr>
            <w:rFonts w:eastAsia="Calibri"/>
            <w:color w:val="0563C1"/>
            <w:u w:val="single"/>
            <w:lang w:val="sr-Latn-ME"/>
          </w:rPr>
          <w:t>www.cinmed.me</w:t>
        </w:r>
      </w:hyperlink>
    </w:p>
    <w:p w14:paraId="1CB58ECC" w14:textId="77777777" w:rsidR="003101B5" w:rsidRPr="007821D0" w:rsidRDefault="00BE0B0D" w:rsidP="007821D0">
      <w:pPr>
        <w:spacing w:after="0" w:line="240" w:lineRule="auto"/>
        <w:ind w:left="0" w:firstLine="0"/>
        <w:jc w:val="both"/>
        <w:rPr>
          <w:rFonts w:eastAsia="Calibri"/>
          <w:color w:val="0000FF"/>
          <w:u w:val="single"/>
          <w:lang w:val="sr-Latn-ME"/>
        </w:rPr>
      </w:pPr>
      <w:hyperlink r:id="rId12" w:history="1">
        <w:r w:rsidR="003101B5" w:rsidRPr="007821D0">
          <w:rPr>
            <w:rFonts w:eastAsia="Calibri"/>
            <w:color w:val="0563C1"/>
            <w:u w:val="single"/>
            <w:lang w:val="sr-Latn-ME"/>
          </w:rPr>
          <w:t>nezeljenadejstva@cinmed.me</w:t>
        </w:r>
      </w:hyperlink>
    </w:p>
    <w:p w14:paraId="7C33EB8B" w14:textId="09E150AB" w:rsidR="003101B5" w:rsidRPr="007821D0" w:rsidRDefault="003101B5" w:rsidP="007821D0">
      <w:pPr>
        <w:spacing w:after="0" w:line="240" w:lineRule="auto"/>
        <w:ind w:left="0" w:firstLine="0"/>
        <w:jc w:val="both"/>
        <w:rPr>
          <w:rFonts w:eastAsia="Calibri"/>
          <w:color w:val="auto"/>
          <w:lang w:val="sr-Latn-ME"/>
        </w:rPr>
      </w:pPr>
      <w:r w:rsidRPr="007821D0">
        <w:rPr>
          <w:rFonts w:eastAsia="Calibri"/>
          <w:color w:val="auto"/>
          <w:lang w:val="sr-Latn-ME"/>
        </w:rPr>
        <w:t>putem IS zdravstvene zaštite</w:t>
      </w:r>
    </w:p>
    <w:p w14:paraId="23E06985" w14:textId="77777777" w:rsidR="003101B5" w:rsidRPr="007821D0" w:rsidRDefault="003101B5" w:rsidP="007821D0">
      <w:pPr>
        <w:spacing w:after="0" w:line="240" w:lineRule="auto"/>
        <w:ind w:left="0" w:firstLine="0"/>
        <w:jc w:val="both"/>
        <w:rPr>
          <w:rFonts w:eastAsia="Calibri"/>
          <w:color w:val="auto"/>
          <w:lang w:val="sr-Latn-ME"/>
        </w:rPr>
      </w:pPr>
    </w:p>
    <w:p w14:paraId="2301CCFF" w14:textId="77777777" w:rsidR="00284634" w:rsidRPr="007821D0" w:rsidRDefault="00313D4B" w:rsidP="007821D0">
      <w:pPr>
        <w:pStyle w:val="Heading3"/>
        <w:spacing w:after="0" w:line="240" w:lineRule="auto"/>
        <w:ind w:left="-5"/>
        <w:rPr>
          <w:lang w:val="sr-Latn-ME"/>
        </w:rPr>
      </w:pPr>
      <w:r w:rsidRPr="007821D0">
        <w:rPr>
          <w:lang w:val="sr-Latn-ME"/>
        </w:rPr>
        <w:t>4.9. Predoziranje</w:t>
      </w:r>
    </w:p>
    <w:p w14:paraId="16D6D0C0" w14:textId="77777777" w:rsidR="00211E52" w:rsidRPr="007821D0" w:rsidRDefault="00211E52" w:rsidP="007821D0">
      <w:pPr>
        <w:spacing w:after="0" w:line="240" w:lineRule="auto"/>
        <w:ind w:left="-5" w:right="3"/>
        <w:jc w:val="both"/>
        <w:rPr>
          <w:lang w:val="sr-Latn-ME"/>
        </w:rPr>
      </w:pPr>
    </w:p>
    <w:p w14:paraId="1722122E" w14:textId="507E38A4" w:rsidR="00284634" w:rsidRPr="007821D0" w:rsidRDefault="00313D4B" w:rsidP="007821D0">
      <w:pPr>
        <w:spacing w:after="0" w:line="240" w:lineRule="auto"/>
        <w:ind w:left="-5" w:right="3"/>
        <w:jc w:val="both"/>
        <w:rPr>
          <w:lang w:val="sr-Latn-ME"/>
        </w:rPr>
      </w:pPr>
      <w:r w:rsidRPr="007821D0">
        <w:rPr>
          <w:lang w:val="sr-Latn-ME"/>
        </w:rPr>
        <w:t xml:space="preserve">U ispitivanjima kod dobrovoljaca, pojedinačne dnevne doze dutasterida </w:t>
      </w:r>
      <w:r w:rsidR="00CF0994" w:rsidRPr="007821D0">
        <w:rPr>
          <w:lang w:val="sr-Latn-ME"/>
        </w:rPr>
        <w:t xml:space="preserve">od </w:t>
      </w:r>
      <w:r w:rsidRPr="007821D0">
        <w:rPr>
          <w:lang w:val="sr-Latn-ME"/>
        </w:rPr>
        <w:t>do 40 mg</w:t>
      </w:r>
      <w:r w:rsidR="00CF0994" w:rsidRPr="007821D0">
        <w:rPr>
          <w:lang w:val="sr-Latn-ME"/>
        </w:rPr>
        <w:t xml:space="preserve"> </w:t>
      </w:r>
      <w:r w:rsidRPr="007821D0">
        <w:rPr>
          <w:lang w:val="sr-Latn-ME"/>
        </w:rPr>
        <w:t>dnevno (80 puta veće od terapijske doze) prim</w:t>
      </w:r>
      <w:r w:rsidR="003101B5" w:rsidRPr="007821D0">
        <w:rPr>
          <w:lang w:val="sr-Latn-ME"/>
        </w:rPr>
        <w:t>j</w:t>
      </w:r>
      <w:r w:rsidRPr="007821D0">
        <w:rPr>
          <w:lang w:val="sr-Latn-ME"/>
        </w:rPr>
        <w:t>enjivane su 7 dana bez značajnog uticaja na bezb</w:t>
      </w:r>
      <w:r w:rsidR="003101B5" w:rsidRPr="007821D0">
        <w:rPr>
          <w:lang w:val="sr-Latn-ME"/>
        </w:rPr>
        <w:t>j</w:t>
      </w:r>
      <w:r w:rsidRPr="007821D0">
        <w:rPr>
          <w:lang w:val="sr-Latn-ME"/>
        </w:rPr>
        <w:t>ednost pacijenata. U kliničkim ispitivanjima, doze od 5 mg dnevno prim</w:t>
      </w:r>
      <w:r w:rsidR="00CF0994" w:rsidRPr="007821D0">
        <w:rPr>
          <w:lang w:val="sr-Latn-ME"/>
        </w:rPr>
        <w:t>j</w:t>
      </w:r>
      <w:r w:rsidRPr="007821D0">
        <w:rPr>
          <w:lang w:val="sr-Latn-ME"/>
        </w:rPr>
        <w:t>enjivane su kod ispitanika unutar perioda od 6 m</w:t>
      </w:r>
      <w:r w:rsidR="003101B5" w:rsidRPr="007821D0">
        <w:rPr>
          <w:lang w:val="sr-Latn-ME"/>
        </w:rPr>
        <w:t>j</w:t>
      </w:r>
      <w:r w:rsidRPr="007821D0">
        <w:rPr>
          <w:lang w:val="sr-Latn-ME"/>
        </w:rPr>
        <w:t>eseci</w:t>
      </w:r>
      <w:r w:rsidR="00CF0994" w:rsidRPr="007821D0">
        <w:rPr>
          <w:lang w:val="sr-Latn-ME"/>
        </w:rPr>
        <w:t>,</w:t>
      </w:r>
      <w:r w:rsidRPr="007821D0">
        <w:rPr>
          <w:lang w:val="sr-Latn-ME"/>
        </w:rPr>
        <w:t xml:space="preserve"> bez pojave dodatnih neželjenih dejstava u odnosu na neželjena dejstva uočena nakon prim</w:t>
      </w:r>
      <w:r w:rsidR="003101B5" w:rsidRPr="007821D0">
        <w:rPr>
          <w:lang w:val="sr-Latn-ME"/>
        </w:rPr>
        <w:t>j</w:t>
      </w:r>
      <w:r w:rsidRPr="007821D0">
        <w:rPr>
          <w:lang w:val="sr-Latn-ME"/>
        </w:rPr>
        <w:t xml:space="preserve">ene terapijskih doza od 0,5 mg. Ne postoji specifični antidot za dutasterid, stoga pri sumnji na predoziranje treba </w:t>
      </w:r>
      <w:r w:rsidR="00801048" w:rsidRPr="007821D0">
        <w:rPr>
          <w:lang w:val="sr-Latn-ME"/>
        </w:rPr>
        <w:t>primijeni</w:t>
      </w:r>
      <w:r w:rsidRPr="007821D0">
        <w:rPr>
          <w:lang w:val="sr-Latn-ME"/>
        </w:rPr>
        <w:t>ti odgovarajuću simptomatsku i suportivnu terapiju.</w:t>
      </w:r>
    </w:p>
    <w:p w14:paraId="4B932263" w14:textId="77777777" w:rsidR="00D05C0E" w:rsidRPr="007821D0" w:rsidRDefault="00D05C0E" w:rsidP="007821D0">
      <w:pPr>
        <w:pStyle w:val="Heading1"/>
        <w:spacing w:after="0" w:line="240" w:lineRule="auto"/>
        <w:ind w:left="-5"/>
        <w:rPr>
          <w:lang w:val="sr-Latn-ME"/>
        </w:rPr>
      </w:pPr>
    </w:p>
    <w:p w14:paraId="5EC4CB14" w14:textId="77777777" w:rsidR="00211E52" w:rsidRPr="007821D0" w:rsidRDefault="00211E52" w:rsidP="007821D0">
      <w:pPr>
        <w:pStyle w:val="Heading1"/>
        <w:spacing w:after="0" w:line="240" w:lineRule="auto"/>
        <w:ind w:left="-5"/>
        <w:rPr>
          <w:lang w:val="sr-Latn-ME"/>
        </w:rPr>
      </w:pPr>
    </w:p>
    <w:p w14:paraId="11202364" w14:textId="7B3FEF1B" w:rsidR="00284634" w:rsidRPr="007821D0" w:rsidRDefault="00313D4B" w:rsidP="007821D0">
      <w:pPr>
        <w:pStyle w:val="Heading1"/>
        <w:spacing w:after="0" w:line="240" w:lineRule="auto"/>
        <w:ind w:left="-5"/>
        <w:rPr>
          <w:lang w:val="sr-Latn-ME"/>
        </w:rPr>
      </w:pPr>
      <w:r w:rsidRPr="007821D0">
        <w:rPr>
          <w:lang w:val="sr-Latn-ME"/>
        </w:rPr>
        <w:t>5. FARMAKOLOŠKI PODACI</w:t>
      </w:r>
    </w:p>
    <w:p w14:paraId="226131E7" w14:textId="77777777" w:rsidR="00211E52" w:rsidRPr="007821D0" w:rsidRDefault="00211E52" w:rsidP="007821D0">
      <w:pPr>
        <w:spacing w:after="0" w:line="240" w:lineRule="auto"/>
        <w:ind w:left="-5"/>
        <w:rPr>
          <w:b/>
          <w:lang w:val="sr-Latn-ME"/>
        </w:rPr>
      </w:pPr>
    </w:p>
    <w:p w14:paraId="18FA5B0B" w14:textId="251B4635" w:rsidR="00284634" w:rsidRPr="007821D0" w:rsidRDefault="00313D4B" w:rsidP="007821D0">
      <w:pPr>
        <w:spacing w:after="0" w:line="240" w:lineRule="auto"/>
        <w:ind w:left="-5"/>
        <w:rPr>
          <w:lang w:val="sr-Latn-ME"/>
        </w:rPr>
      </w:pPr>
      <w:r w:rsidRPr="007821D0">
        <w:rPr>
          <w:b/>
          <w:lang w:val="sr-Latn-ME"/>
        </w:rPr>
        <w:t>5.1. Farmakodinamski podaci</w:t>
      </w:r>
    </w:p>
    <w:p w14:paraId="65797D5B" w14:textId="77777777" w:rsidR="00211E52" w:rsidRPr="007821D0" w:rsidRDefault="00211E52" w:rsidP="007821D0">
      <w:pPr>
        <w:spacing w:after="0" w:line="240" w:lineRule="auto"/>
        <w:ind w:left="-5" w:right="3"/>
        <w:jc w:val="both"/>
        <w:rPr>
          <w:b/>
          <w:lang w:val="sr-Latn-ME"/>
        </w:rPr>
      </w:pPr>
    </w:p>
    <w:p w14:paraId="578372D0" w14:textId="154FBB74" w:rsidR="00284634" w:rsidRPr="007821D0" w:rsidRDefault="00313D4B" w:rsidP="007821D0">
      <w:pPr>
        <w:spacing w:after="0" w:line="240" w:lineRule="auto"/>
        <w:ind w:left="-5" w:right="3"/>
        <w:jc w:val="both"/>
        <w:rPr>
          <w:lang w:val="sr-Latn-ME"/>
        </w:rPr>
      </w:pPr>
      <w:r w:rsidRPr="007821D0">
        <w:rPr>
          <w:b/>
          <w:lang w:val="sr-Latn-ME"/>
        </w:rPr>
        <w:t xml:space="preserve">Farmakoterapijska grupa: </w:t>
      </w:r>
      <w:r w:rsidRPr="007821D0">
        <w:rPr>
          <w:lang w:val="sr-Latn-ME"/>
        </w:rPr>
        <w:t xml:space="preserve">Urološki </w:t>
      </w:r>
      <w:r w:rsidR="009F2AF5" w:rsidRPr="007821D0">
        <w:rPr>
          <w:lang w:val="sr-Latn-ME"/>
        </w:rPr>
        <w:t>ljek</w:t>
      </w:r>
      <w:r w:rsidRPr="007821D0">
        <w:rPr>
          <w:lang w:val="sr-Latn-ME"/>
        </w:rPr>
        <w:t>ovi; inhibitori testosteron-5-alfa reduktaze</w:t>
      </w:r>
    </w:p>
    <w:p w14:paraId="68D869C8" w14:textId="2ED71CBF" w:rsidR="00284634" w:rsidRPr="007821D0" w:rsidRDefault="00313D4B" w:rsidP="007821D0">
      <w:pPr>
        <w:pStyle w:val="Heading1"/>
        <w:tabs>
          <w:tab w:val="center" w:pos="1632"/>
        </w:tabs>
        <w:spacing w:after="0" w:line="240" w:lineRule="auto"/>
        <w:ind w:left="-15" w:firstLine="0"/>
        <w:jc w:val="both"/>
        <w:rPr>
          <w:lang w:val="sr-Latn-ME"/>
        </w:rPr>
      </w:pPr>
      <w:r w:rsidRPr="007821D0">
        <w:rPr>
          <w:lang w:val="sr-Latn-ME"/>
        </w:rPr>
        <w:t xml:space="preserve">ATC </w:t>
      </w:r>
      <w:r w:rsidR="00F9709D" w:rsidRPr="007821D0">
        <w:rPr>
          <w:lang w:val="sr-Latn-ME"/>
        </w:rPr>
        <w:t>kod</w:t>
      </w:r>
      <w:r w:rsidRPr="007821D0">
        <w:rPr>
          <w:lang w:val="sr-Latn-ME"/>
        </w:rPr>
        <w:t>:</w:t>
      </w:r>
      <w:r w:rsidRPr="007821D0">
        <w:rPr>
          <w:lang w:val="sr-Latn-ME"/>
        </w:rPr>
        <w:tab/>
      </w:r>
      <w:r w:rsidRPr="007821D0">
        <w:rPr>
          <w:b w:val="0"/>
          <w:lang w:val="sr-Latn-ME"/>
        </w:rPr>
        <w:t>G04CB02</w:t>
      </w:r>
    </w:p>
    <w:p w14:paraId="7403CAB2" w14:textId="77777777" w:rsidR="00B6519A" w:rsidRPr="007821D0" w:rsidRDefault="00B6519A" w:rsidP="007821D0">
      <w:pPr>
        <w:spacing w:after="0" w:line="240" w:lineRule="auto"/>
        <w:ind w:left="-5" w:right="3"/>
        <w:jc w:val="both"/>
        <w:rPr>
          <w:lang w:val="sr-Latn-ME"/>
        </w:rPr>
      </w:pPr>
    </w:p>
    <w:p w14:paraId="515EFDCA" w14:textId="1832A3FB" w:rsidR="00284634" w:rsidRPr="007821D0" w:rsidRDefault="00313D4B" w:rsidP="007821D0">
      <w:pPr>
        <w:spacing w:after="0" w:line="240" w:lineRule="auto"/>
        <w:ind w:left="-5" w:right="3"/>
        <w:jc w:val="both"/>
        <w:rPr>
          <w:lang w:val="sr-Latn-ME"/>
        </w:rPr>
      </w:pPr>
      <w:r w:rsidRPr="007821D0">
        <w:rPr>
          <w:lang w:val="sr-Latn-ME"/>
        </w:rPr>
        <w:t>Dutasterid smanjuje koncentracije cirkulišućeg dihidrotestosterona (DHT) inhibicijom tip 1 i tip 2 izoenzima 5-alfa reduktaze, koji su odgovorni za konverziju testosterona u DHT.</w:t>
      </w:r>
    </w:p>
    <w:p w14:paraId="643E4B87" w14:textId="77777777" w:rsidR="00B6519A" w:rsidRPr="007821D0" w:rsidRDefault="00B6519A" w:rsidP="007821D0">
      <w:pPr>
        <w:spacing w:after="0" w:line="240" w:lineRule="auto"/>
        <w:ind w:left="-5" w:right="5714"/>
        <w:rPr>
          <w:b/>
          <w:lang w:val="sr-Latn-ME"/>
        </w:rPr>
      </w:pPr>
    </w:p>
    <w:p w14:paraId="3BF97163" w14:textId="77777777" w:rsidR="00B6519A" w:rsidRPr="007821D0" w:rsidRDefault="00E602C2" w:rsidP="007821D0">
      <w:pPr>
        <w:spacing w:after="0" w:line="240" w:lineRule="auto"/>
        <w:ind w:left="-5" w:right="5714"/>
        <w:rPr>
          <w:b/>
          <w:lang w:val="sr-Latn-ME"/>
        </w:rPr>
      </w:pPr>
      <w:r w:rsidRPr="007821D0">
        <w:rPr>
          <w:b/>
          <w:lang w:val="sr-Latn-ME"/>
        </w:rPr>
        <w:t>Primjena</w:t>
      </w:r>
      <w:r w:rsidR="00313D4B" w:rsidRPr="007821D0">
        <w:rPr>
          <w:b/>
          <w:lang w:val="sr-Latn-ME"/>
        </w:rPr>
        <w:t xml:space="preserve"> dutasterida u monoterapiji </w:t>
      </w:r>
    </w:p>
    <w:p w14:paraId="36632E26" w14:textId="77777777" w:rsidR="00B6519A" w:rsidRPr="007821D0" w:rsidRDefault="00B6519A" w:rsidP="007821D0">
      <w:pPr>
        <w:spacing w:after="0" w:line="240" w:lineRule="auto"/>
        <w:ind w:left="-5" w:right="5714"/>
        <w:rPr>
          <w:b/>
          <w:lang w:val="sr-Latn-ME"/>
        </w:rPr>
      </w:pPr>
    </w:p>
    <w:p w14:paraId="443B09F2" w14:textId="2918C5A6" w:rsidR="00284634" w:rsidRPr="007821D0" w:rsidRDefault="00313D4B" w:rsidP="007821D0">
      <w:pPr>
        <w:spacing w:after="0" w:line="240" w:lineRule="auto"/>
        <w:ind w:left="-5" w:right="5714"/>
        <w:rPr>
          <w:lang w:val="sr-Latn-ME"/>
        </w:rPr>
      </w:pPr>
      <w:r w:rsidRPr="007821D0">
        <w:rPr>
          <w:u w:val="single" w:color="000000"/>
          <w:lang w:val="sr-Latn-ME"/>
        </w:rPr>
        <w:t>Uticaj na DHT/testosteron:</w:t>
      </w:r>
    </w:p>
    <w:p w14:paraId="27F96168" w14:textId="2B0A8F40" w:rsidR="00284634" w:rsidRPr="007821D0" w:rsidRDefault="00313D4B" w:rsidP="007821D0">
      <w:pPr>
        <w:spacing w:after="0" w:line="240" w:lineRule="auto"/>
        <w:ind w:left="-5" w:right="3"/>
        <w:jc w:val="both"/>
        <w:rPr>
          <w:lang w:val="sr-Latn-ME"/>
        </w:rPr>
      </w:pPr>
      <w:r w:rsidRPr="007821D0">
        <w:rPr>
          <w:lang w:val="sr-Latn-ME"/>
        </w:rPr>
        <w:t>Uticaj dnevne doze dutasterida na smanjenje koncentracije DHT je dozno zavisan i može se prim</w:t>
      </w:r>
      <w:r w:rsidR="00F56D11" w:rsidRPr="007821D0">
        <w:rPr>
          <w:lang w:val="sr-Latn-ME"/>
        </w:rPr>
        <w:t>ij</w:t>
      </w:r>
      <w:r w:rsidRPr="007821D0">
        <w:rPr>
          <w:lang w:val="sr-Latn-ME"/>
        </w:rPr>
        <w:t>etiti unutar perioda od 1 do 2 ned</w:t>
      </w:r>
      <w:r w:rsidR="00A371E6" w:rsidRPr="007821D0">
        <w:rPr>
          <w:lang w:val="sr-Latn-ME"/>
        </w:rPr>
        <w:t>j</w:t>
      </w:r>
      <w:r w:rsidRPr="007821D0">
        <w:rPr>
          <w:lang w:val="sr-Latn-ME"/>
        </w:rPr>
        <w:t>elje (smanjenje iznosi 85%, odnosno 90%).</w:t>
      </w:r>
    </w:p>
    <w:p w14:paraId="251A9A1D" w14:textId="69C98A81" w:rsidR="00284634" w:rsidRPr="007821D0" w:rsidRDefault="00313D4B" w:rsidP="007821D0">
      <w:pPr>
        <w:spacing w:after="0" w:line="240" w:lineRule="auto"/>
        <w:ind w:left="-5" w:right="3"/>
        <w:jc w:val="both"/>
        <w:rPr>
          <w:lang w:val="sr-Latn-ME"/>
        </w:rPr>
      </w:pPr>
      <w:r w:rsidRPr="007821D0">
        <w:rPr>
          <w:lang w:val="sr-Latn-ME"/>
        </w:rPr>
        <w:t>Kod pacijenata sa BHP l</w:t>
      </w:r>
      <w:r w:rsidR="00F56D11" w:rsidRPr="007821D0">
        <w:rPr>
          <w:lang w:val="sr-Latn-ME"/>
        </w:rPr>
        <w:t>ij</w:t>
      </w:r>
      <w:r w:rsidRPr="007821D0">
        <w:rPr>
          <w:lang w:val="sr-Latn-ME"/>
        </w:rPr>
        <w:t>ečenih dutasteridom u dozi od 0,5 mg</w:t>
      </w:r>
      <w:r w:rsidR="00A371E6" w:rsidRPr="007821D0">
        <w:rPr>
          <w:lang w:val="sr-Latn-ME"/>
        </w:rPr>
        <w:t xml:space="preserve"> </w:t>
      </w:r>
      <w:r w:rsidRPr="007821D0">
        <w:rPr>
          <w:lang w:val="sr-Latn-ME"/>
        </w:rPr>
        <w:t>dnevno, medijana smanjenja koncentracije DHT u serumu iznosila je 94% u prvoj godini i 93% u drugoj godini, dok je medijana povećanja koncentracije testosterona u serumu iznosila 19% u prvoj i drugoj godini.</w:t>
      </w:r>
    </w:p>
    <w:p w14:paraId="1387FB75" w14:textId="77777777" w:rsidR="00CF38E2" w:rsidRDefault="00CF38E2" w:rsidP="007821D0">
      <w:pPr>
        <w:spacing w:after="0" w:line="240" w:lineRule="auto"/>
        <w:ind w:left="-5"/>
        <w:rPr>
          <w:u w:val="single" w:color="000000"/>
          <w:lang w:val="sr-Latn-ME"/>
        </w:rPr>
      </w:pPr>
    </w:p>
    <w:p w14:paraId="08972161" w14:textId="23872AF7" w:rsidR="00284634" w:rsidRPr="007821D0" w:rsidRDefault="00313D4B" w:rsidP="007821D0">
      <w:pPr>
        <w:spacing w:after="0" w:line="240" w:lineRule="auto"/>
        <w:ind w:left="-5"/>
        <w:rPr>
          <w:lang w:val="sr-Latn-ME"/>
        </w:rPr>
      </w:pPr>
      <w:r w:rsidRPr="007821D0">
        <w:rPr>
          <w:u w:val="single" w:color="000000"/>
          <w:lang w:val="sr-Latn-ME"/>
        </w:rPr>
        <w:t>Uticaj na veličinu prostate:</w:t>
      </w:r>
    </w:p>
    <w:p w14:paraId="28E84DB9" w14:textId="30F3E690" w:rsidR="00284634" w:rsidRPr="007821D0" w:rsidRDefault="00313D4B" w:rsidP="007821D0">
      <w:pPr>
        <w:spacing w:after="0" w:line="240" w:lineRule="auto"/>
        <w:ind w:left="-5" w:right="3"/>
        <w:jc w:val="both"/>
        <w:rPr>
          <w:lang w:val="sr-Latn-ME"/>
        </w:rPr>
      </w:pPr>
      <w:r w:rsidRPr="007821D0">
        <w:rPr>
          <w:lang w:val="sr-Latn-ME"/>
        </w:rPr>
        <w:t>Zapaženo je značajno smanjenje veličine prostate već m</w:t>
      </w:r>
      <w:r w:rsidR="00F56D11" w:rsidRPr="007821D0">
        <w:rPr>
          <w:lang w:val="sr-Latn-ME"/>
        </w:rPr>
        <w:t>j</w:t>
      </w:r>
      <w:r w:rsidRPr="007821D0">
        <w:rPr>
          <w:lang w:val="sr-Latn-ME"/>
        </w:rPr>
        <w:t>esec dana nakon početka terapije i smanjivanje se nastavilo tokom 24 m</w:t>
      </w:r>
      <w:r w:rsidR="00F56D11" w:rsidRPr="007821D0">
        <w:rPr>
          <w:lang w:val="sr-Latn-ME"/>
        </w:rPr>
        <w:t>j</w:t>
      </w:r>
      <w:r w:rsidRPr="007821D0">
        <w:rPr>
          <w:lang w:val="sr-Latn-ME"/>
        </w:rPr>
        <w:t xml:space="preserve">eseca (p&lt;0,001). </w:t>
      </w:r>
      <w:r w:rsidR="00E602C2" w:rsidRPr="007821D0">
        <w:rPr>
          <w:lang w:val="sr-Latn-ME"/>
        </w:rPr>
        <w:t>Primjena</w:t>
      </w:r>
      <w:r w:rsidRPr="007821D0">
        <w:rPr>
          <w:lang w:val="sr-Latn-ME"/>
        </w:rPr>
        <w:t xml:space="preserve"> dutasterida je dovela do pros</w:t>
      </w:r>
      <w:r w:rsidR="00B92799" w:rsidRPr="007821D0">
        <w:rPr>
          <w:lang w:val="sr-Latn-ME"/>
        </w:rPr>
        <w:t>j</w:t>
      </w:r>
      <w:r w:rsidRPr="007821D0">
        <w:rPr>
          <w:lang w:val="sr-Latn-ME"/>
        </w:rPr>
        <w:t xml:space="preserve">ečnog smanjenja veličine prostate od 23,6% (sa početnih 54,9 </w:t>
      </w:r>
      <w:r w:rsidR="00B6519A" w:rsidRPr="007821D0">
        <w:rPr>
          <w:lang w:val="sr-Latn-ME"/>
        </w:rPr>
        <w:t xml:space="preserve">ml </w:t>
      </w:r>
      <w:r w:rsidRPr="007821D0">
        <w:rPr>
          <w:lang w:val="sr-Latn-ME"/>
        </w:rPr>
        <w:t xml:space="preserve">na 42,1 </w:t>
      </w:r>
      <w:r w:rsidR="00B6519A" w:rsidRPr="007821D0">
        <w:rPr>
          <w:lang w:val="sr-Latn-ME"/>
        </w:rPr>
        <w:t>ml</w:t>
      </w:r>
      <w:r w:rsidRPr="007821D0">
        <w:rPr>
          <w:lang w:val="sr-Latn-ME"/>
        </w:rPr>
        <w:t>) u 12. m</w:t>
      </w:r>
      <w:r w:rsidR="00F56D11" w:rsidRPr="007821D0">
        <w:rPr>
          <w:lang w:val="sr-Latn-ME"/>
        </w:rPr>
        <w:t>j</w:t>
      </w:r>
      <w:r w:rsidRPr="007821D0">
        <w:rPr>
          <w:lang w:val="sr-Latn-ME"/>
        </w:rPr>
        <w:t>esecu, u poređenju sa pros</w:t>
      </w:r>
      <w:r w:rsidR="00F56D11" w:rsidRPr="007821D0">
        <w:rPr>
          <w:lang w:val="sr-Latn-ME"/>
        </w:rPr>
        <w:t>j</w:t>
      </w:r>
      <w:r w:rsidRPr="007821D0">
        <w:rPr>
          <w:lang w:val="sr-Latn-ME"/>
        </w:rPr>
        <w:t xml:space="preserve">ečnim smanjenjem od 0,5% (sa 54,0 </w:t>
      </w:r>
      <w:r w:rsidR="00B6519A" w:rsidRPr="007821D0">
        <w:rPr>
          <w:lang w:val="sr-Latn-ME"/>
        </w:rPr>
        <w:t xml:space="preserve">ml </w:t>
      </w:r>
      <w:r w:rsidRPr="007821D0">
        <w:rPr>
          <w:lang w:val="sr-Latn-ME"/>
        </w:rPr>
        <w:t xml:space="preserve">na 53,7 </w:t>
      </w:r>
      <w:r w:rsidR="00B6519A" w:rsidRPr="007821D0">
        <w:rPr>
          <w:lang w:val="sr-Latn-ME"/>
        </w:rPr>
        <w:t>ml</w:t>
      </w:r>
      <w:r w:rsidRPr="007821D0">
        <w:rPr>
          <w:lang w:val="sr-Latn-ME"/>
        </w:rPr>
        <w:t xml:space="preserve">) u placebo grupi. </w:t>
      </w:r>
    </w:p>
    <w:p w14:paraId="72FA709F" w14:textId="30F4E1A2" w:rsidR="00284634" w:rsidRPr="007821D0" w:rsidRDefault="00313D4B" w:rsidP="007821D0">
      <w:pPr>
        <w:spacing w:after="0" w:line="240" w:lineRule="auto"/>
        <w:ind w:left="-5" w:right="3"/>
        <w:jc w:val="both"/>
        <w:rPr>
          <w:lang w:val="sr-Latn-ME"/>
        </w:rPr>
      </w:pPr>
      <w:r w:rsidRPr="007821D0">
        <w:rPr>
          <w:lang w:val="sr-Latn-ME"/>
        </w:rPr>
        <w:t xml:space="preserve">Zapaženo je i značajno (p&lt;0,001) smanjenje veličine prelazne zone prostate od 17,8% (sa početnih 26,8 </w:t>
      </w:r>
      <w:r w:rsidR="00B6519A" w:rsidRPr="007821D0">
        <w:rPr>
          <w:lang w:val="sr-Latn-ME"/>
        </w:rPr>
        <w:t xml:space="preserve">ml </w:t>
      </w:r>
      <w:r w:rsidRPr="007821D0">
        <w:rPr>
          <w:lang w:val="sr-Latn-ME"/>
        </w:rPr>
        <w:t xml:space="preserve">na 21,4 </w:t>
      </w:r>
      <w:r w:rsidR="00B6519A" w:rsidRPr="007821D0">
        <w:rPr>
          <w:lang w:val="sr-Latn-ME"/>
        </w:rPr>
        <w:t>ml</w:t>
      </w:r>
      <w:r w:rsidRPr="007821D0">
        <w:rPr>
          <w:lang w:val="sr-Latn-ME"/>
        </w:rPr>
        <w:t>) u grupi u kojoj je prim</w:t>
      </w:r>
      <w:r w:rsidR="00F56D11" w:rsidRPr="007821D0">
        <w:rPr>
          <w:lang w:val="sr-Latn-ME"/>
        </w:rPr>
        <w:t>ij</w:t>
      </w:r>
      <w:r w:rsidRPr="007821D0">
        <w:rPr>
          <w:lang w:val="sr-Latn-ME"/>
        </w:rPr>
        <w:t>enjen dutasterid</w:t>
      </w:r>
      <w:r w:rsidR="00B92799" w:rsidRPr="007821D0">
        <w:rPr>
          <w:lang w:val="sr-Latn-ME"/>
        </w:rPr>
        <w:t>,</w:t>
      </w:r>
      <w:r w:rsidRPr="007821D0">
        <w:rPr>
          <w:lang w:val="sr-Latn-ME"/>
        </w:rPr>
        <w:t xml:space="preserve"> počevši od 1. m</w:t>
      </w:r>
      <w:r w:rsidR="00B92799" w:rsidRPr="007821D0">
        <w:rPr>
          <w:lang w:val="sr-Latn-ME"/>
        </w:rPr>
        <w:t>j</w:t>
      </w:r>
      <w:r w:rsidRPr="007821D0">
        <w:rPr>
          <w:lang w:val="sr-Latn-ME"/>
        </w:rPr>
        <w:t xml:space="preserve">eseca nakon početka terapije, </w:t>
      </w:r>
      <w:r w:rsidR="00B92799" w:rsidRPr="007821D0">
        <w:rPr>
          <w:lang w:val="sr-Latn-ME"/>
        </w:rPr>
        <w:t xml:space="preserve">a zatim </w:t>
      </w:r>
      <w:r w:rsidRPr="007821D0">
        <w:rPr>
          <w:lang w:val="sr-Latn-ME"/>
        </w:rPr>
        <w:t>tokom naredna 24 m</w:t>
      </w:r>
      <w:r w:rsidR="00B92799" w:rsidRPr="007821D0">
        <w:rPr>
          <w:lang w:val="sr-Latn-ME"/>
        </w:rPr>
        <w:t>j</w:t>
      </w:r>
      <w:r w:rsidRPr="007821D0">
        <w:rPr>
          <w:lang w:val="sr-Latn-ME"/>
        </w:rPr>
        <w:t>eseca, u poređenju sa pros</w:t>
      </w:r>
      <w:r w:rsidR="00B92799" w:rsidRPr="007821D0">
        <w:rPr>
          <w:lang w:val="sr-Latn-ME"/>
        </w:rPr>
        <w:t>j</w:t>
      </w:r>
      <w:r w:rsidRPr="007821D0">
        <w:rPr>
          <w:lang w:val="sr-Latn-ME"/>
        </w:rPr>
        <w:t xml:space="preserve">ečnim povećanjem od 7,9% (sa početnih 26,8 </w:t>
      </w:r>
      <w:r w:rsidR="00B6519A" w:rsidRPr="007821D0">
        <w:rPr>
          <w:lang w:val="sr-Latn-ME"/>
        </w:rPr>
        <w:t xml:space="preserve">ml </w:t>
      </w:r>
      <w:r w:rsidRPr="007821D0">
        <w:rPr>
          <w:lang w:val="sr-Latn-ME"/>
        </w:rPr>
        <w:t xml:space="preserve">na 27,5 </w:t>
      </w:r>
      <w:r w:rsidR="00B6519A" w:rsidRPr="007821D0">
        <w:rPr>
          <w:lang w:val="sr-Latn-ME"/>
        </w:rPr>
        <w:t>ml</w:t>
      </w:r>
      <w:r w:rsidRPr="007821D0">
        <w:rPr>
          <w:lang w:val="sr-Latn-ME"/>
        </w:rPr>
        <w:t>) u placebo grupi u 12. m</w:t>
      </w:r>
      <w:r w:rsidR="00B92799" w:rsidRPr="007821D0">
        <w:rPr>
          <w:lang w:val="sr-Latn-ME"/>
        </w:rPr>
        <w:t>j</w:t>
      </w:r>
      <w:r w:rsidRPr="007821D0">
        <w:rPr>
          <w:lang w:val="sr-Latn-ME"/>
        </w:rPr>
        <w:t>esecu. Trend smanjenja veličine prostate, koji je uočen tokom prve 2 godine dvostruko sl</w:t>
      </w:r>
      <w:r w:rsidR="00F56D11" w:rsidRPr="007821D0">
        <w:rPr>
          <w:lang w:val="sr-Latn-ME"/>
        </w:rPr>
        <w:t>ij</w:t>
      </w:r>
      <w:r w:rsidRPr="007821D0">
        <w:rPr>
          <w:lang w:val="sr-Latn-ME"/>
        </w:rPr>
        <w:t>epog terapijskog režima, nastavljen je tokom dodatne 2 godine produženih otvorenih kliničkih ispitivanja. Smanjenje veličine prostate dovodi do poboljšanja simptoma i smanjenja rizika za nastanak AUR i hiruršk</w:t>
      </w:r>
      <w:r w:rsidR="00B92799" w:rsidRPr="007821D0">
        <w:rPr>
          <w:lang w:val="sr-Latn-ME"/>
        </w:rPr>
        <w:t>u</w:t>
      </w:r>
      <w:r w:rsidRPr="007821D0">
        <w:rPr>
          <w:lang w:val="sr-Latn-ME"/>
        </w:rPr>
        <w:t xml:space="preserve"> terapij</w:t>
      </w:r>
      <w:r w:rsidR="00B92799" w:rsidRPr="007821D0">
        <w:rPr>
          <w:lang w:val="sr-Latn-ME"/>
        </w:rPr>
        <w:t>u</w:t>
      </w:r>
      <w:r w:rsidRPr="007821D0">
        <w:rPr>
          <w:lang w:val="sr-Latn-ME"/>
        </w:rPr>
        <w:t xml:space="preserve"> BHP.</w:t>
      </w:r>
    </w:p>
    <w:p w14:paraId="5B373749" w14:textId="77777777" w:rsidR="00B6519A" w:rsidRPr="007821D0" w:rsidRDefault="00B6519A" w:rsidP="007821D0">
      <w:pPr>
        <w:pStyle w:val="Heading2"/>
        <w:spacing w:after="0" w:line="240" w:lineRule="auto"/>
        <w:ind w:left="-5"/>
        <w:rPr>
          <w:lang w:val="sr-Latn-ME"/>
        </w:rPr>
      </w:pPr>
    </w:p>
    <w:p w14:paraId="0CBF695E" w14:textId="1FF6D432" w:rsidR="00284634" w:rsidRPr="007821D0" w:rsidRDefault="00313D4B" w:rsidP="007821D0">
      <w:pPr>
        <w:pStyle w:val="Heading2"/>
        <w:spacing w:after="0" w:line="240" w:lineRule="auto"/>
        <w:ind w:left="-5"/>
        <w:rPr>
          <w:lang w:val="sr-Latn-ME"/>
        </w:rPr>
      </w:pPr>
      <w:r w:rsidRPr="007821D0">
        <w:rPr>
          <w:lang w:val="sr-Latn-ME"/>
        </w:rPr>
        <w:t>Klinička efikasnost i bezb</w:t>
      </w:r>
      <w:r w:rsidR="00F56D11" w:rsidRPr="007821D0">
        <w:rPr>
          <w:lang w:val="sr-Latn-ME"/>
        </w:rPr>
        <w:t>j</w:t>
      </w:r>
      <w:r w:rsidRPr="007821D0">
        <w:rPr>
          <w:lang w:val="sr-Latn-ME"/>
        </w:rPr>
        <w:t>ednost</w:t>
      </w:r>
    </w:p>
    <w:p w14:paraId="2639FA51" w14:textId="76C48F7E" w:rsidR="00284634" w:rsidRPr="007821D0" w:rsidRDefault="00E602C2" w:rsidP="007821D0">
      <w:pPr>
        <w:spacing w:after="0" w:line="240" w:lineRule="auto"/>
        <w:ind w:left="-5" w:right="3"/>
        <w:jc w:val="both"/>
        <w:rPr>
          <w:lang w:val="sr-Latn-ME"/>
        </w:rPr>
      </w:pPr>
      <w:r w:rsidRPr="007821D0">
        <w:rPr>
          <w:lang w:val="sr-Latn-ME"/>
        </w:rPr>
        <w:t>Primjena</w:t>
      </w:r>
      <w:r w:rsidR="00313D4B" w:rsidRPr="007821D0">
        <w:rPr>
          <w:lang w:val="sr-Latn-ME"/>
        </w:rPr>
        <w:t xml:space="preserve"> dutasterida u dozi od 0,5 mg dnevno ili placeba ispitana je kod 4325 muških ispitanika sa um</w:t>
      </w:r>
      <w:r w:rsidR="00F56D11" w:rsidRPr="007821D0">
        <w:rPr>
          <w:lang w:val="sr-Latn-ME"/>
        </w:rPr>
        <w:t>j</w:t>
      </w:r>
      <w:r w:rsidR="00313D4B" w:rsidRPr="007821D0">
        <w:rPr>
          <w:lang w:val="sr-Latn-ME"/>
        </w:rPr>
        <w:t xml:space="preserve">erenim do teškim simptomima BHP, veličine prostate </w:t>
      </w:r>
      <w:r w:rsidR="005F4C6E" w:rsidRPr="007821D0">
        <w:rPr>
          <w:lang w:val="sr-Latn-ME"/>
        </w:rPr>
        <w:t>≥</w:t>
      </w:r>
      <w:r w:rsidR="00313D4B" w:rsidRPr="007821D0">
        <w:rPr>
          <w:lang w:val="sr-Latn-ME"/>
        </w:rPr>
        <w:t xml:space="preserve">30 </w:t>
      </w:r>
      <w:r w:rsidR="00B6519A" w:rsidRPr="007821D0">
        <w:rPr>
          <w:lang w:val="sr-Latn-ME"/>
        </w:rPr>
        <w:t xml:space="preserve">ml </w:t>
      </w:r>
      <w:r w:rsidR="00313D4B" w:rsidRPr="007821D0">
        <w:rPr>
          <w:lang w:val="sr-Latn-ME"/>
        </w:rPr>
        <w:t xml:space="preserve">i PSA </w:t>
      </w:r>
      <w:r w:rsidRPr="007821D0">
        <w:rPr>
          <w:lang w:val="sr-Latn-ME"/>
        </w:rPr>
        <w:t>vrijednosti</w:t>
      </w:r>
      <w:r w:rsidR="00313D4B" w:rsidRPr="007821D0">
        <w:rPr>
          <w:lang w:val="sr-Latn-ME"/>
        </w:rPr>
        <w:t>ma u rasponu između 1,5 i 10 nanograma/</w:t>
      </w:r>
      <w:r w:rsidR="00B6519A" w:rsidRPr="007821D0">
        <w:rPr>
          <w:lang w:val="sr-Latn-ME"/>
        </w:rPr>
        <w:t xml:space="preserve">ml </w:t>
      </w:r>
      <w:r w:rsidR="00313D4B" w:rsidRPr="007821D0">
        <w:rPr>
          <w:lang w:val="sr-Latn-ME"/>
        </w:rPr>
        <w:t>tokom tri primarna dvogodišnja</w:t>
      </w:r>
      <w:r w:rsidR="005F4C6E" w:rsidRPr="007821D0">
        <w:rPr>
          <w:lang w:val="sr-Latn-ME"/>
        </w:rPr>
        <w:t>,</w:t>
      </w:r>
      <w:r w:rsidR="00313D4B" w:rsidRPr="007821D0">
        <w:rPr>
          <w:lang w:val="sr-Latn-ME"/>
        </w:rPr>
        <w:t xml:space="preserve"> multicentrična, multinacionalna, placebo</w:t>
      </w:r>
      <w:r w:rsidR="005F4C6E" w:rsidRPr="007821D0">
        <w:rPr>
          <w:lang w:val="sr-Latn-ME"/>
        </w:rPr>
        <w:t xml:space="preserve"> </w:t>
      </w:r>
      <w:r w:rsidR="00313D4B" w:rsidRPr="007821D0">
        <w:rPr>
          <w:lang w:val="sr-Latn-ME"/>
        </w:rPr>
        <w:t xml:space="preserve">kontrolisana, </w:t>
      </w:r>
      <w:r w:rsidR="00313D4B" w:rsidRPr="007821D0">
        <w:rPr>
          <w:lang w:val="sr-Latn-ME"/>
        </w:rPr>
        <w:lastRenderedPageBreak/>
        <w:t>dvostruko</w:t>
      </w:r>
      <w:r w:rsidR="005F4C6E" w:rsidRPr="007821D0">
        <w:rPr>
          <w:lang w:val="sr-Latn-ME"/>
        </w:rPr>
        <w:t xml:space="preserve"> </w:t>
      </w:r>
      <w:r w:rsidR="00313D4B" w:rsidRPr="007821D0">
        <w:rPr>
          <w:lang w:val="sr-Latn-ME"/>
        </w:rPr>
        <w:t>sl</w:t>
      </w:r>
      <w:r w:rsidR="005F4C6E" w:rsidRPr="007821D0">
        <w:rPr>
          <w:lang w:val="sr-Latn-ME"/>
        </w:rPr>
        <w:t>ij</w:t>
      </w:r>
      <w:r w:rsidR="00313D4B" w:rsidRPr="007821D0">
        <w:rPr>
          <w:lang w:val="sr-Latn-ME"/>
        </w:rPr>
        <w:t xml:space="preserve">epa klinička ispitivanja efikasnosti. Istraživanja su nastavljena u vidu produženih otvorenih kliničkih ispitivanja do perioda od 4 godine. Svi pacijenti, i dalje uključeni u istraživanje, dobijali su istu dozu </w:t>
      </w:r>
      <w:r w:rsidR="005F4C6E" w:rsidRPr="007821D0">
        <w:rPr>
          <w:lang w:val="sr-Latn-ME"/>
        </w:rPr>
        <w:t xml:space="preserve">dutasterida </w:t>
      </w:r>
      <w:r w:rsidR="00313D4B" w:rsidRPr="007821D0">
        <w:rPr>
          <w:lang w:val="sr-Latn-ME"/>
        </w:rPr>
        <w:t>od 0,5 mg. Na kraju četvorogodišnjeg kliničkog ispitivanja bilo je 37% inicijalno placebo</w:t>
      </w:r>
      <w:r w:rsidR="00C52ABC" w:rsidRPr="007821D0">
        <w:rPr>
          <w:lang w:val="sr-Latn-ME"/>
        </w:rPr>
        <w:t xml:space="preserve"> </w:t>
      </w:r>
      <w:r w:rsidR="00313D4B" w:rsidRPr="007821D0">
        <w:rPr>
          <w:lang w:val="sr-Latn-ME"/>
        </w:rPr>
        <w:t xml:space="preserve">randomizovanih pacijenata i 40% dutasterid-randomizovanih pacijenata. Većina (71%) od 2340 ispitanika u produženom otvorenom kliničkom ispitivanju učestvovala je do kraja dodatnog dvogodišnjeg otvorenog terapijskog režima (engl. </w:t>
      </w:r>
      <w:r w:rsidR="00313D4B" w:rsidRPr="007821D0">
        <w:rPr>
          <w:i/>
          <w:lang w:val="sr-Latn-ME"/>
        </w:rPr>
        <w:t>open-label treatment</w:t>
      </w:r>
      <w:r w:rsidR="00313D4B" w:rsidRPr="007821D0">
        <w:rPr>
          <w:lang w:val="sr-Latn-ME"/>
        </w:rPr>
        <w:t xml:space="preserve">). </w:t>
      </w:r>
    </w:p>
    <w:p w14:paraId="5643B204" w14:textId="77777777" w:rsidR="00B6519A" w:rsidRPr="007821D0" w:rsidRDefault="00B6519A" w:rsidP="007821D0">
      <w:pPr>
        <w:spacing w:after="0" w:line="240" w:lineRule="auto"/>
        <w:ind w:left="-5" w:right="3"/>
        <w:jc w:val="both"/>
        <w:rPr>
          <w:lang w:val="sr-Latn-ME"/>
        </w:rPr>
      </w:pPr>
    </w:p>
    <w:p w14:paraId="7AC58F70" w14:textId="6DC1D63F" w:rsidR="00284634" w:rsidRPr="007821D0" w:rsidRDefault="00313D4B" w:rsidP="007821D0">
      <w:pPr>
        <w:spacing w:after="0" w:line="240" w:lineRule="auto"/>
        <w:ind w:left="-5" w:right="3"/>
        <w:jc w:val="both"/>
        <w:rPr>
          <w:lang w:val="sr-Latn-ME"/>
        </w:rPr>
      </w:pPr>
      <w:r w:rsidRPr="007821D0">
        <w:rPr>
          <w:lang w:val="sr-Latn-ME"/>
        </w:rPr>
        <w:t>Najvažniji parametri kliničke efikasnosti bili su Indeks simptoma Američke urološke asocijacije (</w:t>
      </w:r>
      <w:r w:rsidR="005F4C6E" w:rsidRPr="007821D0">
        <w:rPr>
          <w:lang w:val="sr-Latn-ME"/>
        </w:rPr>
        <w:t xml:space="preserve">engl. </w:t>
      </w:r>
      <w:r w:rsidR="005F4C6E" w:rsidRPr="007821D0">
        <w:rPr>
          <w:i/>
          <w:lang w:val="sr-Latn-ME"/>
        </w:rPr>
        <w:t>American Urological Association Symptom Index</w:t>
      </w:r>
      <w:r w:rsidR="005F4C6E" w:rsidRPr="007821D0">
        <w:rPr>
          <w:lang w:val="sr-Latn-ME"/>
        </w:rPr>
        <w:t xml:space="preserve">, </w:t>
      </w:r>
      <w:r w:rsidRPr="007821D0">
        <w:rPr>
          <w:lang w:val="sr-Latn-ME"/>
        </w:rPr>
        <w:t>AUA-SI), maksimalni urinarni protok (Qmax) i incidenca akutne urinarne retencije i hirurške intervencije u vezi sa BHP.</w:t>
      </w:r>
    </w:p>
    <w:p w14:paraId="603661CA" w14:textId="77777777" w:rsidR="00B6519A" w:rsidRPr="007821D0" w:rsidRDefault="00B6519A" w:rsidP="007821D0">
      <w:pPr>
        <w:spacing w:after="0" w:line="240" w:lineRule="auto"/>
        <w:ind w:left="-5" w:right="3"/>
        <w:jc w:val="both"/>
        <w:rPr>
          <w:lang w:val="sr-Latn-ME"/>
        </w:rPr>
      </w:pPr>
    </w:p>
    <w:p w14:paraId="081CC45C" w14:textId="60387A10" w:rsidR="00284634" w:rsidRPr="007821D0" w:rsidRDefault="00313D4B" w:rsidP="007821D0">
      <w:pPr>
        <w:spacing w:after="0" w:line="240" w:lineRule="auto"/>
        <w:ind w:left="-5" w:right="3"/>
        <w:jc w:val="both"/>
        <w:rPr>
          <w:lang w:val="sr-Latn-ME"/>
        </w:rPr>
      </w:pPr>
      <w:r w:rsidRPr="007821D0">
        <w:rPr>
          <w:lang w:val="sr-Latn-ME"/>
        </w:rPr>
        <w:t>AUA-SI je upitnik koji se sastoji iz sedam d</w:t>
      </w:r>
      <w:r w:rsidR="00F56D11" w:rsidRPr="007821D0">
        <w:rPr>
          <w:lang w:val="sr-Latn-ME"/>
        </w:rPr>
        <w:t>j</w:t>
      </w:r>
      <w:r w:rsidRPr="007821D0">
        <w:rPr>
          <w:lang w:val="sr-Latn-ME"/>
        </w:rPr>
        <w:t>elova o simptomima povezanim sa BHP</w:t>
      </w:r>
      <w:r w:rsidR="005C7C11" w:rsidRPr="007821D0">
        <w:rPr>
          <w:lang w:val="sr-Latn-ME"/>
        </w:rPr>
        <w:t>,</w:t>
      </w:r>
      <w:r w:rsidRPr="007821D0">
        <w:rPr>
          <w:lang w:val="sr-Latn-ME"/>
        </w:rPr>
        <w:t xml:space="preserve"> sa maksimalnim rezultatom od 35. Na početku ispitivanja pros</w:t>
      </w:r>
      <w:r w:rsidR="00F56D11" w:rsidRPr="007821D0">
        <w:rPr>
          <w:lang w:val="sr-Latn-ME"/>
        </w:rPr>
        <w:t>j</w:t>
      </w:r>
      <w:r w:rsidRPr="007821D0">
        <w:rPr>
          <w:lang w:val="sr-Latn-ME"/>
        </w:rPr>
        <w:t>ečni rezultat iznosio je približno 17. Nakon šest m</w:t>
      </w:r>
      <w:r w:rsidR="00A0032B" w:rsidRPr="007821D0">
        <w:rPr>
          <w:lang w:val="sr-Latn-ME"/>
        </w:rPr>
        <w:t>j</w:t>
      </w:r>
      <w:r w:rsidRPr="007821D0">
        <w:rPr>
          <w:lang w:val="sr-Latn-ME"/>
        </w:rPr>
        <w:t>eseci, godinu dana i dv</w:t>
      </w:r>
      <w:r w:rsidR="00A0032B" w:rsidRPr="007821D0">
        <w:rPr>
          <w:lang w:val="sr-Latn-ME"/>
        </w:rPr>
        <w:t>ij</w:t>
      </w:r>
      <w:r w:rsidRPr="007821D0">
        <w:rPr>
          <w:lang w:val="sr-Latn-ME"/>
        </w:rPr>
        <w:t>e godine terapije, placebo grupa imala je pros</w:t>
      </w:r>
      <w:r w:rsidR="00A0032B" w:rsidRPr="007821D0">
        <w:rPr>
          <w:lang w:val="sr-Latn-ME"/>
        </w:rPr>
        <w:t>j</w:t>
      </w:r>
      <w:r w:rsidRPr="007821D0">
        <w:rPr>
          <w:lang w:val="sr-Latn-ME"/>
        </w:rPr>
        <w:t>ečno poboljšanje od 2,5; 2,5 i 2,3 poena, tim redom, dok je poboljšanje u grupi kod koje je prim</w:t>
      </w:r>
      <w:r w:rsidR="00A0032B" w:rsidRPr="007821D0">
        <w:rPr>
          <w:lang w:val="sr-Latn-ME"/>
        </w:rPr>
        <w:t>j</w:t>
      </w:r>
      <w:r w:rsidRPr="007821D0">
        <w:rPr>
          <w:lang w:val="sr-Latn-ME"/>
        </w:rPr>
        <w:t>enj</w:t>
      </w:r>
      <w:r w:rsidR="00EB0F4D" w:rsidRPr="007821D0">
        <w:rPr>
          <w:lang w:val="sr-Latn-ME"/>
        </w:rPr>
        <w:t>ivan</w:t>
      </w:r>
      <w:r w:rsidRPr="007821D0">
        <w:rPr>
          <w:lang w:val="sr-Latn-ME"/>
        </w:rPr>
        <w:t xml:space="preserve"> dutasterid iznosilo 3,2; 3,8 i 4,5 poena, tim redom. Razlike između grupa bile su statistički značajne. Poboljšanje u rezultatima AUA-SI koje je uočeno tokom prve 2 godine dvostruko</w:t>
      </w:r>
      <w:r w:rsidR="00EB0F4D" w:rsidRPr="007821D0">
        <w:rPr>
          <w:lang w:val="sr-Latn-ME"/>
        </w:rPr>
        <w:t xml:space="preserve"> </w:t>
      </w:r>
      <w:r w:rsidRPr="007821D0">
        <w:rPr>
          <w:lang w:val="sr-Latn-ME"/>
        </w:rPr>
        <w:t>sl</w:t>
      </w:r>
      <w:r w:rsidR="00EB0F4D" w:rsidRPr="007821D0">
        <w:rPr>
          <w:lang w:val="sr-Latn-ME"/>
        </w:rPr>
        <w:t>ij</w:t>
      </w:r>
      <w:r w:rsidRPr="007821D0">
        <w:rPr>
          <w:lang w:val="sr-Latn-ME"/>
        </w:rPr>
        <w:t xml:space="preserve">epog terapijskog režima održavalo </w:t>
      </w:r>
      <w:r w:rsidR="00EB0F4D" w:rsidRPr="007821D0">
        <w:rPr>
          <w:lang w:val="sr-Latn-ME"/>
        </w:rPr>
        <w:t xml:space="preserve">se </w:t>
      </w:r>
      <w:r w:rsidRPr="007821D0">
        <w:rPr>
          <w:lang w:val="sr-Latn-ME"/>
        </w:rPr>
        <w:t>tokom dodatne 2 godine produženih otvorenih kliničkih ispitivanja.</w:t>
      </w:r>
    </w:p>
    <w:p w14:paraId="5CB1A78E" w14:textId="77777777" w:rsidR="00B6519A" w:rsidRPr="007821D0" w:rsidRDefault="00B6519A" w:rsidP="007821D0">
      <w:pPr>
        <w:pStyle w:val="Heading2"/>
        <w:spacing w:after="0" w:line="240" w:lineRule="auto"/>
        <w:ind w:left="-5"/>
        <w:rPr>
          <w:lang w:val="sr-Latn-ME"/>
        </w:rPr>
      </w:pPr>
    </w:p>
    <w:p w14:paraId="52A5BCE3" w14:textId="73033268" w:rsidR="00284634" w:rsidRPr="007821D0" w:rsidRDefault="00313D4B" w:rsidP="007821D0">
      <w:pPr>
        <w:pStyle w:val="Heading2"/>
        <w:spacing w:after="0" w:line="240" w:lineRule="auto"/>
        <w:ind w:left="-5"/>
        <w:rPr>
          <w:lang w:val="sr-Latn-ME"/>
        </w:rPr>
      </w:pPr>
      <w:r w:rsidRPr="007821D0">
        <w:rPr>
          <w:lang w:val="sr-Latn-ME"/>
        </w:rPr>
        <w:t>Qmax (maksimalni urinarni protok)</w:t>
      </w:r>
    </w:p>
    <w:p w14:paraId="3B4C2489" w14:textId="42A0CBBD" w:rsidR="00284634" w:rsidRPr="007821D0" w:rsidRDefault="00313D4B" w:rsidP="007821D0">
      <w:pPr>
        <w:spacing w:after="0" w:line="240" w:lineRule="auto"/>
        <w:ind w:left="-5" w:right="3"/>
        <w:jc w:val="both"/>
        <w:rPr>
          <w:lang w:val="sr-Latn-ME"/>
        </w:rPr>
      </w:pPr>
      <w:r w:rsidRPr="007821D0">
        <w:rPr>
          <w:lang w:val="sr-Latn-ME"/>
        </w:rPr>
        <w:t>Pros</w:t>
      </w:r>
      <w:r w:rsidR="00A0032B" w:rsidRPr="007821D0">
        <w:rPr>
          <w:lang w:val="sr-Latn-ME"/>
        </w:rPr>
        <w:t>j</w:t>
      </w:r>
      <w:r w:rsidRPr="007821D0">
        <w:rPr>
          <w:lang w:val="sr-Latn-ME"/>
        </w:rPr>
        <w:t xml:space="preserve">ečna početna </w:t>
      </w:r>
      <w:r w:rsidR="000A2950" w:rsidRPr="007821D0">
        <w:rPr>
          <w:lang w:val="sr-Latn-ME"/>
        </w:rPr>
        <w:t>vrijednost</w:t>
      </w:r>
      <w:r w:rsidRPr="007821D0">
        <w:rPr>
          <w:lang w:val="sr-Latn-ME"/>
        </w:rPr>
        <w:t xml:space="preserve"> Qmax tokom ispitivanja je iznosila približno 10 </w:t>
      </w:r>
      <w:r w:rsidR="00B6519A" w:rsidRPr="007821D0">
        <w:rPr>
          <w:lang w:val="sr-Latn-ME"/>
        </w:rPr>
        <w:t>ml</w:t>
      </w:r>
      <w:r w:rsidRPr="007821D0">
        <w:rPr>
          <w:lang w:val="sr-Latn-ME"/>
        </w:rPr>
        <w:t>/sekund (normalni Qmax</w:t>
      </w:r>
      <w:r w:rsidR="00EB0F4D" w:rsidRPr="007821D0">
        <w:rPr>
          <w:lang w:val="sr-Latn-ME"/>
        </w:rPr>
        <w:t>≥</w:t>
      </w:r>
      <w:r w:rsidRPr="007821D0">
        <w:rPr>
          <w:lang w:val="sr-Latn-ME"/>
        </w:rPr>
        <w:t xml:space="preserve">15 </w:t>
      </w:r>
      <w:r w:rsidR="00B6519A" w:rsidRPr="007821D0">
        <w:rPr>
          <w:lang w:val="sr-Latn-ME"/>
        </w:rPr>
        <w:t>ml</w:t>
      </w:r>
      <w:r w:rsidRPr="007821D0">
        <w:rPr>
          <w:lang w:val="sr-Latn-ME"/>
        </w:rPr>
        <w:t>/sekund). Nakon godinu dana, odnosno dv</w:t>
      </w:r>
      <w:r w:rsidR="00A0032B" w:rsidRPr="007821D0">
        <w:rPr>
          <w:lang w:val="sr-Latn-ME"/>
        </w:rPr>
        <w:t>ij</w:t>
      </w:r>
      <w:r w:rsidRPr="007821D0">
        <w:rPr>
          <w:lang w:val="sr-Latn-ME"/>
        </w:rPr>
        <w:t xml:space="preserve">e godine terapije, protok u placebo grupi se poboljšao za 0,8 i 0,9 </w:t>
      </w:r>
      <w:r w:rsidR="00B6519A" w:rsidRPr="007821D0">
        <w:rPr>
          <w:lang w:val="sr-Latn-ME"/>
        </w:rPr>
        <w:t>ml</w:t>
      </w:r>
      <w:r w:rsidRPr="007821D0">
        <w:rPr>
          <w:lang w:val="sr-Latn-ME"/>
        </w:rPr>
        <w:t>/sekund</w:t>
      </w:r>
      <w:r w:rsidR="00EB0F4D" w:rsidRPr="007821D0">
        <w:rPr>
          <w:lang w:val="sr-Latn-ME"/>
        </w:rPr>
        <w:t>,</w:t>
      </w:r>
      <w:r w:rsidRPr="007821D0">
        <w:rPr>
          <w:lang w:val="sr-Latn-ME"/>
        </w:rPr>
        <w:t xml:space="preserve"> tim redom</w:t>
      </w:r>
      <w:r w:rsidR="00EB0F4D" w:rsidRPr="007821D0">
        <w:rPr>
          <w:lang w:val="sr-Latn-ME"/>
        </w:rPr>
        <w:t>,</w:t>
      </w:r>
      <w:r w:rsidRPr="007821D0">
        <w:rPr>
          <w:lang w:val="sr-Latn-ME"/>
        </w:rPr>
        <w:t xml:space="preserve"> i za 1,7 i 2,0 </w:t>
      </w:r>
      <w:r w:rsidR="00B6519A" w:rsidRPr="007821D0">
        <w:rPr>
          <w:lang w:val="sr-Latn-ME"/>
        </w:rPr>
        <w:t>ml</w:t>
      </w:r>
      <w:r w:rsidRPr="007821D0">
        <w:rPr>
          <w:lang w:val="sr-Latn-ME"/>
        </w:rPr>
        <w:t>/sekund u grupi kod koje je prim</w:t>
      </w:r>
      <w:r w:rsidR="00A0032B" w:rsidRPr="007821D0">
        <w:rPr>
          <w:lang w:val="sr-Latn-ME"/>
        </w:rPr>
        <w:t>j</w:t>
      </w:r>
      <w:r w:rsidRPr="007821D0">
        <w:rPr>
          <w:lang w:val="sr-Latn-ME"/>
        </w:rPr>
        <w:t>enj</w:t>
      </w:r>
      <w:r w:rsidR="00EB0F4D" w:rsidRPr="007821D0">
        <w:rPr>
          <w:lang w:val="sr-Latn-ME"/>
        </w:rPr>
        <w:t>ivan</w:t>
      </w:r>
      <w:r w:rsidRPr="007821D0">
        <w:rPr>
          <w:lang w:val="sr-Latn-ME"/>
        </w:rPr>
        <w:t xml:space="preserve"> dutasterid. Razlika između grupa je bila statistički značajna tokom perioda između 1. i 24. m</w:t>
      </w:r>
      <w:r w:rsidR="00A0032B" w:rsidRPr="007821D0">
        <w:rPr>
          <w:lang w:val="sr-Latn-ME"/>
        </w:rPr>
        <w:t>j</w:t>
      </w:r>
      <w:r w:rsidRPr="007821D0">
        <w:rPr>
          <w:lang w:val="sr-Latn-ME"/>
        </w:rPr>
        <w:t>eseca. Porast maksimaln</w:t>
      </w:r>
      <w:r w:rsidR="00625EEA" w:rsidRPr="007821D0">
        <w:rPr>
          <w:lang w:val="sr-Latn-ME"/>
        </w:rPr>
        <w:t>og</w:t>
      </w:r>
      <w:r w:rsidRPr="007821D0">
        <w:rPr>
          <w:lang w:val="sr-Latn-ME"/>
        </w:rPr>
        <w:t xml:space="preserve"> urinarnog protoka uočen tokom prve </w:t>
      </w:r>
      <w:r w:rsidR="00EB0F4D" w:rsidRPr="007821D0">
        <w:rPr>
          <w:lang w:val="sr-Latn-ME"/>
        </w:rPr>
        <w:t>2</w:t>
      </w:r>
      <w:r w:rsidRPr="007821D0">
        <w:rPr>
          <w:lang w:val="sr-Latn-ME"/>
        </w:rPr>
        <w:t xml:space="preserve"> godine dvostruko</w:t>
      </w:r>
      <w:r w:rsidR="00EB0F4D" w:rsidRPr="007821D0">
        <w:rPr>
          <w:lang w:val="sr-Latn-ME"/>
        </w:rPr>
        <w:t xml:space="preserve"> </w:t>
      </w:r>
      <w:r w:rsidRPr="007821D0">
        <w:rPr>
          <w:lang w:val="sr-Latn-ME"/>
        </w:rPr>
        <w:t>sl</w:t>
      </w:r>
      <w:r w:rsidR="00A0032B" w:rsidRPr="007821D0">
        <w:rPr>
          <w:lang w:val="sr-Latn-ME"/>
        </w:rPr>
        <w:t>ij</w:t>
      </w:r>
      <w:r w:rsidRPr="007821D0">
        <w:rPr>
          <w:lang w:val="sr-Latn-ME"/>
        </w:rPr>
        <w:t xml:space="preserve">epog terapijskog režima održavan je tokom dodatne 2 godine produženih otvorenih kliničkih ispitivanja. </w:t>
      </w:r>
    </w:p>
    <w:p w14:paraId="4A0D11D5" w14:textId="77777777" w:rsidR="00B6519A" w:rsidRPr="007821D0" w:rsidRDefault="00B6519A" w:rsidP="007821D0">
      <w:pPr>
        <w:pStyle w:val="Heading2"/>
        <w:spacing w:after="0" w:line="240" w:lineRule="auto"/>
        <w:ind w:left="-5"/>
        <w:rPr>
          <w:lang w:val="sr-Latn-ME"/>
        </w:rPr>
      </w:pPr>
    </w:p>
    <w:p w14:paraId="73226DF7" w14:textId="2DAFBDB2" w:rsidR="00284634" w:rsidRPr="007821D0" w:rsidRDefault="00313D4B" w:rsidP="007821D0">
      <w:pPr>
        <w:pStyle w:val="Heading2"/>
        <w:spacing w:after="0" w:line="240" w:lineRule="auto"/>
        <w:ind w:left="-5"/>
        <w:rPr>
          <w:lang w:val="sr-Latn-ME"/>
        </w:rPr>
      </w:pPr>
      <w:r w:rsidRPr="007821D0">
        <w:rPr>
          <w:lang w:val="sr-Latn-ME"/>
        </w:rPr>
        <w:t>Akutna urinarna retencija i hirurška intervencija</w:t>
      </w:r>
    </w:p>
    <w:p w14:paraId="080CDF84" w14:textId="48698832" w:rsidR="00284634" w:rsidRPr="007821D0" w:rsidRDefault="00313D4B" w:rsidP="007821D0">
      <w:pPr>
        <w:spacing w:after="0" w:line="240" w:lineRule="auto"/>
        <w:ind w:left="-5" w:right="3"/>
        <w:jc w:val="both"/>
        <w:rPr>
          <w:lang w:val="sr-Latn-ME"/>
        </w:rPr>
      </w:pPr>
      <w:r w:rsidRPr="007821D0">
        <w:rPr>
          <w:lang w:val="sr-Latn-ME"/>
        </w:rPr>
        <w:t>Nakon dv</w:t>
      </w:r>
      <w:r w:rsidR="00A0032B" w:rsidRPr="007821D0">
        <w:rPr>
          <w:lang w:val="sr-Latn-ME"/>
        </w:rPr>
        <w:t>ij</w:t>
      </w:r>
      <w:r w:rsidRPr="007821D0">
        <w:rPr>
          <w:lang w:val="sr-Latn-ME"/>
        </w:rPr>
        <w:t>e godine terapije, incidenca AUR iznosila je 4,2% u placebo grupi, u odnosu na 1,8% u grupi koja je dobijala dutasterid (smanjenje rizika od 57%). Navedena razlika je statistički značajna i podrazum</w:t>
      </w:r>
      <w:r w:rsidR="004B261B" w:rsidRPr="007821D0">
        <w:rPr>
          <w:lang w:val="sr-Latn-ME"/>
        </w:rPr>
        <w:t>ij</w:t>
      </w:r>
      <w:r w:rsidRPr="007821D0">
        <w:rPr>
          <w:lang w:val="sr-Latn-ME"/>
        </w:rPr>
        <w:t>eva da 42 pacijenta (95% CI 30-73) treba da budu podvrgnuta dvogodišnjoj terapiji kako bi se izb</w:t>
      </w:r>
      <w:r w:rsidR="004B261B" w:rsidRPr="007821D0">
        <w:rPr>
          <w:lang w:val="sr-Latn-ME"/>
        </w:rPr>
        <w:t>j</w:t>
      </w:r>
      <w:r w:rsidRPr="007821D0">
        <w:rPr>
          <w:lang w:val="sr-Latn-ME"/>
        </w:rPr>
        <w:t>egao jedan slučaj</w:t>
      </w:r>
      <w:r w:rsidR="004B261B" w:rsidRPr="007821D0">
        <w:rPr>
          <w:lang w:val="sr-Latn-ME"/>
        </w:rPr>
        <w:t xml:space="preserve"> </w:t>
      </w:r>
      <w:r w:rsidRPr="007821D0">
        <w:rPr>
          <w:lang w:val="sr-Latn-ME"/>
        </w:rPr>
        <w:t>AUR.</w:t>
      </w:r>
    </w:p>
    <w:p w14:paraId="70E772F6" w14:textId="1D1FAE92" w:rsidR="00284634" w:rsidRPr="007821D0" w:rsidRDefault="00313D4B" w:rsidP="007821D0">
      <w:pPr>
        <w:spacing w:after="0" w:line="240" w:lineRule="auto"/>
        <w:ind w:left="-5" w:right="3"/>
        <w:jc w:val="both"/>
        <w:rPr>
          <w:lang w:val="sr-Latn-ME"/>
        </w:rPr>
      </w:pPr>
      <w:r w:rsidRPr="007821D0">
        <w:rPr>
          <w:lang w:val="sr-Latn-ME"/>
        </w:rPr>
        <w:t xml:space="preserve">Incidenca hirurških intervencija povezanih sa BHP nakon </w:t>
      </w:r>
      <w:r w:rsidR="004B261B" w:rsidRPr="007821D0">
        <w:rPr>
          <w:lang w:val="sr-Latn-ME"/>
        </w:rPr>
        <w:t xml:space="preserve">2 </w:t>
      </w:r>
      <w:r w:rsidRPr="007821D0">
        <w:rPr>
          <w:lang w:val="sr-Latn-ME"/>
        </w:rPr>
        <w:t>godine iznosila je 4,1% u placebo grupi i 2,2% u grupi koja je dobijala dutasterid (smanjenje rizika od 48%). Navedena razlika je statistički značajna i podrazum</w:t>
      </w:r>
      <w:r w:rsidR="004B261B" w:rsidRPr="007821D0">
        <w:rPr>
          <w:lang w:val="sr-Latn-ME"/>
        </w:rPr>
        <w:t>ij</w:t>
      </w:r>
      <w:r w:rsidRPr="007821D0">
        <w:rPr>
          <w:lang w:val="sr-Latn-ME"/>
        </w:rPr>
        <w:t>eva da 51 pacijent (95% CI 33-109) treba da bude podvrgnut dvogodišnjoj terapiji kako bi se izb</w:t>
      </w:r>
      <w:r w:rsidR="00A0032B" w:rsidRPr="007821D0">
        <w:rPr>
          <w:lang w:val="sr-Latn-ME"/>
        </w:rPr>
        <w:t>j</w:t>
      </w:r>
      <w:r w:rsidRPr="007821D0">
        <w:rPr>
          <w:lang w:val="sr-Latn-ME"/>
        </w:rPr>
        <w:t>egla jedna hirurška intervencija.</w:t>
      </w:r>
    </w:p>
    <w:p w14:paraId="3EC41B24" w14:textId="77777777" w:rsidR="00CF38E2" w:rsidRDefault="00CF38E2" w:rsidP="007821D0">
      <w:pPr>
        <w:pStyle w:val="Heading2"/>
        <w:spacing w:after="0" w:line="240" w:lineRule="auto"/>
        <w:ind w:left="-5"/>
        <w:rPr>
          <w:lang w:val="sr-Latn-ME"/>
        </w:rPr>
      </w:pPr>
    </w:p>
    <w:p w14:paraId="7A32476B" w14:textId="11F35301" w:rsidR="00284634" w:rsidRPr="007821D0" w:rsidRDefault="00313D4B" w:rsidP="007821D0">
      <w:pPr>
        <w:pStyle w:val="Heading2"/>
        <w:spacing w:after="0" w:line="240" w:lineRule="auto"/>
        <w:ind w:left="-5"/>
        <w:rPr>
          <w:lang w:val="sr-Latn-ME"/>
        </w:rPr>
      </w:pPr>
      <w:r w:rsidRPr="007821D0">
        <w:rPr>
          <w:lang w:val="sr-Latn-ME"/>
        </w:rPr>
        <w:t>Gustina kose</w:t>
      </w:r>
    </w:p>
    <w:p w14:paraId="75EABE0B" w14:textId="3243857C" w:rsidR="00284634" w:rsidRPr="007821D0" w:rsidRDefault="00313D4B" w:rsidP="007821D0">
      <w:pPr>
        <w:spacing w:after="0" w:line="240" w:lineRule="auto"/>
        <w:ind w:left="-5" w:right="3"/>
        <w:jc w:val="both"/>
        <w:rPr>
          <w:lang w:val="sr-Latn-ME"/>
        </w:rPr>
      </w:pPr>
      <w:r w:rsidRPr="007821D0">
        <w:rPr>
          <w:lang w:val="sr-Latn-ME"/>
        </w:rPr>
        <w:t>Dejstvo dutasterida na gustinu kose nije formalno ispitivano tokom faze III, međutim</w:t>
      </w:r>
      <w:r w:rsidR="004B261B" w:rsidRPr="007821D0">
        <w:rPr>
          <w:lang w:val="sr-Latn-ME"/>
        </w:rPr>
        <w:t>,</w:t>
      </w:r>
      <w:r w:rsidRPr="007821D0">
        <w:rPr>
          <w:lang w:val="sr-Latn-ME"/>
        </w:rPr>
        <w:t xml:space="preserve"> inhibitori 5-alfa reduktaze mogu smanjiti opadanje kose i indukovati rast kose kod ispitanika sa muškim tipom gubitka kose (muška androgena alopecija). </w:t>
      </w:r>
    </w:p>
    <w:p w14:paraId="3A36397D" w14:textId="77777777" w:rsidR="00B6519A" w:rsidRPr="007821D0" w:rsidRDefault="00B6519A" w:rsidP="007821D0">
      <w:pPr>
        <w:pStyle w:val="Heading2"/>
        <w:spacing w:after="0" w:line="240" w:lineRule="auto"/>
        <w:ind w:left="-5"/>
        <w:rPr>
          <w:lang w:val="sr-Latn-ME"/>
        </w:rPr>
      </w:pPr>
    </w:p>
    <w:p w14:paraId="498994AC" w14:textId="06605F57" w:rsidR="00284634" w:rsidRPr="007821D0" w:rsidRDefault="00313D4B" w:rsidP="007821D0">
      <w:pPr>
        <w:pStyle w:val="Heading2"/>
        <w:spacing w:after="0" w:line="240" w:lineRule="auto"/>
        <w:ind w:left="-5"/>
        <w:rPr>
          <w:lang w:val="sr-Latn-ME"/>
        </w:rPr>
      </w:pPr>
      <w:r w:rsidRPr="007821D0">
        <w:rPr>
          <w:lang w:val="sr-Latn-ME"/>
        </w:rPr>
        <w:t>Funkcija tireoidne žl</w:t>
      </w:r>
      <w:r w:rsidR="00A72CE5" w:rsidRPr="007821D0">
        <w:rPr>
          <w:lang w:val="sr-Latn-ME"/>
        </w:rPr>
        <w:t>ij</w:t>
      </w:r>
      <w:r w:rsidRPr="007821D0">
        <w:rPr>
          <w:lang w:val="sr-Latn-ME"/>
        </w:rPr>
        <w:t>ezde</w:t>
      </w:r>
    </w:p>
    <w:p w14:paraId="3E195AE2" w14:textId="3D2076E2" w:rsidR="00284634" w:rsidRPr="007821D0" w:rsidRDefault="00313D4B" w:rsidP="007821D0">
      <w:pPr>
        <w:spacing w:after="0" w:line="240" w:lineRule="auto"/>
        <w:ind w:left="-5" w:right="3"/>
        <w:jc w:val="both"/>
        <w:rPr>
          <w:lang w:val="sr-Latn-ME"/>
        </w:rPr>
      </w:pPr>
      <w:r w:rsidRPr="007821D0">
        <w:rPr>
          <w:lang w:val="sr-Latn-ME"/>
        </w:rPr>
        <w:t>Funkcija tireoidne žl</w:t>
      </w:r>
      <w:r w:rsidR="00A72CE5" w:rsidRPr="007821D0">
        <w:rPr>
          <w:lang w:val="sr-Latn-ME"/>
        </w:rPr>
        <w:t>ij</w:t>
      </w:r>
      <w:r w:rsidRPr="007821D0">
        <w:rPr>
          <w:lang w:val="sr-Latn-ME"/>
        </w:rPr>
        <w:t>ezde praćena je tokom jednogodišnjeg ispitivanja kod zdravih muškaraca. Na kraju jednogodišnje terapije, koncentracije slobodnog tiroksina bile su stabilne pri terapiji dutasteridom, ali su koncentracije TSH bile blago povećane (za 0,4 MCIU/</w:t>
      </w:r>
      <w:r w:rsidR="00B6519A" w:rsidRPr="007821D0">
        <w:rPr>
          <w:lang w:val="sr-Latn-ME"/>
        </w:rPr>
        <w:t>ml</w:t>
      </w:r>
      <w:r w:rsidRPr="007821D0">
        <w:rPr>
          <w:lang w:val="sr-Latn-ME"/>
        </w:rPr>
        <w:t>) u poređenju sa placebom. Međutim, iako su koncentracije TSH bile prom</w:t>
      </w:r>
      <w:r w:rsidR="000A2950" w:rsidRPr="007821D0">
        <w:rPr>
          <w:lang w:val="sr-Latn-ME"/>
        </w:rPr>
        <w:t>j</w:t>
      </w:r>
      <w:r w:rsidRPr="007821D0">
        <w:rPr>
          <w:lang w:val="sr-Latn-ME"/>
        </w:rPr>
        <w:t xml:space="preserve">enljive, srednje </w:t>
      </w:r>
      <w:r w:rsidR="00E602C2" w:rsidRPr="007821D0">
        <w:rPr>
          <w:lang w:val="sr-Latn-ME"/>
        </w:rPr>
        <w:t>vrijednosti</w:t>
      </w:r>
      <w:r w:rsidRPr="007821D0">
        <w:rPr>
          <w:lang w:val="sr-Latn-ME"/>
        </w:rPr>
        <w:t xml:space="preserve"> TSH (1,4 – 1,9 MCIU/</w:t>
      </w:r>
      <w:r w:rsidR="00B6519A" w:rsidRPr="007821D0">
        <w:rPr>
          <w:lang w:val="sr-Latn-ME"/>
        </w:rPr>
        <w:t>ml</w:t>
      </w:r>
      <w:r w:rsidRPr="007821D0">
        <w:rPr>
          <w:lang w:val="sr-Latn-ME"/>
        </w:rPr>
        <w:t xml:space="preserve">) ostale su u okviru očekivanih </w:t>
      </w:r>
      <w:r w:rsidR="00E602C2" w:rsidRPr="007821D0">
        <w:rPr>
          <w:lang w:val="sr-Latn-ME"/>
        </w:rPr>
        <w:t>vrijednosti</w:t>
      </w:r>
      <w:r w:rsidRPr="007821D0">
        <w:rPr>
          <w:lang w:val="sr-Latn-ME"/>
        </w:rPr>
        <w:t xml:space="preserve"> (0,5 – 5/6 MCIU/</w:t>
      </w:r>
      <w:r w:rsidR="00B6519A" w:rsidRPr="007821D0">
        <w:rPr>
          <w:lang w:val="sr-Latn-ME"/>
        </w:rPr>
        <w:t>ml</w:t>
      </w:r>
      <w:r w:rsidRPr="007821D0">
        <w:rPr>
          <w:lang w:val="sr-Latn-ME"/>
        </w:rPr>
        <w:t xml:space="preserve">), koncentracije slobodnog tiroksina ostale su unutar granica očekivanih </w:t>
      </w:r>
      <w:r w:rsidR="00E602C2" w:rsidRPr="007821D0">
        <w:rPr>
          <w:lang w:val="sr-Latn-ME"/>
        </w:rPr>
        <w:t>vrijednosti</w:t>
      </w:r>
      <w:r w:rsidRPr="007821D0">
        <w:rPr>
          <w:lang w:val="sr-Latn-ME"/>
        </w:rPr>
        <w:t xml:space="preserve"> i bile su slične </w:t>
      </w:r>
      <w:r w:rsidR="00625EEA" w:rsidRPr="007821D0">
        <w:rPr>
          <w:lang w:val="sr-Latn-ME"/>
        </w:rPr>
        <w:t>u</w:t>
      </w:r>
      <w:r w:rsidRPr="007821D0">
        <w:rPr>
          <w:lang w:val="sr-Latn-ME"/>
        </w:rPr>
        <w:t xml:space="preserve"> </w:t>
      </w:r>
      <w:r w:rsidR="003B0768" w:rsidRPr="007821D0">
        <w:rPr>
          <w:lang w:val="sr-Latn-ME"/>
        </w:rPr>
        <w:t>terapijsk</w:t>
      </w:r>
      <w:r w:rsidR="00625EEA" w:rsidRPr="007821D0">
        <w:rPr>
          <w:lang w:val="sr-Latn-ME"/>
        </w:rPr>
        <w:t>oj</w:t>
      </w:r>
      <w:r w:rsidR="003B0768" w:rsidRPr="007821D0">
        <w:rPr>
          <w:lang w:val="sr-Latn-ME"/>
        </w:rPr>
        <w:t xml:space="preserve"> grup</w:t>
      </w:r>
      <w:r w:rsidR="00625EEA" w:rsidRPr="007821D0">
        <w:rPr>
          <w:lang w:val="sr-Latn-ME"/>
        </w:rPr>
        <w:t>i</w:t>
      </w:r>
      <w:r w:rsidR="003B0768" w:rsidRPr="007821D0">
        <w:rPr>
          <w:lang w:val="sr-Latn-ME"/>
        </w:rPr>
        <w:t xml:space="preserve"> sa </w:t>
      </w:r>
      <w:r w:rsidRPr="007821D0">
        <w:rPr>
          <w:lang w:val="sr-Latn-ME"/>
        </w:rPr>
        <w:t>placebo</w:t>
      </w:r>
      <w:r w:rsidR="003B0768" w:rsidRPr="007821D0">
        <w:rPr>
          <w:lang w:val="sr-Latn-ME"/>
        </w:rPr>
        <w:t>m</w:t>
      </w:r>
      <w:r w:rsidRPr="007821D0">
        <w:rPr>
          <w:lang w:val="sr-Latn-ME"/>
        </w:rPr>
        <w:t xml:space="preserve"> i dutasterid</w:t>
      </w:r>
      <w:r w:rsidR="003B0768" w:rsidRPr="007821D0">
        <w:rPr>
          <w:lang w:val="sr-Latn-ME"/>
        </w:rPr>
        <w:t>om</w:t>
      </w:r>
      <w:r w:rsidRPr="007821D0">
        <w:rPr>
          <w:lang w:val="sr-Latn-ME"/>
        </w:rPr>
        <w:t>. Prom</w:t>
      </w:r>
      <w:r w:rsidR="00A0032B" w:rsidRPr="007821D0">
        <w:rPr>
          <w:lang w:val="sr-Latn-ME"/>
        </w:rPr>
        <w:t>j</w:t>
      </w:r>
      <w:r w:rsidRPr="007821D0">
        <w:rPr>
          <w:lang w:val="sr-Latn-ME"/>
        </w:rPr>
        <w:t xml:space="preserve">ene </w:t>
      </w:r>
      <w:r w:rsidR="00E602C2" w:rsidRPr="007821D0">
        <w:rPr>
          <w:lang w:val="sr-Latn-ME"/>
        </w:rPr>
        <w:t>vrijednosti</w:t>
      </w:r>
      <w:r w:rsidRPr="007821D0">
        <w:rPr>
          <w:lang w:val="sr-Latn-ME"/>
        </w:rPr>
        <w:t xml:space="preserve"> TSH ni</w:t>
      </w:r>
      <w:r w:rsidR="00A0032B" w:rsidRPr="007821D0">
        <w:rPr>
          <w:lang w:val="sr-Latn-ME"/>
        </w:rPr>
        <w:t>je</w:t>
      </w:r>
      <w:r w:rsidRPr="007821D0">
        <w:rPr>
          <w:lang w:val="sr-Latn-ME"/>
        </w:rPr>
        <w:t>su bile klinički značajne. Ni u jednom kliničkom ispitivanju nije dokazano da dutasterid nepovoljno utiče na funkciju</w:t>
      </w:r>
      <w:r w:rsidR="003B0768" w:rsidRPr="007821D0">
        <w:rPr>
          <w:lang w:val="sr-Latn-ME"/>
        </w:rPr>
        <w:t xml:space="preserve"> tireoidne žlijezde</w:t>
      </w:r>
      <w:r w:rsidRPr="007821D0">
        <w:rPr>
          <w:lang w:val="sr-Latn-ME"/>
        </w:rPr>
        <w:t>.</w:t>
      </w:r>
    </w:p>
    <w:p w14:paraId="75667439" w14:textId="77777777" w:rsidR="00B6519A" w:rsidRPr="007821D0" w:rsidRDefault="00B6519A" w:rsidP="007821D0">
      <w:pPr>
        <w:pStyle w:val="Heading2"/>
        <w:spacing w:after="0" w:line="240" w:lineRule="auto"/>
        <w:ind w:left="-5"/>
        <w:rPr>
          <w:lang w:val="sr-Latn-ME"/>
        </w:rPr>
      </w:pPr>
    </w:p>
    <w:p w14:paraId="6DC0661E" w14:textId="36CD19E0" w:rsidR="00284634" w:rsidRPr="007821D0" w:rsidRDefault="00313D4B" w:rsidP="007821D0">
      <w:pPr>
        <w:pStyle w:val="Heading2"/>
        <w:spacing w:after="0" w:line="240" w:lineRule="auto"/>
        <w:ind w:left="-5"/>
        <w:rPr>
          <w:lang w:val="sr-Latn-ME"/>
        </w:rPr>
      </w:pPr>
      <w:r w:rsidRPr="007821D0">
        <w:rPr>
          <w:lang w:val="sr-Latn-ME"/>
        </w:rPr>
        <w:t>Neoplazija dojki</w:t>
      </w:r>
    </w:p>
    <w:p w14:paraId="091A7AD2" w14:textId="67C6290D" w:rsidR="00284634" w:rsidRPr="007821D0" w:rsidRDefault="00313D4B" w:rsidP="007821D0">
      <w:pPr>
        <w:spacing w:after="0" w:line="240" w:lineRule="auto"/>
        <w:ind w:left="-5" w:right="3"/>
        <w:jc w:val="both"/>
        <w:rPr>
          <w:lang w:val="sr-Latn-ME"/>
        </w:rPr>
      </w:pPr>
      <w:r w:rsidRPr="007821D0">
        <w:rPr>
          <w:lang w:val="sr-Latn-ME"/>
        </w:rPr>
        <w:t>U dvogodišnjim kliničkim ispitivanjima, u okviru kojih je izloženost dutasteridu bila 3374 pacijent-godine, kao i u vr</w:t>
      </w:r>
      <w:r w:rsidR="000A2950" w:rsidRPr="007821D0">
        <w:rPr>
          <w:lang w:val="sr-Latn-ME"/>
        </w:rPr>
        <w:t>ij</w:t>
      </w:r>
      <w:r w:rsidRPr="007821D0">
        <w:rPr>
          <w:lang w:val="sr-Latn-ME"/>
        </w:rPr>
        <w:t>eme registracije u dvogodišnjem produženom otvorenom kliničkom ispitivanju, zab</w:t>
      </w:r>
      <w:r w:rsidR="003B0768" w:rsidRPr="007821D0">
        <w:rPr>
          <w:lang w:val="sr-Latn-ME"/>
        </w:rPr>
        <w:t>i</w:t>
      </w:r>
      <w:r w:rsidRPr="007821D0">
        <w:rPr>
          <w:lang w:val="sr-Latn-ME"/>
        </w:rPr>
        <w:t>l</w:t>
      </w:r>
      <w:r w:rsidR="003B0768" w:rsidRPr="007821D0">
        <w:rPr>
          <w:lang w:val="sr-Latn-ME"/>
        </w:rPr>
        <w:t>j</w:t>
      </w:r>
      <w:r w:rsidRPr="007821D0">
        <w:rPr>
          <w:lang w:val="sr-Latn-ME"/>
        </w:rPr>
        <w:t>ežena su 2 slučaja karcinoma dojki kod pacijenata l</w:t>
      </w:r>
      <w:r w:rsidR="00A0032B" w:rsidRPr="007821D0">
        <w:rPr>
          <w:lang w:val="sr-Latn-ME"/>
        </w:rPr>
        <w:t>ij</w:t>
      </w:r>
      <w:r w:rsidRPr="007821D0">
        <w:rPr>
          <w:lang w:val="sr-Latn-ME"/>
        </w:rPr>
        <w:t xml:space="preserve">ečenih dutasteridom i 1 slučaj kod pacijenta koji je primao placebo. </w:t>
      </w:r>
      <w:r w:rsidRPr="007821D0">
        <w:rPr>
          <w:lang w:val="sr-Latn-ME"/>
        </w:rPr>
        <w:lastRenderedPageBreak/>
        <w:t>U četvorogodišnjim CombAT i REDUCE kliničkim ispitivanjima u okviru kojih je izloženost dutasteridu bila 17489 pacijent-godina, a izloženost kombinaciji dutasterida i tamsulosina 5027 pacijent-godina, ni u jednoj od navedenih grupa nije bila zab</w:t>
      </w:r>
      <w:r w:rsidR="003B0768" w:rsidRPr="007821D0">
        <w:rPr>
          <w:lang w:val="sr-Latn-ME"/>
        </w:rPr>
        <w:t>i</w:t>
      </w:r>
      <w:r w:rsidRPr="007821D0">
        <w:rPr>
          <w:lang w:val="sr-Latn-ME"/>
        </w:rPr>
        <w:t>l</w:t>
      </w:r>
      <w:r w:rsidR="003B0768" w:rsidRPr="007821D0">
        <w:rPr>
          <w:lang w:val="sr-Latn-ME"/>
        </w:rPr>
        <w:t>j</w:t>
      </w:r>
      <w:r w:rsidRPr="007821D0">
        <w:rPr>
          <w:lang w:val="sr-Latn-ME"/>
        </w:rPr>
        <w:t xml:space="preserve">ežena pojava karcinoma dojki kod muškaraca.      </w:t>
      </w:r>
    </w:p>
    <w:p w14:paraId="47DF2905" w14:textId="77777777" w:rsidR="00B6519A" w:rsidRPr="007821D0" w:rsidRDefault="00B6519A" w:rsidP="007821D0">
      <w:pPr>
        <w:spacing w:after="0" w:line="240" w:lineRule="auto"/>
        <w:ind w:left="-5" w:right="3"/>
        <w:jc w:val="both"/>
        <w:rPr>
          <w:lang w:val="sr-Latn-ME"/>
        </w:rPr>
      </w:pPr>
    </w:p>
    <w:p w14:paraId="6552C906" w14:textId="6A5E6A3E" w:rsidR="00B6519A" w:rsidRPr="007821D0" w:rsidRDefault="00313D4B" w:rsidP="007821D0">
      <w:pPr>
        <w:spacing w:after="0" w:line="240" w:lineRule="auto"/>
        <w:ind w:left="-5" w:right="3"/>
        <w:jc w:val="both"/>
        <w:rPr>
          <w:lang w:val="sr-Latn-ME"/>
        </w:rPr>
      </w:pPr>
      <w:r w:rsidRPr="007821D0">
        <w:rPr>
          <w:lang w:val="sr-Latn-ME"/>
        </w:rPr>
        <w:t>Dv</w:t>
      </w:r>
      <w:r w:rsidR="00A0032B" w:rsidRPr="007821D0">
        <w:rPr>
          <w:lang w:val="sr-Latn-ME"/>
        </w:rPr>
        <w:t>ij</w:t>
      </w:r>
      <w:r w:rsidRPr="007821D0">
        <w:rPr>
          <w:lang w:val="sr-Latn-ME"/>
        </w:rPr>
        <w:t xml:space="preserve">e epidemiološke studije, </w:t>
      </w:r>
      <w:r w:rsidR="00625EEA" w:rsidRPr="007821D0">
        <w:rPr>
          <w:lang w:val="sr-Latn-ME"/>
        </w:rPr>
        <w:t>sa kontrolnim grupama</w:t>
      </w:r>
      <w:r w:rsidRPr="007821D0">
        <w:rPr>
          <w:lang w:val="sr-Latn-ME"/>
        </w:rPr>
        <w:t>, jedna sprovedena u SAD</w:t>
      </w:r>
      <w:r w:rsidR="00625EEA" w:rsidRPr="007821D0">
        <w:rPr>
          <w:lang w:val="sr-Latn-ME"/>
        </w:rPr>
        <w:t>-u</w:t>
      </w:r>
      <w:r w:rsidRPr="007821D0">
        <w:rPr>
          <w:lang w:val="sr-Latn-ME"/>
        </w:rPr>
        <w:t xml:space="preserve"> (n=339 slučaj</w:t>
      </w:r>
      <w:r w:rsidR="00F02C27" w:rsidRPr="007821D0">
        <w:rPr>
          <w:lang w:val="sr-Latn-ME"/>
        </w:rPr>
        <w:t>ev</w:t>
      </w:r>
      <w:r w:rsidRPr="007821D0">
        <w:rPr>
          <w:lang w:val="sr-Latn-ME"/>
        </w:rPr>
        <w:t>a karcinoma dojki i n=6780 kontolnih slučajeva) i druga u zdravstvenim bazama podataka Velike Britanije (n=398 slučaj</w:t>
      </w:r>
      <w:r w:rsidR="00F02C27" w:rsidRPr="007821D0">
        <w:rPr>
          <w:lang w:val="sr-Latn-ME"/>
        </w:rPr>
        <w:t>ev</w:t>
      </w:r>
      <w:r w:rsidRPr="007821D0">
        <w:rPr>
          <w:lang w:val="sr-Latn-ME"/>
        </w:rPr>
        <w:t>a karcinoma dojki i n=3930 kontrolnih slučajeva), ni</w:t>
      </w:r>
      <w:r w:rsidR="000E3F7D" w:rsidRPr="007821D0">
        <w:rPr>
          <w:lang w:val="sr-Latn-ME"/>
        </w:rPr>
        <w:t>je</w:t>
      </w:r>
      <w:r w:rsidRPr="007821D0">
        <w:rPr>
          <w:lang w:val="sr-Latn-ME"/>
        </w:rPr>
        <w:t>su pokazale povećanje rizika od razvoja karcinoma dojki prilikom prim</w:t>
      </w:r>
      <w:r w:rsidR="00A0032B" w:rsidRPr="007821D0">
        <w:rPr>
          <w:lang w:val="sr-Latn-ME"/>
        </w:rPr>
        <w:t>j</w:t>
      </w:r>
      <w:r w:rsidRPr="007821D0">
        <w:rPr>
          <w:lang w:val="sr-Latn-ME"/>
        </w:rPr>
        <w:t>ene inhibitora 5-alfa reduktaz</w:t>
      </w:r>
      <w:r w:rsidR="00F02C27" w:rsidRPr="007821D0">
        <w:rPr>
          <w:lang w:val="sr-Latn-ME"/>
        </w:rPr>
        <w:t>e</w:t>
      </w:r>
      <w:r w:rsidRPr="007821D0">
        <w:rPr>
          <w:lang w:val="sr-Latn-ME"/>
        </w:rPr>
        <w:t xml:space="preserve"> (</w:t>
      </w:r>
      <w:r w:rsidR="00E602C2" w:rsidRPr="007821D0">
        <w:rPr>
          <w:lang w:val="sr-Latn-ME"/>
        </w:rPr>
        <w:t>vidjeti</w:t>
      </w:r>
      <w:r w:rsidRPr="007821D0">
        <w:rPr>
          <w:lang w:val="sr-Latn-ME"/>
        </w:rPr>
        <w:t xml:space="preserve"> </w:t>
      </w:r>
      <w:r w:rsidR="00F02C27" w:rsidRPr="007821D0">
        <w:rPr>
          <w:lang w:val="sr-Latn-ME"/>
        </w:rPr>
        <w:t xml:space="preserve">dio </w:t>
      </w:r>
      <w:r w:rsidRPr="007821D0">
        <w:rPr>
          <w:lang w:val="sr-Latn-ME"/>
        </w:rPr>
        <w:t>4.4). Rezultati prve studije ni</w:t>
      </w:r>
      <w:r w:rsidR="00F02C27" w:rsidRPr="007821D0">
        <w:rPr>
          <w:lang w:val="sr-Latn-ME"/>
        </w:rPr>
        <w:t>je</w:t>
      </w:r>
      <w:r w:rsidRPr="007821D0">
        <w:rPr>
          <w:lang w:val="sr-Latn-ME"/>
        </w:rPr>
        <w:t>su identifikovali pozitivnu vezu za karcinom dojke kod muškaraca (relativni rizik za ≥1 godin</w:t>
      </w:r>
      <w:r w:rsidR="00F02C27" w:rsidRPr="007821D0">
        <w:rPr>
          <w:lang w:val="sr-Latn-ME"/>
        </w:rPr>
        <w:t>a</w:t>
      </w:r>
      <w:r w:rsidRPr="007821D0">
        <w:rPr>
          <w:lang w:val="sr-Latn-ME"/>
        </w:rPr>
        <w:t xml:space="preserve"> prim</w:t>
      </w:r>
      <w:r w:rsidR="00E91FDE" w:rsidRPr="007821D0">
        <w:rPr>
          <w:lang w:val="sr-Latn-ME"/>
        </w:rPr>
        <w:t>j</w:t>
      </w:r>
      <w:r w:rsidRPr="007821D0">
        <w:rPr>
          <w:lang w:val="sr-Latn-ME"/>
        </w:rPr>
        <w:t>ene pr</w:t>
      </w:r>
      <w:r w:rsidR="00E91FDE" w:rsidRPr="007821D0">
        <w:rPr>
          <w:lang w:val="sr-Latn-ME"/>
        </w:rPr>
        <w:t>ij</w:t>
      </w:r>
      <w:r w:rsidRPr="007821D0">
        <w:rPr>
          <w:lang w:val="sr-Latn-ME"/>
        </w:rPr>
        <w:t>e dijagnoze karcinoma dojke u poređenju sa &lt;1 godina prim</w:t>
      </w:r>
      <w:r w:rsidR="00E91FDE" w:rsidRPr="007821D0">
        <w:rPr>
          <w:lang w:val="sr-Latn-ME"/>
        </w:rPr>
        <w:t>j</w:t>
      </w:r>
      <w:r w:rsidRPr="007821D0">
        <w:rPr>
          <w:lang w:val="sr-Latn-ME"/>
        </w:rPr>
        <w:t>ene: 0,70: 95% SI 0,34</w:t>
      </w:r>
      <w:r w:rsidR="00F02C27" w:rsidRPr="007821D0">
        <w:rPr>
          <w:lang w:val="sr-Latn-ME"/>
        </w:rPr>
        <w:t>;</w:t>
      </w:r>
      <w:r w:rsidRPr="007821D0">
        <w:rPr>
          <w:lang w:val="sr-Latn-ME"/>
        </w:rPr>
        <w:t xml:space="preserve"> 1,45). U drugoj studiji, proc</w:t>
      </w:r>
      <w:r w:rsidR="00F02C27" w:rsidRPr="007821D0">
        <w:rPr>
          <w:lang w:val="sr-Latn-ME"/>
        </w:rPr>
        <w:t>ij</w:t>
      </w:r>
      <w:r w:rsidRPr="007821D0">
        <w:rPr>
          <w:lang w:val="sr-Latn-ME"/>
        </w:rPr>
        <w:t xml:space="preserve">enjeni odnos </w:t>
      </w:r>
      <w:r w:rsidR="00625EEA" w:rsidRPr="007821D0">
        <w:rPr>
          <w:lang w:val="sr-Latn-ME"/>
        </w:rPr>
        <w:t xml:space="preserve">vjerovatnoća </w:t>
      </w:r>
      <w:r w:rsidRPr="007821D0">
        <w:rPr>
          <w:lang w:val="sr-Latn-ME"/>
        </w:rPr>
        <w:t xml:space="preserve">(engl. </w:t>
      </w:r>
      <w:r w:rsidRPr="007821D0">
        <w:rPr>
          <w:i/>
          <w:lang w:val="sr-Latn-ME"/>
        </w:rPr>
        <w:t>odd ratio</w:t>
      </w:r>
      <w:r w:rsidRPr="007821D0">
        <w:rPr>
          <w:lang w:val="sr-Latn-ME"/>
        </w:rPr>
        <w:t>) za razvoj karcinoma dojke koji je povezan sa prim</w:t>
      </w:r>
      <w:r w:rsidR="00E91FDE" w:rsidRPr="007821D0">
        <w:rPr>
          <w:lang w:val="sr-Latn-ME"/>
        </w:rPr>
        <w:t>j</w:t>
      </w:r>
      <w:r w:rsidRPr="007821D0">
        <w:rPr>
          <w:lang w:val="sr-Latn-ME"/>
        </w:rPr>
        <w:t xml:space="preserve">enom inhibitora 5-alfa reduktaze u poređenju </w:t>
      </w:r>
      <w:r w:rsidR="00625EEA" w:rsidRPr="007821D0">
        <w:rPr>
          <w:lang w:val="sr-Latn-ME"/>
        </w:rPr>
        <w:t xml:space="preserve">sa grupom </w:t>
      </w:r>
      <w:r w:rsidRPr="007821D0">
        <w:rPr>
          <w:lang w:val="sr-Latn-ME"/>
        </w:rPr>
        <w:t>gd</w:t>
      </w:r>
      <w:r w:rsidR="000E3F7D" w:rsidRPr="007821D0">
        <w:rPr>
          <w:lang w:val="sr-Latn-ME"/>
        </w:rPr>
        <w:t>j</w:t>
      </w:r>
      <w:r w:rsidRPr="007821D0">
        <w:rPr>
          <w:lang w:val="sr-Latn-ME"/>
        </w:rPr>
        <w:t>e nije bilo prim</w:t>
      </w:r>
      <w:r w:rsidR="00E91FDE" w:rsidRPr="007821D0">
        <w:rPr>
          <w:lang w:val="sr-Latn-ME"/>
        </w:rPr>
        <w:t>j</w:t>
      </w:r>
      <w:r w:rsidRPr="007821D0">
        <w:rPr>
          <w:lang w:val="sr-Latn-ME"/>
        </w:rPr>
        <w:t>ene</w:t>
      </w:r>
      <w:r w:rsidR="00F02C27" w:rsidRPr="007821D0">
        <w:rPr>
          <w:lang w:val="sr-Latn-ME"/>
        </w:rPr>
        <w:t xml:space="preserve"> bio</w:t>
      </w:r>
      <w:r w:rsidRPr="007821D0">
        <w:rPr>
          <w:lang w:val="sr-Latn-ME"/>
        </w:rPr>
        <w:t xml:space="preserve"> je 1,08: 95% CI 0,62</w:t>
      </w:r>
      <w:r w:rsidR="00F02C27" w:rsidRPr="007821D0">
        <w:rPr>
          <w:lang w:val="sr-Latn-ME"/>
        </w:rPr>
        <w:t>;</w:t>
      </w:r>
      <w:r w:rsidRPr="007821D0">
        <w:rPr>
          <w:lang w:val="sr-Latn-ME"/>
        </w:rPr>
        <w:t xml:space="preserve"> 1,87.</w:t>
      </w:r>
    </w:p>
    <w:p w14:paraId="43257AD6" w14:textId="431ECA2E" w:rsidR="00284634" w:rsidRPr="007821D0" w:rsidRDefault="00313D4B" w:rsidP="007821D0">
      <w:pPr>
        <w:spacing w:after="0" w:line="240" w:lineRule="auto"/>
        <w:ind w:left="-5" w:right="3"/>
        <w:jc w:val="both"/>
        <w:rPr>
          <w:lang w:val="sr-Latn-ME"/>
        </w:rPr>
      </w:pPr>
      <w:r w:rsidRPr="007821D0">
        <w:rPr>
          <w:lang w:val="sr-Latn-ME"/>
        </w:rPr>
        <w:t>Nije utvrđena uzročn</w:t>
      </w:r>
      <w:r w:rsidR="00F02C27" w:rsidRPr="007821D0">
        <w:rPr>
          <w:lang w:val="sr-Latn-ME"/>
        </w:rPr>
        <w:t>o-posljedična</w:t>
      </w:r>
      <w:r w:rsidRPr="007821D0">
        <w:rPr>
          <w:lang w:val="sr-Latn-ME"/>
        </w:rPr>
        <w:t xml:space="preserve"> veza između pojave karcinoma dojki kod muškaraca i dugotrajne </w:t>
      </w:r>
      <w:r w:rsidR="00E91FDE" w:rsidRPr="007821D0">
        <w:rPr>
          <w:lang w:val="sr-Latn-ME"/>
        </w:rPr>
        <w:t>primjene</w:t>
      </w:r>
      <w:r w:rsidRPr="007821D0">
        <w:rPr>
          <w:lang w:val="sr-Latn-ME"/>
        </w:rPr>
        <w:t xml:space="preserve"> dutasterida.</w:t>
      </w:r>
    </w:p>
    <w:p w14:paraId="62A558D3" w14:textId="77777777" w:rsidR="00B6519A" w:rsidRPr="007821D0" w:rsidRDefault="00B6519A" w:rsidP="007821D0">
      <w:pPr>
        <w:spacing w:after="0" w:line="240" w:lineRule="auto"/>
        <w:ind w:left="-5"/>
        <w:rPr>
          <w:u w:val="single" w:color="000000"/>
          <w:lang w:val="sr-Latn-ME"/>
        </w:rPr>
      </w:pPr>
    </w:p>
    <w:p w14:paraId="0FE64587" w14:textId="71479829" w:rsidR="00284634" w:rsidRPr="007821D0" w:rsidRDefault="00313D4B" w:rsidP="007821D0">
      <w:pPr>
        <w:spacing w:after="0" w:line="240" w:lineRule="auto"/>
        <w:ind w:left="-5"/>
        <w:rPr>
          <w:lang w:val="sr-Latn-ME"/>
        </w:rPr>
      </w:pPr>
      <w:r w:rsidRPr="007821D0">
        <w:rPr>
          <w:u w:val="single" w:color="000000"/>
          <w:lang w:val="sr-Latn-ME"/>
        </w:rPr>
        <w:t>Uticaj na plodnost kod muškaraca:</w:t>
      </w:r>
    </w:p>
    <w:p w14:paraId="10060118" w14:textId="3034DD2C" w:rsidR="00284634" w:rsidRPr="007821D0" w:rsidRDefault="00313D4B" w:rsidP="007821D0">
      <w:pPr>
        <w:spacing w:after="0" w:line="240" w:lineRule="auto"/>
        <w:ind w:left="-5" w:right="3"/>
        <w:jc w:val="both"/>
        <w:rPr>
          <w:lang w:val="sr-Latn-ME"/>
        </w:rPr>
      </w:pPr>
      <w:r w:rsidRPr="007821D0">
        <w:rPr>
          <w:lang w:val="sr-Latn-ME"/>
        </w:rPr>
        <w:t>Uticaj doze dutasterida od 0,5 mg</w:t>
      </w:r>
      <w:r w:rsidR="00586FA5" w:rsidRPr="007821D0">
        <w:rPr>
          <w:lang w:val="sr-Latn-ME"/>
        </w:rPr>
        <w:t xml:space="preserve"> </w:t>
      </w:r>
      <w:r w:rsidRPr="007821D0">
        <w:rPr>
          <w:lang w:val="sr-Latn-ME"/>
        </w:rPr>
        <w:t>dnevno na karakteristike s</w:t>
      </w:r>
      <w:r w:rsidR="00E91FDE" w:rsidRPr="007821D0">
        <w:rPr>
          <w:lang w:val="sr-Latn-ME"/>
        </w:rPr>
        <w:t>j</w:t>
      </w:r>
      <w:r w:rsidRPr="007821D0">
        <w:rPr>
          <w:lang w:val="sr-Latn-ME"/>
        </w:rPr>
        <w:t xml:space="preserve">emene tečnosti ispitivan je kod zdravih ispitanika starosti od 18 do 52 godine (n=27 </w:t>
      </w:r>
      <w:r w:rsidR="00586FA5" w:rsidRPr="007821D0">
        <w:rPr>
          <w:lang w:val="sr-Latn-ME"/>
        </w:rPr>
        <w:t xml:space="preserve">za </w:t>
      </w:r>
      <w:r w:rsidRPr="007821D0">
        <w:rPr>
          <w:lang w:val="sr-Latn-ME"/>
        </w:rPr>
        <w:t xml:space="preserve">dutasterid, n=23 </w:t>
      </w:r>
      <w:r w:rsidR="00586FA5" w:rsidRPr="007821D0">
        <w:rPr>
          <w:lang w:val="sr-Latn-ME"/>
        </w:rPr>
        <w:t xml:space="preserve">za </w:t>
      </w:r>
      <w:r w:rsidRPr="007821D0">
        <w:rPr>
          <w:lang w:val="sr-Latn-ME"/>
        </w:rPr>
        <w:t>placebo) tokom 52 ned</w:t>
      </w:r>
      <w:r w:rsidR="00586FA5" w:rsidRPr="007821D0">
        <w:rPr>
          <w:lang w:val="sr-Latn-ME"/>
        </w:rPr>
        <w:t>j</w:t>
      </w:r>
      <w:r w:rsidRPr="007821D0">
        <w:rPr>
          <w:lang w:val="sr-Latn-ME"/>
        </w:rPr>
        <w:t>elje terapije i 24 ned</w:t>
      </w:r>
      <w:r w:rsidR="00586FA5" w:rsidRPr="007821D0">
        <w:rPr>
          <w:lang w:val="sr-Latn-ME"/>
        </w:rPr>
        <w:t>j</w:t>
      </w:r>
      <w:r w:rsidRPr="007821D0">
        <w:rPr>
          <w:lang w:val="sr-Latn-ME"/>
        </w:rPr>
        <w:t>elje post-terapijskog praćenja. U 52. ned</w:t>
      </w:r>
      <w:r w:rsidR="00586FA5" w:rsidRPr="007821D0">
        <w:rPr>
          <w:lang w:val="sr-Latn-ME"/>
        </w:rPr>
        <w:t>j</w:t>
      </w:r>
      <w:r w:rsidRPr="007821D0">
        <w:rPr>
          <w:lang w:val="sr-Latn-ME"/>
        </w:rPr>
        <w:t>elji ispitivanja, u grupi koja je primala dutasterid, pros</w:t>
      </w:r>
      <w:r w:rsidR="00586FA5" w:rsidRPr="007821D0">
        <w:rPr>
          <w:lang w:val="sr-Latn-ME"/>
        </w:rPr>
        <w:t>j</w:t>
      </w:r>
      <w:r w:rsidRPr="007821D0">
        <w:rPr>
          <w:lang w:val="sr-Latn-ME"/>
        </w:rPr>
        <w:t xml:space="preserve">ečni procenat smanjenja ukupnog broja spermatozoida u odnosu na početne </w:t>
      </w:r>
      <w:r w:rsidR="00E602C2" w:rsidRPr="007821D0">
        <w:rPr>
          <w:lang w:val="sr-Latn-ME"/>
        </w:rPr>
        <w:t>vrijednosti</w:t>
      </w:r>
      <w:r w:rsidRPr="007821D0">
        <w:rPr>
          <w:lang w:val="sr-Latn-ME"/>
        </w:rPr>
        <w:t xml:space="preserve">, zapremine sperme i pokretljivosti spermatozoida iznosio je 23%, 26% i 18%, tim redom, nakon prilagođavanja </w:t>
      </w:r>
      <w:r w:rsidR="000A2950" w:rsidRPr="007821D0">
        <w:rPr>
          <w:lang w:val="sr-Latn-ME"/>
        </w:rPr>
        <w:t>promjena</w:t>
      </w:r>
      <w:r w:rsidRPr="007821D0">
        <w:rPr>
          <w:lang w:val="sr-Latn-ME"/>
        </w:rPr>
        <w:t xml:space="preserve">ma u placebo grupi u odnosu na početne </w:t>
      </w:r>
      <w:r w:rsidR="00E602C2" w:rsidRPr="007821D0">
        <w:rPr>
          <w:lang w:val="sr-Latn-ME"/>
        </w:rPr>
        <w:t>vrijednosti</w:t>
      </w:r>
      <w:r w:rsidRPr="007821D0">
        <w:rPr>
          <w:lang w:val="sr-Latn-ME"/>
        </w:rPr>
        <w:t xml:space="preserve">. Nije bilo </w:t>
      </w:r>
      <w:r w:rsidR="000A2950" w:rsidRPr="007821D0">
        <w:rPr>
          <w:lang w:val="sr-Latn-ME"/>
        </w:rPr>
        <w:t>promjena</w:t>
      </w:r>
      <w:r w:rsidRPr="007821D0">
        <w:rPr>
          <w:lang w:val="sr-Latn-ME"/>
        </w:rPr>
        <w:t xml:space="preserve"> u koncentraciji i morfologiji sperme. Nakon 24 ned</w:t>
      </w:r>
      <w:r w:rsidR="00586FA5" w:rsidRPr="007821D0">
        <w:rPr>
          <w:lang w:val="sr-Latn-ME"/>
        </w:rPr>
        <w:t>j</w:t>
      </w:r>
      <w:r w:rsidRPr="007821D0">
        <w:rPr>
          <w:lang w:val="sr-Latn-ME"/>
        </w:rPr>
        <w:t xml:space="preserve">elje praćenja, srednja </w:t>
      </w:r>
      <w:r w:rsidR="000A2950" w:rsidRPr="007821D0">
        <w:rPr>
          <w:lang w:val="sr-Latn-ME"/>
        </w:rPr>
        <w:t>vrijednost</w:t>
      </w:r>
      <w:r w:rsidRPr="007821D0">
        <w:rPr>
          <w:lang w:val="sr-Latn-ME"/>
        </w:rPr>
        <w:t xml:space="preserve"> procenta prom</w:t>
      </w:r>
      <w:r w:rsidR="00E91FDE" w:rsidRPr="007821D0">
        <w:rPr>
          <w:lang w:val="sr-Latn-ME"/>
        </w:rPr>
        <w:t>j</w:t>
      </w:r>
      <w:r w:rsidRPr="007821D0">
        <w:rPr>
          <w:lang w:val="sr-Latn-ME"/>
        </w:rPr>
        <w:t xml:space="preserve">ene ukupnog broja spermatozoida u grupi </w:t>
      </w:r>
      <w:r w:rsidR="00586FA5" w:rsidRPr="007821D0">
        <w:rPr>
          <w:lang w:val="sr-Latn-ME"/>
        </w:rPr>
        <w:t xml:space="preserve">u </w:t>
      </w:r>
      <w:r w:rsidRPr="007821D0">
        <w:rPr>
          <w:lang w:val="sr-Latn-ME"/>
        </w:rPr>
        <w:t xml:space="preserve">kojoj je </w:t>
      </w:r>
      <w:r w:rsidR="002A19A7" w:rsidRPr="007821D0">
        <w:rPr>
          <w:lang w:val="sr-Latn-ME"/>
        </w:rPr>
        <w:t>primjenj</w:t>
      </w:r>
      <w:r w:rsidR="00586FA5" w:rsidRPr="007821D0">
        <w:rPr>
          <w:lang w:val="sr-Latn-ME"/>
        </w:rPr>
        <w:t>ivan</w:t>
      </w:r>
      <w:r w:rsidRPr="007821D0">
        <w:rPr>
          <w:lang w:val="sr-Latn-ME"/>
        </w:rPr>
        <w:t xml:space="preserve"> dutasterid ostala je 23% manja u odnosu na početnu </w:t>
      </w:r>
      <w:r w:rsidR="000A2950" w:rsidRPr="007821D0">
        <w:rPr>
          <w:lang w:val="sr-Latn-ME"/>
        </w:rPr>
        <w:t>vrijednost</w:t>
      </w:r>
      <w:r w:rsidRPr="007821D0">
        <w:rPr>
          <w:lang w:val="sr-Latn-ME"/>
        </w:rPr>
        <w:t xml:space="preserve">. Srednje </w:t>
      </w:r>
      <w:r w:rsidR="00E602C2" w:rsidRPr="007821D0">
        <w:rPr>
          <w:lang w:val="sr-Latn-ME"/>
        </w:rPr>
        <w:t>vrijednosti</w:t>
      </w:r>
      <w:r w:rsidRPr="007821D0">
        <w:rPr>
          <w:lang w:val="sr-Latn-ME"/>
        </w:rPr>
        <w:t xml:space="preserve"> svih parametara u svim vremenskim tačkama ostale su unutar očekivanih </w:t>
      </w:r>
      <w:r w:rsidR="00E602C2" w:rsidRPr="007821D0">
        <w:rPr>
          <w:lang w:val="sr-Latn-ME"/>
        </w:rPr>
        <w:t>vrijednosti</w:t>
      </w:r>
      <w:r w:rsidRPr="007821D0">
        <w:rPr>
          <w:lang w:val="sr-Latn-ME"/>
        </w:rPr>
        <w:t xml:space="preserve"> i ni</w:t>
      </w:r>
      <w:r w:rsidR="00FD0121" w:rsidRPr="007821D0">
        <w:rPr>
          <w:lang w:val="sr-Latn-ME"/>
        </w:rPr>
        <w:t>je</w:t>
      </w:r>
      <w:r w:rsidRPr="007821D0">
        <w:rPr>
          <w:lang w:val="sr-Latn-ME"/>
        </w:rPr>
        <w:t>su dostigle unapr</w:t>
      </w:r>
      <w:r w:rsidR="00FD0121" w:rsidRPr="007821D0">
        <w:rPr>
          <w:lang w:val="sr-Latn-ME"/>
        </w:rPr>
        <w:t>ij</w:t>
      </w:r>
      <w:r w:rsidRPr="007821D0">
        <w:rPr>
          <w:lang w:val="sr-Latn-ME"/>
        </w:rPr>
        <w:t>ed određeni kriterijum za klinički značajnu prom</w:t>
      </w:r>
      <w:r w:rsidR="00E91FDE" w:rsidRPr="007821D0">
        <w:rPr>
          <w:lang w:val="sr-Latn-ME"/>
        </w:rPr>
        <w:t>j</w:t>
      </w:r>
      <w:r w:rsidRPr="007821D0">
        <w:rPr>
          <w:lang w:val="sr-Latn-ME"/>
        </w:rPr>
        <w:t xml:space="preserve">enu (30%). Kod dva ispitanika iz grupe koja je dobijala dutasterid </w:t>
      </w:r>
      <w:r w:rsidR="00FD0121" w:rsidRPr="007821D0">
        <w:rPr>
          <w:lang w:val="sr-Latn-ME"/>
        </w:rPr>
        <w:t>poslije</w:t>
      </w:r>
      <w:r w:rsidRPr="007821D0">
        <w:rPr>
          <w:lang w:val="sr-Latn-ME"/>
        </w:rPr>
        <w:t xml:space="preserve"> 52 ned</w:t>
      </w:r>
      <w:r w:rsidR="00FD0121" w:rsidRPr="007821D0">
        <w:rPr>
          <w:lang w:val="sr-Latn-ME"/>
        </w:rPr>
        <w:t>j</w:t>
      </w:r>
      <w:r w:rsidRPr="007821D0">
        <w:rPr>
          <w:lang w:val="sr-Latn-ME"/>
        </w:rPr>
        <w:t>elj</w:t>
      </w:r>
      <w:r w:rsidR="00FD0121" w:rsidRPr="007821D0">
        <w:rPr>
          <w:lang w:val="sr-Latn-ME"/>
        </w:rPr>
        <w:t>e</w:t>
      </w:r>
      <w:r w:rsidRPr="007821D0">
        <w:rPr>
          <w:lang w:val="sr-Latn-ME"/>
        </w:rPr>
        <w:t xml:space="preserve"> je došlo do smanjenja broja spermatozoida </w:t>
      </w:r>
      <w:r w:rsidR="00FD0121" w:rsidRPr="007821D0">
        <w:rPr>
          <w:lang w:val="sr-Latn-ME"/>
        </w:rPr>
        <w:t xml:space="preserve">za </w:t>
      </w:r>
      <w:r w:rsidRPr="007821D0">
        <w:rPr>
          <w:lang w:val="sr-Latn-ME"/>
        </w:rPr>
        <w:t xml:space="preserve">više od 90% u odnosu na početnu </w:t>
      </w:r>
      <w:r w:rsidR="000A2950" w:rsidRPr="007821D0">
        <w:rPr>
          <w:lang w:val="sr-Latn-ME"/>
        </w:rPr>
        <w:t>vrijednost</w:t>
      </w:r>
      <w:r w:rsidRPr="007821D0">
        <w:rPr>
          <w:lang w:val="sr-Latn-ME"/>
        </w:rPr>
        <w:t>, uz d</w:t>
      </w:r>
      <w:r w:rsidR="00FD0121" w:rsidRPr="007821D0">
        <w:rPr>
          <w:lang w:val="sr-Latn-ME"/>
        </w:rPr>
        <w:t>j</w:t>
      </w:r>
      <w:r w:rsidRPr="007821D0">
        <w:rPr>
          <w:lang w:val="sr-Latn-ME"/>
        </w:rPr>
        <w:t>elimični oporavak tokom 24 ned</w:t>
      </w:r>
      <w:r w:rsidR="00FD0121" w:rsidRPr="007821D0">
        <w:rPr>
          <w:lang w:val="sr-Latn-ME"/>
        </w:rPr>
        <w:t>j</w:t>
      </w:r>
      <w:r w:rsidRPr="007821D0">
        <w:rPr>
          <w:lang w:val="sr-Latn-ME"/>
        </w:rPr>
        <w:t>elje praćenja. Ne može se isključiti mogućnost smanjenja plodnosti muškaraca.</w:t>
      </w:r>
    </w:p>
    <w:p w14:paraId="2A09EFDA" w14:textId="77777777" w:rsidR="00B6519A" w:rsidRPr="007821D0" w:rsidRDefault="00B6519A" w:rsidP="007821D0">
      <w:pPr>
        <w:pStyle w:val="Heading1"/>
        <w:spacing w:after="0" w:line="240" w:lineRule="auto"/>
        <w:ind w:left="-5"/>
        <w:rPr>
          <w:lang w:val="sr-Latn-ME"/>
        </w:rPr>
      </w:pPr>
    </w:p>
    <w:p w14:paraId="5164C046" w14:textId="25D9A7DF" w:rsidR="00284634" w:rsidRPr="007821D0" w:rsidRDefault="00E602C2" w:rsidP="007821D0">
      <w:pPr>
        <w:pStyle w:val="Heading1"/>
        <w:spacing w:after="0" w:line="240" w:lineRule="auto"/>
        <w:ind w:left="-5"/>
        <w:rPr>
          <w:lang w:val="sr-Latn-ME"/>
        </w:rPr>
      </w:pPr>
      <w:r w:rsidRPr="007821D0">
        <w:rPr>
          <w:lang w:val="sr-Latn-ME"/>
        </w:rPr>
        <w:t>Primjena</w:t>
      </w:r>
      <w:r w:rsidR="00313D4B" w:rsidRPr="007821D0">
        <w:rPr>
          <w:lang w:val="sr-Latn-ME"/>
        </w:rPr>
        <w:t xml:space="preserve"> dutasterida u kombinovanoj terapiji sa alfa blokatorom tamsulosinom</w:t>
      </w:r>
    </w:p>
    <w:p w14:paraId="3A1C02F0" w14:textId="77777777" w:rsidR="0081499A" w:rsidRPr="007821D0" w:rsidRDefault="0081499A" w:rsidP="007821D0">
      <w:pPr>
        <w:spacing w:after="0" w:line="240" w:lineRule="auto"/>
        <w:ind w:left="-5" w:right="3"/>
        <w:jc w:val="both"/>
        <w:rPr>
          <w:lang w:val="sr-Latn-ME"/>
        </w:rPr>
      </w:pPr>
    </w:p>
    <w:p w14:paraId="71CCB574" w14:textId="2109CB85" w:rsidR="00284634" w:rsidRDefault="00313D4B" w:rsidP="007821D0">
      <w:pPr>
        <w:spacing w:after="0" w:line="240" w:lineRule="auto"/>
        <w:ind w:left="-5" w:right="3"/>
        <w:jc w:val="both"/>
        <w:rPr>
          <w:lang w:val="sr-Latn-ME"/>
        </w:rPr>
      </w:pPr>
      <w:r w:rsidRPr="007821D0">
        <w:rPr>
          <w:lang w:val="sr-Latn-ME"/>
        </w:rPr>
        <w:t>U multicentričnom, multinacionalnom, randomizovanom dvostruko</w:t>
      </w:r>
      <w:r w:rsidR="00FD5773" w:rsidRPr="007821D0">
        <w:rPr>
          <w:lang w:val="sr-Latn-ME"/>
        </w:rPr>
        <w:t xml:space="preserve"> </w:t>
      </w:r>
      <w:r w:rsidRPr="007821D0">
        <w:rPr>
          <w:lang w:val="sr-Latn-ME"/>
        </w:rPr>
        <w:t>sl</w:t>
      </w:r>
      <w:r w:rsidR="00FD5773" w:rsidRPr="007821D0">
        <w:rPr>
          <w:lang w:val="sr-Latn-ME"/>
        </w:rPr>
        <w:t>ij</w:t>
      </w:r>
      <w:r w:rsidRPr="007821D0">
        <w:rPr>
          <w:lang w:val="sr-Latn-ME"/>
        </w:rPr>
        <w:t xml:space="preserve">epom kliničkom ispitivanju </w:t>
      </w:r>
      <w:r w:rsidR="00FD5773" w:rsidRPr="007821D0">
        <w:rPr>
          <w:lang w:val="sr-Latn-ME"/>
        </w:rPr>
        <w:t>s</w:t>
      </w:r>
      <w:r w:rsidRPr="007821D0">
        <w:rPr>
          <w:lang w:val="sr-Latn-ME"/>
        </w:rPr>
        <w:t>a paralelnim grupama (CombAT ispitivanje) proc</w:t>
      </w:r>
      <w:r w:rsidR="00E91FDE" w:rsidRPr="007821D0">
        <w:rPr>
          <w:lang w:val="sr-Latn-ME"/>
        </w:rPr>
        <w:t>ij</w:t>
      </w:r>
      <w:r w:rsidRPr="007821D0">
        <w:rPr>
          <w:lang w:val="sr-Latn-ME"/>
        </w:rPr>
        <w:t xml:space="preserve">enjena je </w:t>
      </w:r>
      <w:r w:rsidR="00E602C2" w:rsidRPr="007821D0">
        <w:rPr>
          <w:lang w:val="sr-Latn-ME"/>
        </w:rPr>
        <w:t>primjena</w:t>
      </w:r>
      <w:r w:rsidRPr="007821D0">
        <w:rPr>
          <w:lang w:val="sr-Latn-ME"/>
        </w:rPr>
        <w:t xml:space="preserve"> dutasterida u dozi od 0,5 mg</w:t>
      </w:r>
      <w:r w:rsidR="00FD5773" w:rsidRPr="007821D0">
        <w:rPr>
          <w:lang w:val="sr-Latn-ME"/>
        </w:rPr>
        <w:t xml:space="preserve"> </w:t>
      </w:r>
      <w:r w:rsidRPr="007821D0">
        <w:rPr>
          <w:lang w:val="sr-Latn-ME"/>
        </w:rPr>
        <w:t>dnevno (n=1623), tamsulosina u dozi od 0,4 mg</w:t>
      </w:r>
      <w:r w:rsidR="00FD5773" w:rsidRPr="007821D0">
        <w:rPr>
          <w:lang w:val="sr-Latn-ME"/>
        </w:rPr>
        <w:t xml:space="preserve"> </w:t>
      </w:r>
      <w:r w:rsidRPr="007821D0">
        <w:rPr>
          <w:lang w:val="sr-Latn-ME"/>
        </w:rPr>
        <w:t xml:space="preserve">dnevno (n=1611) ili kombinovana </w:t>
      </w:r>
      <w:r w:rsidR="00E602C2" w:rsidRPr="007821D0">
        <w:rPr>
          <w:lang w:val="sr-Latn-ME"/>
        </w:rPr>
        <w:t>primjena</w:t>
      </w:r>
      <w:r w:rsidRPr="007821D0">
        <w:rPr>
          <w:lang w:val="sr-Latn-ME"/>
        </w:rPr>
        <w:t xml:space="preserve"> dutasterida u dozi od 0,5 mg i tamsulosina u dozi od 0,4 mg (n=1610) kod muških ispitanika sa um</w:t>
      </w:r>
      <w:r w:rsidR="00FD5773" w:rsidRPr="007821D0">
        <w:rPr>
          <w:lang w:val="sr-Latn-ME"/>
        </w:rPr>
        <w:t>j</w:t>
      </w:r>
      <w:r w:rsidRPr="007821D0">
        <w:rPr>
          <w:lang w:val="sr-Latn-ME"/>
        </w:rPr>
        <w:t xml:space="preserve">erenim do teškim simptomima BHP, veličine prostate ≥30 </w:t>
      </w:r>
      <w:r w:rsidR="00B6519A" w:rsidRPr="007821D0">
        <w:rPr>
          <w:lang w:val="sr-Latn-ME"/>
        </w:rPr>
        <w:t xml:space="preserve">ml </w:t>
      </w:r>
      <w:r w:rsidRPr="007821D0">
        <w:rPr>
          <w:lang w:val="sr-Latn-ME"/>
        </w:rPr>
        <w:t xml:space="preserve">i </w:t>
      </w:r>
      <w:r w:rsidR="00E602C2" w:rsidRPr="007821D0">
        <w:rPr>
          <w:lang w:val="sr-Latn-ME"/>
        </w:rPr>
        <w:t>vrijednosti</w:t>
      </w:r>
      <w:r w:rsidRPr="007821D0">
        <w:rPr>
          <w:lang w:val="sr-Latn-ME"/>
        </w:rPr>
        <w:t xml:space="preserve"> PSA u rasponu 1,5 – 10 nanogram</w:t>
      </w:r>
      <w:r w:rsidR="00625EEA" w:rsidRPr="007821D0">
        <w:rPr>
          <w:lang w:val="sr-Latn-ME"/>
        </w:rPr>
        <w:t>a</w:t>
      </w:r>
      <w:r w:rsidRPr="007821D0">
        <w:rPr>
          <w:lang w:val="sr-Latn-ME"/>
        </w:rPr>
        <w:t>/</w:t>
      </w:r>
      <w:r w:rsidR="00B6519A" w:rsidRPr="007821D0">
        <w:rPr>
          <w:lang w:val="sr-Latn-ME"/>
        </w:rPr>
        <w:t>ml</w:t>
      </w:r>
      <w:r w:rsidRPr="007821D0">
        <w:rPr>
          <w:lang w:val="sr-Latn-ME"/>
        </w:rPr>
        <w:t>. Približno 53% ispitanika prethodno je bilo izloženo dejstvu inhibitora 5-alfa reduktaze ili terapiji alfa blokatorima. Primarni parametar praćenja efikasnosti tokom prve 2 godine terapije ogledao se u prom</w:t>
      </w:r>
      <w:r w:rsidR="00E91FDE" w:rsidRPr="007821D0">
        <w:rPr>
          <w:lang w:val="sr-Latn-ME"/>
        </w:rPr>
        <w:t>j</w:t>
      </w:r>
      <w:r w:rsidRPr="007821D0">
        <w:rPr>
          <w:lang w:val="sr-Latn-ME"/>
        </w:rPr>
        <w:t xml:space="preserve">eni </w:t>
      </w:r>
      <w:r w:rsidR="00E602C2" w:rsidRPr="007821D0">
        <w:rPr>
          <w:lang w:val="sr-Latn-ME"/>
        </w:rPr>
        <w:t>vrijednosti</w:t>
      </w:r>
      <w:r w:rsidRPr="007821D0">
        <w:rPr>
          <w:lang w:val="sr-Latn-ME"/>
        </w:rPr>
        <w:t xml:space="preserve"> Internacionalnog </w:t>
      </w:r>
      <w:r w:rsidR="002E6B13" w:rsidRPr="007821D0">
        <w:rPr>
          <w:lang w:val="sr-Latn-ME"/>
        </w:rPr>
        <w:t xml:space="preserve">skora simptoma </w:t>
      </w:r>
      <w:r w:rsidRPr="007821D0">
        <w:rPr>
          <w:lang w:val="sr-Latn-ME"/>
        </w:rPr>
        <w:t>prostat</w:t>
      </w:r>
      <w:r w:rsidR="002E6B13" w:rsidRPr="007821D0">
        <w:rPr>
          <w:lang w:val="sr-Latn-ME"/>
        </w:rPr>
        <w:t>e</w:t>
      </w:r>
      <w:r w:rsidRPr="007821D0">
        <w:rPr>
          <w:lang w:val="sr-Latn-ME"/>
        </w:rPr>
        <w:t xml:space="preserve"> (engl. </w:t>
      </w:r>
      <w:r w:rsidRPr="007821D0">
        <w:rPr>
          <w:i/>
          <w:lang w:val="sr-Latn-ME"/>
        </w:rPr>
        <w:t>International Prostate Symptom Score</w:t>
      </w:r>
      <w:r w:rsidRPr="007821D0">
        <w:rPr>
          <w:lang w:val="sr-Latn-ME"/>
        </w:rPr>
        <w:t>, IPSS), standardizovan</w:t>
      </w:r>
      <w:r w:rsidR="002E6B13" w:rsidRPr="007821D0">
        <w:rPr>
          <w:lang w:val="sr-Latn-ME"/>
        </w:rPr>
        <w:t>og</w:t>
      </w:r>
      <w:r w:rsidRPr="007821D0">
        <w:rPr>
          <w:lang w:val="sr-Latn-ME"/>
        </w:rPr>
        <w:t xml:space="preserve"> upitnik</w:t>
      </w:r>
      <w:r w:rsidR="002E6B13" w:rsidRPr="007821D0">
        <w:rPr>
          <w:lang w:val="sr-Latn-ME"/>
        </w:rPr>
        <w:t>a</w:t>
      </w:r>
      <w:r w:rsidRPr="007821D0">
        <w:rPr>
          <w:lang w:val="sr-Latn-ME"/>
        </w:rPr>
        <w:t xml:space="preserve"> od 8 d</w:t>
      </w:r>
      <w:r w:rsidR="00E91FDE" w:rsidRPr="007821D0">
        <w:rPr>
          <w:lang w:val="sr-Latn-ME"/>
        </w:rPr>
        <w:t>j</w:t>
      </w:r>
      <w:r w:rsidRPr="007821D0">
        <w:rPr>
          <w:lang w:val="sr-Latn-ME"/>
        </w:rPr>
        <w:t>elova, zasnovan</w:t>
      </w:r>
      <w:r w:rsidR="002E6B13" w:rsidRPr="007821D0">
        <w:rPr>
          <w:lang w:val="sr-Latn-ME"/>
        </w:rPr>
        <w:t>og</w:t>
      </w:r>
      <w:r w:rsidRPr="007821D0">
        <w:rPr>
          <w:lang w:val="sr-Latn-ME"/>
        </w:rPr>
        <w:t xml:space="preserve"> na AUA-SI sa dodatnim pitanj</w:t>
      </w:r>
      <w:r w:rsidR="002E6B13" w:rsidRPr="007821D0">
        <w:rPr>
          <w:lang w:val="sr-Latn-ME"/>
        </w:rPr>
        <w:t>e</w:t>
      </w:r>
      <w:r w:rsidRPr="007821D0">
        <w:rPr>
          <w:lang w:val="sr-Latn-ME"/>
        </w:rPr>
        <w:t>m koj</w:t>
      </w:r>
      <w:r w:rsidR="002E6B13" w:rsidRPr="007821D0">
        <w:rPr>
          <w:lang w:val="sr-Latn-ME"/>
        </w:rPr>
        <w:t>e</w:t>
      </w:r>
      <w:r w:rsidRPr="007821D0">
        <w:rPr>
          <w:lang w:val="sr-Latn-ME"/>
        </w:rPr>
        <w:t xml:space="preserve"> se odnos</w:t>
      </w:r>
      <w:r w:rsidR="002E6B13" w:rsidRPr="007821D0">
        <w:rPr>
          <w:lang w:val="sr-Latn-ME"/>
        </w:rPr>
        <w:t>i</w:t>
      </w:r>
      <w:r w:rsidRPr="007821D0">
        <w:rPr>
          <w:lang w:val="sr-Latn-ME"/>
        </w:rPr>
        <w:t xml:space="preserve"> na kvalitet života. Sekundarni parametri praćenja efikasnosti tokom prve </w:t>
      </w:r>
      <w:r w:rsidR="002E6B13" w:rsidRPr="007821D0">
        <w:rPr>
          <w:lang w:val="sr-Latn-ME"/>
        </w:rPr>
        <w:t xml:space="preserve">2 </w:t>
      </w:r>
      <w:r w:rsidRPr="007821D0">
        <w:rPr>
          <w:lang w:val="sr-Latn-ME"/>
        </w:rPr>
        <w:t>godine terapije uključival</w:t>
      </w:r>
      <w:r w:rsidR="002E6B13" w:rsidRPr="007821D0">
        <w:rPr>
          <w:lang w:val="sr-Latn-ME"/>
        </w:rPr>
        <w:t>i</w:t>
      </w:r>
      <w:r w:rsidRPr="007821D0">
        <w:rPr>
          <w:lang w:val="sr-Latn-ME"/>
        </w:rPr>
        <w:t xml:space="preserve"> su </w:t>
      </w:r>
      <w:r w:rsidR="00E602C2" w:rsidRPr="007821D0">
        <w:rPr>
          <w:lang w:val="sr-Latn-ME"/>
        </w:rPr>
        <w:t>vrijednosti</w:t>
      </w:r>
      <w:r w:rsidRPr="007821D0">
        <w:rPr>
          <w:lang w:val="sr-Latn-ME"/>
        </w:rPr>
        <w:t xml:space="preserve"> maksimalnog urinarnog protoka (Qmax) i veličine prostate.</w:t>
      </w:r>
    </w:p>
    <w:p w14:paraId="0FD163A5" w14:textId="77777777" w:rsidR="00CF38E2" w:rsidRPr="007821D0" w:rsidRDefault="00CF38E2" w:rsidP="007821D0">
      <w:pPr>
        <w:spacing w:after="0" w:line="240" w:lineRule="auto"/>
        <w:ind w:left="-5" w:right="3"/>
        <w:jc w:val="both"/>
        <w:rPr>
          <w:lang w:val="sr-Latn-ME"/>
        </w:rPr>
      </w:pPr>
    </w:p>
    <w:p w14:paraId="555A1807" w14:textId="7B129F30" w:rsidR="00284634" w:rsidRDefault="00313D4B" w:rsidP="007821D0">
      <w:pPr>
        <w:spacing w:after="0" w:line="240" w:lineRule="auto"/>
        <w:ind w:left="-5" w:right="3"/>
        <w:jc w:val="both"/>
        <w:rPr>
          <w:lang w:val="sr-Latn-ME"/>
        </w:rPr>
      </w:pPr>
      <w:r w:rsidRPr="007821D0">
        <w:rPr>
          <w:lang w:val="sr-Latn-ME"/>
        </w:rPr>
        <w:t>Kombinovana terapija je postigla statističku značajnost za IPSS u 3. m</w:t>
      </w:r>
      <w:r w:rsidR="000A2950" w:rsidRPr="007821D0">
        <w:rPr>
          <w:lang w:val="sr-Latn-ME"/>
        </w:rPr>
        <w:t>j</w:t>
      </w:r>
      <w:r w:rsidRPr="007821D0">
        <w:rPr>
          <w:lang w:val="sr-Latn-ME"/>
        </w:rPr>
        <w:t>esecu u poređenju sa dutasteridom i u 9. m</w:t>
      </w:r>
      <w:r w:rsidR="000A2950" w:rsidRPr="007821D0">
        <w:rPr>
          <w:lang w:val="sr-Latn-ME"/>
        </w:rPr>
        <w:t>j</w:t>
      </w:r>
      <w:r w:rsidRPr="007821D0">
        <w:rPr>
          <w:lang w:val="sr-Latn-ME"/>
        </w:rPr>
        <w:t xml:space="preserve">esecu u poređenju sa tamsulosinom. Kombinacija je pokazala značajne </w:t>
      </w:r>
      <w:r w:rsidR="00E602C2" w:rsidRPr="007821D0">
        <w:rPr>
          <w:lang w:val="sr-Latn-ME"/>
        </w:rPr>
        <w:t>vrijednosti</w:t>
      </w:r>
      <w:r w:rsidRPr="007821D0">
        <w:rPr>
          <w:lang w:val="sr-Latn-ME"/>
        </w:rPr>
        <w:t xml:space="preserve"> za Qmax u 6. m</w:t>
      </w:r>
      <w:r w:rsidR="000E3F7D" w:rsidRPr="007821D0">
        <w:rPr>
          <w:lang w:val="sr-Latn-ME"/>
        </w:rPr>
        <w:t>j</w:t>
      </w:r>
      <w:r w:rsidRPr="007821D0">
        <w:rPr>
          <w:lang w:val="sr-Latn-ME"/>
        </w:rPr>
        <w:t>esecu u poređenju sa dutasteridom i u poređenju sa tamsulosinom.</w:t>
      </w:r>
    </w:p>
    <w:p w14:paraId="1471F072" w14:textId="77777777" w:rsidR="00CF38E2" w:rsidRPr="007821D0" w:rsidRDefault="00CF38E2" w:rsidP="007821D0">
      <w:pPr>
        <w:spacing w:after="0" w:line="240" w:lineRule="auto"/>
        <w:ind w:left="-5" w:right="3"/>
        <w:jc w:val="both"/>
        <w:rPr>
          <w:lang w:val="sr-Latn-ME"/>
        </w:rPr>
      </w:pPr>
    </w:p>
    <w:p w14:paraId="7C58AC2A" w14:textId="5E62A685" w:rsidR="00284634" w:rsidRPr="007821D0" w:rsidRDefault="00313D4B" w:rsidP="007821D0">
      <w:pPr>
        <w:spacing w:after="0" w:line="240" w:lineRule="auto"/>
        <w:ind w:left="-5" w:right="3"/>
        <w:jc w:val="both"/>
        <w:rPr>
          <w:lang w:val="sr-Latn-ME"/>
        </w:rPr>
      </w:pPr>
      <w:r w:rsidRPr="007821D0">
        <w:rPr>
          <w:lang w:val="sr-Latn-ME"/>
        </w:rPr>
        <w:t>Primarni parametar praćenja efikasnosti terapije u trajanju od 4 godine bio je vr</w:t>
      </w:r>
      <w:r w:rsidR="000A2950" w:rsidRPr="007821D0">
        <w:rPr>
          <w:lang w:val="sr-Latn-ME"/>
        </w:rPr>
        <w:t>ij</w:t>
      </w:r>
      <w:r w:rsidRPr="007821D0">
        <w:rPr>
          <w:lang w:val="sr-Latn-ME"/>
        </w:rPr>
        <w:t xml:space="preserve">eme do prve pojave AUR ili operacije u vezi sa BHP. Nakon terapije u trajanju od 4 godine, </w:t>
      </w:r>
      <w:r w:rsidR="00E602C2" w:rsidRPr="007821D0">
        <w:rPr>
          <w:lang w:val="sr-Latn-ME"/>
        </w:rPr>
        <w:t>primjena</w:t>
      </w:r>
      <w:r w:rsidRPr="007821D0">
        <w:rPr>
          <w:lang w:val="sr-Latn-ME"/>
        </w:rPr>
        <w:t xml:space="preserve"> kombinovane terapije je statistički značajno smanjila rizik od AUR ili operacije u vezi sa BHP (65,8% smanjenje rizika p&lt;0,001 [ 95% CI 54,7% do 74,1%]) u odnosu na monoterapiju tamsulosinom. Incidenca AUR ili operacije u vezi sa BHP nakon kliničkog ispitivanja u trajanju od 4 godine bila je 4,2% </w:t>
      </w:r>
      <w:r w:rsidR="0050085F" w:rsidRPr="007821D0">
        <w:rPr>
          <w:lang w:val="sr-Latn-ME"/>
        </w:rPr>
        <w:t>za</w:t>
      </w:r>
      <w:r w:rsidRPr="007821D0">
        <w:rPr>
          <w:lang w:val="sr-Latn-ME"/>
        </w:rPr>
        <w:t xml:space="preserve"> kombinovan</w:t>
      </w:r>
      <w:r w:rsidR="0050085F" w:rsidRPr="007821D0">
        <w:rPr>
          <w:lang w:val="sr-Latn-ME"/>
        </w:rPr>
        <w:t>u</w:t>
      </w:r>
      <w:r w:rsidRPr="007821D0">
        <w:rPr>
          <w:lang w:val="sr-Latn-ME"/>
        </w:rPr>
        <w:t xml:space="preserve"> terapij</w:t>
      </w:r>
      <w:r w:rsidR="0050085F" w:rsidRPr="007821D0">
        <w:rPr>
          <w:lang w:val="sr-Latn-ME"/>
        </w:rPr>
        <w:t>u</w:t>
      </w:r>
      <w:r w:rsidRPr="007821D0">
        <w:rPr>
          <w:lang w:val="sr-Latn-ME"/>
        </w:rPr>
        <w:t xml:space="preserve"> i 11,9% </w:t>
      </w:r>
      <w:r w:rsidR="0050085F" w:rsidRPr="007821D0">
        <w:rPr>
          <w:lang w:val="sr-Latn-ME"/>
        </w:rPr>
        <w:t>za</w:t>
      </w:r>
      <w:r w:rsidRPr="007821D0">
        <w:rPr>
          <w:lang w:val="sr-Latn-ME"/>
        </w:rPr>
        <w:t xml:space="preserve"> </w:t>
      </w:r>
      <w:r w:rsidR="00E91FDE" w:rsidRPr="007821D0">
        <w:rPr>
          <w:lang w:val="sr-Latn-ME"/>
        </w:rPr>
        <w:t>primjen</w:t>
      </w:r>
      <w:r w:rsidR="0050085F" w:rsidRPr="007821D0">
        <w:rPr>
          <w:lang w:val="sr-Latn-ME"/>
        </w:rPr>
        <w:t>u</w:t>
      </w:r>
      <w:r w:rsidRPr="007821D0">
        <w:rPr>
          <w:lang w:val="sr-Latn-ME"/>
        </w:rPr>
        <w:t xml:space="preserve"> tamsulosina (p&lt;0,001). U poređenju sa prim</w:t>
      </w:r>
      <w:r w:rsidR="000A2950" w:rsidRPr="007821D0">
        <w:rPr>
          <w:lang w:val="sr-Latn-ME"/>
        </w:rPr>
        <w:t>j</w:t>
      </w:r>
      <w:r w:rsidRPr="007821D0">
        <w:rPr>
          <w:lang w:val="sr-Latn-ME"/>
        </w:rPr>
        <w:t xml:space="preserve">enom dutasterida u monoterapiji, kombinovana terapija je smanjila rizik od AUR ili operacije u vezi sa BHP za 19,6% (p=0,18 [95% CI -10,9% do 41,7%]). </w:t>
      </w:r>
    </w:p>
    <w:p w14:paraId="70D1CF7A" w14:textId="48A52C38" w:rsidR="00284634" w:rsidRPr="007821D0" w:rsidRDefault="00313D4B" w:rsidP="007821D0">
      <w:pPr>
        <w:spacing w:after="0" w:line="240" w:lineRule="auto"/>
        <w:ind w:left="-5" w:right="3"/>
        <w:jc w:val="both"/>
        <w:rPr>
          <w:lang w:val="sr-Latn-ME"/>
        </w:rPr>
      </w:pPr>
      <w:r w:rsidRPr="007821D0">
        <w:rPr>
          <w:lang w:val="sr-Latn-ME"/>
        </w:rPr>
        <w:t xml:space="preserve">Incidenca AUR ili operacije u vezi sa BHP nakon kliničkog ispitivanja u trajanju od 4 godine bila je 4,2% za kombinovanu terapiju i 5,2% </w:t>
      </w:r>
      <w:r w:rsidR="00C8214B" w:rsidRPr="007821D0">
        <w:rPr>
          <w:lang w:val="sr-Latn-ME"/>
        </w:rPr>
        <w:t xml:space="preserve">za </w:t>
      </w:r>
      <w:r w:rsidR="00E91FDE" w:rsidRPr="007821D0">
        <w:rPr>
          <w:lang w:val="sr-Latn-ME"/>
        </w:rPr>
        <w:t>primjen</w:t>
      </w:r>
      <w:r w:rsidR="00C8214B" w:rsidRPr="007821D0">
        <w:rPr>
          <w:lang w:val="sr-Latn-ME"/>
        </w:rPr>
        <w:t>u</w:t>
      </w:r>
      <w:r w:rsidRPr="007821D0">
        <w:rPr>
          <w:lang w:val="sr-Latn-ME"/>
        </w:rPr>
        <w:t xml:space="preserve"> dutasterida.</w:t>
      </w:r>
    </w:p>
    <w:p w14:paraId="3C115DDA" w14:textId="7CE8FC67" w:rsidR="00284634" w:rsidRDefault="00313D4B" w:rsidP="007821D0">
      <w:pPr>
        <w:spacing w:after="0" w:line="240" w:lineRule="auto"/>
        <w:ind w:left="-5" w:right="3"/>
        <w:jc w:val="both"/>
        <w:rPr>
          <w:lang w:val="sr-Latn-ME"/>
        </w:rPr>
      </w:pPr>
      <w:r w:rsidRPr="007821D0">
        <w:rPr>
          <w:lang w:val="sr-Latn-ME"/>
        </w:rPr>
        <w:lastRenderedPageBreak/>
        <w:t>Sekundarni parametri praćenja efikasnosti nakon terapije u trajanju od 4 godine podrazum</w:t>
      </w:r>
      <w:r w:rsidR="00C8214B" w:rsidRPr="007821D0">
        <w:rPr>
          <w:lang w:val="sr-Latn-ME"/>
        </w:rPr>
        <w:t>ij</w:t>
      </w:r>
      <w:r w:rsidRPr="007821D0">
        <w:rPr>
          <w:lang w:val="sr-Latn-ME"/>
        </w:rPr>
        <w:t>eva</w:t>
      </w:r>
      <w:r w:rsidR="00C8214B" w:rsidRPr="007821D0">
        <w:rPr>
          <w:lang w:val="sr-Latn-ME"/>
        </w:rPr>
        <w:t>li su</w:t>
      </w:r>
      <w:r w:rsidRPr="007821D0">
        <w:rPr>
          <w:lang w:val="sr-Latn-ME"/>
        </w:rPr>
        <w:t xml:space="preserve"> vr</w:t>
      </w:r>
      <w:r w:rsidR="000A2950" w:rsidRPr="007821D0">
        <w:rPr>
          <w:lang w:val="sr-Latn-ME"/>
        </w:rPr>
        <w:t>ij</w:t>
      </w:r>
      <w:r w:rsidRPr="007821D0">
        <w:rPr>
          <w:lang w:val="sr-Latn-ME"/>
        </w:rPr>
        <w:t xml:space="preserve">eme </w:t>
      </w:r>
      <w:r w:rsidR="00C8214B" w:rsidRPr="007821D0">
        <w:rPr>
          <w:lang w:val="sr-Latn-ME"/>
        </w:rPr>
        <w:t xml:space="preserve">do </w:t>
      </w:r>
      <w:r w:rsidRPr="007821D0">
        <w:rPr>
          <w:lang w:val="sr-Latn-ME"/>
        </w:rPr>
        <w:t>kliničke progresije (definisane kao kombinacija parametara: pogoršanje IPSS za ≥4 poena, pojava AUR povezana sa BHP, inkontinencija, infekcija urinarnog trakta (IUT) i bubrežna insuficijencija), prom</w:t>
      </w:r>
      <w:r w:rsidR="000A2950" w:rsidRPr="007821D0">
        <w:rPr>
          <w:lang w:val="sr-Latn-ME"/>
        </w:rPr>
        <w:t>j</w:t>
      </w:r>
      <w:r w:rsidRPr="007821D0">
        <w:rPr>
          <w:lang w:val="sr-Latn-ME"/>
        </w:rPr>
        <w:t>enu</w:t>
      </w:r>
      <w:r w:rsidR="00C8214B" w:rsidRPr="007821D0">
        <w:rPr>
          <w:lang w:val="sr-Latn-ME"/>
        </w:rPr>
        <w:t xml:space="preserve"> u</w:t>
      </w:r>
      <w:r w:rsidRPr="007821D0">
        <w:rPr>
          <w:lang w:val="sr-Latn-ME"/>
        </w:rPr>
        <w:t xml:space="preserve"> IPSS, maksimalni urinarni protok (Qmax) i </w:t>
      </w:r>
      <w:r w:rsidR="00625EEA" w:rsidRPr="007821D0">
        <w:rPr>
          <w:lang w:val="sr-Latn-ME"/>
        </w:rPr>
        <w:t xml:space="preserve">veličina </w:t>
      </w:r>
      <w:r w:rsidRPr="007821D0">
        <w:rPr>
          <w:lang w:val="sr-Latn-ME"/>
        </w:rPr>
        <w:t xml:space="preserve">prostate. Rezultati nakon </w:t>
      </w:r>
      <w:r w:rsidR="00E91FDE" w:rsidRPr="007821D0">
        <w:rPr>
          <w:lang w:val="sr-Latn-ME"/>
        </w:rPr>
        <w:t>primjene</w:t>
      </w:r>
      <w:r w:rsidRPr="007821D0">
        <w:rPr>
          <w:lang w:val="sr-Latn-ME"/>
        </w:rPr>
        <w:t xml:space="preserve"> terapije unutar perioda od 4 godine navedeni su u tabeli u daljem tekstu:</w:t>
      </w:r>
    </w:p>
    <w:p w14:paraId="1127EC43" w14:textId="77777777" w:rsidR="00CF38E2" w:rsidRPr="007821D0" w:rsidRDefault="00CF38E2" w:rsidP="007821D0">
      <w:pPr>
        <w:spacing w:after="0" w:line="240" w:lineRule="auto"/>
        <w:ind w:left="-5" w:right="3"/>
        <w:jc w:val="both"/>
        <w:rPr>
          <w:lang w:val="sr-Latn-ME"/>
        </w:rPr>
      </w:pPr>
    </w:p>
    <w:tbl>
      <w:tblPr>
        <w:tblStyle w:val="TableGrid"/>
        <w:tblW w:w="9658" w:type="dxa"/>
        <w:tblInd w:w="-12" w:type="dxa"/>
        <w:tblCellMar>
          <w:top w:w="51" w:type="dxa"/>
          <w:left w:w="12" w:type="dxa"/>
          <w:right w:w="29" w:type="dxa"/>
        </w:tblCellMar>
        <w:tblLook w:val="04A0" w:firstRow="1" w:lastRow="0" w:firstColumn="1" w:lastColumn="0" w:noHBand="0" w:noVBand="1"/>
      </w:tblPr>
      <w:tblGrid>
        <w:gridCol w:w="2055"/>
        <w:gridCol w:w="3624"/>
        <w:gridCol w:w="1560"/>
        <w:gridCol w:w="1200"/>
        <w:gridCol w:w="1219"/>
      </w:tblGrid>
      <w:tr w:rsidR="00284634" w:rsidRPr="007821D0" w14:paraId="36087C54" w14:textId="77777777">
        <w:trPr>
          <w:trHeight w:val="298"/>
        </w:trPr>
        <w:tc>
          <w:tcPr>
            <w:tcW w:w="2054" w:type="dxa"/>
            <w:tcBorders>
              <w:top w:val="single" w:sz="6" w:space="0" w:color="000000"/>
              <w:left w:val="single" w:sz="6" w:space="0" w:color="000000"/>
              <w:bottom w:val="single" w:sz="6" w:space="0" w:color="000000"/>
              <w:right w:val="single" w:sz="6" w:space="0" w:color="000000"/>
            </w:tcBorders>
          </w:tcPr>
          <w:p w14:paraId="014A48A5" w14:textId="77777777" w:rsidR="00284634" w:rsidRPr="007821D0" w:rsidRDefault="00313D4B" w:rsidP="007821D0">
            <w:pPr>
              <w:spacing w:after="0" w:line="240" w:lineRule="auto"/>
              <w:ind w:left="19" w:firstLine="0"/>
              <w:jc w:val="center"/>
              <w:rPr>
                <w:lang w:val="sr-Latn-ME"/>
              </w:rPr>
            </w:pPr>
            <w:r w:rsidRPr="007821D0">
              <w:rPr>
                <w:lang w:val="sr-Latn-ME"/>
              </w:rPr>
              <w:t>Parametar</w:t>
            </w:r>
          </w:p>
        </w:tc>
        <w:tc>
          <w:tcPr>
            <w:tcW w:w="3624" w:type="dxa"/>
            <w:tcBorders>
              <w:top w:val="single" w:sz="6" w:space="0" w:color="000000"/>
              <w:left w:val="single" w:sz="6" w:space="0" w:color="000000"/>
              <w:bottom w:val="single" w:sz="6" w:space="0" w:color="000000"/>
              <w:right w:val="single" w:sz="6" w:space="0" w:color="000000"/>
            </w:tcBorders>
          </w:tcPr>
          <w:p w14:paraId="19D18A41" w14:textId="77777777" w:rsidR="00284634" w:rsidRPr="007821D0" w:rsidRDefault="00313D4B" w:rsidP="007821D0">
            <w:pPr>
              <w:spacing w:after="0" w:line="240" w:lineRule="auto"/>
              <w:ind w:left="15" w:firstLine="0"/>
              <w:jc w:val="center"/>
              <w:rPr>
                <w:lang w:val="sr-Latn-ME"/>
              </w:rPr>
            </w:pPr>
            <w:r w:rsidRPr="007821D0">
              <w:rPr>
                <w:lang w:val="sr-Latn-ME"/>
              </w:rPr>
              <w:t>Vremenska odrednica</w:t>
            </w:r>
          </w:p>
        </w:tc>
        <w:tc>
          <w:tcPr>
            <w:tcW w:w="1560" w:type="dxa"/>
            <w:tcBorders>
              <w:top w:val="single" w:sz="6" w:space="0" w:color="000000"/>
              <w:left w:val="single" w:sz="6" w:space="0" w:color="000000"/>
              <w:bottom w:val="single" w:sz="6" w:space="0" w:color="000000"/>
              <w:right w:val="single" w:sz="6" w:space="0" w:color="000000"/>
            </w:tcBorders>
          </w:tcPr>
          <w:p w14:paraId="16B1AED1" w14:textId="77777777" w:rsidR="00284634" w:rsidRPr="007821D0" w:rsidRDefault="00313D4B" w:rsidP="007821D0">
            <w:pPr>
              <w:spacing w:after="0" w:line="240" w:lineRule="auto"/>
              <w:ind w:left="15" w:firstLine="0"/>
              <w:jc w:val="center"/>
              <w:rPr>
                <w:lang w:val="sr-Latn-ME"/>
              </w:rPr>
            </w:pPr>
            <w:r w:rsidRPr="007821D0">
              <w:rPr>
                <w:lang w:val="sr-Latn-ME"/>
              </w:rPr>
              <w:t>Kombinacija</w:t>
            </w:r>
          </w:p>
        </w:tc>
        <w:tc>
          <w:tcPr>
            <w:tcW w:w="1200" w:type="dxa"/>
            <w:tcBorders>
              <w:top w:val="single" w:sz="6" w:space="0" w:color="000000"/>
              <w:left w:val="single" w:sz="6" w:space="0" w:color="000000"/>
              <w:bottom w:val="single" w:sz="6" w:space="0" w:color="000000"/>
              <w:right w:val="single" w:sz="6" w:space="0" w:color="000000"/>
            </w:tcBorders>
          </w:tcPr>
          <w:p w14:paraId="398C46AE" w14:textId="77777777" w:rsidR="00284634" w:rsidRPr="007821D0" w:rsidRDefault="00313D4B" w:rsidP="007821D0">
            <w:pPr>
              <w:spacing w:after="0" w:line="240" w:lineRule="auto"/>
              <w:ind w:left="134" w:firstLine="0"/>
              <w:rPr>
                <w:lang w:val="sr-Latn-ME"/>
              </w:rPr>
            </w:pPr>
            <w:r w:rsidRPr="007821D0">
              <w:rPr>
                <w:lang w:val="sr-Latn-ME"/>
              </w:rPr>
              <w:t>Dutasterid</w:t>
            </w:r>
          </w:p>
        </w:tc>
        <w:tc>
          <w:tcPr>
            <w:tcW w:w="1219" w:type="dxa"/>
            <w:tcBorders>
              <w:top w:val="single" w:sz="6" w:space="0" w:color="000000"/>
              <w:left w:val="single" w:sz="6" w:space="0" w:color="000000"/>
              <w:bottom w:val="single" w:sz="6" w:space="0" w:color="000000"/>
              <w:right w:val="single" w:sz="6" w:space="0" w:color="000000"/>
            </w:tcBorders>
          </w:tcPr>
          <w:p w14:paraId="55804CA0" w14:textId="77777777" w:rsidR="00284634" w:rsidRPr="007821D0" w:rsidRDefault="00313D4B" w:rsidP="007821D0">
            <w:pPr>
              <w:spacing w:after="0" w:line="240" w:lineRule="auto"/>
              <w:ind w:left="86" w:firstLine="0"/>
              <w:jc w:val="both"/>
              <w:rPr>
                <w:lang w:val="sr-Latn-ME"/>
              </w:rPr>
            </w:pPr>
            <w:r w:rsidRPr="007821D0">
              <w:rPr>
                <w:lang w:val="sr-Latn-ME"/>
              </w:rPr>
              <w:t>Tamsulosin</w:t>
            </w:r>
          </w:p>
        </w:tc>
      </w:tr>
      <w:tr w:rsidR="00284634" w:rsidRPr="007821D0" w14:paraId="16336B06" w14:textId="77777777">
        <w:trPr>
          <w:trHeight w:val="518"/>
        </w:trPr>
        <w:tc>
          <w:tcPr>
            <w:tcW w:w="2054" w:type="dxa"/>
            <w:tcBorders>
              <w:top w:val="single" w:sz="6" w:space="0" w:color="000000"/>
              <w:left w:val="single" w:sz="6" w:space="0" w:color="000000"/>
              <w:bottom w:val="single" w:sz="6" w:space="0" w:color="000000"/>
              <w:right w:val="single" w:sz="6" w:space="0" w:color="000000"/>
            </w:tcBorders>
          </w:tcPr>
          <w:p w14:paraId="7E96730F" w14:textId="77777777" w:rsidR="00284634" w:rsidRPr="007821D0" w:rsidRDefault="00313D4B" w:rsidP="007821D0">
            <w:pPr>
              <w:spacing w:after="0" w:line="240" w:lineRule="auto"/>
              <w:ind w:left="0" w:firstLine="0"/>
              <w:jc w:val="both"/>
              <w:rPr>
                <w:lang w:val="sr-Latn-ME"/>
              </w:rPr>
            </w:pPr>
            <w:r w:rsidRPr="007821D0">
              <w:rPr>
                <w:lang w:val="sr-Latn-ME"/>
              </w:rPr>
              <w:t>AUR ili operacija u vezi sa BHP (%)</w:t>
            </w:r>
          </w:p>
        </w:tc>
        <w:tc>
          <w:tcPr>
            <w:tcW w:w="3624" w:type="dxa"/>
            <w:tcBorders>
              <w:top w:val="single" w:sz="6" w:space="0" w:color="000000"/>
              <w:left w:val="single" w:sz="6" w:space="0" w:color="000000"/>
              <w:bottom w:val="single" w:sz="6" w:space="0" w:color="000000"/>
              <w:right w:val="single" w:sz="6" w:space="0" w:color="000000"/>
            </w:tcBorders>
            <w:vAlign w:val="center"/>
          </w:tcPr>
          <w:p w14:paraId="6CC910C4" w14:textId="299D12A9" w:rsidR="00284634" w:rsidRPr="007821D0" w:rsidRDefault="00313D4B" w:rsidP="007821D0">
            <w:pPr>
              <w:spacing w:after="0" w:line="240" w:lineRule="auto"/>
              <w:ind w:left="0" w:firstLine="0"/>
              <w:rPr>
                <w:lang w:val="sr-Latn-ME"/>
              </w:rPr>
            </w:pPr>
            <w:r w:rsidRPr="007821D0">
              <w:rPr>
                <w:lang w:val="sr-Latn-ME"/>
              </w:rPr>
              <w:t>Incidenca u 48. m</w:t>
            </w:r>
            <w:r w:rsidR="00C8214B" w:rsidRPr="007821D0">
              <w:rPr>
                <w:lang w:val="sr-Latn-ME"/>
              </w:rPr>
              <w:t>j</w:t>
            </w:r>
            <w:r w:rsidRPr="007821D0">
              <w:rPr>
                <w:lang w:val="sr-Latn-ME"/>
              </w:rPr>
              <w:t>esecu</w:t>
            </w:r>
          </w:p>
        </w:tc>
        <w:tc>
          <w:tcPr>
            <w:tcW w:w="1560" w:type="dxa"/>
            <w:tcBorders>
              <w:top w:val="single" w:sz="6" w:space="0" w:color="000000"/>
              <w:left w:val="single" w:sz="6" w:space="0" w:color="000000"/>
              <w:bottom w:val="single" w:sz="6" w:space="0" w:color="000000"/>
              <w:right w:val="single" w:sz="6" w:space="0" w:color="000000"/>
            </w:tcBorders>
            <w:vAlign w:val="center"/>
          </w:tcPr>
          <w:p w14:paraId="78951507" w14:textId="77777777" w:rsidR="00284634" w:rsidRPr="007821D0" w:rsidRDefault="00313D4B" w:rsidP="007821D0">
            <w:pPr>
              <w:spacing w:after="0" w:line="240" w:lineRule="auto"/>
              <w:ind w:left="27" w:firstLine="0"/>
              <w:jc w:val="center"/>
              <w:rPr>
                <w:lang w:val="sr-Latn-ME"/>
              </w:rPr>
            </w:pPr>
            <w:r w:rsidRPr="007821D0">
              <w:rPr>
                <w:lang w:val="sr-Latn-ME"/>
              </w:rPr>
              <w:t>4,2</w:t>
            </w:r>
          </w:p>
        </w:tc>
        <w:tc>
          <w:tcPr>
            <w:tcW w:w="1200" w:type="dxa"/>
            <w:tcBorders>
              <w:top w:val="single" w:sz="6" w:space="0" w:color="000000"/>
              <w:left w:val="single" w:sz="6" w:space="0" w:color="000000"/>
              <w:bottom w:val="single" w:sz="6" w:space="0" w:color="000000"/>
              <w:right w:val="single" w:sz="6" w:space="0" w:color="000000"/>
            </w:tcBorders>
            <w:vAlign w:val="center"/>
          </w:tcPr>
          <w:p w14:paraId="0A54A80E" w14:textId="77777777" w:rsidR="00284634" w:rsidRPr="007821D0" w:rsidRDefault="00313D4B" w:rsidP="007821D0">
            <w:pPr>
              <w:spacing w:after="0" w:line="240" w:lineRule="auto"/>
              <w:ind w:left="32" w:firstLine="0"/>
              <w:jc w:val="center"/>
              <w:rPr>
                <w:lang w:val="sr-Latn-ME"/>
              </w:rPr>
            </w:pPr>
            <w:r w:rsidRPr="007821D0">
              <w:rPr>
                <w:lang w:val="sr-Latn-ME"/>
              </w:rPr>
              <w:t>5,2</w:t>
            </w:r>
          </w:p>
        </w:tc>
        <w:tc>
          <w:tcPr>
            <w:tcW w:w="1219" w:type="dxa"/>
            <w:tcBorders>
              <w:top w:val="single" w:sz="6" w:space="0" w:color="000000"/>
              <w:left w:val="single" w:sz="6" w:space="0" w:color="000000"/>
              <w:bottom w:val="single" w:sz="6" w:space="0" w:color="000000"/>
              <w:right w:val="single" w:sz="6" w:space="0" w:color="000000"/>
            </w:tcBorders>
            <w:vAlign w:val="center"/>
          </w:tcPr>
          <w:p w14:paraId="6CBFD3F6" w14:textId="77777777" w:rsidR="00284634" w:rsidRPr="007821D0" w:rsidRDefault="00313D4B" w:rsidP="007821D0">
            <w:pPr>
              <w:spacing w:after="0" w:line="240" w:lineRule="auto"/>
              <w:ind w:left="21" w:firstLine="0"/>
              <w:jc w:val="center"/>
              <w:rPr>
                <w:lang w:val="sr-Latn-ME"/>
              </w:rPr>
            </w:pPr>
            <w:r w:rsidRPr="007821D0">
              <w:rPr>
                <w:lang w:val="sr-Latn-ME"/>
              </w:rPr>
              <w:t>11,9</w:t>
            </w:r>
            <w:r w:rsidRPr="007821D0">
              <w:rPr>
                <w:vertAlign w:val="superscript"/>
                <w:lang w:val="sr-Latn-ME"/>
              </w:rPr>
              <w:t>a</w:t>
            </w:r>
          </w:p>
        </w:tc>
      </w:tr>
      <w:tr w:rsidR="00284634" w:rsidRPr="007821D0" w14:paraId="08942BA6" w14:textId="77777777">
        <w:trPr>
          <w:trHeight w:val="523"/>
        </w:trPr>
        <w:tc>
          <w:tcPr>
            <w:tcW w:w="2054" w:type="dxa"/>
            <w:tcBorders>
              <w:top w:val="single" w:sz="6" w:space="0" w:color="000000"/>
              <w:left w:val="single" w:sz="6" w:space="0" w:color="000000"/>
              <w:bottom w:val="single" w:sz="6" w:space="0" w:color="000000"/>
              <w:right w:val="single" w:sz="6" w:space="0" w:color="000000"/>
            </w:tcBorders>
          </w:tcPr>
          <w:p w14:paraId="4D9D72F6" w14:textId="77777777" w:rsidR="00284634" w:rsidRPr="007821D0" w:rsidRDefault="00313D4B" w:rsidP="007821D0">
            <w:pPr>
              <w:spacing w:after="0" w:line="240" w:lineRule="auto"/>
              <w:ind w:left="0" w:firstLine="0"/>
              <w:rPr>
                <w:lang w:val="sr-Latn-ME"/>
              </w:rPr>
            </w:pPr>
            <w:r w:rsidRPr="007821D0">
              <w:rPr>
                <w:lang w:val="sr-Latn-ME"/>
              </w:rPr>
              <w:t>Klinička progresija* (%)</w:t>
            </w:r>
          </w:p>
        </w:tc>
        <w:tc>
          <w:tcPr>
            <w:tcW w:w="3624" w:type="dxa"/>
            <w:tcBorders>
              <w:top w:val="single" w:sz="6" w:space="0" w:color="000000"/>
              <w:left w:val="single" w:sz="6" w:space="0" w:color="000000"/>
              <w:bottom w:val="single" w:sz="6" w:space="0" w:color="000000"/>
              <w:right w:val="single" w:sz="6" w:space="0" w:color="000000"/>
            </w:tcBorders>
            <w:vAlign w:val="center"/>
          </w:tcPr>
          <w:p w14:paraId="2C502089" w14:textId="5D428DB3" w:rsidR="00284634" w:rsidRPr="007821D0" w:rsidRDefault="00313D4B" w:rsidP="007821D0">
            <w:pPr>
              <w:spacing w:after="0" w:line="240" w:lineRule="auto"/>
              <w:ind w:left="0" w:firstLine="0"/>
              <w:rPr>
                <w:lang w:val="sr-Latn-ME"/>
              </w:rPr>
            </w:pPr>
            <w:r w:rsidRPr="007821D0">
              <w:rPr>
                <w:lang w:val="sr-Latn-ME"/>
              </w:rPr>
              <w:t>48. m</w:t>
            </w:r>
            <w:r w:rsidR="00C8214B" w:rsidRPr="007821D0">
              <w:rPr>
                <w:lang w:val="sr-Latn-ME"/>
              </w:rPr>
              <w:t>j</w:t>
            </w:r>
            <w:r w:rsidRPr="007821D0">
              <w:rPr>
                <w:lang w:val="sr-Latn-ME"/>
              </w:rPr>
              <w:t>esec</w:t>
            </w:r>
          </w:p>
        </w:tc>
        <w:tc>
          <w:tcPr>
            <w:tcW w:w="1560" w:type="dxa"/>
            <w:tcBorders>
              <w:top w:val="single" w:sz="6" w:space="0" w:color="000000"/>
              <w:left w:val="single" w:sz="6" w:space="0" w:color="000000"/>
              <w:bottom w:val="single" w:sz="6" w:space="0" w:color="000000"/>
              <w:right w:val="single" w:sz="6" w:space="0" w:color="000000"/>
            </w:tcBorders>
            <w:vAlign w:val="center"/>
          </w:tcPr>
          <w:p w14:paraId="18FCE118" w14:textId="77777777" w:rsidR="00284634" w:rsidRPr="007821D0" w:rsidRDefault="00313D4B" w:rsidP="007821D0">
            <w:pPr>
              <w:spacing w:after="0" w:line="240" w:lineRule="auto"/>
              <w:ind w:left="32" w:firstLine="0"/>
              <w:jc w:val="center"/>
              <w:rPr>
                <w:lang w:val="sr-Latn-ME"/>
              </w:rPr>
            </w:pPr>
            <w:r w:rsidRPr="007821D0">
              <w:rPr>
                <w:lang w:val="sr-Latn-ME"/>
              </w:rPr>
              <w:t>12,6</w:t>
            </w:r>
          </w:p>
        </w:tc>
        <w:tc>
          <w:tcPr>
            <w:tcW w:w="1200" w:type="dxa"/>
            <w:tcBorders>
              <w:top w:val="single" w:sz="6" w:space="0" w:color="000000"/>
              <w:left w:val="single" w:sz="6" w:space="0" w:color="000000"/>
              <w:bottom w:val="single" w:sz="6" w:space="0" w:color="000000"/>
              <w:right w:val="single" w:sz="6" w:space="0" w:color="000000"/>
            </w:tcBorders>
            <w:vAlign w:val="center"/>
          </w:tcPr>
          <w:p w14:paraId="38540779" w14:textId="77777777" w:rsidR="00284634" w:rsidRPr="007821D0" w:rsidRDefault="00313D4B" w:rsidP="007821D0">
            <w:pPr>
              <w:spacing w:after="0" w:line="240" w:lineRule="auto"/>
              <w:ind w:left="29" w:firstLine="0"/>
              <w:jc w:val="center"/>
              <w:rPr>
                <w:lang w:val="sr-Latn-ME"/>
              </w:rPr>
            </w:pPr>
            <w:r w:rsidRPr="007821D0">
              <w:rPr>
                <w:lang w:val="sr-Latn-ME"/>
              </w:rPr>
              <w:t>17,8</w:t>
            </w:r>
            <w:r w:rsidRPr="007821D0">
              <w:rPr>
                <w:vertAlign w:val="superscript"/>
                <w:lang w:val="sr-Latn-ME"/>
              </w:rPr>
              <w:t>b</w:t>
            </w:r>
          </w:p>
        </w:tc>
        <w:tc>
          <w:tcPr>
            <w:tcW w:w="1219" w:type="dxa"/>
            <w:tcBorders>
              <w:top w:val="single" w:sz="6" w:space="0" w:color="000000"/>
              <w:left w:val="single" w:sz="6" w:space="0" w:color="000000"/>
              <w:bottom w:val="single" w:sz="6" w:space="0" w:color="000000"/>
              <w:right w:val="single" w:sz="6" w:space="0" w:color="000000"/>
            </w:tcBorders>
            <w:vAlign w:val="center"/>
          </w:tcPr>
          <w:p w14:paraId="0AAF77D0" w14:textId="77777777" w:rsidR="00284634" w:rsidRPr="007821D0" w:rsidRDefault="00313D4B" w:rsidP="007821D0">
            <w:pPr>
              <w:spacing w:after="0" w:line="240" w:lineRule="auto"/>
              <w:ind w:left="21" w:firstLine="0"/>
              <w:jc w:val="center"/>
              <w:rPr>
                <w:lang w:val="sr-Latn-ME"/>
              </w:rPr>
            </w:pPr>
            <w:r w:rsidRPr="007821D0">
              <w:rPr>
                <w:lang w:val="sr-Latn-ME"/>
              </w:rPr>
              <w:t>21,5</w:t>
            </w:r>
            <w:r w:rsidRPr="007821D0">
              <w:rPr>
                <w:vertAlign w:val="superscript"/>
                <w:lang w:val="sr-Latn-ME"/>
              </w:rPr>
              <w:t>a</w:t>
            </w:r>
          </w:p>
        </w:tc>
      </w:tr>
      <w:tr w:rsidR="00284634" w:rsidRPr="007821D0" w14:paraId="48832328" w14:textId="77777777">
        <w:trPr>
          <w:trHeight w:val="773"/>
        </w:trPr>
        <w:tc>
          <w:tcPr>
            <w:tcW w:w="2054" w:type="dxa"/>
            <w:tcBorders>
              <w:top w:val="single" w:sz="6" w:space="0" w:color="000000"/>
              <w:left w:val="single" w:sz="6" w:space="0" w:color="000000"/>
              <w:bottom w:val="single" w:sz="6" w:space="0" w:color="000000"/>
              <w:right w:val="single" w:sz="6" w:space="0" w:color="000000"/>
            </w:tcBorders>
          </w:tcPr>
          <w:p w14:paraId="375B44EA" w14:textId="77777777" w:rsidR="00284634" w:rsidRPr="007821D0" w:rsidRDefault="00313D4B" w:rsidP="007821D0">
            <w:pPr>
              <w:spacing w:after="0" w:line="240" w:lineRule="auto"/>
              <w:ind w:left="0" w:firstLine="0"/>
              <w:rPr>
                <w:lang w:val="sr-Latn-ME"/>
              </w:rPr>
            </w:pPr>
            <w:r w:rsidRPr="007821D0">
              <w:rPr>
                <w:lang w:val="sr-Latn-ME"/>
              </w:rPr>
              <w:t>IPSS (jedinice)</w:t>
            </w:r>
          </w:p>
        </w:tc>
        <w:tc>
          <w:tcPr>
            <w:tcW w:w="3624" w:type="dxa"/>
            <w:tcBorders>
              <w:top w:val="single" w:sz="6" w:space="0" w:color="000000"/>
              <w:left w:val="single" w:sz="6" w:space="0" w:color="000000"/>
              <w:bottom w:val="single" w:sz="6" w:space="0" w:color="000000"/>
              <w:right w:val="single" w:sz="6" w:space="0" w:color="000000"/>
            </w:tcBorders>
          </w:tcPr>
          <w:p w14:paraId="436F9508" w14:textId="3EF3D8C9" w:rsidR="00284634" w:rsidRPr="007821D0" w:rsidRDefault="00313D4B" w:rsidP="007821D0">
            <w:pPr>
              <w:spacing w:after="0" w:line="240" w:lineRule="auto"/>
              <w:ind w:left="0" w:firstLine="0"/>
              <w:rPr>
                <w:lang w:val="sr-Latn-ME"/>
              </w:rPr>
            </w:pPr>
            <w:r w:rsidRPr="007821D0">
              <w:rPr>
                <w:lang w:val="sr-Latn-ME"/>
              </w:rPr>
              <w:t xml:space="preserve">[početna </w:t>
            </w:r>
            <w:r w:rsidR="000A2950" w:rsidRPr="007821D0">
              <w:rPr>
                <w:lang w:val="sr-Latn-ME"/>
              </w:rPr>
              <w:t>vrijednost</w:t>
            </w:r>
            <w:r w:rsidRPr="007821D0">
              <w:rPr>
                <w:lang w:val="sr-Latn-ME"/>
              </w:rPr>
              <w:t>]</w:t>
            </w:r>
          </w:p>
          <w:p w14:paraId="2AB52D72" w14:textId="451D55D0" w:rsidR="00284634" w:rsidRPr="007821D0" w:rsidRDefault="00313D4B" w:rsidP="007821D0">
            <w:pPr>
              <w:spacing w:after="0" w:line="240" w:lineRule="auto"/>
              <w:ind w:left="0" w:firstLine="0"/>
              <w:rPr>
                <w:lang w:val="sr-Latn-ME"/>
              </w:rPr>
            </w:pPr>
            <w:r w:rsidRPr="007821D0">
              <w:rPr>
                <w:lang w:val="sr-Latn-ME"/>
              </w:rPr>
              <w:t>48. m</w:t>
            </w:r>
            <w:r w:rsidR="00C8214B" w:rsidRPr="007821D0">
              <w:rPr>
                <w:lang w:val="sr-Latn-ME"/>
              </w:rPr>
              <w:t>j</w:t>
            </w:r>
            <w:r w:rsidRPr="007821D0">
              <w:rPr>
                <w:lang w:val="sr-Latn-ME"/>
              </w:rPr>
              <w:t>esec (</w:t>
            </w:r>
            <w:r w:rsidR="000A2950" w:rsidRPr="007821D0">
              <w:rPr>
                <w:lang w:val="sr-Latn-ME"/>
              </w:rPr>
              <w:t>promjena</w:t>
            </w:r>
            <w:r w:rsidRPr="007821D0">
              <w:rPr>
                <w:lang w:val="sr-Latn-ME"/>
              </w:rPr>
              <w:t xml:space="preserve"> u odnosu na početnu </w:t>
            </w:r>
            <w:r w:rsidR="000A2950" w:rsidRPr="007821D0">
              <w:rPr>
                <w:lang w:val="sr-Latn-ME"/>
              </w:rPr>
              <w:t>vrijednost</w:t>
            </w:r>
            <w:r w:rsidRPr="007821D0">
              <w:rPr>
                <w:lang w:val="sr-Latn-ME"/>
              </w:rPr>
              <w:t>)</w:t>
            </w:r>
          </w:p>
        </w:tc>
        <w:tc>
          <w:tcPr>
            <w:tcW w:w="1560" w:type="dxa"/>
            <w:tcBorders>
              <w:top w:val="single" w:sz="6" w:space="0" w:color="000000"/>
              <w:left w:val="single" w:sz="6" w:space="0" w:color="000000"/>
              <w:bottom w:val="single" w:sz="6" w:space="0" w:color="000000"/>
              <w:right w:val="single" w:sz="6" w:space="0" w:color="000000"/>
            </w:tcBorders>
            <w:vAlign w:val="center"/>
          </w:tcPr>
          <w:p w14:paraId="74FD45ED" w14:textId="77777777" w:rsidR="00C8214B" w:rsidRPr="007821D0" w:rsidRDefault="00313D4B" w:rsidP="007821D0">
            <w:pPr>
              <w:spacing w:after="0" w:line="240" w:lineRule="auto"/>
              <w:ind w:left="329" w:right="305" w:firstLine="0"/>
              <w:jc w:val="center"/>
              <w:rPr>
                <w:lang w:val="sr-Latn-ME"/>
              </w:rPr>
            </w:pPr>
            <w:r w:rsidRPr="007821D0">
              <w:rPr>
                <w:lang w:val="sr-Latn-ME"/>
              </w:rPr>
              <w:t>[16,6]</w:t>
            </w:r>
          </w:p>
          <w:p w14:paraId="039D4A94" w14:textId="56602B55" w:rsidR="00284634" w:rsidRPr="007821D0" w:rsidRDefault="00C8214B" w:rsidP="007821D0">
            <w:pPr>
              <w:spacing w:after="0" w:line="240" w:lineRule="auto"/>
              <w:ind w:left="329" w:right="305" w:firstLine="0"/>
              <w:jc w:val="center"/>
              <w:rPr>
                <w:lang w:val="sr-Latn-ME"/>
              </w:rPr>
            </w:pPr>
            <w:r w:rsidRPr="007821D0">
              <w:rPr>
                <w:lang w:val="sr-Latn-ME"/>
              </w:rPr>
              <w:t>-</w:t>
            </w:r>
            <w:r w:rsidR="00313D4B" w:rsidRPr="007821D0">
              <w:rPr>
                <w:lang w:val="sr-Latn-ME"/>
              </w:rPr>
              <w:t>6,3</w:t>
            </w:r>
          </w:p>
        </w:tc>
        <w:tc>
          <w:tcPr>
            <w:tcW w:w="1200" w:type="dxa"/>
            <w:tcBorders>
              <w:top w:val="single" w:sz="6" w:space="0" w:color="000000"/>
              <w:left w:val="single" w:sz="6" w:space="0" w:color="000000"/>
              <w:bottom w:val="single" w:sz="6" w:space="0" w:color="000000"/>
              <w:right w:val="single" w:sz="6" w:space="0" w:color="000000"/>
            </w:tcBorders>
            <w:vAlign w:val="center"/>
          </w:tcPr>
          <w:p w14:paraId="0434FE2D" w14:textId="77777777" w:rsidR="00C8214B" w:rsidRPr="007821D0" w:rsidRDefault="00313D4B" w:rsidP="007821D0">
            <w:pPr>
              <w:spacing w:after="0" w:line="240" w:lineRule="auto"/>
              <w:ind w:left="116" w:right="88" w:firstLine="0"/>
              <w:jc w:val="center"/>
              <w:rPr>
                <w:lang w:val="sr-Latn-ME"/>
              </w:rPr>
            </w:pPr>
            <w:r w:rsidRPr="007821D0">
              <w:rPr>
                <w:lang w:val="sr-Latn-ME"/>
              </w:rPr>
              <w:t>[16,4]</w:t>
            </w:r>
          </w:p>
          <w:p w14:paraId="4442D347" w14:textId="426B3066" w:rsidR="00284634" w:rsidRPr="007821D0" w:rsidRDefault="00C8214B" w:rsidP="007821D0">
            <w:pPr>
              <w:spacing w:after="0" w:line="240" w:lineRule="auto"/>
              <w:ind w:left="116" w:right="88" w:firstLine="0"/>
              <w:jc w:val="center"/>
              <w:rPr>
                <w:lang w:val="sr-Latn-ME"/>
              </w:rPr>
            </w:pPr>
            <w:r w:rsidRPr="007821D0">
              <w:rPr>
                <w:lang w:val="sr-Latn-ME"/>
              </w:rPr>
              <w:t>-</w:t>
            </w:r>
            <w:r w:rsidR="00313D4B" w:rsidRPr="007821D0">
              <w:rPr>
                <w:lang w:val="sr-Latn-ME"/>
              </w:rPr>
              <w:t>5,3</w:t>
            </w:r>
            <w:r w:rsidR="00313D4B" w:rsidRPr="007821D0">
              <w:rPr>
                <w:vertAlign w:val="superscript"/>
                <w:lang w:val="sr-Latn-ME"/>
              </w:rPr>
              <w:t>b</w:t>
            </w:r>
          </w:p>
        </w:tc>
        <w:tc>
          <w:tcPr>
            <w:tcW w:w="1219" w:type="dxa"/>
            <w:tcBorders>
              <w:top w:val="single" w:sz="6" w:space="0" w:color="000000"/>
              <w:left w:val="single" w:sz="6" w:space="0" w:color="000000"/>
              <w:bottom w:val="single" w:sz="6" w:space="0" w:color="000000"/>
              <w:right w:val="single" w:sz="6" w:space="0" w:color="000000"/>
            </w:tcBorders>
            <w:vAlign w:val="center"/>
          </w:tcPr>
          <w:p w14:paraId="5B9348CF" w14:textId="77777777" w:rsidR="00C8214B" w:rsidRPr="007821D0" w:rsidRDefault="00313D4B" w:rsidP="007821D0">
            <w:pPr>
              <w:spacing w:after="0" w:line="240" w:lineRule="auto"/>
              <w:ind w:left="125" w:right="107" w:firstLine="0"/>
              <w:jc w:val="center"/>
              <w:rPr>
                <w:lang w:val="sr-Latn-ME"/>
              </w:rPr>
            </w:pPr>
            <w:r w:rsidRPr="007821D0">
              <w:rPr>
                <w:lang w:val="sr-Latn-ME"/>
              </w:rPr>
              <w:t>[16,4]</w:t>
            </w:r>
          </w:p>
          <w:p w14:paraId="52B01785" w14:textId="252C8EB3" w:rsidR="00284634" w:rsidRPr="007821D0" w:rsidRDefault="00C8214B" w:rsidP="007821D0">
            <w:pPr>
              <w:spacing w:after="0" w:line="240" w:lineRule="auto"/>
              <w:ind w:left="125" w:right="107" w:firstLine="0"/>
              <w:jc w:val="center"/>
              <w:rPr>
                <w:lang w:val="sr-Latn-ME"/>
              </w:rPr>
            </w:pPr>
            <w:r w:rsidRPr="007821D0">
              <w:rPr>
                <w:lang w:val="sr-Latn-ME"/>
              </w:rPr>
              <w:t>-</w:t>
            </w:r>
            <w:r w:rsidR="00313D4B" w:rsidRPr="007821D0">
              <w:rPr>
                <w:lang w:val="sr-Latn-ME"/>
              </w:rPr>
              <w:t>3,8</w:t>
            </w:r>
            <w:r w:rsidR="00313D4B" w:rsidRPr="007821D0">
              <w:rPr>
                <w:vertAlign w:val="superscript"/>
                <w:lang w:val="sr-Latn-ME"/>
              </w:rPr>
              <w:t>a</w:t>
            </w:r>
          </w:p>
        </w:tc>
      </w:tr>
      <w:tr w:rsidR="00284634" w:rsidRPr="007821D0" w14:paraId="408B67B0" w14:textId="77777777">
        <w:trPr>
          <w:trHeight w:val="773"/>
        </w:trPr>
        <w:tc>
          <w:tcPr>
            <w:tcW w:w="2054" w:type="dxa"/>
            <w:tcBorders>
              <w:top w:val="single" w:sz="6" w:space="0" w:color="000000"/>
              <w:left w:val="single" w:sz="6" w:space="0" w:color="000000"/>
              <w:bottom w:val="single" w:sz="6" w:space="0" w:color="000000"/>
              <w:right w:val="single" w:sz="6" w:space="0" w:color="000000"/>
            </w:tcBorders>
          </w:tcPr>
          <w:p w14:paraId="69E88733" w14:textId="77777777" w:rsidR="00284634" w:rsidRPr="007821D0" w:rsidRDefault="00313D4B" w:rsidP="007821D0">
            <w:pPr>
              <w:spacing w:after="0" w:line="240" w:lineRule="auto"/>
              <w:ind w:left="0" w:firstLine="0"/>
              <w:rPr>
                <w:lang w:val="sr-Latn-ME"/>
              </w:rPr>
            </w:pPr>
            <w:r w:rsidRPr="007821D0">
              <w:rPr>
                <w:lang w:val="sr-Latn-ME"/>
              </w:rPr>
              <w:t>Qmax (mL/s)</w:t>
            </w:r>
          </w:p>
        </w:tc>
        <w:tc>
          <w:tcPr>
            <w:tcW w:w="3624" w:type="dxa"/>
            <w:tcBorders>
              <w:top w:val="single" w:sz="6" w:space="0" w:color="000000"/>
              <w:left w:val="single" w:sz="6" w:space="0" w:color="000000"/>
              <w:bottom w:val="single" w:sz="6" w:space="0" w:color="000000"/>
              <w:right w:val="single" w:sz="6" w:space="0" w:color="000000"/>
            </w:tcBorders>
          </w:tcPr>
          <w:p w14:paraId="1897AF48" w14:textId="5A075737" w:rsidR="00284634" w:rsidRPr="007821D0" w:rsidRDefault="00313D4B" w:rsidP="007821D0">
            <w:pPr>
              <w:spacing w:after="0" w:line="240" w:lineRule="auto"/>
              <w:ind w:left="0" w:firstLine="0"/>
              <w:rPr>
                <w:lang w:val="sr-Latn-ME"/>
              </w:rPr>
            </w:pPr>
            <w:r w:rsidRPr="007821D0">
              <w:rPr>
                <w:lang w:val="sr-Latn-ME"/>
              </w:rPr>
              <w:t xml:space="preserve">[početna </w:t>
            </w:r>
            <w:r w:rsidR="000A2950" w:rsidRPr="007821D0">
              <w:rPr>
                <w:lang w:val="sr-Latn-ME"/>
              </w:rPr>
              <w:t>vrijednost</w:t>
            </w:r>
            <w:r w:rsidRPr="007821D0">
              <w:rPr>
                <w:lang w:val="sr-Latn-ME"/>
              </w:rPr>
              <w:t>]</w:t>
            </w:r>
          </w:p>
          <w:p w14:paraId="0E2C2B62" w14:textId="0B7088FB" w:rsidR="00284634" w:rsidRPr="007821D0" w:rsidRDefault="00313D4B" w:rsidP="007821D0">
            <w:pPr>
              <w:spacing w:after="0" w:line="240" w:lineRule="auto"/>
              <w:ind w:left="0" w:firstLine="58"/>
              <w:rPr>
                <w:lang w:val="sr-Latn-ME"/>
              </w:rPr>
            </w:pPr>
            <w:r w:rsidRPr="007821D0">
              <w:rPr>
                <w:lang w:val="sr-Latn-ME"/>
              </w:rPr>
              <w:t>48. m</w:t>
            </w:r>
            <w:r w:rsidR="00C8214B" w:rsidRPr="007821D0">
              <w:rPr>
                <w:lang w:val="sr-Latn-ME"/>
              </w:rPr>
              <w:t>j</w:t>
            </w:r>
            <w:r w:rsidRPr="007821D0">
              <w:rPr>
                <w:lang w:val="sr-Latn-ME"/>
              </w:rPr>
              <w:t>esec (</w:t>
            </w:r>
            <w:r w:rsidR="000A2950" w:rsidRPr="007821D0">
              <w:rPr>
                <w:lang w:val="sr-Latn-ME"/>
              </w:rPr>
              <w:t>promjena</w:t>
            </w:r>
            <w:r w:rsidRPr="007821D0">
              <w:rPr>
                <w:lang w:val="sr-Latn-ME"/>
              </w:rPr>
              <w:t xml:space="preserve"> u odnosu na početnu </w:t>
            </w:r>
            <w:r w:rsidR="000A2950" w:rsidRPr="007821D0">
              <w:rPr>
                <w:lang w:val="sr-Latn-ME"/>
              </w:rPr>
              <w:t>vrijednost</w:t>
            </w:r>
            <w:r w:rsidRPr="007821D0">
              <w:rPr>
                <w:lang w:val="sr-Latn-ME"/>
              </w:rPr>
              <w:t>)</w:t>
            </w:r>
          </w:p>
        </w:tc>
        <w:tc>
          <w:tcPr>
            <w:tcW w:w="1560" w:type="dxa"/>
            <w:tcBorders>
              <w:top w:val="single" w:sz="6" w:space="0" w:color="000000"/>
              <w:left w:val="single" w:sz="6" w:space="0" w:color="000000"/>
              <w:bottom w:val="single" w:sz="6" w:space="0" w:color="000000"/>
              <w:right w:val="single" w:sz="6" w:space="0" w:color="000000"/>
            </w:tcBorders>
            <w:vAlign w:val="center"/>
          </w:tcPr>
          <w:p w14:paraId="4F891A5A" w14:textId="77777777" w:rsidR="00284634" w:rsidRPr="007821D0" w:rsidRDefault="00313D4B" w:rsidP="007821D0">
            <w:pPr>
              <w:spacing w:after="0" w:line="240" w:lineRule="auto"/>
              <w:ind w:left="365" w:right="341" w:firstLine="0"/>
              <w:jc w:val="center"/>
              <w:rPr>
                <w:lang w:val="sr-Latn-ME"/>
              </w:rPr>
            </w:pPr>
            <w:r w:rsidRPr="007821D0">
              <w:rPr>
                <w:lang w:val="sr-Latn-ME"/>
              </w:rPr>
              <w:t>[10,9] 2,4</w:t>
            </w:r>
          </w:p>
        </w:tc>
        <w:tc>
          <w:tcPr>
            <w:tcW w:w="1200" w:type="dxa"/>
            <w:tcBorders>
              <w:top w:val="single" w:sz="6" w:space="0" w:color="000000"/>
              <w:left w:val="single" w:sz="6" w:space="0" w:color="000000"/>
              <w:bottom w:val="single" w:sz="6" w:space="0" w:color="000000"/>
              <w:right w:val="single" w:sz="6" w:space="0" w:color="000000"/>
            </w:tcBorders>
            <w:vAlign w:val="center"/>
          </w:tcPr>
          <w:p w14:paraId="59C4E109" w14:textId="77777777" w:rsidR="00284634" w:rsidRPr="007821D0" w:rsidRDefault="00313D4B" w:rsidP="007821D0">
            <w:pPr>
              <w:spacing w:after="0" w:line="240" w:lineRule="auto"/>
              <w:ind w:left="187" w:right="159" w:firstLine="0"/>
              <w:jc w:val="center"/>
              <w:rPr>
                <w:lang w:val="sr-Latn-ME"/>
              </w:rPr>
            </w:pPr>
            <w:r w:rsidRPr="007821D0">
              <w:rPr>
                <w:lang w:val="sr-Latn-ME"/>
              </w:rPr>
              <w:t>[10,6] 2,0</w:t>
            </w:r>
          </w:p>
        </w:tc>
        <w:tc>
          <w:tcPr>
            <w:tcW w:w="1219" w:type="dxa"/>
            <w:tcBorders>
              <w:top w:val="single" w:sz="6" w:space="0" w:color="000000"/>
              <w:left w:val="single" w:sz="6" w:space="0" w:color="000000"/>
              <w:bottom w:val="single" w:sz="6" w:space="0" w:color="000000"/>
              <w:right w:val="single" w:sz="6" w:space="0" w:color="000000"/>
            </w:tcBorders>
            <w:vAlign w:val="center"/>
          </w:tcPr>
          <w:p w14:paraId="70F9F726" w14:textId="77777777" w:rsidR="00284634" w:rsidRPr="007821D0" w:rsidRDefault="00313D4B" w:rsidP="007821D0">
            <w:pPr>
              <w:spacing w:after="0" w:line="240" w:lineRule="auto"/>
              <w:ind w:left="161" w:right="143" w:firstLine="0"/>
              <w:jc w:val="center"/>
              <w:rPr>
                <w:lang w:val="sr-Latn-ME"/>
              </w:rPr>
            </w:pPr>
            <w:r w:rsidRPr="007821D0">
              <w:rPr>
                <w:lang w:val="sr-Latn-ME"/>
              </w:rPr>
              <w:t>[10,7] 0,7</w:t>
            </w:r>
            <w:r w:rsidRPr="007821D0">
              <w:rPr>
                <w:vertAlign w:val="superscript"/>
                <w:lang w:val="sr-Latn-ME"/>
              </w:rPr>
              <w:t>a</w:t>
            </w:r>
          </w:p>
        </w:tc>
      </w:tr>
      <w:tr w:rsidR="00284634" w:rsidRPr="007821D0" w14:paraId="2DAAC708" w14:textId="77777777">
        <w:trPr>
          <w:trHeight w:val="778"/>
        </w:trPr>
        <w:tc>
          <w:tcPr>
            <w:tcW w:w="2054" w:type="dxa"/>
            <w:tcBorders>
              <w:top w:val="single" w:sz="6" w:space="0" w:color="000000"/>
              <w:left w:val="single" w:sz="6" w:space="0" w:color="000000"/>
              <w:bottom w:val="single" w:sz="6" w:space="0" w:color="000000"/>
              <w:right w:val="single" w:sz="6" w:space="0" w:color="000000"/>
            </w:tcBorders>
          </w:tcPr>
          <w:p w14:paraId="3F15A095" w14:textId="77777777" w:rsidR="00284634" w:rsidRPr="007821D0" w:rsidRDefault="00313D4B" w:rsidP="007821D0">
            <w:pPr>
              <w:spacing w:after="0" w:line="240" w:lineRule="auto"/>
              <w:ind w:left="0" w:firstLine="0"/>
              <w:jc w:val="both"/>
              <w:rPr>
                <w:lang w:val="sr-Latn-ME"/>
              </w:rPr>
            </w:pPr>
            <w:r w:rsidRPr="007821D0">
              <w:rPr>
                <w:lang w:val="sr-Latn-ME"/>
              </w:rPr>
              <w:t>Veličina prostate (mL)</w:t>
            </w:r>
          </w:p>
        </w:tc>
        <w:tc>
          <w:tcPr>
            <w:tcW w:w="3624" w:type="dxa"/>
            <w:tcBorders>
              <w:top w:val="single" w:sz="6" w:space="0" w:color="000000"/>
              <w:left w:val="single" w:sz="6" w:space="0" w:color="000000"/>
              <w:bottom w:val="single" w:sz="6" w:space="0" w:color="000000"/>
              <w:right w:val="single" w:sz="6" w:space="0" w:color="000000"/>
            </w:tcBorders>
          </w:tcPr>
          <w:p w14:paraId="3BBE3F35" w14:textId="26E8019D" w:rsidR="00284634" w:rsidRPr="007821D0" w:rsidRDefault="00313D4B" w:rsidP="007821D0">
            <w:pPr>
              <w:spacing w:after="0" w:line="240" w:lineRule="auto"/>
              <w:ind w:left="0" w:firstLine="0"/>
              <w:rPr>
                <w:lang w:val="sr-Latn-ME"/>
              </w:rPr>
            </w:pPr>
            <w:r w:rsidRPr="007821D0">
              <w:rPr>
                <w:lang w:val="sr-Latn-ME"/>
              </w:rPr>
              <w:t xml:space="preserve">[početna </w:t>
            </w:r>
            <w:r w:rsidR="000A2950" w:rsidRPr="007821D0">
              <w:rPr>
                <w:lang w:val="sr-Latn-ME"/>
              </w:rPr>
              <w:t>vrijednost</w:t>
            </w:r>
            <w:r w:rsidRPr="007821D0">
              <w:rPr>
                <w:lang w:val="sr-Latn-ME"/>
              </w:rPr>
              <w:t>]</w:t>
            </w:r>
          </w:p>
          <w:p w14:paraId="0C8BAE3F" w14:textId="07E0D4A8" w:rsidR="00284634" w:rsidRPr="007821D0" w:rsidRDefault="00313D4B" w:rsidP="007821D0">
            <w:pPr>
              <w:spacing w:after="0" w:line="240" w:lineRule="auto"/>
              <w:ind w:left="0" w:firstLine="0"/>
              <w:rPr>
                <w:lang w:val="sr-Latn-ME"/>
              </w:rPr>
            </w:pPr>
            <w:r w:rsidRPr="007821D0">
              <w:rPr>
                <w:lang w:val="sr-Latn-ME"/>
              </w:rPr>
              <w:t>48. m</w:t>
            </w:r>
            <w:r w:rsidR="00C8214B" w:rsidRPr="007821D0">
              <w:rPr>
                <w:lang w:val="sr-Latn-ME"/>
              </w:rPr>
              <w:t>j</w:t>
            </w:r>
            <w:r w:rsidRPr="007821D0">
              <w:rPr>
                <w:lang w:val="sr-Latn-ME"/>
              </w:rPr>
              <w:t>esec (</w:t>
            </w:r>
            <w:r w:rsidR="000A2950" w:rsidRPr="007821D0">
              <w:rPr>
                <w:lang w:val="sr-Latn-ME"/>
              </w:rPr>
              <w:t>promjena</w:t>
            </w:r>
            <w:r w:rsidRPr="007821D0">
              <w:rPr>
                <w:lang w:val="sr-Latn-ME"/>
              </w:rPr>
              <w:t xml:space="preserve"> u odnosu na početnu </w:t>
            </w:r>
            <w:r w:rsidR="000A2950" w:rsidRPr="007821D0">
              <w:rPr>
                <w:lang w:val="sr-Latn-ME"/>
              </w:rPr>
              <w:t>vrijednost</w:t>
            </w:r>
            <w:r w:rsidRPr="007821D0">
              <w:rPr>
                <w:lang w:val="sr-Latn-ME"/>
              </w:rPr>
              <w:t>)</w:t>
            </w:r>
          </w:p>
        </w:tc>
        <w:tc>
          <w:tcPr>
            <w:tcW w:w="1560" w:type="dxa"/>
            <w:tcBorders>
              <w:top w:val="single" w:sz="6" w:space="0" w:color="000000"/>
              <w:left w:val="single" w:sz="6" w:space="0" w:color="000000"/>
              <w:bottom w:val="single" w:sz="6" w:space="0" w:color="000000"/>
              <w:right w:val="single" w:sz="6" w:space="0" w:color="000000"/>
            </w:tcBorders>
            <w:vAlign w:val="center"/>
          </w:tcPr>
          <w:p w14:paraId="002F9C3B" w14:textId="77777777" w:rsidR="00C8214B" w:rsidRPr="007821D0" w:rsidRDefault="00313D4B" w:rsidP="007821D0">
            <w:pPr>
              <w:spacing w:after="0" w:line="240" w:lineRule="auto"/>
              <w:ind w:left="274" w:right="250" w:firstLine="0"/>
              <w:jc w:val="center"/>
              <w:rPr>
                <w:lang w:val="sr-Latn-ME"/>
              </w:rPr>
            </w:pPr>
            <w:r w:rsidRPr="007821D0">
              <w:rPr>
                <w:lang w:val="sr-Latn-ME"/>
              </w:rPr>
              <w:t>[54,7]</w:t>
            </w:r>
          </w:p>
          <w:p w14:paraId="65A86021" w14:textId="396B341B" w:rsidR="00284634" w:rsidRPr="007821D0" w:rsidRDefault="00313D4B" w:rsidP="007821D0">
            <w:pPr>
              <w:spacing w:after="0" w:line="240" w:lineRule="auto"/>
              <w:ind w:left="274" w:right="250" w:firstLine="0"/>
              <w:jc w:val="center"/>
              <w:rPr>
                <w:lang w:val="sr-Latn-ME"/>
              </w:rPr>
            </w:pPr>
            <w:r w:rsidRPr="007821D0">
              <w:rPr>
                <w:lang w:val="sr-Latn-ME"/>
              </w:rPr>
              <w:t>-27,3</w:t>
            </w:r>
          </w:p>
        </w:tc>
        <w:tc>
          <w:tcPr>
            <w:tcW w:w="1200" w:type="dxa"/>
            <w:tcBorders>
              <w:top w:val="single" w:sz="6" w:space="0" w:color="000000"/>
              <w:left w:val="single" w:sz="6" w:space="0" w:color="000000"/>
              <w:bottom w:val="single" w:sz="6" w:space="0" w:color="000000"/>
              <w:right w:val="single" w:sz="6" w:space="0" w:color="000000"/>
            </w:tcBorders>
            <w:vAlign w:val="center"/>
          </w:tcPr>
          <w:p w14:paraId="02633BC3" w14:textId="77777777" w:rsidR="00C8214B" w:rsidRPr="007821D0" w:rsidRDefault="00313D4B" w:rsidP="007821D0">
            <w:pPr>
              <w:spacing w:after="0" w:line="240" w:lineRule="auto"/>
              <w:ind w:left="96" w:right="68" w:firstLine="0"/>
              <w:jc w:val="center"/>
              <w:rPr>
                <w:lang w:val="sr-Latn-ME"/>
              </w:rPr>
            </w:pPr>
            <w:r w:rsidRPr="007821D0">
              <w:rPr>
                <w:lang w:val="sr-Latn-ME"/>
              </w:rPr>
              <w:t>[54,6]</w:t>
            </w:r>
          </w:p>
          <w:p w14:paraId="077CC981" w14:textId="60BAC9CC" w:rsidR="00284634" w:rsidRPr="007821D0" w:rsidRDefault="00313D4B" w:rsidP="007821D0">
            <w:pPr>
              <w:spacing w:after="0" w:line="240" w:lineRule="auto"/>
              <w:ind w:left="96" w:right="68" w:firstLine="0"/>
              <w:jc w:val="center"/>
              <w:rPr>
                <w:lang w:val="sr-Latn-ME"/>
              </w:rPr>
            </w:pPr>
            <w:r w:rsidRPr="007821D0">
              <w:rPr>
                <w:lang w:val="sr-Latn-ME"/>
              </w:rPr>
              <w:t>-28,0</w:t>
            </w:r>
          </w:p>
        </w:tc>
        <w:tc>
          <w:tcPr>
            <w:tcW w:w="1219" w:type="dxa"/>
            <w:tcBorders>
              <w:top w:val="single" w:sz="6" w:space="0" w:color="000000"/>
              <w:left w:val="single" w:sz="6" w:space="0" w:color="000000"/>
              <w:bottom w:val="single" w:sz="6" w:space="0" w:color="000000"/>
              <w:right w:val="single" w:sz="6" w:space="0" w:color="000000"/>
            </w:tcBorders>
            <w:vAlign w:val="center"/>
          </w:tcPr>
          <w:p w14:paraId="594B0279" w14:textId="77777777" w:rsidR="00284634" w:rsidRPr="007821D0" w:rsidRDefault="00313D4B" w:rsidP="007821D0">
            <w:pPr>
              <w:spacing w:after="0" w:line="240" w:lineRule="auto"/>
              <w:ind w:left="99" w:right="80" w:firstLine="0"/>
              <w:jc w:val="center"/>
              <w:rPr>
                <w:lang w:val="sr-Latn-ME"/>
              </w:rPr>
            </w:pPr>
            <w:r w:rsidRPr="007821D0">
              <w:rPr>
                <w:lang w:val="sr-Latn-ME"/>
              </w:rPr>
              <w:t>[55,8] +4,6</w:t>
            </w:r>
            <w:r w:rsidRPr="007821D0">
              <w:rPr>
                <w:vertAlign w:val="superscript"/>
                <w:lang w:val="sr-Latn-ME"/>
              </w:rPr>
              <w:t>a</w:t>
            </w:r>
          </w:p>
        </w:tc>
      </w:tr>
      <w:tr w:rsidR="00284634" w:rsidRPr="007821D0" w14:paraId="3DFF71C0" w14:textId="77777777">
        <w:trPr>
          <w:trHeight w:val="773"/>
        </w:trPr>
        <w:tc>
          <w:tcPr>
            <w:tcW w:w="2054" w:type="dxa"/>
            <w:tcBorders>
              <w:top w:val="single" w:sz="6" w:space="0" w:color="000000"/>
              <w:left w:val="single" w:sz="6" w:space="0" w:color="000000"/>
              <w:bottom w:val="single" w:sz="6" w:space="0" w:color="000000"/>
              <w:right w:val="single" w:sz="6" w:space="0" w:color="000000"/>
            </w:tcBorders>
          </w:tcPr>
          <w:p w14:paraId="0BA2470A" w14:textId="77777777" w:rsidR="00284634" w:rsidRPr="007821D0" w:rsidRDefault="00313D4B" w:rsidP="007821D0">
            <w:pPr>
              <w:spacing w:after="0" w:line="240" w:lineRule="auto"/>
              <w:ind w:left="0" w:firstLine="0"/>
              <w:jc w:val="both"/>
              <w:rPr>
                <w:lang w:val="sr-Latn-ME"/>
              </w:rPr>
            </w:pPr>
            <w:r w:rsidRPr="007821D0">
              <w:rPr>
                <w:lang w:val="sr-Latn-ME"/>
              </w:rPr>
              <w:t>Veličina prelazne zone prostate (mL)#</w:t>
            </w:r>
          </w:p>
        </w:tc>
        <w:tc>
          <w:tcPr>
            <w:tcW w:w="3624" w:type="dxa"/>
            <w:tcBorders>
              <w:top w:val="single" w:sz="6" w:space="0" w:color="000000"/>
              <w:left w:val="single" w:sz="6" w:space="0" w:color="000000"/>
              <w:bottom w:val="single" w:sz="6" w:space="0" w:color="000000"/>
              <w:right w:val="single" w:sz="6" w:space="0" w:color="000000"/>
            </w:tcBorders>
          </w:tcPr>
          <w:p w14:paraId="6B8C08E5" w14:textId="1E6DFEA3" w:rsidR="00284634" w:rsidRPr="007821D0" w:rsidRDefault="00313D4B" w:rsidP="007821D0">
            <w:pPr>
              <w:spacing w:after="0" w:line="240" w:lineRule="auto"/>
              <w:ind w:left="0" w:firstLine="0"/>
              <w:rPr>
                <w:lang w:val="sr-Latn-ME"/>
              </w:rPr>
            </w:pPr>
            <w:r w:rsidRPr="007821D0">
              <w:rPr>
                <w:lang w:val="sr-Latn-ME"/>
              </w:rPr>
              <w:t xml:space="preserve">[početna </w:t>
            </w:r>
            <w:r w:rsidR="000A2950" w:rsidRPr="007821D0">
              <w:rPr>
                <w:lang w:val="sr-Latn-ME"/>
              </w:rPr>
              <w:t>vrijednost</w:t>
            </w:r>
            <w:r w:rsidRPr="007821D0">
              <w:rPr>
                <w:lang w:val="sr-Latn-ME"/>
              </w:rPr>
              <w:t>]</w:t>
            </w:r>
          </w:p>
          <w:p w14:paraId="763E3738" w14:textId="787143F7" w:rsidR="00284634" w:rsidRPr="007821D0" w:rsidRDefault="00313D4B" w:rsidP="007821D0">
            <w:pPr>
              <w:spacing w:after="0" w:line="240" w:lineRule="auto"/>
              <w:ind w:left="0" w:firstLine="0"/>
              <w:rPr>
                <w:lang w:val="sr-Latn-ME"/>
              </w:rPr>
            </w:pPr>
            <w:r w:rsidRPr="007821D0">
              <w:rPr>
                <w:lang w:val="sr-Latn-ME"/>
              </w:rPr>
              <w:t>48. m</w:t>
            </w:r>
            <w:r w:rsidR="00C8214B" w:rsidRPr="007821D0">
              <w:rPr>
                <w:lang w:val="sr-Latn-ME"/>
              </w:rPr>
              <w:t>j</w:t>
            </w:r>
            <w:r w:rsidRPr="007821D0">
              <w:rPr>
                <w:lang w:val="sr-Latn-ME"/>
              </w:rPr>
              <w:t>esec (</w:t>
            </w:r>
            <w:r w:rsidR="000A2950" w:rsidRPr="007821D0">
              <w:rPr>
                <w:lang w:val="sr-Latn-ME"/>
              </w:rPr>
              <w:t>promjena</w:t>
            </w:r>
            <w:r w:rsidRPr="007821D0">
              <w:rPr>
                <w:lang w:val="sr-Latn-ME"/>
              </w:rPr>
              <w:t xml:space="preserve"> u odnosu na početnu </w:t>
            </w:r>
            <w:r w:rsidR="000A2950" w:rsidRPr="007821D0">
              <w:rPr>
                <w:lang w:val="sr-Latn-ME"/>
              </w:rPr>
              <w:t>vrijednost</w:t>
            </w:r>
            <w:r w:rsidRPr="007821D0">
              <w:rPr>
                <w:lang w:val="sr-Latn-ME"/>
              </w:rPr>
              <w:t>)</w:t>
            </w:r>
          </w:p>
        </w:tc>
        <w:tc>
          <w:tcPr>
            <w:tcW w:w="1560" w:type="dxa"/>
            <w:tcBorders>
              <w:top w:val="single" w:sz="6" w:space="0" w:color="000000"/>
              <w:left w:val="single" w:sz="6" w:space="0" w:color="000000"/>
              <w:bottom w:val="single" w:sz="6" w:space="0" w:color="000000"/>
              <w:right w:val="single" w:sz="6" w:space="0" w:color="000000"/>
            </w:tcBorders>
            <w:vAlign w:val="center"/>
          </w:tcPr>
          <w:p w14:paraId="2C788A03" w14:textId="77777777" w:rsidR="00C8214B" w:rsidRPr="007821D0" w:rsidRDefault="00313D4B" w:rsidP="007821D0">
            <w:pPr>
              <w:spacing w:after="0" w:line="240" w:lineRule="auto"/>
              <w:ind w:left="274" w:right="250" w:firstLine="0"/>
              <w:jc w:val="center"/>
              <w:rPr>
                <w:lang w:val="sr-Latn-ME"/>
              </w:rPr>
            </w:pPr>
            <w:r w:rsidRPr="007821D0">
              <w:rPr>
                <w:lang w:val="sr-Latn-ME"/>
              </w:rPr>
              <w:t>[27,7]</w:t>
            </w:r>
          </w:p>
          <w:p w14:paraId="4BD94D43" w14:textId="78DC76B7" w:rsidR="00284634" w:rsidRPr="007821D0" w:rsidRDefault="00313D4B" w:rsidP="007821D0">
            <w:pPr>
              <w:spacing w:after="0" w:line="240" w:lineRule="auto"/>
              <w:ind w:left="274" w:right="250" w:firstLine="0"/>
              <w:jc w:val="center"/>
              <w:rPr>
                <w:lang w:val="sr-Latn-ME"/>
              </w:rPr>
            </w:pPr>
            <w:r w:rsidRPr="007821D0">
              <w:rPr>
                <w:lang w:val="sr-Latn-ME"/>
              </w:rPr>
              <w:t>-17,9</w:t>
            </w:r>
          </w:p>
        </w:tc>
        <w:tc>
          <w:tcPr>
            <w:tcW w:w="1200" w:type="dxa"/>
            <w:tcBorders>
              <w:top w:val="single" w:sz="6" w:space="0" w:color="000000"/>
              <w:left w:val="single" w:sz="6" w:space="0" w:color="000000"/>
              <w:bottom w:val="single" w:sz="6" w:space="0" w:color="000000"/>
              <w:right w:val="single" w:sz="6" w:space="0" w:color="000000"/>
            </w:tcBorders>
            <w:vAlign w:val="center"/>
          </w:tcPr>
          <w:p w14:paraId="01684277" w14:textId="77777777" w:rsidR="00C8214B" w:rsidRPr="007821D0" w:rsidRDefault="00313D4B" w:rsidP="007821D0">
            <w:pPr>
              <w:spacing w:after="0" w:line="240" w:lineRule="auto"/>
              <w:ind w:left="96" w:right="68" w:firstLine="0"/>
              <w:jc w:val="center"/>
              <w:rPr>
                <w:lang w:val="sr-Latn-ME"/>
              </w:rPr>
            </w:pPr>
            <w:r w:rsidRPr="007821D0">
              <w:rPr>
                <w:lang w:val="sr-Latn-ME"/>
              </w:rPr>
              <w:t>[30,3]</w:t>
            </w:r>
          </w:p>
          <w:p w14:paraId="6A75EF29" w14:textId="3CC341FE" w:rsidR="00284634" w:rsidRPr="007821D0" w:rsidRDefault="00313D4B" w:rsidP="007821D0">
            <w:pPr>
              <w:spacing w:after="0" w:line="240" w:lineRule="auto"/>
              <w:ind w:left="96" w:right="68" w:firstLine="0"/>
              <w:jc w:val="center"/>
              <w:rPr>
                <w:lang w:val="sr-Latn-ME"/>
              </w:rPr>
            </w:pPr>
            <w:r w:rsidRPr="007821D0">
              <w:rPr>
                <w:lang w:val="sr-Latn-ME"/>
              </w:rPr>
              <w:t>-26,5</w:t>
            </w:r>
          </w:p>
        </w:tc>
        <w:tc>
          <w:tcPr>
            <w:tcW w:w="1219" w:type="dxa"/>
            <w:tcBorders>
              <w:top w:val="single" w:sz="6" w:space="0" w:color="000000"/>
              <w:left w:val="single" w:sz="6" w:space="0" w:color="000000"/>
              <w:bottom w:val="single" w:sz="6" w:space="0" w:color="000000"/>
              <w:right w:val="single" w:sz="6" w:space="0" w:color="000000"/>
            </w:tcBorders>
            <w:vAlign w:val="center"/>
          </w:tcPr>
          <w:p w14:paraId="4964E058" w14:textId="77777777" w:rsidR="00284634" w:rsidRPr="007821D0" w:rsidRDefault="00313D4B" w:rsidP="007821D0">
            <w:pPr>
              <w:spacing w:after="0" w:line="240" w:lineRule="auto"/>
              <w:ind w:left="106" w:right="87" w:firstLine="0"/>
              <w:jc w:val="center"/>
              <w:rPr>
                <w:lang w:val="sr-Latn-ME"/>
              </w:rPr>
            </w:pPr>
            <w:r w:rsidRPr="007821D0">
              <w:rPr>
                <w:lang w:val="sr-Latn-ME"/>
              </w:rPr>
              <w:t>[30,5] 18,2</w:t>
            </w:r>
            <w:r w:rsidRPr="007821D0">
              <w:rPr>
                <w:vertAlign w:val="superscript"/>
                <w:lang w:val="sr-Latn-ME"/>
              </w:rPr>
              <w:t>a</w:t>
            </w:r>
          </w:p>
        </w:tc>
      </w:tr>
      <w:tr w:rsidR="00284634" w:rsidRPr="007821D0" w14:paraId="6488563C" w14:textId="77777777">
        <w:trPr>
          <w:trHeight w:val="773"/>
        </w:trPr>
        <w:tc>
          <w:tcPr>
            <w:tcW w:w="2054" w:type="dxa"/>
            <w:tcBorders>
              <w:top w:val="single" w:sz="6" w:space="0" w:color="000000"/>
              <w:left w:val="single" w:sz="6" w:space="0" w:color="000000"/>
              <w:bottom w:val="single" w:sz="6" w:space="0" w:color="000000"/>
              <w:right w:val="single" w:sz="6" w:space="0" w:color="000000"/>
            </w:tcBorders>
          </w:tcPr>
          <w:p w14:paraId="0BBBAE2B" w14:textId="29C77C53" w:rsidR="00284634" w:rsidRPr="007821D0" w:rsidRDefault="00313D4B" w:rsidP="007821D0">
            <w:pPr>
              <w:spacing w:after="0" w:line="240" w:lineRule="auto"/>
              <w:ind w:left="0" w:firstLine="0"/>
              <w:rPr>
                <w:lang w:val="sr-Latn-ME"/>
              </w:rPr>
            </w:pPr>
            <w:r w:rsidRPr="007821D0">
              <w:rPr>
                <w:lang w:val="sr-Latn-ME"/>
              </w:rPr>
              <w:t>Indeks BHP uticaja  (jedinice)</w:t>
            </w:r>
          </w:p>
        </w:tc>
        <w:tc>
          <w:tcPr>
            <w:tcW w:w="3624" w:type="dxa"/>
            <w:tcBorders>
              <w:top w:val="single" w:sz="6" w:space="0" w:color="000000"/>
              <w:left w:val="single" w:sz="6" w:space="0" w:color="000000"/>
              <w:bottom w:val="single" w:sz="6" w:space="0" w:color="000000"/>
              <w:right w:val="single" w:sz="6" w:space="0" w:color="000000"/>
            </w:tcBorders>
          </w:tcPr>
          <w:p w14:paraId="3A154BD0" w14:textId="7AE224F1" w:rsidR="00284634" w:rsidRPr="007821D0" w:rsidRDefault="00313D4B" w:rsidP="007821D0">
            <w:pPr>
              <w:spacing w:after="0" w:line="240" w:lineRule="auto"/>
              <w:ind w:left="0" w:firstLine="0"/>
              <w:rPr>
                <w:lang w:val="sr-Latn-ME"/>
              </w:rPr>
            </w:pPr>
            <w:r w:rsidRPr="007821D0">
              <w:rPr>
                <w:lang w:val="sr-Latn-ME"/>
              </w:rPr>
              <w:t xml:space="preserve">[početna </w:t>
            </w:r>
            <w:r w:rsidR="000A2950" w:rsidRPr="007821D0">
              <w:rPr>
                <w:lang w:val="sr-Latn-ME"/>
              </w:rPr>
              <w:t>vrijednost</w:t>
            </w:r>
            <w:r w:rsidRPr="007821D0">
              <w:rPr>
                <w:lang w:val="sr-Latn-ME"/>
              </w:rPr>
              <w:t>]</w:t>
            </w:r>
          </w:p>
          <w:p w14:paraId="5E0A3A23" w14:textId="180EB2DA" w:rsidR="00284634" w:rsidRPr="007821D0" w:rsidRDefault="00313D4B" w:rsidP="007821D0">
            <w:pPr>
              <w:spacing w:after="0" w:line="240" w:lineRule="auto"/>
              <w:ind w:left="0" w:firstLine="0"/>
              <w:rPr>
                <w:lang w:val="sr-Latn-ME"/>
              </w:rPr>
            </w:pPr>
            <w:r w:rsidRPr="007821D0">
              <w:rPr>
                <w:lang w:val="sr-Latn-ME"/>
              </w:rPr>
              <w:t>48. m</w:t>
            </w:r>
            <w:r w:rsidR="00C8214B" w:rsidRPr="007821D0">
              <w:rPr>
                <w:lang w:val="sr-Latn-ME"/>
              </w:rPr>
              <w:t>j</w:t>
            </w:r>
            <w:r w:rsidRPr="007821D0">
              <w:rPr>
                <w:lang w:val="sr-Latn-ME"/>
              </w:rPr>
              <w:t>esec (</w:t>
            </w:r>
            <w:r w:rsidR="000A2950" w:rsidRPr="007821D0">
              <w:rPr>
                <w:lang w:val="sr-Latn-ME"/>
              </w:rPr>
              <w:t>promjena</w:t>
            </w:r>
            <w:r w:rsidRPr="007821D0">
              <w:rPr>
                <w:lang w:val="sr-Latn-ME"/>
              </w:rPr>
              <w:t xml:space="preserve"> u odnosu na početnu </w:t>
            </w:r>
            <w:r w:rsidR="000A2950" w:rsidRPr="007821D0">
              <w:rPr>
                <w:lang w:val="sr-Latn-ME"/>
              </w:rPr>
              <w:t>vrijednost</w:t>
            </w:r>
            <w:r w:rsidRPr="007821D0">
              <w:rPr>
                <w:lang w:val="sr-Latn-ME"/>
              </w:rPr>
              <w:t>)</w:t>
            </w:r>
          </w:p>
        </w:tc>
        <w:tc>
          <w:tcPr>
            <w:tcW w:w="1560" w:type="dxa"/>
            <w:tcBorders>
              <w:top w:val="single" w:sz="6" w:space="0" w:color="000000"/>
              <w:left w:val="single" w:sz="6" w:space="0" w:color="000000"/>
              <w:bottom w:val="single" w:sz="6" w:space="0" w:color="000000"/>
              <w:right w:val="single" w:sz="6" w:space="0" w:color="000000"/>
            </w:tcBorders>
            <w:vAlign w:val="center"/>
          </w:tcPr>
          <w:p w14:paraId="682960B4" w14:textId="77777777" w:rsidR="00C8214B" w:rsidRPr="007821D0" w:rsidRDefault="00313D4B" w:rsidP="007821D0">
            <w:pPr>
              <w:spacing w:after="0" w:line="240" w:lineRule="auto"/>
              <w:ind w:left="386" w:right="358" w:firstLine="0"/>
              <w:jc w:val="center"/>
              <w:rPr>
                <w:lang w:val="sr-Latn-ME"/>
              </w:rPr>
            </w:pPr>
            <w:r w:rsidRPr="007821D0">
              <w:rPr>
                <w:lang w:val="sr-Latn-ME"/>
              </w:rPr>
              <w:t>[5,3]</w:t>
            </w:r>
          </w:p>
          <w:p w14:paraId="496526CF" w14:textId="64F947D4" w:rsidR="00284634" w:rsidRPr="007821D0" w:rsidRDefault="00C8214B" w:rsidP="007821D0">
            <w:pPr>
              <w:spacing w:after="0" w:line="240" w:lineRule="auto"/>
              <w:ind w:left="386" w:right="358" w:firstLine="0"/>
              <w:jc w:val="center"/>
              <w:rPr>
                <w:lang w:val="sr-Latn-ME"/>
              </w:rPr>
            </w:pPr>
            <w:r w:rsidRPr="007821D0">
              <w:rPr>
                <w:lang w:val="sr-Latn-ME"/>
              </w:rPr>
              <w:t>-</w:t>
            </w:r>
            <w:r w:rsidR="00313D4B" w:rsidRPr="007821D0">
              <w:rPr>
                <w:lang w:val="sr-Latn-ME"/>
              </w:rPr>
              <w:t>2,2</w:t>
            </w:r>
          </w:p>
        </w:tc>
        <w:tc>
          <w:tcPr>
            <w:tcW w:w="1200" w:type="dxa"/>
            <w:tcBorders>
              <w:top w:val="single" w:sz="6" w:space="0" w:color="000000"/>
              <w:left w:val="single" w:sz="6" w:space="0" w:color="000000"/>
              <w:bottom w:val="single" w:sz="6" w:space="0" w:color="000000"/>
              <w:right w:val="single" w:sz="6" w:space="0" w:color="000000"/>
            </w:tcBorders>
            <w:vAlign w:val="center"/>
          </w:tcPr>
          <w:p w14:paraId="75A231AB" w14:textId="77777777" w:rsidR="00C8214B" w:rsidRPr="007821D0" w:rsidRDefault="00313D4B" w:rsidP="007821D0">
            <w:pPr>
              <w:spacing w:after="0" w:line="240" w:lineRule="auto"/>
              <w:ind w:left="169" w:right="146" w:firstLine="0"/>
              <w:jc w:val="center"/>
              <w:rPr>
                <w:lang w:val="sr-Latn-ME"/>
              </w:rPr>
            </w:pPr>
            <w:r w:rsidRPr="007821D0">
              <w:rPr>
                <w:lang w:val="sr-Latn-ME"/>
              </w:rPr>
              <w:t>[5,3]</w:t>
            </w:r>
          </w:p>
          <w:p w14:paraId="488EA1B9" w14:textId="4A457B63" w:rsidR="00284634" w:rsidRPr="007821D0" w:rsidRDefault="00C8214B" w:rsidP="007821D0">
            <w:pPr>
              <w:spacing w:after="0" w:line="240" w:lineRule="auto"/>
              <w:ind w:left="169" w:right="146" w:firstLine="0"/>
              <w:jc w:val="center"/>
              <w:rPr>
                <w:lang w:val="sr-Latn-ME"/>
              </w:rPr>
            </w:pPr>
            <w:r w:rsidRPr="007821D0">
              <w:rPr>
                <w:lang w:val="sr-Latn-ME"/>
              </w:rPr>
              <w:t>-</w:t>
            </w:r>
            <w:r w:rsidR="00313D4B" w:rsidRPr="007821D0">
              <w:rPr>
                <w:lang w:val="sr-Latn-ME"/>
              </w:rPr>
              <w:t>1,8</w:t>
            </w:r>
            <w:r w:rsidR="00313D4B" w:rsidRPr="007821D0">
              <w:rPr>
                <w:vertAlign w:val="superscript"/>
                <w:lang w:val="sr-Latn-ME"/>
              </w:rPr>
              <w:t>b</w:t>
            </w:r>
          </w:p>
        </w:tc>
        <w:tc>
          <w:tcPr>
            <w:tcW w:w="1219" w:type="dxa"/>
            <w:tcBorders>
              <w:top w:val="single" w:sz="6" w:space="0" w:color="000000"/>
              <w:left w:val="single" w:sz="6" w:space="0" w:color="000000"/>
              <w:bottom w:val="single" w:sz="6" w:space="0" w:color="000000"/>
              <w:right w:val="single" w:sz="6" w:space="0" w:color="000000"/>
            </w:tcBorders>
            <w:vAlign w:val="center"/>
          </w:tcPr>
          <w:p w14:paraId="5ED2FD01" w14:textId="77777777" w:rsidR="00C8214B" w:rsidRPr="007821D0" w:rsidRDefault="00313D4B" w:rsidP="007821D0">
            <w:pPr>
              <w:spacing w:after="0" w:line="240" w:lineRule="auto"/>
              <w:ind w:left="183" w:right="159" w:firstLine="0"/>
              <w:jc w:val="center"/>
              <w:rPr>
                <w:lang w:val="sr-Latn-ME"/>
              </w:rPr>
            </w:pPr>
            <w:r w:rsidRPr="007821D0">
              <w:rPr>
                <w:lang w:val="sr-Latn-ME"/>
              </w:rPr>
              <w:t>[5,3]</w:t>
            </w:r>
          </w:p>
          <w:p w14:paraId="22DF1DD6" w14:textId="669B69F7" w:rsidR="00284634" w:rsidRPr="007821D0" w:rsidRDefault="00C8214B" w:rsidP="007821D0">
            <w:pPr>
              <w:spacing w:after="0" w:line="240" w:lineRule="auto"/>
              <w:ind w:left="183" w:right="159" w:firstLine="0"/>
              <w:jc w:val="center"/>
              <w:rPr>
                <w:lang w:val="sr-Latn-ME"/>
              </w:rPr>
            </w:pPr>
            <w:r w:rsidRPr="007821D0">
              <w:rPr>
                <w:lang w:val="sr-Latn-ME"/>
              </w:rPr>
              <w:t>-</w:t>
            </w:r>
            <w:r w:rsidR="00313D4B" w:rsidRPr="007821D0">
              <w:rPr>
                <w:lang w:val="sr-Latn-ME"/>
              </w:rPr>
              <w:t>1,2</w:t>
            </w:r>
            <w:r w:rsidR="00313D4B" w:rsidRPr="007821D0">
              <w:rPr>
                <w:vertAlign w:val="superscript"/>
                <w:lang w:val="sr-Latn-ME"/>
              </w:rPr>
              <w:t>a</w:t>
            </w:r>
          </w:p>
        </w:tc>
      </w:tr>
      <w:tr w:rsidR="00284634" w:rsidRPr="007821D0" w14:paraId="5ED72A5A" w14:textId="77777777" w:rsidTr="00954C82">
        <w:trPr>
          <w:trHeight w:val="1027"/>
        </w:trPr>
        <w:tc>
          <w:tcPr>
            <w:tcW w:w="2054" w:type="dxa"/>
            <w:tcBorders>
              <w:top w:val="single" w:sz="6" w:space="0" w:color="000000"/>
              <w:left w:val="single" w:sz="6" w:space="0" w:color="000000"/>
              <w:bottom w:val="single" w:sz="6" w:space="0" w:color="000000"/>
              <w:right w:val="single" w:sz="6" w:space="0" w:color="000000"/>
            </w:tcBorders>
          </w:tcPr>
          <w:p w14:paraId="5D611E2D" w14:textId="77777777" w:rsidR="00284634" w:rsidRPr="007821D0" w:rsidRDefault="00313D4B" w:rsidP="007821D0">
            <w:pPr>
              <w:spacing w:after="0" w:line="240" w:lineRule="auto"/>
              <w:ind w:left="0" w:firstLine="0"/>
              <w:rPr>
                <w:lang w:val="sr-Latn-ME"/>
              </w:rPr>
            </w:pPr>
            <w:r w:rsidRPr="007821D0">
              <w:rPr>
                <w:lang w:val="sr-Latn-ME"/>
              </w:rPr>
              <w:t xml:space="preserve">8. pitanje IPSS </w:t>
            </w:r>
          </w:p>
          <w:p w14:paraId="71CF9124" w14:textId="77777777" w:rsidR="00284634" w:rsidRPr="007821D0" w:rsidRDefault="00313D4B" w:rsidP="007821D0">
            <w:pPr>
              <w:spacing w:after="0" w:line="240" w:lineRule="auto"/>
              <w:ind w:left="0" w:firstLine="0"/>
              <w:rPr>
                <w:lang w:val="sr-Latn-ME"/>
              </w:rPr>
            </w:pPr>
            <w:r w:rsidRPr="007821D0">
              <w:rPr>
                <w:lang w:val="sr-Latn-ME"/>
              </w:rPr>
              <w:t>(zdravstveno stanje u</w:t>
            </w:r>
          </w:p>
          <w:p w14:paraId="43000864" w14:textId="77777777" w:rsidR="00284634" w:rsidRPr="007821D0" w:rsidRDefault="00313D4B" w:rsidP="007821D0">
            <w:pPr>
              <w:spacing w:after="0" w:line="240" w:lineRule="auto"/>
              <w:ind w:left="0" w:firstLine="0"/>
              <w:rPr>
                <w:lang w:val="sr-Latn-ME"/>
              </w:rPr>
            </w:pPr>
            <w:r w:rsidRPr="007821D0">
              <w:rPr>
                <w:lang w:val="sr-Latn-ME"/>
              </w:rPr>
              <w:t xml:space="preserve">vezi sa BHP) </w:t>
            </w:r>
          </w:p>
          <w:p w14:paraId="734EB6F9" w14:textId="77777777" w:rsidR="00284634" w:rsidRPr="007821D0" w:rsidRDefault="00313D4B" w:rsidP="007821D0">
            <w:pPr>
              <w:spacing w:after="0" w:line="240" w:lineRule="auto"/>
              <w:ind w:left="0" w:firstLine="0"/>
              <w:rPr>
                <w:lang w:val="sr-Latn-ME"/>
              </w:rPr>
            </w:pPr>
            <w:r w:rsidRPr="007821D0">
              <w:rPr>
                <w:lang w:val="sr-Latn-ME"/>
              </w:rPr>
              <w:t>(jedinice)</w:t>
            </w:r>
          </w:p>
        </w:tc>
        <w:tc>
          <w:tcPr>
            <w:tcW w:w="3624" w:type="dxa"/>
            <w:tcBorders>
              <w:top w:val="single" w:sz="6" w:space="0" w:color="000000"/>
              <w:left w:val="single" w:sz="6" w:space="0" w:color="000000"/>
              <w:bottom w:val="single" w:sz="6" w:space="0" w:color="000000"/>
              <w:right w:val="single" w:sz="6" w:space="0" w:color="000000"/>
            </w:tcBorders>
          </w:tcPr>
          <w:p w14:paraId="2DCE55B6" w14:textId="5A9242A5" w:rsidR="00284634" w:rsidRPr="007821D0" w:rsidRDefault="00313D4B" w:rsidP="007821D0">
            <w:pPr>
              <w:spacing w:after="0" w:line="240" w:lineRule="auto"/>
              <w:ind w:left="0" w:firstLine="0"/>
              <w:rPr>
                <w:lang w:val="sr-Latn-ME"/>
              </w:rPr>
            </w:pPr>
            <w:r w:rsidRPr="007821D0">
              <w:rPr>
                <w:lang w:val="sr-Latn-ME"/>
              </w:rPr>
              <w:t xml:space="preserve">[početna </w:t>
            </w:r>
            <w:r w:rsidR="000A2950" w:rsidRPr="007821D0">
              <w:rPr>
                <w:lang w:val="sr-Latn-ME"/>
              </w:rPr>
              <w:t>vrijednost</w:t>
            </w:r>
            <w:r w:rsidRPr="007821D0">
              <w:rPr>
                <w:lang w:val="sr-Latn-ME"/>
              </w:rPr>
              <w:t>]</w:t>
            </w:r>
          </w:p>
          <w:p w14:paraId="5FBAE648" w14:textId="7EC28F8E" w:rsidR="00284634" w:rsidRPr="007821D0" w:rsidRDefault="00313D4B" w:rsidP="007821D0">
            <w:pPr>
              <w:spacing w:after="0" w:line="240" w:lineRule="auto"/>
              <w:ind w:left="0" w:firstLine="0"/>
              <w:rPr>
                <w:lang w:val="sr-Latn-ME"/>
              </w:rPr>
            </w:pPr>
            <w:r w:rsidRPr="007821D0">
              <w:rPr>
                <w:lang w:val="sr-Latn-ME"/>
              </w:rPr>
              <w:t>48. m</w:t>
            </w:r>
            <w:r w:rsidR="00C8214B" w:rsidRPr="007821D0">
              <w:rPr>
                <w:lang w:val="sr-Latn-ME"/>
              </w:rPr>
              <w:t>j</w:t>
            </w:r>
            <w:r w:rsidRPr="007821D0">
              <w:rPr>
                <w:lang w:val="sr-Latn-ME"/>
              </w:rPr>
              <w:t>esec (</w:t>
            </w:r>
            <w:r w:rsidR="000A2950" w:rsidRPr="007821D0">
              <w:rPr>
                <w:lang w:val="sr-Latn-ME"/>
              </w:rPr>
              <w:t>promjena</w:t>
            </w:r>
            <w:r w:rsidRPr="007821D0">
              <w:rPr>
                <w:lang w:val="sr-Latn-ME"/>
              </w:rPr>
              <w:t xml:space="preserve"> u odnosu na početnu </w:t>
            </w:r>
            <w:r w:rsidR="000A2950" w:rsidRPr="007821D0">
              <w:rPr>
                <w:lang w:val="sr-Latn-ME"/>
              </w:rPr>
              <w:t>vrijednost</w:t>
            </w:r>
            <w:r w:rsidRPr="007821D0">
              <w:rPr>
                <w:lang w:val="sr-Latn-ME"/>
              </w:rPr>
              <w:t>)</w:t>
            </w:r>
          </w:p>
        </w:tc>
        <w:tc>
          <w:tcPr>
            <w:tcW w:w="1560" w:type="dxa"/>
            <w:tcBorders>
              <w:top w:val="single" w:sz="6" w:space="0" w:color="000000"/>
              <w:left w:val="single" w:sz="6" w:space="0" w:color="000000"/>
              <w:bottom w:val="single" w:sz="6" w:space="0" w:color="000000"/>
              <w:right w:val="single" w:sz="6" w:space="0" w:color="000000"/>
            </w:tcBorders>
            <w:vAlign w:val="center"/>
          </w:tcPr>
          <w:p w14:paraId="36F69771" w14:textId="77777777" w:rsidR="00C8214B" w:rsidRPr="007821D0" w:rsidRDefault="00313D4B" w:rsidP="007821D0">
            <w:pPr>
              <w:spacing w:after="0" w:line="240" w:lineRule="auto"/>
              <w:ind w:left="386" w:right="358" w:firstLine="0"/>
              <w:jc w:val="center"/>
              <w:rPr>
                <w:lang w:val="sr-Latn-ME"/>
              </w:rPr>
            </w:pPr>
            <w:r w:rsidRPr="007821D0">
              <w:rPr>
                <w:lang w:val="sr-Latn-ME"/>
              </w:rPr>
              <w:t>[3,6]</w:t>
            </w:r>
          </w:p>
          <w:p w14:paraId="202136B8" w14:textId="733D233C" w:rsidR="00284634" w:rsidRPr="007821D0" w:rsidRDefault="00313D4B" w:rsidP="007821D0">
            <w:pPr>
              <w:spacing w:after="0" w:line="240" w:lineRule="auto"/>
              <w:ind w:left="386" w:right="358" w:firstLine="0"/>
              <w:jc w:val="center"/>
              <w:rPr>
                <w:lang w:val="sr-Latn-ME"/>
              </w:rPr>
            </w:pPr>
            <w:r w:rsidRPr="007821D0">
              <w:rPr>
                <w:lang w:val="sr-Latn-ME"/>
              </w:rPr>
              <w:t>-1,5</w:t>
            </w:r>
          </w:p>
        </w:tc>
        <w:tc>
          <w:tcPr>
            <w:tcW w:w="1200" w:type="dxa"/>
            <w:tcBorders>
              <w:top w:val="single" w:sz="6" w:space="0" w:color="000000"/>
              <w:left w:val="single" w:sz="6" w:space="0" w:color="000000"/>
              <w:bottom w:val="single" w:sz="6" w:space="0" w:color="000000"/>
              <w:right w:val="single" w:sz="6" w:space="0" w:color="000000"/>
            </w:tcBorders>
            <w:vAlign w:val="center"/>
          </w:tcPr>
          <w:p w14:paraId="2EC068E1" w14:textId="77777777" w:rsidR="00C8214B" w:rsidRPr="007821D0" w:rsidRDefault="00313D4B" w:rsidP="007821D0">
            <w:pPr>
              <w:spacing w:after="0" w:line="240" w:lineRule="auto"/>
              <w:ind w:left="169" w:right="146" w:firstLine="0"/>
              <w:jc w:val="center"/>
              <w:rPr>
                <w:lang w:val="sr-Latn-ME"/>
              </w:rPr>
            </w:pPr>
            <w:r w:rsidRPr="007821D0">
              <w:rPr>
                <w:lang w:val="sr-Latn-ME"/>
              </w:rPr>
              <w:t>[3,6]</w:t>
            </w:r>
          </w:p>
          <w:p w14:paraId="353CED29" w14:textId="0B7DB454" w:rsidR="00284634" w:rsidRPr="007821D0" w:rsidRDefault="00313D4B" w:rsidP="007821D0">
            <w:pPr>
              <w:spacing w:after="0" w:line="240" w:lineRule="auto"/>
              <w:ind w:left="169" w:right="146" w:firstLine="0"/>
              <w:jc w:val="center"/>
              <w:rPr>
                <w:lang w:val="sr-Latn-ME"/>
              </w:rPr>
            </w:pPr>
            <w:r w:rsidRPr="007821D0">
              <w:rPr>
                <w:lang w:val="sr-Latn-ME"/>
              </w:rPr>
              <w:t>-1,3</w:t>
            </w:r>
            <w:r w:rsidRPr="007821D0">
              <w:rPr>
                <w:vertAlign w:val="superscript"/>
                <w:lang w:val="sr-Latn-ME"/>
              </w:rPr>
              <w:t>b</w:t>
            </w:r>
          </w:p>
        </w:tc>
        <w:tc>
          <w:tcPr>
            <w:tcW w:w="1219" w:type="dxa"/>
            <w:tcBorders>
              <w:top w:val="single" w:sz="6" w:space="0" w:color="000000"/>
              <w:left w:val="single" w:sz="6" w:space="0" w:color="000000"/>
              <w:bottom w:val="single" w:sz="6" w:space="0" w:color="000000"/>
              <w:right w:val="single" w:sz="6" w:space="0" w:color="000000"/>
            </w:tcBorders>
            <w:vAlign w:val="center"/>
          </w:tcPr>
          <w:p w14:paraId="56D0D8EC" w14:textId="77777777" w:rsidR="00C8214B" w:rsidRPr="007821D0" w:rsidRDefault="00313D4B" w:rsidP="007821D0">
            <w:pPr>
              <w:spacing w:after="0" w:line="240" w:lineRule="auto"/>
              <w:ind w:left="183" w:right="159" w:firstLine="0"/>
              <w:jc w:val="center"/>
              <w:rPr>
                <w:lang w:val="sr-Latn-ME"/>
              </w:rPr>
            </w:pPr>
            <w:r w:rsidRPr="007821D0">
              <w:rPr>
                <w:lang w:val="sr-Latn-ME"/>
              </w:rPr>
              <w:t>[3,6]</w:t>
            </w:r>
          </w:p>
          <w:p w14:paraId="7D632032" w14:textId="707BB3FC" w:rsidR="00284634" w:rsidRPr="007821D0" w:rsidRDefault="00313D4B" w:rsidP="007821D0">
            <w:pPr>
              <w:spacing w:after="0" w:line="240" w:lineRule="auto"/>
              <w:ind w:left="183" w:right="159" w:firstLine="0"/>
              <w:jc w:val="center"/>
              <w:rPr>
                <w:lang w:val="sr-Latn-ME"/>
              </w:rPr>
            </w:pPr>
            <w:r w:rsidRPr="007821D0">
              <w:rPr>
                <w:lang w:val="sr-Latn-ME"/>
              </w:rPr>
              <w:t>-1,1</w:t>
            </w:r>
            <w:r w:rsidRPr="007821D0">
              <w:rPr>
                <w:vertAlign w:val="superscript"/>
                <w:lang w:val="sr-Latn-ME"/>
              </w:rPr>
              <w:t>a</w:t>
            </w:r>
          </w:p>
        </w:tc>
      </w:tr>
    </w:tbl>
    <w:p w14:paraId="5A683FBA" w14:textId="54B4B099" w:rsidR="00226E66" w:rsidRPr="007821D0" w:rsidRDefault="00313D4B" w:rsidP="007821D0">
      <w:pPr>
        <w:spacing w:after="0" w:line="240" w:lineRule="auto"/>
        <w:ind w:left="-5"/>
        <w:jc w:val="both"/>
        <w:rPr>
          <w:lang w:val="sr-Latn-ME"/>
        </w:rPr>
      </w:pPr>
      <w:r w:rsidRPr="007821D0">
        <w:rPr>
          <w:lang w:val="sr-Latn-ME"/>
        </w:rPr>
        <w:t xml:space="preserve">Početne </w:t>
      </w:r>
      <w:r w:rsidR="00E602C2" w:rsidRPr="007821D0">
        <w:rPr>
          <w:lang w:val="sr-Latn-ME"/>
        </w:rPr>
        <w:t>vrijednosti</w:t>
      </w:r>
      <w:r w:rsidRPr="007821D0">
        <w:rPr>
          <w:lang w:val="sr-Latn-ME"/>
        </w:rPr>
        <w:t xml:space="preserve"> su srednje </w:t>
      </w:r>
      <w:r w:rsidR="00E602C2" w:rsidRPr="007821D0">
        <w:rPr>
          <w:lang w:val="sr-Latn-ME"/>
        </w:rPr>
        <w:t>vrijednosti</w:t>
      </w:r>
      <w:r w:rsidR="00226E66" w:rsidRPr="007821D0">
        <w:rPr>
          <w:lang w:val="sr-Latn-ME"/>
        </w:rPr>
        <w:t>, a</w:t>
      </w:r>
      <w:r w:rsidRPr="007821D0">
        <w:rPr>
          <w:lang w:val="sr-Latn-ME"/>
        </w:rPr>
        <w:t xml:space="preserve"> prom</w:t>
      </w:r>
      <w:r w:rsidR="009B05FD" w:rsidRPr="007821D0">
        <w:rPr>
          <w:lang w:val="sr-Latn-ME"/>
        </w:rPr>
        <w:t>j</w:t>
      </w:r>
      <w:r w:rsidRPr="007821D0">
        <w:rPr>
          <w:lang w:val="sr-Latn-ME"/>
        </w:rPr>
        <w:t xml:space="preserve">ene u odnosu na početne </w:t>
      </w:r>
      <w:r w:rsidR="00E602C2" w:rsidRPr="007821D0">
        <w:rPr>
          <w:lang w:val="sr-Latn-ME"/>
        </w:rPr>
        <w:t>vrijednosti</w:t>
      </w:r>
      <w:r w:rsidRPr="007821D0">
        <w:rPr>
          <w:lang w:val="sr-Latn-ME"/>
        </w:rPr>
        <w:t xml:space="preserve"> su prilagođene srednjim </w:t>
      </w:r>
      <w:r w:rsidR="00E602C2" w:rsidRPr="007821D0">
        <w:rPr>
          <w:lang w:val="sr-Latn-ME"/>
        </w:rPr>
        <w:t>vrijednosti</w:t>
      </w:r>
      <w:r w:rsidRPr="007821D0">
        <w:rPr>
          <w:lang w:val="sr-Latn-ME"/>
        </w:rPr>
        <w:t>ma.</w:t>
      </w:r>
    </w:p>
    <w:p w14:paraId="7F80B933" w14:textId="32E7C6B5" w:rsidR="00284634" w:rsidRPr="007821D0" w:rsidRDefault="00313D4B" w:rsidP="007821D0">
      <w:pPr>
        <w:spacing w:after="0" w:line="240" w:lineRule="auto"/>
        <w:ind w:left="-5"/>
        <w:jc w:val="both"/>
        <w:rPr>
          <w:lang w:val="sr-Latn-ME"/>
        </w:rPr>
      </w:pPr>
      <w:r w:rsidRPr="007821D0">
        <w:rPr>
          <w:lang w:val="sr-Latn-ME"/>
        </w:rPr>
        <w:t>* Klinička progresija je definisana kao skup parametara: pogoršanje IPSS za ≥4 poena, pojava AUR događaja u vezi sa BHP, inkontinencija, infekcije urinarnog trakta (IUT) i bubrežna insuficijencija.</w:t>
      </w:r>
    </w:p>
    <w:p w14:paraId="084DD90F" w14:textId="1F144173" w:rsidR="00284634" w:rsidRPr="007821D0" w:rsidRDefault="00313D4B" w:rsidP="007821D0">
      <w:pPr>
        <w:spacing w:after="0" w:line="240" w:lineRule="auto"/>
        <w:ind w:left="-5"/>
        <w:jc w:val="both"/>
        <w:rPr>
          <w:lang w:val="sr-Latn-ME"/>
        </w:rPr>
      </w:pPr>
      <w:r w:rsidRPr="007821D0">
        <w:rPr>
          <w:lang w:val="sr-Latn-ME"/>
        </w:rPr>
        <w:t># M</w:t>
      </w:r>
      <w:r w:rsidR="000A2950" w:rsidRPr="007821D0">
        <w:rPr>
          <w:lang w:val="sr-Latn-ME"/>
        </w:rPr>
        <w:t>j</w:t>
      </w:r>
      <w:r w:rsidRPr="007821D0">
        <w:rPr>
          <w:lang w:val="sr-Latn-ME"/>
        </w:rPr>
        <w:t>ereno na određenim m</w:t>
      </w:r>
      <w:r w:rsidR="000A2950" w:rsidRPr="007821D0">
        <w:rPr>
          <w:lang w:val="sr-Latn-ME"/>
        </w:rPr>
        <w:t>j</w:t>
      </w:r>
      <w:r w:rsidRPr="007821D0">
        <w:rPr>
          <w:lang w:val="sr-Latn-ME"/>
        </w:rPr>
        <w:t>estima (13% randomizovanih ispitanika)</w:t>
      </w:r>
    </w:p>
    <w:p w14:paraId="2D8CCDEC" w14:textId="4CD79DFE" w:rsidR="00284634" w:rsidRPr="007821D0" w:rsidRDefault="00313D4B" w:rsidP="007821D0">
      <w:pPr>
        <w:numPr>
          <w:ilvl w:val="0"/>
          <w:numId w:val="2"/>
        </w:numPr>
        <w:spacing w:after="0" w:line="240" w:lineRule="auto"/>
        <w:ind w:hanging="197"/>
        <w:jc w:val="both"/>
        <w:rPr>
          <w:lang w:val="sr-Latn-ME"/>
        </w:rPr>
      </w:pPr>
      <w:r w:rsidRPr="007821D0">
        <w:rPr>
          <w:lang w:val="sr-Latn-ME"/>
        </w:rPr>
        <w:t xml:space="preserve">Kombinovana terapija postigla je statističku značajnost (p&lt;0,001) u poređenju sa </w:t>
      </w:r>
      <w:r w:rsidR="000A2950" w:rsidRPr="007821D0">
        <w:rPr>
          <w:lang w:val="sr-Latn-ME"/>
        </w:rPr>
        <w:t>primjenom</w:t>
      </w:r>
      <w:r w:rsidRPr="007821D0">
        <w:rPr>
          <w:lang w:val="sr-Latn-ME"/>
        </w:rPr>
        <w:t xml:space="preserve"> tamsulosina u 48. </w:t>
      </w:r>
      <w:r w:rsidR="00CF38E2">
        <w:rPr>
          <w:lang w:val="sr-Latn-ME"/>
        </w:rPr>
        <w:t>mjesecu terapije</w:t>
      </w:r>
    </w:p>
    <w:p w14:paraId="49CB9635" w14:textId="35DEAE5E" w:rsidR="00284634" w:rsidRPr="007821D0" w:rsidRDefault="00313D4B" w:rsidP="007821D0">
      <w:pPr>
        <w:numPr>
          <w:ilvl w:val="0"/>
          <w:numId w:val="2"/>
        </w:numPr>
        <w:spacing w:after="0" w:line="240" w:lineRule="auto"/>
        <w:ind w:hanging="197"/>
        <w:jc w:val="both"/>
        <w:rPr>
          <w:lang w:val="sr-Latn-ME"/>
        </w:rPr>
      </w:pPr>
      <w:r w:rsidRPr="007821D0">
        <w:rPr>
          <w:lang w:val="sr-Latn-ME"/>
        </w:rPr>
        <w:t xml:space="preserve">Kombinovana terapija postigla je statističku značajnost (p&lt;0,001) u poređenju sa </w:t>
      </w:r>
      <w:r w:rsidR="000A2950" w:rsidRPr="007821D0">
        <w:rPr>
          <w:lang w:val="sr-Latn-ME"/>
        </w:rPr>
        <w:t>primjenom</w:t>
      </w:r>
      <w:r w:rsidRPr="007821D0">
        <w:rPr>
          <w:lang w:val="sr-Latn-ME"/>
        </w:rPr>
        <w:t xml:space="preserve"> dutasterida u 48. m</w:t>
      </w:r>
      <w:r w:rsidR="000A2950" w:rsidRPr="007821D0">
        <w:rPr>
          <w:lang w:val="sr-Latn-ME"/>
        </w:rPr>
        <w:t>j</w:t>
      </w:r>
      <w:r w:rsidRPr="007821D0">
        <w:rPr>
          <w:lang w:val="sr-Latn-ME"/>
        </w:rPr>
        <w:t>esecu terapije</w:t>
      </w:r>
    </w:p>
    <w:p w14:paraId="5C6FCD1B" w14:textId="77777777" w:rsidR="00B6519A" w:rsidRPr="007821D0" w:rsidRDefault="00B6519A" w:rsidP="007821D0">
      <w:pPr>
        <w:pStyle w:val="Heading1"/>
        <w:spacing w:after="0" w:line="240" w:lineRule="auto"/>
        <w:ind w:left="-5"/>
        <w:rPr>
          <w:lang w:val="sr-Latn-ME"/>
        </w:rPr>
      </w:pPr>
    </w:p>
    <w:p w14:paraId="224E5B74" w14:textId="794B6508" w:rsidR="00284634" w:rsidRPr="007821D0" w:rsidRDefault="00313D4B" w:rsidP="007821D0">
      <w:pPr>
        <w:pStyle w:val="Heading1"/>
        <w:spacing w:after="0" w:line="240" w:lineRule="auto"/>
        <w:ind w:left="-5"/>
        <w:rPr>
          <w:lang w:val="sr-Latn-ME"/>
        </w:rPr>
      </w:pPr>
      <w:r w:rsidRPr="007821D0">
        <w:rPr>
          <w:lang w:val="sr-Latn-ME"/>
        </w:rPr>
        <w:t>Kardiovaskularni neželjeni događaji</w:t>
      </w:r>
    </w:p>
    <w:p w14:paraId="74C491EF" w14:textId="77777777" w:rsidR="0081499A" w:rsidRPr="007821D0" w:rsidRDefault="0081499A" w:rsidP="007821D0">
      <w:pPr>
        <w:spacing w:after="0" w:line="240" w:lineRule="auto"/>
        <w:ind w:left="-5" w:right="3"/>
        <w:jc w:val="both"/>
        <w:rPr>
          <w:lang w:val="sr-Latn-ME"/>
        </w:rPr>
      </w:pPr>
    </w:p>
    <w:p w14:paraId="33172FB5" w14:textId="3AD41A13" w:rsidR="00284634" w:rsidRPr="007821D0" w:rsidRDefault="00313D4B" w:rsidP="007821D0">
      <w:pPr>
        <w:spacing w:after="0" w:line="240" w:lineRule="auto"/>
        <w:ind w:left="-5" w:right="3"/>
        <w:jc w:val="both"/>
        <w:rPr>
          <w:lang w:val="sr-Latn-ME"/>
        </w:rPr>
      </w:pPr>
      <w:r w:rsidRPr="007821D0">
        <w:rPr>
          <w:lang w:val="sr-Latn-ME"/>
        </w:rPr>
        <w:t>U okviru četvorogodišnjeg B</w:t>
      </w:r>
      <w:r w:rsidR="002B49DF" w:rsidRPr="007821D0">
        <w:rPr>
          <w:lang w:val="sr-Latn-ME"/>
        </w:rPr>
        <w:t>H</w:t>
      </w:r>
      <w:r w:rsidRPr="007821D0">
        <w:rPr>
          <w:lang w:val="sr-Latn-ME"/>
        </w:rPr>
        <w:t xml:space="preserve">P kliničkog ispitivanja </w:t>
      </w:r>
      <w:r w:rsidR="00E91FDE" w:rsidRPr="007821D0">
        <w:rPr>
          <w:lang w:val="sr-Latn-ME"/>
        </w:rPr>
        <w:t>primjene</w:t>
      </w:r>
      <w:r w:rsidRPr="007821D0">
        <w:rPr>
          <w:lang w:val="sr-Latn-ME"/>
        </w:rPr>
        <w:t xml:space="preserve"> dutasterida u kombinaciji sa tamsulosinom kod 4844 ispitanika muškog pola (CombAT kliničko ispitivanje)</w:t>
      </w:r>
      <w:r w:rsidR="002B49DF" w:rsidRPr="007821D0">
        <w:rPr>
          <w:lang w:val="sr-Latn-ME"/>
        </w:rPr>
        <w:t>,</w:t>
      </w:r>
      <w:r w:rsidRPr="007821D0">
        <w:rPr>
          <w:lang w:val="sr-Latn-ME"/>
        </w:rPr>
        <w:t xml:space="preserve"> incidenca prijavljenih događaja srčane insuficijencije u grupi u kojoj je prim</w:t>
      </w:r>
      <w:r w:rsidR="002A19A7" w:rsidRPr="007821D0">
        <w:rPr>
          <w:lang w:val="sr-Latn-ME"/>
        </w:rPr>
        <w:t>ij</w:t>
      </w:r>
      <w:r w:rsidRPr="007821D0">
        <w:rPr>
          <w:lang w:val="sr-Latn-ME"/>
        </w:rPr>
        <w:t>enjena kombinovana terapija (14/1610, 0,9%) bila je veća nego u grupi u kojoj je prim</w:t>
      </w:r>
      <w:r w:rsidR="002A19A7" w:rsidRPr="007821D0">
        <w:rPr>
          <w:lang w:val="sr-Latn-ME"/>
        </w:rPr>
        <w:t>ij</w:t>
      </w:r>
      <w:r w:rsidRPr="007821D0">
        <w:rPr>
          <w:lang w:val="sr-Latn-ME"/>
        </w:rPr>
        <w:t>enjena monoterapija: dutasterid (4/1623, 0,2%) i tamsulosin (10/1611, 0,6%).</w:t>
      </w:r>
    </w:p>
    <w:p w14:paraId="73982647" w14:textId="77777777" w:rsidR="0081499A" w:rsidRPr="007821D0" w:rsidRDefault="0081499A" w:rsidP="007821D0">
      <w:pPr>
        <w:spacing w:after="0" w:line="240" w:lineRule="auto"/>
        <w:ind w:left="-5" w:right="3"/>
        <w:jc w:val="both"/>
        <w:rPr>
          <w:lang w:val="sr-Latn-ME"/>
        </w:rPr>
      </w:pPr>
    </w:p>
    <w:p w14:paraId="1B8DFFEF" w14:textId="41361AA6" w:rsidR="00284634" w:rsidRPr="007821D0" w:rsidRDefault="00313D4B" w:rsidP="007821D0">
      <w:pPr>
        <w:spacing w:after="0" w:line="240" w:lineRule="auto"/>
        <w:ind w:left="-5" w:right="3"/>
        <w:jc w:val="both"/>
        <w:rPr>
          <w:lang w:val="sr-Latn-ME"/>
        </w:rPr>
      </w:pPr>
      <w:r w:rsidRPr="007821D0">
        <w:rPr>
          <w:lang w:val="sr-Latn-ME"/>
        </w:rPr>
        <w:t>U okviru drugog četvorogodišnjeg ispitivanja kod 8231 ispitanika muškog pola starosti od 50 do 75 godina, sa prethodno negativnim nalazom biopsije na karcinom prostate i početnom PSA vr</w:t>
      </w:r>
      <w:r w:rsidR="000A2950" w:rsidRPr="007821D0">
        <w:rPr>
          <w:lang w:val="sr-Latn-ME"/>
        </w:rPr>
        <w:t>ij</w:t>
      </w:r>
      <w:r w:rsidRPr="007821D0">
        <w:rPr>
          <w:lang w:val="sr-Latn-ME"/>
        </w:rPr>
        <w:t>ednošću između 2,5 nanograma/mL i 10,0 nanograma/mL za osobe muškog pola starosti između 50 i 60 godina</w:t>
      </w:r>
      <w:r w:rsidR="00DE7E6D" w:rsidRPr="007821D0">
        <w:rPr>
          <w:lang w:val="sr-Latn-ME"/>
        </w:rPr>
        <w:t>,</w:t>
      </w:r>
      <w:r w:rsidRPr="007821D0">
        <w:rPr>
          <w:lang w:val="sr-Latn-ME"/>
        </w:rPr>
        <w:t xml:space="preserve"> ili između 3,0 nanograma/mL i 10,0 nanograma/mL za osobe muškog pola starij</w:t>
      </w:r>
      <w:r w:rsidR="00DE7E6D" w:rsidRPr="007821D0">
        <w:rPr>
          <w:lang w:val="sr-Latn-ME"/>
        </w:rPr>
        <w:t>e</w:t>
      </w:r>
      <w:r w:rsidRPr="007821D0">
        <w:rPr>
          <w:lang w:val="sr-Latn-ME"/>
        </w:rPr>
        <w:t xml:space="preserve"> od 60 godina (REDUCE ispitivanje)</w:t>
      </w:r>
      <w:r w:rsidR="00DE7E6D" w:rsidRPr="007821D0">
        <w:rPr>
          <w:lang w:val="sr-Latn-ME"/>
        </w:rPr>
        <w:t>,</w:t>
      </w:r>
      <w:r w:rsidRPr="007821D0">
        <w:rPr>
          <w:lang w:val="sr-Latn-ME"/>
        </w:rPr>
        <w:t xml:space="preserve"> zab</w:t>
      </w:r>
      <w:r w:rsidR="00DE7E6D" w:rsidRPr="007821D0">
        <w:rPr>
          <w:lang w:val="sr-Latn-ME"/>
        </w:rPr>
        <w:t>il</w:t>
      </w:r>
      <w:r w:rsidR="002A19A7" w:rsidRPr="007821D0">
        <w:rPr>
          <w:lang w:val="sr-Latn-ME"/>
        </w:rPr>
        <w:t>j</w:t>
      </w:r>
      <w:r w:rsidRPr="007821D0">
        <w:rPr>
          <w:lang w:val="sr-Latn-ME"/>
        </w:rPr>
        <w:t>ežena je veća incidenca prijavljenih događaja srčane insuficijencije kod ispitanika kod kojih je prim</w:t>
      </w:r>
      <w:r w:rsidR="000A2950" w:rsidRPr="007821D0">
        <w:rPr>
          <w:lang w:val="sr-Latn-ME"/>
        </w:rPr>
        <w:t>ij</w:t>
      </w:r>
      <w:r w:rsidRPr="007821D0">
        <w:rPr>
          <w:lang w:val="sr-Latn-ME"/>
        </w:rPr>
        <w:t xml:space="preserve">enjena terapija dutasteridom u dozi od 0,5 mg jednom dnevno (30/4105, 0,7%) u odnosu na ispitanike </w:t>
      </w:r>
      <w:r w:rsidRPr="007821D0">
        <w:rPr>
          <w:lang w:val="sr-Latn-ME"/>
        </w:rPr>
        <w:lastRenderedPageBreak/>
        <w:t>kod kojih je prim</w:t>
      </w:r>
      <w:r w:rsidR="000A2950" w:rsidRPr="007821D0">
        <w:rPr>
          <w:lang w:val="sr-Latn-ME"/>
        </w:rPr>
        <w:t>ij</w:t>
      </w:r>
      <w:r w:rsidRPr="007821D0">
        <w:rPr>
          <w:lang w:val="sr-Latn-ME"/>
        </w:rPr>
        <w:t xml:space="preserve">enjen placebo (16/4126, 0,4%). </w:t>
      </w:r>
      <w:r w:rsidRPr="007821D0">
        <w:rPr>
          <w:i/>
          <w:lang w:val="sr-Latn-ME"/>
        </w:rPr>
        <w:t xml:space="preserve">Post-hoc </w:t>
      </w:r>
      <w:r w:rsidRPr="007821D0">
        <w:rPr>
          <w:lang w:val="sr-Latn-ME"/>
        </w:rPr>
        <w:t>analiza navedenog ispitivanja pokazala je veću incidencu prijavljenih događaja srčane insuficijencije kod ispitanika kod kojih je prim</w:t>
      </w:r>
      <w:r w:rsidR="000A2950" w:rsidRPr="007821D0">
        <w:rPr>
          <w:lang w:val="sr-Latn-ME"/>
        </w:rPr>
        <w:t>ij</w:t>
      </w:r>
      <w:r w:rsidRPr="007821D0">
        <w:rPr>
          <w:lang w:val="sr-Latn-ME"/>
        </w:rPr>
        <w:t>enjena terapija dutasteridom uz istovremenu prim</w:t>
      </w:r>
      <w:r w:rsidR="000A2950" w:rsidRPr="007821D0">
        <w:rPr>
          <w:lang w:val="sr-Latn-ME"/>
        </w:rPr>
        <w:t>j</w:t>
      </w:r>
      <w:r w:rsidRPr="007821D0">
        <w:rPr>
          <w:lang w:val="sr-Latn-ME"/>
        </w:rPr>
        <w:t xml:space="preserve">enu alfa blokatora (12/1152, 1,0%) u odnosu na ispitanike kod kojih je </w:t>
      </w:r>
      <w:r w:rsidR="002A19A7" w:rsidRPr="007821D0">
        <w:rPr>
          <w:lang w:val="sr-Latn-ME"/>
        </w:rPr>
        <w:t>primijenjen</w:t>
      </w:r>
      <w:r w:rsidRPr="007821D0">
        <w:rPr>
          <w:lang w:val="sr-Latn-ME"/>
        </w:rPr>
        <w:t xml:space="preserve">a terapija: dutasterid bez </w:t>
      </w:r>
      <w:r w:rsidR="00E91FDE" w:rsidRPr="007821D0">
        <w:rPr>
          <w:lang w:val="sr-Latn-ME"/>
        </w:rPr>
        <w:t>primjene</w:t>
      </w:r>
      <w:r w:rsidRPr="007821D0">
        <w:rPr>
          <w:lang w:val="sr-Latn-ME"/>
        </w:rPr>
        <w:t xml:space="preserve"> alfa blokatora (18/2953, 0,6%), placebo i alfa blokator (1/1399, &lt;0,1%), ili placebo bez </w:t>
      </w:r>
      <w:r w:rsidR="00945237" w:rsidRPr="007821D0">
        <w:rPr>
          <w:lang w:val="sr-Latn-ME"/>
        </w:rPr>
        <w:t xml:space="preserve">primjene </w:t>
      </w:r>
      <w:r w:rsidRPr="007821D0">
        <w:rPr>
          <w:lang w:val="sr-Latn-ME"/>
        </w:rPr>
        <w:t>alfa blokatora (15/2727, 0,6%) (</w:t>
      </w:r>
      <w:r w:rsidR="00E602C2" w:rsidRPr="007821D0">
        <w:rPr>
          <w:lang w:val="sr-Latn-ME"/>
        </w:rPr>
        <w:t>vidjeti</w:t>
      </w:r>
      <w:r w:rsidRPr="007821D0">
        <w:rPr>
          <w:lang w:val="sr-Latn-ME"/>
        </w:rPr>
        <w:t xml:space="preserve"> </w:t>
      </w:r>
      <w:r w:rsidR="00945237" w:rsidRPr="007821D0">
        <w:rPr>
          <w:lang w:val="sr-Latn-ME"/>
        </w:rPr>
        <w:t xml:space="preserve">dio </w:t>
      </w:r>
      <w:r w:rsidRPr="007821D0">
        <w:rPr>
          <w:lang w:val="sr-Latn-ME"/>
        </w:rPr>
        <w:t>4.4).</w:t>
      </w:r>
    </w:p>
    <w:p w14:paraId="608BB363" w14:textId="77777777" w:rsidR="0081499A" w:rsidRPr="007821D0" w:rsidRDefault="0081499A" w:rsidP="007821D0">
      <w:pPr>
        <w:spacing w:after="0" w:line="240" w:lineRule="auto"/>
        <w:ind w:left="-5" w:right="3"/>
        <w:jc w:val="both"/>
        <w:rPr>
          <w:lang w:val="sr-Latn-ME"/>
        </w:rPr>
      </w:pPr>
    </w:p>
    <w:p w14:paraId="31A02ABF" w14:textId="66A6AC2C" w:rsidR="00284634" w:rsidRPr="007821D0" w:rsidRDefault="00313D4B" w:rsidP="007821D0">
      <w:pPr>
        <w:spacing w:after="0" w:line="240" w:lineRule="auto"/>
        <w:ind w:left="-5" w:right="3"/>
        <w:jc w:val="both"/>
        <w:rPr>
          <w:lang w:val="sr-Latn-ME"/>
        </w:rPr>
      </w:pPr>
      <w:r w:rsidRPr="007821D0">
        <w:rPr>
          <w:lang w:val="sr-Latn-ME"/>
        </w:rPr>
        <w:t>U meta analizi 12 randomizovanih, placebo ili komparator kontrolisanih kliničkih studija (n=18802) u kojima je proc</w:t>
      </w:r>
      <w:r w:rsidR="00D23FF4" w:rsidRPr="007821D0">
        <w:rPr>
          <w:lang w:val="sr-Latn-ME"/>
        </w:rPr>
        <w:t>j</w:t>
      </w:r>
      <w:r w:rsidRPr="007821D0">
        <w:rPr>
          <w:lang w:val="sr-Latn-ME"/>
        </w:rPr>
        <w:t xml:space="preserve">enjivan rizik od razvoja kardiovaskularnih neželjenih događaja prilikom </w:t>
      </w:r>
      <w:r w:rsidR="00E91FDE" w:rsidRPr="007821D0">
        <w:rPr>
          <w:lang w:val="sr-Latn-ME"/>
        </w:rPr>
        <w:t>primjene</w:t>
      </w:r>
      <w:r w:rsidRPr="007821D0">
        <w:rPr>
          <w:lang w:val="sr-Latn-ME"/>
        </w:rPr>
        <w:t xml:space="preserve"> dutasterida (u poređenju sa kontrolama), ni</w:t>
      </w:r>
      <w:r w:rsidR="00D23FF4" w:rsidRPr="007821D0">
        <w:rPr>
          <w:lang w:val="sr-Latn-ME"/>
        </w:rPr>
        <w:t>je</w:t>
      </w:r>
      <w:r w:rsidRPr="007821D0">
        <w:rPr>
          <w:lang w:val="sr-Latn-ME"/>
        </w:rPr>
        <w:t>su pronađena konzistentna statistički značajna povećanja rizika za nastanak srčane insuficijencije (RR 1,05; 95% CI 0,71</w:t>
      </w:r>
      <w:r w:rsidR="00D23FF4" w:rsidRPr="007821D0">
        <w:rPr>
          <w:lang w:val="sr-Latn-ME"/>
        </w:rPr>
        <w:t>;</w:t>
      </w:r>
      <w:r w:rsidRPr="007821D0">
        <w:rPr>
          <w:lang w:val="sr-Latn-ME"/>
        </w:rPr>
        <w:t xml:space="preserve"> 1,57), akutnog infarkta miokarda (RR 1,00; 95% CI 0,77</w:t>
      </w:r>
      <w:r w:rsidR="00D23FF4" w:rsidRPr="007821D0">
        <w:rPr>
          <w:lang w:val="sr-Latn-ME"/>
        </w:rPr>
        <w:t>;</w:t>
      </w:r>
      <w:r w:rsidRPr="007821D0">
        <w:rPr>
          <w:lang w:val="sr-Latn-ME"/>
        </w:rPr>
        <w:t xml:space="preserve"> 1,30) ili moždanog udara (RR 1,20; 95% CI 0,88</w:t>
      </w:r>
      <w:r w:rsidR="00D23FF4" w:rsidRPr="007821D0">
        <w:rPr>
          <w:lang w:val="sr-Latn-ME"/>
        </w:rPr>
        <w:t>;</w:t>
      </w:r>
      <w:r w:rsidRPr="007821D0">
        <w:rPr>
          <w:lang w:val="sr-Latn-ME"/>
        </w:rPr>
        <w:t xml:space="preserve"> 1,64).</w:t>
      </w:r>
    </w:p>
    <w:p w14:paraId="6FBE8F79" w14:textId="77777777" w:rsidR="0081499A" w:rsidRPr="007821D0" w:rsidRDefault="0081499A" w:rsidP="007821D0">
      <w:pPr>
        <w:pStyle w:val="Heading1"/>
        <w:spacing w:after="0" w:line="240" w:lineRule="auto"/>
        <w:ind w:left="-5"/>
        <w:rPr>
          <w:lang w:val="sr-Latn-ME"/>
        </w:rPr>
      </w:pPr>
    </w:p>
    <w:p w14:paraId="6894C0B1" w14:textId="6893234F" w:rsidR="00284634" w:rsidRPr="007821D0" w:rsidRDefault="00313D4B" w:rsidP="007821D0">
      <w:pPr>
        <w:pStyle w:val="Heading1"/>
        <w:spacing w:after="0" w:line="240" w:lineRule="auto"/>
        <w:ind w:left="-5"/>
        <w:rPr>
          <w:lang w:val="sr-Latn-ME"/>
        </w:rPr>
      </w:pPr>
      <w:r w:rsidRPr="007821D0">
        <w:rPr>
          <w:lang w:val="sr-Latn-ME"/>
        </w:rPr>
        <w:t>Karcinom prostate i tumori visokog stepena maligniteta</w:t>
      </w:r>
    </w:p>
    <w:p w14:paraId="734473E5" w14:textId="77777777" w:rsidR="0081499A" w:rsidRPr="007821D0" w:rsidRDefault="0081499A" w:rsidP="007821D0">
      <w:pPr>
        <w:spacing w:after="0" w:line="240" w:lineRule="auto"/>
        <w:ind w:left="-5" w:right="3"/>
        <w:jc w:val="both"/>
        <w:rPr>
          <w:lang w:val="sr-Latn-ME"/>
        </w:rPr>
      </w:pPr>
    </w:p>
    <w:p w14:paraId="052F916F" w14:textId="1144D4B8" w:rsidR="00284634" w:rsidRPr="007821D0" w:rsidRDefault="00313D4B" w:rsidP="007821D0">
      <w:pPr>
        <w:spacing w:after="0" w:line="240" w:lineRule="auto"/>
        <w:ind w:left="-5" w:right="3"/>
        <w:jc w:val="both"/>
        <w:rPr>
          <w:lang w:val="sr-Latn-ME"/>
        </w:rPr>
      </w:pPr>
      <w:r w:rsidRPr="007821D0">
        <w:rPr>
          <w:lang w:val="sr-Latn-ME"/>
        </w:rPr>
        <w:t xml:space="preserve">U okviru četvorogodišnjeg ispitivanja poređenja </w:t>
      </w:r>
      <w:r w:rsidR="00E91FDE" w:rsidRPr="007821D0">
        <w:rPr>
          <w:lang w:val="sr-Latn-ME"/>
        </w:rPr>
        <w:t>primjene</w:t>
      </w:r>
      <w:r w:rsidRPr="007821D0">
        <w:rPr>
          <w:lang w:val="sr-Latn-ME"/>
        </w:rPr>
        <w:t xml:space="preserve"> placeba i dutasterida kod 8231 ispitanika muškog pola starosti od 50 do 75 godina, sa prethodno negativnim nalazom biopsije na karcinom prostate i početnom PSA vr</w:t>
      </w:r>
      <w:r w:rsidR="002A19A7" w:rsidRPr="007821D0">
        <w:rPr>
          <w:lang w:val="sr-Latn-ME"/>
        </w:rPr>
        <w:t>ij</w:t>
      </w:r>
      <w:r w:rsidRPr="007821D0">
        <w:rPr>
          <w:lang w:val="sr-Latn-ME"/>
        </w:rPr>
        <w:t>ednošću između 2,5 nanograma/</w:t>
      </w:r>
      <w:r w:rsidR="0081499A" w:rsidRPr="007821D0">
        <w:rPr>
          <w:lang w:val="sr-Latn-ME"/>
        </w:rPr>
        <w:t xml:space="preserve">ml </w:t>
      </w:r>
      <w:r w:rsidRPr="007821D0">
        <w:rPr>
          <w:lang w:val="sr-Latn-ME"/>
        </w:rPr>
        <w:t>i 10,0 nanograma/</w:t>
      </w:r>
      <w:r w:rsidR="0081499A" w:rsidRPr="007821D0">
        <w:rPr>
          <w:lang w:val="sr-Latn-ME"/>
        </w:rPr>
        <w:t xml:space="preserve">ml </w:t>
      </w:r>
      <w:r w:rsidRPr="007821D0">
        <w:rPr>
          <w:lang w:val="sr-Latn-ME"/>
        </w:rPr>
        <w:t>za osobe muškog pola starosti između 50 i 60 godina</w:t>
      </w:r>
      <w:r w:rsidR="00D23FF4" w:rsidRPr="007821D0">
        <w:rPr>
          <w:lang w:val="sr-Latn-ME"/>
        </w:rPr>
        <w:t>,</w:t>
      </w:r>
      <w:r w:rsidRPr="007821D0">
        <w:rPr>
          <w:lang w:val="sr-Latn-ME"/>
        </w:rPr>
        <w:t xml:space="preserve"> ili između 3 nanograma/</w:t>
      </w:r>
      <w:r w:rsidR="0081499A" w:rsidRPr="007821D0">
        <w:rPr>
          <w:lang w:val="sr-Latn-ME"/>
        </w:rPr>
        <w:t xml:space="preserve">ml </w:t>
      </w:r>
      <w:r w:rsidRPr="007821D0">
        <w:rPr>
          <w:lang w:val="sr-Latn-ME"/>
        </w:rPr>
        <w:t>i 10,0 nanograma/</w:t>
      </w:r>
      <w:r w:rsidR="0081499A" w:rsidRPr="007821D0">
        <w:rPr>
          <w:lang w:val="sr-Latn-ME"/>
        </w:rPr>
        <w:t xml:space="preserve">ml </w:t>
      </w:r>
      <w:r w:rsidRPr="007821D0">
        <w:rPr>
          <w:lang w:val="sr-Latn-ME"/>
        </w:rPr>
        <w:t>za osobe muškog pola starij</w:t>
      </w:r>
      <w:r w:rsidR="00D23FF4" w:rsidRPr="007821D0">
        <w:rPr>
          <w:lang w:val="sr-Latn-ME"/>
        </w:rPr>
        <w:t>e</w:t>
      </w:r>
      <w:r w:rsidRPr="007821D0">
        <w:rPr>
          <w:lang w:val="sr-Latn-ME"/>
        </w:rPr>
        <w:t xml:space="preserve"> od 60 godina (REDUCE ispitivanje), za 6706 ispitanika dobijeni su podaci nakon biopsije prostate</w:t>
      </w:r>
      <w:r w:rsidR="00D23FF4" w:rsidRPr="007821D0">
        <w:rPr>
          <w:lang w:val="sr-Latn-ME"/>
        </w:rPr>
        <w:t xml:space="preserve"> iglom</w:t>
      </w:r>
      <w:r w:rsidRPr="007821D0">
        <w:rPr>
          <w:lang w:val="sr-Latn-ME"/>
        </w:rPr>
        <w:t xml:space="preserve"> (prvenstveno predviđene protokolom) i korišćeni </w:t>
      </w:r>
      <w:r w:rsidR="00D23FF4" w:rsidRPr="007821D0">
        <w:rPr>
          <w:lang w:val="sr-Latn-ME"/>
        </w:rPr>
        <w:t xml:space="preserve">su </w:t>
      </w:r>
      <w:r w:rsidRPr="007821D0">
        <w:rPr>
          <w:lang w:val="sr-Latn-ME"/>
        </w:rPr>
        <w:t xml:space="preserve">za određivanje </w:t>
      </w:r>
      <w:r w:rsidRPr="007821D0">
        <w:rPr>
          <w:i/>
          <w:lang w:val="sr-Latn-ME"/>
        </w:rPr>
        <w:t>Gleason</w:t>
      </w:r>
      <w:r w:rsidRPr="007821D0">
        <w:rPr>
          <w:lang w:val="sr-Latn-ME"/>
        </w:rPr>
        <w:t>-ovog skora. U navedenom ispitivanju, kod 1517 ispitanika dijagnostifikovan je karcinom prostate. Većina karcinoma prostate otkrivenih biopsijom u ob</w:t>
      </w:r>
      <w:r w:rsidR="002A19A7" w:rsidRPr="007821D0">
        <w:rPr>
          <w:lang w:val="sr-Latn-ME"/>
        </w:rPr>
        <w:t>j</w:t>
      </w:r>
      <w:r w:rsidRPr="007821D0">
        <w:rPr>
          <w:lang w:val="sr-Latn-ME"/>
        </w:rPr>
        <w:t>e ispitivane grupe bila je niskog stepena maligniteta (</w:t>
      </w:r>
      <w:r w:rsidRPr="007821D0">
        <w:rPr>
          <w:i/>
          <w:lang w:val="sr-Latn-ME"/>
        </w:rPr>
        <w:t xml:space="preserve">Gleason </w:t>
      </w:r>
      <w:r w:rsidRPr="007821D0">
        <w:rPr>
          <w:lang w:val="sr-Latn-ME"/>
        </w:rPr>
        <w:t>skor 5-6, 70%).</w:t>
      </w:r>
    </w:p>
    <w:p w14:paraId="0B97E56F" w14:textId="77777777" w:rsidR="0081499A" w:rsidRPr="007821D0" w:rsidRDefault="0081499A" w:rsidP="007821D0">
      <w:pPr>
        <w:spacing w:after="0" w:line="240" w:lineRule="auto"/>
        <w:ind w:left="-5" w:right="3"/>
        <w:jc w:val="both"/>
        <w:rPr>
          <w:lang w:val="sr-Latn-ME"/>
        </w:rPr>
      </w:pPr>
    </w:p>
    <w:p w14:paraId="0CEB128A" w14:textId="040D2D9F" w:rsidR="00284634" w:rsidRPr="007821D0" w:rsidRDefault="00313D4B" w:rsidP="007821D0">
      <w:pPr>
        <w:spacing w:after="0" w:line="240" w:lineRule="auto"/>
        <w:ind w:left="-5" w:right="3"/>
        <w:jc w:val="both"/>
        <w:rPr>
          <w:lang w:val="sr-Latn-ME"/>
        </w:rPr>
      </w:pPr>
      <w:r w:rsidRPr="007821D0">
        <w:rPr>
          <w:lang w:val="sr-Latn-ME"/>
        </w:rPr>
        <w:t xml:space="preserve">Veća incidenca karcinoma prostate </w:t>
      </w:r>
      <w:r w:rsidRPr="007821D0">
        <w:rPr>
          <w:i/>
          <w:lang w:val="sr-Latn-ME"/>
        </w:rPr>
        <w:t>Gleason</w:t>
      </w:r>
      <w:r w:rsidRPr="007821D0">
        <w:rPr>
          <w:lang w:val="sr-Latn-ME"/>
        </w:rPr>
        <w:t>-ovog skora 8-10 zab</w:t>
      </w:r>
      <w:r w:rsidR="00D23FF4" w:rsidRPr="007821D0">
        <w:rPr>
          <w:lang w:val="sr-Latn-ME"/>
        </w:rPr>
        <w:t>il</w:t>
      </w:r>
      <w:r w:rsidR="002A19A7" w:rsidRPr="007821D0">
        <w:rPr>
          <w:lang w:val="sr-Latn-ME"/>
        </w:rPr>
        <w:t>j</w:t>
      </w:r>
      <w:r w:rsidRPr="007821D0">
        <w:rPr>
          <w:lang w:val="sr-Latn-ME"/>
        </w:rPr>
        <w:t xml:space="preserve">ežena je u grupi ispitanika kod kojih je </w:t>
      </w:r>
      <w:r w:rsidR="002A19A7" w:rsidRPr="007821D0">
        <w:rPr>
          <w:lang w:val="sr-Latn-ME"/>
        </w:rPr>
        <w:t>primjenj</w:t>
      </w:r>
      <w:r w:rsidR="00616E86" w:rsidRPr="007821D0">
        <w:rPr>
          <w:lang w:val="sr-Latn-ME"/>
        </w:rPr>
        <w:t>ivan</w:t>
      </w:r>
      <w:r w:rsidRPr="007821D0">
        <w:rPr>
          <w:lang w:val="sr-Latn-ME"/>
        </w:rPr>
        <w:t xml:space="preserve"> dutasterid (n=29, 0,9%) u odnosu na grupu kod koje je </w:t>
      </w:r>
      <w:r w:rsidR="002A19A7" w:rsidRPr="007821D0">
        <w:rPr>
          <w:lang w:val="sr-Latn-ME"/>
        </w:rPr>
        <w:t>primjenj</w:t>
      </w:r>
      <w:r w:rsidR="00616E86" w:rsidRPr="007821D0">
        <w:rPr>
          <w:lang w:val="sr-Latn-ME"/>
        </w:rPr>
        <w:t>ivan</w:t>
      </w:r>
      <w:r w:rsidRPr="007821D0">
        <w:rPr>
          <w:lang w:val="sr-Latn-ME"/>
        </w:rPr>
        <w:t xml:space="preserve"> placebo (n=19, 0,6%) (</w:t>
      </w:r>
      <w:r w:rsidR="00616E86" w:rsidRPr="007821D0">
        <w:rPr>
          <w:lang w:val="sr-Latn-ME"/>
        </w:rPr>
        <w:t>p</w:t>
      </w:r>
      <w:r w:rsidRPr="007821D0">
        <w:rPr>
          <w:lang w:val="sr-Latn-ME"/>
        </w:rPr>
        <w:t xml:space="preserve">=0,15). U toku prve i druge godine ispitivanja, broj ispitanika sa karcinomom prostate </w:t>
      </w:r>
      <w:r w:rsidRPr="007821D0">
        <w:rPr>
          <w:i/>
          <w:lang w:val="sr-Latn-ME"/>
        </w:rPr>
        <w:t>Gleason</w:t>
      </w:r>
      <w:r w:rsidRPr="007821D0">
        <w:rPr>
          <w:lang w:val="sr-Latn-ME"/>
        </w:rPr>
        <w:t xml:space="preserve">-ovog skora 8-10 bio je </w:t>
      </w:r>
      <w:r w:rsidR="00616E86" w:rsidRPr="007821D0">
        <w:rPr>
          <w:lang w:val="sr-Latn-ME"/>
        </w:rPr>
        <w:t xml:space="preserve">sličan </w:t>
      </w:r>
      <w:r w:rsidRPr="007821D0">
        <w:rPr>
          <w:lang w:val="sr-Latn-ME"/>
        </w:rPr>
        <w:t>u grupi u kojoj je prim</w:t>
      </w:r>
      <w:r w:rsidR="002A19A7" w:rsidRPr="007821D0">
        <w:rPr>
          <w:lang w:val="sr-Latn-ME"/>
        </w:rPr>
        <w:t>ij</w:t>
      </w:r>
      <w:r w:rsidRPr="007821D0">
        <w:rPr>
          <w:lang w:val="sr-Latn-ME"/>
        </w:rPr>
        <w:t xml:space="preserve">enjen dutasterid (n=17, 0,5%) i grupi u kojoj je </w:t>
      </w:r>
      <w:r w:rsidR="002A19A7" w:rsidRPr="007821D0">
        <w:rPr>
          <w:lang w:val="sr-Latn-ME"/>
        </w:rPr>
        <w:t>primijenjen</w:t>
      </w:r>
      <w:r w:rsidRPr="007821D0">
        <w:rPr>
          <w:lang w:val="sr-Latn-ME"/>
        </w:rPr>
        <w:t xml:space="preserve"> placebo (n=18, 0,5%). U toku treće i četvrte godine ispitivanja, veći broj karcinoma prostate </w:t>
      </w:r>
      <w:r w:rsidRPr="007821D0">
        <w:rPr>
          <w:i/>
          <w:lang w:val="sr-Latn-ME"/>
        </w:rPr>
        <w:t>Gleason</w:t>
      </w:r>
      <w:r w:rsidRPr="007821D0">
        <w:rPr>
          <w:lang w:val="sr-Latn-ME"/>
        </w:rPr>
        <w:t>-ovog skora 8-10 zab</w:t>
      </w:r>
      <w:r w:rsidR="00616E86" w:rsidRPr="007821D0">
        <w:rPr>
          <w:lang w:val="sr-Latn-ME"/>
        </w:rPr>
        <w:t>i</w:t>
      </w:r>
      <w:r w:rsidRPr="007821D0">
        <w:rPr>
          <w:lang w:val="sr-Latn-ME"/>
        </w:rPr>
        <w:t>l</w:t>
      </w:r>
      <w:r w:rsidR="00616E86" w:rsidRPr="007821D0">
        <w:rPr>
          <w:lang w:val="sr-Latn-ME"/>
        </w:rPr>
        <w:t>j</w:t>
      </w:r>
      <w:r w:rsidRPr="007821D0">
        <w:rPr>
          <w:lang w:val="sr-Latn-ME"/>
        </w:rPr>
        <w:t>ežen je u grupi u kojoj je prim</w:t>
      </w:r>
      <w:r w:rsidR="002A19A7" w:rsidRPr="007821D0">
        <w:rPr>
          <w:lang w:val="sr-Latn-ME"/>
        </w:rPr>
        <w:t>ij</w:t>
      </w:r>
      <w:r w:rsidRPr="007821D0">
        <w:rPr>
          <w:lang w:val="sr-Latn-ME"/>
        </w:rPr>
        <w:t>enjen dutasterid (n=12, 0,5%) u odnosu na grupu u kojoj je prim</w:t>
      </w:r>
      <w:r w:rsidR="002A19A7" w:rsidRPr="007821D0">
        <w:rPr>
          <w:lang w:val="sr-Latn-ME"/>
        </w:rPr>
        <w:t>ij</w:t>
      </w:r>
      <w:r w:rsidRPr="007821D0">
        <w:rPr>
          <w:lang w:val="sr-Latn-ME"/>
        </w:rPr>
        <w:t xml:space="preserve">enjen placebo (n=1, &lt;0,1%) (p=0,0035). Nema dostupnih podataka o uticaju </w:t>
      </w:r>
      <w:r w:rsidR="00E91FDE" w:rsidRPr="007821D0">
        <w:rPr>
          <w:lang w:val="sr-Latn-ME"/>
        </w:rPr>
        <w:t>primjene</w:t>
      </w:r>
      <w:r w:rsidRPr="007821D0">
        <w:rPr>
          <w:lang w:val="sr-Latn-ME"/>
        </w:rPr>
        <w:t xml:space="preserve"> dutasterida nakon perioda od </w:t>
      </w:r>
    </w:p>
    <w:p w14:paraId="3132E8FD" w14:textId="53A84260" w:rsidR="00284634" w:rsidRPr="007821D0" w:rsidRDefault="00313D4B" w:rsidP="007821D0">
      <w:pPr>
        <w:spacing w:after="0" w:line="240" w:lineRule="auto"/>
        <w:ind w:left="-5" w:right="3"/>
        <w:jc w:val="both"/>
        <w:rPr>
          <w:lang w:val="sr-Latn-ME"/>
        </w:rPr>
      </w:pPr>
      <w:r w:rsidRPr="007821D0">
        <w:rPr>
          <w:lang w:val="sr-Latn-ME"/>
        </w:rPr>
        <w:t xml:space="preserve">4 godine kod muškaraca sa rizikom od razvoja karcinoma prostate. Procenat ispitanika kojima je dijagnostifikovan karcinom prostate </w:t>
      </w:r>
      <w:r w:rsidRPr="007821D0">
        <w:rPr>
          <w:i/>
          <w:lang w:val="sr-Latn-ME"/>
        </w:rPr>
        <w:t>Gleason</w:t>
      </w:r>
      <w:r w:rsidRPr="007821D0">
        <w:rPr>
          <w:lang w:val="sr-Latn-ME"/>
        </w:rPr>
        <w:t>-ovog skora 8-10 bio je konzistentan u toku perioda ispitivanja (u toku prve i druge kao i treće i četvrte godine ispitivanja) u grupi u kojoj je prim</w:t>
      </w:r>
      <w:r w:rsidR="002A19A7" w:rsidRPr="007821D0">
        <w:rPr>
          <w:lang w:val="sr-Latn-ME"/>
        </w:rPr>
        <w:t>ij</w:t>
      </w:r>
      <w:r w:rsidRPr="007821D0">
        <w:rPr>
          <w:lang w:val="sr-Latn-ME"/>
        </w:rPr>
        <w:t>enjen dutasterid (0,5% u toku c</w:t>
      </w:r>
      <w:r w:rsidR="00616E86" w:rsidRPr="007821D0">
        <w:rPr>
          <w:lang w:val="sr-Latn-ME"/>
        </w:rPr>
        <w:t>ij</w:t>
      </w:r>
      <w:r w:rsidRPr="007821D0">
        <w:rPr>
          <w:lang w:val="sr-Latn-ME"/>
        </w:rPr>
        <w:t xml:space="preserve">elog perioda ispitivanja), dok je u grupi u kojoj je </w:t>
      </w:r>
      <w:r w:rsidR="002A19A7" w:rsidRPr="007821D0">
        <w:rPr>
          <w:lang w:val="sr-Latn-ME"/>
        </w:rPr>
        <w:t>primijenjen</w:t>
      </w:r>
      <w:r w:rsidRPr="007821D0">
        <w:rPr>
          <w:lang w:val="sr-Latn-ME"/>
        </w:rPr>
        <w:t xml:space="preserve"> placebo procenat ispitanika kojima je dijagnostifikovan karcinom prostate </w:t>
      </w:r>
      <w:r w:rsidRPr="007821D0">
        <w:rPr>
          <w:i/>
          <w:lang w:val="sr-Latn-ME"/>
        </w:rPr>
        <w:t>Gleason</w:t>
      </w:r>
      <w:r w:rsidRPr="007821D0">
        <w:rPr>
          <w:lang w:val="sr-Latn-ME"/>
        </w:rPr>
        <w:t>-ovog skora 8-10 bio niži u toku treće i četvrte godine ispitivanja u odnosu na prvu i drugu godinu (&lt;0,1% u odnosu na 0,5%, tim redom) (</w:t>
      </w:r>
      <w:r w:rsidR="00E602C2" w:rsidRPr="007821D0">
        <w:rPr>
          <w:lang w:val="sr-Latn-ME"/>
        </w:rPr>
        <w:t>vidjeti</w:t>
      </w:r>
      <w:r w:rsidRPr="007821D0">
        <w:rPr>
          <w:lang w:val="sr-Latn-ME"/>
        </w:rPr>
        <w:t xml:space="preserve"> </w:t>
      </w:r>
      <w:r w:rsidR="002C2B0B" w:rsidRPr="007821D0">
        <w:rPr>
          <w:lang w:val="sr-Latn-ME"/>
        </w:rPr>
        <w:t xml:space="preserve">dio </w:t>
      </w:r>
      <w:r w:rsidRPr="007821D0">
        <w:rPr>
          <w:lang w:val="sr-Latn-ME"/>
        </w:rPr>
        <w:t xml:space="preserve">4.4). Nije bilo razlike u incidenci pojave karcinoma prostate </w:t>
      </w:r>
      <w:r w:rsidRPr="007821D0">
        <w:rPr>
          <w:i/>
          <w:lang w:val="sr-Latn-ME"/>
        </w:rPr>
        <w:t>Gleason</w:t>
      </w:r>
      <w:r w:rsidRPr="007821D0">
        <w:rPr>
          <w:lang w:val="sr-Latn-ME"/>
        </w:rPr>
        <w:t>-ovog skora 7-10 (</w:t>
      </w:r>
      <w:r w:rsidR="002C2B0B" w:rsidRPr="007821D0">
        <w:rPr>
          <w:lang w:val="sr-Latn-ME"/>
        </w:rPr>
        <w:t>p</w:t>
      </w:r>
      <w:r w:rsidRPr="007821D0">
        <w:rPr>
          <w:lang w:val="sr-Latn-ME"/>
        </w:rPr>
        <w:t>=0,81).</w:t>
      </w:r>
    </w:p>
    <w:p w14:paraId="0EB01499" w14:textId="77777777" w:rsidR="0081499A" w:rsidRPr="007821D0" w:rsidRDefault="0081499A" w:rsidP="007821D0">
      <w:pPr>
        <w:spacing w:after="0" w:line="240" w:lineRule="auto"/>
        <w:ind w:left="-5" w:right="3"/>
        <w:jc w:val="both"/>
        <w:rPr>
          <w:lang w:val="sr-Latn-ME"/>
        </w:rPr>
      </w:pPr>
    </w:p>
    <w:p w14:paraId="0920F5E0" w14:textId="7B5CC89F" w:rsidR="00284634" w:rsidRPr="007821D0" w:rsidRDefault="002C2B0B" w:rsidP="007821D0">
      <w:pPr>
        <w:spacing w:after="0" w:line="240" w:lineRule="auto"/>
        <w:ind w:left="-5" w:right="3"/>
        <w:jc w:val="both"/>
        <w:rPr>
          <w:lang w:val="sr-Latn-ME"/>
        </w:rPr>
      </w:pPr>
      <w:r w:rsidRPr="007821D0">
        <w:rPr>
          <w:lang w:val="sr-Latn-ME"/>
        </w:rPr>
        <w:t>U d</w:t>
      </w:r>
      <w:r w:rsidR="00313D4B" w:rsidRPr="007821D0">
        <w:rPr>
          <w:lang w:val="sr-Latn-ME"/>
        </w:rPr>
        <w:t>odatno</w:t>
      </w:r>
      <w:r w:rsidRPr="007821D0">
        <w:rPr>
          <w:lang w:val="sr-Latn-ME"/>
        </w:rPr>
        <w:t>m</w:t>
      </w:r>
      <w:r w:rsidR="00313D4B" w:rsidRPr="007821D0">
        <w:rPr>
          <w:lang w:val="sr-Latn-ME"/>
        </w:rPr>
        <w:t xml:space="preserve"> dvogodišnje</w:t>
      </w:r>
      <w:r w:rsidRPr="007821D0">
        <w:rPr>
          <w:lang w:val="sr-Latn-ME"/>
        </w:rPr>
        <w:t>m</w:t>
      </w:r>
      <w:r w:rsidR="00313D4B" w:rsidRPr="007821D0">
        <w:rPr>
          <w:lang w:val="sr-Latn-ME"/>
        </w:rPr>
        <w:t xml:space="preserve"> praćenj</w:t>
      </w:r>
      <w:r w:rsidRPr="007821D0">
        <w:rPr>
          <w:lang w:val="sr-Latn-ME"/>
        </w:rPr>
        <w:t>u</w:t>
      </w:r>
      <w:r w:rsidR="00313D4B" w:rsidRPr="007821D0">
        <w:rPr>
          <w:lang w:val="sr-Latn-ME"/>
        </w:rPr>
        <w:t xml:space="preserve"> REDUCE studije nije identifikova</w:t>
      </w:r>
      <w:r w:rsidRPr="007821D0">
        <w:rPr>
          <w:lang w:val="sr-Latn-ME"/>
        </w:rPr>
        <w:t>n</w:t>
      </w:r>
      <w:r w:rsidR="00313D4B" w:rsidRPr="007821D0">
        <w:rPr>
          <w:lang w:val="sr-Latn-ME"/>
        </w:rPr>
        <w:t xml:space="preserve"> nijedan novi slučaj karcinoma prostate </w:t>
      </w:r>
      <w:r w:rsidR="00313D4B" w:rsidRPr="007821D0">
        <w:rPr>
          <w:i/>
          <w:lang w:val="sr-Latn-ME"/>
        </w:rPr>
        <w:t>Gleason</w:t>
      </w:r>
      <w:r w:rsidR="00313D4B" w:rsidRPr="007821D0">
        <w:rPr>
          <w:lang w:val="sr-Latn-ME"/>
        </w:rPr>
        <w:t xml:space="preserve">-ovog skora 8-10.  </w:t>
      </w:r>
    </w:p>
    <w:p w14:paraId="5C592255" w14:textId="77777777" w:rsidR="0081499A" w:rsidRPr="007821D0" w:rsidRDefault="0081499A" w:rsidP="007821D0">
      <w:pPr>
        <w:spacing w:after="0" w:line="240" w:lineRule="auto"/>
        <w:ind w:left="-5" w:right="3"/>
        <w:jc w:val="both"/>
        <w:rPr>
          <w:lang w:val="sr-Latn-ME"/>
        </w:rPr>
      </w:pPr>
    </w:p>
    <w:p w14:paraId="50853C2F" w14:textId="62B54DA2" w:rsidR="00284634" w:rsidRPr="007821D0" w:rsidRDefault="00313D4B" w:rsidP="007821D0">
      <w:pPr>
        <w:spacing w:after="0" w:line="240" w:lineRule="auto"/>
        <w:ind w:left="-5" w:right="3"/>
        <w:jc w:val="both"/>
        <w:rPr>
          <w:lang w:val="sr-Latn-ME"/>
        </w:rPr>
      </w:pPr>
      <w:r w:rsidRPr="007821D0">
        <w:rPr>
          <w:lang w:val="sr-Latn-ME"/>
        </w:rPr>
        <w:t xml:space="preserve">U četvorogodišnjoj studiji (CombAT) </w:t>
      </w:r>
      <w:r w:rsidR="002C2B0B" w:rsidRPr="007821D0">
        <w:rPr>
          <w:lang w:val="sr-Latn-ME"/>
        </w:rPr>
        <w:t xml:space="preserve">u kojoj </w:t>
      </w:r>
      <w:r w:rsidRPr="007821D0">
        <w:rPr>
          <w:lang w:val="sr-Latn-ME"/>
        </w:rPr>
        <w:t>protokolom nije bila predviđena biopsija i sve dijagnoze karcinoma prostate su bile bazirane na nalazima pre</w:t>
      </w:r>
      <w:r w:rsidR="002C2B0B" w:rsidRPr="007821D0">
        <w:rPr>
          <w:lang w:val="sr-Latn-ME"/>
        </w:rPr>
        <w:t>t</w:t>
      </w:r>
      <w:r w:rsidRPr="007821D0">
        <w:rPr>
          <w:lang w:val="sr-Latn-ME"/>
        </w:rPr>
        <w:t xml:space="preserve">hodno vršenih biopsija, stope karcinoma sa </w:t>
      </w:r>
      <w:r w:rsidRPr="007821D0">
        <w:rPr>
          <w:i/>
          <w:lang w:val="sr-Latn-ME"/>
        </w:rPr>
        <w:t xml:space="preserve">Gleason </w:t>
      </w:r>
      <w:r w:rsidRPr="007821D0">
        <w:rPr>
          <w:lang w:val="sr-Latn-ME"/>
        </w:rPr>
        <w:t xml:space="preserve">skorom 8-10 su bile (n=8, 0,5%) kod pacijenata koji su primali dutasterid, (n=11, 0,7%) kod pacijenata koji su primali tamsulosin i (n=5, 0,3%) kod pacijenata koji su primali kombinovanu terapiju. </w:t>
      </w:r>
    </w:p>
    <w:p w14:paraId="13F18CB7" w14:textId="77777777" w:rsidR="0081499A" w:rsidRPr="007821D0" w:rsidRDefault="0081499A" w:rsidP="007821D0">
      <w:pPr>
        <w:spacing w:after="0" w:line="240" w:lineRule="auto"/>
        <w:ind w:left="-5" w:right="3"/>
        <w:jc w:val="both"/>
        <w:rPr>
          <w:lang w:val="sr-Latn-ME"/>
        </w:rPr>
      </w:pPr>
    </w:p>
    <w:p w14:paraId="2262BE8D" w14:textId="4D140DBB" w:rsidR="00284634" w:rsidRPr="007821D0" w:rsidRDefault="00313D4B" w:rsidP="007821D0">
      <w:pPr>
        <w:spacing w:after="0" w:line="240" w:lineRule="auto"/>
        <w:ind w:left="-5" w:right="3"/>
        <w:jc w:val="both"/>
        <w:rPr>
          <w:lang w:val="sr-Latn-ME"/>
        </w:rPr>
      </w:pPr>
      <w:r w:rsidRPr="007821D0">
        <w:rPr>
          <w:lang w:val="sr-Latn-ME"/>
        </w:rPr>
        <w:t xml:space="preserve">Nije </w:t>
      </w:r>
      <w:r w:rsidR="00D21754" w:rsidRPr="007821D0">
        <w:rPr>
          <w:lang w:val="sr-Latn-ME"/>
        </w:rPr>
        <w:t xml:space="preserve">jasno </w:t>
      </w:r>
      <w:r w:rsidRPr="007821D0">
        <w:rPr>
          <w:lang w:val="sr-Latn-ME"/>
        </w:rPr>
        <w:t>da li postoji uzročn</w:t>
      </w:r>
      <w:r w:rsidR="00D21754" w:rsidRPr="007821D0">
        <w:rPr>
          <w:lang w:val="sr-Latn-ME"/>
        </w:rPr>
        <w:t>o-posljedična</w:t>
      </w:r>
      <w:r w:rsidRPr="007821D0">
        <w:rPr>
          <w:lang w:val="sr-Latn-ME"/>
        </w:rPr>
        <w:t xml:space="preserve"> povezanost </w:t>
      </w:r>
      <w:r w:rsidR="00E91FDE" w:rsidRPr="007821D0">
        <w:rPr>
          <w:lang w:val="sr-Latn-ME"/>
        </w:rPr>
        <w:t>primjene</w:t>
      </w:r>
      <w:r w:rsidRPr="007821D0">
        <w:rPr>
          <w:lang w:val="sr-Latn-ME"/>
        </w:rPr>
        <w:t xml:space="preserve"> dutasterida i pojave karcinoma prostate visokog stepena maligniteta.</w:t>
      </w:r>
    </w:p>
    <w:p w14:paraId="741E7773" w14:textId="77777777" w:rsidR="0081499A" w:rsidRPr="007821D0" w:rsidRDefault="0081499A" w:rsidP="007821D0">
      <w:pPr>
        <w:spacing w:after="0" w:line="240" w:lineRule="auto"/>
        <w:ind w:left="-5"/>
        <w:rPr>
          <w:u w:val="single" w:color="000000"/>
          <w:lang w:val="sr-Latn-ME"/>
        </w:rPr>
      </w:pPr>
    </w:p>
    <w:p w14:paraId="4134FB25" w14:textId="2E1B9B38" w:rsidR="00284634" w:rsidRPr="007821D0" w:rsidRDefault="00313D4B" w:rsidP="007821D0">
      <w:pPr>
        <w:spacing w:after="0" w:line="240" w:lineRule="auto"/>
        <w:ind w:left="-5"/>
        <w:rPr>
          <w:lang w:val="sr-Latn-ME"/>
        </w:rPr>
      </w:pPr>
      <w:r w:rsidRPr="007821D0">
        <w:rPr>
          <w:u w:val="single" w:color="000000"/>
          <w:lang w:val="sr-Latn-ME"/>
        </w:rPr>
        <w:t>Uticaj na seksualnu funkciju:</w:t>
      </w:r>
    </w:p>
    <w:p w14:paraId="3D708513" w14:textId="778E38EA" w:rsidR="00284634" w:rsidRPr="007821D0" w:rsidRDefault="00313D4B" w:rsidP="007821D0">
      <w:pPr>
        <w:spacing w:after="0" w:line="240" w:lineRule="auto"/>
        <w:ind w:left="-5" w:right="3"/>
        <w:jc w:val="both"/>
        <w:rPr>
          <w:lang w:val="sr-Latn-ME"/>
        </w:rPr>
      </w:pPr>
      <w:r w:rsidRPr="007821D0">
        <w:rPr>
          <w:lang w:val="sr-Latn-ME"/>
        </w:rPr>
        <w:t>Dejstva kombinacije dutasterid-tamsulosin u fiksnoj dozi na seksualnu funkciju proc</w:t>
      </w:r>
      <w:r w:rsidR="00D21754" w:rsidRPr="007821D0">
        <w:rPr>
          <w:lang w:val="sr-Latn-ME"/>
        </w:rPr>
        <w:t>ij</w:t>
      </w:r>
      <w:r w:rsidRPr="007821D0">
        <w:rPr>
          <w:lang w:val="sr-Latn-ME"/>
        </w:rPr>
        <w:t>enjena su u dvostruko sl</w:t>
      </w:r>
      <w:r w:rsidR="00D21754" w:rsidRPr="007821D0">
        <w:rPr>
          <w:lang w:val="sr-Latn-ME"/>
        </w:rPr>
        <w:t>ij</w:t>
      </w:r>
      <w:r w:rsidRPr="007821D0">
        <w:rPr>
          <w:lang w:val="sr-Latn-ME"/>
        </w:rPr>
        <w:t>epom, placebo kontrolisanom ispitivanju kod seksualno aktivnih muškaraca sa B</w:t>
      </w:r>
      <w:r w:rsidR="00D21754" w:rsidRPr="007821D0">
        <w:rPr>
          <w:lang w:val="sr-Latn-ME"/>
        </w:rPr>
        <w:t>H</w:t>
      </w:r>
      <w:r w:rsidRPr="007821D0">
        <w:rPr>
          <w:lang w:val="sr-Latn-ME"/>
        </w:rPr>
        <w:t xml:space="preserve">P (n=243 </w:t>
      </w:r>
      <w:r w:rsidR="00D21754" w:rsidRPr="007821D0">
        <w:rPr>
          <w:lang w:val="sr-Latn-ME"/>
        </w:rPr>
        <w:t xml:space="preserve">za </w:t>
      </w:r>
      <w:r w:rsidRPr="007821D0">
        <w:rPr>
          <w:lang w:val="sr-Latn-ME"/>
        </w:rPr>
        <w:t>kombinacij</w:t>
      </w:r>
      <w:r w:rsidR="00D21754" w:rsidRPr="007821D0">
        <w:rPr>
          <w:lang w:val="sr-Latn-ME"/>
        </w:rPr>
        <w:t>u</w:t>
      </w:r>
      <w:r w:rsidRPr="007821D0">
        <w:rPr>
          <w:lang w:val="sr-Latn-ME"/>
        </w:rPr>
        <w:t xml:space="preserve"> dutasterid-tamsulosin, n=246</w:t>
      </w:r>
      <w:r w:rsidR="00D21754" w:rsidRPr="007821D0">
        <w:rPr>
          <w:lang w:val="sr-Latn-ME"/>
        </w:rPr>
        <w:t xml:space="preserve"> za</w:t>
      </w:r>
      <w:r w:rsidRPr="007821D0">
        <w:rPr>
          <w:lang w:val="sr-Latn-ME"/>
        </w:rPr>
        <w:t xml:space="preserve"> placebo). Statistički značajno (p&lt;0,001) veće smanjenje (pogoršanje) rezultata upitnika o muškom seksualnom zdravlju (engl. </w:t>
      </w:r>
      <w:r w:rsidRPr="007821D0">
        <w:rPr>
          <w:i/>
          <w:lang w:val="sr-Latn-ME"/>
        </w:rPr>
        <w:t>Men's Sexual Health Questionnaire</w:t>
      </w:r>
      <w:r w:rsidRPr="007821D0">
        <w:rPr>
          <w:lang w:val="sr-Latn-ME"/>
        </w:rPr>
        <w:t xml:space="preserve">, MSHQ) uočeno je tokom 12 </w:t>
      </w:r>
      <w:r w:rsidR="00367D43" w:rsidRPr="007821D0">
        <w:rPr>
          <w:lang w:val="sr-Latn-ME"/>
        </w:rPr>
        <w:t>mjeseci</w:t>
      </w:r>
      <w:r w:rsidRPr="007821D0">
        <w:rPr>
          <w:lang w:val="sr-Latn-ME"/>
        </w:rPr>
        <w:t xml:space="preserve"> u grupi koja je primala kombinovanu terapiju. Smanjenje je uglavnom bilo povezano sa pogoršanjem domena ejakulacije i ukupnog zadovoljstva, a ne sa domenom erekcije. Ova dejstva ni</w:t>
      </w:r>
      <w:r w:rsidR="007D04BC" w:rsidRPr="007821D0">
        <w:rPr>
          <w:lang w:val="sr-Latn-ME"/>
        </w:rPr>
        <w:t>je</w:t>
      </w:r>
      <w:r w:rsidRPr="007821D0">
        <w:rPr>
          <w:lang w:val="sr-Latn-ME"/>
        </w:rPr>
        <w:t xml:space="preserve">su uticala </w:t>
      </w:r>
      <w:r w:rsidRPr="007821D0">
        <w:rPr>
          <w:lang w:val="sr-Latn-ME"/>
        </w:rPr>
        <w:lastRenderedPageBreak/>
        <w:t xml:space="preserve">na percepciju učesnika </w:t>
      </w:r>
      <w:r w:rsidR="007D04BC" w:rsidRPr="007821D0">
        <w:rPr>
          <w:lang w:val="sr-Latn-ME"/>
        </w:rPr>
        <w:t>o</w:t>
      </w:r>
      <w:r w:rsidRPr="007821D0">
        <w:rPr>
          <w:lang w:val="sr-Latn-ME"/>
        </w:rPr>
        <w:t xml:space="preserve"> kombinovano</w:t>
      </w:r>
      <w:r w:rsidR="007D04BC" w:rsidRPr="007821D0">
        <w:rPr>
          <w:lang w:val="sr-Latn-ME"/>
        </w:rPr>
        <w:t>j</w:t>
      </w:r>
      <w:r w:rsidRPr="007821D0">
        <w:rPr>
          <w:lang w:val="sr-Latn-ME"/>
        </w:rPr>
        <w:t xml:space="preserve"> terapij</w:t>
      </w:r>
      <w:r w:rsidR="007D04BC" w:rsidRPr="007821D0">
        <w:rPr>
          <w:lang w:val="sr-Latn-ME"/>
        </w:rPr>
        <w:t>i</w:t>
      </w:r>
      <w:r w:rsidRPr="007821D0">
        <w:rPr>
          <w:lang w:val="sr-Latn-ME"/>
        </w:rPr>
        <w:t>, koja je bila oc</w:t>
      </w:r>
      <w:r w:rsidR="00367D43" w:rsidRPr="007821D0">
        <w:rPr>
          <w:lang w:val="sr-Latn-ME"/>
        </w:rPr>
        <w:t>ij</w:t>
      </w:r>
      <w:r w:rsidRPr="007821D0">
        <w:rPr>
          <w:lang w:val="sr-Latn-ME"/>
        </w:rPr>
        <w:t xml:space="preserve">enjena statistički značajno većim </w:t>
      </w:r>
      <w:r w:rsidR="007D04BC" w:rsidRPr="007821D0">
        <w:rPr>
          <w:lang w:val="sr-Latn-ME"/>
        </w:rPr>
        <w:t xml:space="preserve">stepenom </w:t>
      </w:r>
      <w:r w:rsidRPr="007821D0">
        <w:rPr>
          <w:lang w:val="sr-Latn-ME"/>
        </w:rPr>
        <w:t>zadovoljstv</w:t>
      </w:r>
      <w:r w:rsidR="007D04BC" w:rsidRPr="007821D0">
        <w:rPr>
          <w:lang w:val="sr-Latn-ME"/>
        </w:rPr>
        <w:t>a</w:t>
      </w:r>
      <w:r w:rsidRPr="007821D0">
        <w:rPr>
          <w:lang w:val="sr-Latn-ME"/>
        </w:rPr>
        <w:t xml:space="preserve"> tokom trajanja studije u poređenju sa placebom (p &lt;0,05). U ovoj studiji seksualni neželjeni događaji su se javl</w:t>
      </w:r>
      <w:r w:rsidR="007D04BC" w:rsidRPr="007821D0">
        <w:rPr>
          <w:lang w:val="sr-Latn-ME"/>
        </w:rPr>
        <w:t>jali</w:t>
      </w:r>
      <w:r w:rsidRPr="007821D0">
        <w:rPr>
          <w:lang w:val="sr-Latn-ME"/>
        </w:rPr>
        <w:t xml:space="preserve"> tokom 12 </w:t>
      </w:r>
      <w:r w:rsidR="00367D43" w:rsidRPr="007821D0">
        <w:rPr>
          <w:lang w:val="sr-Latn-ME"/>
        </w:rPr>
        <w:t>mjeseci</w:t>
      </w:r>
      <w:r w:rsidRPr="007821D0">
        <w:rPr>
          <w:lang w:val="sr-Latn-ME"/>
        </w:rPr>
        <w:t xml:space="preserve"> terapije, a otprilike polovina od njih se povukla u roku od 6 m</w:t>
      </w:r>
      <w:r w:rsidR="00367D43" w:rsidRPr="007821D0">
        <w:rPr>
          <w:lang w:val="sr-Latn-ME"/>
        </w:rPr>
        <w:t>j</w:t>
      </w:r>
      <w:r w:rsidRPr="007821D0">
        <w:rPr>
          <w:lang w:val="sr-Latn-ME"/>
        </w:rPr>
        <w:t>eseci posl</w:t>
      </w:r>
      <w:r w:rsidR="007D04BC" w:rsidRPr="007821D0">
        <w:rPr>
          <w:lang w:val="sr-Latn-ME"/>
        </w:rPr>
        <w:t>ij</w:t>
      </w:r>
      <w:r w:rsidRPr="007821D0">
        <w:rPr>
          <w:lang w:val="sr-Latn-ME"/>
        </w:rPr>
        <w:t>e terapije.</w:t>
      </w:r>
    </w:p>
    <w:p w14:paraId="305120DB" w14:textId="77777777" w:rsidR="0081499A" w:rsidRPr="007821D0" w:rsidRDefault="0081499A" w:rsidP="007821D0">
      <w:pPr>
        <w:spacing w:after="0" w:line="240" w:lineRule="auto"/>
        <w:ind w:left="-5" w:right="3"/>
        <w:jc w:val="both"/>
        <w:rPr>
          <w:lang w:val="sr-Latn-ME"/>
        </w:rPr>
      </w:pPr>
    </w:p>
    <w:p w14:paraId="20AE00E5" w14:textId="150D1C77" w:rsidR="00284634" w:rsidRPr="007821D0" w:rsidRDefault="00313D4B" w:rsidP="007821D0">
      <w:pPr>
        <w:spacing w:after="0" w:line="240" w:lineRule="auto"/>
        <w:ind w:left="-5" w:right="3"/>
        <w:jc w:val="both"/>
        <w:rPr>
          <w:lang w:val="sr-Latn-ME"/>
        </w:rPr>
      </w:pPr>
      <w:r w:rsidRPr="007821D0">
        <w:rPr>
          <w:lang w:val="sr-Latn-ME"/>
        </w:rPr>
        <w:t xml:space="preserve">Poznato je da kombinacija dutasterida i tamsulosina i monoterapija dutasteridom uzrokuju neželjena dejstva </w:t>
      </w:r>
      <w:r w:rsidR="00521075" w:rsidRPr="007821D0">
        <w:rPr>
          <w:lang w:val="sr-Latn-ME"/>
        </w:rPr>
        <w:t xml:space="preserve">na </w:t>
      </w:r>
      <w:r w:rsidRPr="007821D0">
        <w:rPr>
          <w:lang w:val="sr-Latn-ME"/>
        </w:rPr>
        <w:t>seksualn</w:t>
      </w:r>
      <w:r w:rsidR="00521075" w:rsidRPr="007821D0">
        <w:rPr>
          <w:lang w:val="sr-Latn-ME"/>
        </w:rPr>
        <w:t>u</w:t>
      </w:r>
      <w:r w:rsidRPr="007821D0">
        <w:rPr>
          <w:lang w:val="sr-Latn-ME"/>
        </w:rPr>
        <w:t xml:space="preserve"> funkcij</w:t>
      </w:r>
      <w:r w:rsidR="00521075" w:rsidRPr="007821D0">
        <w:rPr>
          <w:lang w:val="sr-Latn-ME"/>
        </w:rPr>
        <w:t>u</w:t>
      </w:r>
      <w:r w:rsidRPr="007821D0">
        <w:rPr>
          <w:lang w:val="sr-Latn-ME"/>
        </w:rPr>
        <w:t xml:space="preserve"> (</w:t>
      </w:r>
      <w:r w:rsidR="00E602C2" w:rsidRPr="007821D0">
        <w:rPr>
          <w:lang w:val="sr-Latn-ME"/>
        </w:rPr>
        <w:t>vidjeti</w:t>
      </w:r>
      <w:r w:rsidRPr="007821D0">
        <w:rPr>
          <w:lang w:val="sr-Latn-ME"/>
        </w:rPr>
        <w:t xml:space="preserve"> </w:t>
      </w:r>
      <w:r w:rsidR="007D04BC" w:rsidRPr="007821D0">
        <w:rPr>
          <w:lang w:val="sr-Latn-ME"/>
        </w:rPr>
        <w:t xml:space="preserve">dio </w:t>
      </w:r>
      <w:r w:rsidRPr="007821D0">
        <w:rPr>
          <w:lang w:val="sr-Latn-ME"/>
        </w:rPr>
        <w:t>4.8).</w:t>
      </w:r>
    </w:p>
    <w:p w14:paraId="554C8738" w14:textId="77777777" w:rsidR="0081499A" w:rsidRPr="007821D0" w:rsidRDefault="0081499A" w:rsidP="007821D0">
      <w:pPr>
        <w:spacing w:after="0" w:line="240" w:lineRule="auto"/>
        <w:ind w:left="-5" w:right="3"/>
        <w:jc w:val="both"/>
        <w:rPr>
          <w:lang w:val="sr-Latn-ME"/>
        </w:rPr>
      </w:pPr>
    </w:p>
    <w:p w14:paraId="6A9EEDBF" w14:textId="3309C68A" w:rsidR="00367D43" w:rsidRPr="007821D0" w:rsidRDefault="00313D4B" w:rsidP="007821D0">
      <w:pPr>
        <w:spacing w:after="0" w:line="240" w:lineRule="auto"/>
        <w:ind w:left="-5" w:right="3"/>
        <w:jc w:val="both"/>
        <w:rPr>
          <w:lang w:val="sr-Latn-ME"/>
        </w:rPr>
      </w:pPr>
      <w:r w:rsidRPr="007821D0">
        <w:rPr>
          <w:lang w:val="sr-Latn-ME"/>
        </w:rPr>
        <w:t>Kao što je prim</w:t>
      </w:r>
      <w:r w:rsidR="007D04BC" w:rsidRPr="007821D0">
        <w:rPr>
          <w:lang w:val="sr-Latn-ME"/>
        </w:rPr>
        <w:t>ij</w:t>
      </w:r>
      <w:r w:rsidRPr="007821D0">
        <w:rPr>
          <w:lang w:val="sr-Latn-ME"/>
        </w:rPr>
        <w:t>ećeno u drugim kliničkim studijama, uključujući CombAT i REDUCE, incidenca neželjenih</w:t>
      </w:r>
      <w:r w:rsidR="007D04BC" w:rsidRPr="007821D0">
        <w:rPr>
          <w:lang w:val="sr-Latn-ME"/>
        </w:rPr>
        <w:t xml:space="preserve"> </w:t>
      </w:r>
      <w:r w:rsidRPr="007821D0">
        <w:rPr>
          <w:lang w:val="sr-Latn-ME"/>
        </w:rPr>
        <w:t>događaja povezanih sa seksualnom funkcijom smanjivala se tokom vremena sa nastavkom terapije.</w:t>
      </w:r>
    </w:p>
    <w:p w14:paraId="64200CCC" w14:textId="77777777" w:rsidR="007D04BC" w:rsidRPr="007821D0" w:rsidRDefault="007D04BC" w:rsidP="007821D0">
      <w:pPr>
        <w:spacing w:after="0" w:line="240" w:lineRule="auto"/>
        <w:ind w:left="-5" w:right="3"/>
        <w:jc w:val="both"/>
        <w:rPr>
          <w:lang w:val="sr-Latn-ME"/>
        </w:rPr>
      </w:pPr>
    </w:p>
    <w:p w14:paraId="4E65269C" w14:textId="191276A6" w:rsidR="00284634" w:rsidRPr="007821D0" w:rsidRDefault="00313D4B" w:rsidP="007821D0">
      <w:pPr>
        <w:spacing w:after="0" w:line="240" w:lineRule="auto"/>
        <w:ind w:left="-5" w:right="157"/>
        <w:rPr>
          <w:lang w:val="sr-Latn-ME"/>
        </w:rPr>
      </w:pPr>
      <w:r w:rsidRPr="007821D0">
        <w:rPr>
          <w:b/>
          <w:lang w:val="sr-Latn-ME"/>
        </w:rPr>
        <w:t>5.2. Farmakokinetički podaci</w:t>
      </w:r>
    </w:p>
    <w:p w14:paraId="062F06AA" w14:textId="77777777" w:rsidR="0081499A" w:rsidRPr="007821D0" w:rsidRDefault="0081499A" w:rsidP="007821D0">
      <w:pPr>
        <w:pStyle w:val="Heading2"/>
        <w:spacing w:after="0" w:line="240" w:lineRule="auto"/>
        <w:ind w:left="-5"/>
        <w:rPr>
          <w:lang w:val="sr-Latn-ME"/>
        </w:rPr>
      </w:pPr>
    </w:p>
    <w:p w14:paraId="19870B36" w14:textId="3B1A9766" w:rsidR="00284634" w:rsidRPr="007821D0" w:rsidRDefault="00313D4B" w:rsidP="007821D0">
      <w:pPr>
        <w:pStyle w:val="Heading2"/>
        <w:spacing w:after="0" w:line="240" w:lineRule="auto"/>
        <w:ind w:left="-5"/>
        <w:rPr>
          <w:lang w:val="sr-Latn-ME"/>
        </w:rPr>
      </w:pPr>
      <w:r w:rsidRPr="007821D0">
        <w:rPr>
          <w:lang w:val="sr-Latn-ME"/>
        </w:rPr>
        <w:t>Resorpcija</w:t>
      </w:r>
    </w:p>
    <w:p w14:paraId="6CC5D69B" w14:textId="745E81F6" w:rsidR="00284634" w:rsidRPr="007821D0" w:rsidRDefault="00313D4B" w:rsidP="007821D0">
      <w:pPr>
        <w:spacing w:after="0" w:line="240" w:lineRule="auto"/>
        <w:ind w:left="-5" w:right="3"/>
        <w:jc w:val="both"/>
        <w:rPr>
          <w:lang w:val="sr-Latn-ME"/>
        </w:rPr>
      </w:pPr>
      <w:r w:rsidRPr="007821D0">
        <w:rPr>
          <w:lang w:val="sr-Latn-ME"/>
        </w:rPr>
        <w:t xml:space="preserve">Nakon </w:t>
      </w:r>
      <w:r w:rsidR="00E91FDE" w:rsidRPr="007821D0">
        <w:rPr>
          <w:lang w:val="sr-Latn-ME"/>
        </w:rPr>
        <w:t>primjene</w:t>
      </w:r>
      <w:r w:rsidRPr="007821D0">
        <w:rPr>
          <w:lang w:val="sr-Latn-ME"/>
        </w:rPr>
        <w:t xml:space="preserve"> dutasterida u pojedinačnoj dozi od 0,5 mg oralnim putem, vr</w:t>
      </w:r>
      <w:r w:rsidR="00367D43" w:rsidRPr="007821D0">
        <w:rPr>
          <w:lang w:val="sr-Latn-ME"/>
        </w:rPr>
        <w:t>ij</w:t>
      </w:r>
      <w:r w:rsidRPr="007821D0">
        <w:rPr>
          <w:lang w:val="sr-Latn-ME"/>
        </w:rPr>
        <w:t xml:space="preserve">eme </w:t>
      </w:r>
      <w:r w:rsidR="007D04BC" w:rsidRPr="007821D0">
        <w:rPr>
          <w:lang w:val="sr-Latn-ME"/>
        </w:rPr>
        <w:t xml:space="preserve">do </w:t>
      </w:r>
      <w:r w:rsidRPr="007821D0">
        <w:rPr>
          <w:lang w:val="sr-Latn-ME"/>
        </w:rPr>
        <w:t>postizanja maksimalne koncentracije dutasterida u serumu iznosi 1 do 3 sata. Apsolutna biološka raspoloživost je približno 60%. Hrana ne utiče na biološku raspoloživost dutasterida.</w:t>
      </w:r>
    </w:p>
    <w:p w14:paraId="501C4D31" w14:textId="77777777" w:rsidR="0081499A" w:rsidRPr="007821D0" w:rsidRDefault="0081499A" w:rsidP="007821D0">
      <w:pPr>
        <w:pStyle w:val="Heading2"/>
        <w:spacing w:after="0" w:line="240" w:lineRule="auto"/>
        <w:ind w:left="-5"/>
        <w:rPr>
          <w:lang w:val="sr-Latn-ME"/>
        </w:rPr>
      </w:pPr>
    </w:p>
    <w:p w14:paraId="7CC6D6CA" w14:textId="6DBEE9CD" w:rsidR="00284634" w:rsidRPr="007821D0" w:rsidRDefault="00313D4B" w:rsidP="007821D0">
      <w:pPr>
        <w:pStyle w:val="Heading2"/>
        <w:spacing w:after="0" w:line="240" w:lineRule="auto"/>
        <w:ind w:left="-5"/>
        <w:rPr>
          <w:lang w:val="sr-Latn-ME"/>
        </w:rPr>
      </w:pPr>
      <w:r w:rsidRPr="007821D0">
        <w:rPr>
          <w:lang w:val="sr-Latn-ME"/>
        </w:rPr>
        <w:t>Distribucija</w:t>
      </w:r>
    </w:p>
    <w:p w14:paraId="732B0588" w14:textId="459DE370" w:rsidR="00284634" w:rsidRPr="007821D0" w:rsidRDefault="00313D4B" w:rsidP="007821D0">
      <w:pPr>
        <w:spacing w:after="0" w:line="240" w:lineRule="auto"/>
        <w:ind w:left="-5" w:right="3"/>
        <w:jc w:val="both"/>
        <w:rPr>
          <w:lang w:val="sr-Latn-ME"/>
        </w:rPr>
      </w:pPr>
      <w:r w:rsidRPr="007821D0">
        <w:rPr>
          <w:lang w:val="sr-Latn-ME"/>
        </w:rPr>
        <w:t xml:space="preserve">Dutasterid ima veliki volumen distribucije (300 do 500 </w:t>
      </w:r>
      <w:r w:rsidR="0081499A" w:rsidRPr="007821D0">
        <w:rPr>
          <w:lang w:val="sr-Latn-ME"/>
        </w:rPr>
        <w:t>l</w:t>
      </w:r>
      <w:r w:rsidRPr="007821D0">
        <w:rPr>
          <w:lang w:val="sr-Latn-ME"/>
        </w:rPr>
        <w:t xml:space="preserve">) i u velikom procentu se vezuje za proteine plazme (&gt;99,5%). U skladu sa dnevnim doziranjem, koncentracije dutasterida u serumu dostižu 65% koncentracije u stanju </w:t>
      </w:r>
      <w:r w:rsidR="005A5C5E" w:rsidRPr="007821D0">
        <w:rPr>
          <w:lang w:val="sr-Latn-ME"/>
        </w:rPr>
        <w:t xml:space="preserve">dinamičke </w:t>
      </w:r>
      <w:r w:rsidRPr="007821D0">
        <w:rPr>
          <w:lang w:val="sr-Latn-ME"/>
        </w:rPr>
        <w:t>ravnoteže nakon m</w:t>
      </w:r>
      <w:r w:rsidR="00367D43" w:rsidRPr="007821D0">
        <w:rPr>
          <w:lang w:val="sr-Latn-ME"/>
        </w:rPr>
        <w:t>j</w:t>
      </w:r>
      <w:r w:rsidRPr="007821D0">
        <w:rPr>
          <w:lang w:val="sr-Latn-ME"/>
        </w:rPr>
        <w:t xml:space="preserve">esec dana, a približno 90% nakon </w:t>
      </w:r>
      <w:r w:rsidR="005A5C5E" w:rsidRPr="007821D0">
        <w:rPr>
          <w:lang w:val="sr-Latn-ME"/>
        </w:rPr>
        <w:t xml:space="preserve">3 </w:t>
      </w:r>
      <w:r w:rsidRPr="007821D0">
        <w:rPr>
          <w:lang w:val="sr-Latn-ME"/>
        </w:rPr>
        <w:t>m</w:t>
      </w:r>
      <w:r w:rsidR="00367D43" w:rsidRPr="007821D0">
        <w:rPr>
          <w:lang w:val="sr-Latn-ME"/>
        </w:rPr>
        <w:t>j</w:t>
      </w:r>
      <w:r w:rsidRPr="007821D0">
        <w:rPr>
          <w:lang w:val="sr-Latn-ME"/>
        </w:rPr>
        <w:t>eseca.</w:t>
      </w:r>
    </w:p>
    <w:p w14:paraId="54801FE0" w14:textId="72793676" w:rsidR="00284634" w:rsidRPr="007821D0" w:rsidRDefault="00313D4B" w:rsidP="007821D0">
      <w:pPr>
        <w:spacing w:after="0" w:line="240" w:lineRule="auto"/>
        <w:ind w:left="-5" w:right="3"/>
        <w:jc w:val="both"/>
        <w:rPr>
          <w:lang w:val="sr-Latn-ME"/>
        </w:rPr>
      </w:pPr>
      <w:r w:rsidRPr="007821D0">
        <w:rPr>
          <w:lang w:val="sr-Latn-ME"/>
        </w:rPr>
        <w:t xml:space="preserve">Koncentracije u serumu u stanju </w:t>
      </w:r>
      <w:r w:rsidR="005A5C5E" w:rsidRPr="007821D0">
        <w:rPr>
          <w:lang w:val="sr-Latn-ME"/>
        </w:rPr>
        <w:t xml:space="preserve">dinamičke </w:t>
      </w:r>
      <w:r w:rsidRPr="007821D0">
        <w:rPr>
          <w:lang w:val="sr-Latn-ME"/>
        </w:rPr>
        <w:t>ravnoteže (Css) od približno 40 nanograma/m</w:t>
      </w:r>
      <w:r w:rsidR="0081499A" w:rsidRPr="007821D0">
        <w:rPr>
          <w:lang w:val="sr-Latn-ME"/>
        </w:rPr>
        <w:t>l</w:t>
      </w:r>
      <w:r w:rsidRPr="007821D0">
        <w:rPr>
          <w:lang w:val="sr-Latn-ME"/>
        </w:rPr>
        <w:t xml:space="preserve"> postižu se nakon 6 </w:t>
      </w:r>
      <w:r w:rsidR="00367D43" w:rsidRPr="007821D0">
        <w:rPr>
          <w:lang w:val="sr-Latn-ME"/>
        </w:rPr>
        <w:t>mjeseci</w:t>
      </w:r>
      <w:r w:rsidRPr="007821D0">
        <w:rPr>
          <w:lang w:val="sr-Latn-ME"/>
        </w:rPr>
        <w:t xml:space="preserve"> </w:t>
      </w:r>
      <w:r w:rsidR="00E91FDE" w:rsidRPr="007821D0">
        <w:rPr>
          <w:lang w:val="sr-Latn-ME"/>
        </w:rPr>
        <w:t>primjene</w:t>
      </w:r>
      <w:r w:rsidRPr="007821D0">
        <w:rPr>
          <w:lang w:val="sr-Latn-ME"/>
        </w:rPr>
        <w:t xml:space="preserve"> 0,5 mg </w:t>
      </w:r>
      <w:r w:rsidR="005A5C5E" w:rsidRPr="007821D0">
        <w:rPr>
          <w:lang w:val="sr-Latn-ME"/>
        </w:rPr>
        <w:t xml:space="preserve">jednom </w:t>
      </w:r>
      <w:r w:rsidRPr="007821D0">
        <w:rPr>
          <w:lang w:val="sr-Latn-ME"/>
        </w:rPr>
        <w:t>dnevno. Pros</w:t>
      </w:r>
      <w:r w:rsidR="005A5C5E" w:rsidRPr="007821D0">
        <w:rPr>
          <w:lang w:val="sr-Latn-ME"/>
        </w:rPr>
        <w:t>j</w:t>
      </w:r>
      <w:r w:rsidRPr="007821D0">
        <w:rPr>
          <w:lang w:val="sr-Latn-ME"/>
        </w:rPr>
        <w:t>ečno 11,5% dutasterida prelazi iz seruma u spermu.</w:t>
      </w:r>
    </w:p>
    <w:p w14:paraId="10F971CB" w14:textId="77777777" w:rsidR="0081499A" w:rsidRPr="007821D0" w:rsidRDefault="0081499A" w:rsidP="007821D0">
      <w:pPr>
        <w:pStyle w:val="Heading2"/>
        <w:spacing w:after="0" w:line="240" w:lineRule="auto"/>
        <w:ind w:left="-5"/>
        <w:rPr>
          <w:lang w:val="sr-Latn-ME"/>
        </w:rPr>
      </w:pPr>
    </w:p>
    <w:p w14:paraId="5253BCC0" w14:textId="1B11B27F" w:rsidR="00284634" w:rsidRPr="007821D0" w:rsidRDefault="00313D4B" w:rsidP="007821D0">
      <w:pPr>
        <w:pStyle w:val="Heading2"/>
        <w:spacing w:after="0" w:line="240" w:lineRule="auto"/>
        <w:ind w:left="-5"/>
        <w:rPr>
          <w:lang w:val="sr-Latn-ME"/>
        </w:rPr>
      </w:pPr>
      <w:r w:rsidRPr="007821D0">
        <w:rPr>
          <w:lang w:val="sr-Latn-ME"/>
        </w:rPr>
        <w:t>Biotransformacija</w:t>
      </w:r>
    </w:p>
    <w:p w14:paraId="717CEC8F" w14:textId="77777777" w:rsidR="00284634" w:rsidRPr="007821D0" w:rsidRDefault="00313D4B" w:rsidP="007821D0">
      <w:pPr>
        <w:spacing w:after="0" w:line="240" w:lineRule="auto"/>
        <w:ind w:left="-5" w:right="3"/>
        <w:jc w:val="both"/>
        <w:rPr>
          <w:lang w:val="sr-Latn-ME"/>
        </w:rPr>
      </w:pPr>
      <w:r w:rsidRPr="007821D0">
        <w:rPr>
          <w:lang w:val="sr-Latn-ME"/>
        </w:rPr>
        <w:t xml:space="preserve">Dutasterid se u velikom obimu metaboliše </w:t>
      </w:r>
      <w:r w:rsidRPr="007821D0">
        <w:rPr>
          <w:i/>
          <w:lang w:val="sr-Latn-ME"/>
        </w:rPr>
        <w:t>in vivo</w:t>
      </w:r>
      <w:r w:rsidRPr="007821D0">
        <w:rPr>
          <w:lang w:val="sr-Latn-ME"/>
        </w:rPr>
        <w:t xml:space="preserve">. </w:t>
      </w:r>
      <w:r w:rsidRPr="007821D0">
        <w:rPr>
          <w:i/>
          <w:lang w:val="sr-Latn-ME"/>
        </w:rPr>
        <w:t>In vitro</w:t>
      </w:r>
      <w:r w:rsidRPr="007821D0">
        <w:rPr>
          <w:lang w:val="sr-Latn-ME"/>
        </w:rPr>
        <w:t xml:space="preserve">, dutasterid se metaboliše putem citohroma P450 3A4 i 3A5 u tri monohidroksilna metabolita i jedan dihidroksilni metabolit. </w:t>
      </w:r>
    </w:p>
    <w:p w14:paraId="608C2FD8" w14:textId="2F2B3F5C" w:rsidR="00284634" w:rsidRPr="007821D0" w:rsidRDefault="00313D4B" w:rsidP="007821D0">
      <w:pPr>
        <w:spacing w:after="0" w:line="240" w:lineRule="auto"/>
        <w:ind w:left="-5" w:right="3"/>
        <w:jc w:val="both"/>
        <w:rPr>
          <w:lang w:val="sr-Latn-ME"/>
        </w:rPr>
      </w:pPr>
      <w:r w:rsidRPr="007821D0">
        <w:rPr>
          <w:lang w:val="sr-Latn-ME"/>
        </w:rPr>
        <w:t xml:space="preserve">Nakon oralne </w:t>
      </w:r>
      <w:r w:rsidR="00E91FDE" w:rsidRPr="007821D0">
        <w:rPr>
          <w:lang w:val="sr-Latn-ME"/>
        </w:rPr>
        <w:t>primjene</w:t>
      </w:r>
      <w:r w:rsidRPr="007821D0">
        <w:rPr>
          <w:lang w:val="sr-Latn-ME"/>
        </w:rPr>
        <w:t xml:space="preserve"> dutasterida u dozi od 0,5 mg</w:t>
      </w:r>
      <w:r w:rsidR="005A5C5E" w:rsidRPr="007821D0">
        <w:rPr>
          <w:lang w:val="sr-Latn-ME"/>
        </w:rPr>
        <w:t xml:space="preserve"> </w:t>
      </w:r>
      <w:r w:rsidRPr="007821D0">
        <w:rPr>
          <w:lang w:val="sr-Latn-ME"/>
        </w:rPr>
        <w:t xml:space="preserve">dnevno do stanja </w:t>
      </w:r>
      <w:r w:rsidR="005A5C5E" w:rsidRPr="007821D0">
        <w:rPr>
          <w:lang w:val="sr-Latn-ME"/>
        </w:rPr>
        <w:t xml:space="preserve">dinamičke </w:t>
      </w:r>
      <w:r w:rsidRPr="007821D0">
        <w:rPr>
          <w:lang w:val="sr-Latn-ME"/>
        </w:rPr>
        <w:t>ravnoteže, putem fecesa se u neprom</w:t>
      </w:r>
      <w:r w:rsidR="005A5C5E" w:rsidRPr="007821D0">
        <w:rPr>
          <w:lang w:val="sr-Latn-ME"/>
        </w:rPr>
        <w:t>ij</w:t>
      </w:r>
      <w:r w:rsidRPr="007821D0">
        <w:rPr>
          <w:lang w:val="sr-Latn-ME"/>
        </w:rPr>
        <w:t>enjenom obliku izlučuje 1,0% do 15,4% (pros</w:t>
      </w:r>
      <w:r w:rsidR="005A5C5E" w:rsidRPr="007821D0">
        <w:rPr>
          <w:lang w:val="sr-Latn-ME"/>
        </w:rPr>
        <w:t>j</w:t>
      </w:r>
      <w:r w:rsidRPr="007821D0">
        <w:rPr>
          <w:lang w:val="sr-Latn-ME"/>
        </w:rPr>
        <w:t xml:space="preserve">ečno 5,4%) dutasterida. </w:t>
      </w:r>
    </w:p>
    <w:p w14:paraId="7D146215" w14:textId="5CD2A804" w:rsidR="00284634" w:rsidRPr="007821D0" w:rsidRDefault="00313D4B" w:rsidP="007821D0">
      <w:pPr>
        <w:spacing w:after="0" w:line="240" w:lineRule="auto"/>
        <w:ind w:left="-5" w:right="3"/>
        <w:jc w:val="both"/>
        <w:rPr>
          <w:lang w:val="sr-Latn-ME"/>
        </w:rPr>
      </w:pPr>
      <w:r w:rsidRPr="007821D0">
        <w:rPr>
          <w:lang w:val="sr-Latn-ME"/>
        </w:rPr>
        <w:t xml:space="preserve">Ostatak se izlučuje putem fecesa u obliku 4 glavna metabolita koji čine 39%, 21%, 7%, i 7% materijala povezanog sa </w:t>
      </w:r>
      <w:r w:rsidR="009F2AF5" w:rsidRPr="007821D0">
        <w:rPr>
          <w:lang w:val="sr-Latn-ME"/>
        </w:rPr>
        <w:t>lijek</w:t>
      </w:r>
      <w:r w:rsidRPr="007821D0">
        <w:rPr>
          <w:lang w:val="sr-Latn-ME"/>
        </w:rPr>
        <w:t>om i 6 sporednih metabolita (</w:t>
      </w:r>
      <w:r w:rsidR="005A5C5E" w:rsidRPr="007821D0">
        <w:rPr>
          <w:lang w:val="sr-Latn-ME"/>
        </w:rPr>
        <w:t xml:space="preserve">svaki </w:t>
      </w:r>
      <w:r w:rsidRPr="007821D0">
        <w:rPr>
          <w:lang w:val="sr-Latn-ME"/>
        </w:rPr>
        <w:t>čin</w:t>
      </w:r>
      <w:r w:rsidR="005A5C5E" w:rsidRPr="007821D0">
        <w:rPr>
          <w:lang w:val="sr-Latn-ME"/>
        </w:rPr>
        <w:t>i</w:t>
      </w:r>
      <w:r w:rsidRPr="007821D0">
        <w:rPr>
          <w:lang w:val="sr-Latn-ME"/>
        </w:rPr>
        <w:t xml:space="preserve"> manje od 5%). U humanom urinu otkriveni su tragovi ne</w:t>
      </w:r>
      <w:r w:rsidR="005A5C5E" w:rsidRPr="007821D0">
        <w:rPr>
          <w:lang w:val="sr-Latn-ME"/>
        </w:rPr>
        <w:t>pro</w:t>
      </w:r>
      <w:r w:rsidRPr="007821D0">
        <w:rPr>
          <w:lang w:val="sr-Latn-ME"/>
        </w:rPr>
        <w:t>m</w:t>
      </w:r>
      <w:r w:rsidR="005A5C5E" w:rsidRPr="007821D0">
        <w:rPr>
          <w:lang w:val="sr-Latn-ME"/>
        </w:rPr>
        <w:t>ij</w:t>
      </w:r>
      <w:r w:rsidRPr="007821D0">
        <w:rPr>
          <w:lang w:val="sr-Latn-ME"/>
        </w:rPr>
        <w:t>enjenog dutasterida (manje od 0,1% doze).</w:t>
      </w:r>
    </w:p>
    <w:p w14:paraId="2FE02FEE" w14:textId="77777777" w:rsidR="0081499A" w:rsidRPr="007821D0" w:rsidRDefault="0081499A" w:rsidP="007821D0">
      <w:pPr>
        <w:pStyle w:val="Heading2"/>
        <w:spacing w:after="0" w:line="240" w:lineRule="auto"/>
        <w:ind w:left="-5"/>
        <w:rPr>
          <w:lang w:val="sr-Latn-ME"/>
        </w:rPr>
      </w:pPr>
    </w:p>
    <w:p w14:paraId="1203C00F" w14:textId="6CCDD7E4" w:rsidR="00284634" w:rsidRPr="007821D0" w:rsidRDefault="00313D4B" w:rsidP="007821D0">
      <w:pPr>
        <w:pStyle w:val="Heading2"/>
        <w:spacing w:after="0" w:line="240" w:lineRule="auto"/>
        <w:ind w:left="-5"/>
        <w:rPr>
          <w:lang w:val="sr-Latn-ME"/>
        </w:rPr>
      </w:pPr>
      <w:r w:rsidRPr="007821D0">
        <w:rPr>
          <w:lang w:val="sr-Latn-ME"/>
        </w:rPr>
        <w:t>Eliminacija</w:t>
      </w:r>
    </w:p>
    <w:p w14:paraId="34EBBFD0" w14:textId="6A895D18" w:rsidR="00284634" w:rsidRPr="007821D0" w:rsidRDefault="00313D4B" w:rsidP="007821D0">
      <w:pPr>
        <w:spacing w:after="0" w:line="240" w:lineRule="auto"/>
        <w:ind w:left="-5" w:right="3"/>
        <w:jc w:val="both"/>
        <w:rPr>
          <w:lang w:val="sr-Latn-ME"/>
        </w:rPr>
      </w:pPr>
      <w:r w:rsidRPr="007821D0">
        <w:rPr>
          <w:lang w:val="sr-Latn-ME"/>
        </w:rPr>
        <w:t>Eliminacija dutasterida je dozno zavisna i mogu se opisati dva paralelna puta eliminacije, jedan ko</w:t>
      </w:r>
      <w:r w:rsidR="00581990" w:rsidRPr="007821D0">
        <w:rPr>
          <w:lang w:val="sr-Latn-ME"/>
        </w:rPr>
        <w:t>d kojeg</w:t>
      </w:r>
      <w:r w:rsidRPr="007821D0">
        <w:rPr>
          <w:lang w:val="sr-Latn-ME"/>
        </w:rPr>
        <w:t xml:space="preserve"> </w:t>
      </w:r>
      <w:r w:rsidR="00581990" w:rsidRPr="007821D0">
        <w:rPr>
          <w:lang w:val="sr-Latn-ME"/>
        </w:rPr>
        <w:t>j</w:t>
      </w:r>
      <w:r w:rsidRPr="007821D0">
        <w:rPr>
          <w:lang w:val="sr-Latn-ME"/>
        </w:rPr>
        <w:t>e mo</w:t>
      </w:r>
      <w:r w:rsidR="00581990" w:rsidRPr="007821D0">
        <w:rPr>
          <w:lang w:val="sr-Latn-ME"/>
        </w:rPr>
        <w:t>guća</w:t>
      </w:r>
      <w:r w:rsidRPr="007821D0">
        <w:rPr>
          <w:lang w:val="sr-Latn-ME"/>
        </w:rPr>
        <w:t xml:space="preserve"> satur</w:t>
      </w:r>
      <w:r w:rsidR="00581990" w:rsidRPr="007821D0">
        <w:rPr>
          <w:lang w:val="sr-Latn-ME"/>
        </w:rPr>
        <w:t>acija</w:t>
      </w:r>
      <w:r w:rsidRPr="007821D0">
        <w:rPr>
          <w:lang w:val="sr-Latn-ME"/>
        </w:rPr>
        <w:t xml:space="preserve"> pri klinički re</w:t>
      </w:r>
      <w:r w:rsidR="009660E2" w:rsidRPr="007821D0">
        <w:rPr>
          <w:lang w:val="sr-Latn-ME"/>
        </w:rPr>
        <w:t>leva</w:t>
      </w:r>
      <w:r w:rsidRPr="007821D0">
        <w:rPr>
          <w:lang w:val="sr-Latn-ME"/>
        </w:rPr>
        <w:t xml:space="preserve">ntnim koncentracijama i drugi </w:t>
      </w:r>
      <w:r w:rsidR="00581990" w:rsidRPr="007821D0">
        <w:rPr>
          <w:lang w:val="sr-Latn-ME"/>
        </w:rPr>
        <w:t xml:space="preserve">kod </w:t>
      </w:r>
      <w:r w:rsidRPr="007821D0">
        <w:rPr>
          <w:lang w:val="sr-Latn-ME"/>
        </w:rPr>
        <w:t>koj</w:t>
      </w:r>
      <w:r w:rsidR="00581990" w:rsidRPr="007821D0">
        <w:rPr>
          <w:lang w:val="sr-Latn-ME"/>
        </w:rPr>
        <w:t>eg</w:t>
      </w:r>
      <w:r w:rsidRPr="007821D0">
        <w:rPr>
          <w:lang w:val="sr-Latn-ME"/>
        </w:rPr>
        <w:t xml:space="preserve"> n</w:t>
      </w:r>
      <w:r w:rsidR="00581990" w:rsidRPr="007821D0">
        <w:rPr>
          <w:lang w:val="sr-Latn-ME"/>
        </w:rPr>
        <w:t>ij</w:t>
      </w:r>
      <w:r w:rsidRPr="007821D0">
        <w:rPr>
          <w:lang w:val="sr-Latn-ME"/>
        </w:rPr>
        <w:t>e mo</w:t>
      </w:r>
      <w:r w:rsidR="00581990" w:rsidRPr="007821D0">
        <w:rPr>
          <w:lang w:val="sr-Latn-ME"/>
        </w:rPr>
        <w:t>guća</w:t>
      </w:r>
      <w:r w:rsidRPr="007821D0">
        <w:rPr>
          <w:lang w:val="sr-Latn-ME"/>
        </w:rPr>
        <w:t xml:space="preserve"> satur</w:t>
      </w:r>
      <w:r w:rsidR="00581990" w:rsidRPr="007821D0">
        <w:rPr>
          <w:lang w:val="sr-Latn-ME"/>
        </w:rPr>
        <w:t>acija</w:t>
      </w:r>
      <w:r w:rsidRPr="007821D0">
        <w:rPr>
          <w:lang w:val="sr-Latn-ME"/>
        </w:rPr>
        <w:t>.</w:t>
      </w:r>
    </w:p>
    <w:p w14:paraId="137CA959" w14:textId="77777777" w:rsidR="0081499A" w:rsidRPr="007821D0" w:rsidRDefault="0081499A" w:rsidP="007821D0">
      <w:pPr>
        <w:spacing w:after="0" w:line="240" w:lineRule="auto"/>
        <w:ind w:left="-5" w:right="3"/>
        <w:jc w:val="both"/>
        <w:rPr>
          <w:lang w:val="sr-Latn-ME"/>
        </w:rPr>
      </w:pPr>
    </w:p>
    <w:p w14:paraId="532A6986" w14:textId="72500F50" w:rsidR="00284634" w:rsidRPr="007821D0" w:rsidRDefault="00313D4B" w:rsidP="007821D0">
      <w:pPr>
        <w:spacing w:after="0" w:line="240" w:lineRule="auto"/>
        <w:ind w:left="-5" w:right="3"/>
        <w:jc w:val="both"/>
        <w:rPr>
          <w:lang w:val="sr-Latn-ME"/>
        </w:rPr>
      </w:pPr>
      <w:r w:rsidRPr="007821D0">
        <w:rPr>
          <w:lang w:val="sr-Latn-ME"/>
        </w:rPr>
        <w:t>Pri malim koncentracijama u serumu (manje od 3 nanograma/</w:t>
      </w:r>
      <w:r w:rsidR="0081499A" w:rsidRPr="007821D0">
        <w:rPr>
          <w:lang w:val="sr-Latn-ME"/>
        </w:rPr>
        <w:t>ml</w:t>
      </w:r>
      <w:r w:rsidRPr="007821D0">
        <w:rPr>
          <w:lang w:val="sr-Latn-ME"/>
        </w:rPr>
        <w:t>), dutasterid se brzo eliminiše</w:t>
      </w:r>
      <w:r w:rsidR="00581990" w:rsidRPr="007821D0">
        <w:rPr>
          <w:lang w:val="sr-Latn-ME"/>
        </w:rPr>
        <w:t>,</w:t>
      </w:r>
      <w:r w:rsidRPr="007821D0">
        <w:rPr>
          <w:lang w:val="sr-Latn-ME"/>
        </w:rPr>
        <w:t xml:space="preserve"> kako putem eliminacije koj</w:t>
      </w:r>
      <w:r w:rsidR="00581990" w:rsidRPr="007821D0">
        <w:rPr>
          <w:lang w:val="sr-Latn-ME"/>
        </w:rPr>
        <w:t>i</w:t>
      </w:r>
      <w:r w:rsidRPr="007821D0">
        <w:rPr>
          <w:lang w:val="sr-Latn-ME"/>
        </w:rPr>
        <w:t xml:space="preserve"> zavisi od koncentracije, tako i putem </w:t>
      </w:r>
      <w:r w:rsidR="00581990" w:rsidRPr="007821D0">
        <w:rPr>
          <w:lang w:val="sr-Latn-ME"/>
        </w:rPr>
        <w:t xml:space="preserve">eliminacije </w:t>
      </w:r>
      <w:r w:rsidRPr="007821D0">
        <w:rPr>
          <w:lang w:val="sr-Latn-ME"/>
        </w:rPr>
        <w:t xml:space="preserve">nezavisnim od koncentracije </w:t>
      </w:r>
      <w:r w:rsidR="009F2AF5" w:rsidRPr="007821D0">
        <w:rPr>
          <w:lang w:val="sr-Latn-ME"/>
        </w:rPr>
        <w:t>lijek</w:t>
      </w:r>
      <w:r w:rsidRPr="007821D0">
        <w:rPr>
          <w:lang w:val="sr-Latn-ME"/>
        </w:rPr>
        <w:t xml:space="preserve">a. Nakon </w:t>
      </w:r>
      <w:r w:rsidR="00E91FDE" w:rsidRPr="007821D0">
        <w:rPr>
          <w:lang w:val="sr-Latn-ME"/>
        </w:rPr>
        <w:t>primjene</w:t>
      </w:r>
      <w:r w:rsidRPr="007821D0">
        <w:rPr>
          <w:lang w:val="sr-Latn-ME"/>
        </w:rPr>
        <w:t xml:space="preserve"> pojedinačnih doza dutasterida od 5 mg ili manje, dolazi do brze eliminacije </w:t>
      </w:r>
      <w:r w:rsidR="009F2AF5" w:rsidRPr="007821D0">
        <w:rPr>
          <w:lang w:val="sr-Latn-ME"/>
        </w:rPr>
        <w:t>lijek</w:t>
      </w:r>
      <w:r w:rsidRPr="007821D0">
        <w:rPr>
          <w:lang w:val="sr-Latn-ME"/>
        </w:rPr>
        <w:t>a</w:t>
      </w:r>
      <w:r w:rsidR="00581990" w:rsidRPr="007821D0">
        <w:rPr>
          <w:lang w:val="sr-Latn-ME"/>
        </w:rPr>
        <w:t>, a</w:t>
      </w:r>
      <w:r w:rsidRPr="007821D0">
        <w:rPr>
          <w:lang w:val="sr-Latn-ME"/>
        </w:rPr>
        <w:t xml:space="preserve"> poluvr</w:t>
      </w:r>
      <w:r w:rsidR="00367D43" w:rsidRPr="007821D0">
        <w:rPr>
          <w:lang w:val="sr-Latn-ME"/>
        </w:rPr>
        <w:t>ij</w:t>
      </w:r>
      <w:r w:rsidRPr="007821D0">
        <w:rPr>
          <w:lang w:val="sr-Latn-ME"/>
        </w:rPr>
        <w:t xml:space="preserve">eme eliminacije </w:t>
      </w:r>
      <w:r w:rsidR="009F2AF5" w:rsidRPr="007821D0">
        <w:rPr>
          <w:lang w:val="sr-Latn-ME"/>
        </w:rPr>
        <w:t>lijek</w:t>
      </w:r>
      <w:r w:rsidRPr="007821D0">
        <w:rPr>
          <w:lang w:val="sr-Latn-ME"/>
        </w:rPr>
        <w:t xml:space="preserve">a je kratko i iznosi 3 do 9 dana. </w:t>
      </w:r>
    </w:p>
    <w:p w14:paraId="3E5AD2A5" w14:textId="77777777" w:rsidR="0081499A" w:rsidRPr="007821D0" w:rsidRDefault="0081499A" w:rsidP="007821D0">
      <w:pPr>
        <w:spacing w:after="0" w:line="240" w:lineRule="auto"/>
        <w:ind w:left="-5" w:right="3"/>
        <w:jc w:val="both"/>
        <w:rPr>
          <w:lang w:val="sr-Latn-ME"/>
        </w:rPr>
      </w:pPr>
    </w:p>
    <w:p w14:paraId="1D1F2727" w14:textId="0468699A" w:rsidR="00284634" w:rsidRPr="007821D0" w:rsidRDefault="00313D4B" w:rsidP="007821D0">
      <w:pPr>
        <w:spacing w:after="0" w:line="240" w:lineRule="auto"/>
        <w:ind w:left="-5" w:right="3"/>
        <w:jc w:val="both"/>
        <w:rPr>
          <w:lang w:val="sr-Latn-ME"/>
        </w:rPr>
      </w:pPr>
      <w:r w:rsidRPr="007821D0">
        <w:rPr>
          <w:lang w:val="sr-Latn-ME"/>
        </w:rPr>
        <w:t xml:space="preserve">Pri </w:t>
      </w:r>
      <w:r w:rsidR="00801048" w:rsidRPr="007821D0">
        <w:rPr>
          <w:lang w:val="sr-Latn-ME"/>
        </w:rPr>
        <w:t>primijeni</w:t>
      </w:r>
      <w:r w:rsidRPr="007821D0">
        <w:rPr>
          <w:lang w:val="sr-Latn-ME"/>
        </w:rPr>
        <w:t xml:space="preserve"> </w:t>
      </w:r>
      <w:r w:rsidR="009F2AF5" w:rsidRPr="007821D0">
        <w:rPr>
          <w:lang w:val="sr-Latn-ME"/>
        </w:rPr>
        <w:t>lijek</w:t>
      </w:r>
      <w:r w:rsidRPr="007821D0">
        <w:rPr>
          <w:lang w:val="sr-Latn-ME"/>
        </w:rPr>
        <w:t>a u terapijskim koncentracijama, nakon ponovljenog doziranja od 0,5 mg</w:t>
      </w:r>
      <w:r w:rsidR="00581990" w:rsidRPr="007821D0">
        <w:rPr>
          <w:lang w:val="sr-Latn-ME"/>
        </w:rPr>
        <w:t xml:space="preserve"> </w:t>
      </w:r>
      <w:r w:rsidRPr="007821D0">
        <w:rPr>
          <w:lang w:val="sr-Latn-ME"/>
        </w:rPr>
        <w:t xml:space="preserve">dnevno, dominira sporiji, linearni put eliminacije i </w:t>
      </w:r>
      <w:r w:rsidR="00367D43" w:rsidRPr="007821D0">
        <w:rPr>
          <w:lang w:val="sr-Latn-ME"/>
        </w:rPr>
        <w:t>poluvrijeme</w:t>
      </w:r>
      <w:r w:rsidRPr="007821D0">
        <w:rPr>
          <w:lang w:val="sr-Latn-ME"/>
        </w:rPr>
        <w:t xml:space="preserve"> eliminacije iznosi približno 3 do 5 ned</w:t>
      </w:r>
      <w:r w:rsidR="00581990" w:rsidRPr="007821D0">
        <w:rPr>
          <w:lang w:val="sr-Latn-ME"/>
        </w:rPr>
        <w:t>j</w:t>
      </w:r>
      <w:r w:rsidRPr="007821D0">
        <w:rPr>
          <w:lang w:val="sr-Latn-ME"/>
        </w:rPr>
        <w:t>elja.</w:t>
      </w:r>
    </w:p>
    <w:p w14:paraId="12A8B5FF" w14:textId="77777777" w:rsidR="0081499A" w:rsidRPr="007821D0" w:rsidRDefault="0081499A" w:rsidP="007821D0">
      <w:pPr>
        <w:pStyle w:val="Heading2"/>
        <w:spacing w:after="0" w:line="240" w:lineRule="auto"/>
        <w:ind w:left="-5"/>
        <w:rPr>
          <w:lang w:val="sr-Latn-ME"/>
        </w:rPr>
      </w:pPr>
    </w:p>
    <w:p w14:paraId="4F2DC51B" w14:textId="7B33F0C5" w:rsidR="00284634" w:rsidRPr="007821D0" w:rsidRDefault="00313D4B" w:rsidP="007821D0">
      <w:pPr>
        <w:pStyle w:val="Heading2"/>
        <w:spacing w:after="0" w:line="240" w:lineRule="auto"/>
        <w:ind w:left="-5"/>
        <w:rPr>
          <w:lang w:val="sr-Latn-ME"/>
        </w:rPr>
      </w:pPr>
      <w:r w:rsidRPr="007821D0">
        <w:rPr>
          <w:lang w:val="sr-Latn-ME"/>
        </w:rPr>
        <w:t>Stariji pacijenti</w:t>
      </w:r>
    </w:p>
    <w:p w14:paraId="29EF70A8" w14:textId="72FD7EA9" w:rsidR="00284634" w:rsidRPr="007821D0" w:rsidRDefault="00313D4B" w:rsidP="007821D0">
      <w:pPr>
        <w:spacing w:after="0" w:line="240" w:lineRule="auto"/>
        <w:ind w:left="-5" w:right="3"/>
        <w:jc w:val="both"/>
        <w:rPr>
          <w:lang w:val="sr-Latn-ME"/>
        </w:rPr>
      </w:pPr>
      <w:r w:rsidRPr="007821D0">
        <w:rPr>
          <w:lang w:val="sr-Latn-ME"/>
        </w:rPr>
        <w:t xml:space="preserve">Farmakokinetika dutasterida ispitivana je kod 36 zdravih, muških ispitanika starosti između 24 i 87 godina nakon </w:t>
      </w:r>
      <w:r w:rsidR="00E91FDE" w:rsidRPr="007821D0">
        <w:rPr>
          <w:lang w:val="sr-Latn-ME"/>
        </w:rPr>
        <w:t>primjene</w:t>
      </w:r>
      <w:r w:rsidRPr="007821D0">
        <w:rPr>
          <w:lang w:val="sr-Latn-ME"/>
        </w:rPr>
        <w:t xml:space="preserve"> pojedinačne doze od 5 mg dutasterida. Nije prim</w:t>
      </w:r>
      <w:r w:rsidR="00581990" w:rsidRPr="007821D0">
        <w:rPr>
          <w:lang w:val="sr-Latn-ME"/>
        </w:rPr>
        <w:t>ij</w:t>
      </w:r>
      <w:r w:rsidRPr="007821D0">
        <w:rPr>
          <w:lang w:val="sr-Latn-ME"/>
        </w:rPr>
        <w:t xml:space="preserve">ećen značajan uticaj starosti pacijenta na izloženost dutasteridu, ali je </w:t>
      </w:r>
      <w:r w:rsidR="00367D43" w:rsidRPr="007821D0">
        <w:rPr>
          <w:lang w:val="sr-Latn-ME"/>
        </w:rPr>
        <w:t>poluvrijeme</w:t>
      </w:r>
      <w:r w:rsidRPr="007821D0">
        <w:rPr>
          <w:lang w:val="sr-Latn-ME"/>
        </w:rPr>
        <w:t xml:space="preserve"> eliminacije dutasterida bilo kraće kod muškaraca mlađih od 50 godina. Nije utvrđena statistička značajnost razlike </w:t>
      </w:r>
      <w:r w:rsidR="00367D43" w:rsidRPr="007821D0">
        <w:rPr>
          <w:lang w:val="sr-Latn-ME"/>
        </w:rPr>
        <w:t>poluvreme</w:t>
      </w:r>
      <w:r w:rsidRPr="007821D0">
        <w:rPr>
          <w:lang w:val="sr-Latn-ME"/>
        </w:rPr>
        <w:t xml:space="preserve">na eliminacije </w:t>
      </w:r>
      <w:r w:rsidR="009F2AF5" w:rsidRPr="007821D0">
        <w:rPr>
          <w:lang w:val="sr-Latn-ME"/>
        </w:rPr>
        <w:t>lijek</w:t>
      </w:r>
      <w:r w:rsidRPr="007821D0">
        <w:rPr>
          <w:lang w:val="sr-Latn-ME"/>
        </w:rPr>
        <w:t xml:space="preserve">a između starosne grupe </w:t>
      </w:r>
      <w:r w:rsidR="00581990" w:rsidRPr="007821D0">
        <w:rPr>
          <w:lang w:val="sr-Latn-ME"/>
        </w:rPr>
        <w:t xml:space="preserve">od </w:t>
      </w:r>
      <w:r w:rsidRPr="007821D0">
        <w:rPr>
          <w:lang w:val="sr-Latn-ME"/>
        </w:rPr>
        <w:t>50</w:t>
      </w:r>
      <w:r w:rsidR="00581990" w:rsidRPr="007821D0">
        <w:rPr>
          <w:lang w:val="sr-Latn-ME"/>
        </w:rPr>
        <w:t>-</w:t>
      </w:r>
      <w:r w:rsidRPr="007821D0">
        <w:rPr>
          <w:lang w:val="sr-Latn-ME"/>
        </w:rPr>
        <w:t>69 godina i grupe sa osobama starijim od 70 godina.</w:t>
      </w:r>
    </w:p>
    <w:p w14:paraId="4902C6E0" w14:textId="77777777" w:rsidR="0081499A" w:rsidRPr="007821D0" w:rsidRDefault="0081499A" w:rsidP="007821D0">
      <w:pPr>
        <w:pStyle w:val="Heading2"/>
        <w:spacing w:after="0" w:line="240" w:lineRule="auto"/>
        <w:ind w:left="-5"/>
        <w:rPr>
          <w:lang w:val="sr-Latn-ME"/>
        </w:rPr>
      </w:pPr>
    </w:p>
    <w:p w14:paraId="61C19A52" w14:textId="66BBADAE" w:rsidR="00284634" w:rsidRPr="007821D0" w:rsidRDefault="00313D4B" w:rsidP="007821D0">
      <w:pPr>
        <w:pStyle w:val="Heading2"/>
        <w:spacing w:after="0" w:line="240" w:lineRule="auto"/>
        <w:ind w:left="-5"/>
        <w:rPr>
          <w:lang w:val="sr-Latn-ME"/>
        </w:rPr>
      </w:pPr>
      <w:r w:rsidRPr="007821D0">
        <w:rPr>
          <w:lang w:val="sr-Latn-ME"/>
        </w:rPr>
        <w:t>Oštećenje funkcije bubrega</w:t>
      </w:r>
    </w:p>
    <w:p w14:paraId="5B4A2BF5" w14:textId="186A4006" w:rsidR="00284634" w:rsidRPr="007821D0" w:rsidRDefault="00313D4B" w:rsidP="007821D0">
      <w:pPr>
        <w:spacing w:after="0" w:line="240" w:lineRule="auto"/>
        <w:ind w:left="-5" w:right="3"/>
        <w:jc w:val="both"/>
        <w:rPr>
          <w:lang w:val="sr-Latn-ME"/>
        </w:rPr>
      </w:pPr>
      <w:r w:rsidRPr="007821D0">
        <w:rPr>
          <w:lang w:val="sr-Latn-ME"/>
        </w:rPr>
        <w:t xml:space="preserve">Nije ispitan uticaj </w:t>
      </w:r>
      <w:r w:rsidR="00BC491C" w:rsidRPr="007821D0">
        <w:rPr>
          <w:lang w:val="sr-Latn-ME"/>
        </w:rPr>
        <w:t xml:space="preserve">oštećenja funkcije </w:t>
      </w:r>
      <w:r w:rsidRPr="007821D0">
        <w:rPr>
          <w:lang w:val="sr-Latn-ME"/>
        </w:rPr>
        <w:t>bubre</w:t>
      </w:r>
      <w:r w:rsidR="00BC491C" w:rsidRPr="007821D0">
        <w:rPr>
          <w:lang w:val="sr-Latn-ME"/>
        </w:rPr>
        <w:t>ga</w:t>
      </w:r>
      <w:r w:rsidRPr="007821D0">
        <w:rPr>
          <w:lang w:val="sr-Latn-ME"/>
        </w:rPr>
        <w:t xml:space="preserve"> na farmakokinetiku dutasterida. Međutim, u humanom urinu, u stanju </w:t>
      </w:r>
      <w:r w:rsidR="00BC491C" w:rsidRPr="007821D0">
        <w:rPr>
          <w:lang w:val="sr-Latn-ME"/>
        </w:rPr>
        <w:t xml:space="preserve">dinamičke </w:t>
      </w:r>
      <w:r w:rsidRPr="007821D0">
        <w:rPr>
          <w:lang w:val="sr-Latn-ME"/>
        </w:rPr>
        <w:t xml:space="preserve">ravnoteže je pronađeno manje od 0,1% </w:t>
      </w:r>
      <w:r w:rsidR="002A19A7" w:rsidRPr="007821D0">
        <w:rPr>
          <w:lang w:val="sr-Latn-ME"/>
        </w:rPr>
        <w:t>primijenjen</w:t>
      </w:r>
      <w:r w:rsidRPr="007821D0">
        <w:rPr>
          <w:lang w:val="sr-Latn-ME"/>
        </w:rPr>
        <w:t xml:space="preserve">e doze od 0,5 mg dutasterida, pa se ne </w:t>
      </w:r>
      <w:r w:rsidRPr="007821D0">
        <w:rPr>
          <w:lang w:val="sr-Latn-ME"/>
        </w:rPr>
        <w:lastRenderedPageBreak/>
        <w:t>očekuje klinički značajno povećanje koncentracije dutasterida u plazmi kod pacijenata sa oštećenjem funkcije bubrega (</w:t>
      </w:r>
      <w:r w:rsidR="00E602C2" w:rsidRPr="007821D0">
        <w:rPr>
          <w:lang w:val="sr-Latn-ME"/>
        </w:rPr>
        <w:t>vidjeti</w:t>
      </w:r>
      <w:r w:rsidRPr="007821D0">
        <w:rPr>
          <w:lang w:val="sr-Latn-ME"/>
        </w:rPr>
        <w:t xml:space="preserve"> </w:t>
      </w:r>
      <w:r w:rsidR="00BC491C" w:rsidRPr="007821D0">
        <w:rPr>
          <w:lang w:val="sr-Latn-ME"/>
        </w:rPr>
        <w:t xml:space="preserve">dio </w:t>
      </w:r>
      <w:r w:rsidRPr="007821D0">
        <w:rPr>
          <w:lang w:val="sr-Latn-ME"/>
        </w:rPr>
        <w:t>4.2).</w:t>
      </w:r>
    </w:p>
    <w:p w14:paraId="56013671" w14:textId="77777777" w:rsidR="0081499A" w:rsidRPr="007821D0" w:rsidRDefault="0081499A" w:rsidP="007821D0">
      <w:pPr>
        <w:pStyle w:val="Heading2"/>
        <w:spacing w:after="0" w:line="240" w:lineRule="auto"/>
        <w:ind w:left="-5"/>
        <w:rPr>
          <w:lang w:val="sr-Latn-ME"/>
        </w:rPr>
      </w:pPr>
    </w:p>
    <w:p w14:paraId="47852C9F" w14:textId="7A317277" w:rsidR="00284634" w:rsidRPr="007821D0" w:rsidRDefault="00313D4B" w:rsidP="007821D0">
      <w:pPr>
        <w:pStyle w:val="Heading2"/>
        <w:spacing w:after="0" w:line="240" w:lineRule="auto"/>
        <w:ind w:left="-5"/>
        <w:rPr>
          <w:lang w:val="sr-Latn-ME"/>
        </w:rPr>
      </w:pPr>
      <w:r w:rsidRPr="007821D0">
        <w:rPr>
          <w:lang w:val="sr-Latn-ME"/>
        </w:rPr>
        <w:t>Oštećenje funkcije jetre</w:t>
      </w:r>
    </w:p>
    <w:p w14:paraId="5B0DA8B3" w14:textId="375CAD54" w:rsidR="00284634" w:rsidRPr="007821D0" w:rsidRDefault="00313D4B" w:rsidP="007821D0">
      <w:pPr>
        <w:spacing w:after="0" w:line="240" w:lineRule="auto"/>
        <w:ind w:left="-5" w:right="3"/>
        <w:jc w:val="both"/>
        <w:rPr>
          <w:lang w:val="sr-Latn-ME"/>
        </w:rPr>
      </w:pPr>
      <w:r w:rsidRPr="007821D0">
        <w:rPr>
          <w:lang w:val="sr-Latn-ME"/>
        </w:rPr>
        <w:t xml:space="preserve">Nije ispitan uticaj </w:t>
      </w:r>
      <w:r w:rsidR="00BC491C" w:rsidRPr="007821D0">
        <w:rPr>
          <w:lang w:val="sr-Latn-ME"/>
        </w:rPr>
        <w:t>oštećenja funkcije jetre</w:t>
      </w:r>
      <w:r w:rsidRPr="007821D0">
        <w:rPr>
          <w:lang w:val="sr-Latn-ME"/>
        </w:rPr>
        <w:t xml:space="preserve"> na farmakokinetiku dutasterida (</w:t>
      </w:r>
      <w:r w:rsidR="00E602C2" w:rsidRPr="007821D0">
        <w:rPr>
          <w:lang w:val="sr-Latn-ME"/>
        </w:rPr>
        <w:t>vidjeti</w:t>
      </w:r>
      <w:r w:rsidRPr="007821D0">
        <w:rPr>
          <w:lang w:val="sr-Latn-ME"/>
        </w:rPr>
        <w:t xml:space="preserve"> </w:t>
      </w:r>
      <w:r w:rsidR="00BC491C" w:rsidRPr="007821D0">
        <w:rPr>
          <w:lang w:val="sr-Latn-ME"/>
        </w:rPr>
        <w:t xml:space="preserve">dio </w:t>
      </w:r>
      <w:r w:rsidRPr="007821D0">
        <w:rPr>
          <w:lang w:val="sr-Latn-ME"/>
        </w:rPr>
        <w:t xml:space="preserve">4.3). Kako se dutasterid uglavnom eliminiše metaboličkim putem, očekuje se da će kod navedenih pacijenata biti povećana koncentracija dutasterida u plazmi, a </w:t>
      </w:r>
      <w:r w:rsidR="00367D43" w:rsidRPr="007821D0">
        <w:rPr>
          <w:lang w:val="sr-Latn-ME"/>
        </w:rPr>
        <w:t>poluvrijeme</w:t>
      </w:r>
      <w:r w:rsidRPr="007821D0">
        <w:rPr>
          <w:lang w:val="sr-Latn-ME"/>
        </w:rPr>
        <w:t xml:space="preserve"> eliminacije dutasterida produženo (</w:t>
      </w:r>
      <w:r w:rsidR="00E602C2" w:rsidRPr="007821D0">
        <w:rPr>
          <w:lang w:val="sr-Latn-ME"/>
        </w:rPr>
        <w:t>vidjeti</w:t>
      </w:r>
      <w:r w:rsidRPr="007821D0">
        <w:rPr>
          <w:lang w:val="sr-Latn-ME"/>
        </w:rPr>
        <w:t xml:space="preserve"> </w:t>
      </w:r>
      <w:r w:rsidR="00BC491C" w:rsidRPr="007821D0">
        <w:rPr>
          <w:lang w:val="sr-Latn-ME"/>
        </w:rPr>
        <w:t xml:space="preserve">djelove </w:t>
      </w:r>
      <w:r w:rsidRPr="007821D0">
        <w:rPr>
          <w:lang w:val="sr-Latn-ME"/>
        </w:rPr>
        <w:t>4.2</w:t>
      </w:r>
      <w:r w:rsidR="00BC491C" w:rsidRPr="007821D0">
        <w:rPr>
          <w:lang w:val="sr-Latn-ME"/>
        </w:rPr>
        <w:t>.</w:t>
      </w:r>
      <w:r w:rsidRPr="007821D0">
        <w:rPr>
          <w:lang w:val="sr-Latn-ME"/>
        </w:rPr>
        <w:t xml:space="preserve"> i  4.4).</w:t>
      </w:r>
    </w:p>
    <w:p w14:paraId="118094D1" w14:textId="77777777" w:rsidR="0081499A" w:rsidRPr="007821D0" w:rsidRDefault="0081499A" w:rsidP="007821D0">
      <w:pPr>
        <w:pStyle w:val="Heading3"/>
        <w:spacing w:after="0" w:line="240" w:lineRule="auto"/>
        <w:ind w:left="-5"/>
        <w:rPr>
          <w:lang w:val="sr-Latn-ME"/>
        </w:rPr>
      </w:pPr>
    </w:p>
    <w:p w14:paraId="360DCC2C" w14:textId="3B6E4CAE" w:rsidR="00284634" w:rsidRPr="007821D0" w:rsidRDefault="00313D4B" w:rsidP="007821D0">
      <w:pPr>
        <w:pStyle w:val="Heading3"/>
        <w:spacing w:after="0" w:line="240" w:lineRule="auto"/>
        <w:ind w:left="-5"/>
        <w:rPr>
          <w:lang w:val="sr-Latn-ME"/>
        </w:rPr>
      </w:pPr>
      <w:r w:rsidRPr="007821D0">
        <w:rPr>
          <w:lang w:val="sr-Latn-ME"/>
        </w:rPr>
        <w:t>5.3. Pretklinički podaci o bezb</w:t>
      </w:r>
      <w:r w:rsidR="00D05C0E" w:rsidRPr="007821D0">
        <w:rPr>
          <w:lang w:val="sr-Latn-ME"/>
        </w:rPr>
        <w:t>j</w:t>
      </w:r>
      <w:r w:rsidRPr="007821D0">
        <w:rPr>
          <w:lang w:val="sr-Latn-ME"/>
        </w:rPr>
        <w:t>ednost</w:t>
      </w:r>
      <w:r w:rsidR="009B05FD" w:rsidRPr="007821D0">
        <w:rPr>
          <w:lang w:val="sr-Latn-ME"/>
        </w:rPr>
        <w:t>i</w:t>
      </w:r>
    </w:p>
    <w:p w14:paraId="0CFD974D" w14:textId="77777777" w:rsidR="0081499A" w:rsidRPr="007821D0" w:rsidRDefault="0081499A" w:rsidP="007821D0">
      <w:pPr>
        <w:spacing w:after="0" w:line="240" w:lineRule="auto"/>
        <w:ind w:left="-5" w:right="3"/>
        <w:jc w:val="both"/>
        <w:rPr>
          <w:lang w:val="sr-Latn-ME"/>
        </w:rPr>
      </w:pPr>
    </w:p>
    <w:p w14:paraId="4A5E721A" w14:textId="7494D6B3" w:rsidR="00284634" w:rsidRPr="007821D0" w:rsidRDefault="00313D4B" w:rsidP="007821D0">
      <w:pPr>
        <w:spacing w:after="0" w:line="240" w:lineRule="auto"/>
        <w:ind w:left="-5" w:right="3"/>
        <w:jc w:val="both"/>
        <w:rPr>
          <w:lang w:val="sr-Latn-ME"/>
        </w:rPr>
      </w:pPr>
      <w:r w:rsidRPr="007821D0">
        <w:rPr>
          <w:lang w:val="sr-Latn-ME"/>
        </w:rPr>
        <w:t>Dosadašnja ispitivanja opšte toksičnosti, genotoksičnosti i karcinogenosti ni</w:t>
      </w:r>
      <w:r w:rsidR="00BC491C" w:rsidRPr="007821D0">
        <w:rPr>
          <w:lang w:val="sr-Latn-ME"/>
        </w:rPr>
        <w:t>je</w:t>
      </w:r>
      <w:r w:rsidRPr="007821D0">
        <w:rPr>
          <w:lang w:val="sr-Latn-ME"/>
        </w:rPr>
        <w:t xml:space="preserve">su ukazala na poseban rizik </w:t>
      </w:r>
      <w:r w:rsidR="00E91FDE" w:rsidRPr="007821D0">
        <w:rPr>
          <w:lang w:val="sr-Latn-ME"/>
        </w:rPr>
        <w:t>primjene</w:t>
      </w:r>
      <w:r w:rsidRPr="007821D0">
        <w:rPr>
          <w:lang w:val="sr-Latn-ME"/>
        </w:rPr>
        <w:t xml:space="preserve"> kod ljudi.</w:t>
      </w:r>
    </w:p>
    <w:p w14:paraId="01942BAE" w14:textId="77777777" w:rsidR="0081499A" w:rsidRPr="007821D0" w:rsidRDefault="0081499A" w:rsidP="007821D0">
      <w:pPr>
        <w:spacing w:after="0" w:line="240" w:lineRule="auto"/>
        <w:ind w:left="-5" w:right="3"/>
        <w:jc w:val="both"/>
        <w:rPr>
          <w:lang w:val="sr-Latn-ME"/>
        </w:rPr>
      </w:pPr>
    </w:p>
    <w:p w14:paraId="244C192D" w14:textId="2DCBB862" w:rsidR="00284634" w:rsidRPr="007821D0" w:rsidRDefault="00313D4B" w:rsidP="007821D0">
      <w:pPr>
        <w:spacing w:after="0" w:line="240" w:lineRule="auto"/>
        <w:ind w:left="-5" w:right="3"/>
        <w:jc w:val="both"/>
        <w:rPr>
          <w:lang w:val="sr-Latn-ME"/>
        </w:rPr>
      </w:pPr>
      <w:r w:rsidRPr="007821D0">
        <w:rPr>
          <w:lang w:val="sr-Latn-ME"/>
        </w:rPr>
        <w:t>Studije reproduktivne toksičnosti sprovedene na mužjacima pacova pokazale su smanjenje mase prostate i s</w:t>
      </w:r>
      <w:r w:rsidR="00367D43" w:rsidRPr="007821D0">
        <w:rPr>
          <w:lang w:val="sr-Latn-ME"/>
        </w:rPr>
        <w:t>j</w:t>
      </w:r>
      <w:r w:rsidRPr="007821D0">
        <w:rPr>
          <w:lang w:val="sr-Latn-ME"/>
        </w:rPr>
        <w:t>emenih kesica, smanjenu sekreciju pomoćnih genitalnih žl</w:t>
      </w:r>
      <w:r w:rsidR="00BC491C" w:rsidRPr="007821D0">
        <w:rPr>
          <w:lang w:val="sr-Latn-ME"/>
        </w:rPr>
        <w:t>ij</w:t>
      </w:r>
      <w:r w:rsidRPr="007821D0">
        <w:rPr>
          <w:lang w:val="sr-Latn-ME"/>
        </w:rPr>
        <w:t>ezda i redukciju pokazatelja plodnosti (usl</w:t>
      </w:r>
      <w:r w:rsidR="00BC491C" w:rsidRPr="007821D0">
        <w:rPr>
          <w:lang w:val="sr-Latn-ME"/>
        </w:rPr>
        <w:t>j</w:t>
      </w:r>
      <w:r w:rsidRPr="007821D0">
        <w:rPr>
          <w:lang w:val="sr-Latn-ME"/>
        </w:rPr>
        <w:t>ed farmakološkog dejstva dutasterida). Nije poznata klinička re</w:t>
      </w:r>
      <w:r w:rsidR="009660E2" w:rsidRPr="007821D0">
        <w:rPr>
          <w:lang w:val="sr-Latn-ME"/>
        </w:rPr>
        <w:t>leva</w:t>
      </w:r>
      <w:r w:rsidRPr="007821D0">
        <w:rPr>
          <w:lang w:val="sr-Latn-ME"/>
        </w:rPr>
        <w:t>ntnost navedenih podataka.</w:t>
      </w:r>
    </w:p>
    <w:p w14:paraId="390466CE" w14:textId="77777777" w:rsidR="0081499A" w:rsidRPr="007821D0" w:rsidRDefault="0081499A" w:rsidP="007821D0">
      <w:pPr>
        <w:spacing w:after="0" w:line="240" w:lineRule="auto"/>
        <w:ind w:left="-5" w:right="3"/>
        <w:jc w:val="both"/>
        <w:rPr>
          <w:lang w:val="sr-Latn-ME"/>
        </w:rPr>
      </w:pPr>
    </w:p>
    <w:p w14:paraId="166EA300" w14:textId="275D153C" w:rsidR="00284634" w:rsidRPr="007821D0" w:rsidRDefault="00313D4B" w:rsidP="007821D0">
      <w:pPr>
        <w:spacing w:after="0" w:line="240" w:lineRule="auto"/>
        <w:ind w:left="-5" w:right="3"/>
        <w:jc w:val="both"/>
        <w:rPr>
          <w:lang w:val="sr-Latn-ME"/>
        </w:rPr>
      </w:pPr>
      <w:r w:rsidRPr="007821D0">
        <w:rPr>
          <w:lang w:val="sr-Latn-ME"/>
        </w:rPr>
        <w:t xml:space="preserve">Kao i kod </w:t>
      </w:r>
      <w:r w:rsidR="00E91FDE" w:rsidRPr="007821D0">
        <w:rPr>
          <w:lang w:val="sr-Latn-ME"/>
        </w:rPr>
        <w:t>primjene</w:t>
      </w:r>
      <w:r w:rsidRPr="007821D0">
        <w:rPr>
          <w:lang w:val="sr-Latn-ME"/>
        </w:rPr>
        <w:t xml:space="preserve"> drugih inhibitora 5-alfa reduktaze, prim</w:t>
      </w:r>
      <w:r w:rsidR="00BC491C" w:rsidRPr="007821D0">
        <w:rPr>
          <w:lang w:val="sr-Latn-ME"/>
        </w:rPr>
        <w:t>ij</w:t>
      </w:r>
      <w:r w:rsidRPr="007821D0">
        <w:rPr>
          <w:lang w:val="sr-Latn-ME"/>
        </w:rPr>
        <w:t xml:space="preserve">ećena je feminizacija fetusa muškog pola kod pacova i kunića nakon </w:t>
      </w:r>
      <w:r w:rsidR="00E91FDE" w:rsidRPr="007821D0">
        <w:rPr>
          <w:lang w:val="sr-Latn-ME"/>
        </w:rPr>
        <w:t>primjene</w:t>
      </w:r>
      <w:r w:rsidRPr="007821D0">
        <w:rPr>
          <w:lang w:val="sr-Latn-ME"/>
        </w:rPr>
        <w:t xml:space="preserve"> dutasterida tokom gestacije. Dutasterid je detektovan u krvi ženki pacova nakon ukrštanja sa mužjacima koji su primali dutasterid. Nakon </w:t>
      </w:r>
      <w:r w:rsidR="00E91FDE" w:rsidRPr="007821D0">
        <w:rPr>
          <w:lang w:val="sr-Latn-ME"/>
        </w:rPr>
        <w:t>primjene</w:t>
      </w:r>
      <w:r w:rsidRPr="007821D0">
        <w:rPr>
          <w:lang w:val="sr-Latn-ME"/>
        </w:rPr>
        <w:t xml:space="preserve"> dutasterida tokom gestacije kod primata, nije prim</w:t>
      </w:r>
      <w:r w:rsidR="00BC491C" w:rsidRPr="007821D0">
        <w:rPr>
          <w:lang w:val="sr-Latn-ME"/>
        </w:rPr>
        <w:t>ij</w:t>
      </w:r>
      <w:r w:rsidRPr="007821D0">
        <w:rPr>
          <w:lang w:val="sr-Latn-ME"/>
        </w:rPr>
        <w:t>ećena feminizacija fetusa muškog pola pri koncentracijama u krvi značajno većim od onih koje se mogu javiti u ljudskoj spermi. Malo je v</w:t>
      </w:r>
      <w:r w:rsidR="00BC491C" w:rsidRPr="007821D0">
        <w:rPr>
          <w:lang w:val="sr-Latn-ME"/>
        </w:rPr>
        <w:t>j</w:t>
      </w:r>
      <w:r w:rsidRPr="007821D0">
        <w:rPr>
          <w:lang w:val="sr-Latn-ME"/>
        </w:rPr>
        <w:t>erovatno</w:t>
      </w:r>
      <w:r w:rsidR="00BC491C" w:rsidRPr="007821D0">
        <w:rPr>
          <w:lang w:val="sr-Latn-ME"/>
        </w:rPr>
        <w:t xml:space="preserve"> da</w:t>
      </w:r>
      <w:r w:rsidRPr="007821D0">
        <w:rPr>
          <w:lang w:val="sr-Latn-ME"/>
        </w:rPr>
        <w:t xml:space="preserve"> će se javiti neželjena dejstva kod fetusa muškog pola usl</w:t>
      </w:r>
      <w:r w:rsidR="00BC491C" w:rsidRPr="007821D0">
        <w:rPr>
          <w:lang w:val="sr-Latn-ME"/>
        </w:rPr>
        <w:t>j</w:t>
      </w:r>
      <w:r w:rsidRPr="007821D0">
        <w:rPr>
          <w:lang w:val="sr-Latn-ME"/>
        </w:rPr>
        <w:t>ed prenosa dutasterida putem sperme.</w:t>
      </w:r>
    </w:p>
    <w:p w14:paraId="755EE555" w14:textId="77777777" w:rsidR="00001C39" w:rsidRPr="007821D0" w:rsidRDefault="00001C39" w:rsidP="007821D0">
      <w:pPr>
        <w:pStyle w:val="Heading1"/>
        <w:spacing w:after="0" w:line="240" w:lineRule="auto"/>
        <w:ind w:left="-5"/>
        <w:rPr>
          <w:lang w:val="sr-Latn-ME"/>
        </w:rPr>
      </w:pPr>
    </w:p>
    <w:p w14:paraId="572B5141" w14:textId="77777777" w:rsidR="005D1642" w:rsidRDefault="005D1642" w:rsidP="007821D0">
      <w:pPr>
        <w:pStyle w:val="Heading1"/>
        <w:spacing w:after="0" w:line="240" w:lineRule="auto"/>
        <w:ind w:left="-5"/>
        <w:rPr>
          <w:lang w:val="sr-Latn-ME"/>
        </w:rPr>
      </w:pPr>
    </w:p>
    <w:p w14:paraId="2D6FEDB3" w14:textId="1312E6C2" w:rsidR="00284634" w:rsidRPr="007821D0" w:rsidRDefault="00313D4B" w:rsidP="007821D0">
      <w:pPr>
        <w:pStyle w:val="Heading1"/>
        <w:spacing w:after="0" w:line="240" w:lineRule="auto"/>
        <w:ind w:left="-5"/>
        <w:rPr>
          <w:lang w:val="sr-Latn-ME"/>
        </w:rPr>
      </w:pPr>
      <w:r w:rsidRPr="007821D0">
        <w:rPr>
          <w:lang w:val="sr-Latn-ME"/>
        </w:rPr>
        <w:t>6. FARMACEUTSKI PODACI</w:t>
      </w:r>
    </w:p>
    <w:p w14:paraId="40D34255" w14:textId="77777777" w:rsidR="0081499A" w:rsidRPr="007821D0" w:rsidRDefault="0081499A" w:rsidP="007821D0">
      <w:pPr>
        <w:pStyle w:val="Heading2"/>
        <w:spacing w:after="0" w:line="240" w:lineRule="auto"/>
        <w:ind w:left="-5"/>
        <w:rPr>
          <w:b/>
          <w:u w:val="none"/>
          <w:lang w:val="sr-Latn-ME"/>
        </w:rPr>
      </w:pPr>
    </w:p>
    <w:p w14:paraId="39FEB66F" w14:textId="7B6D4C4F" w:rsidR="00284634" w:rsidRPr="007821D0" w:rsidRDefault="00313D4B" w:rsidP="007821D0">
      <w:pPr>
        <w:pStyle w:val="Heading2"/>
        <w:spacing w:after="0" w:line="240" w:lineRule="auto"/>
        <w:ind w:left="-5"/>
        <w:rPr>
          <w:lang w:val="sr-Latn-ME"/>
        </w:rPr>
      </w:pPr>
      <w:r w:rsidRPr="007821D0">
        <w:rPr>
          <w:b/>
          <w:u w:val="none"/>
          <w:lang w:val="sr-Latn-ME"/>
        </w:rPr>
        <w:t>6.1. Lista pomo</w:t>
      </w:r>
      <w:r w:rsidR="00D05C0E" w:rsidRPr="007821D0">
        <w:rPr>
          <w:b/>
          <w:u w:val="none"/>
          <w:lang w:val="sr-Latn-ME"/>
        </w:rPr>
        <w:t>ć</w:t>
      </w:r>
      <w:r w:rsidRPr="007821D0">
        <w:rPr>
          <w:b/>
          <w:u w:val="none"/>
          <w:lang w:val="sr-Latn-ME"/>
        </w:rPr>
        <w:t>nih supstanci</w:t>
      </w:r>
      <w:r w:rsidR="00D05C0E" w:rsidRPr="007821D0">
        <w:rPr>
          <w:b/>
          <w:u w:val="none"/>
          <w:lang w:val="sr-Latn-ME"/>
        </w:rPr>
        <w:t xml:space="preserve"> (ekscipijenasa)</w:t>
      </w:r>
    </w:p>
    <w:p w14:paraId="606CCB3D" w14:textId="77777777" w:rsidR="0081499A" w:rsidRPr="007821D0" w:rsidRDefault="0081499A" w:rsidP="007821D0">
      <w:pPr>
        <w:spacing w:after="0" w:line="240" w:lineRule="auto"/>
        <w:ind w:left="-5"/>
        <w:rPr>
          <w:u w:val="single" w:color="000000"/>
          <w:lang w:val="sr-Latn-ME"/>
        </w:rPr>
      </w:pPr>
    </w:p>
    <w:p w14:paraId="7BA981F5" w14:textId="7F9DB66F" w:rsidR="00284634" w:rsidRPr="007821D0" w:rsidRDefault="00313D4B" w:rsidP="007821D0">
      <w:pPr>
        <w:spacing w:after="0" w:line="240" w:lineRule="auto"/>
        <w:ind w:left="-5"/>
        <w:rPr>
          <w:lang w:val="sr-Latn-ME"/>
        </w:rPr>
      </w:pPr>
      <w:r w:rsidRPr="007821D0">
        <w:rPr>
          <w:u w:val="single" w:color="000000"/>
          <w:lang w:val="sr-Latn-ME"/>
        </w:rPr>
        <w:t>Sadržaj kapsule:</w:t>
      </w:r>
      <w:r w:rsidRPr="007821D0">
        <w:rPr>
          <w:lang w:val="sr-Latn-ME"/>
        </w:rPr>
        <w:t xml:space="preserve"> </w:t>
      </w:r>
    </w:p>
    <w:p w14:paraId="2E40EB4D" w14:textId="77777777" w:rsidR="006D5AA7" w:rsidRPr="007821D0" w:rsidRDefault="00313D4B" w:rsidP="007821D0">
      <w:pPr>
        <w:spacing w:after="0" w:line="240" w:lineRule="auto"/>
        <w:ind w:left="-5" w:right="4812"/>
        <w:rPr>
          <w:lang w:val="sr-Latn-ME"/>
        </w:rPr>
      </w:pPr>
      <w:r w:rsidRPr="007821D0">
        <w:rPr>
          <w:lang w:val="sr-Latn-ME"/>
        </w:rPr>
        <w:t xml:space="preserve">Butilhidroksitoluen (E321); </w:t>
      </w:r>
    </w:p>
    <w:p w14:paraId="30EB98B4" w14:textId="26D75768" w:rsidR="00284634" w:rsidRPr="007821D0" w:rsidRDefault="00313D4B" w:rsidP="007821D0">
      <w:pPr>
        <w:spacing w:after="0" w:line="240" w:lineRule="auto"/>
        <w:ind w:left="-5" w:right="4812"/>
        <w:rPr>
          <w:lang w:val="sr-Latn-ME"/>
        </w:rPr>
      </w:pPr>
      <w:r w:rsidRPr="007821D0">
        <w:rPr>
          <w:lang w:val="sr-Latn-ME"/>
        </w:rPr>
        <w:t>Glicerol</w:t>
      </w:r>
      <w:r w:rsidR="006D5AA7" w:rsidRPr="007821D0">
        <w:rPr>
          <w:lang w:val="sr-Latn-ME"/>
        </w:rPr>
        <w:t xml:space="preserve"> </w:t>
      </w:r>
      <w:r w:rsidRPr="007821D0">
        <w:rPr>
          <w:lang w:val="sr-Latn-ME"/>
        </w:rPr>
        <w:t>monokaprilokaprat (tip I).</w:t>
      </w:r>
    </w:p>
    <w:p w14:paraId="6A750BEE" w14:textId="77777777" w:rsidR="003C50EF" w:rsidRPr="007821D0" w:rsidRDefault="003C50EF" w:rsidP="007821D0">
      <w:pPr>
        <w:spacing w:after="0" w:line="240" w:lineRule="auto"/>
        <w:ind w:left="-5"/>
        <w:rPr>
          <w:u w:val="single" w:color="000000"/>
          <w:lang w:val="sr-Latn-ME"/>
        </w:rPr>
      </w:pPr>
    </w:p>
    <w:p w14:paraId="594DFF3D" w14:textId="25092249" w:rsidR="00284634" w:rsidRPr="007821D0" w:rsidRDefault="00313D4B" w:rsidP="007821D0">
      <w:pPr>
        <w:spacing w:after="0" w:line="240" w:lineRule="auto"/>
        <w:ind w:left="-5"/>
        <w:rPr>
          <w:lang w:val="sr-Latn-ME"/>
        </w:rPr>
      </w:pPr>
      <w:r w:rsidRPr="007821D0">
        <w:rPr>
          <w:u w:val="single" w:color="000000"/>
          <w:lang w:val="sr-Latn-ME"/>
        </w:rPr>
        <w:t>Sastav omotača kapsule:</w:t>
      </w:r>
      <w:r w:rsidRPr="007821D0">
        <w:rPr>
          <w:lang w:val="sr-Latn-ME"/>
        </w:rPr>
        <w:t xml:space="preserve"> </w:t>
      </w:r>
    </w:p>
    <w:p w14:paraId="2045BCCD" w14:textId="77777777" w:rsidR="00284634" w:rsidRPr="007821D0" w:rsidRDefault="00313D4B" w:rsidP="007821D0">
      <w:pPr>
        <w:spacing w:after="0" w:line="240" w:lineRule="auto"/>
        <w:ind w:left="-5" w:right="3"/>
        <w:rPr>
          <w:lang w:val="sr-Latn-ME"/>
        </w:rPr>
      </w:pPr>
      <w:r w:rsidRPr="007821D0">
        <w:rPr>
          <w:lang w:val="sr-Latn-ME"/>
        </w:rPr>
        <w:t>Želatin;</w:t>
      </w:r>
    </w:p>
    <w:p w14:paraId="2E68BEB1" w14:textId="77777777" w:rsidR="00284634" w:rsidRPr="007821D0" w:rsidRDefault="00313D4B" w:rsidP="007821D0">
      <w:pPr>
        <w:spacing w:after="0" w:line="240" w:lineRule="auto"/>
        <w:ind w:left="-5" w:right="3"/>
        <w:rPr>
          <w:lang w:val="sr-Latn-ME"/>
        </w:rPr>
      </w:pPr>
      <w:r w:rsidRPr="007821D0">
        <w:rPr>
          <w:lang w:val="sr-Latn-ME"/>
        </w:rPr>
        <w:t>Glicerol;</w:t>
      </w:r>
    </w:p>
    <w:p w14:paraId="03686B50" w14:textId="2B156232" w:rsidR="00284634" w:rsidRPr="007821D0" w:rsidRDefault="00313D4B" w:rsidP="007821D0">
      <w:pPr>
        <w:spacing w:after="0" w:line="240" w:lineRule="auto"/>
        <w:ind w:left="-5" w:right="3"/>
        <w:rPr>
          <w:lang w:val="sr-Latn-ME"/>
        </w:rPr>
      </w:pPr>
      <w:r w:rsidRPr="007821D0">
        <w:rPr>
          <w:lang w:val="sr-Latn-ME"/>
        </w:rPr>
        <w:t>Titan</w:t>
      </w:r>
      <w:r w:rsidR="006D5AA7" w:rsidRPr="007821D0">
        <w:rPr>
          <w:lang w:val="sr-Latn-ME"/>
        </w:rPr>
        <w:t xml:space="preserve"> </w:t>
      </w:r>
      <w:r w:rsidRPr="007821D0">
        <w:rPr>
          <w:lang w:val="sr-Latn-ME"/>
        </w:rPr>
        <w:t>dioksid (E171);</w:t>
      </w:r>
    </w:p>
    <w:p w14:paraId="57E99BD3" w14:textId="6E64D66D" w:rsidR="00284634" w:rsidRPr="007821D0" w:rsidRDefault="00313D4B" w:rsidP="007821D0">
      <w:pPr>
        <w:spacing w:after="0" w:line="240" w:lineRule="auto"/>
        <w:ind w:left="-5" w:right="3"/>
        <w:rPr>
          <w:lang w:val="sr-Latn-ME"/>
        </w:rPr>
      </w:pPr>
      <w:r w:rsidRPr="007821D0">
        <w:rPr>
          <w:lang w:val="sr-Latn-ME"/>
        </w:rPr>
        <w:t>Gvožđe (III)</w:t>
      </w:r>
      <w:r w:rsidR="006D5AA7" w:rsidRPr="007821D0">
        <w:rPr>
          <w:lang w:val="sr-Latn-ME"/>
        </w:rPr>
        <w:t xml:space="preserve"> </w:t>
      </w:r>
      <w:r w:rsidRPr="007821D0">
        <w:rPr>
          <w:lang w:val="sr-Latn-ME"/>
        </w:rPr>
        <w:t>oksid, žuti (E172);</w:t>
      </w:r>
    </w:p>
    <w:p w14:paraId="42EE4BED" w14:textId="77777777" w:rsidR="00367D43" w:rsidRPr="007821D0" w:rsidRDefault="00313D4B" w:rsidP="007821D0">
      <w:pPr>
        <w:spacing w:after="0" w:line="240" w:lineRule="auto"/>
        <w:ind w:left="-5" w:right="6674"/>
        <w:rPr>
          <w:lang w:val="sr-Latn-ME"/>
        </w:rPr>
      </w:pPr>
      <w:r w:rsidRPr="007821D0">
        <w:rPr>
          <w:lang w:val="sr-Latn-ME"/>
        </w:rPr>
        <w:t>Trigliceridi, srednje dužine lanca;</w:t>
      </w:r>
    </w:p>
    <w:p w14:paraId="3C99564E" w14:textId="77777777" w:rsidR="003C50EF" w:rsidRPr="007821D0" w:rsidRDefault="00313D4B" w:rsidP="007821D0">
      <w:pPr>
        <w:spacing w:after="0" w:line="240" w:lineRule="auto"/>
        <w:ind w:left="-5" w:right="6674"/>
        <w:rPr>
          <w:lang w:val="sr-Latn-ME"/>
        </w:rPr>
      </w:pPr>
      <w:r w:rsidRPr="007821D0">
        <w:rPr>
          <w:lang w:val="sr-Latn-ME"/>
        </w:rPr>
        <w:t xml:space="preserve">Lecitin (soja) (E322); </w:t>
      </w:r>
    </w:p>
    <w:p w14:paraId="72E71E9B" w14:textId="4CD904C8" w:rsidR="00367D43" w:rsidRPr="007821D0" w:rsidRDefault="00313D4B" w:rsidP="007821D0">
      <w:pPr>
        <w:spacing w:after="0" w:line="240" w:lineRule="auto"/>
        <w:ind w:left="-5" w:right="6674"/>
        <w:rPr>
          <w:lang w:val="sr-Latn-ME"/>
        </w:rPr>
      </w:pPr>
      <w:r w:rsidRPr="007821D0">
        <w:rPr>
          <w:lang w:val="sr-Latn-ME"/>
        </w:rPr>
        <w:t xml:space="preserve">Voda, prečišćena. </w:t>
      </w:r>
    </w:p>
    <w:p w14:paraId="600CA484" w14:textId="77777777" w:rsidR="003C50EF" w:rsidRPr="007821D0" w:rsidRDefault="003C50EF" w:rsidP="007821D0">
      <w:pPr>
        <w:spacing w:after="0" w:line="240" w:lineRule="auto"/>
        <w:ind w:left="-5" w:right="6674"/>
        <w:rPr>
          <w:b/>
          <w:lang w:val="sr-Latn-ME"/>
        </w:rPr>
      </w:pPr>
    </w:p>
    <w:p w14:paraId="1AFC9E5C" w14:textId="2E1E6B71" w:rsidR="00367D43" w:rsidRPr="007821D0" w:rsidRDefault="00313D4B" w:rsidP="007821D0">
      <w:pPr>
        <w:spacing w:after="0" w:line="240" w:lineRule="auto"/>
        <w:ind w:left="-5" w:right="6674"/>
        <w:rPr>
          <w:b/>
          <w:lang w:val="sr-Latn-ME"/>
        </w:rPr>
      </w:pPr>
      <w:r w:rsidRPr="007821D0">
        <w:rPr>
          <w:b/>
          <w:lang w:val="sr-Latn-ME"/>
        </w:rPr>
        <w:t>6.2. Inkompatibilnost</w:t>
      </w:r>
      <w:r w:rsidR="00D05C0E" w:rsidRPr="007821D0">
        <w:rPr>
          <w:b/>
          <w:lang w:val="sr-Latn-ME"/>
        </w:rPr>
        <w:t>i</w:t>
      </w:r>
      <w:r w:rsidRPr="007821D0">
        <w:rPr>
          <w:b/>
          <w:lang w:val="sr-Latn-ME"/>
        </w:rPr>
        <w:t xml:space="preserve"> </w:t>
      </w:r>
    </w:p>
    <w:p w14:paraId="567B0232" w14:textId="77777777" w:rsidR="00545A6C" w:rsidRPr="007821D0" w:rsidRDefault="00545A6C" w:rsidP="007821D0">
      <w:pPr>
        <w:spacing w:after="0" w:line="240" w:lineRule="auto"/>
        <w:ind w:left="-5" w:right="6674"/>
        <w:rPr>
          <w:lang w:val="sr-Latn-ME"/>
        </w:rPr>
      </w:pPr>
    </w:p>
    <w:p w14:paraId="76E94F91" w14:textId="39A6FE6A" w:rsidR="00367D43" w:rsidRPr="007821D0" w:rsidRDefault="00313D4B" w:rsidP="007821D0">
      <w:pPr>
        <w:spacing w:after="0" w:line="240" w:lineRule="auto"/>
        <w:ind w:left="-5" w:right="6674"/>
        <w:rPr>
          <w:lang w:val="sr-Latn-ME"/>
        </w:rPr>
      </w:pPr>
      <w:r w:rsidRPr="007821D0">
        <w:rPr>
          <w:lang w:val="sr-Latn-ME"/>
        </w:rPr>
        <w:t>Nije prim</w:t>
      </w:r>
      <w:r w:rsidR="00367D43" w:rsidRPr="007821D0">
        <w:rPr>
          <w:lang w:val="sr-Latn-ME"/>
        </w:rPr>
        <w:t>j</w:t>
      </w:r>
      <w:r w:rsidRPr="007821D0">
        <w:rPr>
          <w:lang w:val="sr-Latn-ME"/>
        </w:rPr>
        <w:t xml:space="preserve">enljivo. </w:t>
      </w:r>
    </w:p>
    <w:p w14:paraId="2FCDB2C8" w14:textId="77777777" w:rsidR="00545A6C" w:rsidRPr="007821D0" w:rsidRDefault="00545A6C" w:rsidP="007821D0">
      <w:pPr>
        <w:spacing w:after="0" w:line="240" w:lineRule="auto"/>
        <w:ind w:left="-5" w:right="6674"/>
        <w:rPr>
          <w:b/>
          <w:lang w:val="sr-Latn-ME"/>
        </w:rPr>
      </w:pPr>
    </w:p>
    <w:p w14:paraId="0947D923" w14:textId="3A8C34AD" w:rsidR="009B05FD" w:rsidRPr="007821D0" w:rsidRDefault="00313D4B" w:rsidP="007821D0">
      <w:pPr>
        <w:spacing w:after="0" w:line="240" w:lineRule="auto"/>
        <w:ind w:left="-5" w:right="6674"/>
        <w:rPr>
          <w:b/>
          <w:lang w:val="sr-Latn-ME"/>
        </w:rPr>
      </w:pPr>
      <w:r w:rsidRPr="007821D0">
        <w:rPr>
          <w:b/>
          <w:lang w:val="sr-Latn-ME"/>
        </w:rPr>
        <w:t xml:space="preserve">6.3. Rok upotrebe </w:t>
      </w:r>
    </w:p>
    <w:p w14:paraId="02166EF4" w14:textId="77777777" w:rsidR="00545A6C" w:rsidRPr="007821D0" w:rsidRDefault="00545A6C" w:rsidP="007821D0">
      <w:pPr>
        <w:spacing w:after="0" w:line="240" w:lineRule="auto"/>
        <w:ind w:left="-5" w:right="6674"/>
        <w:rPr>
          <w:lang w:val="sr-Latn-ME"/>
        </w:rPr>
      </w:pPr>
    </w:p>
    <w:p w14:paraId="380BDD99" w14:textId="00CAE095" w:rsidR="00284634" w:rsidRPr="007821D0" w:rsidRDefault="00313D4B" w:rsidP="007821D0">
      <w:pPr>
        <w:spacing w:after="0" w:line="240" w:lineRule="auto"/>
        <w:ind w:left="-5" w:right="6674"/>
        <w:rPr>
          <w:lang w:val="sr-Latn-ME"/>
        </w:rPr>
      </w:pPr>
      <w:r w:rsidRPr="007821D0">
        <w:rPr>
          <w:lang w:val="sr-Latn-ME"/>
        </w:rPr>
        <w:t>3 godine.</w:t>
      </w:r>
    </w:p>
    <w:p w14:paraId="5A904765" w14:textId="77777777" w:rsidR="00545A6C" w:rsidRPr="007821D0" w:rsidRDefault="00545A6C" w:rsidP="007821D0">
      <w:pPr>
        <w:tabs>
          <w:tab w:val="left" w:pos="540"/>
          <w:tab w:val="left" w:pos="569"/>
        </w:tabs>
        <w:spacing w:after="0" w:line="240" w:lineRule="auto"/>
        <w:rPr>
          <w:b/>
          <w:bCs/>
          <w:lang w:val="sr-Latn-ME"/>
        </w:rPr>
      </w:pPr>
    </w:p>
    <w:p w14:paraId="3FFFC1C5" w14:textId="2D8311A1" w:rsidR="009B05FD" w:rsidRPr="007821D0" w:rsidRDefault="009B05FD" w:rsidP="007821D0">
      <w:pPr>
        <w:tabs>
          <w:tab w:val="left" w:pos="540"/>
          <w:tab w:val="left" w:pos="569"/>
        </w:tabs>
        <w:spacing w:after="0" w:line="240" w:lineRule="auto"/>
        <w:rPr>
          <w:b/>
          <w:bCs/>
          <w:lang w:val="sr-Latn-ME"/>
        </w:rPr>
      </w:pPr>
      <w:r w:rsidRPr="007821D0">
        <w:rPr>
          <w:b/>
          <w:bCs/>
          <w:lang w:val="sr-Latn-ME"/>
        </w:rPr>
        <w:t>6.4. Posebne mjere upozorenja pri čuvanju lijeka</w:t>
      </w:r>
    </w:p>
    <w:p w14:paraId="621E58E9" w14:textId="77777777" w:rsidR="00545A6C" w:rsidRPr="007821D0" w:rsidRDefault="00545A6C" w:rsidP="007821D0">
      <w:pPr>
        <w:spacing w:after="0" w:line="240" w:lineRule="auto"/>
        <w:ind w:left="-5" w:right="3"/>
        <w:rPr>
          <w:lang w:val="sr-Latn-ME"/>
        </w:rPr>
      </w:pPr>
    </w:p>
    <w:p w14:paraId="69823A8C" w14:textId="697FAD0A" w:rsidR="00284634" w:rsidRPr="007821D0" w:rsidRDefault="00313D4B" w:rsidP="007821D0">
      <w:pPr>
        <w:spacing w:after="0" w:line="240" w:lineRule="auto"/>
        <w:ind w:left="-5" w:right="3"/>
        <w:rPr>
          <w:lang w:val="sr-Latn-ME"/>
        </w:rPr>
      </w:pPr>
      <w:r w:rsidRPr="007821D0">
        <w:rPr>
          <w:lang w:val="sr-Latn-ME"/>
        </w:rPr>
        <w:t>Čuvati na temperaturi do 30°C, u originalnom pakovanju radi zaštite od vlage.</w:t>
      </w:r>
    </w:p>
    <w:p w14:paraId="4E9BBC74" w14:textId="77777777" w:rsidR="00545A6C" w:rsidRPr="007821D0" w:rsidRDefault="00545A6C" w:rsidP="007821D0">
      <w:pPr>
        <w:pStyle w:val="Heading2"/>
        <w:spacing w:after="0" w:line="240" w:lineRule="auto"/>
        <w:ind w:left="-5"/>
        <w:rPr>
          <w:b/>
          <w:u w:val="none"/>
          <w:lang w:val="sr-Latn-ME"/>
        </w:rPr>
      </w:pPr>
    </w:p>
    <w:p w14:paraId="02FA3A18" w14:textId="77777777" w:rsidR="002E702A" w:rsidRDefault="002E702A" w:rsidP="007821D0">
      <w:pPr>
        <w:pStyle w:val="Heading2"/>
        <w:spacing w:after="0" w:line="240" w:lineRule="auto"/>
        <w:ind w:left="-5"/>
        <w:rPr>
          <w:b/>
          <w:u w:val="none"/>
          <w:lang w:val="sr-Latn-ME"/>
        </w:rPr>
      </w:pPr>
    </w:p>
    <w:p w14:paraId="440CFCE1" w14:textId="5A9AE2C3" w:rsidR="00284634" w:rsidRPr="007821D0" w:rsidRDefault="00313D4B" w:rsidP="007821D0">
      <w:pPr>
        <w:pStyle w:val="Heading2"/>
        <w:spacing w:after="0" w:line="240" w:lineRule="auto"/>
        <w:ind w:left="-5"/>
        <w:rPr>
          <w:lang w:val="sr-Latn-ME"/>
        </w:rPr>
      </w:pPr>
      <w:r w:rsidRPr="007821D0">
        <w:rPr>
          <w:b/>
          <w:u w:val="none"/>
          <w:lang w:val="sr-Latn-ME"/>
        </w:rPr>
        <w:t xml:space="preserve">6.5. </w:t>
      </w:r>
      <w:r w:rsidR="009B05FD" w:rsidRPr="007821D0">
        <w:rPr>
          <w:b/>
          <w:bCs/>
          <w:u w:val="none"/>
          <w:lang w:val="sr-Latn-ME"/>
        </w:rPr>
        <w:t>Vrsta i sadržaj pakovanja</w:t>
      </w:r>
    </w:p>
    <w:p w14:paraId="078FEB49" w14:textId="77777777" w:rsidR="00D05C0E" w:rsidRPr="007821D0" w:rsidRDefault="00D05C0E" w:rsidP="007821D0">
      <w:pPr>
        <w:spacing w:after="0" w:line="240" w:lineRule="auto"/>
        <w:ind w:left="-5" w:right="3"/>
        <w:rPr>
          <w:lang w:val="sr-Latn-ME"/>
        </w:rPr>
      </w:pPr>
    </w:p>
    <w:p w14:paraId="414E0C6B" w14:textId="6E4FD449" w:rsidR="00284634" w:rsidRPr="007821D0" w:rsidRDefault="00313D4B" w:rsidP="007821D0">
      <w:pPr>
        <w:spacing w:after="0" w:line="240" w:lineRule="auto"/>
        <w:ind w:left="-5" w:right="3"/>
        <w:rPr>
          <w:lang w:val="sr-Latn-ME"/>
        </w:rPr>
      </w:pPr>
      <w:r w:rsidRPr="007821D0">
        <w:rPr>
          <w:lang w:val="sr-Latn-ME"/>
        </w:rPr>
        <w:t>Unutrašnje pakovanje je b</w:t>
      </w:r>
      <w:r w:rsidR="00367D43" w:rsidRPr="007821D0">
        <w:rPr>
          <w:lang w:val="sr-Latn-ME"/>
        </w:rPr>
        <w:t>ij</w:t>
      </w:r>
      <w:r w:rsidRPr="007821D0">
        <w:rPr>
          <w:lang w:val="sr-Latn-ME"/>
        </w:rPr>
        <w:t xml:space="preserve">eli neprovidni troslojni PVC/PVDC-Alu blister, koji sadrži 10 kapsula, mekih. Spoljašnje pakovanje je složiva kartonska kutija u kojoj se nalaze 3 blistera (ukupno 30 kapsula, mekih) i Uputstvo za </w:t>
      </w:r>
      <w:r w:rsidR="009F2AF5" w:rsidRPr="007821D0">
        <w:rPr>
          <w:lang w:val="sr-Latn-ME"/>
        </w:rPr>
        <w:t>lijek</w:t>
      </w:r>
      <w:r w:rsidRPr="007821D0">
        <w:rPr>
          <w:lang w:val="sr-Latn-ME"/>
        </w:rPr>
        <w:t>.</w:t>
      </w:r>
    </w:p>
    <w:p w14:paraId="3C5A0173" w14:textId="77777777" w:rsidR="00545A6C" w:rsidRPr="007821D0" w:rsidRDefault="00545A6C" w:rsidP="007821D0">
      <w:pPr>
        <w:tabs>
          <w:tab w:val="left" w:pos="540"/>
          <w:tab w:val="left" w:pos="569"/>
        </w:tabs>
        <w:spacing w:after="0" w:line="240" w:lineRule="auto"/>
        <w:rPr>
          <w:b/>
          <w:lang w:val="sr-Latn-ME"/>
        </w:rPr>
      </w:pPr>
    </w:p>
    <w:p w14:paraId="73B6927C" w14:textId="51AB86AA" w:rsidR="009B05FD" w:rsidRPr="007821D0" w:rsidRDefault="00313D4B" w:rsidP="007821D0">
      <w:pPr>
        <w:tabs>
          <w:tab w:val="left" w:pos="540"/>
          <w:tab w:val="left" w:pos="569"/>
        </w:tabs>
        <w:spacing w:after="0" w:line="240" w:lineRule="auto"/>
        <w:rPr>
          <w:b/>
          <w:bCs/>
          <w:lang w:val="sr-Latn-ME"/>
        </w:rPr>
      </w:pPr>
      <w:r w:rsidRPr="007821D0">
        <w:rPr>
          <w:b/>
          <w:lang w:val="sr-Latn-ME"/>
        </w:rPr>
        <w:t xml:space="preserve">6.6. </w:t>
      </w:r>
      <w:r w:rsidR="009B05FD" w:rsidRPr="007821D0">
        <w:rPr>
          <w:b/>
          <w:bCs/>
          <w:lang w:val="sr-Latn-ME"/>
        </w:rPr>
        <w:t xml:space="preserve">Posebne mjere opreza pri odlaganju materijala koji treba odbaciti nakon primjene lijeka (i druga uputstva za rukovanje lijekom) </w:t>
      </w:r>
    </w:p>
    <w:p w14:paraId="2D073E25" w14:textId="77777777" w:rsidR="00802601" w:rsidRPr="007821D0" w:rsidRDefault="00802601" w:rsidP="007821D0">
      <w:pPr>
        <w:pStyle w:val="Heading2"/>
        <w:spacing w:after="0" w:line="240" w:lineRule="auto"/>
        <w:ind w:left="-5"/>
        <w:rPr>
          <w:lang w:val="sr-Latn-ME"/>
        </w:rPr>
      </w:pPr>
    </w:p>
    <w:p w14:paraId="186F511E" w14:textId="11E64A86" w:rsidR="00284634" w:rsidRPr="007821D0" w:rsidRDefault="00313D4B" w:rsidP="007821D0">
      <w:pPr>
        <w:pStyle w:val="Heading2"/>
        <w:spacing w:after="0" w:line="240" w:lineRule="auto"/>
        <w:ind w:left="-5"/>
        <w:jc w:val="both"/>
        <w:rPr>
          <w:lang w:val="sr-Latn-ME"/>
        </w:rPr>
      </w:pPr>
      <w:r w:rsidRPr="007821D0">
        <w:rPr>
          <w:lang w:val="sr-Latn-ME"/>
        </w:rPr>
        <w:t>S obzirom na to da se dutasterid resorbuje preko kože, potrebno je izb</w:t>
      </w:r>
      <w:r w:rsidR="00802601" w:rsidRPr="007821D0">
        <w:rPr>
          <w:lang w:val="sr-Latn-ME"/>
        </w:rPr>
        <w:t>j</w:t>
      </w:r>
      <w:r w:rsidRPr="007821D0">
        <w:rPr>
          <w:lang w:val="sr-Latn-ME"/>
        </w:rPr>
        <w:t>egavati kontakt sa oštećenim kapsulama. Ukoliko dođe do kontakta sa oštećenom kapsulom, potrebno je odmah oprati sapunom i vodom pred</w:t>
      </w:r>
      <w:r w:rsidR="00367D43" w:rsidRPr="007821D0">
        <w:rPr>
          <w:lang w:val="sr-Latn-ME"/>
        </w:rPr>
        <w:t>i</w:t>
      </w:r>
      <w:r w:rsidRPr="007821D0">
        <w:rPr>
          <w:lang w:val="sr-Latn-ME"/>
        </w:rPr>
        <w:t>o kože koji je bio u kontaktu sa sadržajem kapsule (</w:t>
      </w:r>
      <w:r w:rsidR="00E602C2" w:rsidRPr="007821D0">
        <w:rPr>
          <w:lang w:val="sr-Latn-ME"/>
        </w:rPr>
        <w:t>vidjeti</w:t>
      </w:r>
      <w:r w:rsidRPr="007821D0">
        <w:rPr>
          <w:lang w:val="sr-Latn-ME"/>
        </w:rPr>
        <w:t xml:space="preserve"> od</w:t>
      </w:r>
      <w:r w:rsidR="00802601" w:rsidRPr="007821D0">
        <w:rPr>
          <w:lang w:val="sr-Latn-ME"/>
        </w:rPr>
        <w:t>j</w:t>
      </w:r>
      <w:r w:rsidRPr="007821D0">
        <w:rPr>
          <w:lang w:val="sr-Latn-ME"/>
        </w:rPr>
        <w:t xml:space="preserve">eljak 4.4). </w:t>
      </w:r>
    </w:p>
    <w:p w14:paraId="551938A7" w14:textId="77777777" w:rsidR="00802601" w:rsidRPr="007821D0" w:rsidRDefault="00802601" w:rsidP="007821D0">
      <w:pPr>
        <w:spacing w:after="0" w:line="240" w:lineRule="auto"/>
        <w:ind w:left="-5" w:right="3"/>
        <w:jc w:val="both"/>
        <w:rPr>
          <w:lang w:val="sr-Latn-ME"/>
        </w:rPr>
      </w:pPr>
    </w:p>
    <w:p w14:paraId="0187B110" w14:textId="67020F7E" w:rsidR="00284634" w:rsidRPr="007821D0" w:rsidRDefault="00313D4B" w:rsidP="007821D0">
      <w:pPr>
        <w:spacing w:after="0" w:line="240" w:lineRule="auto"/>
        <w:ind w:left="-5" w:right="3"/>
        <w:jc w:val="both"/>
        <w:rPr>
          <w:lang w:val="sr-Latn-ME"/>
        </w:rPr>
      </w:pPr>
      <w:r w:rsidRPr="007821D0">
        <w:rPr>
          <w:lang w:val="sr-Latn-ME"/>
        </w:rPr>
        <w:t xml:space="preserve">Svu neiskorišćenu količinu </w:t>
      </w:r>
      <w:r w:rsidR="009F2AF5" w:rsidRPr="007821D0">
        <w:rPr>
          <w:lang w:val="sr-Latn-ME"/>
        </w:rPr>
        <w:t>lijek</w:t>
      </w:r>
      <w:r w:rsidRPr="007821D0">
        <w:rPr>
          <w:lang w:val="sr-Latn-ME"/>
        </w:rPr>
        <w:t>a ili otpadnog materijala nakon njegove upotrebe treba ukloniti u skladu sa važećim propisima.</w:t>
      </w:r>
    </w:p>
    <w:p w14:paraId="6192247B" w14:textId="77777777" w:rsidR="00802601" w:rsidRPr="007821D0" w:rsidRDefault="00802601" w:rsidP="007821D0">
      <w:pPr>
        <w:pStyle w:val="Heading1"/>
        <w:spacing w:after="0" w:line="240" w:lineRule="auto"/>
        <w:ind w:left="-5"/>
        <w:rPr>
          <w:lang w:val="sr-Latn-ME"/>
        </w:rPr>
      </w:pPr>
    </w:p>
    <w:p w14:paraId="410FCD32" w14:textId="77777777" w:rsidR="00802601" w:rsidRPr="007821D0" w:rsidRDefault="00802601" w:rsidP="007821D0">
      <w:pPr>
        <w:pStyle w:val="Heading1"/>
        <w:spacing w:after="0" w:line="240" w:lineRule="auto"/>
        <w:ind w:left="-5"/>
        <w:rPr>
          <w:lang w:val="sr-Latn-ME"/>
        </w:rPr>
      </w:pPr>
    </w:p>
    <w:p w14:paraId="4DA05907" w14:textId="5AA68381" w:rsidR="00284634" w:rsidRPr="007821D0" w:rsidRDefault="00313D4B" w:rsidP="007821D0">
      <w:pPr>
        <w:pStyle w:val="Heading1"/>
        <w:spacing w:after="0" w:line="240" w:lineRule="auto"/>
        <w:ind w:left="-5"/>
        <w:rPr>
          <w:lang w:val="sr-Latn-ME"/>
        </w:rPr>
      </w:pPr>
      <w:r w:rsidRPr="007821D0">
        <w:rPr>
          <w:lang w:val="sr-Latn-ME"/>
        </w:rPr>
        <w:t>7. NOSILAC DOZVOLE</w:t>
      </w:r>
    </w:p>
    <w:p w14:paraId="146D4FFD" w14:textId="77777777" w:rsidR="00802601" w:rsidRPr="007821D0" w:rsidRDefault="00802601" w:rsidP="007821D0">
      <w:pPr>
        <w:tabs>
          <w:tab w:val="left" w:pos="284"/>
        </w:tabs>
        <w:spacing w:after="0" w:line="240" w:lineRule="auto"/>
        <w:ind w:left="0" w:firstLine="0"/>
        <w:jc w:val="both"/>
        <w:rPr>
          <w:color w:val="auto"/>
          <w:lang w:val="sr-Latn-ME"/>
        </w:rPr>
      </w:pPr>
    </w:p>
    <w:p w14:paraId="57806B63" w14:textId="3D983D1D" w:rsidR="00FF0D71" w:rsidRPr="007821D0" w:rsidRDefault="00FF0D71" w:rsidP="007821D0">
      <w:pPr>
        <w:tabs>
          <w:tab w:val="left" w:pos="284"/>
        </w:tabs>
        <w:spacing w:after="0" w:line="240" w:lineRule="auto"/>
        <w:ind w:left="0" w:firstLine="0"/>
        <w:jc w:val="both"/>
        <w:rPr>
          <w:color w:val="auto"/>
          <w:lang w:val="sr-Latn-ME"/>
        </w:rPr>
      </w:pPr>
      <w:r w:rsidRPr="007821D0">
        <w:rPr>
          <w:color w:val="auto"/>
          <w:lang w:val="sr-Latn-ME"/>
        </w:rPr>
        <w:t>Glosarij d.o.o.</w:t>
      </w:r>
    </w:p>
    <w:p w14:paraId="74A49B3D" w14:textId="77777777" w:rsidR="00FF0D71" w:rsidRPr="007821D0" w:rsidRDefault="00FF0D71" w:rsidP="007821D0">
      <w:pPr>
        <w:tabs>
          <w:tab w:val="left" w:pos="284"/>
        </w:tabs>
        <w:spacing w:after="0" w:line="240" w:lineRule="auto"/>
        <w:ind w:left="0" w:firstLine="0"/>
        <w:jc w:val="both"/>
        <w:rPr>
          <w:color w:val="auto"/>
          <w:lang w:val="sr-Latn-ME"/>
        </w:rPr>
      </w:pPr>
      <w:r w:rsidRPr="007821D0">
        <w:rPr>
          <w:color w:val="auto"/>
          <w:lang w:val="sr-Latn-ME"/>
        </w:rPr>
        <w:t>Vojislavljevića 76, Podgorica, Crna Gora</w:t>
      </w:r>
    </w:p>
    <w:p w14:paraId="7CD9E8DA" w14:textId="77777777" w:rsidR="00FF0D71" w:rsidRPr="007821D0" w:rsidRDefault="00FF0D71" w:rsidP="007821D0">
      <w:pPr>
        <w:spacing w:after="0" w:line="240" w:lineRule="auto"/>
        <w:rPr>
          <w:lang w:val="sr-Latn-ME"/>
        </w:rPr>
      </w:pPr>
    </w:p>
    <w:p w14:paraId="07FF99FA" w14:textId="77777777" w:rsidR="00802601" w:rsidRPr="007821D0" w:rsidRDefault="00802601" w:rsidP="007821D0">
      <w:pPr>
        <w:spacing w:after="0" w:line="240" w:lineRule="auto"/>
        <w:ind w:left="-5"/>
        <w:rPr>
          <w:b/>
          <w:lang w:val="sr-Latn-ME"/>
        </w:rPr>
      </w:pPr>
    </w:p>
    <w:p w14:paraId="2B2B635F" w14:textId="5AF51A52" w:rsidR="00284634" w:rsidRPr="007821D0" w:rsidRDefault="00313D4B" w:rsidP="007821D0">
      <w:pPr>
        <w:spacing w:after="0" w:line="240" w:lineRule="auto"/>
        <w:ind w:left="-5"/>
        <w:rPr>
          <w:lang w:val="sr-Latn-ME"/>
        </w:rPr>
      </w:pPr>
      <w:r w:rsidRPr="007821D0">
        <w:rPr>
          <w:b/>
          <w:lang w:val="sr-Latn-ME"/>
        </w:rPr>
        <w:t xml:space="preserve">8. BROJ DOZVOLE ZA STAVLjANjE </w:t>
      </w:r>
      <w:r w:rsidR="009F2AF5" w:rsidRPr="007821D0">
        <w:rPr>
          <w:b/>
          <w:lang w:val="sr-Latn-ME"/>
        </w:rPr>
        <w:t>LIJEK</w:t>
      </w:r>
      <w:r w:rsidRPr="007821D0">
        <w:rPr>
          <w:b/>
          <w:lang w:val="sr-Latn-ME"/>
        </w:rPr>
        <w:t>A U PROMET</w:t>
      </w:r>
    </w:p>
    <w:p w14:paraId="4B6EF330" w14:textId="4C279208" w:rsidR="00802601" w:rsidRPr="007821D0" w:rsidRDefault="00802601" w:rsidP="007821D0">
      <w:pPr>
        <w:spacing w:after="0" w:line="240" w:lineRule="auto"/>
        <w:ind w:left="-5"/>
        <w:rPr>
          <w:b/>
          <w:lang w:val="sr-Latn-ME"/>
        </w:rPr>
      </w:pPr>
    </w:p>
    <w:p w14:paraId="251A14E0" w14:textId="1B459A22" w:rsidR="00802601" w:rsidRPr="007821D0" w:rsidRDefault="00802601" w:rsidP="007821D0">
      <w:pPr>
        <w:spacing w:after="0" w:line="240" w:lineRule="auto"/>
        <w:ind w:left="-5"/>
        <w:rPr>
          <w:lang w:val="sr-Latn-ME"/>
        </w:rPr>
      </w:pPr>
      <w:r w:rsidRPr="007821D0">
        <w:rPr>
          <w:lang w:val="sr-Latn-ME"/>
        </w:rPr>
        <w:t>Dutasterid Sandoz</w:t>
      </w:r>
      <w:r w:rsidRPr="007821D0">
        <w:rPr>
          <w:vertAlign w:val="superscript"/>
          <w:lang w:val="sr-Latn-ME"/>
        </w:rPr>
        <w:t>®</w:t>
      </w:r>
      <w:r w:rsidRPr="007821D0">
        <w:rPr>
          <w:lang w:val="sr-Latn-ME"/>
        </w:rPr>
        <w:t>, kapsula, meka, 0,5 mg, blister, 30 (3x10) kapsula, mekih:</w:t>
      </w:r>
      <w:r w:rsidR="00726791" w:rsidRPr="00726791">
        <w:t xml:space="preserve"> </w:t>
      </w:r>
      <w:r w:rsidR="00726791" w:rsidRPr="00726791">
        <w:rPr>
          <w:lang w:val="sr-Latn-ME"/>
        </w:rPr>
        <w:t>2030/21/756 - 1211</w:t>
      </w:r>
    </w:p>
    <w:p w14:paraId="4BD44C4B" w14:textId="77777777" w:rsidR="00802601" w:rsidRPr="007821D0" w:rsidRDefault="00802601" w:rsidP="007821D0">
      <w:pPr>
        <w:spacing w:after="0" w:line="240" w:lineRule="auto"/>
        <w:ind w:left="-5"/>
        <w:rPr>
          <w:b/>
          <w:lang w:val="sr-Latn-ME"/>
        </w:rPr>
      </w:pPr>
    </w:p>
    <w:p w14:paraId="7A52966D" w14:textId="77777777" w:rsidR="00802601" w:rsidRPr="007821D0" w:rsidRDefault="00802601" w:rsidP="007821D0">
      <w:pPr>
        <w:spacing w:after="0" w:line="240" w:lineRule="auto"/>
        <w:ind w:left="-5"/>
        <w:rPr>
          <w:b/>
          <w:lang w:val="sr-Latn-ME"/>
        </w:rPr>
      </w:pPr>
    </w:p>
    <w:p w14:paraId="0CD30198" w14:textId="1848150C" w:rsidR="00284634" w:rsidRPr="007821D0" w:rsidRDefault="00313D4B" w:rsidP="007821D0">
      <w:pPr>
        <w:spacing w:after="0" w:line="240" w:lineRule="auto"/>
        <w:ind w:left="-5"/>
        <w:rPr>
          <w:lang w:val="sr-Latn-ME"/>
        </w:rPr>
      </w:pPr>
      <w:r w:rsidRPr="007821D0">
        <w:rPr>
          <w:b/>
          <w:lang w:val="sr-Latn-ME"/>
        </w:rPr>
        <w:t>9. DATUM PRVE DOZVOLE</w:t>
      </w:r>
      <w:r w:rsidR="00D05C0E" w:rsidRPr="007821D0">
        <w:rPr>
          <w:b/>
          <w:lang w:val="sr-Latn-ME"/>
        </w:rPr>
        <w:t>/</w:t>
      </w:r>
      <w:r w:rsidRPr="007821D0">
        <w:rPr>
          <w:b/>
          <w:lang w:val="sr-Latn-ME"/>
        </w:rPr>
        <w:t xml:space="preserve">OBNOVE DOZVOLE ZA STAVLjANjE </w:t>
      </w:r>
      <w:r w:rsidR="009F2AF5" w:rsidRPr="007821D0">
        <w:rPr>
          <w:b/>
          <w:lang w:val="sr-Latn-ME"/>
        </w:rPr>
        <w:t>LIJEK</w:t>
      </w:r>
      <w:r w:rsidRPr="007821D0">
        <w:rPr>
          <w:b/>
          <w:lang w:val="sr-Latn-ME"/>
        </w:rPr>
        <w:t>A U PROMET</w:t>
      </w:r>
    </w:p>
    <w:p w14:paraId="206BBAC4" w14:textId="3F425369" w:rsidR="00D05C0E" w:rsidRPr="007821D0" w:rsidRDefault="00D05C0E" w:rsidP="007821D0">
      <w:pPr>
        <w:pStyle w:val="Heading1"/>
        <w:spacing w:after="0" w:line="240" w:lineRule="auto"/>
        <w:ind w:left="-5"/>
        <w:rPr>
          <w:lang w:val="sr-Latn-ME"/>
        </w:rPr>
      </w:pPr>
    </w:p>
    <w:p w14:paraId="328E9A9F" w14:textId="44087398" w:rsidR="00802601" w:rsidRPr="007821D0" w:rsidRDefault="00802601" w:rsidP="007821D0">
      <w:pPr>
        <w:spacing w:after="0" w:line="240" w:lineRule="auto"/>
        <w:ind w:left="-5"/>
        <w:rPr>
          <w:lang w:val="sr-Latn-ME"/>
        </w:rPr>
      </w:pPr>
      <w:r w:rsidRPr="007821D0">
        <w:rPr>
          <w:lang w:val="sr-Latn-ME"/>
        </w:rPr>
        <w:t>Dutasterid Sandoz</w:t>
      </w:r>
      <w:r w:rsidRPr="007821D0">
        <w:rPr>
          <w:vertAlign w:val="superscript"/>
          <w:lang w:val="sr-Latn-ME"/>
        </w:rPr>
        <w:t>®</w:t>
      </w:r>
      <w:r w:rsidRPr="007821D0">
        <w:rPr>
          <w:lang w:val="sr-Latn-ME"/>
        </w:rPr>
        <w:t>, kapsula, meka, 0,5 mg, blister, 30 (3x10) kapsula, mekih:</w:t>
      </w:r>
      <w:r w:rsidR="00726791" w:rsidRPr="00726791">
        <w:rPr>
          <w:rFonts w:ascii="TimesNewRoman" w:eastAsiaTheme="minorEastAsia" w:hAnsi="TimesNewRoman" w:cs="TimesNewRoman"/>
          <w:color w:val="auto"/>
        </w:rPr>
        <w:t xml:space="preserve"> </w:t>
      </w:r>
      <w:r w:rsidR="00726791">
        <w:rPr>
          <w:rFonts w:ascii="TimesNewRoman" w:eastAsiaTheme="minorEastAsia" w:hAnsi="TimesNewRoman" w:cs="TimesNewRoman"/>
          <w:color w:val="auto"/>
        </w:rPr>
        <w:t>14.05.2021. godine</w:t>
      </w:r>
      <w:bookmarkStart w:id="0" w:name="_GoBack"/>
      <w:bookmarkEnd w:id="0"/>
    </w:p>
    <w:p w14:paraId="6E86A6BA" w14:textId="77777777" w:rsidR="00802601" w:rsidRPr="007821D0" w:rsidRDefault="00802601" w:rsidP="007821D0">
      <w:pPr>
        <w:spacing w:after="0" w:line="240" w:lineRule="auto"/>
        <w:rPr>
          <w:lang w:val="sr-Latn-ME"/>
        </w:rPr>
      </w:pPr>
    </w:p>
    <w:p w14:paraId="62B58A7D" w14:textId="77777777" w:rsidR="00802601" w:rsidRPr="007821D0" w:rsidRDefault="00802601" w:rsidP="007821D0">
      <w:pPr>
        <w:pStyle w:val="Heading1"/>
        <w:spacing w:after="0" w:line="240" w:lineRule="auto"/>
        <w:ind w:left="-5"/>
        <w:rPr>
          <w:lang w:val="sr-Latn-ME"/>
        </w:rPr>
      </w:pPr>
    </w:p>
    <w:p w14:paraId="15F0D4C6" w14:textId="510FB592" w:rsidR="00284634" w:rsidRPr="007821D0" w:rsidRDefault="00313D4B" w:rsidP="007821D0">
      <w:pPr>
        <w:pStyle w:val="Heading1"/>
        <w:spacing w:after="0" w:line="240" w:lineRule="auto"/>
        <w:ind w:left="-5"/>
        <w:rPr>
          <w:lang w:val="sr-Latn-ME"/>
        </w:rPr>
      </w:pPr>
      <w:r w:rsidRPr="007821D0">
        <w:rPr>
          <w:lang w:val="sr-Latn-ME"/>
        </w:rPr>
        <w:t>10. DATUM REVIZIJE TEKSTA</w:t>
      </w:r>
    </w:p>
    <w:p w14:paraId="531F7E61" w14:textId="25BF8D9B" w:rsidR="00284634" w:rsidRDefault="00284634" w:rsidP="007821D0">
      <w:pPr>
        <w:spacing w:after="0" w:line="240" w:lineRule="auto"/>
        <w:ind w:left="-5" w:right="3"/>
        <w:rPr>
          <w:lang w:val="sr-Latn-ME"/>
        </w:rPr>
      </w:pPr>
    </w:p>
    <w:p w14:paraId="40A82A15" w14:textId="02D70B17" w:rsidR="002E702A" w:rsidRPr="007821D0" w:rsidRDefault="002E702A" w:rsidP="007821D0">
      <w:pPr>
        <w:spacing w:after="0" w:line="240" w:lineRule="auto"/>
        <w:ind w:left="-5" w:right="3"/>
        <w:rPr>
          <w:lang w:val="sr-Latn-ME"/>
        </w:rPr>
      </w:pPr>
      <w:r>
        <w:rPr>
          <w:lang w:val="sr-Latn-ME"/>
        </w:rPr>
        <w:t>Maj, 2021. godine</w:t>
      </w:r>
    </w:p>
    <w:sectPr w:rsidR="002E702A" w:rsidRPr="007821D0" w:rsidSect="00954C82">
      <w:footerReference w:type="even" r:id="rId13"/>
      <w:footerReference w:type="default" r:id="rId14"/>
      <w:footerReference w:type="first" r:id="rId15"/>
      <w:pgSz w:w="11905" w:h="16838"/>
      <w:pgMar w:top="916" w:right="1132" w:bottom="1714" w:left="1133"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89473" w14:textId="77777777" w:rsidR="00BE0B0D" w:rsidRDefault="00BE0B0D">
      <w:pPr>
        <w:spacing w:after="0" w:line="240" w:lineRule="auto"/>
      </w:pPr>
      <w:r>
        <w:separator/>
      </w:r>
    </w:p>
  </w:endnote>
  <w:endnote w:type="continuationSeparator" w:id="0">
    <w:p w14:paraId="5A6DFAFB" w14:textId="77777777" w:rsidR="00BE0B0D" w:rsidRDefault="00BE0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9FA1" w14:textId="77777777" w:rsidR="00762C8D" w:rsidRDefault="00762C8D">
    <w:pPr>
      <w:spacing w:after="0" w:line="259" w:lineRule="auto"/>
      <w:ind w:left="3" w:firstLine="0"/>
      <w:jc w:val="center"/>
    </w:pPr>
    <w:r>
      <w:fldChar w:fldCharType="begin"/>
    </w:r>
    <w:r>
      <w:instrText xml:space="preserve"> PAGE   \* MERGEFORMAT </w:instrText>
    </w:r>
    <w:r>
      <w:fldChar w:fldCharType="separate"/>
    </w:r>
    <w:r>
      <w:rPr>
        <w:sz w:val="18"/>
      </w:rPr>
      <w:t>1</w:t>
    </w:r>
    <w:r>
      <w:rPr>
        <w:sz w:val="18"/>
      </w:rPr>
      <w:fldChar w:fldCharType="end"/>
    </w:r>
    <w:r>
      <w:rPr>
        <w:sz w:val="18"/>
      </w:rPr>
      <w:t>od</w:t>
    </w:r>
    <w:r w:rsidR="00BE0B0D">
      <w:fldChar w:fldCharType="begin"/>
    </w:r>
    <w:r w:rsidR="00BE0B0D">
      <w:instrText xml:space="preserve"> NUMPAGES   \* MERGEFORMAT </w:instrText>
    </w:r>
    <w:r w:rsidR="00BE0B0D">
      <w:fldChar w:fldCharType="separate"/>
    </w:r>
    <w:r>
      <w:rPr>
        <w:sz w:val="18"/>
      </w:rPr>
      <w:t>14</w:t>
    </w:r>
    <w:r w:rsidR="00BE0B0D">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27397" w14:textId="72F5217E" w:rsidR="00762C8D" w:rsidRPr="00954C82" w:rsidRDefault="00762C8D" w:rsidP="00954C82">
    <w:pPr>
      <w:tabs>
        <w:tab w:val="center" w:pos="4320"/>
        <w:tab w:val="right" w:pos="8640"/>
      </w:tabs>
      <w:spacing w:after="0" w:line="240" w:lineRule="auto"/>
      <w:ind w:left="0" w:firstLine="0"/>
      <w:jc w:val="center"/>
      <w:rPr>
        <w:color w:val="auto"/>
      </w:rPr>
    </w:pPr>
    <w:r w:rsidRPr="00954C82">
      <w:rPr>
        <w:color w:val="auto"/>
      </w:rPr>
      <w:fldChar w:fldCharType="begin"/>
    </w:r>
    <w:r w:rsidRPr="00D05C0E">
      <w:rPr>
        <w:color w:val="auto"/>
      </w:rPr>
      <w:instrText xml:space="preserve"> PAGE </w:instrText>
    </w:r>
    <w:r w:rsidRPr="00954C82">
      <w:rPr>
        <w:color w:val="auto"/>
      </w:rPr>
      <w:fldChar w:fldCharType="separate"/>
    </w:r>
    <w:r w:rsidR="00726791">
      <w:rPr>
        <w:noProof/>
        <w:color w:val="auto"/>
      </w:rPr>
      <w:t>14</w:t>
    </w:r>
    <w:r w:rsidRPr="00954C82">
      <w:rPr>
        <w:color w:val="auto"/>
      </w:rPr>
      <w:fldChar w:fldCharType="end"/>
    </w:r>
    <w:r w:rsidRPr="00D05C0E">
      <w:rPr>
        <w:color w:val="auto"/>
      </w:rPr>
      <w:t xml:space="preserve"> / </w:t>
    </w:r>
    <w:r w:rsidRPr="00954C82">
      <w:rPr>
        <w:color w:val="auto"/>
      </w:rPr>
      <w:fldChar w:fldCharType="begin"/>
    </w:r>
    <w:r w:rsidRPr="00D05C0E">
      <w:rPr>
        <w:color w:val="auto"/>
      </w:rPr>
      <w:instrText xml:space="preserve"> NUMPAGES </w:instrText>
    </w:r>
    <w:r w:rsidRPr="00954C82">
      <w:rPr>
        <w:color w:val="auto"/>
      </w:rPr>
      <w:fldChar w:fldCharType="separate"/>
    </w:r>
    <w:r w:rsidR="00726791">
      <w:rPr>
        <w:noProof/>
        <w:color w:val="auto"/>
      </w:rPr>
      <w:t>14</w:t>
    </w:r>
    <w:r w:rsidRPr="00954C82">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384E" w14:textId="77777777" w:rsidR="00762C8D" w:rsidRDefault="00762C8D">
    <w:pPr>
      <w:spacing w:after="0" w:line="259" w:lineRule="auto"/>
      <w:ind w:left="3" w:firstLine="0"/>
      <w:jc w:val="center"/>
    </w:pPr>
    <w:r>
      <w:fldChar w:fldCharType="begin"/>
    </w:r>
    <w:r>
      <w:instrText xml:space="preserve"> PAGE   \* MERGEFORMAT </w:instrText>
    </w:r>
    <w:r>
      <w:fldChar w:fldCharType="separate"/>
    </w:r>
    <w:r>
      <w:rPr>
        <w:sz w:val="18"/>
      </w:rPr>
      <w:t>1</w:t>
    </w:r>
    <w:r>
      <w:rPr>
        <w:sz w:val="18"/>
      </w:rPr>
      <w:fldChar w:fldCharType="end"/>
    </w:r>
    <w:r>
      <w:rPr>
        <w:sz w:val="18"/>
      </w:rPr>
      <w:t>od</w:t>
    </w:r>
    <w:r w:rsidR="00BE0B0D">
      <w:fldChar w:fldCharType="begin"/>
    </w:r>
    <w:r w:rsidR="00BE0B0D">
      <w:instrText xml:space="preserve"> NUMPAGES   \* MERGEFORMAT </w:instrText>
    </w:r>
    <w:r w:rsidR="00BE0B0D">
      <w:fldChar w:fldCharType="separate"/>
    </w:r>
    <w:r>
      <w:rPr>
        <w:sz w:val="18"/>
      </w:rPr>
      <w:t>14</w:t>
    </w:r>
    <w:r w:rsidR="00BE0B0D">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30E5A" w14:textId="77777777" w:rsidR="00BE0B0D" w:rsidRDefault="00BE0B0D">
      <w:pPr>
        <w:spacing w:after="0" w:line="240" w:lineRule="auto"/>
      </w:pPr>
      <w:r>
        <w:separator/>
      </w:r>
    </w:p>
  </w:footnote>
  <w:footnote w:type="continuationSeparator" w:id="0">
    <w:p w14:paraId="2A48F2AC" w14:textId="77777777" w:rsidR="00BE0B0D" w:rsidRDefault="00BE0B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65B86"/>
    <w:multiLevelType w:val="hybridMultilevel"/>
    <w:tmpl w:val="E7C63586"/>
    <w:lvl w:ilvl="0" w:tplc="ABD8F338">
      <w:start w:val="1"/>
      <w:numFmt w:val="lowerLetter"/>
      <w:lvlText w:val="%1."/>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923E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1AF75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E4761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2A0B1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9C08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FC51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FE82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9205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CFD2A42"/>
    <w:multiLevelType w:val="hybridMultilevel"/>
    <w:tmpl w:val="6EC03AFC"/>
    <w:lvl w:ilvl="0" w:tplc="D89200D6">
      <w:start w:val="1"/>
      <w:numFmt w:val="bullet"/>
      <w:lvlText w:val="-"/>
      <w:lvlJc w:val="left"/>
      <w:pPr>
        <w:ind w:left="345" w:hanging="360"/>
      </w:pPr>
      <w:rPr>
        <w:rFonts w:ascii="Times New Roman" w:eastAsia="Times New Roman" w:hAnsi="Times New Roman" w:cs="Times New Roman"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2" w15:restartNumberingAfterBreak="0">
    <w:nsid w:val="3BF900F7"/>
    <w:multiLevelType w:val="hybridMultilevel"/>
    <w:tmpl w:val="6B6A6394"/>
    <w:lvl w:ilvl="0" w:tplc="B658EB36">
      <w:start w:val="1"/>
      <w:numFmt w:val="bullet"/>
      <w:lvlText w:val="-"/>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24668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8CC78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BC68F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E8C08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8EA2D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64061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A216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08836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34"/>
    <w:rsid w:val="00001C39"/>
    <w:rsid w:val="000459E1"/>
    <w:rsid w:val="00055D5D"/>
    <w:rsid w:val="000633AD"/>
    <w:rsid w:val="00064108"/>
    <w:rsid w:val="000A2950"/>
    <w:rsid w:val="000B0D97"/>
    <w:rsid w:val="000E3F7D"/>
    <w:rsid w:val="000E5C55"/>
    <w:rsid w:val="00137435"/>
    <w:rsid w:val="00156683"/>
    <w:rsid w:val="00174AB3"/>
    <w:rsid w:val="001F1A27"/>
    <w:rsid w:val="00211E52"/>
    <w:rsid w:val="0021609C"/>
    <w:rsid w:val="00226E66"/>
    <w:rsid w:val="00284634"/>
    <w:rsid w:val="002A19A7"/>
    <w:rsid w:val="002A4E80"/>
    <w:rsid w:val="002B49DF"/>
    <w:rsid w:val="002C2B0B"/>
    <w:rsid w:val="002E001C"/>
    <w:rsid w:val="002E6B13"/>
    <w:rsid w:val="002E702A"/>
    <w:rsid w:val="003101B5"/>
    <w:rsid w:val="00313D4B"/>
    <w:rsid w:val="00367D43"/>
    <w:rsid w:val="003742FD"/>
    <w:rsid w:val="003834CF"/>
    <w:rsid w:val="003B0768"/>
    <w:rsid w:val="003C50EF"/>
    <w:rsid w:val="003C6C4C"/>
    <w:rsid w:val="00483E4A"/>
    <w:rsid w:val="004A527E"/>
    <w:rsid w:val="004B261B"/>
    <w:rsid w:val="0050085F"/>
    <w:rsid w:val="00521075"/>
    <w:rsid w:val="00545A6C"/>
    <w:rsid w:val="005557C5"/>
    <w:rsid w:val="00581990"/>
    <w:rsid w:val="00586FA5"/>
    <w:rsid w:val="005A5C5E"/>
    <w:rsid w:val="005C008E"/>
    <w:rsid w:val="005C7C11"/>
    <w:rsid w:val="005D1642"/>
    <w:rsid w:val="005F4C6E"/>
    <w:rsid w:val="00616E86"/>
    <w:rsid w:val="00624115"/>
    <w:rsid w:val="00625EEA"/>
    <w:rsid w:val="00664AB2"/>
    <w:rsid w:val="006877FA"/>
    <w:rsid w:val="006C6780"/>
    <w:rsid w:val="006D5AA7"/>
    <w:rsid w:val="006E6677"/>
    <w:rsid w:val="00726791"/>
    <w:rsid w:val="00762C8D"/>
    <w:rsid w:val="007821D0"/>
    <w:rsid w:val="0079280A"/>
    <w:rsid w:val="007D04BC"/>
    <w:rsid w:val="007D6015"/>
    <w:rsid w:val="00801048"/>
    <w:rsid w:val="00802601"/>
    <w:rsid w:val="0081499A"/>
    <w:rsid w:val="0087432B"/>
    <w:rsid w:val="008F5D54"/>
    <w:rsid w:val="00903896"/>
    <w:rsid w:val="00945237"/>
    <w:rsid w:val="00954C82"/>
    <w:rsid w:val="009660E2"/>
    <w:rsid w:val="009B05FD"/>
    <w:rsid w:val="009F2AF5"/>
    <w:rsid w:val="00A0032B"/>
    <w:rsid w:val="00A371E6"/>
    <w:rsid w:val="00A50BCC"/>
    <w:rsid w:val="00A635E3"/>
    <w:rsid w:val="00A72CE5"/>
    <w:rsid w:val="00AB40E6"/>
    <w:rsid w:val="00AB51B0"/>
    <w:rsid w:val="00AC5006"/>
    <w:rsid w:val="00B633B0"/>
    <w:rsid w:val="00B6519A"/>
    <w:rsid w:val="00B92799"/>
    <w:rsid w:val="00BC491C"/>
    <w:rsid w:val="00BE0B0D"/>
    <w:rsid w:val="00C264D2"/>
    <w:rsid w:val="00C52ABC"/>
    <w:rsid w:val="00C8214B"/>
    <w:rsid w:val="00CE0373"/>
    <w:rsid w:val="00CE728E"/>
    <w:rsid w:val="00CF0994"/>
    <w:rsid w:val="00CF38E2"/>
    <w:rsid w:val="00D05C0E"/>
    <w:rsid w:val="00D21754"/>
    <w:rsid w:val="00D23FF4"/>
    <w:rsid w:val="00D77706"/>
    <w:rsid w:val="00DB797F"/>
    <w:rsid w:val="00DC3E00"/>
    <w:rsid w:val="00DE766D"/>
    <w:rsid w:val="00DE7E6D"/>
    <w:rsid w:val="00DF055D"/>
    <w:rsid w:val="00E416FF"/>
    <w:rsid w:val="00E602C2"/>
    <w:rsid w:val="00E91FDE"/>
    <w:rsid w:val="00EB0F4D"/>
    <w:rsid w:val="00EB62EC"/>
    <w:rsid w:val="00EC458A"/>
    <w:rsid w:val="00F02C27"/>
    <w:rsid w:val="00F22F38"/>
    <w:rsid w:val="00F50F2A"/>
    <w:rsid w:val="00F56D11"/>
    <w:rsid w:val="00F86E41"/>
    <w:rsid w:val="00F94DCF"/>
    <w:rsid w:val="00F9709D"/>
    <w:rsid w:val="00FC6848"/>
    <w:rsid w:val="00FD0121"/>
    <w:rsid w:val="00FD5773"/>
    <w:rsid w:val="00FD5C4E"/>
    <w:rsid w:val="00FF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DF3C1"/>
  <w15:docId w15:val="{78356C94-7888-493A-904D-72453C7A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28"/>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3"/>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228"/>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F0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55D"/>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E416FF"/>
    <w:rPr>
      <w:sz w:val="16"/>
      <w:szCs w:val="16"/>
    </w:rPr>
  </w:style>
  <w:style w:type="paragraph" w:styleId="CommentText">
    <w:name w:val="annotation text"/>
    <w:basedOn w:val="Normal"/>
    <w:link w:val="CommentTextChar"/>
    <w:uiPriority w:val="99"/>
    <w:semiHidden/>
    <w:unhideWhenUsed/>
    <w:rsid w:val="00E416FF"/>
    <w:pPr>
      <w:spacing w:line="240" w:lineRule="auto"/>
    </w:pPr>
    <w:rPr>
      <w:sz w:val="20"/>
      <w:szCs w:val="20"/>
    </w:rPr>
  </w:style>
  <w:style w:type="character" w:customStyle="1" w:styleId="CommentTextChar">
    <w:name w:val="Comment Text Char"/>
    <w:basedOn w:val="DefaultParagraphFont"/>
    <w:link w:val="CommentText"/>
    <w:uiPriority w:val="99"/>
    <w:semiHidden/>
    <w:rsid w:val="00E416F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416FF"/>
    <w:rPr>
      <w:b/>
      <w:bCs/>
    </w:rPr>
  </w:style>
  <w:style w:type="character" w:customStyle="1" w:styleId="CommentSubjectChar">
    <w:name w:val="Comment Subject Char"/>
    <w:basedOn w:val="CommentTextChar"/>
    <w:link w:val="CommentSubject"/>
    <w:uiPriority w:val="99"/>
    <w:semiHidden/>
    <w:rsid w:val="00E416FF"/>
    <w:rPr>
      <w:rFonts w:ascii="Times New Roman" w:eastAsia="Times New Roman" w:hAnsi="Times New Roman" w:cs="Times New Roman"/>
      <w:b/>
      <w:bCs/>
      <w:color w:val="000000"/>
      <w:sz w:val="20"/>
      <w:szCs w:val="20"/>
    </w:rPr>
  </w:style>
  <w:style w:type="paragraph" w:styleId="Revision">
    <w:name w:val="Revision"/>
    <w:hidden/>
    <w:uiPriority w:val="99"/>
    <w:semiHidden/>
    <w:rsid w:val="00625EEA"/>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rsid w:val="00D05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C0E"/>
    <w:rPr>
      <w:rFonts w:ascii="Times New Roman" w:eastAsia="Times New Roman" w:hAnsi="Times New Roman" w:cs="Times New Roman"/>
      <w:color w:val="000000"/>
    </w:rPr>
  </w:style>
  <w:style w:type="paragraph" w:styleId="ListParagraph">
    <w:name w:val="List Paragraph"/>
    <w:basedOn w:val="Normal"/>
    <w:uiPriority w:val="34"/>
    <w:qFormat/>
    <w:rsid w:val="00B63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D2CE20C33754BAD902220413B8DC8" ma:contentTypeVersion="13" ma:contentTypeDescription="Create a new document." ma:contentTypeScope="" ma:versionID="30a49704916ebc20f7f1b48a747482eb">
  <xsd:schema xmlns:xsd="http://www.w3.org/2001/XMLSchema" xmlns:xs="http://www.w3.org/2001/XMLSchema" xmlns:p="http://schemas.microsoft.com/office/2006/metadata/properties" xmlns:ns3="9c037d6b-d182-4ce6-9ae3-d007e9063eee" xmlns:ns4="1129eb44-b088-484a-88e0-46ea3848e07a" targetNamespace="http://schemas.microsoft.com/office/2006/metadata/properties" ma:root="true" ma:fieldsID="9cc9fc681372e43958596006681831bb" ns3:_="" ns4:_="">
    <xsd:import namespace="9c037d6b-d182-4ce6-9ae3-d007e9063eee"/>
    <xsd:import namespace="1129eb44-b088-484a-88e0-46ea3848e0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37d6b-d182-4ce6-9ae3-d007e9063e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9eb44-b088-484a-88e0-46ea3848e0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4C3BC-179E-4038-AC55-D48792F40953}">
  <ds:schemaRefs>
    <ds:schemaRef ds:uri="http://schemas.microsoft.com/sharepoint/v3/contenttype/forms"/>
  </ds:schemaRefs>
</ds:datastoreItem>
</file>

<file path=customXml/itemProps2.xml><?xml version="1.0" encoding="utf-8"?>
<ds:datastoreItem xmlns:ds="http://schemas.openxmlformats.org/officeDocument/2006/customXml" ds:itemID="{9EFB77F0-258D-4005-AE37-E947129A78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BD60A7-34D1-4C07-A44A-9A88D2E4F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37d6b-d182-4ce6-9ae3-d007e9063eee"/>
    <ds:schemaRef ds:uri="1129eb44-b088-484a-88e0-46ea3848e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E000A-48F8-4368-9B84-2E24C763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6745</Words>
  <Characters>38450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Novartis</Company>
  <LinksUpToDate>false</LinksUpToDate>
  <CharactersWithSpaces>45105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Gordana Boljević</cp:lastModifiedBy>
  <cp:revision>9</cp:revision>
  <dcterms:created xsi:type="dcterms:W3CDTF">2021-05-12T13:35:00Z</dcterms:created>
  <dcterms:modified xsi:type="dcterms:W3CDTF">2021-05-14T06:43:00Z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2021-04-20T08:24:16Z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677c52c2-ea9a-4d68-ad0d-8ecf6b34093c</vt:lpwstr>
  </property>
  <property fmtid="{D5CDD505-2E9C-101B-9397-08002B2CF9AE}" pid="8" name="MSIP_Label_4929bff8-5b33-42aa-95d2-28f72e792cb0_ContentBits">
    <vt:lpwstr>0</vt:lpwstr>
  </property>
  <property fmtid="{D5CDD505-2E9C-101B-9397-08002B2CF9AE}" pid="9" name="ContentTypeId">
    <vt:lpwstr>0x010100823D2CE20C33754BAD902220413B8DC8</vt:lpwstr>
  </property>
</Properties>
</file>