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0636C" w14:textId="77777777" w:rsidR="00F91C7B" w:rsidRPr="005B1D42" w:rsidRDefault="00F91C7B" w:rsidP="00462581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212F941" w14:textId="77777777" w:rsidR="002510A5" w:rsidRPr="005B1D42" w:rsidRDefault="002510A5" w:rsidP="00462581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B1D4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3DD8250" w14:textId="77777777" w:rsidR="00C37FD7" w:rsidRPr="005B1D42" w:rsidRDefault="00C37FD7" w:rsidP="0046258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D412B8" w14:textId="77777777" w:rsidR="002107A2" w:rsidRPr="005B1D42" w:rsidRDefault="002107A2" w:rsidP="004625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DD036A" w14:textId="5CB7BCD5" w:rsidR="00411B4B" w:rsidRPr="005B1D42" w:rsidRDefault="00411B4B" w:rsidP="0046258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>1.</w:t>
      </w:r>
      <w:r w:rsidR="00F5167F" w:rsidRPr="005B1D42">
        <w:rPr>
          <w:b/>
          <w:bCs/>
          <w:sz w:val="22"/>
          <w:szCs w:val="22"/>
          <w:lang w:val="sr-Latn-ME"/>
        </w:rPr>
        <w:tab/>
      </w:r>
      <w:r w:rsidR="002846DB" w:rsidRPr="005B1D42">
        <w:rPr>
          <w:b/>
          <w:bCs/>
          <w:sz w:val="22"/>
          <w:szCs w:val="22"/>
          <w:lang w:val="sr-Latn-ME"/>
        </w:rPr>
        <w:t xml:space="preserve">NAZIV </w:t>
      </w:r>
      <w:r w:rsidRPr="005B1D42">
        <w:rPr>
          <w:b/>
          <w:bCs/>
          <w:sz w:val="22"/>
          <w:szCs w:val="22"/>
          <w:lang w:val="sr-Latn-ME"/>
        </w:rPr>
        <w:t>LIJEKA</w:t>
      </w:r>
    </w:p>
    <w:p w14:paraId="40D8D6DE" w14:textId="77777777" w:rsidR="00EC2532" w:rsidRPr="005B1D42" w:rsidRDefault="00EC2532" w:rsidP="00462581">
      <w:pPr>
        <w:rPr>
          <w:sz w:val="22"/>
          <w:szCs w:val="22"/>
          <w:lang w:val="sr-Latn-ME"/>
        </w:rPr>
      </w:pPr>
    </w:p>
    <w:p w14:paraId="39E954E9" w14:textId="765698FE" w:rsidR="00B558EB" w:rsidRPr="00462581" w:rsidRDefault="00B558EB" w:rsidP="00462581">
      <w:pPr>
        <w:pStyle w:val="NoSpacing"/>
        <w:jc w:val="both"/>
        <w:rPr>
          <w:sz w:val="22"/>
          <w:szCs w:val="22"/>
          <w:lang w:val="sr-Latn-ME"/>
        </w:rPr>
      </w:pPr>
      <w:r w:rsidRPr="00462581">
        <w:rPr>
          <w:sz w:val="22"/>
          <w:szCs w:val="22"/>
          <w:lang w:val="sr-Latn-ME"/>
        </w:rPr>
        <w:t>DIBASE</w:t>
      </w:r>
      <w:r w:rsidRPr="00462581">
        <w:rPr>
          <w:sz w:val="22"/>
          <w:szCs w:val="22"/>
          <w:vertAlign w:val="superscript"/>
          <w:lang w:val="sr-Latn-ME"/>
        </w:rPr>
        <w:t>®</w:t>
      </w:r>
      <w:r w:rsidRPr="00462581">
        <w:rPr>
          <w:sz w:val="22"/>
          <w:szCs w:val="22"/>
          <w:lang w:val="sr-Latn-ME"/>
        </w:rPr>
        <w:t xml:space="preserve">,  50 000 i.j./2.5 </w:t>
      </w:r>
      <w:r w:rsidR="002D08BC" w:rsidRPr="00462581">
        <w:rPr>
          <w:sz w:val="22"/>
          <w:szCs w:val="22"/>
          <w:lang w:val="sr-Latn-ME"/>
        </w:rPr>
        <w:t>ml</w:t>
      </w:r>
      <w:r w:rsidRPr="00462581">
        <w:rPr>
          <w:sz w:val="22"/>
          <w:szCs w:val="22"/>
          <w:lang w:val="sr-Latn-ME"/>
        </w:rPr>
        <w:t>, oralni rastvor</w:t>
      </w:r>
    </w:p>
    <w:p w14:paraId="480152DE" w14:textId="77777777" w:rsidR="00462581" w:rsidRDefault="00462581" w:rsidP="00462581">
      <w:pPr>
        <w:jc w:val="both"/>
        <w:rPr>
          <w:sz w:val="22"/>
          <w:szCs w:val="22"/>
          <w:lang w:val="sr-Latn-ME"/>
        </w:rPr>
      </w:pPr>
    </w:p>
    <w:p w14:paraId="476B3407" w14:textId="7B7B65E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INN: holekalciferol</w:t>
      </w:r>
    </w:p>
    <w:p w14:paraId="2B9422F3" w14:textId="77777777" w:rsidR="00530BD7" w:rsidRPr="005B1D42" w:rsidRDefault="00530BD7" w:rsidP="00462581">
      <w:pPr>
        <w:jc w:val="both"/>
        <w:rPr>
          <w:bCs/>
          <w:sz w:val="22"/>
          <w:szCs w:val="22"/>
          <w:lang w:val="sr-Latn-ME"/>
        </w:rPr>
      </w:pPr>
    </w:p>
    <w:p w14:paraId="004ECC02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0D8D08" w14:textId="4C7003CE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2. </w:t>
      </w:r>
      <w:r w:rsidR="00F5167F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KVALITATIVNI I KVANTITATIVNI SASTAV</w:t>
      </w:r>
    </w:p>
    <w:p w14:paraId="3BE8540F" w14:textId="77777777" w:rsidR="005A0B2E" w:rsidRPr="005B1D42" w:rsidRDefault="005A0B2E" w:rsidP="00462581">
      <w:pPr>
        <w:jc w:val="both"/>
        <w:rPr>
          <w:sz w:val="22"/>
          <w:szCs w:val="22"/>
          <w:lang w:val="sr-Latn-ME"/>
        </w:rPr>
      </w:pPr>
    </w:p>
    <w:p w14:paraId="506FD9D7" w14:textId="1CF5FC36" w:rsidR="002D08BC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Jedan jednodozni kontejner </w:t>
      </w:r>
      <w:r w:rsidR="00FD550B" w:rsidRPr="005B1D42">
        <w:rPr>
          <w:sz w:val="22"/>
          <w:szCs w:val="22"/>
          <w:lang w:val="sr-Latn-ME"/>
        </w:rPr>
        <w:t xml:space="preserve">(bočica) </w:t>
      </w:r>
      <w:r w:rsidRPr="005B1D42">
        <w:rPr>
          <w:sz w:val="22"/>
          <w:szCs w:val="22"/>
          <w:lang w:val="sr-Latn-ME"/>
        </w:rPr>
        <w:t>sadrži 1.25 mg holekalciferola (vitamin D</w:t>
      </w:r>
      <w:r w:rsidRPr="005B1D42">
        <w:rPr>
          <w:sz w:val="22"/>
          <w:szCs w:val="22"/>
          <w:vertAlign w:val="subscript"/>
          <w:lang w:val="sr-Latn-ME"/>
        </w:rPr>
        <w:t>3</w:t>
      </w:r>
      <w:r w:rsidRPr="005B1D42">
        <w:rPr>
          <w:sz w:val="22"/>
          <w:szCs w:val="22"/>
          <w:lang w:val="sr-Latn-ME"/>
        </w:rPr>
        <w:t>), što odgovara 50 000 i.j</w:t>
      </w:r>
      <w:r w:rsidR="002D08BC" w:rsidRPr="005B1D42">
        <w:rPr>
          <w:sz w:val="22"/>
          <w:szCs w:val="22"/>
          <w:lang w:val="sr-Latn-ME"/>
        </w:rPr>
        <w:t>.</w:t>
      </w:r>
    </w:p>
    <w:p w14:paraId="367004F3" w14:textId="6FBD68F1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 </w:t>
      </w:r>
    </w:p>
    <w:p w14:paraId="5AED8981" w14:textId="3FC9A948" w:rsidR="0003793F" w:rsidRPr="005B1D42" w:rsidRDefault="0003793F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Za spisak svih ekscipijenasa, pogledati dio 6.1.</w:t>
      </w:r>
    </w:p>
    <w:p w14:paraId="65C113B2" w14:textId="77777777" w:rsidR="0003793F" w:rsidRPr="005B1D42" w:rsidRDefault="0003793F" w:rsidP="00462581">
      <w:pPr>
        <w:jc w:val="both"/>
        <w:rPr>
          <w:sz w:val="22"/>
          <w:szCs w:val="22"/>
          <w:lang w:val="sr-Latn-ME"/>
        </w:rPr>
      </w:pPr>
    </w:p>
    <w:p w14:paraId="0749CB3F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FE6883" w14:textId="6BED3CFE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3. </w:t>
      </w:r>
      <w:r w:rsidR="00F5167F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FARMACEUTSKI OBLIK</w:t>
      </w:r>
      <w:r w:rsidR="009F2D23" w:rsidRPr="005B1D42">
        <w:rPr>
          <w:b/>
          <w:bCs/>
          <w:sz w:val="22"/>
          <w:szCs w:val="22"/>
          <w:lang w:val="sr-Latn-ME"/>
        </w:rPr>
        <w:t xml:space="preserve"> </w:t>
      </w:r>
    </w:p>
    <w:p w14:paraId="2C8DF4EB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</w:p>
    <w:p w14:paraId="3A08806A" w14:textId="23A92F72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Oralni rastvor.</w:t>
      </w:r>
    </w:p>
    <w:p w14:paraId="73333BBF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Bistar uljani rastvor, bezbojni do zelenkasto-žute boje.</w:t>
      </w:r>
    </w:p>
    <w:p w14:paraId="13AFEB4A" w14:textId="77777777" w:rsidR="00EC2532" w:rsidRPr="005B1D42" w:rsidRDefault="00EC2532" w:rsidP="00462581">
      <w:pPr>
        <w:jc w:val="both"/>
        <w:rPr>
          <w:bCs/>
          <w:sz w:val="22"/>
          <w:szCs w:val="22"/>
          <w:lang w:val="sr-Latn-ME"/>
        </w:rPr>
      </w:pPr>
    </w:p>
    <w:p w14:paraId="2AE5547B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E23B91" w14:textId="0ED8B6B1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KLINIČKI PODACI</w:t>
      </w:r>
    </w:p>
    <w:p w14:paraId="281400AB" w14:textId="77777777" w:rsidR="00CD6F02" w:rsidRPr="005B1D42" w:rsidRDefault="00CD6F02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6A758B" w14:textId="6F87AE5E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4.1.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Terapijske indikacije</w:t>
      </w:r>
    </w:p>
    <w:p w14:paraId="43394AC7" w14:textId="07F68D3D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59F8F9" w14:textId="35850E72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ečenje deficita vitamina D kod odraslih osoba.</w:t>
      </w:r>
    </w:p>
    <w:p w14:paraId="692C0BAB" w14:textId="77777777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C88579" w14:textId="77777777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4.2.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Doziranje i način primjene</w:t>
      </w:r>
    </w:p>
    <w:p w14:paraId="13179E5C" w14:textId="77777777" w:rsidR="00B558EB" w:rsidRPr="005B1D42" w:rsidRDefault="00B558EB" w:rsidP="00462581">
      <w:pPr>
        <w:jc w:val="both"/>
        <w:rPr>
          <w:bCs/>
          <w:sz w:val="22"/>
          <w:szCs w:val="22"/>
          <w:lang w:val="sr-Latn-ME"/>
        </w:rPr>
      </w:pPr>
    </w:p>
    <w:p w14:paraId="40B9A6E0" w14:textId="4A4D1C41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u w:val="single"/>
          <w:lang w:val="sr-Latn-ME"/>
        </w:rPr>
        <w:t>L</w:t>
      </w:r>
      <w:r w:rsidR="00ED7FD9" w:rsidRPr="005B1D42">
        <w:rPr>
          <w:sz w:val="22"/>
          <w:szCs w:val="22"/>
          <w:u w:val="single"/>
          <w:lang w:val="sr-Latn-ME"/>
        </w:rPr>
        <w:t>ij</w:t>
      </w:r>
      <w:r w:rsidRPr="005B1D42">
        <w:rPr>
          <w:sz w:val="22"/>
          <w:szCs w:val="22"/>
          <w:u w:val="single"/>
          <w:lang w:val="sr-Latn-ME"/>
        </w:rPr>
        <w:t>ečenje deficita vitamina D:</w:t>
      </w:r>
      <w:r w:rsidRPr="005B1D42">
        <w:rPr>
          <w:sz w:val="22"/>
          <w:szCs w:val="22"/>
          <w:lang w:val="sr-Latn-ME"/>
        </w:rPr>
        <w:t xml:space="preserve"> Deficit vitamina D mora da se identifikuje klinički i/ili na osnovu laboratorijskih analiza. Terapija je osmišljena tako da nadoknadi rezerve vitamina D, a ukoliko rizik od deficita i dalje postoji, nastavlja se terapija održavanja, u dozama koje se koriste za prevenciju. U većini slučajeva, tokom faze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ečenja, preporučuje se da se ne prekoračuju kumulativne doze od 300 000 i.j., osim ukoliko drugačije nije propisao 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ekar.</w:t>
      </w:r>
    </w:p>
    <w:p w14:paraId="2D43BC70" w14:textId="6C9F4C70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Navedena šema doziranja se može koristiti kao pr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edlog, i 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ekar je može prilagoditi na osnovu vrste i težine deficita vitamina D (vid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 xml:space="preserve">eti </w:t>
      </w:r>
      <w:r w:rsidR="00FC6A9B" w:rsidRPr="005B1D42">
        <w:rPr>
          <w:sz w:val="22"/>
          <w:szCs w:val="22"/>
          <w:lang w:val="sr-Latn-ME"/>
        </w:rPr>
        <w:t>dio</w:t>
      </w:r>
      <w:r w:rsidRPr="005B1D42">
        <w:rPr>
          <w:sz w:val="22"/>
          <w:szCs w:val="22"/>
          <w:lang w:val="sr-Latn-ME"/>
        </w:rPr>
        <w:t xml:space="preserve"> 4.4).</w:t>
      </w:r>
    </w:p>
    <w:p w14:paraId="791CA6D5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30237C3" w14:textId="61F1176D" w:rsidR="00452E9D" w:rsidRPr="005B1D42" w:rsidRDefault="00452E9D" w:rsidP="00462581">
      <w:pPr>
        <w:tabs>
          <w:tab w:val="left" w:pos="540"/>
          <w:tab w:val="left" w:pos="569"/>
        </w:tabs>
        <w:jc w:val="both"/>
        <w:rPr>
          <w:b/>
          <w:sz w:val="22"/>
          <w:szCs w:val="22"/>
          <w:u w:val="single"/>
          <w:lang w:val="sr-Latn-ME"/>
        </w:rPr>
      </w:pPr>
      <w:r w:rsidRPr="005B1D42">
        <w:rPr>
          <w:b/>
          <w:sz w:val="22"/>
          <w:szCs w:val="22"/>
          <w:u w:val="single"/>
          <w:lang w:val="sr-Latn-ME"/>
        </w:rPr>
        <w:t>Doziranje</w:t>
      </w:r>
    </w:p>
    <w:p w14:paraId="6D44EC3A" w14:textId="7946CBEA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1 pojedinačni dozni kontejner (što odgovara 50 000 i.j. vitamina D</w:t>
      </w:r>
      <w:r w:rsidRPr="005B1D42">
        <w:rPr>
          <w:bCs/>
          <w:sz w:val="22"/>
          <w:szCs w:val="22"/>
          <w:vertAlign w:val="subscript"/>
          <w:lang w:val="sr-Latn-ME"/>
        </w:rPr>
        <w:t>3</w:t>
      </w:r>
      <w:r w:rsidRPr="005B1D42">
        <w:rPr>
          <w:bCs/>
          <w:sz w:val="22"/>
          <w:szCs w:val="22"/>
          <w:lang w:val="sr-Latn-ME"/>
        </w:rPr>
        <w:t>) jednom ned</w:t>
      </w:r>
      <w:r w:rsidR="00ED7FD9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>eljno tokom najviše 6 ned</w:t>
      </w:r>
      <w:r w:rsidR="00ED7FD9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>elja.</w:t>
      </w:r>
    </w:p>
    <w:p w14:paraId="08275FCA" w14:textId="73383584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Nakon toga može se razmotriti</w:t>
      </w:r>
      <w:r w:rsidR="00035913" w:rsidRPr="005B1D42">
        <w:rPr>
          <w:bCs/>
          <w:sz w:val="22"/>
          <w:szCs w:val="22"/>
          <w:lang w:val="sr-Latn-ME"/>
        </w:rPr>
        <w:t xml:space="preserve"> </w:t>
      </w:r>
      <w:r w:rsidRPr="005B1D42">
        <w:rPr>
          <w:bCs/>
          <w:sz w:val="22"/>
          <w:szCs w:val="22"/>
          <w:lang w:val="sr-Latn-ME"/>
        </w:rPr>
        <w:t>prim</w:t>
      </w:r>
      <w:r w:rsidR="00ED7FD9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>ena nižih doza, u zavisnosti od željenih nivoa 25-hidroksiholekalciferola (25OHD) u serumu, težine bolesti i pacijentovog odgovora na l</w:t>
      </w:r>
      <w:r w:rsidR="00ED7FD9" w:rsidRPr="005B1D42">
        <w:rPr>
          <w:bCs/>
          <w:sz w:val="22"/>
          <w:szCs w:val="22"/>
          <w:lang w:val="sr-Latn-ME"/>
        </w:rPr>
        <w:t>ij</w:t>
      </w:r>
      <w:r w:rsidRPr="005B1D42">
        <w:rPr>
          <w:bCs/>
          <w:sz w:val="22"/>
          <w:szCs w:val="22"/>
          <w:lang w:val="sr-Latn-ME"/>
        </w:rPr>
        <w:t>ečenje.</w:t>
      </w:r>
    </w:p>
    <w:p w14:paraId="69927F74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307263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B1D42">
        <w:rPr>
          <w:bCs/>
          <w:i/>
          <w:iCs/>
          <w:sz w:val="22"/>
          <w:szCs w:val="22"/>
          <w:lang w:val="sr-Latn-ME"/>
        </w:rPr>
        <w:t>Pedijatrijska populacija</w:t>
      </w:r>
    </w:p>
    <w:p w14:paraId="41A1135C" w14:textId="0289BAF8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U ovim dozama l</w:t>
      </w:r>
      <w:r w:rsidR="00035913" w:rsidRPr="005B1D42">
        <w:rPr>
          <w:bCs/>
          <w:sz w:val="22"/>
          <w:szCs w:val="22"/>
          <w:lang w:val="sr-Latn-ME"/>
        </w:rPr>
        <w:t>ij</w:t>
      </w:r>
      <w:r w:rsidRPr="005B1D42">
        <w:rPr>
          <w:bCs/>
          <w:sz w:val="22"/>
          <w:szCs w:val="22"/>
          <w:lang w:val="sr-Latn-ME"/>
        </w:rPr>
        <w:t>ek DIBASE se ne preporučuje kod novorođenčadi, d</w:t>
      </w:r>
      <w:r w:rsidR="00035913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>ece i adolescenata mlađih od 18 godina, zbog nedostatka kliničkih podataka.</w:t>
      </w:r>
    </w:p>
    <w:p w14:paraId="5B7090A1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695306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5B1D42">
        <w:rPr>
          <w:bCs/>
          <w:i/>
          <w:iCs/>
          <w:sz w:val="22"/>
          <w:szCs w:val="22"/>
          <w:lang w:val="sr-Latn-ME"/>
        </w:rPr>
        <w:t>Trudnice</w:t>
      </w:r>
    </w:p>
    <w:p w14:paraId="17221A45" w14:textId="7539903B" w:rsidR="00452E9D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U ovim dozama l</w:t>
      </w:r>
      <w:r w:rsidR="00ED7FD9" w:rsidRPr="005B1D42">
        <w:rPr>
          <w:bCs/>
          <w:sz w:val="22"/>
          <w:szCs w:val="22"/>
          <w:lang w:val="sr-Latn-ME"/>
        </w:rPr>
        <w:t>ij</w:t>
      </w:r>
      <w:r w:rsidRPr="005B1D42">
        <w:rPr>
          <w:bCs/>
          <w:sz w:val="22"/>
          <w:szCs w:val="22"/>
          <w:lang w:val="sr-Latn-ME"/>
        </w:rPr>
        <w:t>ek DIBASE se ne preporučuje u trudnoći zbog nedostatka kliničkih podataka (vid</w:t>
      </w:r>
      <w:r w:rsidR="00ED7FD9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 xml:space="preserve">eti </w:t>
      </w:r>
      <w:r w:rsidR="00FC6A9B" w:rsidRPr="005B1D42">
        <w:rPr>
          <w:bCs/>
          <w:sz w:val="22"/>
          <w:szCs w:val="22"/>
          <w:lang w:val="sr-Latn-ME"/>
        </w:rPr>
        <w:t>dio</w:t>
      </w:r>
      <w:r w:rsidRPr="005B1D42">
        <w:rPr>
          <w:bCs/>
          <w:sz w:val="22"/>
          <w:szCs w:val="22"/>
          <w:lang w:val="sr-Latn-ME"/>
        </w:rPr>
        <w:t xml:space="preserve"> 4.6).</w:t>
      </w:r>
    </w:p>
    <w:p w14:paraId="5B533F1A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68829" w14:textId="0C22E29A" w:rsidR="00452E9D" w:rsidRPr="005B1D42" w:rsidRDefault="00452E9D" w:rsidP="00462581">
      <w:pPr>
        <w:tabs>
          <w:tab w:val="left" w:pos="540"/>
          <w:tab w:val="left" w:pos="569"/>
        </w:tabs>
        <w:jc w:val="both"/>
        <w:rPr>
          <w:b/>
          <w:sz w:val="22"/>
          <w:szCs w:val="22"/>
          <w:u w:val="single"/>
          <w:lang w:val="sr-Latn-ME"/>
        </w:rPr>
      </w:pPr>
      <w:r w:rsidRPr="005B1D42">
        <w:rPr>
          <w:b/>
          <w:sz w:val="22"/>
          <w:szCs w:val="22"/>
          <w:u w:val="single"/>
          <w:lang w:val="sr-Latn-ME"/>
        </w:rPr>
        <w:t>Način primjene</w:t>
      </w:r>
    </w:p>
    <w:p w14:paraId="315BE3BF" w14:textId="2B0E82A3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Preporučuje se uzimanje l</w:t>
      </w:r>
      <w:r w:rsidR="00ED7FD9" w:rsidRPr="005B1D42">
        <w:rPr>
          <w:bCs/>
          <w:sz w:val="22"/>
          <w:szCs w:val="22"/>
          <w:lang w:val="sr-Latn-ME"/>
        </w:rPr>
        <w:t>ij</w:t>
      </w:r>
      <w:r w:rsidRPr="005B1D42">
        <w:rPr>
          <w:bCs/>
          <w:sz w:val="22"/>
          <w:szCs w:val="22"/>
          <w:lang w:val="sr-Latn-ME"/>
        </w:rPr>
        <w:t>eka DIBASE tokom obroka (vid</w:t>
      </w:r>
      <w:r w:rsidR="00ED7FD9" w:rsidRPr="005B1D42">
        <w:rPr>
          <w:bCs/>
          <w:sz w:val="22"/>
          <w:szCs w:val="22"/>
          <w:lang w:val="sr-Latn-ME"/>
        </w:rPr>
        <w:t>j</w:t>
      </w:r>
      <w:r w:rsidRPr="005B1D42">
        <w:rPr>
          <w:bCs/>
          <w:sz w:val="22"/>
          <w:szCs w:val="22"/>
          <w:lang w:val="sr-Latn-ME"/>
        </w:rPr>
        <w:t xml:space="preserve">eti </w:t>
      </w:r>
      <w:r w:rsidR="00FC6A9B" w:rsidRPr="005B1D42">
        <w:rPr>
          <w:bCs/>
          <w:sz w:val="22"/>
          <w:szCs w:val="22"/>
          <w:lang w:val="sr-Latn-ME"/>
        </w:rPr>
        <w:t>dio</w:t>
      </w:r>
      <w:r w:rsidRPr="005B1D42">
        <w:rPr>
          <w:bCs/>
          <w:sz w:val="22"/>
          <w:szCs w:val="22"/>
          <w:lang w:val="sr-Latn-ME"/>
        </w:rPr>
        <w:t xml:space="preserve"> 5.2).</w:t>
      </w:r>
    </w:p>
    <w:p w14:paraId="7D06120F" w14:textId="0D3CFF9B" w:rsidR="00411B4B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Kontraindikacije</w:t>
      </w:r>
    </w:p>
    <w:p w14:paraId="7826A084" w14:textId="77777777" w:rsidR="00462581" w:rsidRPr="005B1D42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41FB66" w14:textId="66B67C1B" w:rsidR="00B558EB" w:rsidRPr="005B1D42" w:rsidRDefault="00B558EB" w:rsidP="0046258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Preos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etljivost na holekalciferol ili bilo koji od ekscipijenasa navedenih u </w:t>
      </w:r>
      <w:r w:rsidR="00FC6A9B" w:rsidRPr="005B1D42">
        <w:rPr>
          <w:szCs w:val="22"/>
          <w:lang w:val="sr-Latn-ME"/>
        </w:rPr>
        <w:t>dijelu</w:t>
      </w:r>
      <w:r w:rsidRPr="005B1D42">
        <w:rPr>
          <w:szCs w:val="22"/>
          <w:lang w:val="sr-Latn-ME"/>
        </w:rPr>
        <w:t xml:space="preserve"> 6.1.</w:t>
      </w:r>
    </w:p>
    <w:p w14:paraId="5D566D64" w14:textId="4E6A02DC" w:rsidR="00B558EB" w:rsidRPr="005B1D42" w:rsidRDefault="00B558EB" w:rsidP="0046258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Hiperkalcemija, hiperkalciurija</w:t>
      </w:r>
    </w:p>
    <w:p w14:paraId="57AF808D" w14:textId="53FCA024" w:rsidR="00B558EB" w:rsidRPr="005B1D42" w:rsidRDefault="00B558EB" w:rsidP="0046258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Kamen u bubregu (nefrolitijaza, nefrokalcinoza)</w:t>
      </w:r>
    </w:p>
    <w:p w14:paraId="02E3784B" w14:textId="1D986656" w:rsidR="00B558EB" w:rsidRPr="005B1D42" w:rsidRDefault="00B558EB" w:rsidP="00462581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 xml:space="preserve">Insuficijencija </w:t>
      </w:r>
      <w:r w:rsidR="00035913" w:rsidRPr="005B1D42">
        <w:rPr>
          <w:szCs w:val="22"/>
          <w:lang w:val="sr-Latn-ME"/>
        </w:rPr>
        <w:t xml:space="preserve">bubrega </w:t>
      </w:r>
      <w:r w:rsidRPr="005B1D42">
        <w:rPr>
          <w:szCs w:val="22"/>
          <w:lang w:val="sr-Latn-ME"/>
        </w:rPr>
        <w:t>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4.4).</w:t>
      </w:r>
    </w:p>
    <w:p w14:paraId="6CEFD1BE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4E4F73" w14:textId="77777777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4.4.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24AB822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50994" w14:textId="1E1A8590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slučaju produžene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ene visokih doza, preporučuje se praćenje serumskog nivoa 25-hidroksi-holekalciferola. Prekinite sa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enom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eka DIBASE kada nivo 25-hidroksi-holekalciferola pređe 100 ng/m</w:t>
      </w:r>
      <w:r w:rsidR="00035913" w:rsidRPr="005B1D42">
        <w:rPr>
          <w:sz w:val="22"/>
          <w:szCs w:val="22"/>
          <w:lang w:val="sr-Latn-ME"/>
        </w:rPr>
        <w:t>l</w:t>
      </w:r>
      <w:r w:rsidRPr="005B1D42">
        <w:rPr>
          <w:sz w:val="22"/>
          <w:szCs w:val="22"/>
          <w:lang w:val="sr-Latn-ME"/>
        </w:rPr>
        <w:t xml:space="preserve"> (što odgovara 250 nmol/</w:t>
      </w:r>
      <w:r w:rsidR="00035913" w:rsidRPr="005B1D42">
        <w:rPr>
          <w:sz w:val="22"/>
          <w:szCs w:val="22"/>
          <w:lang w:val="sr-Latn-ME"/>
        </w:rPr>
        <w:t>l</w:t>
      </w:r>
      <w:r w:rsidRPr="005B1D42">
        <w:rPr>
          <w:sz w:val="22"/>
          <w:szCs w:val="22"/>
          <w:lang w:val="sr-Latn-ME"/>
        </w:rPr>
        <w:t>).</w:t>
      </w:r>
    </w:p>
    <w:p w14:paraId="071D2D97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</w:p>
    <w:p w14:paraId="056A9D86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Kod starijih pacijenata koji su na terapiji kardiotoničnim glikozidima ili diureticima, važno je pratiti kalcemiju i kalciuriju. U slučaju hiperkalcemije ili bubrežne insuficijencije, treba smanjiti dozu ili prekinuti terapiju.</w:t>
      </w:r>
    </w:p>
    <w:p w14:paraId="6629E2D6" w14:textId="3E82C5DB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Da bi se izb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eglo predoziranje, treba uzeti u obzir ukupnu dozu vitamina D, ukoliko se uz terapiju vitaminom D unosi i hrana obogaćena vitaminom D ili ml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eko obogaćeno vitaminom D.</w:t>
      </w:r>
    </w:p>
    <w:p w14:paraId="6FF01EAE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</w:p>
    <w:p w14:paraId="69D5EB79" w14:textId="39ED2D6A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bookmarkStart w:id="0" w:name="_Hlk5621137"/>
      <w:r w:rsidRPr="005B1D42">
        <w:rPr>
          <w:sz w:val="22"/>
          <w:szCs w:val="22"/>
          <w:lang w:val="sr-Latn-ME"/>
        </w:rPr>
        <w:t>U sl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edećim slučajevima, može biti potrebno da se povećaju navedene doze:</w:t>
      </w:r>
    </w:p>
    <w:p w14:paraId="4EB7814F" w14:textId="5AF40097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kod pacijenta koji primaju terapiju antikonvulzivima i barbituratima 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4.5),</w:t>
      </w:r>
    </w:p>
    <w:p w14:paraId="70E8934E" w14:textId="5DC78CD3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kod pacijenta koji primaju terapiju kortikosteroidima 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4.5.),</w:t>
      </w:r>
    </w:p>
    <w:p w14:paraId="25680ED9" w14:textId="0067662D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kod pacijenta koji primaju terapiju l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>ekovima za snižavanje masnoća, kao što su holestipol, holestiramin i orlistat 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4.5),</w:t>
      </w:r>
    </w:p>
    <w:p w14:paraId="240E69E2" w14:textId="19C78226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kod pacijenta na terapiji antacidima koji sadrže aluminijum 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4.5),</w:t>
      </w:r>
    </w:p>
    <w:p w14:paraId="5800CEC7" w14:textId="15D8AF52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kod gojaznih pacijenata (vid</w:t>
      </w:r>
      <w:r w:rsidR="00ED7FD9" w:rsidRPr="005B1D42">
        <w:rPr>
          <w:szCs w:val="22"/>
          <w:lang w:val="sr-Latn-ME"/>
        </w:rPr>
        <w:t>j</w:t>
      </w:r>
      <w:r w:rsidRPr="005B1D42">
        <w:rPr>
          <w:szCs w:val="22"/>
          <w:lang w:val="sr-Latn-ME"/>
        </w:rPr>
        <w:t xml:space="preserve">eti </w:t>
      </w:r>
      <w:r w:rsidR="00FC6A9B" w:rsidRPr="005B1D42">
        <w:rPr>
          <w:szCs w:val="22"/>
          <w:lang w:val="sr-Latn-ME"/>
        </w:rPr>
        <w:t>dio</w:t>
      </w:r>
      <w:r w:rsidRPr="005B1D42">
        <w:rPr>
          <w:szCs w:val="22"/>
          <w:lang w:val="sr-Latn-ME"/>
        </w:rPr>
        <w:t xml:space="preserve"> 5.2),</w:t>
      </w:r>
    </w:p>
    <w:p w14:paraId="320993AB" w14:textId="77777777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poremećaja varenja (intestinalna malapsorpcija, mukoviscidoza ili cistična fibroza),</w:t>
      </w:r>
    </w:p>
    <w:p w14:paraId="3472C5C3" w14:textId="77777777" w:rsidR="00B558EB" w:rsidRPr="005B1D42" w:rsidRDefault="00B558EB" w:rsidP="00462581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5B1D42">
        <w:rPr>
          <w:szCs w:val="22"/>
          <w:lang w:val="sr-Latn-ME"/>
        </w:rPr>
        <w:t>insuficijencija jetre.</w:t>
      </w:r>
    </w:p>
    <w:p w14:paraId="32199DFC" w14:textId="5A3D7835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 treba propisivati sa oprezom kod pacijenata sa sarkoidozom, zbog mogućeg povećanja metabolizma vitamina D u aktivnom obliku. Neophodno je praćenje nivoa kalcijuma u serumu i urinu kod ovih pacijenata.</w:t>
      </w:r>
    </w:p>
    <w:p w14:paraId="1BCEA5B7" w14:textId="0EFEDC7C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Pacijenti sa insuficijencijom bubrega imaju izm</w:t>
      </w:r>
      <w:r w:rsidR="00035913" w:rsidRPr="005B1D42">
        <w:rPr>
          <w:sz w:val="22"/>
          <w:szCs w:val="22"/>
          <w:lang w:val="sr-Latn-ME"/>
        </w:rPr>
        <w:t>i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enjen metabolizam vitamina D, stoga, ukoliko treba da  primaju terapiju holekalciferolom, neophodno je pratiti uticaj na homeostazu kalcijuma i fosfata.</w:t>
      </w:r>
    </w:p>
    <w:bookmarkEnd w:id="0"/>
    <w:p w14:paraId="61B816CD" w14:textId="77777777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</w:p>
    <w:p w14:paraId="5B03AA13" w14:textId="77777777" w:rsidR="00411B4B" w:rsidRPr="005B1D42" w:rsidRDefault="00411B4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>4.5.</w:t>
      </w:r>
      <w:r w:rsidR="000D60CC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6A09483" w14:textId="452F7589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46940A" w14:textId="4E22244B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bookmarkStart w:id="1" w:name="_Hlk5621192"/>
      <w:r w:rsidRPr="005B1D42">
        <w:rPr>
          <w:sz w:val="22"/>
          <w:szCs w:val="22"/>
          <w:lang w:val="sr-Latn-ME"/>
        </w:rPr>
        <w:t>Istovremena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ena antikonvulziva ili barbiturata može da smanji efekat vitamina D</w:t>
      </w:r>
      <w:r w:rsidRPr="005B1D42">
        <w:rPr>
          <w:sz w:val="22"/>
          <w:szCs w:val="22"/>
          <w:vertAlign w:val="subscript"/>
          <w:lang w:val="sr-Latn-ME"/>
        </w:rPr>
        <w:t>3</w:t>
      </w:r>
      <w:r w:rsidRPr="005B1D42">
        <w:rPr>
          <w:sz w:val="22"/>
          <w:szCs w:val="22"/>
          <w:lang w:val="sr-Latn-ME"/>
        </w:rPr>
        <w:t xml:space="preserve"> putem metaboličke inaktivacije.</w:t>
      </w:r>
    </w:p>
    <w:p w14:paraId="4DAA1D06" w14:textId="6E917FB1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slučaju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ečenja tijazidnim diureticima, koji smanjuju izlučivanje kalcijuma putem urina, preporučuje se praćenje serumskog kalcijuma.</w:t>
      </w:r>
    </w:p>
    <w:p w14:paraId="12283D68" w14:textId="5EDC9F9C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Istovremena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ena glukokortikosteroida može da umanji efekat vitamina D</w:t>
      </w:r>
      <w:r w:rsidRPr="005B1D42">
        <w:rPr>
          <w:sz w:val="22"/>
          <w:szCs w:val="22"/>
          <w:vertAlign w:val="subscript"/>
          <w:lang w:val="sr-Latn-ME"/>
        </w:rPr>
        <w:t>3</w:t>
      </w:r>
      <w:r w:rsidRPr="005B1D42">
        <w:rPr>
          <w:sz w:val="22"/>
          <w:szCs w:val="22"/>
          <w:lang w:val="sr-Latn-ME"/>
        </w:rPr>
        <w:t>.</w:t>
      </w:r>
    </w:p>
    <w:p w14:paraId="247775C0" w14:textId="5A2D2676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slučaju terapije 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ekovima koji sadrže digitalis, oralna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ena kalcijuma u kombinaciji sa vitaminom D povećava rizik od toksičnosti digitalisa (aritmija). Stoga je potrebno strogo praćenje ovih pacijenata i po potrebi, praćenje EKG i nivoa kalcijuma u serumu.</w:t>
      </w:r>
    </w:p>
    <w:p w14:paraId="15ED0146" w14:textId="57664873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Istovremena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ena antacida koji sadrže aluminijum može da utiče na efikasnost ovog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 xml:space="preserve">eka, smanjujući </w:t>
      </w:r>
      <w:r w:rsidR="00035913" w:rsidRPr="005B1D42">
        <w:rPr>
          <w:sz w:val="22"/>
          <w:szCs w:val="22"/>
          <w:lang w:val="sr-Latn-ME"/>
        </w:rPr>
        <w:t>re</w:t>
      </w:r>
      <w:r w:rsidRPr="005B1D42">
        <w:rPr>
          <w:sz w:val="22"/>
          <w:szCs w:val="22"/>
          <w:lang w:val="sr-Latn-ME"/>
        </w:rPr>
        <w:t>sorpciju vitamina D, dok 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ekovi koji sadrže magnezijum mogu da dovedu do rizika od hipermagnezijemije.</w:t>
      </w:r>
    </w:p>
    <w:p w14:paraId="40568896" w14:textId="1274A4D3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Studije na životinjama ukazuju na moguće pojačavanje dejstva varfarina, kada se prim</w:t>
      </w:r>
      <w:r w:rsidR="00035913" w:rsidRPr="005B1D42">
        <w:rPr>
          <w:sz w:val="22"/>
          <w:szCs w:val="22"/>
          <w:lang w:val="sr-Latn-ME"/>
        </w:rPr>
        <w:t>i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eni sa kalciferolom. Iako ne postoje slični dokazi kod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ene holekalciferola, sav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etuje se oprez pri istovremenoj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eni ova dva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eka.</w:t>
      </w:r>
    </w:p>
    <w:p w14:paraId="52C2B822" w14:textId="09F64C3C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Holestiramin, holestipol i orlistat smanjuju </w:t>
      </w:r>
      <w:r w:rsidR="00035913" w:rsidRPr="005B1D42">
        <w:rPr>
          <w:sz w:val="22"/>
          <w:szCs w:val="22"/>
          <w:lang w:val="sr-Latn-ME"/>
        </w:rPr>
        <w:t>re</w:t>
      </w:r>
      <w:r w:rsidRPr="005B1D42">
        <w:rPr>
          <w:sz w:val="22"/>
          <w:szCs w:val="22"/>
          <w:lang w:val="sr-Latn-ME"/>
        </w:rPr>
        <w:t>sorpciju vitamina D, dok hronični alkoholizam smanjuje rezerve vitamina D u jetri.</w:t>
      </w:r>
    </w:p>
    <w:bookmarkEnd w:id="1"/>
    <w:p w14:paraId="32B029F6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6E37DC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4.6.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="006D20A5" w:rsidRPr="005B1D42">
        <w:rPr>
          <w:b/>
          <w:sz w:val="22"/>
          <w:szCs w:val="22"/>
          <w:lang w:val="sr-Latn-ME"/>
        </w:rPr>
        <w:t>Plodnost, trudnoća i dojenje</w:t>
      </w:r>
    </w:p>
    <w:p w14:paraId="41EBDD72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8C03211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2F4F07A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626613C" w14:textId="777B5EE8" w:rsidR="007A3ECB" w:rsidRPr="005B1D42" w:rsidRDefault="007A3ECB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B1D42">
        <w:rPr>
          <w:sz w:val="22"/>
          <w:szCs w:val="22"/>
          <w:u w:val="single"/>
          <w:lang w:val="sr-Latn-ME"/>
        </w:rPr>
        <w:lastRenderedPageBreak/>
        <w:t>Trudnoća</w:t>
      </w:r>
    </w:p>
    <w:p w14:paraId="6BD53438" w14:textId="22FFE572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Tokom prvih 6 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eseci trudnoće, vitamin D treba uzimati sa oprezom zbog mogućeg rizika od teratogenih efekata (vid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 xml:space="preserve">eti </w:t>
      </w:r>
      <w:r w:rsidR="00FC6A9B" w:rsidRPr="005B1D42">
        <w:rPr>
          <w:sz w:val="22"/>
          <w:szCs w:val="22"/>
          <w:lang w:val="sr-Latn-ME"/>
        </w:rPr>
        <w:t>dio</w:t>
      </w:r>
      <w:r w:rsidRPr="005B1D42">
        <w:rPr>
          <w:sz w:val="22"/>
          <w:szCs w:val="22"/>
          <w:lang w:val="sr-Latn-ME"/>
        </w:rPr>
        <w:t xml:space="preserve"> 4.9).</w:t>
      </w:r>
    </w:p>
    <w:p w14:paraId="6D412C85" w14:textId="61B51BCE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ovim dozama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 DIBASE se ne preporučuje tokom trudnoće zbog nedostatka kliničkih podataka. Međutim, s obzirom da je nedostatak vitamina D štetan i za majku i za fetus, vitamin D se može propisati tokom trudnoće uz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enu manjih doza po potrebi.</w:t>
      </w:r>
    </w:p>
    <w:p w14:paraId="22838CD5" w14:textId="34002D03" w:rsidR="00623679" w:rsidRPr="005B1D42" w:rsidRDefault="00623679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816CA62" w14:textId="161AF05B" w:rsidR="0072020E" w:rsidRPr="005B1D42" w:rsidRDefault="007A3ECB" w:rsidP="0046258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B1D42">
        <w:rPr>
          <w:sz w:val="22"/>
          <w:szCs w:val="22"/>
          <w:u w:val="single"/>
          <w:lang w:val="sr-Latn-ME"/>
        </w:rPr>
        <w:t xml:space="preserve">Dojenje </w:t>
      </w:r>
    </w:p>
    <w:p w14:paraId="7359E087" w14:textId="5156F3E5" w:rsidR="00B558EB" w:rsidRPr="005B1D42" w:rsidRDefault="00B558E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ovim dozama,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 DIBASE se ne preporučuje tokom dojenja, zbog nedostatka kliničkih podataka. Ukoliko je potrebno vitamin D se može propisivati tokom dojenja u manjim dozama. Ova suplementacija ne zam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enjuje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enu vitamina D kod odojčadi. Vitamin D i njegovi metaboliti prolaze u majčino ml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eko. Ovo treba uzeti u obzir prilikom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ene dodatnog vitamina D kod 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ece.</w:t>
      </w:r>
    </w:p>
    <w:p w14:paraId="4C1C4397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7CCF19" w14:textId="77777777" w:rsidR="0072020E" w:rsidRPr="005B1D42" w:rsidRDefault="0072020E" w:rsidP="0046258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4.7.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 xml:space="preserve">Uticaj na </w:t>
      </w:r>
      <w:r w:rsidR="002031B3" w:rsidRPr="005B1D4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5B1D42">
        <w:rPr>
          <w:b/>
          <w:bCs/>
          <w:sz w:val="22"/>
          <w:szCs w:val="22"/>
          <w:lang w:val="sr-Latn-ME"/>
        </w:rPr>
        <w:t>upravljanja vozili</w:t>
      </w:r>
      <w:r w:rsidRPr="005B1D42">
        <w:rPr>
          <w:b/>
          <w:bCs/>
          <w:sz w:val="22"/>
          <w:szCs w:val="22"/>
          <w:lang w:val="sr-Latn-ME"/>
        </w:rPr>
        <w:t>m</w:t>
      </w:r>
      <w:r w:rsidR="00F34554" w:rsidRPr="005B1D42">
        <w:rPr>
          <w:b/>
          <w:bCs/>
          <w:sz w:val="22"/>
          <w:szCs w:val="22"/>
          <w:lang w:val="sr-Latn-ME"/>
        </w:rPr>
        <w:t>a</w:t>
      </w:r>
      <w:r w:rsidRPr="005B1D42">
        <w:rPr>
          <w:b/>
          <w:bCs/>
          <w:sz w:val="22"/>
          <w:szCs w:val="22"/>
          <w:lang w:val="sr-Latn-ME"/>
        </w:rPr>
        <w:t xml:space="preserve"> i </w:t>
      </w:r>
      <w:r w:rsidR="000D3449" w:rsidRPr="005B1D42">
        <w:rPr>
          <w:b/>
          <w:bCs/>
          <w:sz w:val="22"/>
          <w:szCs w:val="22"/>
          <w:lang w:val="sr-Latn-ME"/>
        </w:rPr>
        <w:t xml:space="preserve">rukovanje </w:t>
      </w:r>
      <w:r w:rsidRPr="005B1D42">
        <w:rPr>
          <w:b/>
          <w:bCs/>
          <w:sz w:val="22"/>
          <w:szCs w:val="22"/>
          <w:lang w:val="sr-Latn-ME"/>
        </w:rPr>
        <w:t>mašinama</w:t>
      </w:r>
    </w:p>
    <w:p w14:paraId="2321D13E" w14:textId="3E7CDD4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C59CD7" w14:textId="5AEBF3A8" w:rsidR="00B558EB" w:rsidRPr="005B1D42" w:rsidRDefault="00B558EB" w:rsidP="00462581">
      <w:pPr>
        <w:jc w:val="both"/>
        <w:rPr>
          <w:bCs/>
          <w:spacing w:val="-8"/>
          <w:sz w:val="22"/>
          <w:szCs w:val="22"/>
          <w:lang w:val="sr-Latn-ME"/>
        </w:rPr>
      </w:pPr>
      <w:bookmarkStart w:id="2" w:name="_Hlk5621263"/>
      <w:r w:rsidRPr="005B1D42">
        <w:rPr>
          <w:sz w:val="22"/>
          <w:szCs w:val="22"/>
          <w:lang w:val="sr-Latn-ME"/>
        </w:rPr>
        <w:t>Nema dostupnih podataka o uticajima ovog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 xml:space="preserve">eka na </w:t>
      </w:r>
      <w:r w:rsidRPr="005B1D42">
        <w:rPr>
          <w:bCs/>
          <w:spacing w:val="-8"/>
          <w:sz w:val="22"/>
          <w:szCs w:val="22"/>
          <w:lang w:val="sr-Latn-ME"/>
        </w:rPr>
        <w:t xml:space="preserve">sposobnost upravljanja vozilima. Ipak, </w:t>
      </w:r>
      <w:r w:rsidRPr="005B1D42">
        <w:rPr>
          <w:sz w:val="22"/>
          <w:szCs w:val="22"/>
          <w:lang w:val="sr-Latn-ME"/>
        </w:rPr>
        <w:t>malo je v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erovatno da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 DIBASE utiče</w:t>
      </w:r>
      <w:r w:rsidRPr="005B1D42">
        <w:rPr>
          <w:bCs/>
          <w:spacing w:val="-8"/>
          <w:sz w:val="22"/>
          <w:szCs w:val="22"/>
          <w:lang w:val="sr-Latn-ME"/>
        </w:rPr>
        <w:t xml:space="preserve"> na navedene sposobnosti.</w:t>
      </w:r>
    </w:p>
    <w:bookmarkEnd w:id="2"/>
    <w:p w14:paraId="4F3A3F07" w14:textId="77777777" w:rsidR="00B558EB" w:rsidRPr="005B1D42" w:rsidRDefault="00B558EB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650539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4.8.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Neželjena dejstva</w:t>
      </w:r>
    </w:p>
    <w:p w14:paraId="35864369" w14:textId="42C0B32C" w:rsidR="004E70AD" w:rsidRPr="005B1D42" w:rsidRDefault="004E70AD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FF67EF" w14:textId="22113A8D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bookmarkStart w:id="3" w:name="_Hlk5621356"/>
      <w:r w:rsidRPr="005B1D42">
        <w:rPr>
          <w:noProof/>
          <w:sz w:val="22"/>
          <w:szCs w:val="22"/>
          <w:lang w:val="sr-Latn-ME"/>
        </w:rPr>
        <w:t>Kada se doziranje uskladi sa stvarnim potrebama pojedinca, l</w:t>
      </w:r>
      <w:r w:rsidR="00ED7FD9" w:rsidRPr="005B1D42">
        <w:rPr>
          <w:noProof/>
          <w:sz w:val="22"/>
          <w:szCs w:val="22"/>
          <w:lang w:val="sr-Latn-ME"/>
        </w:rPr>
        <w:t>ij</w:t>
      </w:r>
      <w:r w:rsidRPr="005B1D42">
        <w:rPr>
          <w:noProof/>
          <w:sz w:val="22"/>
          <w:szCs w:val="22"/>
          <w:lang w:val="sr-Latn-ME"/>
        </w:rPr>
        <w:t>ek DIBASE se dobro podnosi, d</w:t>
      </w:r>
      <w:r w:rsidR="00ED7FD9" w:rsidRPr="005B1D42">
        <w:rPr>
          <w:noProof/>
          <w:sz w:val="22"/>
          <w:szCs w:val="22"/>
          <w:lang w:val="sr-Latn-ME"/>
        </w:rPr>
        <w:t>ij</w:t>
      </w:r>
      <w:r w:rsidRPr="005B1D42">
        <w:rPr>
          <w:noProof/>
          <w:sz w:val="22"/>
          <w:szCs w:val="22"/>
          <w:lang w:val="sr-Latn-ME"/>
        </w:rPr>
        <w:t>elom i zahvaljujući sposobnosti organizma da skladišti holekalciferol u masnom i mišićnom tkivu (vid</w:t>
      </w:r>
      <w:r w:rsidR="00ED7FD9" w:rsidRPr="005B1D42">
        <w:rPr>
          <w:noProof/>
          <w:sz w:val="22"/>
          <w:szCs w:val="22"/>
          <w:lang w:val="sr-Latn-ME"/>
        </w:rPr>
        <w:t>j</w:t>
      </w:r>
      <w:r w:rsidRPr="005B1D42">
        <w:rPr>
          <w:noProof/>
          <w:sz w:val="22"/>
          <w:szCs w:val="22"/>
          <w:lang w:val="sr-Latn-ME"/>
        </w:rPr>
        <w:t xml:space="preserve">eti </w:t>
      </w:r>
      <w:r w:rsidR="00FC6A9B" w:rsidRPr="005B1D42">
        <w:rPr>
          <w:noProof/>
          <w:sz w:val="22"/>
          <w:szCs w:val="22"/>
          <w:lang w:val="sr-Latn-ME"/>
        </w:rPr>
        <w:t>dio</w:t>
      </w:r>
      <w:r w:rsidRPr="005B1D42">
        <w:rPr>
          <w:noProof/>
          <w:sz w:val="22"/>
          <w:szCs w:val="22"/>
          <w:lang w:val="sr-Latn-ME"/>
        </w:rPr>
        <w:t xml:space="preserve"> 5.2).</w:t>
      </w:r>
    </w:p>
    <w:p w14:paraId="424331D6" w14:textId="77777777" w:rsidR="00955566" w:rsidRPr="005B1D42" w:rsidRDefault="00955566" w:rsidP="00462581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26DBBBCE" w14:textId="520E8F76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 xml:space="preserve">Neželjene reakcije prijavljene </w:t>
      </w:r>
      <w:r w:rsidR="00ED1E6F" w:rsidRPr="005B1D42">
        <w:rPr>
          <w:noProof/>
          <w:sz w:val="22"/>
          <w:szCs w:val="22"/>
          <w:lang w:val="sr-Latn-ME"/>
        </w:rPr>
        <w:t xml:space="preserve">prilikom </w:t>
      </w:r>
      <w:r w:rsidRPr="005B1D42">
        <w:rPr>
          <w:noProof/>
          <w:sz w:val="22"/>
          <w:szCs w:val="22"/>
          <w:lang w:val="sr-Latn-ME"/>
        </w:rPr>
        <w:t>prim</w:t>
      </w:r>
      <w:r w:rsidR="00ED7FD9" w:rsidRPr="005B1D42">
        <w:rPr>
          <w:noProof/>
          <w:sz w:val="22"/>
          <w:szCs w:val="22"/>
          <w:lang w:val="sr-Latn-ME"/>
        </w:rPr>
        <w:t>j</w:t>
      </w:r>
      <w:r w:rsidRPr="005B1D42">
        <w:rPr>
          <w:noProof/>
          <w:sz w:val="22"/>
          <w:szCs w:val="22"/>
          <w:lang w:val="sr-Latn-ME"/>
        </w:rPr>
        <w:t>ene vitamina D su navedene ispod:</w:t>
      </w:r>
    </w:p>
    <w:p w14:paraId="56C0983D" w14:textId="77777777" w:rsidR="00955566" w:rsidRPr="005B1D42" w:rsidRDefault="00955566" w:rsidP="00462581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359D4429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Poremećaji imunog sistema:</w:t>
      </w:r>
    </w:p>
    <w:p w14:paraId="6D4CB73A" w14:textId="6E2B0609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Reakcije preos</w:t>
      </w:r>
      <w:r w:rsidR="00ED7FD9" w:rsidRPr="005B1D42">
        <w:rPr>
          <w:noProof/>
          <w:sz w:val="22"/>
          <w:szCs w:val="22"/>
          <w:lang w:val="sr-Latn-ME"/>
        </w:rPr>
        <w:t>j</w:t>
      </w:r>
      <w:r w:rsidRPr="005B1D42">
        <w:rPr>
          <w:noProof/>
          <w:sz w:val="22"/>
          <w:szCs w:val="22"/>
          <w:lang w:val="sr-Latn-ME"/>
        </w:rPr>
        <w:t>etljivosti.</w:t>
      </w:r>
    </w:p>
    <w:p w14:paraId="331E2036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25C68013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Poremećaji metabolizma i ishrane:</w:t>
      </w:r>
    </w:p>
    <w:p w14:paraId="4B2C252E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Slabost, anoreksija, žeđ.</w:t>
      </w:r>
    </w:p>
    <w:p w14:paraId="779B2C1A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16F7CBD9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Psihijatrijski poremećaji:</w:t>
      </w:r>
    </w:p>
    <w:p w14:paraId="3B53F49C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Pospanost, konfuzija.</w:t>
      </w:r>
    </w:p>
    <w:p w14:paraId="1EDBE807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756128D6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Poremećaji nervnog sistema:</w:t>
      </w:r>
    </w:p>
    <w:p w14:paraId="2B6880D8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Glavobolja.</w:t>
      </w:r>
    </w:p>
    <w:p w14:paraId="6323B5E9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6C068482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 xml:space="preserve">Poremećaji gastrointestinalnog sistema: </w:t>
      </w:r>
    </w:p>
    <w:p w14:paraId="51165966" w14:textId="13A28CCB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Konstipacija, nadimanje, bol u abdomenu, mučnina, povraćanje, dijareja, metaln</w:t>
      </w:r>
      <w:r w:rsidR="002D08BC" w:rsidRPr="005B1D42">
        <w:rPr>
          <w:noProof/>
          <w:sz w:val="22"/>
          <w:szCs w:val="22"/>
          <w:lang w:val="sr-Latn-ME"/>
        </w:rPr>
        <w:t>i</w:t>
      </w:r>
      <w:r w:rsidRPr="005B1D42">
        <w:rPr>
          <w:noProof/>
          <w:sz w:val="22"/>
          <w:szCs w:val="22"/>
          <w:lang w:val="sr-Latn-ME"/>
        </w:rPr>
        <w:t xml:space="preserve"> ukus</w:t>
      </w:r>
      <w:r w:rsidR="002D08BC" w:rsidRPr="005B1D42">
        <w:rPr>
          <w:noProof/>
          <w:sz w:val="22"/>
          <w:szCs w:val="22"/>
          <w:lang w:val="sr-Latn-ME"/>
        </w:rPr>
        <w:t xml:space="preserve"> u ustima</w:t>
      </w:r>
      <w:r w:rsidRPr="005B1D42">
        <w:rPr>
          <w:noProof/>
          <w:sz w:val="22"/>
          <w:szCs w:val="22"/>
          <w:lang w:val="sr-Latn-ME"/>
        </w:rPr>
        <w:t>, suva usta.</w:t>
      </w:r>
    </w:p>
    <w:p w14:paraId="617086BA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34ED8442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Poremećaji kože i potkožnog tkiva:</w:t>
      </w:r>
    </w:p>
    <w:p w14:paraId="16F7A707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Osip, svrab.</w:t>
      </w:r>
    </w:p>
    <w:p w14:paraId="35CF8339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74E9E6B7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Poremećaji bubrega i urinarnog trakta:</w:t>
      </w:r>
    </w:p>
    <w:p w14:paraId="4C44DF7C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Nefrokalcinoza, poliurija, polidipsija, insuficijencija bubrega.</w:t>
      </w:r>
    </w:p>
    <w:p w14:paraId="093E6C32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</w:p>
    <w:p w14:paraId="3AC96CF7" w14:textId="77777777" w:rsidR="00955566" w:rsidRPr="005B1D42" w:rsidRDefault="00955566" w:rsidP="00462581">
      <w:pPr>
        <w:jc w:val="both"/>
        <w:rPr>
          <w:i/>
          <w:noProof/>
          <w:sz w:val="22"/>
          <w:szCs w:val="22"/>
          <w:lang w:val="sr-Latn-ME"/>
        </w:rPr>
      </w:pPr>
      <w:r w:rsidRPr="005B1D42">
        <w:rPr>
          <w:i/>
          <w:noProof/>
          <w:sz w:val="22"/>
          <w:szCs w:val="22"/>
          <w:lang w:val="sr-Latn-ME"/>
        </w:rPr>
        <w:t>Laboratorijska ispitivanja:</w:t>
      </w:r>
    </w:p>
    <w:p w14:paraId="5C661F6A" w14:textId="77777777" w:rsidR="00955566" w:rsidRPr="005B1D42" w:rsidRDefault="00955566" w:rsidP="00462581">
      <w:pPr>
        <w:jc w:val="both"/>
        <w:rPr>
          <w:noProof/>
          <w:sz w:val="22"/>
          <w:szCs w:val="22"/>
          <w:lang w:val="sr-Latn-ME"/>
        </w:rPr>
      </w:pPr>
      <w:r w:rsidRPr="005B1D42">
        <w:rPr>
          <w:noProof/>
          <w:sz w:val="22"/>
          <w:szCs w:val="22"/>
          <w:lang w:val="sr-Latn-ME"/>
        </w:rPr>
        <w:t>Hiperkalciurija, hiperkalcemija.</w:t>
      </w:r>
    </w:p>
    <w:bookmarkEnd w:id="3"/>
    <w:p w14:paraId="0E3EEF44" w14:textId="77777777" w:rsidR="00955566" w:rsidRPr="005B1D42" w:rsidRDefault="00955566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D4D59A" w14:textId="77777777" w:rsidR="005A23D2" w:rsidRPr="005B1D42" w:rsidRDefault="005A23D2" w:rsidP="00462581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5B1D4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2137991" w14:textId="77777777" w:rsidR="005A23D2" w:rsidRPr="005B1D42" w:rsidRDefault="005A23D2" w:rsidP="00462581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5B1D42">
        <w:rPr>
          <w:rFonts w:eastAsia="Calibri"/>
          <w:sz w:val="22"/>
          <w:szCs w:val="22"/>
          <w:lang w:val="sr-Latn-ME"/>
        </w:rPr>
        <w:t>inuirano praćenje odnosa korist</w:t>
      </w:r>
      <w:r w:rsidRPr="005B1D4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5B1D42">
        <w:rPr>
          <w:rFonts w:eastAsia="Calibri"/>
          <w:sz w:val="22"/>
          <w:szCs w:val="22"/>
          <w:lang w:val="sr-Latn-ME"/>
        </w:rPr>
        <w:t xml:space="preserve"> </w:t>
      </w:r>
      <w:r w:rsidRPr="005B1D4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5B1D42">
        <w:rPr>
          <w:rFonts w:eastAsia="Calibri"/>
          <w:sz w:val="22"/>
          <w:szCs w:val="22"/>
          <w:lang w:val="sr-Latn-ME"/>
        </w:rPr>
        <w:t>Institutu</w:t>
      </w:r>
      <w:r w:rsidRPr="005B1D4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5B1D42">
        <w:rPr>
          <w:rFonts w:eastAsia="Calibri"/>
          <w:sz w:val="22"/>
          <w:szCs w:val="22"/>
          <w:lang w:val="sr-Latn-ME"/>
        </w:rPr>
        <w:t xml:space="preserve"> </w:t>
      </w:r>
      <w:r w:rsidRPr="005B1D42">
        <w:rPr>
          <w:rFonts w:eastAsia="Calibri"/>
          <w:sz w:val="22"/>
          <w:szCs w:val="22"/>
          <w:lang w:val="sr-Latn-ME"/>
        </w:rPr>
        <w:t>(</w:t>
      </w:r>
      <w:r w:rsidR="004E70AD" w:rsidRPr="005B1D42">
        <w:rPr>
          <w:rFonts w:eastAsia="Calibri"/>
          <w:sz w:val="22"/>
          <w:szCs w:val="22"/>
          <w:lang w:val="sr-Latn-ME"/>
        </w:rPr>
        <w:t>CInMED</w:t>
      </w:r>
      <w:r w:rsidRPr="005B1D42">
        <w:rPr>
          <w:rFonts w:eastAsia="Calibri"/>
          <w:sz w:val="22"/>
          <w:szCs w:val="22"/>
          <w:lang w:val="sr-Latn-ME"/>
        </w:rPr>
        <w:t>):</w:t>
      </w:r>
    </w:p>
    <w:p w14:paraId="502B9CFF" w14:textId="77777777" w:rsidR="005A23D2" w:rsidRPr="005B1D42" w:rsidRDefault="004E70AD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lastRenderedPageBreak/>
        <w:t xml:space="preserve">Institut </w:t>
      </w:r>
      <w:r w:rsidR="005A23D2" w:rsidRPr="005B1D4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432BD00" w14:textId="77777777" w:rsidR="005A23D2" w:rsidRPr="005B1D42" w:rsidRDefault="005A23D2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Odjeljenje za farmakovigilancu</w:t>
      </w:r>
    </w:p>
    <w:p w14:paraId="19898517" w14:textId="77777777" w:rsidR="00EA5765" w:rsidRPr="005B1D42" w:rsidRDefault="005A23D2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BC37FE6" w14:textId="77777777" w:rsidR="00EA5765" w:rsidRPr="005B1D42" w:rsidRDefault="00EA5765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60E6B67" w14:textId="77777777" w:rsidR="005A23D2" w:rsidRPr="005B1D42" w:rsidRDefault="005A23D2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tel: +382 (0) 20 310 280</w:t>
      </w:r>
    </w:p>
    <w:p w14:paraId="123B27E3" w14:textId="77777777" w:rsidR="00EA5765" w:rsidRPr="005B1D42" w:rsidRDefault="005A23D2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fax:</w:t>
      </w:r>
      <w:r w:rsidR="00EA5765" w:rsidRPr="005B1D42">
        <w:rPr>
          <w:rFonts w:eastAsia="Calibri"/>
          <w:sz w:val="22"/>
          <w:szCs w:val="22"/>
          <w:lang w:val="sr-Latn-ME"/>
        </w:rPr>
        <w:t xml:space="preserve"> </w:t>
      </w:r>
      <w:r w:rsidRPr="005B1D42">
        <w:rPr>
          <w:rFonts w:eastAsia="Calibri"/>
          <w:sz w:val="22"/>
          <w:szCs w:val="22"/>
          <w:lang w:val="sr-Latn-ME"/>
        </w:rPr>
        <w:t>+382 (0) 20 310 581</w:t>
      </w:r>
    </w:p>
    <w:p w14:paraId="0275DE4D" w14:textId="77777777" w:rsidR="005A23D2" w:rsidRPr="005B1D42" w:rsidRDefault="00B62F7D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5B1D4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EDDD13D" w14:textId="77777777" w:rsidR="00EA5765" w:rsidRPr="005B1D42" w:rsidRDefault="00B62F7D" w:rsidP="0046258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5B1D4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EB103E1" w14:textId="77777777" w:rsidR="005A23D2" w:rsidRPr="005B1D42" w:rsidRDefault="005A23D2" w:rsidP="0046258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1D42">
        <w:rPr>
          <w:rFonts w:eastAsia="Calibri"/>
          <w:sz w:val="22"/>
          <w:szCs w:val="22"/>
          <w:lang w:val="sr-Latn-ME"/>
        </w:rPr>
        <w:t>putem IS zdravstvene zaštite</w:t>
      </w:r>
    </w:p>
    <w:p w14:paraId="07EE9CBE" w14:textId="77777777" w:rsidR="00836B35" w:rsidRPr="005B1D42" w:rsidRDefault="00836B35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FFDBDE" w14:textId="77777777" w:rsidR="00CD6F02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4.9.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Predoziranje</w:t>
      </w:r>
      <w:r w:rsidR="002846DB" w:rsidRPr="005B1D42">
        <w:rPr>
          <w:b/>
          <w:bCs/>
          <w:sz w:val="22"/>
          <w:szCs w:val="22"/>
          <w:lang w:val="sr-Latn-ME"/>
        </w:rPr>
        <w:t xml:space="preserve"> </w:t>
      </w:r>
    </w:p>
    <w:p w14:paraId="1E294D86" w14:textId="77777777" w:rsidR="00955566" w:rsidRPr="005B1D42" w:rsidRDefault="00955566" w:rsidP="00462581">
      <w:pPr>
        <w:jc w:val="both"/>
        <w:rPr>
          <w:sz w:val="22"/>
          <w:szCs w:val="22"/>
          <w:lang w:val="sr-Latn-ME"/>
        </w:rPr>
      </w:pPr>
    </w:p>
    <w:p w14:paraId="20A34E99" w14:textId="6422E09B" w:rsidR="00955566" w:rsidRDefault="00955566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Prekinite sa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enom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eka DIBASE kada kalcemija pređe 10.6 mg/d</w:t>
      </w:r>
      <w:r w:rsidR="00623679" w:rsidRPr="005B1D42">
        <w:rPr>
          <w:sz w:val="22"/>
          <w:szCs w:val="22"/>
          <w:lang w:val="sr-Latn-ME"/>
        </w:rPr>
        <w:t>l</w:t>
      </w:r>
      <w:r w:rsidRPr="005B1D42">
        <w:rPr>
          <w:sz w:val="22"/>
          <w:szCs w:val="22"/>
          <w:lang w:val="sr-Latn-ME"/>
        </w:rPr>
        <w:t xml:space="preserve"> (2.65 mmol/</w:t>
      </w:r>
      <w:r w:rsidR="00623679" w:rsidRPr="005B1D42">
        <w:rPr>
          <w:sz w:val="22"/>
          <w:szCs w:val="22"/>
          <w:lang w:val="sr-Latn-ME"/>
        </w:rPr>
        <w:t>l</w:t>
      </w:r>
      <w:r w:rsidRPr="005B1D42">
        <w:rPr>
          <w:sz w:val="22"/>
          <w:szCs w:val="22"/>
          <w:lang w:val="sr-Latn-ME"/>
        </w:rPr>
        <w:t>) ili ukoliko kalciurija pređe 300 mg/24 sata kod odraslih ili 4-6</w:t>
      </w:r>
      <w:r w:rsidR="00555A53" w:rsidRPr="005B1D42">
        <w:rPr>
          <w:sz w:val="22"/>
          <w:szCs w:val="22"/>
          <w:lang w:val="sr-Latn-ME"/>
        </w:rPr>
        <w:t xml:space="preserve"> </w:t>
      </w:r>
      <w:r w:rsidRPr="005B1D42">
        <w:rPr>
          <w:sz w:val="22"/>
          <w:szCs w:val="22"/>
          <w:lang w:val="sr-Latn-ME"/>
        </w:rPr>
        <w:t>mg/kg/dnevno kod 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ece. Predoziranje se manifestuje kao hiperkalciurija i hiperkalcemija, sa sl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edećim simptomima: mučnina, povraćanje, žeđ, polidipsija, poliurija, zatvor i dehidratacija.</w:t>
      </w:r>
    </w:p>
    <w:p w14:paraId="290F865B" w14:textId="77777777" w:rsidR="00462581" w:rsidRPr="005B1D42" w:rsidRDefault="00462581" w:rsidP="00462581">
      <w:pPr>
        <w:jc w:val="both"/>
        <w:rPr>
          <w:sz w:val="22"/>
          <w:szCs w:val="22"/>
          <w:lang w:val="sr-Latn-ME"/>
        </w:rPr>
      </w:pPr>
    </w:p>
    <w:p w14:paraId="340AF7FF" w14:textId="71DCCD67" w:rsidR="00955566" w:rsidRPr="005B1D42" w:rsidRDefault="00955566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Hronično predoziranje može da dovede do kalcifikacije krvnih sudova i organa usl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ed hiperkalcijemije.</w:t>
      </w:r>
    </w:p>
    <w:p w14:paraId="23D8BA82" w14:textId="4F672AC3" w:rsidR="00955566" w:rsidRPr="005B1D42" w:rsidRDefault="00955566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Predoziranje tokom prvih 6 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eseci trudnoće može da ima toksično dejstvo na fetus: postoji povezanost između prekom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ernog unosa ili pojačane os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etljivosti majke na vitamin D tokom trudnoće i odloženog mentalnog i fizičkog razvoja 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eteta, supravalvularne stenoze aorte i retinopatije. Hiperkalcemija kod majke može takođe da dovede do supresije paratiroidne funkcije kod odojčadi, što može da dovede do hipokalcemije, tetanije i konvulzija.</w:t>
      </w:r>
    </w:p>
    <w:p w14:paraId="3A6A42F5" w14:textId="199785E6" w:rsidR="00555A53" w:rsidRPr="005B1D42" w:rsidRDefault="00555A53" w:rsidP="00462581">
      <w:pPr>
        <w:jc w:val="both"/>
        <w:rPr>
          <w:sz w:val="22"/>
          <w:szCs w:val="22"/>
          <w:lang w:val="sr-Latn-ME"/>
        </w:rPr>
      </w:pPr>
    </w:p>
    <w:p w14:paraId="3052BBAF" w14:textId="125F2EE4" w:rsidR="00555A53" w:rsidRPr="005B1D42" w:rsidRDefault="00555A53" w:rsidP="00462581">
      <w:pPr>
        <w:jc w:val="both"/>
        <w:rPr>
          <w:i/>
          <w:sz w:val="22"/>
          <w:szCs w:val="22"/>
          <w:lang w:val="sr-Latn-ME"/>
        </w:rPr>
      </w:pPr>
      <w:r w:rsidRPr="005B1D42">
        <w:rPr>
          <w:i/>
          <w:sz w:val="22"/>
          <w:szCs w:val="22"/>
          <w:lang w:val="sr-Latn-ME"/>
        </w:rPr>
        <w:t>L</w:t>
      </w:r>
      <w:r w:rsidR="00ED7FD9" w:rsidRPr="005B1D42">
        <w:rPr>
          <w:i/>
          <w:sz w:val="22"/>
          <w:szCs w:val="22"/>
          <w:lang w:val="sr-Latn-ME"/>
        </w:rPr>
        <w:t>ij</w:t>
      </w:r>
      <w:r w:rsidRPr="005B1D42">
        <w:rPr>
          <w:i/>
          <w:sz w:val="22"/>
          <w:szCs w:val="22"/>
          <w:lang w:val="sr-Latn-ME"/>
        </w:rPr>
        <w:t xml:space="preserve">ečenje u slučaju predoziranja </w:t>
      </w:r>
    </w:p>
    <w:p w14:paraId="64F89AAD" w14:textId="3D948BEC" w:rsidR="00555A53" w:rsidRPr="005B1D42" w:rsidRDefault="00555A53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Prekinite sa prim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enom l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eka DIBASE i nastavite sa rehidratacijom</w:t>
      </w:r>
      <w:r w:rsidR="00F41123" w:rsidRPr="005B1D42">
        <w:rPr>
          <w:sz w:val="22"/>
          <w:szCs w:val="22"/>
          <w:lang w:val="sr-Latn-ME"/>
        </w:rPr>
        <w:t>.</w:t>
      </w:r>
    </w:p>
    <w:p w14:paraId="5DA2D25A" w14:textId="77777777" w:rsidR="00CD6F02" w:rsidRPr="005B1D42" w:rsidRDefault="00CD6F02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D655B3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3A8F3A" w14:textId="742B1BCC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5.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FARMAKOLOŠK</w:t>
      </w:r>
      <w:r w:rsidR="000D425A" w:rsidRPr="005B1D42">
        <w:rPr>
          <w:b/>
          <w:bCs/>
          <w:sz w:val="22"/>
          <w:szCs w:val="22"/>
          <w:lang w:val="sr-Latn-ME"/>
        </w:rPr>
        <w:t>I</w:t>
      </w:r>
      <w:r w:rsidRPr="005B1D42">
        <w:rPr>
          <w:b/>
          <w:bCs/>
          <w:sz w:val="22"/>
          <w:szCs w:val="22"/>
          <w:lang w:val="sr-Latn-ME"/>
        </w:rPr>
        <w:t xml:space="preserve"> PODACI</w:t>
      </w:r>
    </w:p>
    <w:p w14:paraId="72956ACD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2F264B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5.1.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Farmakodinamski podaci</w:t>
      </w:r>
      <w:r w:rsidR="003A7059" w:rsidRPr="005B1D42">
        <w:rPr>
          <w:b/>
          <w:bCs/>
          <w:sz w:val="22"/>
          <w:szCs w:val="22"/>
          <w:lang w:val="sr-Latn-ME"/>
        </w:rPr>
        <w:t xml:space="preserve"> </w:t>
      </w:r>
    </w:p>
    <w:p w14:paraId="50DCF3C5" w14:textId="77777777" w:rsidR="00F45F77" w:rsidRPr="005B1D42" w:rsidRDefault="00F45F77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9D2754" w14:textId="327B0A22" w:rsidR="00EC51A2" w:rsidRPr="005B1D42" w:rsidRDefault="0072020E" w:rsidP="00462581">
      <w:pPr>
        <w:jc w:val="both"/>
        <w:rPr>
          <w:b/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Farmakoterapijska grupa:</w:t>
      </w:r>
      <w:r w:rsidR="00EC51A2" w:rsidRPr="005B1D42">
        <w:rPr>
          <w:bCs/>
          <w:sz w:val="22"/>
          <w:szCs w:val="22"/>
          <w:lang w:val="sr-Latn-ME"/>
        </w:rPr>
        <w:t xml:space="preserve"> vitamin D i analozi vitamina D, holekalciferol</w:t>
      </w:r>
    </w:p>
    <w:p w14:paraId="2FB8BBB8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064CC5" w14:textId="6CE3AC72" w:rsidR="0072020E" w:rsidRDefault="0072020E" w:rsidP="00462581">
      <w:pPr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lang w:val="sr-Latn-ME"/>
        </w:rPr>
        <w:t>ATC kod:</w:t>
      </w:r>
      <w:r w:rsidR="00EC51A2" w:rsidRPr="005B1D42">
        <w:rPr>
          <w:b/>
          <w:bCs/>
          <w:sz w:val="22"/>
          <w:szCs w:val="22"/>
          <w:lang w:val="sr-Latn-ME"/>
        </w:rPr>
        <w:t xml:space="preserve"> </w:t>
      </w:r>
      <w:r w:rsidR="00EC51A2" w:rsidRPr="00462581">
        <w:rPr>
          <w:bCs/>
          <w:sz w:val="22"/>
          <w:szCs w:val="22"/>
          <w:lang w:val="sr-Latn-ME"/>
        </w:rPr>
        <w:t>A11CC05</w:t>
      </w:r>
    </w:p>
    <w:p w14:paraId="755B8759" w14:textId="77777777" w:rsidR="00462581" w:rsidRPr="005B1D42" w:rsidRDefault="00462581" w:rsidP="00462581">
      <w:pPr>
        <w:jc w:val="both"/>
        <w:rPr>
          <w:b/>
          <w:bCs/>
          <w:sz w:val="22"/>
          <w:szCs w:val="22"/>
          <w:lang w:val="sr-Latn-ME"/>
        </w:rPr>
      </w:pPr>
    </w:p>
    <w:p w14:paraId="1C66BBE3" w14:textId="62BAFE3D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Koriguje se deficit vitamina D i pojačava </w:t>
      </w:r>
      <w:r w:rsidR="00623679" w:rsidRPr="005B1D42">
        <w:rPr>
          <w:sz w:val="22"/>
          <w:szCs w:val="22"/>
          <w:lang w:val="sr-Latn-ME"/>
        </w:rPr>
        <w:t>re</w:t>
      </w:r>
      <w:r w:rsidRPr="005B1D42">
        <w:rPr>
          <w:sz w:val="22"/>
          <w:szCs w:val="22"/>
          <w:lang w:val="sr-Latn-ME"/>
        </w:rPr>
        <w:t>sorpcija kalcijuma u cr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evima.</w:t>
      </w:r>
    </w:p>
    <w:p w14:paraId="55BC13FB" w14:textId="77777777" w:rsidR="002E37A5" w:rsidRPr="005B1D42" w:rsidRDefault="002E37A5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576C09" w14:textId="3E6A80DA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5.2.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Farmakokinetički podaci</w:t>
      </w:r>
      <w:r w:rsidR="003A7059" w:rsidRPr="005B1D42">
        <w:rPr>
          <w:b/>
          <w:bCs/>
          <w:sz w:val="22"/>
          <w:szCs w:val="22"/>
          <w:lang w:val="sr-Latn-ME"/>
        </w:rPr>
        <w:t xml:space="preserve"> </w:t>
      </w:r>
    </w:p>
    <w:p w14:paraId="16DE1140" w14:textId="604886DC" w:rsidR="00EC51A2" w:rsidRPr="005B1D42" w:rsidRDefault="00EC51A2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B7E14F" w14:textId="3AB85023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bookmarkStart w:id="4" w:name="_Hlk5621462"/>
      <w:r w:rsidRPr="005B1D42">
        <w:rPr>
          <w:sz w:val="22"/>
          <w:szCs w:val="22"/>
          <w:lang w:val="sr-Latn-ME"/>
        </w:rPr>
        <w:t xml:space="preserve">Kao i kod drugih vitamina rastvorljivih u masti, </w:t>
      </w:r>
      <w:r w:rsidR="00623679" w:rsidRPr="005B1D42">
        <w:rPr>
          <w:sz w:val="22"/>
          <w:szCs w:val="22"/>
          <w:lang w:val="sr-Latn-ME"/>
        </w:rPr>
        <w:t>re</w:t>
      </w:r>
      <w:r w:rsidRPr="005B1D42">
        <w:rPr>
          <w:sz w:val="22"/>
          <w:szCs w:val="22"/>
          <w:lang w:val="sr-Latn-ME"/>
        </w:rPr>
        <w:t>sorpcija holekalciferola u cr</w:t>
      </w:r>
      <w:r w:rsidR="00ED7FD9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evima je potpomognuta istovremenim unosom hrane koja sadrži masnoće.</w:t>
      </w:r>
    </w:p>
    <w:p w14:paraId="548ACF3C" w14:textId="4BE730B8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Holekalciferol je prisutan u krvotoku zajedno sa specifičnim α-globulinima, koji ga transportuju do jetre</w:t>
      </w:r>
      <w:r w:rsidR="00F41123" w:rsidRPr="005B1D42">
        <w:rPr>
          <w:sz w:val="22"/>
          <w:szCs w:val="22"/>
          <w:lang w:val="sr-Latn-ME"/>
        </w:rPr>
        <w:t xml:space="preserve"> </w:t>
      </w:r>
      <w:r w:rsidRPr="005B1D42">
        <w:rPr>
          <w:sz w:val="22"/>
          <w:szCs w:val="22"/>
          <w:lang w:val="sr-Latn-ME"/>
        </w:rPr>
        <w:t>gd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 dolazi do hidroksilacije do 25-hidroksiholekalciferola. Druga hidroksilacija se događa u bubrezima, gd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</w:t>
      </w:r>
      <w:r w:rsidR="00623679" w:rsidRPr="005B1D42">
        <w:rPr>
          <w:sz w:val="22"/>
          <w:szCs w:val="22"/>
          <w:lang w:val="sr-Latn-ME"/>
        </w:rPr>
        <w:t xml:space="preserve"> </w:t>
      </w:r>
      <w:r w:rsidRPr="005B1D42">
        <w:rPr>
          <w:sz w:val="22"/>
          <w:szCs w:val="22"/>
          <w:lang w:val="sr-Latn-ME"/>
        </w:rPr>
        <w:t>se 25-hidroksiholekalciferol transformiše u 1,25-dihidroksiholekalciferol, aktivni metabolit vitamina D, koji je odgovoran za uticaj na metabolizam fosfata i kalcijuma.</w:t>
      </w:r>
    </w:p>
    <w:p w14:paraId="6C3D0C22" w14:textId="0ED83346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bookmarkStart w:id="5" w:name="_Hlk5621475"/>
      <w:bookmarkEnd w:id="4"/>
      <w:r w:rsidRPr="005B1D42">
        <w:rPr>
          <w:sz w:val="22"/>
          <w:szCs w:val="22"/>
          <w:lang w:val="sr-Latn-ME"/>
        </w:rPr>
        <w:t>Nemetabolisani holekalciferol se akumulira u masnom i mišićnom tkivu kako bi bio dostupan u slučaju potreba organizma. Kod prekom</w:t>
      </w:r>
      <w:r w:rsidR="00ED7FD9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erno gojaznih ljudi, bioraspoloživost vitamina D je smanjena zbog viška masnog tkiva.</w:t>
      </w:r>
    </w:p>
    <w:p w14:paraId="7D075E4C" w14:textId="77777777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Vitamin D se eliminiše putem fecesa i urina.</w:t>
      </w:r>
    </w:p>
    <w:bookmarkEnd w:id="5"/>
    <w:p w14:paraId="53D865AB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C12724" w14:textId="46A74488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5.3.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Pre</w:t>
      </w:r>
      <w:r w:rsidR="002107A2" w:rsidRPr="005B1D42">
        <w:rPr>
          <w:b/>
          <w:bCs/>
          <w:sz w:val="22"/>
          <w:szCs w:val="22"/>
          <w:lang w:val="sr-Latn-ME"/>
        </w:rPr>
        <w:t>t</w:t>
      </w:r>
      <w:r w:rsidRPr="005B1D42">
        <w:rPr>
          <w:b/>
          <w:bCs/>
          <w:sz w:val="22"/>
          <w:szCs w:val="22"/>
          <w:lang w:val="sr-Latn-ME"/>
        </w:rPr>
        <w:t xml:space="preserve">klinički podaci o bezbjednosti </w:t>
      </w:r>
    </w:p>
    <w:p w14:paraId="200757A3" w14:textId="77777777" w:rsidR="00836B35" w:rsidRPr="005B1D42" w:rsidRDefault="00836B35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7219CF" w14:textId="77777777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bookmarkStart w:id="6" w:name="_Hlk5621490"/>
      <w:r w:rsidRPr="005B1D42">
        <w:rPr>
          <w:sz w:val="22"/>
          <w:szCs w:val="22"/>
          <w:lang w:val="sr-Latn-ME"/>
        </w:rPr>
        <w:t xml:space="preserve">Prekliničke studije sprovedene na raznim vrstama životinja su pokazale da se toksični efekti javljaju kod životinja pri dozama mnogo višim od doza potrebnih za terapijsku upotrebu kod ljudi. </w:t>
      </w:r>
    </w:p>
    <w:p w14:paraId="0A55056D" w14:textId="77777777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U studijama toksičnosti ponovljene doze, najčešći uticaji su bili: pojačana kalciurija, smanjena fosfaturija i proteinurija.</w:t>
      </w:r>
    </w:p>
    <w:p w14:paraId="7ABDD74C" w14:textId="7E75658F" w:rsidR="00EC51A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lastRenderedPageBreak/>
        <w:t>Hiperkalcemija je prijavljena pri prim</w:t>
      </w:r>
      <w:r w:rsidR="0095738E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eni visokih doza. U slučajevima produžene hiperkalcemije, najčešće histološke alteracije (kalcifikacija) su uključivale bubrege, srce, aortu, testise, timus i cr</w:t>
      </w:r>
      <w:r w:rsidR="0095738E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evnu sluznicu.</w:t>
      </w:r>
    </w:p>
    <w:p w14:paraId="78C61495" w14:textId="77777777" w:rsidR="00462581" w:rsidRPr="005B1D42" w:rsidRDefault="00462581" w:rsidP="00462581">
      <w:pPr>
        <w:jc w:val="both"/>
        <w:rPr>
          <w:sz w:val="22"/>
          <w:szCs w:val="22"/>
          <w:lang w:val="sr-Latn-ME"/>
        </w:rPr>
      </w:pPr>
    </w:p>
    <w:p w14:paraId="5FF9815C" w14:textId="45B0F0BE" w:rsidR="00EC51A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Studije reproduktivne toksičnosti su pokazale da holekalciferol nema negativne uticaje na plodnost i reprodukciju.</w:t>
      </w:r>
    </w:p>
    <w:p w14:paraId="301094C6" w14:textId="77777777" w:rsidR="00462581" w:rsidRPr="005B1D42" w:rsidRDefault="00462581" w:rsidP="00462581">
      <w:pPr>
        <w:jc w:val="both"/>
        <w:rPr>
          <w:sz w:val="22"/>
          <w:szCs w:val="22"/>
          <w:lang w:val="sr-Latn-ME"/>
        </w:rPr>
      </w:pPr>
    </w:p>
    <w:p w14:paraId="01E47EEB" w14:textId="77777777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Pri dozama sličnim terapijskim dozama, holekalciferol nema teratogeno dejstvo.</w:t>
      </w:r>
    </w:p>
    <w:p w14:paraId="35E59E57" w14:textId="77777777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Holekalciferol nema mutageni niti karcinogeni potencijal.</w:t>
      </w:r>
    </w:p>
    <w:bookmarkEnd w:id="6"/>
    <w:p w14:paraId="54B9CD99" w14:textId="77777777" w:rsidR="00396DFD" w:rsidRPr="005B1D42" w:rsidRDefault="00396DFD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4436A8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114810" w14:textId="0EF7F37A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FARMACEUTSKI PODACI</w:t>
      </w:r>
    </w:p>
    <w:p w14:paraId="6D0673B6" w14:textId="77777777" w:rsidR="00836B35" w:rsidRPr="005B1D42" w:rsidRDefault="00836B35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920E85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6.1.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Lista pomoćnih supstanci</w:t>
      </w:r>
      <w:r w:rsidR="002E0135" w:rsidRPr="005B1D42">
        <w:rPr>
          <w:b/>
          <w:bCs/>
          <w:sz w:val="22"/>
          <w:szCs w:val="22"/>
          <w:lang w:val="sr-Latn-ME"/>
        </w:rPr>
        <w:t xml:space="preserve"> (ekscipijenasa)</w:t>
      </w:r>
    </w:p>
    <w:p w14:paraId="2E7FEA41" w14:textId="77777777" w:rsidR="002107A2" w:rsidRPr="005B1D42" w:rsidRDefault="002107A2" w:rsidP="00462581">
      <w:pPr>
        <w:jc w:val="both"/>
        <w:rPr>
          <w:sz w:val="22"/>
          <w:szCs w:val="22"/>
          <w:lang w:val="sr-Latn-ME"/>
        </w:rPr>
      </w:pPr>
    </w:p>
    <w:p w14:paraId="709E11E2" w14:textId="6ECFA1D2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Rafinisano maslinovo ulje</w:t>
      </w:r>
    </w:p>
    <w:p w14:paraId="1D43D278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EE0A61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6.2.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Inkompatibilnost</w:t>
      </w:r>
      <w:r w:rsidR="002846DB" w:rsidRPr="005B1D42">
        <w:rPr>
          <w:b/>
          <w:bCs/>
          <w:sz w:val="22"/>
          <w:szCs w:val="22"/>
          <w:lang w:val="sr-Latn-ME"/>
        </w:rPr>
        <w:t>i</w:t>
      </w:r>
    </w:p>
    <w:p w14:paraId="7D4DE146" w14:textId="77777777" w:rsidR="002107A2" w:rsidRPr="005B1D42" w:rsidRDefault="002107A2" w:rsidP="00462581">
      <w:pPr>
        <w:jc w:val="both"/>
        <w:rPr>
          <w:sz w:val="22"/>
          <w:szCs w:val="22"/>
          <w:lang w:val="sr-Latn-ME"/>
        </w:rPr>
      </w:pPr>
    </w:p>
    <w:p w14:paraId="3CFD7412" w14:textId="607B8298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Ne postoje poznate inkompatibilnosti sa drugim l</w:t>
      </w:r>
      <w:r w:rsidR="0095738E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ekovima.</w:t>
      </w:r>
    </w:p>
    <w:p w14:paraId="4010FB56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86F2BF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>6.3.</w:t>
      </w:r>
      <w:r w:rsidR="00C05DF8" w:rsidRPr="005B1D42">
        <w:rPr>
          <w:b/>
          <w:bCs/>
          <w:sz w:val="22"/>
          <w:szCs w:val="22"/>
          <w:lang w:val="sr-Latn-ME"/>
        </w:rPr>
        <w:t xml:space="preserve">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Rok upotrebe</w:t>
      </w:r>
    </w:p>
    <w:p w14:paraId="4577A18A" w14:textId="77777777" w:rsidR="002107A2" w:rsidRPr="005B1D42" w:rsidRDefault="002107A2" w:rsidP="00462581">
      <w:pPr>
        <w:jc w:val="both"/>
        <w:rPr>
          <w:sz w:val="22"/>
          <w:szCs w:val="22"/>
          <w:lang w:val="sr-Latn-ME"/>
        </w:rPr>
      </w:pPr>
    </w:p>
    <w:p w14:paraId="54676A93" w14:textId="789D4BF3" w:rsidR="00EC51A2" w:rsidRPr="005B1D42" w:rsidRDefault="00EC51A2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2 godine.</w:t>
      </w:r>
    </w:p>
    <w:p w14:paraId="621B87CA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353AA1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6.4.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5B1D42">
        <w:rPr>
          <w:b/>
          <w:bCs/>
          <w:sz w:val="22"/>
          <w:szCs w:val="22"/>
          <w:lang w:val="sr-Latn-ME"/>
        </w:rPr>
        <w:t xml:space="preserve"> lijeka</w:t>
      </w:r>
    </w:p>
    <w:p w14:paraId="3253C042" w14:textId="77777777" w:rsidR="002107A2" w:rsidRPr="005B1D42" w:rsidRDefault="002107A2" w:rsidP="004625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617220E" w14:textId="61FC97AD" w:rsidR="00EC2532" w:rsidRPr="005B1D42" w:rsidRDefault="00EC51A2" w:rsidP="004625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Čuvati na temperaturi do 30°C u originalnom pakovanju, zaštićeno od sv</w:t>
      </w:r>
      <w:r w:rsidR="0095738E" w:rsidRPr="005B1D42">
        <w:rPr>
          <w:sz w:val="22"/>
          <w:szCs w:val="22"/>
          <w:lang w:val="sr-Latn-ME"/>
        </w:rPr>
        <w:t>j</w:t>
      </w:r>
      <w:r w:rsidRPr="005B1D42">
        <w:rPr>
          <w:sz w:val="22"/>
          <w:szCs w:val="22"/>
          <w:lang w:val="sr-Latn-ME"/>
        </w:rPr>
        <w:t>etlosti. Ne čuvati u frižideru i ne zamrzavati</w:t>
      </w:r>
      <w:r w:rsidR="00F41123" w:rsidRPr="005B1D42">
        <w:rPr>
          <w:sz w:val="22"/>
          <w:szCs w:val="22"/>
          <w:lang w:val="sr-Latn-ME"/>
        </w:rPr>
        <w:t>.</w:t>
      </w:r>
    </w:p>
    <w:p w14:paraId="1B351F17" w14:textId="77777777" w:rsidR="00EC51A2" w:rsidRPr="005B1D42" w:rsidRDefault="00EC51A2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825EAE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6.5.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="002846DB" w:rsidRPr="005B1D4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5B1D42">
        <w:rPr>
          <w:b/>
          <w:bCs/>
          <w:sz w:val="22"/>
          <w:szCs w:val="22"/>
          <w:lang w:val="sr-Latn-ME"/>
        </w:rPr>
        <w:t>pakovanja</w:t>
      </w:r>
      <w:r w:rsidR="00C06864" w:rsidRPr="005B1D42">
        <w:rPr>
          <w:b/>
          <w:bCs/>
          <w:sz w:val="22"/>
          <w:szCs w:val="22"/>
          <w:lang w:val="sr-Latn-ME"/>
        </w:rPr>
        <w:t xml:space="preserve"> </w:t>
      </w:r>
    </w:p>
    <w:p w14:paraId="2D973D71" w14:textId="77777777" w:rsidR="002107A2" w:rsidRPr="005B1D42" w:rsidRDefault="002107A2" w:rsidP="00462581">
      <w:pPr>
        <w:jc w:val="both"/>
        <w:rPr>
          <w:bCs/>
          <w:sz w:val="22"/>
          <w:szCs w:val="22"/>
          <w:u w:val="single"/>
          <w:lang w:val="sr-Latn-ME"/>
        </w:rPr>
      </w:pPr>
    </w:p>
    <w:p w14:paraId="67EE1C54" w14:textId="0E8DCF5C" w:rsidR="00EC51A2" w:rsidRPr="005B1D42" w:rsidRDefault="00EC51A2" w:rsidP="00462581">
      <w:pPr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u w:val="single"/>
          <w:lang w:val="sr-Latn-ME"/>
        </w:rPr>
        <w:t>Unutrašnje pakovanje</w:t>
      </w:r>
      <w:r w:rsidRPr="005B1D42">
        <w:rPr>
          <w:bCs/>
          <w:sz w:val="22"/>
          <w:szCs w:val="22"/>
          <w:lang w:val="sr-Latn-ME"/>
        </w:rPr>
        <w:t>: bočica boje ćilibara od sodno-krečnog stakla tipa III (zapremine 5</w:t>
      </w:r>
      <w:r w:rsidR="00487981" w:rsidRPr="005B1D42">
        <w:rPr>
          <w:bCs/>
          <w:sz w:val="22"/>
          <w:szCs w:val="22"/>
          <w:lang w:val="sr-Latn-ME"/>
        </w:rPr>
        <w:t xml:space="preserve"> ml</w:t>
      </w:r>
      <w:r w:rsidRPr="005B1D42">
        <w:rPr>
          <w:bCs/>
          <w:sz w:val="22"/>
          <w:szCs w:val="22"/>
          <w:lang w:val="sr-Latn-ME"/>
        </w:rPr>
        <w:t xml:space="preserve">) sa polipropilenskim zatvaračem i polietilenskim zaštitnim prstenom, koja sadrži 2.5 </w:t>
      </w:r>
      <w:r w:rsidR="00487981" w:rsidRPr="005B1D42">
        <w:rPr>
          <w:bCs/>
          <w:sz w:val="22"/>
          <w:szCs w:val="22"/>
          <w:lang w:val="sr-Latn-ME"/>
        </w:rPr>
        <w:t xml:space="preserve">ml </w:t>
      </w:r>
      <w:r w:rsidRPr="005B1D42">
        <w:rPr>
          <w:bCs/>
          <w:sz w:val="22"/>
          <w:szCs w:val="22"/>
          <w:lang w:val="sr-Latn-ME"/>
        </w:rPr>
        <w:t>uljanog rastvora.</w:t>
      </w:r>
    </w:p>
    <w:p w14:paraId="65AA52C9" w14:textId="77777777" w:rsidR="00462581" w:rsidRDefault="00462581" w:rsidP="00462581">
      <w:pPr>
        <w:jc w:val="both"/>
        <w:rPr>
          <w:bCs/>
          <w:sz w:val="22"/>
          <w:szCs w:val="22"/>
          <w:u w:val="single"/>
          <w:lang w:val="sr-Latn-ME"/>
        </w:rPr>
      </w:pPr>
      <w:bookmarkStart w:id="7" w:name="_Hlk5621638"/>
    </w:p>
    <w:p w14:paraId="34C1C079" w14:textId="77ED4CDB" w:rsidR="00EC51A2" w:rsidRPr="005B1D42" w:rsidRDefault="00EC51A2" w:rsidP="00462581">
      <w:pPr>
        <w:jc w:val="both"/>
        <w:rPr>
          <w:bCs/>
          <w:sz w:val="22"/>
          <w:szCs w:val="22"/>
          <w:lang w:val="sr-Latn-ME"/>
        </w:rPr>
      </w:pPr>
      <w:r w:rsidRPr="005B1D42">
        <w:rPr>
          <w:bCs/>
          <w:sz w:val="22"/>
          <w:szCs w:val="22"/>
          <w:u w:val="single"/>
          <w:lang w:val="sr-Latn-ME"/>
        </w:rPr>
        <w:t>Spoljašnje pakovanje</w:t>
      </w:r>
      <w:r w:rsidRPr="005B1D42">
        <w:rPr>
          <w:bCs/>
          <w:sz w:val="22"/>
          <w:szCs w:val="22"/>
          <w:lang w:val="sr-Latn-ME"/>
        </w:rPr>
        <w:t>: kartonska kutija u kojoj se nalaze 2 pojedinačna dozna kontejnera (staklene bočice sa rastvorom) i Uputstvo za l</w:t>
      </w:r>
      <w:r w:rsidR="0095738E" w:rsidRPr="005B1D42">
        <w:rPr>
          <w:bCs/>
          <w:sz w:val="22"/>
          <w:szCs w:val="22"/>
          <w:lang w:val="sr-Latn-ME"/>
        </w:rPr>
        <w:t>ij</w:t>
      </w:r>
      <w:r w:rsidRPr="005B1D42">
        <w:rPr>
          <w:bCs/>
          <w:sz w:val="22"/>
          <w:szCs w:val="22"/>
          <w:lang w:val="sr-Latn-ME"/>
        </w:rPr>
        <w:t>ek.</w:t>
      </w:r>
    </w:p>
    <w:bookmarkEnd w:id="7"/>
    <w:p w14:paraId="5477331E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F0F41D" w14:textId="77777777" w:rsidR="002846DB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6.6.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5B1D42">
        <w:rPr>
          <w:b/>
          <w:bCs/>
          <w:sz w:val="22"/>
          <w:szCs w:val="22"/>
          <w:lang w:val="sr-Latn-ME"/>
        </w:rPr>
        <w:t xml:space="preserve"> </w:t>
      </w:r>
      <w:r w:rsidR="00310F03" w:rsidRPr="005B1D42">
        <w:rPr>
          <w:b/>
          <w:bCs/>
          <w:sz w:val="22"/>
          <w:szCs w:val="22"/>
          <w:lang w:val="sr-Latn-ME"/>
        </w:rPr>
        <w:t>(i druga uputs</w:t>
      </w:r>
      <w:r w:rsidR="004109FA" w:rsidRPr="005B1D42">
        <w:rPr>
          <w:b/>
          <w:bCs/>
          <w:sz w:val="22"/>
          <w:szCs w:val="22"/>
          <w:lang w:val="sr-Latn-ME"/>
        </w:rPr>
        <w:t>t</w:t>
      </w:r>
      <w:r w:rsidR="00310F03" w:rsidRPr="005B1D4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BC58373" w14:textId="77777777" w:rsidR="002107A2" w:rsidRPr="005B1D42" w:rsidRDefault="002107A2" w:rsidP="004625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5D20427" w14:textId="6739B444" w:rsidR="00B66A70" w:rsidRPr="005B1D42" w:rsidRDefault="00EC51A2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Svu neiskorišćenu količinu l</w:t>
      </w:r>
      <w:r w:rsidR="0095738E" w:rsidRPr="005B1D42">
        <w:rPr>
          <w:sz w:val="22"/>
          <w:szCs w:val="22"/>
          <w:lang w:val="sr-Latn-ME"/>
        </w:rPr>
        <w:t>ij</w:t>
      </w:r>
      <w:r w:rsidRPr="005B1D42">
        <w:rPr>
          <w:sz w:val="22"/>
          <w:szCs w:val="22"/>
          <w:lang w:val="sr-Latn-ME"/>
        </w:rPr>
        <w:t>eka ili otpadnog materijala nakon njegove upotrebe treba ukloniti, u skladu sa važećim propisima</w:t>
      </w:r>
      <w:r w:rsidR="00F41123" w:rsidRPr="005B1D42">
        <w:rPr>
          <w:sz w:val="22"/>
          <w:szCs w:val="22"/>
          <w:lang w:val="sr-Latn-ME"/>
        </w:rPr>
        <w:t>.</w:t>
      </w:r>
    </w:p>
    <w:p w14:paraId="44F643AE" w14:textId="77777777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06584B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8F3930" w14:textId="1E77ABCB" w:rsidR="00F8570A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7.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NOSILAC DOZVOLE</w:t>
      </w:r>
      <w:r w:rsidR="00483928" w:rsidRPr="005B1D42">
        <w:rPr>
          <w:b/>
          <w:bCs/>
          <w:sz w:val="22"/>
          <w:szCs w:val="22"/>
          <w:lang w:val="sr-Latn-ME"/>
        </w:rPr>
        <w:t xml:space="preserve"> </w:t>
      </w:r>
    </w:p>
    <w:p w14:paraId="098D4B23" w14:textId="77777777" w:rsidR="002107A2" w:rsidRPr="005B1D42" w:rsidRDefault="002107A2" w:rsidP="00462581">
      <w:pPr>
        <w:jc w:val="both"/>
        <w:rPr>
          <w:sz w:val="22"/>
          <w:szCs w:val="22"/>
          <w:lang w:val="sr-Latn-ME"/>
        </w:rPr>
      </w:pPr>
    </w:p>
    <w:p w14:paraId="39618B85" w14:textId="256AF9F9" w:rsidR="00570A4B" w:rsidRPr="005B1D42" w:rsidRDefault="00550C8D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Amicus </w:t>
      </w:r>
      <w:r w:rsidR="00570A4B" w:rsidRPr="005B1D42">
        <w:rPr>
          <w:sz w:val="22"/>
          <w:szCs w:val="22"/>
          <w:lang w:val="sr-Latn-ME"/>
        </w:rPr>
        <w:t>Pharma d.o.o.</w:t>
      </w:r>
      <w:r w:rsidRPr="005B1D42">
        <w:rPr>
          <w:sz w:val="22"/>
          <w:szCs w:val="22"/>
          <w:lang w:val="sr-Latn-ME"/>
        </w:rPr>
        <w:t xml:space="preserve"> Podgorica</w:t>
      </w:r>
    </w:p>
    <w:p w14:paraId="6E3241C2" w14:textId="4BBA2EC1" w:rsidR="00570A4B" w:rsidRPr="005B1D42" w:rsidRDefault="00570A4B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 xml:space="preserve">Bulevar Džordža Vašingtona </w:t>
      </w:r>
      <w:r w:rsidR="00550C8D" w:rsidRPr="005B1D42">
        <w:rPr>
          <w:sz w:val="22"/>
          <w:szCs w:val="22"/>
          <w:lang w:val="sr-Latn-ME"/>
        </w:rPr>
        <w:t xml:space="preserve">br. </w:t>
      </w:r>
      <w:r w:rsidRPr="005B1D42">
        <w:rPr>
          <w:sz w:val="22"/>
          <w:szCs w:val="22"/>
          <w:lang w:val="sr-Latn-ME"/>
        </w:rPr>
        <w:t>51, 81000 Podgorica</w:t>
      </w:r>
      <w:r w:rsidR="00550C8D" w:rsidRPr="005B1D42">
        <w:rPr>
          <w:sz w:val="22"/>
          <w:szCs w:val="22"/>
          <w:lang w:val="sr-Latn-ME"/>
        </w:rPr>
        <w:t>, Crna Gora</w:t>
      </w:r>
    </w:p>
    <w:p w14:paraId="025F99F0" w14:textId="77777777" w:rsidR="00C37FD7" w:rsidRPr="005B1D42" w:rsidRDefault="00C37FD7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06D355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8A14A74" w14:textId="0F436F05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8.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>BROJ DOZVOLE</w:t>
      </w:r>
      <w:r w:rsidR="008A6D43" w:rsidRPr="005B1D4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71D5E48" w14:textId="77777777" w:rsidR="002107A2" w:rsidRPr="005B1D42" w:rsidRDefault="002107A2" w:rsidP="00462581">
      <w:pPr>
        <w:jc w:val="both"/>
        <w:rPr>
          <w:sz w:val="22"/>
          <w:szCs w:val="22"/>
          <w:lang w:val="sr-Latn-ME"/>
        </w:rPr>
      </w:pPr>
      <w:bookmarkStart w:id="8" w:name="_Hlk273834"/>
    </w:p>
    <w:p w14:paraId="58C4CA3B" w14:textId="52FC4901" w:rsidR="00EC51A2" w:rsidRPr="005B1D42" w:rsidRDefault="00550C8D" w:rsidP="00462581">
      <w:pPr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Dibase</w:t>
      </w:r>
      <w:r w:rsidRPr="005B1D42">
        <w:rPr>
          <w:sz w:val="22"/>
          <w:szCs w:val="22"/>
          <w:vertAlign w:val="superscript"/>
          <w:lang w:val="sr-Latn-ME"/>
        </w:rPr>
        <w:t>®</w:t>
      </w:r>
      <w:r w:rsidR="00EC51A2" w:rsidRPr="005B1D42">
        <w:rPr>
          <w:sz w:val="22"/>
          <w:szCs w:val="22"/>
          <w:lang w:val="sr-Latn-ME"/>
        </w:rPr>
        <w:t xml:space="preserve">, </w:t>
      </w:r>
      <w:r w:rsidRPr="005B1D42">
        <w:rPr>
          <w:sz w:val="22"/>
          <w:szCs w:val="22"/>
          <w:lang w:val="sr-Latn-ME"/>
        </w:rPr>
        <w:t xml:space="preserve">oralni rastvor, </w:t>
      </w:r>
      <w:r w:rsidR="00EC51A2" w:rsidRPr="005B1D42">
        <w:rPr>
          <w:sz w:val="22"/>
          <w:szCs w:val="22"/>
          <w:lang w:val="sr-Latn-ME"/>
        </w:rPr>
        <w:t>50 000 i.j./2.5 m</w:t>
      </w:r>
      <w:r w:rsidRPr="005B1D42">
        <w:rPr>
          <w:sz w:val="22"/>
          <w:szCs w:val="22"/>
          <w:lang w:val="sr-Latn-ME"/>
        </w:rPr>
        <w:t>l, bočica, staklena, 2 x 2.5 ml:</w:t>
      </w:r>
      <w:r w:rsidR="005E63E3" w:rsidRPr="005E63E3">
        <w:t xml:space="preserve"> </w:t>
      </w:r>
      <w:r w:rsidR="005E63E3" w:rsidRPr="005E63E3">
        <w:rPr>
          <w:sz w:val="22"/>
          <w:szCs w:val="22"/>
          <w:lang w:val="sr-Latn-ME"/>
        </w:rPr>
        <w:t>2030/21/858 - 4131</w:t>
      </w:r>
    </w:p>
    <w:bookmarkEnd w:id="8"/>
    <w:p w14:paraId="21E1B29C" w14:textId="77777777" w:rsidR="00F45F77" w:rsidRPr="005B1D42" w:rsidRDefault="00F45F77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46E9BB" w14:textId="77777777" w:rsidR="00462581" w:rsidRDefault="00462581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8DDF6A" w14:textId="6B3E9E2C" w:rsidR="0072020E" w:rsidRPr="005B1D42" w:rsidRDefault="0072020E" w:rsidP="0046258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Pr="005B1D42">
        <w:rPr>
          <w:b/>
          <w:bCs/>
          <w:sz w:val="22"/>
          <w:szCs w:val="22"/>
          <w:lang w:val="sr-Latn-ME"/>
        </w:rPr>
        <w:t xml:space="preserve">DATUM </w:t>
      </w:r>
      <w:r w:rsidR="00C05DF8" w:rsidRPr="005B1D42">
        <w:rPr>
          <w:b/>
          <w:bCs/>
          <w:sz w:val="22"/>
          <w:szCs w:val="22"/>
          <w:lang w:val="sr-Latn-ME"/>
        </w:rPr>
        <w:t xml:space="preserve">PRVE </w:t>
      </w:r>
      <w:r w:rsidR="008A6D43" w:rsidRPr="005B1D42">
        <w:rPr>
          <w:b/>
          <w:bCs/>
          <w:sz w:val="22"/>
          <w:szCs w:val="22"/>
          <w:lang w:val="sr-Latn-ME"/>
        </w:rPr>
        <w:t>DOZVOLE</w:t>
      </w:r>
      <w:r w:rsidR="00C05DF8" w:rsidRPr="005B1D42">
        <w:rPr>
          <w:b/>
          <w:bCs/>
          <w:sz w:val="22"/>
          <w:szCs w:val="22"/>
          <w:lang w:val="sr-Latn-ME"/>
        </w:rPr>
        <w:t>/OBNOVE DOZVOLE</w:t>
      </w:r>
      <w:r w:rsidR="008A6D43" w:rsidRPr="005B1D4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2FA8E2B" w14:textId="4AAB9560" w:rsidR="00836B35" w:rsidRPr="005B1D42" w:rsidRDefault="00836B35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8E5B8B" w14:textId="7586D52B" w:rsidR="00550C8D" w:rsidRPr="005B1D42" w:rsidRDefault="00550C8D" w:rsidP="004625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B1D42">
        <w:rPr>
          <w:sz w:val="22"/>
          <w:szCs w:val="22"/>
          <w:lang w:val="sr-Latn-ME"/>
        </w:rPr>
        <w:t>Dibase</w:t>
      </w:r>
      <w:r w:rsidRPr="005B1D42">
        <w:rPr>
          <w:sz w:val="22"/>
          <w:szCs w:val="22"/>
          <w:vertAlign w:val="superscript"/>
          <w:lang w:val="sr-Latn-ME"/>
        </w:rPr>
        <w:t>®</w:t>
      </w:r>
      <w:r w:rsidRPr="005B1D42">
        <w:rPr>
          <w:sz w:val="22"/>
          <w:szCs w:val="22"/>
          <w:lang w:val="sr-Latn-ME"/>
        </w:rPr>
        <w:t>, oralni rastvor, 50 000 i.j./2.5 ml, bočica, staklena, 2 x 2.5 ml:</w:t>
      </w:r>
      <w:r w:rsidR="00511124" w:rsidRPr="00511124">
        <w:t xml:space="preserve"> </w:t>
      </w:r>
      <w:r w:rsidR="00511124" w:rsidRPr="00511124">
        <w:rPr>
          <w:sz w:val="22"/>
          <w:szCs w:val="22"/>
          <w:lang w:val="sr-Latn-ME"/>
        </w:rPr>
        <w:t>16.06.2021. godine</w:t>
      </w:r>
      <w:bookmarkStart w:id="9" w:name="_GoBack"/>
      <w:bookmarkEnd w:id="9"/>
    </w:p>
    <w:p w14:paraId="5030CCF2" w14:textId="77777777" w:rsidR="00550C8D" w:rsidRPr="005B1D42" w:rsidRDefault="00550C8D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1728E1" w14:textId="77777777" w:rsidR="00462581" w:rsidRDefault="00462581" w:rsidP="0046258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12CBC5E" w14:textId="60C7E7DE" w:rsidR="003F6A59" w:rsidRPr="005B1D42" w:rsidRDefault="0072020E" w:rsidP="0046258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5B1D42">
        <w:rPr>
          <w:b/>
          <w:bCs/>
          <w:sz w:val="22"/>
          <w:szCs w:val="22"/>
          <w:lang w:val="sr-Latn-ME"/>
        </w:rPr>
        <w:t xml:space="preserve">10. </w:t>
      </w:r>
      <w:r w:rsidR="00480FB1" w:rsidRPr="005B1D42">
        <w:rPr>
          <w:b/>
          <w:bCs/>
          <w:sz w:val="22"/>
          <w:szCs w:val="22"/>
          <w:lang w:val="sr-Latn-ME"/>
        </w:rPr>
        <w:tab/>
      </w:r>
      <w:r w:rsidR="002846DB" w:rsidRPr="005B1D42">
        <w:rPr>
          <w:b/>
          <w:bCs/>
          <w:sz w:val="22"/>
          <w:szCs w:val="22"/>
          <w:lang w:val="sr-Latn-ME"/>
        </w:rPr>
        <w:t>D</w:t>
      </w:r>
      <w:r w:rsidR="00EC2532" w:rsidRPr="005B1D42">
        <w:rPr>
          <w:b/>
          <w:bCs/>
          <w:sz w:val="22"/>
          <w:szCs w:val="22"/>
          <w:lang w:val="sr-Latn-ME"/>
        </w:rPr>
        <w:t xml:space="preserve">ATUM REVIZIJE TEKSTA </w:t>
      </w:r>
    </w:p>
    <w:p w14:paraId="4CCFF670" w14:textId="77777777" w:rsidR="002107A2" w:rsidRPr="005B1D42" w:rsidRDefault="002107A2" w:rsidP="004625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2385CD" w14:textId="323B523F" w:rsidR="003F6A59" w:rsidRPr="005B1D42" w:rsidRDefault="00462581" w:rsidP="00462581">
      <w:pPr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2021. godine</w:t>
      </w:r>
    </w:p>
    <w:sectPr w:rsidR="003F6A59" w:rsidRPr="005B1D42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3502" w14:textId="77777777" w:rsidR="00B62F7D" w:rsidRDefault="00B62F7D">
      <w:r>
        <w:separator/>
      </w:r>
    </w:p>
  </w:endnote>
  <w:endnote w:type="continuationSeparator" w:id="0">
    <w:p w14:paraId="47297709" w14:textId="77777777" w:rsidR="00B62F7D" w:rsidRDefault="00B6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3563" w14:textId="28300AF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1112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1112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E743" w14:textId="77777777" w:rsidR="00B62F7D" w:rsidRDefault="00B62F7D">
      <w:r>
        <w:separator/>
      </w:r>
    </w:p>
  </w:footnote>
  <w:footnote w:type="continuationSeparator" w:id="0">
    <w:p w14:paraId="74782995" w14:textId="77777777" w:rsidR="00B62F7D" w:rsidRDefault="00B6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45pt;height:13.7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2F1023"/>
    <w:multiLevelType w:val="hybridMultilevel"/>
    <w:tmpl w:val="666CBE9E"/>
    <w:lvl w:ilvl="0" w:tplc="F4EA71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2787C"/>
    <w:multiLevelType w:val="hybridMultilevel"/>
    <w:tmpl w:val="90022D66"/>
    <w:lvl w:ilvl="0" w:tplc="7E261B0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5913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3626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07A2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D08BC"/>
    <w:rsid w:val="002E0135"/>
    <w:rsid w:val="002E37A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2581"/>
    <w:rsid w:val="004671AA"/>
    <w:rsid w:val="00480FB1"/>
    <w:rsid w:val="00483928"/>
    <w:rsid w:val="00487981"/>
    <w:rsid w:val="004B1E39"/>
    <w:rsid w:val="004C331F"/>
    <w:rsid w:val="004D6103"/>
    <w:rsid w:val="004E3BCE"/>
    <w:rsid w:val="004E70AD"/>
    <w:rsid w:val="004F0E97"/>
    <w:rsid w:val="00501DD1"/>
    <w:rsid w:val="00511124"/>
    <w:rsid w:val="00515C21"/>
    <w:rsid w:val="0051699E"/>
    <w:rsid w:val="00530BD7"/>
    <w:rsid w:val="00545CD2"/>
    <w:rsid w:val="005476F3"/>
    <w:rsid w:val="00550C8D"/>
    <w:rsid w:val="00555A53"/>
    <w:rsid w:val="00570A4B"/>
    <w:rsid w:val="00572527"/>
    <w:rsid w:val="00573E40"/>
    <w:rsid w:val="00576348"/>
    <w:rsid w:val="005A0B2E"/>
    <w:rsid w:val="005A23D2"/>
    <w:rsid w:val="005A36CB"/>
    <w:rsid w:val="005B1D42"/>
    <w:rsid w:val="005B49B8"/>
    <w:rsid w:val="005C0741"/>
    <w:rsid w:val="005C5EF4"/>
    <w:rsid w:val="005E2E0B"/>
    <w:rsid w:val="005E63E3"/>
    <w:rsid w:val="005E7A7D"/>
    <w:rsid w:val="00602457"/>
    <w:rsid w:val="00623679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05DD6"/>
    <w:rsid w:val="0072020E"/>
    <w:rsid w:val="00786071"/>
    <w:rsid w:val="007A3ECB"/>
    <w:rsid w:val="007D7BB3"/>
    <w:rsid w:val="00824AB9"/>
    <w:rsid w:val="00836B35"/>
    <w:rsid w:val="00843BDE"/>
    <w:rsid w:val="0087588C"/>
    <w:rsid w:val="0089705C"/>
    <w:rsid w:val="00897EF2"/>
    <w:rsid w:val="008A6D43"/>
    <w:rsid w:val="008B491E"/>
    <w:rsid w:val="008B6BD6"/>
    <w:rsid w:val="008C1A28"/>
    <w:rsid w:val="008C2E98"/>
    <w:rsid w:val="008E49BD"/>
    <w:rsid w:val="008E53E9"/>
    <w:rsid w:val="008E5771"/>
    <w:rsid w:val="008F4ACF"/>
    <w:rsid w:val="0092299C"/>
    <w:rsid w:val="00924166"/>
    <w:rsid w:val="00940B9B"/>
    <w:rsid w:val="00955566"/>
    <w:rsid w:val="0095676E"/>
    <w:rsid w:val="00956983"/>
    <w:rsid w:val="0095738E"/>
    <w:rsid w:val="00963CF0"/>
    <w:rsid w:val="00964BB1"/>
    <w:rsid w:val="009775D9"/>
    <w:rsid w:val="00997175"/>
    <w:rsid w:val="009A1847"/>
    <w:rsid w:val="009B062A"/>
    <w:rsid w:val="009D7332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0067"/>
    <w:rsid w:val="00AC53CE"/>
    <w:rsid w:val="00AD2193"/>
    <w:rsid w:val="00AF2AC7"/>
    <w:rsid w:val="00AF74CE"/>
    <w:rsid w:val="00B208DB"/>
    <w:rsid w:val="00B23F69"/>
    <w:rsid w:val="00B34B77"/>
    <w:rsid w:val="00B558EB"/>
    <w:rsid w:val="00B60619"/>
    <w:rsid w:val="00B62F7D"/>
    <w:rsid w:val="00B66A70"/>
    <w:rsid w:val="00B67366"/>
    <w:rsid w:val="00B80EE1"/>
    <w:rsid w:val="00B84135"/>
    <w:rsid w:val="00BA13FD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6138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A2ED6"/>
    <w:rsid w:val="00DB76B8"/>
    <w:rsid w:val="00DC2EA1"/>
    <w:rsid w:val="00DC5423"/>
    <w:rsid w:val="00DD0D17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966D9"/>
    <w:rsid w:val="00EA5765"/>
    <w:rsid w:val="00EC2532"/>
    <w:rsid w:val="00EC51A2"/>
    <w:rsid w:val="00ED1E6F"/>
    <w:rsid w:val="00ED7812"/>
    <w:rsid w:val="00ED7FD9"/>
    <w:rsid w:val="00EF3B86"/>
    <w:rsid w:val="00F23C13"/>
    <w:rsid w:val="00F317E9"/>
    <w:rsid w:val="00F34554"/>
    <w:rsid w:val="00F41123"/>
    <w:rsid w:val="00F444E4"/>
    <w:rsid w:val="00F45F77"/>
    <w:rsid w:val="00F5167F"/>
    <w:rsid w:val="00F52258"/>
    <w:rsid w:val="00F605AB"/>
    <w:rsid w:val="00F661B4"/>
    <w:rsid w:val="00F8570A"/>
    <w:rsid w:val="00F91C7B"/>
    <w:rsid w:val="00FA7717"/>
    <w:rsid w:val="00FB33A5"/>
    <w:rsid w:val="00FC6A9B"/>
    <w:rsid w:val="00FD550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9868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8EB"/>
    <w:pPr>
      <w:tabs>
        <w:tab w:val="left" w:pos="284"/>
      </w:tabs>
      <w:ind w:left="7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A70E-9FAD-4785-A64C-85B72734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11985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7</cp:revision>
  <dcterms:created xsi:type="dcterms:W3CDTF">2021-06-15T08:07:00Z</dcterms:created>
  <dcterms:modified xsi:type="dcterms:W3CDTF">2021-06-16T05:32:00Z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