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68F85" w14:textId="77777777" w:rsidR="005D1EF5" w:rsidRPr="00056CC9" w:rsidRDefault="005D1EF5" w:rsidP="00056CC9">
      <w:pPr>
        <w:shd w:val="clear" w:color="auto" w:fill="FFFFFF" w:themeFill="background1"/>
        <w:jc w:val="center"/>
        <w:rPr>
          <w:b/>
          <w:bCs/>
          <w:sz w:val="22"/>
          <w:szCs w:val="22"/>
          <w:u w:val="single"/>
          <w:lang w:val="sr-Latn-ME"/>
        </w:rPr>
      </w:pPr>
      <w:r w:rsidRPr="00056CC9">
        <w:rPr>
          <w:b/>
          <w:bCs/>
          <w:sz w:val="22"/>
          <w:szCs w:val="22"/>
          <w:u w:val="single"/>
          <w:lang w:val="sr-Latn-ME"/>
        </w:rPr>
        <w:t>SAŽETAK KARAKTERISTIKA LIJEKA</w:t>
      </w:r>
    </w:p>
    <w:p w14:paraId="72ECB5AF" w14:textId="77777777" w:rsidR="005D1EF5" w:rsidRPr="00056CC9" w:rsidRDefault="005D1EF5" w:rsidP="00056CC9">
      <w:pPr>
        <w:shd w:val="clear" w:color="auto" w:fill="FFFFFF" w:themeFill="background1"/>
        <w:tabs>
          <w:tab w:val="left" w:pos="284"/>
        </w:tabs>
        <w:rPr>
          <w:b/>
          <w:bCs/>
          <w:sz w:val="22"/>
          <w:szCs w:val="22"/>
          <w:lang w:val="sr-Latn-ME"/>
        </w:rPr>
      </w:pPr>
    </w:p>
    <w:p w14:paraId="7E02E8A4" w14:textId="77777777" w:rsidR="005D1EF5" w:rsidRPr="00056CC9" w:rsidRDefault="005D1EF5" w:rsidP="00056CC9">
      <w:pPr>
        <w:shd w:val="clear" w:color="auto" w:fill="FFFFFF" w:themeFill="background1"/>
        <w:tabs>
          <w:tab w:val="left" w:pos="284"/>
        </w:tabs>
        <w:rPr>
          <w:b/>
          <w:bCs/>
          <w:sz w:val="22"/>
          <w:szCs w:val="22"/>
          <w:lang w:val="sr-Latn-ME"/>
        </w:rPr>
      </w:pPr>
    </w:p>
    <w:p w14:paraId="50A3D556" w14:textId="77777777" w:rsidR="005D1EF5" w:rsidRPr="00056CC9" w:rsidRDefault="005D1EF5" w:rsidP="00056CC9">
      <w:pPr>
        <w:shd w:val="clear" w:color="auto" w:fill="FFFFFF" w:themeFill="background1"/>
        <w:rPr>
          <w:b/>
          <w:bCs/>
          <w:sz w:val="22"/>
          <w:szCs w:val="22"/>
          <w:lang w:val="sr-Latn-ME"/>
        </w:rPr>
      </w:pPr>
      <w:r w:rsidRPr="00056CC9">
        <w:rPr>
          <w:b/>
          <w:bCs/>
          <w:sz w:val="22"/>
          <w:szCs w:val="22"/>
          <w:lang w:val="sr-Latn-ME"/>
        </w:rPr>
        <w:t>1. NAZIV LIJEKA</w:t>
      </w:r>
    </w:p>
    <w:p w14:paraId="383C2487" w14:textId="77777777" w:rsidR="005D1EF5" w:rsidRPr="00056CC9" w:rsidRDefault="005D1EF5" w:rsidP="00056CC9">
      <w:pPr>
        <w:shd w:val="clear" w:color="auto" w:fill="FFFFFF" w:themeFill="background1"/>
        <w:tabs>
          <w:tab w:val="left" w:pos="284"/>
        </w:tabs>
        <w:rPr>
          <w:b/>
          <w:sz w:val="22"/>
          <w:szCs w:val="22"/>
          <w:lang w:val="sr-Latn-ME"/>
        </w:rPr>
      </w:pPr>
    </w:p>
    <w:p w14:paraId="7652122D" w14:textId="77777777" w:rsidR="005D1EF5" w:rsidRPr="00056CC9" w:rsidRDefault="005D1EF5" w:rsidP="00056CC9">
      <w:pPr>
        <w:shd w:val="clear" w:color="auto" w:fill="FFFFFF" w:themeFill="background1"/>
        <w:tabs>
          <w:tab w:val="left" w:pos="284"/>
        </w:tabs>
        <w:rPr>
          <w:b/>
          <w:sz w:val="22"/>
          <w:szCs w:val="22"/>
          <w:lang w:val="sr-Latn-ME"/>
        </w:rPr>
      </w:pPr>
      <w:r w:rsidRPr="00056CC9">
        <w:rPr>
          <w:bCs/>
          <w:sz w:val="22"/>
          <w:szCs w:val="22"/>
          <w:lang w:val="sr-Latn-ME"/>
        </w:rPr>
        <w:t xml:space="preserve">Imarem 100 mg film tableta </w:t>
      </w:r>
    </w:p>
    <w:p w14:paraId="45903EF6" w14:textId="77777777" w:rsidR="005D1EF5" w:rsidRPr="00056CC9" w:rsidRDefault="005D1EF5" w:rsidP="00056CC9">
      <w:pPr>
        <w:shd w:val="clear" w:color="auto" w:fill="FFFFFF" w:themeFill="background1"/>
        <w:tabs>
          <w:tab w:val="left" w:pos="284"/>
        </w:tabs>
        <w:rPr>
          <w:bCs/>
          <w:sz w:val="22"/>
          <w:szCs w:val="22"/>
          <w:lang w:val="sr-Latn-ME"/>
        </w:rPr>
      </w:pPr>
      <w:r w:rsidRPr="00056CC9">
        <w:rPr>
          <w:bCs/>
          <w:sz w:val="22"/>
          <w:szCs w:val="22"/>
          <w:lang w:val="sr-Latn-ME"/>
        </w:rPr>
        <w:t xml:space="preserve">Imarem 400 mg film tableta </w:t>
      </w:r>
    </w:p>
    <w:p w14:paraId="49CC2B86" w14:textId="77777777" w:rsidR="005D1EF5" w:rsidRPr="00056CC9" w:rsidRDefault="005D1EF5" w:rsidP="00056CC9">
      <w:pPr>
        <w:shd w:val="clear" w:color="auto" w:fill="FFFFFF" w:themeFill="background1"/>
        <w:ind w:left="108"/>
        <w:rPr>
          <w:sz w:val="22"/>
          <w:szCs w:val="22"/>
          <w:lang w:val="sr-Latn-ME"/>
        </w:rPr>
      </w:pPr>
    </w:p>
    <w:p w14:paraId="38AE8A73" w14:textId="77777777" w:rsidR="005D1EF5" w:rsidRPr="00056CC9" w:rsidRDefault="005D1EF5" w:rsidP="00056CC9">
      <w:pPr>
        <w:shd w:val="clear" w:color="auto" w:fill="FFFFFF" w:themeFill="background1"/>
        <w:tabs>
          <w:tab w:val="left" w:pos="284"/>
        </w:tabs>
        <w:rPr>
          <w:sz w:val="22"/>
          <w:szCs w:val="22"/>
          <w:lang w:val="sr-Latn-ME"/>
        </w:rPr>
      </w:pPr>
      <w:r w:rsidRPr="00056CC9">
        <w:rPr>
          <w:sz w:val="22"/>
          <w:szCs w:val="22"/>
          <w:lang w:val="sr-Latn-ME"/>
        </w:rPr>
        <w:t>INN:</w:t>
      </w:r>
      <w:r w:rsidRPr="00056CC9">
        <w:rPr>
          <w:sz w:val="22"/>
          <w:szCs w:val="22"/>
          <w:lang w:val="sr-Latn-ME"/>
        </w:rPr>
        <w:tab/>
        <w:t>imatinib</w:t>
      </w:r>
    </w:p>
    <w:p w14:paraId="1B021E4B" w14:textId="77777777" w:rsidR="005D1EF5" w:rsidRPr="00056CC9" w:rsidRDefault="005D1EF5" w:rsidP="00056CC9">
      <w:pPr>
        <w:shd w:val="clear" w:color="auto" w:fill="FFFFFF" w:themeFill="background1"/>
        <w:tabs>
          <w:tab w:val="left" w:pos="886"/>
        </w:tabs>
        <w:ind w:left="108"/>
        <w:rPr>
          <w:sz w:val="22"/>
          <w:szCs w:val="22"/>
          <w:lang w:val="sr-Latn-ME"/>
        </w:rPr>
      </w:pPr>
    </w:p>
    <w:p w14:paraId="3B50E5C8" w14:textId="77777777" w:rsidR="005D1EF5" w:rsidRPr="00056CC9" w:rsidRDefault="005D1EF5" w:rsidP="00056CC9">
      <w:pPr>
        <w:shd w:val="clear" w:color="auto" w:fill="FFFFFF" w:themeFill="background1"/>
        <w:ind w:left="108"/>
        <w:rPr>
          <w:color w:val="FF0000"/>
          <w:sz w:val="22"/>
          <w:szCs w:val="22"/>
          <w:lang w:val="sr-Latn-ME"/>
        </w:rPr>
      </w:pPr>
    </w:p>
    <w:p w14:paraId="298C0EE3" w14:textId="77777777" w:rsidR="005D1EF5" w:rsidRPr="00056CC9" w:rsidRDefault="005D1EF5" w:rsidP="00056CC9">
      <w:pPr>
        <w:shd w:val="clear" w:color="auto" w:fill="FFFFFF" w:themeFill="background1"/>
        <w:rPr>
          <w:b/>
          <w:bCs/>
          <w:sz w:val="22"/>
          <w:szCs w:val="22"/>
          <w:lang w:val="sr-Latn-ME"/>
        </w:rPr>
      </w:pPr>
      <w:r w:rsidRPr="00056CC9">
        <w:rPr>
          <w:b/>
          <w:bCs/>
          <w:sz w:val="22"/>
          <w:szCs w:val="22"/>
          <w:lang w:val="sr-Latn-ME"/>
        </w:rPr>
        <w:t>2. KVALITATIVNI I KVANTITATIVNI SASTAV</w:t>
      </w:r>
    </w:p>
    <w:p w14:paraId="7D23DD26" w14:textId="77777777" w:rsidR="005D1EF5" w:rsidRPr="00056CC9" w:rsidRDefault="005D1EF5" w:rsidP="00056CC9">
      <w:pPr>
        <w:shd w:val="clear" w:color="auto" w:fill="FFFFFF" w:themeFill="background1"/>
        <w:tabs>
          <w:tab w:val="left" w:pos="284"/>
        </w:tabs>
        <w:rPr>
          <w:b/>
          <w:sz w:val="22"/>
          <w:szCs w:val="22"/>
          <w:lang w:val="sr-Latn-ME"/>
        </w:rPr>
      </w:pPr>
    </w:p>
    <w:p w14:paraId="63E7EDF8" w14:textId="77777777" w:rsidR="005D1EF5" w:rsidRPr="000A1DA8" w:rsidRDefault="005D1EF5" w:rsidP="00056CC9">
      <w:pPr>
        <w:shd w:val="clear" w:color="auto" w:fill="FFFFFF" w:themeFill="background1"/>
        <w:tabs>
          <w:tab w:val="left" w:pos="284"/>
        </w:tabs>
        <w:rPr>
          <w:sz w:val="22"/>
          <w:szCs w:val="22"/>
          <w:lang w:val="sr-Latn-ME"/>
        </w:rPr>
      </w:pPr>
      <w:r w:rsidRPr="000A1DA8">
        <w:rPr>
          <w:sz w:val="22"/>
          <w:szCs w:val="22"/>
          <w:lang w:val="sr-Latn-ME"/>
        </w:rPr>
        <w:t>Imarem 100 mg film tableta: 1 film tableta sadrži 100 mg imatiniba (u obliku imatinib mesilata).</w:t>
      </w:r>
    </w:p>
    <w:p w14:paraId="53A123FA" w14:textId="77777777" w:rsidR="005D1EF5" w:rsidRPr="00056CC9" w:rsidRDefault="005D1EF5" w:rsidP="00056CC9">
      <w:pPr>
        <w:shd w:val="clear" w:color="auto" w:fill="FFFFFF" w:themeFill="background1"/>
        <w:tabs>
          <w:tab w:val="left" w:pos="284"/>
        </w:tabs>
        <w:rPr>
          <w:sz w:val="22"/>
          <w:szCs w:val="22"/>
          <w:lang w:val="sr-Latn-ME"/>
        </w:rPr>
      </w:pPr>
      <w:r w:rsidRPr="000A1DA8">
        <w:rPr>
          <w:sz w:val="22"/>
          <w:szCs w:val="22"/>
          <w:lang w:val="sr-Latn-ME"/>
        </w:rPr>
        <w:t>Imarem 400 mg film tableta:</w:t>
      </w:r>
      <w:r w:rsidRPr="00056CC9">
        <w:rPr>
          <w:b/>
          <w:sz w:val="22"/>
          <w:szCs w:val="22"/>
          <w:lang w:val="sr-Latn-ME"/>
        </w:rPr>
        <w:t xml:space="preserve"> </w:t>
      </w:r>
      <w:r w:rsidRPr="00056CC9">
        <w:rPr>
          <w:sz w:val="22"/>
          <w:szCs w:val="22"/>
          <w:lang w:val="sr-Latn-ME"/>
        </w:rPr>
        <w:t>1 film tableta sadrži 400 mg imatiniba (u obliku imatinib mesilata).</w:t>
      </w:r>
    </w:p>
    <w:p w14:paraId="67EE0256" w14:textId="77777777" w:rsidR="005D1EF5" w:rsidRPr="00056CC9" w:rsidRDefault="005D1EF5" w:rsidP="00056CC9">
      <w:pPr>
        <w:shd w:val="clear" w:color="auto" w:fill="FFFFFF" w:themeFill="background1"/>
        <w:tabs>
          <w:tab w:val="left" w:pos="284"/>
        </w:tabs>
        <w:rPr>
          <w:sz w:val="22"/>
          <w:szCs w:val="22"/>
          <w:lang w:val="sr-Latn-ME"/>
        </w:rPr>
      </w:pPr>
    </w:p>
    <w:p w14:paraId="30DC9940" w14:textId="77777777" w:rsidR="005D1EF5" w:rsidRPr="00056CC9" w:rsidRDefault="005D1EF5" w:rsidP="00056CC9">
      <w:pPr>
        <w:shd w:val="clear" w:color="auto" w:fill="FFFFFF" w:themeFill="background1"/>
        <w:rPr>
          <w:sz w:val="22"/>
          <w:szCs w:val="22"/>
          <w:lang w:val="sr-Latn-ME"/>
        </w:rPr>
      </w:pPr>
      <w:r w:rsidRPr="00056CC9">
        <w:rPr>
          <w:sz w:val="22"/>
          <w:szCs w:val="22"/>
          <w:lang w:val="sr-Latn-ME"/>
        </w:rPr>
        <w:t>Za spisak svih ekscipijenasa, pogledati dio 6.1.</w:t>
      </w:r>
    </w:p>
    <w:p w14:paraId="19EFF755" w14:textId="77777777" w:rsidR="005D1EF5" w:rsidRPr="00056CC9" w:rsidRDefault="005D1EF5" w:rsidP="00056CC9">
      <w:pPr>
        <w:rPr>
          <w:sz w:val="22"/>
          <w:szCs w:val="22"/>
          <w:lang w:val="sr-Latn-ME"/>
        </w:rPr>
      </w:pPr>
    </w:p>
    <w:p w14:paraId="348A4C05" w14:textId="77777777" w:rsidR="000A1DA8" w:rsidRDefault="000A1DA8" w:rsidP="00056CC9">
      <w:pPr>
        <w:tabs>
          <w:tab w:val="left" w:pos="540"/>
          <w:tab w:val="left" w:pos="569"/>
        </w:tabs>
        <w:jc w:val="both"/>
        <w:rPr>
          <w:b/>
          <w:bCs/>
          <w:sz w:val="22"/>
          <w:szCs w:val="22"/>
          <w:lang w:val="sr-Latn-ME"/>
        </w:rPr>
      </w:pPr>
    </w:p>
    <w:p w14:paraId="25F02B82" w14:textId="7F171B96"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 xml:space="preserve">3. FARMACEUTSKI OBLIK </w:t>
      </w:r>
    </w:p>
    <w:p w14:paraId="09C1D37A" w14:textId="77777777" w:rsidR="005D1EF5" w:rsidRPr="00056CC9" w:rsidRDefault="005D1EF5" w:rsidP="00056CC9">
      <w:pPr>
        <w:jc w:val="both"/>
        <w:rPr>
          <w:bCs/>
          <w:sz w:val="22"/>
          <w:szCs w:val="22"/>
          <w:lang w:val="sr-Latn-ME"/>
        </w:rPr>
      </w:pPr>
    </w:p>
    <w:p w14:paraId="6BDA9A1A" w14:textId="77777777" w:rsidR="005D1EF5" w:rsidRPr="00056CC9" w:rsidRDefault="005D1EF5" w:rsidP="00056CC9">
      <w:pPr>
        <w:jc w:val="both"/>
        <w:rPr>
          <w:bCs/>
          <w:sz w:val="22"/>
          <w:szCs w:val="22"/>
          <w:lang w:val="sr-Latn-ME"/>
        </w:rPr>
      </w:pPr>
      <w:r w:rsidRPr="00056CC9">
        <w:rPr>
          <w:bCs/>
          <w:sz w:val="22"/>
          <w:szCs w:val="22"/>
          <w:lang w:val="sr-Latn-ME"/>
        </w:rPr>
        <w:t>Film tableta.</w:t>
      </w:r>
    </w:p>
    <w:p w14:paraId="3C56CCC9" w14:textId="77777777" w:rsidR="005D1EF5" w:rsidRPr="00056CC9" w:rsidRDefault="005D1EF5" w:rsidP="00056CC9">
      <w:pPr>
        <w:jc w:val="both"/>
        <w:rPr>
          <w:bCs/>
          <w:sz w:val="22"/>
          <w:szCs w:val="22"/>
          <w:lang w:val="sr-Latn-ME"/>
        </w:rPr>
      </w:pPr>
    </w:p>
    <w:p w14:paraId="68FAFFE0" w14:textId="77777777" w:rsidR="005D1EF5" w:rsidRPr="00056CC9" w:rsidRDefault="005D1EF5" w:rsidP="00056CC9">
      <w:pPr>
        <w:jc w:val="both"/>
        <w:rPr>
          <w:bCs/>
          <w:sz w:val="22"/>
          <w:szCs w:val="22"/>
          <w:lang w:val="sr-Latn-ME"/>
        </w:rPr>
      </w:pPr>
      <w:r w:rsidRPr="00056CC9">
        <w:rPr>
          <w:bCs/>
          <w:sz w:val="22"/>
          <w:szCs w:val="22"/>
          <w:lang w:val="sr-Latn-ME"/>
        </w:rPr>
        <w:t>Imarem 100 mg film tablete: Tamnožute do braonkasto-narandžaste, okrugle, film tablete sa podionom crtom na jednoj strani i oznakom „100“ na drugoj strani.</w:t>
      </w:r>
    </w:p>
    <w:p w14:paraId="003731CF" w14:textId="77777777" w:rsidR="005D1EF5" w:rsidRPr="00056CC9" w:rsidRDefault="005D1EF5" w:rsidP="00056CC9">
      <w:pPr>
        <w:jc w:val="both"/>
        <w:rPr>
          <w:bCs/>
          <w:sz w:val="22"/>
          <w:szCs w:val="22"/>
          <w:lang w:val="sr-Latn-ME"/>
        </w:rPr>
      </w:pPr>
    </w:p>
    <w:p w14:paraId="607E8839" w14:textId="77777777" w:rsidR="005D1EF5" w:rsidRPr="00056CC9" w:rsidRDefault="005D1EF5" w:rsidP="00056CC9">
      <w:pPr>
        <w:jc w:val="both"/>
        <w:rPr>
          <w:bCs/>
          <w:sz w:val="22"/>
          <w:szCs w:val="22"/>
          <w:lang w:val="sr-Latn-ME"/>
        </w:rPr>
      </w:pPr>
      <w:r w:rsidRPr="00056CC9">
        <w:rPr>
          <w:bCs/>
          <w:sz w:val="22"/>
          <w:szCs w:val="22"/>
          <w:lang w:val="sr-Latn-ME"/>
        </w:rPr>
        <w:t>Imarem 400 mg film tablete: Tamnožute do braonkasto-narandžaste, ovalne, film tablete sa podionom crtom na jednoj strani i oznakom „400“ na drugoj strani.</w:t>
      </w:r>
    </w:p>
    <w:p w14:paraId="713CCB1F" w14:textId="77777777" w:rsidR="005D1EF5" w:rsidRPr="00056CC9" w:rsidRDefault="005D1EF5" w:rsidP="00056CC9">
      <w:pPr>
        <w:jc w:val="both"/>
        <w:rPr>
          <w:bCs/>
          <w:sz w:val="22"/>
          <w:szCs w:val="22"/>
          <w:lang w:val="sr-Latn-ME"/>
        </w:rPr>
      </w:pPr>
    </w:p>
    <w:p w14:paraId="44495960" w14:textId="77777777" w:rsidR="005D1EF5" w:rsidRPr="00056CC9" w:rsidRDefault="005D1EF5" w:rsidP="00056CC9">
      <w:pPr>
        <w:jc w:val="both"/>
        <w:rPr>
          <w:bCs/>
          <w:sz w:val="22"/>
          <w:szCs w:val="22"/>
          <w:lang w:val="sr-Latn-ME"/>
        </w:rPr>
      </w:pPr>
      <w:r w:rsidRPr="00056CC9">
        <w:rPr>
          <w:bCs/>
          <w:sz w:val="22"/>
          <w:szCs w:val="22"/>
          <w:lang w:val="sr-Latn-ME"/>
        </w:rPr>
        <w:t>Podiona crta je namijenjena dijeljenju tableta na jednake doze.</w:t>
      </w:r>
    </w:p>
    <w:p w14:paraId="4CF68E1E" w14:textId="77777777" w:rsidR="005D1EF5" w:rsidRPr="00056CC9" w:rsidRDefault="005D1EF5" w:rsidP="00056CC9">
      <w:pPr>
        <w:jc w:val="both"/>
        <w:rPr>
          <w:bCs/>
          <w:sz w:val="22"/>
          <w:szCs w:val="22"/>
          <w:lang w:val="sr-Latn-ME"/>
        </w:rPr>
      </w:pPr>
    </w:p>
    <w:p w14:paraId="7292376A" w14:textId="77777777" w:rsidR="000A1DA8" w:rsidRDefault="000A1DA8" w:rsidP="00056CC9">
      <w:pPr>
        <w:tabs>
          <w:tab w:val="left" w:pos="540"/>
          <w:tab w:val="left" w:pos="569"/>
        </w:tabs>
        <w:jc w:val="both"/>
        <w:rPr>
          <w:b/>
          <w:bCs/>
          <w:sz w:val="22"/>
          <w:szCs w:val="22"/>
          <w:lang w:val="sr-Latn-ME"/>
        </w:rPr>
      </w:pPr>
    </w:p>
    <w:p w14:paraId="29B6F15D" w14:textId="021ECC5A"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4. KLINIČKI PODACI</w:t>
      </w:r>
    </w:p>
    <w:p w14:paraId="6A5635CE" w14:textId="77777777" w:rsidR="005D1EF5" w:rsidRPr="00056CC9" w:rsidRDefault="005D1EF5" w:rsidP="00056CC9">
      <w:pPr>
        <w:tabs>
          <w:tab w:val="left" w:pos="540"/>
          <w:tab w:val="left" w:pos="569"/>
        </w:tabs>
        <w:jc w:val="both"/>
        <w:rPr>
          <w:bCs/>
          <w:sz w:val="22"/>
          <w:szCs w:val="22"/>
          <w:lang w:val="sr-Latn-ME"/>
        </w:rPr>
      </w:pPr>
    </w:p>
    <w:p w14:paraId="085B0272" w14:textId="7777777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4.1. Terapijske indikacije</w:t>
      </w:r>
    </w:p>
    <w:p w14:paraId="26798464" w14:textId="77777777" w:rsidR="005D1EF5" w:rsidRPr="00056CC9" w:rsidRDefault="005D1EF5" w:rsidP="00056CC9">
      <w:pPr>
        <w:tabs>
          <w:tab w:val="left" w:pos="540"/>
          <w:tab w:val="left" w:pos="569"/>
        </w:tabs>
        <w:jc w:val="both"/>
        <w:rPr>
          <w:b/>
          <w:bCs/>
          <w:sz w:val="22"/>
          <w:szCs w:val="22"/>
          <w:lang w:val="sr-Latn-ME"/>
        </w:rPr>
      </w:pPr>
    </w:p>
    <w:p w14:paraId="1ED8B3EA" w14:textId="77777777" w:rsidR="005D1EF5" w:rsidRPr="00056CC9" w:rsidRDefault="005D1EF5" w:rsidP="00056CC9">
      <w:pPr>
        <w:jc w:val="both"/>
        <w:rPr>
          <w:sz w:val="22"/>
          <w:szCs w:val="22"/>
          <w:lang w:val="sr-Latn-ME"/>
        </w:rPr>
      </w:pPr>
      <w:r w:rsidRPr="00056CC9">
        <w:rPr>
          <w:sz w:val="22"/>
          <w:szCs w:val="22"/>
          <w:lang w:val="sr-Latn-ME"/>
        </w:rPr>
        <w:t xml:space="preserve">Lijek Imarem je indikovan za liječenje: </w:t>
      </w:r>
    </w:p>
    <w:p w14:paraId="7A7AEBB3" w14:textId="77777777" w:rsidR="005D1EF5" w:rsidRPr="00056CC9" w:rsidRDefault="005D1EF5" w:rsidP="00056CC9">
      <w:pPr>
        <w:pStyle w:val="ListParagraph"/>
        <w:numPr>
          <w:ilvl w:val="0"/>
          <w:numId w:val="16"/>
        </w:numPr>
        <w:jc w:val="both"/>
        <w:rPr>
          <w:sz w:val="22"/>
          <w:szCs w:val="22"/>
          <w:lang w:val="sr-Latn-ME"/>
        </w:rPr>
      </w:pPr>
      <w:r w:rsidRPr="00056CC9">
        <w:rPr>
          <w:sz w:val="22"/>
          <w:szCs w:val="22"/>
          <w:lang w:val="sr-Latn-ME"/>
        </w:rPr>
        <w:t>pedijatrijskih pacijenata sa novodijagnostikovanom Filadelfija hromozom (bcr-abl) pozitivnom (Ph+)  hroničnom mijeloidnom leukemijom (engl. CML</w:t>
      </w:r>
      <w:r w:rsidRPr="00056CC9">
        <w:rPr>
          <w:i/>
          <w:sz w:val="22"/>
          <w:szCs w:val="22"/>
          <w:lang w:val="sr-Latn-ME"/>
        </w:rPr>
        <w:t>-chronic myeloid leukaemia</w:t>
      </w:r>
      <w:r w:rsidRPr="00056CC9">
        <w:rPr>
          <w:sz w:val="22"/>
          <w:szCs w:val="22"/>
          <w:lang w:val="sr-Latn-ME"/>
        </w:rPr>
        <w:t xml:space="preserve">) za koju je ustavnovljeno da transplantacija kostne srži ne može biti prva linija terapije; </w:t>
      </w:r>
    </w:p>
    <w:p w14:paraId="58B12E1B" w14:textId="77777777" w:rsidR="005D1EF5" w:rsidRPr="00056CC9" w:rsidRDefault="005D1EF5" w:rsidP="00056CC9">
      <w:pPr>
        <w:pStyle w:val="ListParagraph"/>
        <w:numPr>
          <w:ilvl w:val="0"/>
          <w:numId w:val="16"/>
        </w:numPr>
        <w:jc w:val="both"/>
        <w:rPr>
          <w:sz w:val="22"/>
          <w:szCs w:val="22"/>
          <w:lang w:val="sr-Latn-ME"/>
        </w:rPr>
      </w:pPr>
      <w:r w:rsidRPr="00056CC9">
        <w:rPr>
          <w:sz w:val="22"/>
          <w:szCs w:val="22"/>
          <w:lang w:val="sr-Latn-ME"/>
        </w:rPr>
        <w:t>pedijatrijskih pacijenata sa Ph +CML u hroničnoj fazi nakon neuspjeha interferon-alfa terapije, ili u ubrzanoj fazi;</w:t>
      </w:r>
    </w:p>
    <w:p w14:paraId="2042BA38" w14:textId="77777777" w:rsidR="005D1EF5" w:rsidRPr="00056CC9" w:rsidRDefault="005D1EF5" w:rsidP="00056CC9">
      <w:pPr>
        <w:pStyle w:val="ListParagraph"/>
        <w:numPr>
          <w:ilvl w:val="0"/>
          <w:numId w:val="16"/>
        </w:numPr>
        <w:jc w:val="both"/>
        <w:rPr>
          <w:sz w:val="22"/>
          <w:szCs w:val="22"/>
          <w:lang w:val="sr-Latn-ME"/>
        </w:rPr>
      </w:pPr>
      <w:r w:rsidRPr="00056CC9">
        <w:rPr>
          <w:sz w:val="22"/>
          <w:szCs w:val="22"/>
          <w:lang w:val="sr-Latn-ME"/>
        </w:rPr>
        <w:t>odraslih i pedijatrijskih pacijenata sa Ph +CML u blastnoj krizi;</w:t>
      </w:r>
    </w:p>
    <w:p w14:paraId="3AEECC36" w14:textId="77777777" w:rsidR="005D1EF5" w:rsidRPr="00056CC9" w:rsidRDefault="005D1EF5" w:rsidP="00056CC9">
      <w:pPr>
        <w:pStyle w:val="ListParagraph"/>
        <w:numPr>
          <w:ilvl w:val="0"/>
          <w:numId w:val="16"/>
        </w:numPr>
        <w:jc w:val="both"/>
        <w:rPr>
          <w:sz w:val="22"/>
          <w:szCs w:val="22"/>
          <w:lang w:val="sr-Latn-ME"/>
        </w:rPr>
      </w:pPr>
      <w:r w:rsidRPr="00056CC9">
        <w:rPr>
          <w:sz w:val="22"/>
          <w:szCs w:val="22"/>
          <w:lang w:val="sr-Latn-ME"/>
        </w:rPr>
        <w:t xml:space="preserve">odraslih pacijenata sa novodijagnostikovanom Filadelfija hromozom pozitivnom akutnom limfoblastnom leukemijom (engl. Ph+ ALL – </w:t>
      </w:r>
      <w:r w:rsidRPr="00056CC9">
        <w:rPr>
          <w:i/>
          <w:sz w:val="22"/>
          <w:szCs w:val="22"/>
          <w:lang w:val="sr-Latn-ME"/>
        </w:rPr>
        <w:t>acute lymphoblastic leukaemia</w:t>
      </w:r>
      <w:r w:rsidRPr="00056CC9">
        <w:rPr>
          <w:sz w:val="22"/>
          <w:szCs w:val="22"/>
          <w:lang w:val="sr-Latn-ME"/>
        </w:rPr>
        <w:t xml:space="preserve">) zajedno sa hemioterapijom; </w:t>
      </w:r>
    </w:p>
    <w:p w14:paraId="761D1399" w14:textId="77777777" w:rsidR="005D1EF5" w:rsidRPr="00056CC9" w:rsidRDefault="005D1EF5" w:rsidP="00056CC9">
      <w:pPr>
        <w:pStyle w:val="ListParagraph"/>
        <w:numPr>
          <w:ilvl w:val="0"/>
          <w:numId w:val="16"/>
        </w:numPr>
        <w:jc w:val="both"/>
        <w:rPr>
          <w:sz w:val="22"/>
          <w:szCs w:val="22"/>
          <w:lang w:val="sr-Latn-ME"/>
        </w:rPr>
      </w:pPr>
      <w:r w:rsidRPr="00056CC9">
        <w:rPr>
          <w:sz w:val="22"/>
          <w:szCs w:val="22"/>
          <w:lang w:val="sr-Latn-ME"/>
        </w:rPr>
        <w:t>odraslih pacijenata sa relapsnom ili refraktarnom Ph+ALL kao monoterapija;</w:t>
      </w:r>
    </w:p>
    <w:p w14:paraId="5485C892" w14:textId="77777777" w:rsidR="005D1EF5" w:rsidRPr="00056CC9" w:rsidRDefault="005D1EF5" w:rsidP="00056CC9">
      <w:pPr>
        <w:pStyle w:val="ListParagraph"/>
        <w:numPr>
          <w:ilvl w:val="0"/>
          <w:numId w:val="16"/>
        </w:numPr>
        <w:jc w:val="both"/>
        <w:rPr>
          <w:sz w:val="22"/>
          <w:szCs w:val="22"/>
          <w:lang w:val="sr-Latn-ME"/>
        </w:rPr>
      </w:pPr>
      <w:r w:rsidRPr="00056CC9">
        <w:rPr>
          <w:sz w:val="22"/>
          <w:szCs w:val="22"/>
          <w:lang w:val="sr-Latn-ME"/>
        </w:rPr>
        <w:t>odraslih pacijenata sa mijelodisplastičnom/mijeloproliferativnom bolešću (engl. MDS/MPD-</w:t>
      </w:r>
      <w:r w:rsidRPr="00056CC9">
        <w:rPr>
          <w:i/>
          <w:sz w:val="22"/>
          <w:szCs w:val="22"/>
          <w:lang w:val="sr-Latn-ME"/>
        </w:rPr>
        <w:t>myelodisplastic/myeloproliferative diseases</w:t>
      </w:r>
      <w:r w:rsidRPr="00056CC9">
        <w:rPr>
          <w:sz w:val="22"/>
          <w:szCs w:val="22"/>
          <w:lang w:val="sr-Latn-ME"/>
        </w:rPr>
        <w:t>) povezanom sa rearanžiranjem gena za receptore za trombocitni faktor rasta (engl. PDGFR-</w:t>
      </w:r>
      <w:r w:rsidRPr="00056CC9">
        <w:rPr>
          <w:i/>
          <w:sz w:val="22"/>
          <w:szCs w:val="22"/>
          <w:lang w:val="sr-Latn-ME"/>
        </w:rPr>
        <w:t>platelet derived growth factor receptor</w:t>
      </w:r>
      <w:r w:rsidRPr="00056CC9">
        <w:rPr>
          <w:sz w:val="22"/>
          <w:szCs w:val="22"/>
          <w:lang w:val="sr-Latn-ME"/>
        </w:rPr>
        <w:t>);</w:t>
      </w:r>
    </w:p>
    <w:p w14:paraId="2B6C69C6" w14:textId="77777777" w:rsidR="005D1EF5" w:rsidRPr="00056CC9" w:rsidRDefault="005D1EF5" w:rsidP="00056CC9">
      <w:pPr>
        <w:pStyle w:val="ListParagraph"/>
        <w:numPr>
          <w:ilvl w:val="0"/>
          <w:numId w:val="16"/>
        </w:numPr>
        <w:jc w:val="both"/>
        <w:rPr>
          <w:sz w:val="22"/>
          <w:szCs w:val="22"/>
          <w:lang w:val="sr-Latn-ME"/>
        </w:rPr>
      </w:pPr>
      <w:r w:rsidRPr="00056CC9">
        <w:rPr>
          <w:bCs/>
          <w:sz w:val="22"/>
          <w:szCs w:val="22"/>
          <w:lang w:val="sr-Latn-ME"/>
        </w:rPr>
        <w:t>odraslih pacijenata sa uznapredovalim hipereozinofilnim sindromom (engl. HES-</w:t>
      </w:r>
      <w:r w:rsidRPr="00056CC9">
        <w:rPr>
          <w:bCs/>
          <w:i/>
          <w:sz w:val="22"/>
          <w:szCs w:val="22"/>
          <w:lang w:val="sr-Latn-ME"/>
        </w:rPr>
        <w:t>hypereosinofilic syndrome</w:t>
      </w:r>
      <w:r w:rsidRPr="00056CC9">
        <w:rPr>
          <w:bCs/>
          <w:sz w:val="22"/>
          <w:szCs w:val="22"/>
          <w:lang w:val="sr-Latn-ME"/>
        </w:rPr>
        <w:t>) i/ili hroničnom eozinofilnom leukemijom (engl. CEL-</w:t>
      </w:r>
      <w:r w:rsidRPr="00056CC9">
        <w:rPr>
          <w:bCs/>
          <w:i/>
          <w:sz w:val="22"/>
          <w:szCs w:val="22"/>
          <w:lang w:val="sr-Latn-ME"/>
        </w:rPr>
        <w:t>chronic eosinophilic leukaemia</w:t>
      </w:r>
      <w:r w:rsidRPr="00056CC9">
        <w:rPr>
          <w:bCs/>
          <w:sz w:val="22"/>
          <w:szCs w:val="22"/>
          <w:lang w:val="sr-Latn-ME"/>
        </w:rPr>
        <w:t>) sa FIP1L1-PDGFRalfa rearanžmanom.</w:t>
      </w:r>
    </w:p>
    <w:p w14:paraId="79229782" w14:textId="77777777" w:rsidR="005D1EF5" w:rsidRPr="00056CC9" w:rsidRDefault="005D1EF5" w:rsidP="00056CC9">
      <w:pPr>
        <w:tabs>
          <w:tab w:val="left" w:pos="540"/>
          <w:tab w:val="left" w:pos="569"/>
        </w:tabs>
        <w:jc w:val="both"/>
        <w:rPr>
          <w:bCs/>
          <w:sz w:val="22"/>
          <w:szCs w:val="22"/>
          <w:lang w:val="sr-Latn-ME"/>
        </w:rPr>
      </w:pPr>
    </w:p>
    <w:p w14:paraId="3F1B5A7A"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Efekat lijeka Imarem na ishod transplantacije kostne srži nije utvrđen.</w:t>
      </w:r>
    </w:p>
    <w:p w14:paraId="176AC4BA" w14:textId="77777777" w:rsidR="005D1EF5" w:rsidRPr="00056CC9" w:rsidRDefault="005D1EF5" w:rsidP="00056CC9">
      <w:pPr>
        <w:tabs>
          <w:tab w:val="left" w:pos="540"/>
          <w:tab w:val="left" w:pos="569"/>
        </w:tabs>
        <w:jc w:val="both"/>
        <w:rPr>
          <w:bCs/>
          <w:sz w:val="22"/>
          <w:szCs w:val="22"/>
          <w:lang w:val="sr-Latn-ME"/>
        </w:rPr>
      </w:pPr>
    </w:p>
    <w:p w14:paraId="2BEF2594" w14:textId="77777777" w:rsidR="000A1DA8" w:rsidRDefault="000A1DA8" w:rsidP="00056CC9">
      <w:pPr>
        <w:tabs>
          <w:tab w:val="left" w:pos="540"/>
          <w:tab w:val="left" w:pos="569"/>
        </w:tabs>
        <w:jc w:val="both"/>
        <w:rPr>
          <w:bCs/>
          <w:sz w:val="22"/>
          <w:szCs w:val="22"/>
          <w:lang w:val="sr-Latn-ME"/>
        </w:rPr>
      </w:pPr>
    </w:p>
    <w:p w14:paraId="7609D534" w14:textId="1A438918"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lastRenderedPageBreak/>
        <w:t>Lijek Imarem je indikovan za:</w:t>
      </w:r>
    </w:p>
    <w:p w14:paraId="72453096" w14:textId="77777777" w:rsidR="005D1EF5" w:rsidRPr="00056CC9" w:rsidRDefault="005D1EF5" w:rsidP="00056CC9">
      <w:pPr>
        <w:jc w:val="both"/>
        <w:rPr>
          <w:sz w:val="22"/>
          <w:szCs w:val="22"/>
          <w:lang w:val="sr-Latn-ME"/>
        </w:rPr>
      </w:pPr>
      <w:r w:rsidRPr="00056CC9">
        <w:rPr>
          <w:sz w:val="22"/>
          <w:szCs w:val="22"/>
          <w:lang w:val="sr-Latn-ME"/>
        </w:rPr>
        <w:t>• liječenje odraslih pacijenata sa neresektabilnim dermatofibrosarkomom protuberans (DFSP) i odraslih pacijenata sa rekurentnim i/ili metastatskim DFSP-om koji nisu podobni za hirurški zahvat.</w:t>
      </w:r>
    </w:p>
    <w:p w14:paraId="6365DEB4" w14:textId="77777777" w:rsidR="005D1EF5" w:rsidRPr="00056CC9" w:rsidRDefault="005D1EF5" w:rsidP="00056CC9">
      <w:pPr>
        <w:tabs>
          <w:tab w:val="left" w:pos="540"/>
          <w:tab w:val="left" w:pos="569"/>
        </w:tabs>
        <w:rPr>
          <w:bCs/>
          <w:sz w:val="22"/>
          <w:szCs w:val="22"/>
          <w:lang w:val="sr-Latn-ME"/>
        </w:rPr>
      </w:pPr>
    </w:p>
    <w:p w14:paraId="561D951A" w14:textId="77777777" w:rsidR="005D1EF5" w:rsidRPr="00056CC9" w:rsidRDefault="005D1EF5" w:rsidP="00056CC9">
      <w:pPr>
        <w:jc w:val="both"/>
        <w:rPr>
          <w:sz w:val="22"/>
          <w:szCs w:val="22"/>
          <w:lang w:val="sr-Latn-ME"/>
        </w:rPr>
      </w:pPr>
      <w:r w:rsidRPr="00056CC9">
        <w:rPr>
          <w:sz w:val="22"/>
          <w:szCs w:val="22"/>
          <w:lang w:val="sr-Latn-ME"/>
        </w:rPr>
        <w:t xml:space="preserve">Kod odraslih i pedijatrijskih pacijenata, efikasnost lijeka Imarem  se bazira na cjelokupnoj hematološkoj i citogenetskoj stopi odgovora i preživljavanju bez progresije bolesti u CML, na hematološkoj i citogenetskoj stopi odgovora u  Ph+ALL, MDS/MPD, na hematološkoj stopi odgovora u HES/CEL, na objektivnoj stopi odgovora kod odraslih pacijenata sa neresektabilnim i/ili metastatskim DFSP-om. Iskustvo sa imatinibom kod pacijenata sa MDS/MPD povezanom sa rearanžiranjem gena za PDGFR je vrlo ograničeno (vidjeti dio 5.1). </w:t>
      </w:r>
    </w:p>
    <w:p w14:paraId="47EDEDFF" w14:textId="77777777" w:rsidR="005D1EF5" w:rsidRPr="00056CC9" w:rsidRDefault="005D1EF5" w:rsidP="00056CC9">
      <w:pPr>
        <w:jc w:val="both"/>
        <w:rPr>
          <w:sz w:val="22"/>
          <w:szCs w:val="22"/>
          <w:lang w:val="sr-Latn-ME"/>
        </w:rPr>
      </w:pPr>
      <w:r w:rsidRPr="00056CC9">
        <w:rPr>
          <w:sz w:val="22"/>
          <w:szCs w:val="22"/>
          <w:lang w:val="sr-Latn-ME"/>
        </w:rPr>
        <w:t>Izuzev kod novodijagnostikovane CML u hroničnoj fazi, ne postoje kontrolisane studije koje pokazuju kliničku korist ili povećano preživljavanje kod ovih bolesti.</w:t>
      </w:r>
    </w:p>
    <w:p w14:paraId="0DD02A87" w14:textId="77777777" w:rsidR="005D1EF5" w:rsidRPr="00056CC9" w:rsidRDefault="005D1EF5" w:rsidP="00056CC9">
      <w:pPr>
        <w:tabs>
          <w:tab w:val="left" w:pos="540"/>
          <w:tab w:val="left" w:pos="569"/>
        </w:tabs>
        <w:rPr>
          <w:bCs/>
          <w:sz w:val="22"/>
          <w:szCs w:val="22"/>
          <w:lang w:val="sr-Latn-ME"/>
        </w:rPr>
      </w:pPr>
    </w:p>
    <w:p w14:paraId="05FC3D2F" w14:textId="7777777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4.2. Doziranje i način primjene</w:t>
      </w:r>
    </w:p>
    <w:p w14:paraId="38C3FA22" w14:textId="77777777" w:rsidR="005D1EF5" w:rsidRPr="00056CC9" w:rsidRDefault="005D1EF5" w:rsidP="00056CC9">
      <w:pPr>
        <w:tabs>
          <w:tab w:val="left" w:pos="540"/>
          <w:tab w:val="left" w:pos="569"/>
        </w:tabs>
        <w:jc w:val="both"/>
        <w:rPr>
          <w:bCs/>
          <w:sz w:val="22"/>
          <w:szCs w:val="22"/>
          <w:u w:val="single"/>
          <w:lang w:val="sr-Latn-ME"/>
        </w:rPr>
      </w:pPr>
    </w:p>
    <w:p w14:paraId="515FBDD2"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Terapiju treba da započne ljekar koji ima iskustva u liječenju pacijenata sa hematološkim malignitetima i malignim sarkomima na odgovarajući način.</w:t>
      </w:r>
    </w:p>
    <w:p w14:paraId="61020877"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 xml:space="preserve"> </w:t>
      </w:r>
    </w:p>
    <w:p w14:paraId="260B9BA4"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Propisanu dozu treba primijeniti oralno, uz obrok i veliku čašu vode, kako bi se umanjio rizik od gastrointestinalnih iritacija. Doze od 400 mg ili 600 mg primjenjuju se jednom dnevno, dok dnevnu dozu od 800 mg treba primijeniti podijeljeno u dvije doze od po 400 mg, ujutro i uveče.</w:t>
      </w:r>
    </w:p>
    <w:p w14:paraId="265EB753" w14:textId="77777777" w:rsidR="005D1EF5" w:rsidRPr="00056CC9" w:rsidRDefault="005D1EF5" w:rsidP="00056CC9">
      <w:pPr>
        <w:tabs>
          <w:tab w:val="left" w:pos="540"/>
          <w:tab w:val="left" w:pos="569"/>
        </w:tabs>
        <w:jc w:val="both"/>
        <w:rPr>
          <w:bCs/>
          <w:sz w:val="22"/>
          <w:szCs w:val="22"/>
          <w:lang w:val="sr-Latn-ME"/>
        </w:rPr>
      </w:pPr>
    </w:p>
    <w:p w14:paraId="1AABAF57"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Za pacijente koji ne mogu da gutaju film tablete, tablete se mogu rastvoriti u čaši vode ili soka od jabuke. Potreban broj tableta treba staviti u odgovarajuću količinu napitka (oko 50 ml za tabletu od 100 mg i 200 ml za tabletu od 400 mg) i promiješati kašikom. Suspenzija se mora popiti odmah  nakon potpunog raspada tablete(a).</w:t>
      </w:r>
    </w:p>
    <w:p w14:paraId="47725B52" w14:textId="77777777" w:rsidR="005D1EF5" w:rsidRPr="00056CC9" w:rsidRDefault="005D1EF5" w:rsidP="00056CC9">
      <w:pPr>
        <w:tabs>
          <w:tab w:val="left" w:pos="540"/>
          <w:tab w:val="left" w:pos="569"/>
        </w:tabs>
        <w:jc w:val="both"/>
        <w:rPr>
          <w:bCs/>
          <w:sz w:val="22"/>
          <w:szCs w:val="22"/>
          <w:u w:val="single"/>
          <w:lang w:val="sr-Latn-ME"/>
        </w:rPr>
      </w:pPr>
    </w:p>
    <w:p w14:paraId="092633E8"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Doziranje za CML kod odraslih pacijenata</w:t>
      </w:r>
    </w:p>
    <w:p w14:paraId="19A1F9F7"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Za odrasle pacijente u blastnoj krizi preporučena doza lijeka Imarem iznosi 600 mg/dan. Blastna kriza se definiše kao prisustvo ≥ 30% blastocita u krvi ili kostnoj srži ili ekstramedularna bolest, osim hepatosplenomegalije.</w:t>
      </w:r>
    </w:p>
    <w:p w14:paraId="75FF326C"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Trajanje terapije: Nije ispitivan efekat prekidanja terapije poslije postizanja kompletnog citogenetskog odgovora.</w:t>
      </w:r>
    </w:p>
    <w:p w14:paraId="5A3E5431" w14:textId="77777777" w:rsidR="005D1EF5" w:rsidRPr="00056CC9" w:rsidRDefault="005D1EF5" w:rsidP="00056CC9">
      <w:pPr>
        <w:tabs>
          <w:tab w:val="left" w:pos="540"/>
          <w:tab w:val="left" w:pos="569"/>
        </w:tabs>
        <w:jc w:val="both"/>
        <w:rPr>
          <w:bCs/>
          <w:sz w:val="22"/>
          <w:szCs w:val="22"/>
          <w:lang w:val="sr-Latn-ME"/>
        </w:rPr>
      </w:pPr>
    </w:p>
    <w:p w14:paraId="2430B87D"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Povećanje doze sa 600 mg na maksimalnih 800 mg/dan (primijenjeno dva puta dnevno po 400 mg)  može se razmotriti kod pacijenata u blastnoj krizi u odsustvu teških neželjenih reakcija na  lijek i teške, za leukemiju nevezane, neutropenije ili trombocitopenije u sljedećim okolnostima: neuspjeh u postizanju zadovoljavajućeg hematološkog odgovora poslije najmanje 3 mjeseca terapije; neuspjeh u postizanju citogenetskog odgovora poslije 12 mjeseci terapije; ili gubitak prethodno postignutog hematološkog i/ili citogenetskog odgovora. Pacijente treba pažljivo pratiti nakon povećanje doze, s obzirom na potencijal za povećanu incidencu neželjenih dejstava pri višim dozama.</w:t>
      </w:r>
    </w:p>
    <w:p w14:paraId="7C226155" w14:textId="77777777" w:rsidR="005D1EF5" w:rsidRPr="00056CC9" w:rsidRDefault="005D1EF5" w:rsidP="00056CC9">
      <w:pPr>
        <w:tabs>
          <w:tab w:val="left" w:pos="540"/>
          <w:tab w:val="left" w:pos="569"/>
        </w:tabs>
        <w:jc w:val="both"/>
        <w:rPr>
          <w:bCs/>
          <w:sz w:val="22"/>
          <w:szCs w:val="22"/>
          <w:u w:val="single"/>
          <w:lang w:val="sr-Latn-ME"/>
        </w:rPr>
      </w:pPr>
    </w:p>
    <w:p w14:paraId="4DFCF67C"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Doziranje za CML kod djece</w:t>
      </w:r>
    </w:p>
    <w:p w14:paraId="7C88CF94"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 xml:space="preserve">Doziranje kod djece treba da bude zasnovano na tjelesnoj površini (mg/m2). Doza od 340 mg/m2 dnevno se preporučuje za djecu sa hroničnom fazom CML i uznapredovalom fazom CML (a da se ne pređe ukupna doza od 800 mg). Lijek se može dati u vidu jedne dnevne doze ili se alternativno dnevna doza može podijeliti u dva davanja – jedno ujutro, a drugo uveče. Preporučena doza je za sada zasnovana na malom broju pedijatrijskih pacijenata (vidjeti djelove 5.1 i 5.2). </w:t>
      </w:r>
    </w:p>
    <w:p w14:paraId="27906D7C" w14:textId="77777777" w:rsidR="005D1EF5" w:rsidRPr="00056CC9" w:rsidRDefault="005D1EF5" w:rsidP="00056CC9">
      <w:pPr>
        <w:tabs>
          <w:tab w:val="left" w:pos="540"/>
          <w:tab w:val="left" w:pos="569"/>
        </w:tabs>
        <w:jc w:val="both"/>
        <w:rPr>
          <w:bCs/>
          <w:sz w:val="22"/>
          <w:szCs w:val="22"/>
          <w:lang w:val="sr-Latn-ME"/>
        </w:rPr>
      </w:pPr>
    </w:p>
    <w:p w14:paraId="6AC4E651"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Nema iskustava sa terapijom djece uzrasta ispod 2 godine.</w:t>
      </w:r>
    </w:p>
    <w:p w14:paraId="1EC49B14" w14:textId="77777777" w:rsidR="005D1EF5" w:rsidRPr="00056CC9" w:rsidRDefault="005D1EF5" w:rsidP="00056CC9">
      <w:pPr>
        <w:tabs>
          <w:tab w:val="left" w:pos="540"/>
          <w:tab w:val="left" w:pos="569"/>
        </w:tabs>
        <w:jc w:val="both"/>
        <w:rPr>
          <w:bCs/>
          <w:sz w:val="22"/>
          <w:szCs w:val="22"/>
          <w:lang w:val="sr-Latn-ME"/>
        </w:rPr>
      </w:pPr>
    </w:p>
    <w:p w14:paraId="777E063C"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 xml:space="preserve">Povećanje doze od 340 mg/m2 dnevno do 570 mg/m2 dnevno (a da se ne pređe ukupna doza od 800 mg) može se razmotriti kod djece kod kojih nema teških neželjenih reakcija na lijek, i teške, za leukemiju nevezane, neutropenije ili trombocitopenije u sljedećim okolnostima: progresija bolesti (u bilo kom trenutku); neuspjeh u postizanju zadovoljavajućeg hematološkog odgovora poslije najmanje 3 mjeseca terapije; neuspjeh u postizanju citogenetskog odgovora  poslije 12 mjeseci terapije; ili gubitak prethodno </w:t>
      </w:r>
      <w:r w:rsidRPr="00056CC9">
        <w:rPr>
          <w:bCs/>
          <w:sz w:val="22"/>
          <w:szCs w:val="22"/>
          <w:lang w:val="sr-Latn-ME"/>
        </w:rPr>
        <w:lastRenderedPageBreak/>
        <w:t>postignutog hematološkog i/ili citogenetskog odgovora. Pacijente treba pažljivo pratiti nakon povećavanja doza, s obzirom na potencijal za povećanu incidencu neželjenih reakcija pri višim dozama.</w:t>
      </w:r>
    </w:p>
    <w:p w14:paraId="38C21FF0" w14:textId="77777777" w:rsidR="005D1EF5" w:rsidRPr="00056CC9" w:rsidRDefault="005D1EF5" w:rsidP="00056CC9">
      <w:pPr>
        <w:tabs>
          <w:tab w:val="left" w:pos="540"/>
          <w:tab w:val="left" w:pos="569"/>
        </w:tabs>
        <w:jc w:val="both"/>
        <w:rPr>
          <w:bCs/>
          <w:sz w:val="22"/>
          <w:szCs w:val="22"/>
          <w:u w:val="single"/>
          <w:lang w:val="sr-Latn-ME"/>
        </w:rPr>
      </w:pPr>
    </w:p>
    <w:p w14:paraId="0A5002A6"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Doziranje za Ph+ ALL kod odraslih pacijenata</w:t>
      </w:r>
    </w:p>
    <w:p w14:paraId="3A824038"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Preporučena doza lijeka Imarem je 600 mg/dan za odrasle pacijente sa Ph+ALL. Hematološki eksperti za terapiju ove bolesti treba da nadgledaju terapiju tokom svih faza liječenja.</w:t>
      </w:r>
    </w:p>
    <w:p w14:paraId="31E67ABD" w14:textId="77777777" w:rsidR="005D1EF5" w:rsidRPr="00056CC9" w:rsidRDefault="005D1EF5" w:rsidP="00056CC9">
      <w:pPr>
        <w:tabs>
          <w:tab w:val="left" w:pos="540"/>
          <w:tab w:val="left" w:pos="569"/>
        </w:tabs>
        <w:jc w:val="both"/>
        <w:rPr>
          <w:bCs/>
          <w:sz w:val="22"/>
          <w:szCs w:val="22"/>
          <w:u w:val="single"/>
          <w:lang w:val="sr-Latn-ME"/>
        </w:rPr>
      </w:pPr>
    </w:p>
    <w:p w14:paraId="71FF68B1"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Raspored terapije:</w:t>
      </w:r>
      <w:r w:rsidRPr="00056CC9">
        <w:rPr>
          <w:bCs/>
          <w:sz w:val="22"/>
          <w:szCs w:val="22"/>
          <w:u w:val="single"/>
          <w:lang w:val="sr-Latn-ME"/>
        </w:rPr>
        <w:t xml:space="preserve"> </w:t>
      </w:r>
      <w:r w:rsidRPr="00056CC9">
        <w:rPr>
          <w:bCs/>
          <w:sz w:val="22"/>
          <w:szCs w:val="22"/>
          <w:lang w:val="sr-Latn-ME"/>
        </w:rPr>
        <w:t>Na osnovu postojećih podataka, pokazano je da je imatinib efikasan i bezbjedan kad se daje 600 mg/dan u kombinaciji sa hemoterapijom u fazi indukcije, faze konsolidacije i održavanja hemoterapije (vidjeti dio 5.1) kod odraslih pacijenata sa novodijagnostikovanom Ph+ ALL. Trajanje terapije imatinibom može da varira u zavisnosti od odabranog programa liječenja, ali uglavnom, duža izloženost imatinibu je dala bolje rezultate.</w:t>
      </w:r>
    </w:p>
    <w:p w14:paraId="6E604BCE" w14:textId="77777777" w:rsidR="005D1EF5" w:rsidRPr="00056CC9" w:rsidRDefault="005D1EF5" w:rsidP="00056CC9">
      <w:pPr>
        <w:tabs>
          <w:tab w:val="left" w:pos="540"/>
          <w:tab w:val="left" w:pos="569"/>
        </w:tabs>
        <w:jc w:val="both"/>
        <w:rPr>
          <w:bCs/>
          <w:sz w:val="22"/>
          <w:szCs w:val="22"/>
          <w:lang w:val="sr-Latn-ME"/>
        </w:rPr>
      </w:pPr>
    </w:p>
    <w:p w14:paraId="7F490143"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Kod odraslih pacijenata sa relapsom bolesti ili refraktarnom Ph+ALL, monoterapija imatinibom primijenjenim u dozi 600 mg/dan je bezbjedna, efikasna i može se davati sve do pojave progresije bolesti.</w:t>
      </w:r>
    </w:p>
    <w:p w14:paraId="2EC2690B" w14:textId="77777777" w:rsidR="005D1EF5" w:rsidRPr="00056CC9" w:rsidRDefault="005D1EF5" w:rsidP="00056CC9">
      <w:pPr>
        <w:tabs>
          <w:tab w:val="left" w:pos="540"/>
          <w:tab w:val="left" w:pos="569"/>
        </w:tabs>
        <w:jc w:val="both"/>
        <w:rPr>
          <w:bCs/>
          <w:sz w:val="22"/>
          <w:szCs w:val="22"/>
          <w:u w:val="single"/>
          <w:lang w:val="sr-Latn-ME"/>
        </w:rPr>
      </w:pPr>
    </w:p>
    <w:p w14:paraId="73448EA7"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Doziranje za MDS/MPD</w:t>
      </w:r>
    </w:p>
    <w:p w14:paraId="28219DB2"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Preporučena doza lijeka Imarem je 400 mg/dan za odrasle pacijente sa MDS/MPD.</w:t>
      </w:r>
    </w:p>
    <w:p w14:paraId="2CAB876A" w14:textId="77777777" w:rsidR="005D1EF5" w:rsidRPr="00056CC9" w:rsidRDefault="005D1EF5" w:rsidP="00056CC9">
      <w:pPr>
        <w:tabs>
          <w:tab w:val="left" w:pos="540"/>
          <w:tab w:val="left" w:pos="569"/>
        </w:tabs>
        <w:jc w:val="both"/>
        <w:rPr>
          <w:bCs/>
          <w:sz w:val="22"/>
          <w:szCs w:val="22"/>
          <w:lang w:val="sr-Latn-ME"/>
        </w:rPr>
      </w:pPr>
    </w:p>
    <w:p w14:paraId="4B76A780"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Trajanje terapije: u jedinom do danas sprovedenom kliničkom ispitivanju, terapija imatinibom se nastavljala do progresije bolesti (vidjeti dio 5.1). U vrijeme analize, medijana dužine terapije bila je 47 mjeseci (24 dana - 60 mjeseci).</w:t>
      </w:r>
    </w:p>
    <w:p w14:paraId="2204C9F8" w14:textId="77777777" w:rsidR="005D1EF5" w:rsidRPr="00056CC9" w:rsidRDefault="005D1EF5" w:rsidP="00056CC9">
      <w:pPr>
        <w:tabs>
          <w:tab w:val="left" w:pos="540"/>
          <w:tab w:val="left" w:pos="569"/>
        </w:tabs>
        <w:jc w:val="both"/>
        <w:rPr>
          <w:bCs/>
          <w:sz w:val="22"/>
          <w:szCs w:val="22"/>
          <w:u w:val="single"/>
          <w:lang w:val="sr-Latn-ME"/>
        </w:rPr>
      </w:pPr>
    </w:p>
    <w:p w14:paraId="2CC4FB39"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Doziranje za HES/CEL</w:t>
      </w:r>
    </w:p>
    <w:p w14:paraId="1BE6822A"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Preporučena doza lijeka Imarem je 100 mg/dan za odrasle pacijente sa HES/CEL.</w:t>
      </w:r>
    </w:p>
    <w:p w14:paraId="751C5188" w14:textId="77777777" w:rsidR="005D1EF5" w:rsidRPr="00056CC9" w:rsidRDefault="005D1EF5" w:rsidP="00056CC9">
      <w:pPr>
        <w:tabs>
          <w:tab w:val="left" w:pos="540"/>
          <w:tab w:val="left" w:pos="569"/>
        </w:tabs>
        <w:jc w:val="both"/>
        <w:rPr>
          <w:bCs/>
          <w:sz w:val="22"/>
          <w:szCs w:val="22"/>
          <w:lang w:val="sr-Latn-ME"/>
        </w:rPr>
      </w:pPr>
    </w:p>
    <w:p w14:paraId="5A70CB29"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Povećanje doze od 100 mg do 400 mg može se razmotriti, u odsustvu neželjenih reakcija, ako procjene pokažu nezadovoljavajući odgovor na terapiju.</w:t>
      </w:r>
    </w:p>
    <w:p w14:paraId="342ECE5E" w14:textId="77777777" w:rsidR="005D1EF5" w:rsidRPr="00056CC9" w:rsidRDefault="005D1EF5" w:rsidP="00056CC9">
      <w:pPr>
        <w:tabs>
          <w:tab w:val="left" w:pos="540"/>
          <w:tab w:val="left" w:pos="569"/>
        </w:tabs>
        <w:jc w:val="both"/>
        <w:rPr>
          <w:bCs/>
          <w:sz w:val="22"/>
          <w:szCs w:val="22"/>
          <w:u w:val="single"/>
          <w:lang w:val="sr-Latn-ME"/>
        </w:rPr>
      </w:pPr>
    </w:p>
    <w:p w14:paraId="02AFCA43"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Terapiju treba nastaviti sve dok pacijent ima koristi od nje.</w:t>
      </w:r>
    </w:p>
    <w:p w14:paraId="2CEF2536" w14:textId="77777777" w:rsidR="005D1EF5" w:rsidRPr="00056CC9" w:rsidRDefault="005D1EF5" w:rsidP="00056CC9">
      <w:pPr>
        <w:tabs>
          <w:tab w:val="left" w:pos="540"/>
          <w:tab w:val="left" w:pos="569"/>
        </w:tabs>
        <w:jc w:val="both"/>
        <w:rPr>
          <w:bCs/>
          <w:sz w:val="22"/>
          <w:szCs w:val="22"/>
          <w:u w:val="single"/>
          <w:lang w:val="sr-Latn-ME"/>
        </w:rPr>
      </w:pPr>
    </w:p>
    <w:p w14:paraId="6D735D49"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Doziranje za DFSP</w:t>
      </w:r>
    </w:p>
    <w:p w14:paraId="7DCEB419"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Preporučena doza lijeka Imarem je 800 mg/dan za odrasle pacijente sa DFSP.</w:t>
      </w:r>
    </w:p>
    <w:p w14:paraId="7DE02993" w14:textId="77777777" w:rsidR="005D1EF5" w:rsidRPr="00056CC9" w:rsidRDefault="005D1EF5" w:rsidP="00056CC9">
      <w:pPr>
        <w:tabs>
          <w:tab w:val="left" w:pos="540"/>
          <w:tab w:val="left" w:pos="569"/>
        </w:tabs>
        <w:jc w:val="both"/>
        <w:rPr>
          <w:bCs/>
          <w:sz w:val="22"/>
          <w:szCs w:val="22"/>
          <w:u w:val="single"/>
          <w:lang w:val="sr-Latn-ME"/>
        </w:rPr>
      </w:pPr>
    </w:p>
    <w:p w14:paraId="1BA7EE68"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 xml:space="preserve">Prilagođavanje doze kod neželjenih reakcija </w:t>
      </w:r>
    </w:p>
    <w:p w14:paraId="3C445407" w14:textId="77777777" w:rsidR="000A1DA8" w:rsidRDefault="000A1DA8" w:rsidP="00056CC9">
      <w:pPr>
        <w:tabs>
          <w:tab w:val="left" w:pos="540"/>
          <w:tab w:val="left" w:pos="569"/>
        </w:tabs>
        <w:jc w:val="both"/>
        <w:rPr>
          <w:bCs/>
          <w:i/>
          <w:iCs/>
          <w:sz w:val="22"/>
          <w:szCs w:val="22"/>
          <w:lang w:val="sr-Latn-ME"/>
        </w:rPr>
      </w:pPr>
    </w:p>
    <w:p w14:paraId="1471C4F4" w14:textId="2DF8C903" w:rsidR="005D1EF5" w:rsidRPr="00056CC9" w:rsidRDefault="005D1EF5" w:rsidP="00056CC9">
      <w:pPr>
        <w:tabs>
          <w:tab w:val="left" w:pos="540"/>
          <w:tab w:val="left" w:pos="569"/>
        </w:tabs>
        <w:jc w:val="both"/>
        <w:rPr>
          <w:bCs/>
          <w:i/>
          <w:iCs/>
          <w:sz w:val="22"/>
          <w:szCs w:val="22"/>
          <w:lang w:val="sr-Latn-ME"/>
        </w:rPr>
      </w:pPr>
      <w:r w:rsidRPr="00056CC9">
        <w:rPr>
          <w:bCs/>
          <w:i/>
          <w:iCs/>
          <w:sz w:val="22"/>
          <w:szCs w:val="22"/>
          <w:lang w:val="sr-Latn-ME"/>
        </w:rPr>
        <w:t>Nehematološke neželjene reakcije</w:t>
      </w:r>
    </w:p>
    <w:p w14:paraId="6B9D8ED1"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Ako se razvije teška nehematološka neželjena reakcija kod primjene lijeka Imarem, terapija se mora prekinuti dok se taj događaj ne razriješi. Nakon toga, terapija se shodno potrebama može nastaviti, zavisno od početne težine neželjenog dejstva.</w:t>
      </w:r>
    </w:p>
    <w:p w14:paraId="167CE163" w14:textId="77777777" w:rsidR="005D1EF5" w:rsidRPr="00056CC9" w:rsidRDefault="005D1EF5" w:rsidP="00056CC9">
      <w:pPr>
        <w:tabs>
          <w:tab w:val="left" w:pos="540"/>
          <w:tab w:val="left" w:pos="569"/>
        </w:tabs>
        <w:jc w:val="both"/>
        <w:rPr>
          <w:bCs/>
          <w:sz w:val="22"/>
          <w:szCs w:val="22"/>
          <w:lang w:val="sr-Latn-ME"/>
        </w:rPr>
      </w:pPr>
    </w:p>
    <w:p w14:paraId="4FDF5760"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Ukoliko dođe do povećanja nivoa bilirubina za &gt; 3 x iznad utvrđene gornje granice normalnih vrijednosti (engl. IULN-</w:t>
      </w:r>
      <w:r w:rsidRPr="00056CC9">
        <w:rPr>
          <w:bCs/>
          <w:i/>
          <w:sz w:val="22"/>
          <w:szCs w:val="22"/>
          <w:lang w:val="sr-Latn-ME"/>
        </w:rPr>
        <w:t>institutional upper limit of normal</w:t>
      </w:r>
      <w:r w:rsidRPr="00056CC9">
        <w:rPr>
          <w:bCs/>
          <w:sz w:val="22"/>
          <w:szCs w:val="22"/>
          <w:lang w:val="sr-Latn-ME"/>
        </w:rPr>
        <w:t>) ili vrijednosti transaminaza jetre &gt; 5 x IULN, treba prekinuti primjenu lijeka Imarem dok se nivoi bilirubina ne vrate na vrijednost &lt; 1,5 × IULN, a vrijednosti transaminaza do &lt; 2,5 × IULN. Terapija imatinibom se potom može nastaviti sa smanjenom dnevnom dozom. Kod odraslih, doza treba da se smanji sa 400 mg na 300 mg ili sa 600 mg na 400 mg, ili sa 800 mg na 600 mg, a kod djece sa 340 do 260 mg/m2/dan.</w:t>
      </w:r>
    </w:p>
    <w:p w14:paraId="4627D17F" w14:textId="77777777" w:rsidR="005D1EF5" w:rsidRPr="00056CC9" w:rsidRDefault="005D1EF5" w:rsidP="00056CC9">
      <w:pPr>
        <w:tabs>
          <w:tab w:val="left" w:pos="540"/>
          <w:tab w:val="left" w:pos="569"/>
        </w:tabs>
        <w:jc w:val="both"/>
        <w:rPr>
          <w:bCs/>
          <w:sz w:val="22"/>
          <w:szCs w:val="22"/>
          <w:u w:val="single"/>
          <w:lang w:val="sr-Latn-ME"/>
        </w:rPr>
      </w:pPr>
    </w:p>
    <w:p w14:paraId="009CC3E4" w14:textId="77777777" w:rsidR="005D1EF5" w:rsidRPr="00056CC9" w:rsidRDefault="005D1EF5" w:rsidP="00056CC9">
      <w:pPr>
        <w:tabs>
          <w:tab w:val="left" w:pos="540"/>
          <w:tab w:val="left" w:pos="569"/>
        </w:tabs>
        <w:jc w:val="both"/>
        <w:rPr>
          <w:bCs/>
          <w:i/>
          <w:iCs/>
          <w:sz w:val="22"/>
          <w:szCs w:val="22"/>
          <w:lang w:val="sr-Latn-ME"/>
        </w:rPr>
      </w:pPr>
      <w:r w:rsidRPr="00056CC9">
        <w:rPr>
          <w:bCs/>
          <w:i/>
          <w:iCs/>
          <w:sz w:val="22"/>
          <w:szCs w:val="22"/>
          <w:lang w:val="sr-Latn-ME"/>
        </w:rPr>
        <w:t>Hematološke neželjene reakcije</w:t>
      </w:r>
    </w:p>
    <w:p w14:paraId="1913B1A3"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U slučaju teške neutropenije i trombocitopenije preporučuje se smanjivanje doze ili prekid terapije, kao što je naznačeno u tabeli ispod.</w:t>
      </w:r>
    </w:p>
    <w:p w14:paraId="23926959" w14:textId="77777777" w:rsidR="005D1EF5" w:rsidRPr="00056CC9" w:rsidRDefault="005D1EF5" w:rsidP="00056CC9">
      <w:pPr>
        <w:tabs>
          <w:tab w:val="left" w:pos="540"/>
          <w:tab w:val="left" w:pos="569"/>
        </w:tabs>
        <w:jc w:val="both"/>
        <w:rPr>
          <w:bCs/>
          <w:sz w:val="22"/>
          <w:szCs w:val="22"/>
          <w:u w:val="single"/>
          <w:lang w:val="sr-Latn-ME"/>
        </w:rPr>
      </w:pPr>
    </w:p>
    <w:p w14:paraId="265593B0" w14:textId="77777777" w:rsidR="000A1DA8" w:rsidRDefault="000A1DA8" w:rsidP="00056CC9">
      <w:pPr>
        <w:tabs>
          <w:tab w:val="left" w:pos="540"/>
          <w:tab w:val="left" w:pos="569"/>
        </w:tabs>
        <w:jc w:val="both"/>
        <w:rPr>
          <w:bCs/>
          <w:sz w:val="22"/>
          <w:szCs w:val="22"/>
          <w:u w:val="single"/>
          <w:lang w:val="sr-Latn-ME"/>
        </w:rPr>
      </w:pPr>
    </w:p>
    <w:p w14:paraId="57271DA7" w14:textId="77777777" w:rsidR="000A1DA8" w:rsidRDefault="000A1DA8" w:rsidP="00056CC9">
      <w:pPr>
        <w:tabs>
          <w:tab w:val="left" w:pos="540"/>
          <w:tab w:val="left" w:pos="569"/>
        </w:tabs>
        <w:jc w:val="both"/>
        <w:rPr>
          <w:bCs/>
          <w:sz w:val="22"/>
          <w:szCs w:val="22"/>
          <w:u w:val="single"/>
          <w:lang w:val="sr-Latn-ME"/>
        </w:rPr>
      </w:pPr>
    </w:p>
    <w:p w14:paraId="6EFA8C92" w14:textId="77777777" w:rsidR="000A1DA8" w:rsidRDefault="000A1DA8" w:rsidP="00056CC9">
      <w:pPr>
        <w:tabs>
          <w:tab w:val="left" w:pos="540"/>
          <w:tab w:val="left" w:pos="569"/>
        </w:tabs>
        <w:jc w:val="both"/>
        <w:rPr>
          <w:bCs/>
          <w:sz w:val="22"/>
          <w:szCs w:val="22"/>
          <w:u w:val="single"/>
          <w:lang w:val="sr-Latn-ME"/>
        </w:rPr>
      </w:pPr>
    </w:p>
    <w:p w14:paraId="1E2F73ED" w14:textId="77777777" w:rsidR="000A1DA8" w:rsidRDefault="000A1DA8" w:rsidP="00056CC9">
      <w:pPr>
        <w:tabs>
          <w:tab w:val="left" w:pos="540"/>
          <w:tab w:val="left" w:pos="569"/>
        </w:tabs>
        <w:jc w:val="both"/>
        <w:rPr>
          <w:bCs/>
          <w:sz w:val="22"/>
          <w:szCs w:val="22"/>
          <w:u w:val="single"/>
          <w:lang w:val="sr-Latn-ME"/>
        </w:rPr>
      </w:pPr>
    </w:p>
    <w:p w14:paraId="42E043FA" w14:textId="1CEF2A1E"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lastRenderedPageBreak/>
        <w:t>Prilagođavanje doze kod neutropenije i trombocitopenije:</w:t>
      </w:r>
    </w:p>
    <w:p w14:paraId="309C9856" w14:textId="77777777" w:rsidR="005D1EF5" w:rsidRPr="00056CC9" w:rsidRDefault="005D1EF5" w:rsidP="00056CC9">
      <w:pPr>
        <w:tabs>
          <w:tab w:val="left" w:pos="540"/>
          <w:tab w:val="left" w:pos="569"/>
        </w:tabs>
        <w:rPr>
          <w:bCs/>
          <w:sz w:val="22"/>
          <w:szCs w:val="22"/>
          <w:u w:val="single"/>
          <w:lang w:val="sr-Latn-ME"/>
        </w:rPr>
      </w:pPr>
    </w:p>
    <w:tbl>
      <w:tblPr>
        <w:tblW w:w="0" w:type="auto"/>
        <w:tblLayout w:type="fixed"/>
        <w:tblCellMar>
          <w:left w:w="40" w:type="dxa"/>
          <w:right w:w="40" w:type="dxa"/>
        </w:tblCellMar>
        <w:tblLook w:val="0000" w:firstRow="0" w:lastRow="0" w:firstColumn="0" w:lastColumn="0" w:noHBand="0" w:noVBand="0"/>
      </w:tblPr>
      <w:tblGrid>
        <w:gridCol w:w="2246"/>
        <w:gridCol w:w="2256"/>
        <w:gridCol w:w="4157"/>
      </w:tblGrid>
      <w:tr w:rsidR="005D1EF5" w:rsidRPr="00056CC9" w14:paraId="135C511A" w14:textId="77777777" w:rsidTr="004805F8">
        <w:tc>
          <w:tcPr>
            <w:tcW w:w="2246" w:type="dxa"/>
            <w:tcBorders>
              <w:top w:val="single" w:sz="6" w:space="0" w:color="auto"/>
              <w:left w:val="single" w:sz="6" w:space="0" w:color="auto"/>
              <w:bottom w:val="single" w:sz="6" w:space="0" w:color="auto"/>
              <w:right w:val="single" w:sz="6" w:space="0" w:color="auto"/>
            </w:tcBorders>
            <w:shd w:val="clear" w:color="auto" w:fill="FFFFFF"/>
          </w:tcPr>
          <w:p w14:paraId="028CFA8E"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HES/CEL (početna doza 100 mg)</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7574CEDB"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ANC &lt; 1,0 × 10</w:t>
            </w:r>
            <w:r w:rsidRPr="00056CC9">
              <w:rPr>
                <w:color w:val="000000"/>
                <w:sz w:val="22"/>
                <w:szCs w:val="22"/>
                <w:vertAlign w:val="superscript"/>
                <w:lang w:val="sr-Latn-ME"/>
              </w:rPr>
              <w:t>9</w:t>
            </w:r>
            <w:r w:rsidRPr="00056CC9">
              <w:rPr>
                <w:color w:val="000000"/>
                <w:sz w:val="22"/>
                <w:szCs w:val="22"/>
                <w:lang w:val="sr-Latn-ME"/>
              </w:rPr>
              <w:t xml:space="preserve">/l </w:t>
            </w:r>
          </w:p>
          <w:p w14:paraId="1D30AD63"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 xml:space="preserve">i/ili </w:t>
            </w:r>
          </w:p>
          <w:p w14:paraId="6F7862E3"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trombociti &lt; 50 × 10</w:t>
            </w:r>
            <w:r w:rsidRPr="00056CC9">
              <w:rPr>
                <w:color w:val="000000"/>
                <w:sz w:val="22"/>
                <w:szCs w:val="22"/>
                <w:vertAlign w:val="superscript"/>
                <w:lang w:val="sr-Latn-ME"/>
              </w:rPr>
              <w:t>9</w:t>
            </w:r>
            <w:r w:rsidRPr="00056CC9">
              <w:rPr>
                <w:color w:val="000000"/>
                <w:sz w:val="22"/>
                <w:szCs w:val="22"/>
                <w:lang w:val="sr-Latn-ME"/>
              </w:rPr>
              <w:t>/l</w:t>
            </w:r>
          </w:p>
        </w:tc>
        <w:tc>
          <w:tcPr>
            <w:tcW w:w="4157" w:type="dxa"/>
            <w:tcBorders>
              <w:top w:val="single" w:sz="6" w:space="0" w:color="auto"/>
              <w:left w:val="single" w:sz="6" w:space="0" w:color="auto"/>
              <w:bottom w:val="single" w:sz="6" w:space="0" w:color="auto"/>
              <w:right w:val="single" w:sz="6" w:space="0" w:color="auto"/>
            </w:tcBorders>
            <w:shd w:val="clear" w:color="auto" w:fill="FFFFFF"/>
          </w:tcPr>
          <w:p w14:paraId="787699F2"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 xml:space="preserve">1.  Prekinuti primjenu </w:t>
            </w:r>
            <w:r w:rsidRPr="00056CC9">
              <w:rPr>
                <w:bCs/>
                <w:sz w:val="22"/>
                <w:szCs w:val="22"/>
                <w:lang w:val="sr-Latn-ME"/>
              </w:rPr>
              <w:t xml:space="preserve">imatiniba </w:t>
            </w:r>
            <w:r w:rsidRPr="00056CC9">
              <w:rPr>
                <w:color w:val="000000"/>
                <w:sz w:val="22"/>
                <w:szCs w:val="22"/>
                <w:lang w:val="sr-Latn-ME"/>
              </w:rPr>
              <w:t>dok ne bude ANC ≥ 1,5 × 10</w:t>
            </w:r>
            <w:r w:rsidRPr="00056CC9">
              <w:rPr>
                <w:color w:val="000000"/>
                <w:sz w:val="22"/>
                <w:szCs w:val="22"/>
                <w:vertAlign w:val="superscript"/>
                <w:lang w:val="sr-Latn-ME"/>
              </w:rPr>
              <w:t>9</w:t>
            </w:r>
            <w:r w:rsidRPr="00056CC9">
              <w:rPr>
                <w:color w:val="000000"/>
                <w:sz w:val="22"/>
                <w:szCs w:val="22"/>
                <w:lang w:val="sr-Latn-ME"/>
              </w:rPr>
              <w:t>/l a trombociti ≥ 75 × 10</w:t>
            </w:r>
            <w:r w:rsidRPr="00056CC9">
              <w:rPr>
                <w:color w:val="000000"/>
                <w:sz w:val="22"/>
                <w:szCs w:val="22"/>
                <w:vertAlign w:val="superscript"/>
                <w:lang w:val="sr-Latn-ME"/>
              </w:rPr>
              <w:t>9</w:t>
            </w:r>
            <w:r w:rsidRPr="00056CC9">
              <w:rPr>
                <w:color w:val="000000"/>
                <w:sz w:val="22"/>
                <w:szCs w:val="22"/>
                <w:lang w:val="sr-Latn-ME"/>
              </w:rPr>
              <w:t xml:space="preserve">/l. </w:t>
            </w:r>
          </w:p>
          <w:p w14:paraId="78FCBFF0" w14:textId="77777777" w:rsidR="005D1EF5" w:rsidRPr="00056CC9" w:rsidRDefault="005D1EF5" w:rsidP="00056CC9">
            <w:pPr>
              <w:shd w:val="clear" w:color="auto" w:fill="FFFFFF"/>
              <w:ind w:left="278" w:hanging="278"/>
              <w:rPr>
                <w:color w:val="000000"/>
                <w:sz w:val="22"/>
                <w:szCs w:val="22"/>
                <w:lang w:val="sr-Latn-ME"/>
              </w:rPr>
            </w:pPr>
            <w:r w:rsidRPr="00056CC9">
              <w:rPr>
                <w:color w:val="000000"/>
                <w:sz w:val="22"/>
                <w:szCs w:val="22"/>
                <w:lang w:val="sr-Latn-ME"/>
              </w:rPr>
              <w:t xml:space="preserve">2.  Nastaviti terapiju </w:t>
            </w:r>
            <w:r w:rsidRPr="00056CC9">
              <w:rPr>
                <w:bCs/>
                <w:sz w:val="22"/>
                <w:szCs w:val="22"/>
                <w:lang w:val="sr-Latn-ME"/>
              </w:rPr>
              <w:t xml:space="preserve">imatinibom </w:t>
            </w:r>
            <w:r w:rsidRPr="00056CC9">
              <w:rPr>
                <w:color w:val="000000"/>
                <w:sz w:val="22"/>
                <w:szCs w:val="22"/>
                <w:lang w:val="sr-Latn-ME"/>
              </w:rPr>
              <w:t>prethodnom dozom (tj. dozom prije pojave teške neželjene reakcije).</w:t>
            </w:r>
          </w:p>
        </w:tc>
      </w:tr>
      <w:tr w:rsidR="005D1EF5" w:rsidRPr="00056CC9" w14:paraId="0E385B50" w14:textId="77777777" w:rsidTr="004805F8">
        <w:tc>
          <w:tcPr>
            <w:tcW w:w="2246" w:type="dxa"/>
            <w:tcBorders>
              <w:top w:val="single" w:sz="6" w:space="0" w:color="auto"/>
              <w:left w:val="single" w:sz="6" w:space="0" w:color="auto"/>
              <w:bottom w:val="single" w:sz="6" w:space="0" w:color="auto"/>
              <w:right w:val="single" w:sz="6" w:space="0" w:color="auto"/>
            </w:tcBorders>
            <w:shd w:val="clear" w:color="auto" w:fill="FFFFFF"/>
          </w:tcPr>
          <w:p w14:paraId="57A0101C"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 xml:space="preserve">Hronična faza CML, </w:t>
            </w:r>
            <w:smartTag w:uri="urn:schemas-microsoft-com:office:smarttags" w:element="stockticker">
              <w:r w:rsidRPr="00056CC9">
                <w:rPr>
                  <w:color w:val="000000"/>
                  <w:sz w:val="22"/>
                  <w:szCs w:val="22"/>
                  <w:lang w:val="sr-Latn-ME"/>
                </w:rPr>
                <w:t>MDS</w:t>
              </w:r>
            </w:smartTag>
            <w:r w:rsidRPr="00056CC9">
              <w:rPr>
                <w:color w:val="000000"/>
                <w:sz w:val="22"/>
                <w:szCs w:val="22"/>
                <w:lang w:val="sr-Latn-ME"/>
              </w:rPr>
              <w:t>/MPD (početna doza 400 mg), HES/CEL (pri dozi od 400 mg)</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3296EED2"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ANC &lt; 1,0 x 10</w:t>
            </w:r>
            <w:r w:rsidRPr="00056CC9">
              <w:rPr>
                <w:color w:val="000000"/>
                <w:sz w:val="22"/>
                <w:szCs w:val="22"/>
                <w:vertAlign w:val="superscript"/>
                <w:lang w:val="sr-Latn-ME"/>
              </w:rPr>
              <w:t>9</w:t>
            </w:r>
            <w:r w:rsidRPr="00056CC9">
              <w:rPr>
                <w:color w:val="000000"/>
                <w:sz w:val="22"/>
                <w:szCs w:val="22"/>
                <w:lang w:val="sr-Latn-ME"/>
              </w:rPr>
              <w:t xml:space="preserve">/l </w:t>
            </w:r>
          </w:p>
          <w:p w14:paraId="6354B04D"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 xml:space="preserve">i/ili </w:t>
            </w:r>
          </w:p>
          <w:p w14:paraId="42FC54C9"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trombociti &lt; 50 × 10</w:t>
            </w:r>
            <w:r w:rsidRPr="00056CC9">
              <w:rPr>
                <w:color w:val="000000"/>
                <w:sz w:val="22"/>
                <w:szCs w:val="22"/>
                <w:vertAlign w:val="superscript"/>
                <w:lang w:val="sr-Latn-ME"/>
              </w:rPr>
              <w:t>9</w:t>
            </w:r>
            <w:r w:rsidRPr="00056CC9">
              <w:rPr>
                <w:color w:val="000000"/>
                <w:sz w:val="22"/>
                <w:szCs w:val="22"/>
                <w:lang w:val="sr-Latn-ME"/>
              </w:rPr>
              <w:t>/l</w:t>
            </w:r>
          </w:p>
        </w:tc>
        <w:tc>
          <w:tcPr>
            <w:tcW w:w="4157" w:type="dxa"/>
            <w:tcBorders>
              <w:top w:val="single" w:sz="6" w:space="0" w:color="auto"/>
              <w:left w:val="single" w:sz="6" w:space="0" w:color="auto"/>
              <w:bottom w:val="single" w:sz="6" w:space="0" w:color="auto"/>
              <w:right w:val="single" w:sz="6" w:space="0" w:color="auto"/>
            </w:tcBorders>
            <w:shd w:val="clear" w:color="auto" w:fill="FFFFFF"/>
          </w:tcPr>
          <w:p w14:paraId="654D828D"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 xml:space="preserve">1.  Prekinuti </w:t>
            </w:r>
            <w:r w:rsidRPr="00056CC9">
              <w:rPr>
                <w:bCs/>
                <w:sz w:val="22"/>
                <w:szCs w:val="22"/>
                <w:lang w:val="sr-Latn-ME"/>
              </w:rPr>
              <w:t xml:space="preserve">primjenu imatiniba </w:t>
            </w:r>
            <w:r w:rsidRPr="00056CC9">
              <w:rPr>
                <w:color w:val="000000"/>
                <w:sz w:val="22"/>
                <w:szCs w:val="22"/>
                <w:lang w:val="sr-Latn-ME"/>
              </w:rPr>
              <w:t>dok ne bude ANC ≥ 1,5 x 10</w:t>
            </w:r>
            <w:r w:rsidRPr="00056CC9">
              <w:rPr>
                <w:color w:val="000000"/>
                <w:sz w:val="22"/>
                <w:szCs w:val="22"/>
                <w:vertAlign w:val="superscript"/>
                <w:lang w:val="sr-Latn-ME"/>
              </w:rPr>
              <w:t>9</w:t>
            </w:r>
            <w:r w:rsidRPr="00056CC9">
              <w:rPr>
                <w:color w:val="000000"/>
                <w:sz w:val="22"/>
                <w:szCs w:val="22"/>
                <w:lang w:val="sr-Latn-ME"/>
              </w:rPr>
              <w:t>/l a trombociti ≥ 75 × 10</w:t>
            </w:r>
            <w:r w:rsidRPr="00056CC9">
              <w:rPr>
                <w:color w:val="000000"/>
                <w:sz w:val="22"/>
                <w:szCs w:val="22"/>
                <w:vertAlign w:val="superscript"/>
                <w:lang w:val="sr-Latn-ME"/>
              </w:rPr>
              <w:t>9</w:t>
            </w:r>
            <w:r w:rsidRPr="00056CC9">
              <w:rPr>
                <w:color w:val="000000"/>
                <w:sz w:val="22"/>
                <w:szCs w:val="22"/>
                <w:lang w:val="sr-Latn-ME"/>
              </w:rPr>
              <w:t xml:space="preserve">/l. </w:t>
            </w:r>
          </w:p>
          <w:p w14:paraId="69964BC3"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 xml:space="preserve">2.  Nastaviti </w:t>
            </w:r>
            <w:r w:rsidRPr="00056CC9">
              <w:rPr>
                <w:bCs/>
                <w:sz w:val="22"/>
                <w:szCs w:val="22"/>
                <w:lang w:val="sr-Latn-ME"/>
              </w:rPr>
              <w:t xml:space="preserve">terapiju imatinibom </w:t>
            </w:r>
            <w:r w:rsidRPr="00056CC9">
              <w:rPr>
                <w:color w:val="000000"/>
                <w:sz w:val="22"/>
                <w:szCs w:val="22"/>
                <w:lang w:val="sr-Latn-ME"/>
              </w:rPr>
              <w:t xml:space="preserve">prethodnom dozom (tj. dozom prije pojave teške neželjene reakcije). </w:t>
            </w:r>
          </w:p>
          <w:p w14:paraId="45E5714C" w14:textId="77777777" w:rsidR="005D1EF5" w:rsidRPr="00056CC9" w:rsidRDefault="005D1EF5" w:rsidP="00056CC9">
            <w:pPr>
              <w:shd w:val="clear" w:color="auto" w:fill="FFFFFF"/>
              <w:ind w:left="278" w:hanging="278"/>
              <w:rPr>
                <w:color w:val="000000"/>
                <w:sz w:val="22"/>
                <w:szCs w:val="22"/>
                <w:lang w:val="sr-Latn-ME"/>
              </w:rPr>
            </w:pPr>
            <w:r w:rsidRPr="00056CC9">
              <w:rPr>
                <w:color w:val="000000"/>
                <w:sz w:val="22"/>
                <w:szCs w:val="22"/>
                <w:lang w:val="sr-Latn-ME"/>
              </w:rPr>
              <w:t>3.  U slučaju recidiva ANC &lt; 1,0 × 10</w:t>
            </w:r>
            <w:r w:rsidRPr="00056CC9">
              <w:rPr>
                <w:color w:val="000000"/>
                <w:sz w:val="22"/>
                <w:szCs w:val="22"/>
                <w:vertAlign w:val="superscript"/>
                <w:lang w:val="sr-Latn-ME"/>
              </w:rPr>
              <w:t>9</w:t>
            </w:r>
            <w:r w:rsidRPr="00056CC9">
              <w:rPr>
                <w:color w:val="000000"/>
                <w:sz w:val="22"/>
                <w:szCs w:val="22"/>
                <w:lang w:val="sr-Latn-ME"/>
              </w:rPr>
              <w:t>/l i/ili trombociti &lt; 50 × 10</w:t>
            </w:r>
            <w:r w:rsidRPr="00056CC9">
              <w:rPr>
                <w:color w:val="000000"/>
                <w:sz w:val="22"/>
                <w:szCs w:val="22"/>
                <w:vertAlign w:val="superscript"/>
                <w:lang w:val="sr-Latn-ME"/>
              </w:rPr>
              <w:t>9</w:t>
            </w:r>
            <w:r w:rsidRPr="00056CC9">
              <w:rPr>
                <w:color w:val="000000"/>
                <w:sz w:val="22"/>
                <w:szCs w:val="22"/>
                <w:lang w:val="sr-Latn-ME"/>
              </w:rPr>
              <w:t xml:space="preserve">/l, ponoviti korak 1 i nastaviti terapiju </w:t>
            </w:r>
            <w:r w:rsidRPr="00056CC9">
              <w:rPr>
                <w:bCs/>
                <w:sz w:val="22"/>
                <w:szCs w:val="22"/>
                <w:lang w:val="sr-Latn-ME"/>
              </w:rPr>
              <w:t>imatinibom</w:t>
            </w:r>
            <w:r w:rsidRPr="00056CC9">
              <w:rPr>
                <w:bCs/>
                <w:sz w:val="22"/>
                <w:szCs w:val="22"/>
                <w:vertAlign w:val="superscript"/>
                <w:lang w:val="sr-Latn-ME"/>
              </w:rPr>
              <w:t xml:space="preserve"> </w:t>
            </w:r>
            <w:r w:rsidRPr="00056CC9">
              <w:rPr>
                <w:color w:val="000000"/>
                <w:sz w:val="22"/>
                <w:szCs w:val="22"/>
                <w:lang w:val="sr-Latn-ME"/>
              </w:rPr>
              <w:t xml:space="preserve"> smanjenom dozom od 300 mg.</w:t>
            </w:r>
          </w:p>
        </w:tc>
      </w:tr>
      <w:tr w:rsidR="005D1EF5" w:rsidRPr="00056CC9" w14:paraId="7DCE42E2" w14:textId="77777777" w:rsidTr="004805F8">
        <w:tc>
          <w:tcPr>
            <w:tcW w:w="2246" w:type="dxa"/>
            <w:tcBorders>
              <w:top w:val="single" w:sz="6" w:space="0" w:color="auto"/>
              <w:left w:val="single" w:sz="6" w:space="0" w:color="auto"/>
              <w:bottom w:val="single" w:sz="6" w:space="0" w:color="auto"/>
              <w:right w:val="single" w:sz="6" w:space="0" w:color="auto"/>
            </w:tcBorders>
            <w:shd w:val="clear" w:color="auto" w:fill="FFFFFF"/>
          </w:tcPr>
          <w:p w14:paraId="2313B25A"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Hronična faza CML kod pedijatrijskih pacijenata</w:t>
            </w:r>
          </w:p>
          <w:p w14:paraId="45ADF991"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 xml:space="preserve"> (pri dozi 340 mg/m</w:t>
            </w:r>
            <w:r w:rsidRPr="00056CC9">
              <w:rPr>
                <w:color w:val="000000"/>
                <w:sz w:val="22"/>
                <w:szCs w:val="22"/>
                <w:vertAlign w:val="superscript"/>
                <w:lang w:val="sr-Latn-ME"/>
              </w:rPr>
              <w:t>2</w:t>
            </w:r>
            <w:r w:rsidRPr="00056CC9">
              <w:rPr>
                <w:color w:val="000000"/>
                <w:sz w:val="22"/>
                <w:szCs w:val="22"/>
                <w:lang w:val="sr-Latn-ME"/>
              </w:rPr>
              <w:t>)</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3E4C0578"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ANC &lt; 1,0 × 10</w:t>
            </w:r>
            <w:r w:rsidRPr="00056CC9">
              <w:rPr>
                <w:color w:val="000000"/>
                <w:sz w:val="22"/>
                <w:szCs w:val="22"/>
                <w:vertAlign w:val="superscript"/>
                <w:lang w:val="sr-Latn-ME"/>
              </w:rPr>
              <w:t>9</w:t>
            </w:r>
            <w:r w:rsidRPr="00056CC9">
              <w:rPr>
                <w:color w:val="000000"/>
                <w:sz w:val="22"/>
                <w:szCs w:val="22"/>
                <w:lang w:val="sr-Latn-ME"/>
              </w:rPr>
              <w:t xml:space="preserve">/l </w:t>
            </w:r>
          </w:p>
          <w:p w14:paraId="057AA59D"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 xml:space="preserve">i/ili </w:t>
            </w:r>
          </w:p>
          <w:p w14:paraId="4D30236B"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trombociti &lt; 50 × 10</w:t>
            </w:r>
            <w:r w:rsidRPr="00056CC9">
              <w:rPr>
                <w:color w:val="000000"/>
                <w:sz w:val="22"/>
                <w:szCs w:val="22"/>
                <w:vertAlign w:val="superscript"/>
                <w:lang w:val="sr-Latn-ME"/>
              </w:rPr>
              <w:t>9</w:t>
            </w:r>
            <w:r w:rsidRPr="00056CC9">
              <w:rPr>
                <w:color w:val="000000"/>
                <w:sz w:val="22"/>
                <w:szCs w:val="22"/>
                <w:lang w:val="sr-Latn-ME"/>
              </w:rPr>
              <w:t>/l</w:t>
            </w:r>
          </w:p>
        </w:tc>
        <w:tc>
          <w:tcPr>
            <w:tcW w:w="4157" w:type="dxa"/>
            <w:tcBorders>
              <w:top w:val="single" w:sz="6" w:space="0" w:color="auto"/>
              <w:left w:val="single" w:sz="6" w:space="0" w:color="auto"/>
              <w:bottom w:val="single" w:sz="6" w:space="0" w:color="auto"/>
              <w:right w:val="single" w:sz="6" w:space="0" w:color="auto"/>
            </w:tcBorders>
            <w:shd w:val="clear" w:color="auto" w:fill="FFFFFF"/>
          </w:tcPr>
          <w:p w14:paraId="4ACBA03B"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 xml:space="preserve">1.  Prekinuti </w:t>
            </w:r>
            <w:r w:rsidRPr="00056CC9">
              <w:rPr>
                <w:bCs/>
                <w:sz w:val="22"/>
                <w:szCs w:val="22"/>
                <w:lang w:val="sr-Latn-ME"/>
              </w:rPr>
              <w:t>primjenu imatiniba</w:t>
            </w:r>
            <w:r w:rsidRPr="00056CC9">
              <w:rPr>
                <w:color w:val="000000"/>
                <w:sz w:val="22"/>
                <w:szCs w:val="22"/>
                <w:lang w:val="sr-Latn-ME"/>
              </w:rPr>
              <w:t xml:space="preserve"> dok ne bude ANC ≥ 1,5 × 10</w:t>
            </w:r>
            <w:r w:rsidRPr="00056CC9">
              <w:rPr>
                <w:color w:val="000000"/>
                <w:sz w:val="22"/>
                <w:szCs w:val="22"/>
                <w:vertAlign w:val="superscript"/>
                <w:lang w:val="sr-Latn-ME"/>
              </w:rPr>
              <w:t>9</w:t>
            </w:r>
            <w:r w:rsidRPr="00056CC9">
              <w:rPr>
                <w:color w:val="000000"/>
                <w:sz w:val="22"/>
                <w:szCs w:val="22"/>
                <w:lang w:val="sr-Latn-ME"/>
              </w:rPr>
              <w:t>/l a trombociti ≥ 75 ×10</w:t>
            </w:r>
            <w:r w:rsidRPr="00056CC9">
              <w:rPr>
                <w:color w:val="000000"/>
                <w:sz w:val="22"/>
                <w:szCs w:val="22"/>
                <w:vertAlign w:val="superscript"/>
                <w:lang w:val="sr-Latn-ME"/>
              </w:rPr>
              <w:t>9</w:t>
            </w:r>
            <w:r w:rsidRPr="00056CC9">
              <w:rPr>
                <w:color w:val="000000"/>
                <w:sz w:val="22"/>
                <w:szCs w:val="22"/>
                <w:lang w:val="sr-Latn-ME"/>
              </w:rPr>
              <w:t>/l.</w:t>
            </w:r>
          </w:p>
          <w:p w14:paraId="00CEC18B"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 xml:space="preserve">2. Nastaviti terapiju </w:t>
            </w:r>
            <w:r w:rsidRPr="00056CC9">
              <w:rPr>
                <w:bCs/>
                <w:sz w:val="22"/>
                <w:szCs w:val="22"/>
                <w:lang w:val="sr-Latn-ME"/>
              </w:rPr>
              <w:t xml:space="preserve">imatinibom </w:t>
            </w:r>
            <w:r w:rsidRPr="00056CC9">
              <w:rPr>
                <w:color w:val="000000"/>
                <w:sz w:val="22"/>
                <w:szCs w:val="22"/>
                <w:lang w:val="sr-Latn-ME"/>
              </w:rPr>
              <w:t>prethodnom dozom (tj. dozom prije pojave teške neželjene reakcije).</w:t>
            </w:r>
          </w:p>
          <w:p w14:paraId="16E39743"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3.  U slučaju recidiva ANC &lt; 1,0 × 10</w:t>
            </w:r>
            <w:r w:rsidRPr="00056CC9">
              <w:rPr>
                <w:color w:val="000000"/>
                <w:sz w:val="22"/>
                <w:szCs w:val="22"/>
                <w:vertAlign w:val="superscript"/>
                <w:lang w:val="sr-Latn-ME"/>
              </w:rPr>
              <w:t>9</w:t>
            </w:r>
            <w:r w:rsidRPr="00056CC9">
              <w:rPr>
                <w:color w:val="000000"/>
                <w:sz w:val="22"/>
                <w:szCs w:val="22"/>
                <w:lang w:val="sr-Latn-ME"/>
              </w:rPr>
              <w:t>/l i/ili</w:t>
            </w:r>
          </w:p>
          <w:p w14:paraId="342EADCC"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 xml:space="preserve">     trombociti &lt; 50 × 10</w:t>
            </w:r>
            <w:r w:rsidRPr="00056CC9">
              <w:rPr>
                <w:color w:val="000000"/>
                <w:sz w:val="22"/>
                <w:szCs w:val="22"/>
                <w:vertAlign w:val="superscript"/>
                <w:lang w:val="sr-Latn-ME"/>
              </w:rPr>
              <w:t>9</w:t>
            </w:r>
            <w:r w:rsidRPr="00056CC9">
              <w:rPr>
                <w:color w:val="000000"/>
                <w:sz w:val="22"/>
                <w:szCs w:val="22"/>
                <w:lang w:val="sr-Latn-ME"/>
              </w:rPr>
              <w:t xml:space="preserve">/l, ponoviti korak 1 i nastaviti terapiju </w:t>
            </w:r>
            <w:r w:rsidRPr="00056CC9">
              <w:rPr>
                <w:bCs/>
                <w:sz w:val="22"/>
                <w:szCs w:val="22"/>
                <w:lang w:val="sr-Latn-ME"/>
              </w:rPr>
              <w:t xml:space="preserve">imatinibom </w:t>
            </w:r>
            <w:r w:rsidRPr="00056CC9">
              <w:rPr>
                <w:color w:val="000000"/>
                <w:sz w:val="22"/>
                <w:szCs w:val="22"/>
                <w:lang w:val="sr-Latn-ME"/>
              </w:rPr>
              <w:t>smanjenom dozom od 260 mg/m</w:t>
            </w:r>
            <w:r w:rsidRPr="00056CC9">
              <w:rPr>
                <w:color w:val="000000"/>
                <w:sz w:val="22"/>
                <w:szCs w:val="22"/>
                <w:vertAlign w:val="superscript"/>
                <w:lang w:val="sr-Latn-ME"/>
              </w:rPr>
              <w:t>2</w:t>
            </w:r>
            <w:r w:rsidRPr="00056CC9">
              <w:rPr>
                <w:color w:val="000000"/>
                <w:sz w:val="22"/>
                <w:szCs w:val="22"/>
                <w:lang w:val="sr-Latn-ME"/>
              </w:rPr>
              <w:t>.</w:t>
            </w:r>
          </w:p>
        </w:tc>
      </w:tr>
      <w:tr w:rsidR="005D1EF5" w:rsidRPr="00056CC9" w14:paraId="6E0713CA" w14:textId="77777777" w:rsidTr="004805F8">
        <w:tc>
          <w:tcPr>
            <w:tcW w:w="2246" w:type="dxa"/>
            <w:tcBorders>
              <w:top w:val="single" w:sz="6" w:space="0" w:color="auto"/>
              <w:left w:val="single" w:sz="6" w:space="0" w:color="auto"/>
              <w:bottom w:val="single" w:sz="6" w:space="0" w:color="auto"/>
              <w:right w:val="single" w:sz="6" w:space="0" w:color="auto"/>
            </w:tcBorders>
            <w:shd w:val="clear" w:color="auto" w:fill="FFFFFF"/>
          </w:tcPr>
          <w:p w14:paraId="6CE8E381"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 xml:space="preserve">Blastna kriza kod CML i Ph+ </w:t>
            </w:r>
            <w:smartTag w:uri="urn:schemas-microsoft-com:office:smarttags" w:element="stockticker">
              <w:r w:rsidRPr="00056CC9">
                <w:rPr>
                  <w:color w:val="000000"/>
                  <w:sz w:val="22"/>
                  <w:szCs w:val="22"/>
                  <w:lang w:val="sr-Latn-ME"/>
                </w:rPr>
                <w:t>ALL</w:t>
              </w:r>
            </w:smartTag>
            <w:r w:rsidRPr="00056CC9">
              <w:rPr>
                <w:color w:val="000000"/>
                <w:sz w:val="22"/>
                <w:szCs w:val="22"/>
                <w:lang w:val="sr-Latn-ME"/>
              </w:rPr>
              <w:t xml:space="preserve"> (početna doza 600 mg)</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3D6CB6C9" w14:textId="77777777" w:rsidR="005D1EF5" w:rsidRPr="00056CC9" w:rsidRDefault="005D1EF5" w:rsidP="00056CC9">
            <w:pPr>
              <w:shd w:val="clear" w:color="auto" w:fill="FFFFFF"/>
              <w:rPr>
                <w:color w:val="000000"/>
                <w:sz w:val="22"/>
                <w:szCs w:val="22"/>
                <w:lang w:val="sr-Latn-ME"/>
              </w:rPr>
            </w:pPr>
            <w:r w:rsidRPr="00056CC9">
              <w:rPr>
                <w:color w:val="000000"/>
                <w:sz w:val="22"/>
                <w:szCs w:val="22"/>
                <w:vertAlign w:val="superscript"/>
                <w:lang w:val="sr-Latn-ME"/>
              </w:rPr>
              <w:t>a</w:t>
            </w:r>
            <w:r w:rsidRPr="00056CC9">
              <w:rPr>
                <w:color w:val="000000"/>
                <w:sz w:val="22"/>
                <w:szCs w:val="22"/>
                <w:lang w:val="sr-Latn-ME"/>
              </w:rPr>
              <w:t>ANC &lt; 0,5 × 10</w:t>
            </w:r>
            <w:r w:rsidRPr="00056CC9">
              <w:rPr>
                <w:color w:val="000000"/>
                <w:sz w:val="22"/>
                <w:szCs w:val="22"/>
                <w:vertAlign w:val="superscript"/>
                <w:lang w:val="sr-Latn-ME"/>
              </w:rPr>
              <w:t>9</w:t>
            </w:r>
            <w:r w:rsidRPr="00056CC9">
              <w:rPr>
                <w:color w:val="000000"/>
                <w:sz w:val="22"/>
                <w:szCs w:val="22"/>
                <w:lang w:val="sr-Latn-ME"/>
              </w:rPr>
              <w:t>/l</w:t>
            </w:r>
          </w:p>
          <w:p w14:paraId="0EAD1EA8"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 xml:space="preserve"> i/ili</w:t>
            </w:r>
          </w:p>
          <w:p w14:paraId="227DBA25"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 xml:space="preserve"> trombociti &lt; 10 × 10</w:t>
            </w:r>
            <w:r w:rsidRPr="00056CC9">
              <w:rPr>
                <w:color w:val="000000"/>
                <w:sz w:val="22"/>
                <w:szCs w:val="22"/>
                <w:vertAlign w:val="superscript"/>
                <w:lang w:val="sr-Latn-ME"/>
              </w:rPr>
              <w:t>9</w:t>
            </w:r>
            <w:r w:rsidRPr="00056CC9">
              <w:rPr>
                <w:color w:val="000000"/>
                <w:sz w:val="22"/>
                <w:szCs w:val="22"/>
                <w:lang w:val="sr-Latn-ME"/>
              </w:rPr>
              <w:t>/l</w:t>
            </w:r>
          </w:p>
        </w:tc>
        <w:tc>
          <w:tcPr>
            <w:tcW w:w="4157" w:type="dxa"/>
            <w:tcBorders>
              <w:top w:val="single" w:sz="6" w:space="0" w:color="auto"/>
              <w:left w:val="single" w:sz="6" w:space="0" w:color="auto"/>
              <w:bottom w:val="single" w:sz="6" w:space="0" w:color="auto"/>
              <w:right w:val="single" w:sz="6" w:space="0" w:color="auto"/>
            </w:tcBorders>
            <w:shd w:val="clear" w:color="auto" w:fill="FFFFFF"/>
          </w:tcPr>
          <w:p w14:paraId="4C5AF03D"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1. Provjeriti da li je citopenija u vezi sa leukemijom (aspirat srži ili biopsija).</w:t>
            </w:r>
          </w:p>
          <w:p w14:paraId="57BF22FC"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 xml:space="preserve">2. Ako citopenija nije povezana s leukemijom, smanjiti dozu </w:t>
            </w:r>
            <w:r w:rsidRPr="00056CC9">
              <w:rPr>
                <w:bCs/>
                <w:sz w:val="22"/>
                <w:szCs w:val="22"/>
                <w:lang w:val="sr-Latn-ME"/>
              </w:rPr>
              <w:t>imatiniba</w:t>
            </w:r>
            <w:r w:rsidRPr="00056CC9">
              <w:rPr>
                <w:color w:val="000000"/>
                <w:sz w:val="22"/>
                <w:szCs w:val="22"/>
                <w:lang w:val="sr-Latn-ME"/>
              </w:rPr>
              <w:t xml:space="preserve"> do 400 mg.</w:t>
            </w:r>
          </w:p>
          <w:p w14:paraId="5AADFAAE"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3. Ako citopenija perzistira 2 nedjelje, smanjiti dalje do 300 mg.</w:t>
            </w:r>
          </w:p>
          <w:p w14:paraId="5F76DCF2" w14:textId="77777777" w:rsidR="005D1EF5" w:rsidRPr="00056CC9" w:rsidRDefault="005D1EF5" w:rsidP="00056CC9">
            <w:pPr>
              <w:shd w:val="clear" w:color="auto" w:fill="FFFFFF"/>
              <w:ind w:left="278" w:hanging="278"/>
              <w:rPr>
                <w:color w:val="000000"/>
                <w:sz w:val="22"/>
                <w:szCs w:val="22"/>
                <w:lang w:val="sr-Latn-ME"/>
              </w:rPr>
            </w:pPr>
            <w:r w:rsidRPr="00056CC9">
              <w:rPr>
                <w:color w:val="000000"/>
                <w:sz w:val="22"/>
                <w:szCs w:val="22"/>
                <w:lang w:val="sr-Latn-ME"/>
              </w:rPr>
              <w:t xml:space="preserve">4. Ako citopenija perzistira 4 nedjelje a i dalje nije povezana sa leukemijom, prekinuti terapiju </w:t>
            </w:r>
            <w:r w:rsidRPr="00056CC9">
              <w:rPr>
                <w:bCs/>
                <w:sz w:val="22"/>
                <w:szCs w:val="22"/>
                <w:lang w:val="sr-Latn-ME"/>
              </w:rPr>
              <w:t xml:space="preserve">imatinibom </w:t>
            </w:r>
            <w:r w:rsidRPr="00056CC9">
              <w:rPr>
                <w:color w:val="000000"/>
                <w:sz w:val="22"/>
                <w:szCs w:val="22"/>
                <w:lang w:val="sr-Latn-ME"/>
              </w:rPr>
              <w:t>dok ne bude ANC ≥ 1 × 10</w:t>
            </w:r>
            <w:r w:rsidRPr="00056CC9">
              <w:rPr>
                <w:color w:val="000000"/>
                <w:sz w:val="22"/>
                <w:szCs w:val="22"/>
                <w:vertAlign w:val="superscript"/>
                <w:lang w:val="sr-Latn-ME"/>
              </w:rPr>
              <w:t>9</w:t>
            </w:r>
            <w:r w:rsidRPr="00056CC9">
              <w:rPr>
                <w:color w:val="000000"/>
                <w:sz w:val="22"/>
                <w:szCs w:val="22"/>
                <w:lang w:val="sr-Latn-ME"/>
              </w:rPr>
              <w:t>/l a trombociti &gt; 20 × 10</w:t>
            </w:r>
            <w:r w:rsidRPr="00056CC9">
              <w:rPr>
                <w:color w:val="000000"/>
                <w:sz w:val="22"/>
                <w:szCs w:val="22"/>
                <w:vertAlign w:val="superscript"/>
                <w:lang w:val="sr-Latn-ME"/>
              </w:rPr>
              <w:t>9</w:t>
            </w:r>
            <w:r w:rsidRPr="00056CC9">
              <w:rPr>
                <w:color w:val="000000"/>
                <w:sz w:val="22"/>
                <w:szCs w:val="22"/>
                <w:lang w:val="sr-Latn-ME"/>
              </w:rPr>
              <w:t>/l, potom nastaviti terapiju sa 300 mg.</w:t>
            </w:r>
          </w:p>
        </w:tc>
      </w:tr>
      <w:tr w:rsidR="005D1EF5" w:rsidRPr="00056CC9" w14:paraId="7DBA0161" w14:textId="77777777" w:rsidTr="004805F8">
        <w:tc>
          <w:tcPr>
            <w:tcW w:w="2246" w:type="dxa"/>
            <w:tcBorders>
              <w:top w:val="single" w:sz="6" w:space="0" w:color="auto"/>
              <w:left w:val="single" w:sz="6" w:space="0" w:color="auto"/>
              <w:bottom w:val="single" w:sz="6" w:space="0" w:color="auto"/>
              <w:right w:val="single" w:sz="6" w:space="0" w:color="auto"/>
            </w:tcBorders>
            <w:shd w:val="clear" w:color="auto" w:fill="FFFFFF"/>
          </w:tcPr>
          <w:p w14:paraId="208F3175"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Ubrzana faza CML i blastna kriza kod pedijatrijskih pacijenata (početna doza 340 mg/m</w:t>
            </w:r>
            <w:r w:rsidRPr="00056CC9">
              <w:rPr>
                <w:color w:val="000000"/>
                <w:sz w:val="22"/>
                <w:szCs w:val="22"/>
                <w:vertAlign w:val="superscript"/>
                <w:lang w:val="sr-Latn-ME"/>
              </w:rPr>
              <w:t>2</w:t>
            </w:r>
            <w:r w:rsidRPr="00056CC9">
              <w:rPr>
                <w:color w:val="000000"/>
                <w:sz w:val="22"/>
                <w:szCs w:val="22"/>
                <w:lang w:val="sr-Latn-ME"/>
              </w:rPr>
              <w:t>)</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30691FC2" w14:textId="77777777" w:rsidR="005D1EF5" w:rsidRPr="00056CC9" w:rsidRDefault="005D1EF5" w:rsidP="00056CC9">
            <w:pPr>
              <w:shd w:val="clear" w:color="auto" w:fill="FFFFFF"/>
              <w:rPr>
                <w:color w:val="000000"/>
                <w:sz w:val="22"/>
                <w:szCs w:val="22"/>
                <w:lang w:val="sr-Latn-ME"/>
              </w:rPr>
            </w:pPr>
            <w:r w:rsidRPr="00056CC9">
              <w:rPr>
                <w:color w:val="000000"/>
                <w:sz w:val="22"/>
                <w:szCs w:val="22"/>
                <w:vertAlign w:val="superscript"/>
                <w:lang w:val="sr-Latn-ME"/>
              </w:rPr>
              <w:t>a</w:t>
            </w:r>
            <w:r w:rsidRPr="00056CC9">
              <w:rPr>
                <w:color w:val="000000"/>
                <w:sz w:val="22"/>
                <w:szCs w:val="22"/>
                <w:lang w:val="sr-Latn-ME"/>
              </w:rPr>
              <w:t>ANC &lt; 0,5 × 10</w:t>
            </w:r>
            <w:r w:rsidRPr="00056CC9">
              <w:rPr>
                <w:color w:val="000000"/>
                <w:sz w:val="22"/>
                <w:szCs w:val="22"/>
                <w:vertAlign w:val="superscript"/>
                <w:lang w:val="sr-Latn-ME"/>
              </w:rPr>
              <w:t>9</w:t>
            </w:r>
            <w:r w:rsidRPr="00056CC9">
              <w:rPr>
                <w:color w:val="000000"/>
                <w:sz w:val="22"/>
                <w:szCs w:val="22"/>
                <w:lang w:val="sr-Latn-ME"/>
              </w:rPr>
              <w:t xml:space="preserve">/l </w:t>
            </w:r>
          </w:p>
          <w:p w14:paraId="4BF42F8A"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i/ili</w:t>
            </w:r>
          </w:p>
          <w:p w14:paraId="71D0A7B5"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 xml:space="preserve"> trombociti &lt; 10 × 10</w:t>
            </w:r>
            <w:r w:rsidRPr="00056CC9">
              <w:rPr>
                <w:color w:val="000000"/>
                <w:sz w:val="22"/>
                <w:szCs w:val="22"/>
                <w:vertAlign w:val="superscript"/>
                <w:lang w:val="sr-Latn-ME"/>
              </w:rPr>
              <w:t>9</w:t>
            </w:r>
            <w:r w:rsidRPr="00056CC9">
              <w:rPr>
                <w:color w:val="000000"/>
                <w:sz w:val="22"/>
                <w:szCs w:val="22"/>
                <w:lang w:val="sr-Latn-ME"/>
              </w:rPr>
              <w:t>/l</w:t>
            </w:r>
          </w:p>
        </w:tc>
        <w:tc>
          <w:tcPr>
            <w:tcW w:w="4157" w:type="dxa"/>
            <w:tcBorders>
              <w:top w:val="single" w:sz="6" w:space="0" w:color="auto"/>
              <w:left w:val="single" w:sz="6" w:space="0" w:color="auto"/>
              <w:bottom w:val="single" w:sz="6" w:space="0" w:color="auto"/>
              <w:right w:val="single" w:sz="6" w:space="0" w:color="auto"/>
            </w:tcBorders>
            <w:shd w:val="clear" w:color="auto" w:fill="FFFFFF"/>
          </w:tcPr>
          <w:p w14:paraId="6CBEBE24"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 xml:space="preserve">1. Provjeriti da li je citopenija u vezi sa leukemijom (aspirat srži ili biopsija). </w:t>
            </w:r>
          </w:p>
          <w:p w14:paraId="6C9160CA"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 xml:space="preserve">2. Ako citopenija nije povezana s leukemijom, smanjiti dozu </w:t>
            </w:r>
            <w:r w:rsidRPr="00056CC9">
              <w:rPr>
                <w:bCs/>
                <w:sz w:val="22"/>
                <w:szCs w:val="22"/>
                <w:lang w:val="sr-Latn-ME"/>
              </w:rPr>
              <w:t>imatiniba</w:t>
            </w:r>
            <w:r w:rsidRPr="00056CC9">
              <w:rPr>
                <w:bCs/>
                <w:sz w:val="22"/>
                <w:szCs w:val="22"/>
                <w:vertAlign w:val="superscript"/>
                <w:lang w:val="sr-Latn-ME"/>
              </w:rPr>
              <w:t xml:space="preserve"> </w:t>
            </w:r>
            <w:r w:rsidRPr="00056CC9">
              <w:rPr>
                <w:color w:val="000000"/>
                <w:sz w:val="22"/>
                <w:szCs w:val="22"/>
                <w:lang w:val="sr-Latn-ME"/>
              </w:rPr>
              <w:t xml:space="preserve"> do 260 mg/m</w:t>
            </w:r>
            <w:r w:rsidRPr="00056CC9">
              <w:rPr>
                <w:color w:val="000000"/>
                <w:sz w:val="22"/>
                <w:szCs w:val="22"/>
                <w:vertAlign w:val="superscript"/>
                <w:lang w:val="sr-Latn-ME"/>
              </w:rPr>
              <w:t>2</w:t>
            </w:r>
            <w:r w:rsidRPr="00056CC9">
              <w:rPr>
                <w:color w:val="000000"/>
                <w:sz w:val="22"/>
                <w:szCs w:val="22"/>
                <w:lang w:val="sr-Latn-ME"/>
              </w:rPr>
              <w:t xml:space="preserve">. </w:t>
            </w:r>
          </w:p>
          <w:p w14:paraId="203B0D03"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3. Ako citopenija traje 2 nedjelje, smanjiti dalje do 200 mg/m</w:t>
            </w:r>
            <w:r w:rsidRPr="00056CC9">
              <w:rPr>
                <w:color w:val="000000"/>
                <w:sz w:val="22"/>
                <w:szCs w:val="22"/>
                <w:vertAlign w:val="superscript"/>
                <w:lang w:val="sr-Latn-ME"/>
              </w:rPr>
              <w:t>2</w:t>
            </w:r>
            <w:r w:rsidRPr="00056CC9">
              <w:rPr>
                <w:color w:val="000000"/>
                <w:sz w:val="22"/>
                <w:szCs w:val="22"/>
                <w:lang w:val="sr-Latn-ME"/>
              </w:rPr>
              <w:t xml:space="preserve">. </w:t>
            </w:r>
          </w:p>
          <w:p w14:paraId="146EE7A9" w14:textId="77777777" w:rsidR="005D1EF5" w:rsidRPr="00056CC9" w:rsidRDefault="005D1EF5" w:rsidP="00056CC9">
            <w:pPr>
              <w:shd w:val="clear" w:color="auto" w:fill="FFFFFF"/>
              <w:ind w:left="278" w:hanging="278"/>
              <w:rPr>
                <w:color w:val="000000"/>
                <w:sz w:val="22"/>
                <w:szCs w:val="22"/>
                <w:lang w:val="sr-Latn-ME"/>
              </w:rPr>
            </w:pPr>
            <w:r w:rsidRPr="00056CC9">
              <w:rPr>
                <w:color w:val="000000"/>
                <w:sz w:val="22"/>
                <w:szCs w:val="22"/>
                <w:lang w:val="sr-Latn-ME"/>
              </w:rPr>
              <w:t>4. Ako citopenija traje 4 nedjelje a i dalje nije povezana sa leukemijom, prekinuti terapiju imatinibom dok ne bude ANC ≥ 1 × 10</w:t>
            </w:r>
            <w:r w:rsidRPr="00056CC9">
              <w:rPr>
                <w:color w:val="000000"/>
                <w:sz w:val="22"/>
                <w:szCs w:val="22"/>
                <w:vertAlign w:val="superscript"/>
                <w:lang w:val="sr-Latn-ME"/>
              </w:rPr>
              <w:t>9</w:t>
            </w:r>
            <w:r w:rsidRPr="00056CC9">
              <w:rPr>
                <w:color w:val="000000"/>
                <w:sz w:val="22"/>
                <w:szCs w:val="22"/>
                <w:lang w:val="sr-Latn-ME"/>
              </w:rPr>
              <w:t>/l a trombociti ≥ 20 × 10</w:t>
            </w:r>
            <w:r w:rsidRPr="00056CC9">
              <w:rPr>
                <w:color w:val="000000"/>
                <w:sz w:val="22"/>
                <w:szCs w:val="22"/>
                <w:vertAlign w:val="superscript"/>
                <w:lang w:val="sr-Latn-ME"/>
              </w:rPr>
              <w:t>9</w:t>
            </w:r>
            <w:r w:rsidRPr="00056CC9">
              <w:rPr>
                <w:color w:val="000000"/>
                <w:sz w:val="22"/>
                <w:szCs w:val="22"/>
                <w:lang w:val="sr-Latn-ME"/>
              </w:rPr>
              <w:t>/l, potom nastaviti terapiju sa 200 mg/m</w:t>
            </w:r>
            <w:r w:rsidRPr="00056CC9">
              <w:rPr>
                <w:color w:val="000000"/>
                <w:sz w:val="22"/>
                <w:szCs w:val="22"/>
                <w:vertAlign w:val="superscript"/>
                <w:lang w:val="sr-Latn-ME"/>
              </w:rPr>
              <w:t>2</w:t>
            </w:r>
            <w:r w:rsidRPr="00056CC9">
              <w:rPr>
                <w:color w:val="000000"/>
                <w:sz w:val="22"/>
                <w:szCs w:val="22"/>
                <w:lang w:val="sr-Latn-ME"/>
              </w:rPr>
              <w:t>.</w:t>
            </w:r>
          </w:p>
        </w:tc>
      </w:tr>
      <w:tr w:rsidR="005D1EF5" w:rsidRPr="00056CC9" w14:paraId="5836F234" w14:textId="77777777" w:rsidTr="004805F8">
        <w:tc>
          <w:tcPr>
            <w:tcW w:w="2246" w:type="dxa"/>
            <w:tcBorders>
              <w:top w:val="single" w:sz="6" w:space="0" w:color="auto"/>
              <w:left w:val="single" w:sz="6" w:space="0" w:color="auto"/>
              <w:bottom w:val="single" w:sz="6" w:space="0" w:color="auto"/>
              <w:right w:val="single" w:sz="6" w:space="0" w:color="auto"/>
            </w:tcBorders>
            <w:shd w:val="clear" w:color="auto" w:fill="FFFFFF"/>
          </w:tcPr>
          <w:p w14:paraId="63D3CEE9"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DFSP</w:t>
            </w:r>
          </w:p>
          <w:p w14:paraId="4FB5B768"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(primjena doze 800 mg)</w:t>
            </w:r>
          </w:p>
          <w:p w14:paraId="0949E6CD" w14:textId="77777777" w:rsidR="005D1EF5" w:rsidRPr="00056CC9" w:rsidRDefault="005D1EF5" w:rsidP="00056CC9">
            <w:pPr>
              <w:shd w:val="clear" w:color="auto" w:fill="FFFFFF"/>
              <w:jc w:val="right"/>
              <w:rPr>
                <w:sz w:val="22"/>
                <w:szCs w:val="22"/>
                <w:lang w:val="sr-Latn-ME"/>
              </w:rPr>
            </w:pPr>
            <w:r w:rsidRPr="00056CC9">
              <w:rPr>
                <w:color w:val="000000"/>
                <w:sz w:val="22"/>
                <w:szCs w:val="22"/>
                <w:lang w:val="sr-Latn-ME"/>
              </w:rPr>
              <w:t xml:space="preserve"> </w:t>
            </w:r>
          </w:p>
          <w:p w14:paraId="73280E07" w14:textId="77777777" w:rsidR="005D1EF5" w:rsidRPr="00056CC9" w:rsidRDefault="005D1EF5" w:rsidP="00056CC9">
            <w:pPr>
              <w:shd w:val="clear" w:color="auto" w:fill="FFFFFF"/>
              <w:rPr>
                <w:sz w:val="22"/>
                <w:szCs w:val="22"/>
                <w:lang w:val="sr-Latn-ME"/>
              </w:rPr>
            </w:pPr>
          </w:p>
          <w:p w14:paraId="62AF0E4A" w14:textId="77777777" w:rsidR="005D1EF5" w:rsidRPr="00056CC9" w:rsidRDefault="005D1EF5" w:rsidP="00056CC9">
            <w:pPr>
              <w:shd w:val="clear" w:color="auto" w:fill="FFFFFF"/>
              <w:jc w:val="right"/>
              <w:rPr>
                <w:color w:val="000000"/>
                <w:sz w:val="22"/>
                <w:szCs w:val="22"/>
                <w:lang w:val="sr-Latn-ME"/>
              </w:rPr>
            </w:pP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70C40E83"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ANC &lt; 1,0 × 10</w:t>
            </w:r>
            <w:r w:rsidRPr="00056CC9">
              <w:rPr>
                <w:color w:val="000000"/>
                <w:sz w:val="22"/>
                <w:szCs w:val="22"/>
                <w:vertAlign w:val="superscript"/>
                <w:lang w:val="sr-Latn-ME"/>
              </w:rPr>
              <w:t>9</w:t>
            </w:r>
            <w:r w:rsidRPr="00056CC9">
              <w:rPr>
                <w:color w:val="000000"/>
                <w:sz w:val="22"/>
                <w:szCs w:val="22"/>
                <w:lang w:val="sr-Latn-ME"/>
              </w:rPr>
              <w:t>/l</w:t>
            </w:r>
          </w:p>
          <w:p w14:paraId="2C6DAB6E"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 xml:space="preserve">i/ili </w:t>
            </w:r>
          </w:p>
          <w:p w14:paraId="06566DE9" w14:textId="77777777" w:rsidR="005D1EF5" w:rsidRPr="00056CC9" w:rsidRDefault="005D1EF5" w:rsidP="00056CC9">
            <w:pPr>
              <w:shd w:val="clear" w:color="auto" w:fill="FFFFFF"/>
              <w:rPr>
                <w:color w:val="000000"/>
                <w:sz w:val="22"/>
                <w:szCs w:val="22"/>
                <w:vertAlign w:val="superscript"/>
                <w:lang w:val="sr-Latn-ME"/>
              </w:rPr>
            </w:pPr>
            <w:r w:rsidRPr="00056CC9">
              <w:rPr>
                <w:color w:val="000000"/>
                <w:sz w:val="22"/>
                <w:szCs w:val="22"/>
                <w:lang w:val="sr-Latn-ME"/>
              </w:rPr>
              <w:t>trombociti &lt; 50 × 10</w:t>
            </w:r>
            <w:r w:rsidRPr="00056CC9">
              <w:rPr>
                <w:color w:val="000000"/>
                <w:sz w:val="22"/>
                <w:szCs w:val="22"/>
                <w:vertAlign w:val="superscript"/>
                <w:lang w:val="sr-Latn-ME"/>
              </w:rPr>
              <w:t>9</w:t>
            </w:r>
            <w:r w:rsidRPr="00056CC9">
              <w:rPr>
                <w:color w:val="000000"/>
                <w:sz w:val="22"/>
                <w:szCs w:val="22"/>
                <w:lang w:val="sr-Latn-ME"/>
              </w:rPr>
              <w:t>/l</w:t>
            </w:r>
          </w:p>
        </w:tc>
        <w:tc>
          <w:tcPr>
            <w:tcW w:w="4157" w:type="dxa"/>
            <w:tcBorders>
              <w:top w:val="single" w:sz="6" w:space="0" w:color="auto"/>
              <w:left w:val="single" w:sz="6" w:space="0" w:color="auto"/>
              <w:bottom w:val="single" w:sz="6" w:space="0" w:color="auto"/>
              <w:right w:val="single" w:sz="6" w:space="0" w:color="auto"/>
            </w:tcBorders>
            <w:shd w:val="clear" w:color="auto" w:fill="FFFFFF"/>
          </w:tcPr>
          <w:p w14:paraId="3CC33A0B"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 xml:space="preserve">1. Prekinuti primjenu </w:t>
            </w:r>
            <w:r w:rsidRPr="00056CC9">
              <w:rPr>
                <w:bCs/>
                <w:sz w:val="22"/>
                <w:szCs w:val="22"/>
                <w:lang w:val="sr-Latn-ME"/>
              </w:rPr>
              <w:t>imatiniba</w:t>
            </w:r>
            <w:r w:rsidRPr="00056CC9">
              <w:rPr>
                <w:bCs/>
                <w:sz w:val="22"/>
                <w:szCs w:val="22"/>
                <w:vertAlign w:val="superscript"/>
                <w:lang w:val="sr-Latn-ME"/>
              </w:rPr>
              <w:t xml:space="preserve"> </w:t>
            </w:r>
            <w:r w:rsidRPr="00056CC9">
              <w:rPr>
                <w:color w:val="000000"/>
                <w:sz w:val="22"/>
                <w:szCs w:val="22"/>
                <w:lang w:val="sr-Latn-ME"/>
              </w:rPr>
              <w:t xml:space="preserve"> dok ne bude ANC ≥ 1,5 × 10</w:t>
            </w:r>
            <w:r w:rsidRPr="00056CC9">
              <w:rPr>
                <w:color w:val="000000"/>
                <w:sz w:val="22"/>
                <w:szCs w:val="22"/>
                <w:vertAlign w:val="superscript"/>
                <w:lang w:val="sr-Latn-ME"/>
              </w:rPr>
              <w:t>9</w:t>
            </w:r>
            <w:r w:rsidRPr="00056CC9">
              <w:rPr>
                <w:color w:val="000000"/>
                <w:sz w:val="22"/>
                <w:szCs w:val="22"/>
                <w:lang w:val="sr-Latn-ME"/>
              </w:rPr>
              <w:t>/l a trombociti ≥ 75×10</w:t>
            </w:r>
            <w:r w:rsidRPr="00056CC9">
              <w:rPr>
                <w:color w:val="000000"/>
                <w:sz w:val="22"/>
                <w:szCs w:val="22"/>
                <w:vertAlign w:val="superscript"/>
                <w:lang w:val="sr-Latn-ME"/>
              </w:rPr>
              <w:t>9</w:t>
            </w:r>
            <w:r w:rsidRPr="00056CC9">
              <w:rPr>
                <w:color w:val="000000"/>
                <w:sz w:val="22"/>
                <w:szCs w:val="22"/>
                <w:lang w:val="sr-Latn-ME"/>
              </w:rPr>
              <w:t>/l.</w:t>
            </w:r>
          </w:p>
          <w:p w14:paraId="28968CE4"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 xml:space="preserve">2. Nastaviti terapiju </w:t>
            </w:r>
            <w:r w:rsidRPr="00056CC9">
              <w:rPr>
                <w:bCs/>
                <w:sz w:val="22"/>
                <w:szCs w:val="22"/>
                <w:lang w:val="sr-Latn-ME"/>
              </w:rPr>
              <w:t xml:space="preserve">imatinibom </w:t>
            </w:r>
            <w:r w:rsidRPr="00056CC9">
              <w:rPr>
                <w:color w:val="000000"/>
                <w:sz w:val="22"/>
                <w:szCs w:val="22"/>
                <w:lang w:val="sr-Latn-ME"/>
              </w:rPr>
              <w:t>sa 600 mg.</w:t>
            </w:r>
          </w:p>
          <w:p w14:paraId="32A7D8F3" w14:textId="77777777" w:rsidR="005D1EF5" w:rsidRPr="00056CC9" w:rsidRDefault="005D1EF5" w:rsidP="00056CC9">
            <w:pPr>
              <w:shd w:val="clear" w:color="auto" w:fill="FFFFFF"/>
              <w:tabs>
                <w:tab w:val="left" w:pos="278"/>
              </w:tabs>
              <w:ind w:left="278" w:hanging="278"/>
              <w:rPr>
                <w:color w:val="000000"/>
                <w:sz w:val="22"/>
                <w:szCs w:val="22"/>
                <w:lang w:val="sr-Latn-ME"/>
              </w:rPr>
            </w:pPr>
            <w:r w:rsidRPr="00056CC9">
              <w:rPr>
                <w:color w:val="000000"/>
                <w:sz w:val="22"/>
                <w:szCs w:val="22"/>
                <w:lang w:val="sr-Latn-ME"/>
              </w:rPr>
              <w:t>3. U slučaju recidiva ANC &lt; 1,0 × 10</w:t>
            </w:r>
            <w:r w:rsidRPr="00056CC9">
              <w:rPr>
                <w:color w:val="000000"/>
                <w:sz w:val="22"/>
                <w:szCs w:val="22"/>
                <w:vertAlign w:val="superscript"/>
                <w:lang w:val="sr-Latn-ME"/>
              </w:rPr>
              <w:t>9</w:t>
            </w:r>
            <w:r w:rsidRPr="00056CC9">
              <w:rPr>
                <w:color w:val="000000"/>
                <w:sz w:val="22"/>
                <w:szCs w:val="22"/>
                <w:lang w:val="sr-Latn-ME"/>
              </w:rPr>
              <w:t>/l</w:t>
            </w:r>
          </w:p>
          <w:p w14:paraId="6C3ABF1C" w14:textId="77777777" w:rsidR="005D1EF5" w:rsidRPr="00056CC9" w:rsidRDefault="005D1EF5" w:rsidP="00056CC9">
            <w:pPr>
              <w:shd w:val="clear" w:color="auto" w:fill="FFFFFF"/>
              <w:tabs>
                <w:tab w:val="left" w:pos="278"/>
              </w:tabs>
              <w:rPr>
                <w:color w:val="000000"/>
                <w:sz w:val="22"/>
                <w:szCs w:val="22"/>
                <w:lang w:val="sr-Latn-ME"/>
              </w:rPr>
            </w:pPr>
            <w:r w:rsidRPr="00056CC9">
              <w:rPr>
                <w:color w:val="000000"/>
                <w:sz w:val="22"/>
                <w:szCs w:val="22"/>
                <w:lang w:val="sr-Latn-ME"/>
              </w:rPr>
              <w:t xml:space="preserve">     i/ili trombociti &lt; 50 × 10</w:t>
            </w:r>
            <w:r w:rsidRPr="00056CC9">
              <w:rPr>
                <w:color w:val="000000"/>
                <w:sz w:val="22"/>
                <w:szCs w:val="22"/>
                <w:vertAlign w:val="superscript"/>
                <w:lang w:val="sr-Latn-ME"/>
              </w:rPr>
              <w:t>9</w:t>
            </w:r>
            <w:r w:rsidRPr="00056CC9">
              <w:rPr>
                <w:color w:val="000000"/>
                <w:sz w:val="22"/>
                <w:szCs w:val="22"/>
                <w:lang w:val="sr-Latn-ME"/>
              </w:rPr>
              <w:t>/l ponoviti</w:t>
            </w:r>
          </w:p>
          <w:p w14:paraId="24C29766" w14:textId="77777777" w:rsidR="005D1EF5" w:rsidRPr="00056CC9" w:rsidRDefault="005D1EF5" w:rsidP="00056CC9">
            <w:pPr>
              <w:shd w:val="clear" w:color="auto" w:fill="FFFFFF"/>
              <w:ind w:left="278" w:hanging="278"/>
              <w:rPr>
                <w:color w:val="000000"/>
                <w:sz w:val="22"/>
                <w:szCs w:val="22"/>
                <w:lang w:val="sr-Latn-ME"/>
              </w:rPr>
            </w:pPr>
            <w:r w:rsidRPr="00056CC9">
              <w:rPr>
                <w:color w:val="000000"/>
                <w:sz w:val="22"/>
                <w:szCs w:val="22"/>
                <w:lang w:val="sr-Latn-ME"/>
              </w:rPr>
              <w:lastRenderedPageBreak/>
              <w:t xml:space="preserve">     korak 1 i nastaviti terapiju </w:t>
            </w:r>
            <w:r w:rsidRPr="00056CC9">
              <w:rPr>
                <w:bCs/>
                <w:sz w:val="22"/>
                <w:szCs w:val="22"/>
                <w:lang w:val="sr-Latn-ME"/>
              </w:rPr>
              <w:t>imatinibom</w:t>
            </w:r>
            <w:r w:rsidRPr="00056CC9">
              <w:rPr>
                <w:bCs/>
                <w:sz w:val="22"/>
                <w:szCs w:val="22"/>
                <w:vertAlign w:val="superscript"/>
                <w:lang w:val="sr-Latn-ME"/>
              </w:rPr>
              <w:t xml:space="preserve"> </w:t>
            </w:r>
            <w:r w:rsidRPr="00056CC9">
              <w:rPr>
                <w:color w:val="000000"/>
                <w:sz w:val="22"/>
                <w:szCs w:val="22"/>
                <w:lang w:val="sr-Latn-ME"/>
              </w:rPr>
              <w:t xml:space="preserve"> smanjenom dozom od 400 mg.</w:t>
            </w:r>
          </w:p>
        </w:tc>
      </w:tr>
      <w:tr w:rsidR="005D1EF5" w:rsidRPr="00056CC9" w14:paraId="02D93972" w14:textId="77777777" w:rsidTr="004805F8">
        <w:tc>
          <w:tcPr>
            <w:tcW w:w="8659" w:type="dxa"/>
            <w:gridSpan w:val="3"/>
            <w:tcBorders>
              <w:top w:val="single" w:sz="6" w:space="0" w:color="auto"/>
              <w:left w:val="single" w:sz="6" w:space="0" w:color="auto"/>
              <w:bottom w:val="single" w:sz="4" w:space="0" w:color="auto"/>
              <w:right w:val="single" w:sz="6" w:space="0" w:color="auto"/>
            </w:tcBorders>
            <w:shd w:val="clear" w:color="auto" w:fill="FFFFFF"/>
          </w:tcPr>
          <w:p w14:paraId="4EF6A00A" w14:textId="77777777" w:rsidR="005D1EF5" w:rsidRPr="00056CC9" w:rsidRDefault="005D1EF5" w:rsidP="00056CC9">
            <w:pPr>
              <w:shd w:val="clear" w:color="auto" w:fill="FFFFFF"/>
              <w:jc w:val="both"/>
              <w:rPr>
                <w:sz w:val="22"/>
                <w:szCs w:val="22"/>
                <w:lang w:val="sr-Latn-ME"/>
              </w:rPr>
            </w:pPr>
            <w:r w:rsidRPr="00056CC9">
              <w:rPr>
                <w:color w:val="000000"/>
                <w:sz w:val="22"/>
                <w:szCs w:val="22"/>
                <w:lang w:val="sr-Latn-ME"/>
              </w:rPr>
              <w:lastRenderedPageBreak/>
              <w:t xml:space="preserve">ANC  (engl. </w:t>
            </w:r>
            <w:r w:rsidRPr="00056CC9">
              <w:rPr>
                <w:i/>
                <w:color w:val="000000"/>
                <w:sz w:val="22"/>
                <w:szCs w:val="22"/>
                <w:lang w:val="sr-Latn-ME"/>
              </w:rPr>
              <w:t>absolute neutrophil count</w:t>
            </w:r>
            <w:r w:rsidRPr="00056CC9">
              <w:rPr>
                <w:color w:val="000000"/>
                <w:sz w:val="22"/>
                <w:szCs w:val="22"/>
                <w:lang w:val="sr-Latn-ME"/>
              </w:rPr>
              <w:t>) = apsolutni broj neutrofila</w:t>
            </w:r>
          </w:p>
          <w:p w14:paraId="66666FBB" w14:textId="77777777" w:rsidR="005D1EF5" w:rsidRPr="00056CC9" w:rsidRDefault="005D1EF5" w:rsidP="00056CC9">
            <w:pPr>
              <w:shd w:val="clear" w:color="auto" w:fill="FFFFFF"/>
              <w:jc w:val="both"/>
              <w:rPr>
                <w:sz w:val="22"/>
                <w:szCs w:val="22"/>
                <w:lang w:val="sr-Latn-ME"/>
              </w:rPr>
            </w:pPr>
            <w:r w:rsidRPr="00056CC9">
              <w:rPr>
                <w:color w:val="000000"/>
                <w:sz w:val="22"/>
                <w:szCs w:val="22"/>
                <w:vertAlign w:val="superscript"/>
                <w:lang w:val="sr-Latn-ME"/>
              </w:rPr>
              <w:t>a</w:t>
            </w:r>
            <w:r w:rsidRPr="00056CC9">
              <w:rPr>
                <w:color w:val="000000"/>
                <w:sz w:val="22"/>
                <w:szCs w:val="22"/>
                <w:lang w:val="sr-Latn-ME"/>
              </w:rPr>
              <w:t xml:space="preserve"> javlja se nakon bar jednog mjeseca terapije</w:t>
            </w:r>
          </w:p>
        </w:tc>
      </w:tr>
    </w:tbl>
    <w:p w14:paraId="627D7C17" w14:textId="77777777" w:rsidR="005D1EF5" w:rsidRPr="00056CC9" w:rsidRDefault="005D1EF5" w:rsidP="00056CC9">
      <w:pPr>
        <w:tabs>
          <w:tab w:val="left" w:pos="540"/>
          <w:tab w:val="left" w:pos="569"/>
        </w:tabs>
        <w:rPr>
          <w:bCs/>
          <w:sz w:val="22"/>
          <w:szCs w:val="22"/>
          <w:u w:val="single"/>
          <w:lang w:val="sr-Latn-ME"/>
        </w:rPr>
      </w:pPr>
    </w:p>
    <w:p w14:paraId="030E689C"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Posebne populacije</w:t>
      </w:r>
    </w:p>
    <w:p w14:paraId="05256921" w14:textId="77777777" w:rsidR="000A1DA8" w:rsidRDefault="000A1DA8" w:rsidP="00056CC9">
      <w:pPr>
        <w:tabs>
          <w:tab w:val="left" w:pos="540"/>
          <w:tab w:val="left" w:pos="569"/>
        </w:tabs>
        <w:jc w:val="both"/>
        <w:rPr>
          <w:bCs/>
          <w:i/>
          <w:iCs/>
          <w:sz w:val="22"/>
          <w:szCs w:val="22"/>
          <w:lang w:val="sr-Latn-ME"/>
        </w:rPr>
      </w:pPr>
    </w:p>
    <w:p w14:paraId="5ACFE284" w14:textId="78FC6115" w:rsidR="005D1EF5" w:rsidRPr="00056CC9" w:rsidRDefault="005D1EF5" w:rsidP="00056CC9">
      <w:pPr>
        <w:tabs>
          <w:tab w:val="left" w:pos="540"/>
          <w:tab w:val="left" w:pos="569"/>
        </w:tabs>
        <w:jc w:val="both"/>
        <w:rPr>
          <w:bCs/>
          <w:sz w:val="22"/>
          <w:szCs w:val="22"/>
          <w:lang w:val="sr-Latn-ME"/>
        </w:rPr>
      </w:pPr>
      <w:r w:rsidRPr="00056CC9">
        <w:rPr>
          <w:bCs/>
          <w:i/>
          <w:iCs/>
          <w:sz w:val="22"/>
          <w:szCs w:val="22"/>
          <w:lang w:val="sr-Latn-ME"/>
        </w:rPr>
        <w:t>Pedijatrijska primjena:</w:t>
      </w:r>
      <w:r w:rsidRPr="00056CC9">
        <w:rPr>
          <w:bCs/>
          <w:sz w:val="22"/>
          <w:szCs w:val="22"/>
          <w:lang w:val="sr-Latn-ME"/>
        </w:rPr>
        <w:t xml:space="preserve"> Nema iskustava sa primjenom imatiniba kod djece oboljele od CML mlađe od 2 godine (vidjeti dio 5.1). Postoji veoma ograničeno iskustvo kod djece sa MDS/MPD, DFSP i HES/CEL.</w:t>
      </w:r>
    </w:p>
    <w:p w14:paraId="7431C47C" w14:textId="77777777" w:rsidR="005D1EF5" w:rsidRPr="00056CC9" w:rsidRDefault="005D1EF5" w:rsidP="00056CC9">
      <w:pPr>
        <w:tabs>
          <w:tab w:val="left" w:pos="540"/>
          <w:tab w:val="left" w:pos="569"/>
        </w:tabs>
        <w:jc w:val="both"/>
        <w:rPr>
          <w:bCs/>
          <w:sz w:val="22"/>
          <w:szCs w:val="22"/>
          <w:lang w:val="sr-Latn-ME"/>
        </w:rPr>
      </w:pPr>
    </w:p>
    <w:p w14:paraId="344BB46C"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Bezbjednost i efikasnost imatiniba kod djece mlađe od 18 godina sa MDS/MPD, DFSP i HES/CEL nisu ustanovljene u kliničkim ispitivanjima. Postojeći publikovani podaci prikazani su u dijelu 5.1, ali se ne mogu dati nikakve preporuke u pogledu doziranja.</w:t>
      </w:r>
    </w:p>
    <w:p w14:paraId="575551F3" w14:textId="77777777" w:rsidR="005D1EF5" w:rsidRPr="00056CC9" w:rsidRDefault="005D1EF5" w:rsidP="00056CC9">
      <w:pPr>
        <w:tabs>
          <w:tab w:val="left" w:pos="540"/>
          <w:tab w:val="left" w:pos="569"/>
        </w:tabs>
        <w:jc w:val="both"/>
        <w:rPr>
          <w:bCs/>
          <w:sz w:val="22"/>
          <w:szCs w:val="22"/>
          <w:u w:val="single"/>
          <w:lang w:val="sr-Latn-ME"/>
        </w:rPr>
      </w:pPr>
    </w:p>
    <w:p w14:paraId="7F35B263" w14:textId="77777777" w:rsidR="005D1EF5" w:rsidRPr="00056CC9" w:rsidRDefault="005D1EF5" w:rsidP="00056CC9">
      <w:pPr>
        <w:tabs>
          <w:tab w:val="left" w:pos="540"/>
          <w:tab w:val="left" w:pos="569"/>
        </w:tabs>
        <w:jc w:val="both"/>
        <w:rPr>
          <w:bCs/>
          <w:sz w:val="22"/>
          <w:szCs w:val="22"/>
          <w:u w:val="single"/>
          <w:lang w:val="sr-Latn-ME"/>
        </w:rPr>
      </w:pPr>
      <w:r w:rsidRPr="00056CC9">
        <w:rPr>
          <w:bCs/>
          <w:i/>
          <w:iCs/>
          <w:sz w:val="22"/>
          <w:szCs w:val="22"/>
          <w:u w:val="single"/>
          <w:lang w:val="sr-Latn-ME"/>
        </w:rPr>
        <w:t>Insuficijencija jetre</w:t>
      </w:r>
      <w:r w:rsidRPr="00056CC9">
        <w:rPr>
          <w:bCs/>
          <w:sz w:val="22"/>
          <w:szCs w:val="22"/>
          <w:u w:val="single"/>
          <w:lang w:val="sr-Latn-ME"/>
        </w:rPr>
        <w:t xml:space="preserve">: </w:t>
      </w:r>
      <w:r w:rsidRPr="00056CC9">
        <w:rPr>
          <w:bCs/>
          <w:sz w:val="22"/>
          <w:szCs w:val="22"/>
          <w:lang w:val="sr-Latn-ME"/>
        </w:rPr>
        <w:t>Imatinib se uglavnom metaboliše preko jetre. Pacijentima sa blagom, umjerenom ili teškom disfunkcijom jetre treba dati minimalnu preporučenu dozu od 400 mg dnevno. Doza se može redukovati ako se lijek ne podnosi (vidjeti djelove 4.4, 4.8. i 5.2.).</w:t>
      </w:r>
    </w:p>
    <w:p w14:paraId="4A097B5F" w14:textId="77777777" w:rsidR="005D1EF5" w:rsidRPr="00056CC9" w:rsidRDefault="005D1EF5" w:rsidP="00056CC9">
      <w:pPr>
        <w:tabs>
          <w:tab w:val="left" w:pos="540"/>
          <w:tab w:val="left" w:pos="569"/>
        </w:tabs>
        <w:jc w:val="both"/>
        <w:rPr>
          <w:bCs/>
          <w:sz w:val="22"/>
          <w:szCs w:val="22"/>
          <w:u w:val="single"/>
          <w:lang w:val="sr-Latn-ME"/>
        </w:rPr>
      </w:pPr>
    </w:p>
    <w:p w14:paraId="68CECBA4"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Klasifikacija disfunkcije jetre:</w:t>
      </w:r>
    </w:p>
    <w:p w14:paraId="60675481" w14:textId="77777777" w:rsidR="005D1EF5" w:rsidRPr="00056CC9" w:rsidRDefault="005D1EF5" w:rsidP="00056CC9">
      <w:pPr>
        <w:tabs>
          <w:tab w:val="left" w:pos="540"/>
          <w:tab w:val="left" w:pos="569"/>
        </w:tabs>
        <w:jc w:val="both"/>
        <w:rPr>
          <w:bCs/>
          <w:sz w:val="22"/>
          <w:szCs w:val="22"/>
          <w:u w:val="single"/>
          <w:lang w:val="sr-Latn-ME"/>
        </w:rPr>
      </w:pPr>
    </w:p>
    <w:tbl>
      <w:tblPr>
        <w:tblW w:w="0" w:type="auto"/>
        <w:tblInd w:w="40" w:type="dxa"/>
        <w:tblLayout w:type="fixed"/>
        <w:tblCellMar>
          <w:left w:w="40" w:type="dxa"/>
          <w:right w:w="40" w:type="dxa"/>
        </w:tblCellMar>
        <w:tblLook w:val="0000" w:firstRow="0" w:lastRow="0" w:firstColumn="0" w:lastColumn="0" w:noHBand="0" w:noVBand="0"/>
      </w:tblPr>
      <w:tblGrid>
        <w:gridCol w:w="3178"/>
        <w:gridCol w:w="5578"/>
      </w:tblGrid>
      <w:tr w:rsidR="005D1EF5" w:rsidRPr="00056CC9" w14:paraId="57914E2B" w14:textId="77777777" w:rsidTr="004805F8">
        <w:trPr>
          <w:trHeight w:hRule="exact" w:val="259"/>
        </w:trPr>
        <w:tc>
          <w:tcPr>
            <w:tcW w:w="3178" w:type="dxa"/>
            <w:tcBorders>
              <w:top w:val="single" w:sz="6" w:space="0" w:color="auto"/>
              <w:left w:val="single" w:sz="6" w:space="0" w:color="auto"/>
              <w:bottom w:val="single" w:sz="6" w:space="0" w:color="auto"/>
              <w:right w:val="single" w:sz="6" w:space="0" w:color="auto"/>
            </w:tcBorders>
            <w:shd w:val="clear" w:color="auto" w:fill="FFFFFF"/>
          </w:tcPr>
          <w:p w14:paraId="7721B15A" w14:textId="77777777" w:rsidR="005D1EF5" w:rsidRPr="00056CC9" w:rsidRDefault="005D1EF5" w:rsidP="00056CC9">
            <w:pPr>
              <w:shd w:val="clear" w:color="auto" w:fill="FFFFFF"/>
              <w:jc w:val="both"/>
              <w:rPr>
                <w:sz w:val="22"/>
                <w:szCs w:val="22"/>
                <w:lang w:val="sr-Latn-ME"/>
              </w:rPr>
            </w:pPr>
            <w:r w:rsidRPr="00056CC9">
              <w:rPr>
                <w:color w:val="000000"/>
                <w:sz w:val="22"/>
                <w:szCs w:val="22"/>
                <w:lang w:val="sr-Latn-ME"/>
              </w:rPr>
              <w:t>Disfunkcija jetre</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14:paraId="629DB763" w14:textId="77777777" w:rsidR="005D1EF5" w:rsidRPr="00056CC9" w:rsidRDefault="005D1EF5" w:rsidP="00056CC9">
            <w:pPr>
              <w:shd w:val="clear" w:color="auto" w:fill="FFFFFF"/>
              <w:jc w:val="both"/>
              <w:rPr>
                <w:sz w:val="22"/>
                <w:szCs w:val="22"/>
                <w:lang w:val="sr-Latn-ME"/>
              </w:rPr>
            </w:pPr>
            <w:r w:rsidRPr="00056CC9">
              <w:rPr>
                <w:color w:val="000000"/>
                <w:sz w:val="22"/>
                <w:szCs w:val="22"/>
                <w:lang w:val="sr-Latn-ME"/>
              </w:rPr>
              <w:t xml:space="preserve">Testovi funkcije jetre </w:t>
            </w:r>
          </w:p>
        </w:tc>
      </w:tr>
      <w:tr w:rsidR="005D1EF5" w:rsidRPr="00056CC9" w14:paraId="4F6118EA" w14:textId="77777777" w:rsidTr="004805F8">
        <w:trPr>
          <w:trHeight w:hRule="exact" w:val="871"/>
        </w:trPr>
        <w:tc>
          <w:tcPr>
            <w:tcW w:w="3178" w:type="dxa"/>
            <w:tcBorders>
              <w:top w:val="single" w:sz="6" w:space="0" w:color="auto"/>
              <w:left w:val="single" w:sz="6" w:space="0" w:color="auto"/>
              <w:bottom w:val="single" w:sz="6" w:space="0" w:color="auto"/>
              <w:right w:val="single" w:sz="6" w:space="0" w:color="auto"/>
            </w:tcBorders>
            <w:shd w:val="clear" w:color="auto" w:fill="FFFFFF"/>
          </w:tcPr>
          <w:p w14:paraId="7C70B576" w14:textId="77777777" w:rsidR="005D1EF5" w:rsidRPr="00056CC9" w:rsidRDefault="005D1EF5" w:rsidP="00056CC9">
            <w:pPr>
              <w:shd w:val="clear" w:color="auto" w:fill="FFFFFF"/>
              <w:jc w:val="both"/>
              <w:rPr>
                <w:sz w:val="22"/>
                <w:szCs w:val="22"/>
                <w:lang w:val="sr-Latn-ME"/>
              </w:rPr>
            </w:pPr>
            <w:r w:rsidRPr="00056CC9">
              <w:rPr>
                <w:color w:val="000000"/>
                <w:sz w:val="22"/>
                <w:szCs w:val="22"/>
                <w:lang w:val="sr-Latn-ME"/>
              </w:rPr>
              <w:t>Blaga</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14:paraId="0AEE7B03" w14:textId="77777777" w:rsidR="005D1EF5" w:rsidRPr="00056CC9" w:rsidRDefault="005D1EF5" w:rsidP="00056CC9">
            <w:pPr>
              <w:shd w:val="clear" w:color="auto" w:fill="FFFFFF"/>
              <w:jc w:val="both"/>
              <w:rPr>
                <w:color w:val="000000"/>
                <w:sz w:val="22"/>
                <w:szCs w:val="22"/>
                <w:lang w:val="sr-Latn-ME"/>
              </w:rPr>
            </w:pPr>
            <w:r w:rsidRPr="00056CC9">
              <w:rPr>
                <w:color w:val="000000"/>
                <w:sz w:val="22"/>
                <w:szCs w:val="22"/>
                <w:lang w:val="sr-Latn-ME"/>
              </w:rPr>
              <w:t xml:space="preserve">Ukupni bilirubin: = 1,5 ULN </w:t>
            </w:r>
          </w:p>
          <w:p w14:paraId="79F1E167" w14:textId="77777777" w:rsidR="005D1EF5" w:rsidRPr="00056CC9" w:rsidRDefault="005D1EF5" w:rsidP="00056CC9">
            <w:pPr>
              <w:shd w:val="clear" w:color="auto" w:fill="FFFFFF"/>
              <w:jc w:val="both"/>
              <w:rPr>
                <w:sz w:val="22"/>
                <w:szCs w:val="22"/>
                <w:lang w:val="sr-Latn-ME"/>
              </w:rPr>
            </w:pPr>
            <w:r w:rsidRPr="00056CC9">
              <w:rPr>
                <w:color w:val="000000"/>
                <w:sz w:val="22"/>
                <w:szCs w:val="22"/>
                <w:lang w:val="sr-Latn-ME"/>
              </w:rPr>
              <w:t>AST: &gt; ULN (može biti normalan ili &lt; ULN ako je ukupni bilirubin &gt; ULN)</w:t>
            </w:r>
          </w:p>
        </w:tc>
      </w:tr>
      <w:tr w:rsidR="005D1EF5" w:rsidRPr="00056CC9" w14:paraId="03C07378" w14:textId="77777777" w:rsidTr="004805F8">
        <w:trPr>
          <w:trHeight w:hRule="exact" w:val="566"/>
        </w:trPr>
        <w:tc>
          <w:tcPr>
            <w:tcW w:w="3178" w:type="dxa"/>
            <w:tcBorders>
              <w:top w:val="single" w:sz="6" w:space="0" w:color="auto"/>
              <w:left w:val="single" w:sz="6" w:space="0" w:color="auto"/>
              <w:bottom w:val="single" w:sz="6" w:space="0" w:color="auto"/>
              <w:right w:val="single" w:sz="6" w:space="0" w:color="auto"/>
            </w:tcBorders>
            <w:shd w:val="clear" w:color="auto" w:fill="FFFFFF"/>
          </w:tcPr>
          <w:p w14:paraId="5B05A372" w14:textId="77777777" w:rsidR="005D1EF5" w:rsidRPr="00056CC9" w:rsidRDefault="005D1EF5" w:rsidP="00056CC9">
            <w:pPr>
              <w:shd w:val="clear" w:color="auto" w:fill="FFFFFF"/>
              <w:jc w:val="both"/>
              <w:rPr>
                <w:sz w:val="22"/>
                <w:szCs w:val="22"/>
                <w:lang w:val="sr-Latn-ME"/>
              </w:rPr>
            </w:pPr>
            <w:r w:rsidRPr="00056CC9">
              <w:rPr>
                <w:color w:val="000000"/>
                <w:sz w:val="22"/>
                <w:szCs w:val="22"/>
                <w:lang w:val="sr-Latn-ME"/>
              </w:rPr>
              <w:t>Umjerena</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14:paraId="025C2F79" w14:textId="77777777" w:rsidR="005D1EF5" w:rsidRPr="00056CC9" w:rsidRDefault="005D1EF5" w:rsidP="00056CC9">
            <w:pPr>
              <w:shd w:val="clear" w:color="auto" w:fill="FFFFFF"/>
              <w:jc w:val="both"/>
              <w:rPr>
                <w:color w:val="000000"/>
                <w:sz w:val="22"/>
                <w:szCs w:val="22"/>
                <w:lang w:val="sr-Latn-ME"/>
              </w:rPr>
            </w:pPr>
            <w:r w:rsidRPr="00056CC9">
              <w:rPr>
                <w:color w:val="000000"/>
                <w:sz w:val="22"/>
                <w:szCs w:val="22"/>
                <w:lang w:val="sr-Latn-ME"/>
              </w:rPr>
              <w:t xml:space="preserve">Ukupni bilirubin: &gt; 1,5-3,0 ULN </w:t>
            </w:r>
          </w:p>
          <w:p w14:paraId="2595ED61" w14:textId="77777777" w:rsidR="005D1EF5" w:rsidRPr="00056CC9" w:rsidRDefault="005D1EF5" w:rsidP="00056CC9">
            <w:pPr>
              <w:shd w:val="clear" w:color="auto" w:fill="FFFFFF"/>
              <w:jc w:val="both"/>
              <w:rPr>
                <w:sz w:val="22"/>
                <w:szCs w:val="22"/>
                <w:lang w:val="sr-Latn-ME"/>
              </w:rPr>
            </w:pPr>
            <w:r w:rsidRPr="00056CC9">
              <w:rPr>
                <w:color w:val="000000"/>
                <w:sz w:val="22"/>
                <w:szCs w:val="22"/>
                <w:lang w:val="sr-Latn-ME"/>
              </w:rPr>
              <w:t>AST: bilo koja</w:t>
            </w:r>
          </w:p>
        </w:tc>
      </w:tr>
      <w:tr w:rsidR="005D1EF5" w:rsidRPr="00056CC9" w14:paraId="092915D8" w14:textId="77777777" w:rsidTr="004805F8">
        <w:trPr>
          <w:trHeight w:hRule="exact" w:val="532"/>
        </w:trPr>
        <w:tc>
          <w:tcPr>
            <w:tcW w:w="3178" w:type="dxa"/>
            <w:tcBorders>
              <w:top w:val="single" w:sz="6" w:space="0" w:color="auto"/>
              <w:left w:val="single" w:sz="6" w:space="0" w:color="auto"/>
              <w:bottom w:val="single" w:sz="6" w:space="0" w:color="auto"/>
              <w:right w:val="single" w:sz="6" w:space="0" w:color="auto"/>
            </w:tcBorders>
            <w:shd w:val="clear" w:color="auto" w:fill="FFFFFF"/>
          </w:tcPr>
          <w:p w14:paraId="091A62D1" w14:textId="77777777" w:rsidR="005D1EF5" w:rsidRPr="00056CC9" w:rsidRDefault="005D1EF5" w:rsidP="00056CC9">
            <w:pPr>
              <w:shd w:val="clear" w:color="auto" w:fill="FFFFFF"/>
              <w:jc w:val="both"/>
              <w:rPr>
                <w:sz w:val="22"/>
                <w:szCs w:val="22"/>
                <w:lang w:val="sr-Latn-ME"/>
              </w:rPr>
            </w:pPr>
            <w:r w:rsidRPr="00056CC9">
              <w:rPr>
                <w:color w:val="000000"/>
                <w:sz w:val="22"/>
                <w:szCs w:val="22"/>
                <w:lang w:val="sr-Latn-ME"/>
              </w:rPr>
              <w:t>Teška</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14:paraId="544DA372" w14:textId="77777777" w:rsidR="005D1EF5" w:rsidRPr="00056CC9" w:rsidRDefault="005D1EF5" w:rsidP="00056CC9">
            <w:pPr>
              <w:shd w:val="clear" w:color="auto" w:fill="FFFFFF"/>
              <w:jc w:val="both"/>
              <w:rPr>
                <w:color w:val="000000"/>
                <w:sz w:val="22"/>
                <w:szCs w:val="22"/>
                <w:lang w:val="sr-Latn-ME"/>
              </w:rPr>
            </w:pPr>
            <w:r w:rsidRPr="00056CC9">
              <w:rPr>
                <w:color w:val="000000"/>
                <w:sz w:val="22"/>
                <w:szCs w:val="22"/>
                <w:lang w:val="sr-Latn-ME"/>
              </w:rPr>
              <w:t>Ukupni bilirubin: &gt; 3-10 ULN</w:t>
            </w:r>
          </w:p>
          <w:p w14:paraId="41843D1B" w14:textId="77777777" w:rsidR="005D1EF5" w:rsidRPr="00056CC9" w:rsidRDefault="005D1EF5" w:rsidP="00056CC9">
            <w:pPr>
              <w:shd w:val="clear" w:color="auto" w:fill="FFFFFF"/>
              <w:jc w:val="both"/>
              <w:rPr>
                <w:sz w:val="22"/>
                <w:szCs w:val="22"/>
                <w:lang w:val="sr-Latn-ME"/>
              </w:rPr>
            </w:pPr>
            <w:r w:rsidRPr="00056CC9">
              <w:rPr>
                <w:color w:val="000000"/>
                <w:sz w:val="22"/>
                <w:szCs w:val="22"/>
                <w:lang w:val="sr-Latn-ME"/>
              </w:rPr>
              <w:t xml:space="preserve"> AST: bilo koja</w:t>
            </w:r>
          </w:p>
        </w:tc>
      </w:tr>
    </w:tbl>
    <w:p w14:paraId="0837BB91"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 xml:space="preserve">ULN (engl. </w:t>
      </w:r>
      <w:r w:rsidRPr="00056CC9">
        <w:rPr>
          <w:bCs/>
          <w:i/>
          <w:sz w:val="22"/>
          <w:szCs w:val="22"/>
          <w:lang w:val="sr-Latn-ME"/>
        </w:rPr>
        <w:t>upper limit of normal for the institution</w:t>
      </w:r>
      <w:r w:rsidRPr="00056CC9">
        <w:rPr>
          <w:bCs/>
          <w:sz w:val="22"/>
          <w:szCs w:val="22"/>
          <w:lang w:val="sr-Latn-ME"/>
        </w:rPr>
        <w:t>) = institucionalna gornja granica normalnih vrijednosti</w:t>
      </w:r>
    </w:p>
    <w:p w14:paraId="5D2350B6"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AST = aspartat aminotransferaza</w:t>
      </w:r>
    </w:p>
    <w:p w14:paraId="2EDC484F" w14:textId="77777777" w:rsidR="005D1EF5" w:rsidRPr="00056CC9" w:rsidRDefault="005D1EF5" w:rsidP="00056CC9">
      <w:pPr>
        <w:tabs>
          <w:tab w:val="left" w:pos="540"/>
          <w:tab w:val="left" w:pos="569"/>
        </w:tabs>
        <w:jc w:val="both"/>
        <w:rPr>
          <w:bCs/>
          <w:sz w:val="22"/>
          <w:szCs w:val="22"/>
          <w:u w:val="single"/>
          <w:lang w:val="sr-Latn-ME"/>
        </w:rPr>
      </w:pPr>
    </w:p>
    <w:p w14:paraId="53CED1A5" w14:textId="77777777" w:rsidR="005D1EF5" w:rsidRPr="00056CC9" w:rsidRDefault="005D1EF5" w:rsidP="00056CC9">
      <w:pPr>
        <w:tabs>
          <w:tab w:val="left" w:pos="540"/>
          <w:tab w:val="left" w:pos="569"/>
        </w:tabs>
        <w:jc w:val="both"/>
        <w:rPr>
          <w:bCs/>
          <w:sz w:val="22"/>
          <w:szCs w:val="22"/>
          <w:lang w:val="sr-Latn-ME"/>
        </w:rPr>
      </w:pPr>
      <w:r w:rsidRPr="00056CC9">
        <w:rPr>
          <w:bCs/>
          <w:i/>
          <w:iCs/>
          <w:sz w:val="22"/>
          <w:szCs w:val="22"/>
          <w:lang w:val="sr-Latn-ME"/>
        </w:rPr>
        <w:t>Insuficijencija bubrega</w:t>
      </w:r>
      <w:r w:rsidRPr="00056CC9">
        <w:rPr>
          <w:bCs/>
          <w:sz w:val="22"/>
          <w:szCs w:val="22"/>
          <w:lang w:val="sr-Latn-ME"/>
        </w:rPr>
        <w:t>: Pacijentima sa disfunkcijom bubrega ili na dijalizi treba dati minimalnu preporučenu dozu od 400 mg dnevno kao početnu dozu. Međutim, kod ovih pacijenata se preporučuje oprez. Doza se može smanjiti ukoliko se loše podnosi. Ako se podnosi, doza se može povećati usljed nedovoljne efikasnosti (vidjeti djelove 4.4 i 5.2).</w:t>
      </w:r>
    </w:p>
    <w:p w14:paraId="404D83B4" w14:textId="77777777" w:rsidR="005D1EF5" w:rsidRPr="00056CC9" w:rsidRDefault="005D1EF5" w:rsidP="00056CC9">
      <w:pPr>
        <w:tabs>
          <w:tab w:val="left" w:pos="540"/>
          <w:tab w:val="left" w:pos="569"/>
        </w:tabs>
        <w:jc w:val="both"/>
        <w:rPr>
          <w:bCs/>
          <w:sz w:val="22"/>
          <w:szCs w:val="22"/>
          <w:u w:val="single"/>
          <w:lang w:val="sr-Latn-ME"/>
        </w:rPr>
      </w:pPr>
    </w:p>
    <w:p w14:paraId="78C26548" w14:textId="77777777" w:rsidR="005D1EF5" w:rsidRPr="00056CC9" w:rsidRDefault="005D1EF5" w:rsidP="00056CC9">
      <w:pPr>
        <w:tabs>
          <w:tab w:val="left" w:pos="540"/>
          <w:tab w:val="left" w:pos="569"/>
        </w:tabs>
        <w:jc w:val="both"/>
        <w:rPr>
          <w:bCs/>
          <w:sz w:val="22"/>
          <w:szCs w:val="22"/>
          <w:u w:val="single"/>
          <w:lang w:val="sr-Latn-ME"/>
        </w:rPr>
      </w:pPr>
      <w:r w:rsidRPr="00056CC9">
        <w:rPr>
          <w:bCs/>
          <w:i/>
          <w:iCs/>
          <w:sz w:val="22"/>
          <w:szCs w:val="22"/>
          <w:lang w:val="sr-Latn-ME"/>
        </w:rPr>
        <w:t>Starije osobe</w:t>
      </w:r>
      <w:r w:rsidRPr="00056CC9">
        <w:rPr>
          <w:bCs/>
          <w:sz w:val="22"/>
          <w:szCs w:val="22"/>
          <w:lang w:val="sr-Latn-ME"/>
        </w:rPr>
        <w:t>: Farmakokinetika imatiniba nije posebno izučavana kod starijih osoba. Nisu zapažene značajne farmakokinetske razlike vezane za godine kod odraslih pacijenata u kliničkim ispitivanjima koja su uključivala preko 20% pacijenata od 65 godina i starijih. Nije neophodna posebna preporuka u doziranju kod starijih osoba.</w:t>
      </w:r>
    </w:p>
    <w:p w14:paraId="54B473A4" w14:textId="77777777" w:rsidR="005D1EF5" w:rsidRPr="00056CC9" w:rsidRDefault="005D1EF5" w:rsidP="00056CC9">
      <w:pPr>
        <w:tabs>
          <w:tab w:val="left" w:pos="540"/>
          <w:tab w:val="left" w:pos="569"/>
        </w:tabs>
        <w:jc w:val="both"/>
        <w:rPr>
          <w:bCs/>
          <w:sz w:val="22"/>
          <w:szCs w:val="22"/>
          <w:lang w:val="sr-Latn-ME"/>
        </w:rPr>
      </w:pPr>
    </w:p>
    <w:p w14:paraId="29C5376A" w14:textId="7777777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4.3. Kontraindikacije</w:t>
      </w:r>
    </w:p>
    <w:p w14:paraId="0DEBB960" w14:textId="77777777" w:rsidR="005D1EF5" w:rsidRPr="00056CC9" w:rsidRDefault="005D1EF5" w:rsidP="00056CC9">
      <w:pPr>
        <w:tabs>
          <w:tab w:val="left" w:pos="540"/>
          <w:tab w:val="left" w:pos="569"/>
        </w:tabs>
        <w:jc w:val="both"/>
        <w:rPr>
          <w:b/>
          <w:bCs/>
          <w:sz w:val="22"/>
          <w:szCs w:val="22"/>
          <w:lang w:val="sr-Latn-ME"/>
        </w:rPr>
      </w:pPr>
    </w:p>
    <w:p w14:paraId="27333F84"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Preosjetljivost na aktivnu supstancu ili na bilo koju od pomoćnih supstanci navedenih u dijelu 6.1.</w:t>
      </w:r>
    </w:p>
    <w:p w14:paraId="741861CC" w14:textId="77777777" w:rsidR="005D1EF5" w:rsidRPr="00056CC9" w:rsidRDefault="005D1EF5" w:rsidP="00056CC9">
      <w:pPr>
        <w:tabs>
          <w:tab w:val="left" w:pos="540"/>
          <w:tab w:val="left" w:pos="569"/>
        </w:tabs>
        <w:jc w:val="both"/>
        <w:rPr>
          <w:bCs/>
          <w:sz w:val="22"/>
          <w:szCs w:val="22"/>
          <w:lang w:val="sr-Latn-ME"/>
        </w:rPr>
      </w:pPr>
    </w:p>
    <w:p w14:paraId="666CCDD0" w14:textId="7777777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 xml:space="preserve">4.4. </w:t>
      </w:r>
      <w:r w:rsidRPr="00056CC9">
        <w:rPr>
          <w:b/>
          <w:bCs/>
          <w:sz w:val="22"/>
          <w:szCs w:val="22"/>
          <w:lang w:val="sr-Latn-ME"/>
        </w:rPr>
        <w:tab/>
        <w:t>Posebna upozorenja i mjere opreza pri upotrebi lijeka</w:t>
      </w:r>
    </w:p>
    <w:p w14:paraId="77208465" w14:textId="77777777" w:rsidR="005D1EF5" w:rsidRPr="00056CC9" w:rsidRDefault="005D1EF5" w:rsidP="00056CC9">
      <w:pPr>
        <w:tabs>
          <w:tab w:val="left" w:pos="540"/>
          <w:tab w:val="left" w:pos="569"/>
        </w:tabs>
        <w:jc w:val="both"/>
        <w:rPr>
          <w:bCs/>
          <w:sz w:val="22"/>
          <w:szCs w:val="22"/>
          <w:lang w:val="sr-Latn-ME"/>
        </w:rPr>
      </w:pPr>
    </w:p>
    <w:p w14:paraId="3583FCBF"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Kad se imatinib primjenjuje istovremeno sa drugim ljekovima, postoji mogućnost interakcije ljekova.</w:t>
      </w:r>
    </w:p>
    <w:p w14:paraId="2383EE26"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Potreban je oprez kada se imatinib koristi sa inhibitorima proteaze, azolnim antimikoticima, određenim makrolidima (vidjeti dio 4.5), CYP3A4 supstratima sa uskim terapijskim područjem (npr. ciklosporin, pimozid, takrolimus, sirolimus, ergotamin, diergotamin, fentanil, alfentanil, terfenadin, bortezomib, docetaksel, hinidin) ili varfarinom i drugim kumarinskim derivatima (vidjeti dio 4.5).</w:t>
      </w:r>
    </w:p>
    <w:p w14:paraId="1753FB94" w14:textId="77777777" w:rsidR="005D1EF5" w:rsidRPr="00056CC9" w:rsidRDefault="005D1EF5" w:rsidP="00056CC9">
      <w:pPr>
        <w:tabs>
          <w:tab w:val="left" w:pos="540"/>
          <w:tab w:val="left" w:pos="569"/>
        </w:tabs>
        <w:jc w:val="both"/>
        <w:rPr>
          <w:bCs/>
          <w:sz w:val="22"/>
          <w:szCs w:val="22"/>
          <w:lang w:val="sr-Latn-ME"/>
        </w:rPr>
      </w:pPr>
    </w:p>
    <w:p w14:paraId="0BE71318"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lastRenderedPageBreak/>
        <w:t xml:space="preserve">Istovremena primjena imatiniba i ljekova koji indukuju CYP3A4 (npr. deksametazon, fenitoin, karbamazepin, rifampicin, fenobarbiton ili </w:t>
      </w:r>
      <w:r w:rsidRPr="00056CC9">
        <w:rPr>
          <w:bCs/>
          <w:i/>
          <w:sz w:val="22"/>
          <w:szCs w:val="22"/>
          <w:lang w:val="sr-Latn-ME"/>
        </w:rPr>
        <w:t>Hypericum perforatum</w:t>
      </w:r>
      <w:r w:rsidRPr="00056CC9">
        <w:rPr>
          <w:bCs/>
          <w:sz w:val="22"/>
          <w:szCs w:val="22"/>
          <w:lang w:val="sr-Latn-ME"/>
        </w:rPr>
        <w:t>, poznat i kao kantarion) može značajno da smanji izloženost imatinibu, potencijalno povećavajući rizik od terapijskog neuspjeha. Stoga treba izbjegavati istovremenu primjenu jakih induktora CYP3A4 i imatiniba (vidjeti dio 4.5).</w:t>
      </w:r>
    </w:p>
    <w:p w14:paraId="3AD42748" w14:textId="77777777" w:rsidR="005D1EF5" w:rsidRPr="00056CC9" w:rsidRDefault="005D1EF5" w:rsidP="00056CC9">
      <w:pPr>
        <w:tabs>
          <w:tab w:val="left" w:pos="540"/>
          <w:tab w:val="left" w:pos="569"/>
        </w:tabs>
        <w:jc w:val="both"/>
        <w:rPr>
          <w:bCs/>
          <w:sz w:val="22"/>
          <w:szCs w:val="22"/>
          <w:lang w:val="sr-Latn-ME"/>
        </w:rPr>
      </w:pPr>
    </w:p>
    <w:p w14:paraId="77F3CB65"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Hipotireoidizam</w:t>
      </w:r>
    </w:p>
    <w:p w14:paraId="5ECEE484"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Kod pacijenata kod kojih je obavljena tiroidektomija i koji su na supstitucionoj terapiji levotiroksinom zabilježeni su klinički slučajevi hipotireoidizma tokom terapije imatinibom (vidjeti dio 4.5). Nivoe tireostimulišućeg hormona (TSH) kod ovih pacijenata treba pažljivo pratiti.</w:t>
      </w:r>
    </w:p>
    <w:p w14:paraId="42217B7D" w14:textId="77777777" w:rsidR="005D1EF5" w:rsidRPr="00056CC9" w:rsidRDefault="005D1EF5" w:rsidP="00056CC9">
      <w:pPr>
        <w:tabs>
          <w:tab w:val="left" w:pos="540"/>
          <w:tab w:val="left" w:pos="569"/>
        </w:tabs>
        <w:jc w:val="both"/>
        <w:rPr>
          <w:bCs/>
          <w:sz w:val="22"/>
          <w:szCs w:val="22"/>
          <w:lang w:val="sr-Latn-ME"/>
        </w:rPr>
      </w:pPr>
    </w:p>
    <w:p w14:paraId="198B3498"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Hepatotoksičnost</w:t>
      </w:r>
    </w:p>
    <w:p w14:paraId="0C6D57F4"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 xml:space="preserve">Metabolizam imatiniba odvija se uglavnom preko jetre, a samo 13% ekskrecije ide preko bubrega. Kod pacijenata sa disfunkcijom jetre (blagom, umjerenom ili teškom), perifernu krvnu sliku i enzime jetre treba pažljivo pratiti (vidjeti djelove 4.2, 4.8 i 5.2). </w:t>
      </w:r>
    </w:p>
    <w:p w14:paraId="59D3EFF9"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Slučajevi oštećenja jetre, uključujući insuficijenciju i nekrozu jetre, uočeni su kod primjene imatiniba. Kada se imatinib kombinuje sa hemioterapijskim režimima visokih doza, uočava se povećanje broja ozbiljnih hepatičnih reakcija. Kada se imatinib kombinuje sa hemioterapijskim režimima, za koje je poznato da su udruženi sa disfunkcijom jetre, funkciju jetre treba pažljivo pratiti (vidjeti djelove 4.5 i 4.8).</w:t>
      </w:r>
    </w:p>
    <w:p w14:paraId="32AA1679" w14:textId="77777777" w:rsidR="005D1EF5" w:rsidRPr="00056CC9" w:rsidRDefault="005D1EF5" w:rsidP="00056CC9">
      <w:pPr>
        <w:tabs>
          <w:tab w:val="left" w:pos="540"/>
          <w:tab w:val="left" w:pos="569"/>
        </w:tabs>
        <w:jc w:val="both"/>
        <w:rPr>
          <w:bCs/>
          <w:sz w:val="22"/>
          <w:szCs w:val="22"/>
          <w:lang w:val="sr-Latn-ME"/>
        </w:rPr>
      </w:pPr>
    </w:p>
    <w:p w14:paraId="422CF2D4"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Retencija tečnosti</w:t>
      </w:r>
    </w:p>
    <w:p w14:paraId="516C84CF"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Pojave teške retencije tečnosti (pleuralna efuzija, edem, plućni edem, ascit, površinski edem) zabilježene su kod približno 2,5% novodijagnostikovanih pacijenata sa CML koji uzimaju imatinib. Stoga se posebno preporučuje da se tim pacijentima redovno prati tjelesna težina. Neočekivan dobitak na težini treba pažljivo istražiti i po potrebi treba preduzeti odgovarajuće suportivne i terapijske mjere. Tokom kliničkih ispitivanja došlo je do povećane učestalosti ovih događaja kod starijih pacijenata, kao i kod onih sa prethodnom istorijom srčane bolesti. Stoga treba ispoljiti oprez kod pacijenata sa srčanom disfunkcijom.</w:t>
      </w:r>
    </w:p>
    <w:p w14:paraId="4B2FD237" w14:textId="77777777" w:rsidR="005D1EF5" w:rsidRPr="00056CC9" w:rsidRDefault="005D1EF5" w:rsidP="00056CC9">
      <w:pPr>
        <w:tabs>
          <w:tab w:val="left" w:pos="540"/>
          <w:tab w:val="left" w:pos="569"/>
        </w:tabs>
        <w:jc w:val="both"/>
        <w:rPr>
          <w:bCs/>
          <w:sz w:val="22"/>
          <w:szCs w:val="22"/>
          <w:lang w:val="sr-Latn-ME"/>
        </w:rPr>
      </w:pPr>
    </w:p>
    <w:p w14:paraId="04A059BB"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Pacijenti sa srčanom bolešću</w:t>
      </w:r>
    </w:p>
    <w:p w14:paraId="169F14EE"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Pacijente sa srčanom bolešću ili faktorima rizika za pojavu srčane insuficijencije  ili sa insuficijencijom bubrega u anamnezi treba pažljivo pratiti, i svakog pacijenta sa znakovima ili simptomima konzistentnim sa srčanom insuficijencijom  ili insuficijencijom bubrega treba procjenjivati i liječiti.</w:t>
      </w:r>
    </w:p>
    <w:p w14:paraId="6FF2B890" w14:textId="77777777" w:rsidR="005D1EF5" w:rsidRPr="00056CC9" w:rsidRDefault="005D1EF5" w:rsidP="00056CC9">
      <w:pPr>
        <w:tabs>
          <w:tab w:val="left" w:pos="540"/>
          <w:tab w:val="left" w:pos="569"/>
        </w:tabs>
        <w:jc w:val="both"/>
        <w:rPr>
          <w:bCs/>
          <w:sz w:val="22"/>
          <w:szCs w:val="22"/>
          <w:lang w:val="sr-Latn-ME"/>
        </w:rPr>
      </w:pPr>
    </w:p>
    <w:p w14:paraId="4D9F5ECD"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Kod pacijenata sa hipereozinofilnim sindromom (HES) gdje je zahvaćeno i srce (okultna infiltracija HES ćelija u miokardu), izolovani slučajevi kardiogenog šoka/disfunkcije lijeve srčane komore su bili udruženi sa degranulacijom HES ćelija nakon uvođenja imatiniba u terapiju. Zabilježeno je da je ovo stanje bilo reverzibilno davanjem sistemskih steroida, cirkulacijskih suportivnih mjera, uz privremen prekid terapije imatinibom. Povremeno je dolazilo do pojave srčanih neželjenih dejstava prilikom davanja imatiniba, i zato treba imati na umu obavljanje pažljive procjene odnosa  korist/rizik  terapije imatinibom u populaciji oboljeloj od HES/CEL prije započinjanja terapije.</w:t>
      </w:r>
    </w:p>
    <w:p w14:paraId="7604CD4A" w14:textId="77777777" w:rsidR="005D1EF5" w:rsidRPr="00056CC9" w:rsidRDefault="005D1EF5" w:rsidP="00056CC9">
      <w:pPr>
        <w:tabs>
          <w:tab w:val="left" w:pos="540"/>
          <w:tab w:val="left" w:pos="569"/>
        </w:tabs>
        <w:jc w:val="both"/>
        <w:rPr>
          <w:bCs/>
          <w:sz w:val="22"/>
          <w:szCs w:val="22"/>
          <w:lang w:val="sr-Latn-ME"/>
        </w:rPr>
      </w:pPr>
    </w:p>
    <w:p w14:paraId="31448286"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Mijelodisplastične/mijeloproliferativne bolesti sa genskom rekombinacijom PDGFR mogu biti udružene sa visokim koncentracijama eozinofila. Prije nego što se primijeni imatinib, treba razmotriti procjenu kardiologa, rezultate ehokardiograma i određivanje serumskog troponina kod pacijenata sa HES/CEL, i kod pacijenata sa MDS/MPD udruženim sa visokim nivoima eozinofila. Ako bilo koji od ovih pokazatelja nije u granicama normale, prilikom započinjanja terapije treba razmotriti kardiološku kontrolu i profilaksu primjenom sistemskih steroida (1-2 mg/kg) tokom jedne do dvije nedjelje, istovremeno uz imatinib.</w:t>
      </w:r>
    </w:p>
    <w:p w14:paraId="2C502539" w14:textId="77777777" w:rsidR="005D1EF5" w:rsidRPr="00056CC9" w:rsidRDefault="005D1EF5" w:rsidP="00056CC9">
      <w:pPr>
        <w:tabs>
          <w:tab w:val="left" w:pos="540"/>
          <w:tab w:val="left" w:pos="569"/>
        </w:tabs>
        <w:jc w:val="both"/>
        <w:rPr>
          <w:bCs/>
          <w:sz w:val="22"/>
          <w:szCs w:val="22"/>
          <w:lang w:val="sr-Latn-ME"/>
        </w:rPr>
      </w:pPr>
    </w:p>
    <w:p w14:paraId="19B0CDAE"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Gastrointestinalno krvarenje</w:t>
      </w:r>
    </w:p>
    <w:p w14:paraId="2ECF5B1D"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Kod pacijenata sa CML, ALL i drugim bolestima, tokom postmarketinškog praćenja lijeka, prijavljena je i gastrična antralna vaskularna ektazija (GAVE), rijedak uzročnik gastrointestinalnog krvarenja (vidjeti dio 4.8). Ukoliko je potrebno, može se razmotriti prekid terapije imatinibom.</w:t>
      </w:r>
    </w:p>
    <w:p w14:paraId="63E72546" w14:textId="77777777" w:rsidR="005D1EF5" w:rsidRPr="00056CC9" w:rsidRDefault="005D1EF5" w:rsidP="00056CC9">
      <w:pPr>
        <w:tabs>
          <w:tab w:val="left" w:pos="540"/>
          <w:tab w:val="left" w:pos="569"/>
        </w:tabs>
        <w:jc w:val="both"/>
        <w:rPr>
          <w:bCs/>
          <w:sz w:val="22"/>
          <w:szCs w:val="22"/>
          <w:lang w:val="sr-Latn-ME"/>
        </w:rPr>
      </w:pPr>
    </w:p>
    <w:p w14:paraId="5BA391C7" w14:textId="77777777" w:rsidR="000A1DA8" w:rsidRDefault="000A1DA8" w:rsidP="00056CC9">
      <w:pPr>
        <w:tabs>
          <w:tab w:val="left" w:pos="540"/>
          <w:tab w:val="left" w:pos="569"/>
        </w:tabs>
        <w:jc w:val="both"/>
        <w:rPr>
          <w:bCs/>
          <w:sz w:val="22"/>
          <w:szCs w:val="22"/>
          <w:u w:val="single"/>
          <w:lang w:val="sr-Latn-ME"/>
        </w:rPr>
      </w:pPr>
    </w:p>
    <w:p w14:paraId="069D0457" w14:textId="77777777" w:rsidR="000A1DA8" w:rsidRDefault="000A1DA8" w:rsidP="00056CC9">
      <w:pPr>
        <w:tabs>
          <w:tab w:val="left" w:pos="540"/>
          <w:tab w:val="left" w:pos="569"/>
        </w:tabs>
        <w:jc w:val="both"/>
        <w:rPr>
          <w:bCs/>
          <w:sz w:val="22"/>
          <w:szCs w:val="22"/>
          <w:u w:val="single"/>
          <w:lang w:val="sr-Latn-ME"/>
        </w:rPr>
      </w:pPr>
    </w:p>
    <w:p w14:paraId="358DE20C" w14:textId="7325A7A3"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lastRenderedPageBreak/>
        <w:t>Sindrom lize tumora</w:t>
      </w:r>
    </w:p>
    <w:p w14:paraId="1F25A441"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Zbog mogućeg nastanka sindroma lize tumora (TLS), preporučuje se korekcija klinički značajne dehidratacije i liječenje visokih nivoa mokraćne kiseline prije započinjanja terapije lijekom Imarem (vidjeti dio 4.8).</w:t>
      </w:r>
    </w:p>
    <w:p w14:paraId="021B0671" w14:textId="77777777" w:rsidR="005D1EF5" w:rsidRPr="00056CC9" w:rsidRDefault="005D1EF5" w:rsidP="00056CC9">
      <w:pPr>
        <w:tabs>
          <w:tab w:val="left" w:pos="540"/>
          <w:tab w:val="left" w:pos="569"/>
        </w:tabs>
        <w:jc w:val="both"/>
        <w:rPr>
          <w:bCs/>
          <w:sz w:val="22"/>
          <w:szCs w:val="22"/>
          <w:lang w:val="sr-Latn-ME"/>
        </w:rPr>
      </w:pPr>
    </w:p>
    <w:p w14:paraId="61D2D2B3"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Reaktivacija hepatitisa B</w:t>
      </w:r>
    </w:p>
    <w:p w14:paraId="6FE9F8F7"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Kod pacijenata koji su hronični nosioci virusa hepatitisa B pojavila se ponovna aktivacija tog virusa nakon što su primili inhibitore BCR-ABL tirozin kinaze. U nekim slučajevima došlo je do akutne insuficijencije jetre ili fulminantnog hepatitisa, što je dovelo do transplantacije jetre ili smrtnog ishoda.</w:t>
      </w:r>
    </w:p>
    <w:p w14:paraId="7E0107B3" w14:textId="77777777" w:rsidR="005D1EF5" w:rsidRPr="00056CC9" w:rsidRDefault="005D1EF5" w:rsidP="00056CC9">
      <w:pPr>
        <w:tabs>
          <w:tab w:val="left" w:pos="540"/>
          <w:tab w:val="left" w:pos="569"/>
        </w:tabs>
        <w:jc w:val="both"/>
        <w:rPr>
          <w:bCs/>
          <w:sz w:val="22"/>
          <w:szCs w:val="22"/>
          <w:lang w:val="sr-Latn-ME"/>
        </w:rPr>
      </w:pPr>
    </w:p>
    <w:p w14:paraId="0891547E"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Pacijente je potrebno testirati na infekciju HBV-om prije početka liječenja imatinibom. Prije početka liječenja pacijenata sa pozitivnim serološkim nalazima na hepatitis B (uključujući one sa aktivnom bolešću), kao i za pacijente za koje se pokaže da su pozitivni na HBV tokom liječenja, potrebno je posavjetovati se sa stručnjacima za bolesti jetre i liječenje hepatitisa B. Nosioce virusa HBV kojima je potrebno liječenje lijekom Imarem potrebno je pažljivo pratiti zbog znakova i simptoma aktivne infekcije HBV-om tokom terapije i nekoliko mjeseci nakon završetka terapije (vidjeti dio 4.8).</w:t>
      </w:r>
    </w:p>
    <w:p w14:paraId="4A631FFE" w14:textId="77777777" w:rsidR="005D1EF5" w:rsidRPr="00056CC9" w:rsidRDefault="005D1EF5" w:rsidP="00056CC9">
      <w:pPr>
        <w:tabs>
          <w:tab w:val="left" w:pos="540"/>
          <w:tab w:val="left" w:pos="569"/>
        </w:tabs>
        <w:jc w:val="both"/>
        <w:rPr>
          <w:bCs/>
          <w:sz w:val="22"/>
          <w:szCs w:val="22"/>
          <w:lang w:val="sr-Latn-ME"/>
        </w:rPr>
      </w:pPr>
    </w:p>
    <w:p w14:paraId="57CF3248"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Fototoksičnost</w:t>
      </w:r>
    </w:p>
    <w:p w14:paraId="42C8DA49"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Izlaganje direktnoj sunčevoj svjetlosti treba izbjegavati ili svesti na najmanju mjeru, zbog rizika od fototoksičnosti koji je povezan sa primjenom imatiniba. Pacijente treba savjetovati da koriste mjere zaštite od sunca, kao što su zaštitna odjeća i kreme za sunčanje sa visokim zaštitnim faktorom (SPF).</w:t>
      </w:r>
    </w:p>
    <w:p w14:paraId="2E6AEC1A" w14:textId="77777777" w:rsidR="005D1EF5" w:rsidRPr="00056CC9" w:rsidRDefault="005D1EF5" w:rsidP="00056CC9">
      <w:pPr>
        <w:tabs>
          <w:tab w:val="left" w:pos="540"/>
          <w:tab w:val="left" w:pos="569"/>
        </w:tabs>
        <w:jc w:val="both"/>
        <w:rPr>
          <w:bCs/>
          <w:sz w:val="22"/>
          <w:szCs w:val="22"/>
          <w:lang w:val="sr-Latn-ME"/>
        </w:rPr>
      </w:pPr>
    </w:p>
    <w:p w14:paraId="56F06328"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Trombotička mikroangiopatija</w:t>
      </w:r>
    </w:p>
    <w:p w14:paraId="5F18DAD5"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BCR-ABL inhibitori tirozin kinaze (TKI) povezani su sa trombotičkom mikroangiopatijom (TMA), uključujući pojedinačne izvještaje za imatinib (vidjeti dio 4.8). Ako se jave laboratorijski ili klinički nalazi povezani sa TMA kod pacijenta koji prima lijek Imarem, liječenje treba prekinuti i treba napraviti detaljnu procjenu TMA, uključujući aktivnost ADAMTS13 i određivanje antitijela ADAMTS13. U slučaju povišene vrijednosti antitijela anti-ADAMTS13 zajedno sa niskom aktivnošću ADAMTS13, liječenje lijekom Imarem ne bi trebalo nastaviti.</w:t>
      </w:r>
    </w:p>
    <w:p w14:paraId="57900D65" w14:textId="77777777" w:rsidR="005D1EF5" w:rsidRPr="00056CC9" w:rsidRDefault="005D1EF5" w:rsidP="00056CC9">
      <w:pPr>
        <w:tabs>
          <w:tab w:val="left" w:pos="540"/>
          <w:tab w:val="left" w:pos="569"/>
        </w:tabs>
        <w:jc w:val="both"/>
        <w:rPr>
          <w:bCs/>
          <w:sz w:val="22"/>
          <w:szCs w:val="22"/>
          <w:lang w:val="sr-Latn-ME"/>
        </w:rPr>
      </w:pPr>
    </w:p>
    <w:p w14:paraId="4C5ECABC"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Laboratorijski testovi</w:t>
      </w:r>
    </w:p>
    <w:p w14:paraId="6B946F7A"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Treba redovno kontrolisati kompletnu krvnu sliku tokom terapije imatinibom. Terapija imatinibom kod  pacijenata sa CML povezivana je sa neutropenijom ili trombocitopenijom. Međutim, pojava ovih citopenija je vjerovatno povezana sa stadijumom bolesti koji se liječi i češće su kod pacijenata sa fazom akceleracije CML ili blastnom krizom u poređenju sa pacijentima u hroničnoj fazi CML. Doza se može smanjiti ako se lijek ne podnosi (vidjeti djelove 4.2).</w:t>
      </w:r>
    </w:p>
    <w:p w14:paraId="38858BB7" w14:textId="77777777" w:rsidR="005D1EF5" w:rsidRPr="00056CC9" w:rsidRDefault="005D1EF5" w:rsidP="00056CC9">
      <w:pPr>
        <w:tabs>
          <w:tab w:val="left" w:pos="540"/>
          <w:tab w:val="left" w:pos="569"/>
        </w:tabs>
        <w:jc w:val="both"/>
        <w:rPr>
          <w:bCs/>
          <w:sz w:val="22"/>
          <w:szCs w:val="22"/>
          <w:lang w:val="sr-Latn-ME"/>
        </w:rPr>
      </w:pPr>
    </w:p>
    <w:p w14:paraId="764DB0A3"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 xml:space="preserve">Kod pacijenata koji uzimaju imatinib treba redovno pratiti funkciju jetre (transaminaze, bilirubin, alkalnu fosfatazu). </w:t>
      </w:r>
    </w:p>
    <w:p w14:paraId="1D7E5028" w14:textId="77777777" w:rsidR="005D1EF5" w:rsidRPr="00056CC9" w:rsidRDefault="005D1EF5" w:rsidP="00056CC9">
      <w:pPr>
        <w:tabs>
          <w:tab w:val="left" w:pos="540"/>
          <w:tab w:val="left" w:pos="569"/>
        </w:tabs>
        <w:jc w:val="both"/>
        <w:rPr>
          <w:bCs/>
          <w:sz w:val="22"/>
          <w:szCs w:val="22"/>
          <w:lang w:val="sr-Latn-ME"/>
        </w:rPr>
      </w:pPr>
    </w:p>
    <w:p w14:paraId="11D5DA96"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Kod pacijenata sa poremećenom funkcijom bubrega, izgleda da je izloženost imatinibu u plazmi viša nego kod pacijenata sa normalnom funkcijom bubrega, i to vjerovatno zbog povišenog nivoa alfa-kiselog glikoproteina u plazmi (AGP), proteina koji vezuje imatinib, kod ovih pacijenata. Pacijenti sa oštećenjem bubrežne funkcije treba da prime minimalnu početnu dozu. Pacijente sa teškim oštećenjem bubrežne funkcije treba oprezno liječiti. Doza se može redukovati ukoliko se ne podnosi dobro (vidjeti djelove 4.2 i 5.2).</w:t>
      </w:r>
    </w:p>
    <w:p w14:paraId="542F6DFB" w14:textId="77777777" w:rsidR="005D1EF5" w:rsidRPr="00056CC9" w:rsidRDefault="005D1EF5" w:rsidP="00056CC9">
      <w:pPr>
        <w:tabs>
          <w:tab w:val="left" w:pos="540"/>
          <w:tab w:val="left" w:pos="569"/>
        </w:tabs>
        <w:jc w:val="both"/>
        <w:rPr>
          <w:bCs/>
          <w:sz w:val="22"/>
          <w:szCs w:val="22"/>
          <w:lang w:val="sr-Latn-ME"/>
        </w:rPr>
      </w:pPr>
    </w:p>
    <w:p w14:paraId="3A9B0695"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Dugotrajno liječenje imatinibom može biti povezano sa klinički značajnim padom funkcije bubrega. Zbog toga, funkciju bubrega treba ispitati prije početka terapije imatinibom i pažljivo pratiti tokom terapije, uz posebnu pažnju na one pacijente koji pokazuju faktore rizika za bubrežnu disfunkciju. Ako se uoči bubrežna disfunkcija, potrebno je uvesti odgovarajući nadzor i liječenje u skladu sa standardnim smjernicama liječenja.</w:t>
      </w:r>
    </w:p>
    <w:p w14:paraId="68585825" w14:textId="77777777" w:rsidR="005D1EF5" w:rsidRPr="00056CC9" w:rsidRDefault="005D1EF5" w:rsidP="00056CC9">
      <w:pPr>
        <w:tabs>
          <w:tab w:val="left" w:pos="540"/>
          <w:tab w:val="left" w:pos="569"/>
        </w:tabs>
        <w:jc w:val="both"/>
        <w:rPr>
          <w:bCs/>
          <w:sz w:val="22"/>
          <w:szCs w:val="22"/>
          <w:lang w:val="sr-Latn-ME"/>
        </w:rPr>
      </w:pPr>
    </w:p>
    <w:p w14:paraId="203A715D" w14:textId="77777777" w:rsidR="005D1EF5" w:rsidRPr="00056CC9" w:rsidRDefault="005D1EF5" w:rsidP="00056CC9">
      <w:pPr>
        <w:tabs>
          <w:tab w:val="left" w:pos="540"/>
          <w:tab w:val="left" w:pos="569"/>
        </w:tabs>
        <w:jc w:val="both"/>
        <w:rPr>
          <w:bCs/>
          <w:sz w:val="22"/>
          <w:szCs w:val="22"/>
          <w:u w:val="single"/>
          <w:lang w:val="sr-Latn-ME"/>
        </w:rPr>
      </w:pPr>
      <w:r w:rsidRPr="00056CC9">
        <w:rPr>
          <w:bCs/>
          <w:sz w:val="22"/>
          <w:szCs w:val="22"/>
          <w:u w:val="single"/>
          <w:lang w:val="sr-Latn-ME"/>
        </w:rPr>
        <w:t>Pedijatrijska populacija</w:t>
      </w:r>
    </w:p>
    <w:p w14:paraId="7D1BC22A"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 xml:space="preserve">Prijavljivani su slučajevi usporenog rasta koji se javlja kod djece i pre-adolescenata koji su uzimali imatinib. U opservacionoj studiji kod CML u pedijatrijskoj populaciji, kod dvije male podgrupe djece, nezavisno od pubertalnog statusa i pola, zabilježen je statistički značajan pad (ali neizvjesnog kliničkog </w:t>
      </w:r>
      <w:r w:rsidRPr="00056CC9">
        <w:rPr>
          <w:bCs/>
          <w:sz w:val="22"/>
          <w:szCs w:val="22"/>
          <w:lang w:val="sr-Latn-ME"/>
        </w:rPr>
        <w:lastRenderedPageBreak/>
        <w:t xml:space="preserve">značaja) medijane skora standardne devijacije za visinu, nakon 12 i 24 mjeseca od liječenja imatinibom. Iz tog razloga se preporučuje pažljivo praćenje rasta djece koja su na terapiji imatinibom (vidjeti dio 4.8). </w:t>
      </w:r>
    </w:p>
    <w:p w14:paraId="2CF4CD1B" w14:textId="77777777" w:rsidR="005D1EF5" w:rsidRPr="00056CC9" w:rsidRDefault="005D1EF5" w:rsidP="00056CC9">
      <w:pPr>
        <w:tabs>
          <w:tab w:val="left" w:pos="540"/>
          <w:tab w:val="left" w:pos="569"/>
        </w:tabs>
        <w:jc w:val="both"/>
        <w:rPr>
          <w:bCs/>
          <w:sz w:val="22"/>
          <w:szCs w:val="22"/>
          <w:lang w:val="sr-Latn-ME"/>
        </w:rPr>
      </w:pPr>
    </w:p>
    <w:p w14:paraId="466D446C" w14:textId="7777777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4.5. Interakcije sa drugim ljekovima i druge vrste interakcija</w:t>
      </w:r>
    </w:p>
    <w:p w14:paraId="68E6C53D" w14:textId="77777777" w:rsidR="005D1EF5" w:rsidRPr="00056CC9" w:rsidRDefault="005D1EF5" w:rsidP="00056CC9">
      <w:pPr>
        <w:tabs>
          <w:tab w:val="left" w:pos="540"/>
          <w:tab w:val="left" w:pos="569"/>
        </w:tabs>
        <w:rPr>
          <w:b/>
          <w:bCs/>
          <w:sz w:val="22"/>
          <w:szCs w:val="22"/>
          <w:lang w:val="sr-Latn-ME"/>
        </w:rPr>
      </w:pPr>
    </w:p>
    <w:p w14:paraId="7829A579"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 xml:space="preserve">Aktivne supstance koje mogu </w:t>
      </w:r>
      <w:r w:rsidRPr="00056CC9">
        <w:rPr>
          <w:b/>
          <w:bCs/>
          <w:sz w:val="22"/>
          <w:szCs w:val="22"/>
          <w:u w:val="single"/>
          <w:lang w:val="sr-Latn-ME"/>
        </w:rPr>
        <w:t>povećati</w:t>
      </w:r>
      <w:r w:rsidRPr="00056CC9">
        <w:rPr>
          <w:sz w:val="22"/>
          <w:szCs w:val="22"/>
          <w:u w:val="single"/>
          <w:lang w:val="sr-Latn-ME"/>
        </w:rPr>
        <w:t xml:space="preserve"> koncentraciju imatiniba u plazmi:</w:t>
      </w:r>
    </w:p>
    <w:p w14:paraId="70BE1DDF"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 xml:space="preserve">Supstance koje inhibiraju aktivnost citohrom P450 izoenzima CYP3A4 (npr. inhibitori proteaza, kao što su indinavir, lopinavir/ritonavir, ritonavir, sakvinavir, telaprevir, nelfinavir, boceprevir; azolni antimikotici uključujući ketokonazol, itrakonazol, posakonazol, vorikonazol; određeni makrolidi, kao što su eritromicin, klaritromicin i telitromicin) mogu da smanje metabolizam i povećaju koncentracije imatiniba. Došlo je do značajnog povećanja izloženosti imatinibu (srednja Cmax imatiniba je porasla za 26%, a PIK imatiniba je porastao za 40%) kod zdravih ispitanika, kad se davao istovremeno sa jednom dozom ketokonazola (CYP3A4 inhibitor). Treba biti oprezan kad se imatinib primjenjuje sa  inhibitorima grupe CYP3A4. </w:t>
      </w:r>
    </w:p>
    <w:p w14:paraId="488CEB39" w14:textId="77777777" w:rsidR="005D1EF5" w:rsidRPr="00056CC9" w:rsidRDefault="005D1EF5" w:rsidP="00056CC9">
      <w:pPr>
        <w:tabs>
          <w:tab w:val="left" w:pos="540"/>
          <w:tab w:val="left" w:pos="569"/>
        </w:tabs>
        <w:jc w:val="both"/>
        <w:rPr>
          <w:sz w:val="22"/>
          <w:szCs w:val="22"/>
          <w:lang w:val="sr-Latn-ME"/>
        </w:rPr>
      </w:pPr>
    </w:p>
    <w:p w14:paraId="6128C33F"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 xml:space="preserve">Aktivne supstance koje mogu </w:t>
      </w:r>
      <w:r w:rsidRPr="00056CC9">
        <w:rPr>
          <w:b/>
          <w:bCs/>
          <w:sz w:val="22"/>
          <w:szCs w:val="22"/>
          <w:u w:val="single"/>
          <w:lang w:val="sr-Latn-ME"/>
        </w:rPr>
        <w:t>smanjiti</w:t>
      </w:r>
      <w:r w:rsidRPr="00056CC9">
        <w:rPr>
          <w:sz w:val="22"/>
          <w:szCs w:val="22"/>
          <w:u w:val="single"/>
          <w:lang w:val="sr-Latn-ME"/>
        </w:rPr>
        <w:t xml:space="preserve"> koncentraciju imatiniba u plazmi:</w:t>
      </w:r>
    </w:p>
    <w:p w14:paraId="73D7240C"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 xml:space="preserve">Supstance koje su induktori aktivnosti CYP3A4 (npr. deksametazon, fenitoin, karbamazepin, rifampicin, fenobarbiton, fosfenitoin, primidon ili </w:t>
      </w:r>
      <w:r w:rsidRPr="00056CC9">
        <w:rPr>
          <w:i/>
          <w:sz w:val="22"/>
          <w:szCs w:val="22"/>
          <w:lang w:val="sr-Latn-ME"/>
        </w:rPr>
        <w:t>Hypericum perforatum</w:t>
      </w:r>
      <w:r w:rsidRPr="00056CC9">
        <w:rPr>
          <w:sz w:val="22"/>
          <w:szCs w:val="22"/>
          <w:lang w:val="sr-Latn-ME"/>
        </w:rPr>
        <w:t>, poznat i kao kantarion) mogu značajno da smanje izloženost imatinibu, potencijalno povećavajući rizik od terapijskog neuspjeha. Prethodna terapija višestrukim dozama rifampicina od 600 mg praćenim pojedinačnom dozom od 400 mg imatiniba  rezultovala je sniženjem Cmax i PIK(0-∞) za najmanje 54%, odnosno 74%, od vrijednosti bez terapije rifampicinom. Slični rezultati zapaženi su kod pacijenata sa malignim gliomima liječenih imatinibom dok su uzimali antiepileptike koji indukuju enzime (EIAEDs), kao što su karbamazepin, okskarbamazepin i fenitoin. PIK imatiniba u plazmi se smanjio za 73% u poređenju sa pacijentima koji nisu bili na EIAEDs terapiji.</w:t>
      </w:r>
    </w:p>
    <w:p w14:paraId="1F8ECA3C"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Treba izbjegavati istovremenu primjenu rifampicina ili drugih snažnih induktora CYP3A4 i imatiniba.</w:t>
      </w:r>
    </w:p>
    <w:p w14:paraId="43F12C99" w14:textId="77777777" w:rsidR="005D1EF5" w:rsidRPr="00056CC9" w:rsidRDefault="005D1EF5" w:rsidP="00056CC9">
      <w:pPr>
        <w:tabs>
          <w:tab w:val="left" w:pos="540"/>
          <w:tab w:val="left" w:pos="569"/>
        </w:tabs>
        <w:jc w:val="both"/>
        <w:rPr>
          <w:sz w:val="22"/>
          <w:szCs w:val="22"/>
          <w:lang w:val="sr-Latn-ME"/>
        </w:rPr>
      </w:pPr>
    </w:p>
    <w:p w14:paraId="1648CA64"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Aktivne supstance čija se koncentracija u plazmi može mijenjati pod uticajem imatiniba</w:t>
      </w:r>
    </w:p>
    <w:p w14:paraId="01892BE2"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Imatinib povećava srednju Cmax i PIK simvastatina (supstrata CYP3A4) 2 puta, odnosno 3,5 puta, ukazujući na inhibiciju CYP3A4 imatinibom. Stoga se preporučuje oprezno davanje imatiniba sa supstratima CYP3A4 koji imaju usku terapijsku širinu (npr. ciklosporin, pimozid, takrolimus, sirolimus, ergotamin, diergotamin, fentanil, alfentanil, terfenadin, bortezomib, docetaksel i hinidin). Imatinib može da poveća koncentracije drugih ljekova u plazmi, koji se metabolišu preko CYP3A4 (npr. triazolobenzodiazepini, dihidropiridinski blokatori kalcijumskih kanala, neki inhibitori HMG-CoA reduktaze, tj. statini, itd.).</w:t>
      </w:r>
    </w:p>
    <w:p w14:paraId="06653082" w14:textId="77777777" w:rsidR="005D1EF5" w:rsidRPr="00056CC9" w:rsidRDefault="005D1EF5" w:rsidP="00056CC9">
      <w:pPr>
        <w:tabs>
          <w:tab w:val="left" w:pos="540"/>
          <w:tab w:val="left" w:pos="569"/>
        </w:tabs>
        <w:jc w:val="both"/>
        <w:rPr>
          <w:sz w:val="22"/>
          <w:szCs w:val="22"/>
          <w:lang w:val="sr-Latn-ME"/>
        </w:rPr>
      </w:pPr>
    </w:p>
    <w:p w14:paraId="73028F91"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Zbog poznatog povećanog rizika od krvarenja kada se varfarin primjenjuje zajedno sa imatinibom (npr. hemoragije), pacijenti kojima su potrebni antikoagulansi treba da primaju standardni ili niskomolekularni heparin, umjesto kumarinskih derivata, kao što je varfarin.</w:t>
      </w:r>
    </w:p>
    <w:p w14:paraId="444A96AF" w14:textId="77777777" w:rsidR="005D1EF5" w:rsidRPr="00056CC9" w:rsidRDefault="005D1EF5" w:rsidP="00056CC9">
      <w:pPr>
        <w:tabs>
          <w:tab w:val="left" w:pos="540"/>
          <w:tab w:val="left" w:pos="569"/>
        </w:tabs>
        <w:jc w:val="both"/>
        <w:rPr>
          <w:sz w:val="22"/>
          <w:szCs w:val="22"/>
          <w:lang w:val="sr-Latn-ME"/>
        </w:rPr>
      </w:pPr>
    </w:p>
    <w:p w14:paraId="7C838C77" w14:textId="77777777" w:rsidR="005D1EF5" w:rsidRPr="00056CC9" w:rsidRDefault="005D1EF5" w:rsidP="00056CC9">
      <w:pPr>
        <w:tabs>
          <w:tab w:val="left" w:pos="540"/>
          <w:tab w:val="left" w:pos="569"/>
        </w:tabs>
        <w:jc w:val="both"/>
        <w:rPr>
          <w:sz w:val="22"/>
          <w:szCs w:val="22"/>
          <w:lang w:val="sr-Latn-ME"/>
        </w:rPr>
      </w:pPr>
      <w:r w:rsidRPr="00056CC9">
        <w:rPr>
          <w:i/>
          <w:iCs/>
          <w:sz w:val="22"/>
          <w:szCs w:val="22"/>
          <w:lang w:val="sr-Latn-ME"/>
        </w:rPr>
        <w:t>In vitro</w:t>
      </w:r>
      <w:r w:rsidRPr="00056CC9">
        <w:rPr>
          <w:iCs/>
          <w:sz w:val="22"/>
          <w:szCs w:val="22"/>
          <w:lang w:val="sr-Latn-ME"/>
        </w:rPr>
        <w:t>,</w:t>
      </w:r>
      <w:r w:rsidRPr="00056CC9">
        <w:rPr>
          <w:sz w:val="22"/>
          <w:szCs w:val="22"/>
          <w:lang w:val="sr-Latn-ME"/>
        </w:rPr>
        <w:t xml:space="preserve"> imatinib inhibira aktivnost izoenzima CYP2D6 citohroma P450 u koncentracijama sličnim onima koje utiču na aktivnost CYP3A4. Imatinib od 400 mg dat dvaput dnevno ima inhibitorni efekat na CYP2D6-posredovani metabolizam metoprolola, gdje su Cmax i PIK metoprolola povećani za približno 23% (90%CI [1,16-1,30]). Izgleda da nije potrebno podešavanje doza kada se imatinib daje istovremeno sa supstratima CYP2D6, međutim, treba biti oprezan kod supstrata CYP2D6 sa uskom terapijskom širinom, kao što je metoprolol. Pacijente na terapiji metoprololom treba klinički pratiti.</w:t>
      </w:r>
    </w:p>
    <w:p w14:paraId="5DB0A9B7" w14:textId="77777777" w:rsidR="005D1EF5" w:rsidRPr="00056CC9" w:rsidRDefault="005D1EF5" w:rsidP="00056CC9">
      <w:pPr>
        <w:tabs>
          <w:tab w:val="left" w:pos="540"/>
          <w:tab w:val="left" w:pos="569"/>
        </w:tabs>
        <w:jc w:val="both"/>
        <w:rPr>
          <w:sz w:val="22"/>
          <w:szCs w:val="22"/>
          <w:lang w:val="sr-Latn-ME"/>
        </w:rPr>
      </w:pPr>
    </w:p>
    <w:p w14:paraId="5D6BAE51" w14:textId="77777777" w:rsidR="005D1EF5" w:rsidRPr="00056CC9" w:rsidRDefault="005D1EF5" w:rsidP="00056CC9">
      <w:pPr>
        <w:tabs>
          <w:tab w:val="left" w:pos="540"/>
          <w:tab w:val="left" w:pos="569"/>
        </w:tabs>
        <w:jc w:val="both"/>
        <w:rPr>
          <w:sz w:val="22"/>
          <w:szCs w:val="22"/>
          <w:lang w:val="sr-Latn-ME"/>
        </w:rPr>
      </w:pPr>
      <w:r w:rsidRPr="00056CC9">
        <w:rPr>
          <w:i/>
          <w:iCs/>
          <w:sz w:val="22"/>
          <w:szCs w:val="22"/>
          <w:lang w:val="sr-Latn-ME"/>
        </w:rPr>
        <w:t>In vitro</w:t>
      </w:r>
      <w:r w:rsidRPr="00056CC9">
        <w:rPr>
          <w:sz w:val="22"/>
          <w:szCs w:val="22"/>
          <w:lang w:val="sr-Latn-ME"/>
        </w:rPr>
        <w:t xml:space="preserve">, imatinib inhibira O-glukuronidaciju paracetamola sa Ki vrijednošću od 58,5 mikromol/l. Ova inhibicija nije zabilježena </w:t>
      </w:r>
      <w:r w:rsidRPr="00056CC9">
        <w:rPr>
          <w:i/>
          <w:sz w:val="22"/>
          <w:szCs w:val="22"/>
          <w:lang w:val="sr-Latn-ME"/>
        </w:rPr>
        <w:t>in vivo</w:t>
      </w:r>
      <w:r w:rsidRPr="00056CC9">
        <w:rPr>
          <w:sz w:val="22"/>
          <w:szCs w:val="22"/>
          <w:lang w:val="sr-Latn-ME"/>
        </w:rPr>
        <w:t xml:space="preserve"> poslije primjene 400 mg imatiniba i 1000 mg paracetamola. Više doze imatiniba i paracetamola nisu ispitivane.</w:t>
      </w:r>
    </w:p>
    <w:p w14:paraId="070B354B"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Stoga treba biti oprezan kad se istovremeno daju visoke doze imatiniba i paracetamola.</w:t>
      </w:r>
    </w:p>
    <w:p w14:paraId="540825E2" w14:textId="77777777" w:rsidR="005D1EF5" w:rsidRPr="00056CC9" w:rsidRDefault="005D1EF5" w:rsidP="00056CC9">
      <w:pPr>
        <w:tabs>
          <w:tab w:val="left" w:pos="540"/>
          <w:tab w:val="left" w:pos="569"/>
        </w:tabs>
        <w:jc w:val="both"/>
        <w:rPr>
          <w:sz w:val="22"/>
          <w:szCs w:val="22"/>
          <w:lang w:val="sr-Latn-ME"/>
        </w:rPr>
      </w:pPr>
    </w:p>
    <w:p w14:paraId="57A22C50"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Ako se tireoidektomisanim pacijenatima koji primaju levotiroksin, istovremeno daje imatinib, izloženost levotiroksinu u plazmi može biti smanjena (vidjeti dio 4.4). Stoga se preporučuje oprez. Međutim, mehanizam uočene interakcije je za sada nepoznat.</w:t>
      </w:r>
    </w:p>
    <w:p w14:paraId="038AD168" w14:textId="77777777" w:rsidR="005D1EF5" w:rsidRPr="00056CC9" w:rsidRDefault="005D1EF5" w:rsidP="00056CC9">
      <w:pPr>
        <w:tabs>
          <w:tab w:val="left" w:pos="540"/>
          <w:tab w:val="left" w:pos="569"/>
        </w:tabs>
        <w:jc w:val="both"/>
        <w:rPr>
          <w:sz w:val="22"/>
          <w:szCs w:val="22"/>
          <w:lang w:val="sr-Latn-ME"/>
        </w:rPr>
      </w:pPr>
    </w:p>
    <w:p w14:paraId="7F903C2C"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lastRenderedPageBreak/>
        <w:t>Kod pacijenata sa Ph+ ALL, postoji kliničko iskustvo sa istovremenim davanjem imatiniba sa hemioterapijom (vidjeti dio 5.1), ali interakcije između imatiniba i ljekova iz protokola hemioterapije nisu dobro utvrđene. Neželjene reakcije imatiniba, tj. hepatotoksičnost, mijelosupresija i druge, mogu se pojačati, i bilo je izvještaja da istovremena primjena sa L-asparaginazom može da se poveže sa povećanom hepatotoksičnošću (vidjeti dio 4.8). Stoga primjena imatiniba u kombinaciji zahtijeva posebnu opreznost.</w:t>
      </w:r>
    </w:p>
    <w:p w14:paraId="5B61696E" w14:textId="77777777" w:rsidR="005D1EF5" w:rsidRPr="00056CC9" w:rsidRDefault="005D1EF5" w:rsidP="00056CC9">
      <w:pPr>
        <w:tabs>
          <w:tab w:val="left" w:pos="540"/>
          <w:tab w:val="left" w:pos="569"/>
        </w:tabs>
        <w:rPr>
          <w:bCs/>
          <w:sz w:val="22"/>
          <w:szCs w:val="22"/>
          <w:lang w:val="sr-Latn-ME"/>
        </w:rPr>
      </w:pPr>
    </w:p>
    <w:p w14:paraId="43168E22" w14:textId="77777777" w:rsidR="005D1EF5" w:rsidRPr="00056CC9" w:rsidRDefault="005D1EF5" w:rsidP="00056CC9">
      <w:pPr>
        <w:tabs>
          <w:tab w:val="left" w:pos="540"/>
          <w:tab w:val="left" w:pos="569"/>
        </w:tabs>
        <w:jc w:val="both"/>
        <w:rPr>
          <w:b/>
          <w:sz w:val="22"/>
          <w:szCs w:val="22"/>
          <w:lang w:val="sr-Latn-ME"/>
        </w:rPr>
      </w:pPr>
      <w:r w:rsidRPr="00056CC9">
        <w:rPr>
          <w:b/>
          <w:bCs/>
          <w:sz w:val="22"/>
          <w:szCs w:val="22"/>
          <w:lang w:val="sr-Latn-ME"/>
        </w:rPr>
        <w:t xml:space="preserve">4.6. </w:t>
      </w:r>
      <w:r w:rsidRPr="00056CC9">
        <w:rPr>
          <w:b/>
          <w:sz w:val="22"/>
          <w:szCs w:val="22"/>
          <w:lang w:val="sr-Latn-ME"/>
        </w:rPr>
        <w:t>Plodnost, trudnoća i dojenje</w:t>
      </w:r>
    </w:p>
    <w:p w14:paraId="53577AC7" w14:textId="77777777" w:rsidR="005D1EF5" w:rsidRPr="00056CC9" w:rsidRDefault="005D1EF5" w:rsidP="00056CC9">
      <w:pPr>
        <w:tabs>
          <w:tab w:val="left" w:pos="540"/>
          <w:tab w:val="left" w:pos="569"/>
        </w:tabs>
        <w:jc w:val="both"/>
        <w:rPr>
          <w:sz w:val="22"/>
          <w:szCs w:val="22"/>
          <w:u w:val="single"/>
          <w:lang w:val="sr-Latn-ME"/>
        </w:rPr>
      </w:pPr>
    </w:p>
    <w:p w14:paraId="5E0E089F"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Žene u reproduktivnom periodu</w:t>
      </w:r>
    </w:p>
    <w:p w14:paraId="5B6D9DEB"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Ženama u reproduktivnom periodu mora se savjetovati da primjenjuju efektivnu kontracepciju tokom liječenja, i najmanje 15 dana nakon prestanka terapije imatinibom.</w:t>
      </w:r>
    </w:p>
    <w:p w14:paraId="17501844" w14:textId="77777777" w:rsidR="005D1EF5" w:rsidRPr="00056CC9" w:rsidRDefault="005D1EF5" w:rsidP="00056CC9">
      <w:pPr>
        <w:tabs>
          <w:tab w:val="left" w:pos="540"/>
          <w:tab w:val="left" w:pos="569"/>
        </w:tabs>
        <w:jc w:val="both"/>
        <w:rPr>
          <w:sz w:val="22"/>
          <w:szCs w:val="22"/>
          <w:u w:val="single"/>
          <w:lang w:val="sr-Latn-ME"/>
        </w:rPr>
      </w:pPr>
    </w:p>
    <w:p w14:paraId="76BF9EA6"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Plodnost</w:t>
      </w:r>
    </w:p>
    <w:p w14:paraId="30363E1E" w14:textId="77777777" w:rsidR="005D1EF5" w:rsidRPr="00056CC9" w:rsidRDefault="005D1EF5" w:rsidP="00056CC9">
      <w:pPr>
        <w:shd w:val="clear" w:color="auto" w:fill="FFFFFF"/>
        <w:jc w:val="both"/>
        <w:rPr>
          <w:sz w:val="22"/>
          <w:szCs w:val="22"/>
          <w:lang w:val="sr-Latn-ME"/>
        </w:rPr>
      </w:pPr>
      <w:r w:rsidRPr="00056CC9">
        <w:rPr>
          <w:sz w:val="22"/>
          <w:szCs w:val="22"/>
          <w:lang w:val="sr-Latn-ME"/>
        </w:rPr>
        <w:t>U pretkliničkim ispitivanjima, fertilitet mužjaka i ženki pacova nije bio ugrožen, iako su uočeni efekti na reproduktivne parametre (vidjeti dio 5.3.). Nisu sprovedena ispitivanja na pacijentima koji primaju imatinib i njegovom uticaju na plodnost i gametogenezu. Pacijenti koji su zabrinuti u vezi sa uticajem imatiniba na fertilitet treba da se posavjetuju sa svojim ljekarom.</w:t>
      </w:r>
    </w:p>
    <w:p w14:paraId="2BF9C976" w14:textId="77777777" w:rsidR="005D1EF5" w:rsidRPr="00056CC9" w:rsidRDefault="005D1EF5" w:rsidP="00056CC9">
      <w:pPr>
        <w:shd w:val="clear" w:color="auto" w:fill="FFFFFF"/>
        <w:jc w:val="both"/>
        <w:rPr>
          <w:sz w:val="22"/>
          <w:szCs w:val="22"/>
          <w:lang w:val="sr-Latn-ME"/>
        </w:rPr>
      </w:pPr>
    </w:p>
    <w:p w14:paraId="28B26F10"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Trudnoća</w:t>
      </w:r>
    </w:p>
    <w:p w14:paraId="605B7F52"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Postoje ograničeni podaci o primjeni imatiniba kod trudnica. Postoje izvještaji u okviru postmarketinškog praćenja lijeka o spontanim pobačajima i kongenitalnim anomalijama kod žena koje su koristile imatinib. Studije na životinjama su međutim pokazale reproduktivnu toksičnost (vidjeti dio 5.3), a potencijalni rizik za fetus je nepoznat. Imatinib ne treba primjenjivati tokom trudnoće, osim ako to nije zaista neophodno. Ako se primjenjuje tokom trudnoće, pacijentkinju treba obavijestiti o potencijalnom riziku za fetus.</w:t>
      </w:r>
    </w:p>
    <w:p w14:paraId="313043B5" w14:textId="77777777" w:rsidR="005D1EF5" w:rsidRPr="00056CC9" w:rsidRDefault="005D1EF5" w:rsidP="00056CC9">
      <w:pPr>
        <w:tabs>
          <w:tab w:val="left" w:pos="540"/>
          <w:tab w:val="left" w:pos="569"/>
        </w:tabs>
        <w:jc w:val="both"/>
        <w:rPr>
          <w:sz w:val="22"/>
          <w:szCs w:val="22"/>
          <w:u w:val="single"/>
          <w:lang w:val="sr-Latn-ME"/>
        </w:rPr>
      </w:pPr>
    </w:p>
    <w:p w14:paraId="23A24535"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 xml:space="preserve">Dojenje </w:t>
      </w:r>
    </w:p>
    <w:p w14:paraId="2345BC8D"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Postoje ograničeni podaci o tome da li se imatinib izlučuje u humano mlijeko. U studijama izvedenim na dvije žene koje su dojile, ustanovljeno je da se i imatinib i njegovi aktivni metaboliti mogu naći u humanom mlijeku. Odnos koncentracije lijeka u mlijeku i plazmi ispitivan kod jedne pacijentkinje bio je 0,5 za imatinib i 0,9 za metabolit, što ukazuje na veću distribuciju metabolita u mlijeko. Uzimajući u obzir kombinovanu koncentraciju imatiniba i metabolita i maksimalni dnevni unos mlijeka odojčadi, očekuje se niska ukupna izloženost (~ 10% terapijske doze). Međutim, s obzirom na to da efekti izloženosti niskim dozama imatiniba kod odojčadi nisu poznati, žene koje su na terapiji imatinibom ne bi trebale da doje tokom terapije i najmanje 15 dana po završetku terapije imatinibom.</w:t>
      </w:r>
    </w:p>
    <w:p w14:paraId="455F2CD6" w14:textId="77777777" w:rsidR="005D1EF5" w:rsidRPr="00056CC9" w:rsidRDefault="005D1EF5" w:rsidP="00056CC9">
      <w:pPr>
        <w:tabs>
          <w:tab w:val="left" w:pos="540"/>
          <w:tab w:val="left" w:pos="569"/>
        </w:tabs>
        <w:ind w:left="540" w:hanging="540"/>
        <w:jc w:val="both"/>
        <w:rPr>
          <w:b/>
          <w:bCs/>
          <w:sz w:val="22"/>
          <w:szCs w:val="22"/>
          <w:lang w:val="sr-Latn-ME"/>
        </w:rPr>
      </w:pPr>
    </w:p>
    <w:p w14:paraId="6F47EFBF" w14:textId="77777777" w:rsidR="005D1EF5" w:rsidRPr="00056CC9" w:rsidRDefault="005D1EF5" w:rsidP="00056CC9">
      <w:pPr>
        <w:tabs>
          <w:tab w:val="left" w:pos="540"/>
          <w:tab w:val="left" w:pos="569"/>
        </w:tabs>
        <w:ind w:left="540" w:hanging="540"/>
        <w:jc w:val="both"/>
        <w:rPr>
          <w:b/>
          <w:bCs/>
          <w:sz w:val="22"/>
          <w:szCs w:val="22"/>
          <w:lang w:val="sr-Latn-ME"/>
        </w:rPr>
      </w:pPr>
      <w:r w:rsidRPr="00056CC9">
        <w:rPr>
          <w:b/>
          <w:bCs/>
          <w:sz w:val="22"/>
          <w:szCs w:val="22"/>
          <w:lang w:val="sr-Latn-ME"/>
        </w:rPr>
        <w:t xml:space="preserve">4.7. </w:t>
      </w:r>
      <w:r w:rsidRPr="00056CC9">
        <w:rPr>
          <w:b/>
          <w:bCs/>
          <w:sz w:val="22"/>
          <w:szCs w:val="22"/>
          <w:lang w:val="sr-Latn-ME"/>
        </w:rPr>
        <w:tab/>
        <w:t>Uticaj na sposobnost upravljanja vozilima i rukovanje mašinama</w:t>
      </w:r>
    </w:p>
    <w:p w14:paraId="35C562B5" w14:textId="77777777" w:rsidR="005D1EF5" w:rsidRPr="00056CC9" w:rsidRDefault="005D1EF5" w:rsidP="00056CC9">
      <w:pPr>
        <w:tabs>
          <w:tab w:val="left" w:pos="540"/>
          <w:tab w:val="left" w:pos="569"/>
        </w:tabs>
        <w:jc w:val="both"/>
        <w:rPr>
          <w:b/>
          <w:bCs/>
          <w:sz w:val="22"/>
          <w:szCs w:val="22"/>
          <w:lang w:val="sr-Latn-ME"/>
        </w:rPr>
      </w:pPr>
    </w:p>
    <w:p w14:paraId="70687804"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Pacijente treba posavjetovati da mogu da osjete neželjena dejstva poput vrtoglavice, zamagljenog vida ili pospanosti tokom terapije imatinibom. Stoga se preporučuje oprez prilikom upravljanja motornim vozilima i rukovanja mašinama.</w:t>
      </w:r>
    </w:p>
    <w:p w14:paraId="72D12F7B" w14:textId="77777777" w:rsidR="005D1EF5" w:rsidRPr="00056CC9" w:rsidRDefault="005D1EF5" w:rsidP="00056CC9">
      <w:pPr>
        <w:tabs>
          <w:tab w:val="left" w:pos="540"/>
          <w:tab w:val="left" w:pos="569"/>
        </w:tabs>
        <w:jc w:val="both"/>
        <w:rPr>
          <w:sz w:val="22"/>
          <w:szCs w:val="22"/>
          <w:lang w:val="sr-Latn-ME"/>
        </w:rPr>
      </w:pPr>
    </w:p>
    <w:p w14:paraId="5E176F9A" w14:textId="7777777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 xml:space="preserve">4.8. </w:t>
      </w:r>
      <w:r w:rsidRPr="00056CC9">
        <w:rPr>
          <w:b/>
          <w:bCs/>
          <w:sz w:val="22"/>
          <w:szCs w:val="22"/>
          <w:lang w:val="sr-Latn-ME"/>
        </w:rPr>
        <w:tab/>
        <w:t>Neželjena dejstva</w:t>
      </w:r>
    </w:p>
    <w:p w14:paraId="442152C4" w14:textId="77777777" w:rsidR="005D1EF5" w:rsidRPr="00056CC9" w:rsidRDefault="005D1EF5" w:rsidP="00056CC9">
      <w:pPr>
        <w:tabs>
          <w:tab w:val="left" w:pos="540"/>
          <w:tab w:val="left" w:pos="569"/>
        </w:tabs>
        <w:jc w:val="both"/>
        <w:rPr>
          <w:b/>
          <w:bCs/>
          <w:sz w:val="22"/>
          <w:szCs w:val="22"/>
          <w:lang w:val="sr-Latn-ME"/>
        </w:rPr>
      </w:pPr>
    </w:p>
    <w:p w14:paraId="4D7111A7"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Pacijenti u odmaklim stadijumima maligniteta mogu da imaju brojna prateća medicinska stanja, što otežava  procjenu uzroka neželjenih reakcija, usljed različitih simptoma vezanih za postojeću bolest, njenu progresiju i istovremeno davanje brojnih drugih ljekova.</w:t>
      </w:r>
    </w:p>
    <w:p w14:paraId="05BF1574" w14:textId="77777777" w:rsidR="005D1EF5" w:rsidRPr="00056CC9" w:rsidRDefault="005D1EF5" w:rsidP="00056CC9">
      <w:pPr>
        <w:pStyle w:val="NoSpacing"/>
        <w:jc w:val="both"/>
        <w:rPr>
          <w:rFonts w:eastAsia="Calibri"/>
          <w:sz w:val="22"/>
          <w:szCs w:val="22"/>
          <w:lang w:val="sr-Latn-ME"/>
        </w:rPr>
      </w:pPr>
    </w:p>
    <w:p w14:paraId="0EA6B831"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U kliničkim ispitivanjima kod pacijenata sa CML, prekidanje terapije usled pojave neželjenih reakcija zapaženo je kod 2,4% novodijagnostikovanih pacijenata, 4% pacijenata u kasnoj hroničnoj fazi nakon neuspjeha interferonske terapije, 4% pacijenata u ubrzanoj fazi nakon neuspjeha interferonske terapije i 5% pacijenata u blastnoj krizi poslije neuspjeha interferonske terapije. U GIST studiji, primjena lijeka je prekinuta usljed neželjenih reakcija kod 4% pacijenata.</w:t>
      </w:r>
    </w:p>
    <w:p w14:paraId="2CF4FA5B" w14:textId="77777777" w:rsidR="005D1EF5" w:rsidRPr="00056CC9" w:rsidRDefault="005D1EF5" w:rsidP="00056CC9">
      <w:pPr>
        <w:pStyle w:val="NoSpacing"/>
        <w:jc w:val="both"/>
        <w:rPr>
          <w:rFonts w:eastAsia="Calibri"/>
          <w:sz w:val="22"/>
          <w:szCs w:val="22"/>
          <w:lang w:val="sr-Latn-ME"/>
        </w:rPr>
      </w:pPr>
    </w:p>
    <w:p w14:paraId="35A48265" w14:textId="77777777" w:rsidR="000A1DA8" w:rsidRDefault="000A1DA8" w:rsidP="00056CC9">
      <w:pPr>
        <w:pStyle w:val="NoSpacing"/>
        <w:jc w:val="both"/>
        <w:rPr>
          <w:rFonts w:eastAsia="Calibri"/>
          <w:sz w:val="22"/>
          <w:szCs w:val="22"/>
          <w:lang w:val="sr-Latn-ME"/>
        </w:rPr>
      </w:pPr>
    </w:p>
    <w:p w14:paraId="4D3544A2" w14:textId="780A13BF"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lastRenderedPageBreak/>
        <w:t>Neželjene reakcije bile su slične kod svih indikacija, uz dva izuzetka. Mijelosupresija je češće primijećena kod pacijenata sa CML-om nego kod pacijenata sa GIST-om, gdje uzrok vjerovatno leži u osnovnoj bolesti. U studiji neresektabilnog i/ili metastatskog GIST, 7 (5%) pacijenata doživelo je GI krvarenja CTC stepena 3/4 (3 pacijenata), intratumorska krvarenja (3 pacijenata) ili oba (1 pacijent). GI tumorska mjesta su mogla biti izvor GI krvarenja (vidjeti odjeljak 4.4). GI i tumorska krvarenja mogu biti teška i ponekad fatalna. Najčešće zabilježene (≥ 10%) neželjene reakcije u vezi s lijekom u obje situacije bile su blaga mučnina, povraćanje, dijareja, abdominalni bol, zamor, mijalgija, mišićni grčevi i osip. Površinski edemi bili su čest nalaz u svim ispitivanjima, a prvenstveno su opisivani kao periorbitalni ili edemi donjih udova. Međutim, ovi edemi su rijetko bili teški i mogli su se regulisati diureticima, drugim suportivnim mjerama, ili smanjivanjem doze imatiniba.</w:t>
      </w:r>
    </w:p>
    <w:p w14:paraId="0F96D0F3" w14:textId="77777777" w:rsidR="005D1EF5" w:rsidRPr="00056CC9" w:rsidRDefault="005D1EF5" w:rsidP="00056CC9">
      <w:pPr>
        <w:pStyle w:val="NoSpacing"/>
        <w:jc w:val="both"/>
        <w:rPr>
          <w:rFonts w:eastAsia="Calibri"/>
          <w:sz w:val="22"/>
          <w:szCs w:val="22"/>
          <w:lang w:val="sr-Latn-ME"/>
        </w:rPr>
      </w:pPr>
    </w:p>
    <w:p w14:paraId="27DAA271"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 xml:space="preserve">Ako se imatinib kombinuje sa visoko-doznom hemioterapijom kod Ph+ ALL pacijenata, zapažena je prolazna hepatotoksičnost u obliku povišenja transaminaza i hiperbilirubinemije. Uzimajući u obzir ograničenost baze podataka o bezbjednosti primjene lijeka, do sada prijavljeni neželjeni događaji kod djece odgovaraju poznatom bezbjednosnom profilu kod odraslih pacijenata obolelih od Ph+ALL. </w:t>
      </w:r>
    </w:p>
    <w:p w14:paraId="09968A51"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Baza podataka o bezbjednosti primjene lijeka  kod djece sa Ph+ALL je veoma ograničena, iako nisu identifikovani novi problemi vezani za bezjbednost.</w:t>
      </w:r>
    </w:p>
    <w:p w14:paraId="6F4500EB" w14:textId="77777777" w:rsidR="005D1EF5" w:rsidRPr="00056CC9" w:rsidRDefault="005D1EF5" w:rsidP="00056CC9">
      <w:pPr>
        <w:pStyle w:val="NoSpacing"/>
        <w:jc w:val="both"/>
        <w:rPr>
          <w:rFonts w:eastAsia="Calibri"/>
          <w:sz w:val="22"/>
          <w:szCs w:val="22"/>
          <w:lang w:val="sr-Latn-ME"/>
        </w:rPr>
      </w:pPr>
    </w:p>
    <w:p w14:paraId="454119C0"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Različite neželjene reakcije poput pleuralne efuzije, ascita, plućnog edema i naglog porasta težine sa ili bez površinskog edema mogu se zajednički označiti kao "retencija tečnosti". Ove reakcije mogu se obično kontrolisati privremenim ukidanjem terapije imatinibom, diureticima i drugim odgovarajućim suportivnim mjerama . Međutim, neke od ovih reakcija mogu biti teške ili opasne po život i nekoliko pacijenata sa blastnom krizom je umrlo sa kompleksnom kliničkom slikom pleuralne efuzije, kongestivne srčane insuficijencije i bubrežne insuficijencije. Nije bilo posebnih nalaza sa aspekta bezbjednosti u kliničkim ispitivanjima u pedijatrijskoj populaciji.</w:t>
      </w:r>
    </w:p>
    <w:p w14:paraId="6D85C79E" w14:textId="77777777" w:rsidR="005D1EF5" w:rsidRPr="00056CC9" w:rsidRDefault="005D1EF5" w:rsidP="00056CC9">
      <w:pPr>
        <w:pStyle w:val="NoSpacing"/>
        <w:jc w:val="both"/>
        <w:rPr>
          <w:rFonts w:eastAsia="Calibri"/>
          <w:sz w:val="22"/>
          <w:szCs w:val="22"/>
          <w:lang w:val="sr-Latn-ME"/>
        </w:rPr>
      </w:pPr>
    </w:p>
    <w:p w14:paraId="4047F5AE" w14:textId="77777777" w:rsidR="005D1EF5" w:rsidRPr="00056CC9" w:rsidRDefault="005D1EF5" w:rsidP="00056CC9">
      <w:pPr>
        <w:pStyle w:val="NoSpacing"/>
        <w:jc w:val="both"/>
        <w:rPr>
          <w:rFonts w:eastAsia="Calibri"/>
          <w:b/>
          <w:bCs/>
          <w:sz w:val="22"/>
          <w:szCs w:val="22"/>
          <w:lang w:val="sr-Latn-ME"/>
        </w:rPr>
      </w:pPr>
      <w:r w:rsidRPr="00056CC9">
        <w:rPr>
          <w:rFonts w:eastAsia="Calibri"/>
          <w:b/>
          <w:bCs/>
          <w:sz w:val="22"/>
          <w:szCs w:val="22"/>
          <w:lang w:val="sr-Latn-ME"/>
        </w:rPr>
        <w:t>Neželjene reakcije</w:t>
      </w:r>
    </w:p>
    <w:p w14:paraId="23A8E2AA"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Neželjene reakcije zabilježene u više nego jednom izolovanom slučaju, navedene su ispod, prema klasi sistema organa i prema učestalosti. Učestalosti su definisane na sledeći način: veoma često (≥1/10), često (≥1/100 do &lt;1/10), povremeno (≥1/1000 do &lt;1/100), rijetko (≥l/l 0000 do &lt;1/1000), veoma rijetko (&lt;1/10000), nepoznato (ne može se procijeniti na osnovu raspoloživih podataka).</w:t>
      </w:r>
    </w:p>
    <w:p w14:paraId="210C4E0E" w14:textId="54C307A3" w:rsidR="005D1EF5" w:rsidRDefault="005D1EF5" w:rsidP="00056CC9">
      <w:pPr>
        <w:pStyle w:val="NoSpacing"/>
        <w:jc w:val="both"/>
        <w:rPr>
          <w:rFonts w:eastAsia="Calibri"/>
          <w:sz w:val="22"/>
          <w:szCs w:val="22"/>
          <w:lang w:val="sr-Latn-ME"/>
        </w:rPr>
      </w:pPr>
      <w:r w:rsidRPr="00056CC9">
        <w:rPr>
          <w:rFonts w:eastAsia="Calibri"/>
          <w:sz w:val="22"/>
          <w:szCs w:val="22"/>
          <w:lang w:val="sr-Latn-ME"/>
        </w:rPr>
        <w:t>Unutar svake grupe učestalosti, neželjena dejstva predstavljena su redom prema učestalosti, prvo najčešća.</w:t>
      </w:r>
    </w:p>
    <w:p w14:paraId="5908CFE1" w14:textId="77777777" w:rsidR="000A1DA8" w:rsidRPr="00056CC9" w:rsidRDefault="000A1DA8" w:rsidP="00056CC9">
      <w:pPr>
        <w:pStyle w:val="NoSpacing"/>
        <w:jc w:val="both"/>
        <w:rPr>
          <w:rFonts w:eastAsia="Calibri"/>
          <w:sz w:val="22"/>
          <w:szCs w:val="22"/>
          <w:lang w:val="sr-Latn-ME"/>
        </w:rPr>
      </w:pPr>
    </w:p>
    <w:p w14:paraId="701B2EB3"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 xml:space="preserve">Neželjene reakcije i učestalosti njihovog ispoljavanja prikazane u </w:t>
      </w:r>
      <w:r w:rsidRPr="00056CC9">
        <w:rPr>
          <w:rFonts w:eastAsia="Calibri"/>
          <w:b/>
          <w:bCs/>
          <w:sz w:val="22"/>
          <w:szCs w:val="22"/>
          <w:lang w:val="sr-Latn-ME"/>
        </w:rPr>
        <w:t>Tabeli 1.</w:t>
      </w:r>
    </w:p>
    <w:p w14:paraId="5DDB6B08" w14:textId="77777777" w:rsidR="005D1EF5" w:rsidRPr="00056CC9" w:rsidRDefault="005D1EF5" w:rsidP="00056CC9">
      <w:pPr>
        <w:pStyle w:val="NoSpacing"/>
        <w:jc w:val="both"/>
        <w:rPr>
          <w:rFonts w:eastAsia="Calibri"/>
          <w:sz w:val="22"/>
          <w:szCs w:val="22"/>
          <w:lang w:val="sr-Latn-ME"/>
        </w:rPr>
      </w:pPr>
    </w:p>
    <w:p w14:paraId="45A60239" w14:textId="77777777" w:rsidR="005D1EF5" w:rsidRPr="00056CC9" w:rsidRDefault="005D1EF5" w:rsidP="00056CC9">
      <w:pPr>
        <w:pStyle w:val="NoSpacing"/>
        <w:jc w:val="both"/>
        <w:rPr>
          <w:rFonts w:eastAsia="Calibri"/>
          <w:b/>
          <w:bCs/>
          <w:sz w:val="22"/>
          <w:szCs w:val="22"/>
          <w:lang w:val="sr-Latn-ME"/>
        </w:rPr>
      </w:pPr>
      <w:r w:rsidRPr="00056CC9">
        <w:rPr>
          <w:rFonts w:eastAsia="Calibri"/>
          <w:b/>
          <w:bCs/>
          <w:sz w:val="22"/>
          <w:szCs w:val="22"/>
          <w:lang w:val="sr-Latn-ME"/>
        </w:rPr>
        <w:t>Tabela 1.</w:t>
      </w:r>
      <w:r w:rsidRPr="00056CC9">
        <w:rPr>
          <w:rFonts w:eastAsia="Calibri"/>
          <w:sz w:val="22"/>
          <w:szCs w:val="22"/>
          <w:lang w:val="sr-Latn-ME"/>
        </w:rPr>
        <w:t xml:space="preserve"> </w:t>
      </w:r>
      <w:r w:rsidRPr="00056CC9">
        <w:rPr>
          <w:rFonts w:eastAsia="Calibri"/>
          <w:b/>
          <w:bCs/>
          <w:sz w:val="22"/>
          <w:szCs w:val="22"/>
          <w:lang w:val="sr-Latn-ME"/>
        </w:rPr>
        <w:t>Sažeti tabelarni prikaz neželjenih reakcija</w:t>
      </w:r>
    </w:p>
    <w:p w14:paraId="0CB02944" w14:textId="77777777" w:rsidR="005D1EF5" w:rsidRPr="00056CC9" w:rsidRDefault="005D1EF5" w:rsidP="00056CC9">
      <w:pPr>
        <w:pStyle w:val="NoSpacing"/>
        <w:jc w:val="both"/>
        <w:rPr>
          <w:rFonts w:eastAsia="Calibri"/>
          <w:b/>
          <w:bCs/>
          <w:sz w:val="22"/>
          <w:szCs w:val="22"/>
          <w:lang w:val="sr-Latn-ME"/>
        </w:rPr>
      </w:pPr>
    </w:p>
    <w:tbl>
      <w:tblPr>
        <w:tblW w:w="9039" w:type="dxa"/>
        <w:tblLayout w:type="fixed"/>
        <w:tblCellMar>
          <w:left w:w="40" w:type="dxa"/>
          <w:right w:w="40" w:type="dxa"/>
        </w:tblCellMar>
        <w:tblLook w:val="0000" w:firstRow="0" w:lastRow="0" w:firstColumn="0" w:lastColumn="0" w:noHBand="0" w:noVBand="0"/>
      </w:tblPr>
      <w:tblGrid>
        <w:gridCol w:w="3594"/>
        <w:gridCol w:w="5445"/>
      </w:tblGrid>
      <w:tr w:rsidR="005D1EF5" w:rsidRPr="00056CC9" w14:paraId="72730B28" w14:textId="77777777" w:rsidTr="000A1DA8">
        <w:trPr>
          <w:trHeight w:hRule="exact" w:val="268"/>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5D2BC009"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Infekcije i infestacije</w:t>
            </w:r>
          </w:p>
        </w:tc>
      </w:tr>
      <w:tr w:rsidR="005D1EF5" w:rsidRPr="00056CC9" w14:paraId="33214C1B" w14:textId="77777777" w:rsidTr="000A1DA8">
        <w:trPr>
          <w:trHeight w:hRule="exact" w:val="1041"/>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42800155" w14:textId="77777777" w:rsidR="005D1EF5" w:rsidRPr="00056CC9" w:rsidRDefault="005D1EF5" w:rsidP="00056CC9">
            <w:pPr>
              <w:pStyle w:val="NoSpacing"/>
              <w:jc w:val="both"/>
              <w:rPr>
                <w:rFonts w:eastAsia="Calibri"/>
                <w:b/>
                <w:b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43BFE0D6"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Herpes zoster, herpes simpleks, nazofaringitis, pneumonija</w:t>
            </w:r>
            <w:r w:rsidRPr="00056CC9">
              <w:rPr>
                <w:rFonts w:eastAsia="Calibri"/>
                <w:sz w:val="22"/>
                <w:szCs w:val="22"/>
                <w:vertAlign w:val="superscript"/>
                <w:lang w:val="sr-Latn-ME"/>
              </w:rPr>
              <w:t>1</w:t>
            </w:r>
            <w:r w:rsidRPr="00056CC9">
              <w:rPr>
                <w:rFonts w:eastAsia="Calibri"/>
                <w:sz w:val="22"/>
                <w:szCs w:val="22"/>
                <w:lang w:val="sr-Latn-ME"/>
              </w:rPr>
              <w:t>, sinuzitis, celulitis, infekcija gornjeg respiratornog trakta, influenca, infekcija urinarnog trakta, gastroenteritis, sepsa</w:t>
            </w:r>
          </w:p>
        </w:tc>
      </w:tr>
      <w:tr w:rsidR="005D1EF5" w:rsidRPr="00056CC9" w14:paraId="37C54EEE" w14:textId="77777777" w:rsidTr="000A1DA8">
        <w:trPr>
          <w:trHeight w:hRule="exact" w:val="26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1F7183E6"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60DDCB18"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Gljivična infekcija</w:t>
            </w:r>
          </w:p>
        </w:tc>
      </w:tr>
      <w:tr w:rsidR="005D1EF5" w:rsidRPr="00056CC9" w14:paraId="1576BAE1" w14:textId="77777777" w:rsidTr="000A1DA8">
        <w:trPr>
          <w:trHeight w:hRule="exact" w:val="26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2771D9ED"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37F5899" w14:textId="77777777" w:rsidR="005D1EF5" w:rsidRDefault="005D1EF5" w:rsidP="00056CC9">
            <w:pPr>
              <w:pStyle w:val="NoSpacing"/>
              <w:jc w:val="both"/>
              <w:rPr>
                <w:rFonts w:eastAsia="Calibri"/>
                <w:sz w:val="22"/>
                <w:szCs w:val="22"/>
                <w:lang w:val="sr-Latn-ME"/>
              </w:rPr>
            </w:pPr>
            <w:r w:rsidRPr="00056CC9">
              <w:rPr>
                <w:rFonts w:eastAsia="Calibri"/>
                <w:sz w:val="22"/>
                <w:szCs w:val="22"/>
                <w:lang w:val="sr-Latn-ME"/>
              </w:rPr>
              <w:t>Reaktivacija hepatitisa B*</w:t>
            </w:r>
          </w:p>
          <w:p w14:paraId="55C22E4A" w14:textId="5249C7B5" w:rsidR="000A1DA8" w:rsidRPr="00056CC9" w:rsidRDefault="000A1DA8" w:rsidP="00056CC9">
            <w:pPr>
              <w:pStyle w:val="NoSpacing"/>
              <w:jc w:val="both"/>
              <w:rPr>
                <w:rFonts w:eastAsia="Calibri"/>
                <w:sz w:val="22"/>
                <w:szCs w:val="22"/>
                <w:lang w:val="sr-Latn-ME"/>
              </w:rPr>
            </w:pPr>
          </w:p>
        </w:tc>
      </w:tr>
      <w:tr w:rsidR="005D1EF5" w:rsidRPr="00056CC9" w14:paraId="2A184DB8" w14:textId="77777777" w:rsidTr="000A1DA8">
        <w:trPr>
          <w:trHeight w:hRule="exact" w:val="268"/>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06EC1618" w14:textId="77777777" w:rsidR="005D1EF5" w:rsidRPr="00056CC9" w:rsidRDefault="005D1EF5" w:rsidP="00056CC9">
            <w:pPr>
              <w:pStyle w:val="NoSpacing"/>
              <w:jc w:val="both"/>
              <w:rPr>
                <w:rFonts w:eastAsia="Calibri"/>
                <w:b/>
                <w:sz w:val="22"/>
                <w:szCs w:val="22"/>
                <w:lang w:val="sr-Latn-ME"/>
              </w:rPr>
            </w:pPr>
            <w:r w:rsidRPr="00056CC9">
              <w:rPr>
                <w:rFonts w:eastAsia="Calibri"/>
                <w:b/>
                <w:sz w:val="22"/>
                <w:szCs w:val="22"/>
                <w:lang w:val="sr-Latn-ME"/>
              </w:rPr>
              <w:t>Benigne, maligne i nespecifične neoplazme (uključujući ciste i polipe)</w:t>
            </w:r>
          </w:p>
        </w:tc>
      </w:tr>
      <w:tr w:rsidR="005D1EF5" w:rsidRPr="00056CC9" w14:paraId="0ACA9554" w14:textId="77777777" w:rsidTr="000A1DA8">
        <w:trPr>
          <w:trHeight w:hRule="exact" w:val="26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016A4BC3"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Rijetko:</w:t>
            </w:r>
          </w:p>
          <w:p w14:paraId="65E928FE" w14:textId="77777777" w:rsidR="005D1EF5" w:rsidRPr="00056CC9" w:rsidRDefault="005D1EF5" w:rsidP="00056CC9">
            <w:pPr>
              <w:pStyle w:val="NoSpacing"/>
              <w:jc w:val="both"/>
              <w:rPr>
                <w:rFonts w:eastAsia="Calibri"/>
                <w:i/>
                <w:iCs/>
                <w:sz w:val="22"/>
                <w:szCs w:val="22"/>
                <w:lang w:val="sr-Latn-ME"/>
              </w:rPr>
            </w:pP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3CD6781C"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Sindrom lize tumora</w:t>
            </w:r>
          </w:p>
        </w:tc>
      </w:tr>
      <w:tr w:rsidR="005D1EF5" w:rsidRPr="00056CC9" w14:paraId="2E7C85D3" w14:textId="77777777" w:rsidTr="000A1DA8">
        <w:trPr>
          <w:trHeight w:hRule="exact" w:val="26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18CF721D"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p w14:paraId="695977A8" w14:textId="77777777" w:rsidR="005D1EF5" w:rsidRPr="00056CC9" w:rsidRDefault="005D1EF5" w:rsidP="00056CC9">
            <w:pPr>
              <w:pStyle w:val="NoSpacing"/>
              <w:jc w:val="both"/>
              <w:rPr>
                <w:rFonts w:eastAsia="Calibri"/>
                <w:i/>
                <w:iCs/>
                <w:sz w:val="22"/>
                <w:szCs w:val="22"/>
                <w:lang w:val="sr-Latn-ME"/>
              </w:rPr>
            </w:pP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28505FEB"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krvarenje tumora/nekroza tumora*</w:t>
            </w:r>
          </w:p>
        </w:tc>
      </w:tr>
      <w:tr w:rsidR="005D1EF5" w:rsidRPr="00056CC9" w14:paraId="3C8B5E44" w14:textId="77777777" w:rsidTr="000A1DA8">
        <w:trPr>
          <w:trHeight w:hRule="exact" w:val="268"/>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7A26C61E" w14:textId="77777777" w:rsidR="005D1EF5" w:rsidRPr="00056CC9" w:rsidRDefault="005D1EF5" w:rsidP="00056CC9">
            <w:pPr>
              <w:pStyle w:val="NoSpacing"/>
              <w:jc w:val="both"/>
              <w:rPr>
                <w:rFonts w:eastAsia="Calibri"/>
                <w:b/>
                <w:bCs/>
                <w:sz w:val="22"/>
                <w:szCs w:val="22"/>
                <w:lang w:val="sr-Latn-ME"/>
              </w:rPr>
            </w:pPr>
            <w:r w:rsidRPr="00056CC9">
              <w:rPr>
                <w:rFonts w:eastAsia="Calibri"/>
                <w:b/>
                <w:bCs/>
                <w:sz w:val="22"/>
                <w:szCs w:val="22"/>
                <w:lang w:val="sr-Latn-ME"/>
              </w:rPr>
              <w:t>Poremećaji imunog sistema</w:t>
            </w:r>
          </w:p>
        </w:tc>
      </w:tr>
      <w:tr w:rsidR="005D1EF5" w:rsidRPr="00056CC9" w14:paraId="77D10ED9" w14:textId="77777777" w:rsidTr="000A1DA8">
        <w:trPr>
          <w:trHeight w:hRule="exact" w:val="26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49AC29CC"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6CCC61CE" w14:textId="77777777" w:rsidR="005D1EF5" w:rsidRPr="00056CC9" w:rsidRDefault="005D1EF5" w:rsidP="00056CC9">
            <w:pPr>
              <w:pStyle w:val="NoSpacing"/>
              <w:jc w:val="both"/>
              <w:rPr>
                <w:rFonts w:eastAsia="Calibri"/>
                <w:sz w:val="22"/>
                <w:szCs w:val="22"/>
                <w:vertAlign w:val="superscript"/>
                <w:lang w:val="sr-Latn-ME"/>
              </w:rPr>
            </w:pPr>
            <w:r w:rsidRPr="00056CC9">
              <w:rPr>
                <w:rFonts w:eastAsia="Calibri"/>
                <w:sz w:val="22"/>
                <w:szCs w:val="22"/>
                <w:lang w:val="sr-Latn-ME"/>
              </w:rPr>
              <w:t>Anafilaktički šok</w:t>
            </w:r>
            <w:r w:rsidRPr="00056CC9">
              <w:rPr>
                <w:rFonts w:eastAsia="Calibri"/>
                <w:sz w:val="22"/>
                <w:szCs w:val="22"/>
                <w:vertAlign w:val="superscript"/>
                <w:lang w:val="sr-Latn-ME"/>
              </w:rPr>
              <w:t>*</w:t>
            </w:r>
          </w:p>
        </w:tc>
      </w:tr>
      <w:tr w:rsidR="005D1EF5" w:rsidRPr="00056CC9" w14:paraId="17C705EB" w14:textId="77777777" w:rsidTr="000A1DA8">
        <w:trPr>
          <w:trHeight w:hRule="exact" w:val="268"/>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2A339425"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Poremećaji krvi i limfnog sistema</w:t>
            </w:r>
          </w:p>
        </w:tc>
      </w:tr>
      <w:tr w:rsidR="005D1EF5" w:rsidRPr="00056CC9" w14:paraId="36F56A4D" w14:textId="77777777" w:rsidTr="000A1DA8">
        <w:trPr>
          <w:trHeight w:hRule="exact" w:val="26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493ABDDF"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Veoma 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6D92E202"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Neutropenija, trombocitopenija, anemija</w:t>
            </w:r>
          </w:p>
        </w:tc>
      </w:tr>
      <w:tr w:rsidR="005D1EF5" w:rsidRPr="00056CC9" w14:paraId="33F64786" w14:textId="77777777" w:rsidTr="000A1DA8">
        <w:trPr>
          <w:trHeight w:hRule="exact" w:val="26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FFBE44F"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D72B0D1"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Pancitopenija, febrilna neutropenija</w:t>
            </w:r>
          </w:p>
        </w:tc>
      </w:tr>
      <w:tr w:rsidR="005D1EF5" w:rsidRPr="00056CC9" w14:paraId="269646BD" w14:textId="77777777" w:rsidTr="000A1DA8">
        <w:trPr>
          <w:trHeight w:hRule="exact" w:val="515"/>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0A22B46D"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0707DC8"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Trombocitemija, limfopenija, depresija kostne srži, eozinofilija, limfadenopatija</w:t>
            </w:r>
          </w:p>
        </w:tc>
      </w:tr>
      <w:tr w:rsidR="005D1EF5" w:rsidRPr="00056CC9" w14:paraId="0C0058EB" w14:textId="77777777" w:rsidTr="000A1DA8">
        <w:trPr>
          <w:trHeight w:hRule="exact" w:val="26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6E24757B"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07BBF210" w14:textId="56795BFE" w:rsidR="005D1EF5" w:rsidRDefault="005D1EF5" w:rsidP="00056CC9">
            <w:pPr>
              <w:pStyle w:val="NoSpacing"/>
              <w:jc w:val="both"/>
              <w:rPr>
                <w:rFonts w:eastAsia="Calibri"/>
                <w:sz w:val="22"/>
                <w:szCs w:val="22"/>
                <w:lang w:val="sr-Latn-ME"/>
              </w:rPr>
            </w:pPr>
            <w:r w:rsidRPr="00056CC9">
              <w:rPr>
                <w:rFonts w:eastAsia="Calibri"/>
                <w:sz w:val="22"/>
                <w:szCs w:val="22"/>
                <w:lang w:val="sr-Latn-ME"/>
              </w:rPr>
              <w:t>Hemolitička anemija, trombotička mikroangiopatija</w:t>
            </w:r>
          </w:p>
          <w:p w14:paraId="08CAF273" w14:textId="502DA2E7" w:rsidR="000A1DA8" w:rsidRDefault="000A1DA8" w:rsidP="00056CC9">
            <w:pPr>
              <w:pStyle w:val="NoSpacing"/>
              <w:jc w:val="both"/>
              <w:rPr>
                <w:rFonts w:eastAsia="Calibri"/>
                <w:sz w:val="22"/>
                <w:szCs w:val="22"/>
                <w:lang w:val="sr-Latn-ME"/>
              </w:rPr>
            </w:pPr>
          </w:p>
          <w:p w14:paraId="01CF5189" w14:textId="77777777" w:rsidR="000A1DA8" w:rsidRPr="00056CC9" w:rsidRDefault="000A1DA8" w:rsidP="00056CC9">
            <w:pPr>
              <w:pStyle w:val="NoSpacing"/>
              <w:jc w:val="both"/>
              <w:rPr>
                <w:rFonts w:eastAsia="Calibri"/>
                <w:sz w:val="22"/>
                <w:szCs w:val="22"/>
                <w:lang w:val="sr-Latn-ME"/>
              </w:rPr>
            </w:pPr>
          </w:p>
          <w:p w14:paraId="50420563" w14:textId="77777777" w:rsidR="005D1EF5" w:rsidRPr="00056CC9" w:rsidRDefault="005D1EF5" w:rsidP="00056CC9">
            <w:pPr>
              <w:pStyle w:val="NoSpacing"/>
              <w:jc w:val="both"/>
              <w:rPr>
                <w:rFonts w:eastAsia="Calibri"/>
                <w:sz w:val="22"/>
                <w:szCs w:val="22"/>
                <w:lang w:val="sr-Latn-ME"/>
              </w:rPr>
            </w:pPr>
          </w:p>
          <w:p w14:paraId="0FD57BF0" w14:textId="77777777" w:rsidR="005D1EF5" w:rsidRPr="00056CC9" w:rsidRDefault="005D1EF5" w:rsidP="00056CC9">
            <w:pPr>
              <w:pStyle w:val="NoSpacing"/>
              <w:jc w:val="both"/>
              <w:rPr>
                <w:rFonts w:eastAsia="Calibri"/>
                <w:sz w:val="22"/>
                <w:szCs w:val="22"/>
                <w:lang w:val="sr-Latn-ME"/>
              </w:rPr>
            </w:pPr>
          </w:p>
        </w:tc>
      </w:tr>
      <w:tr w:rsidR="005D1EF5" w:rsidRPr="00056CC9" w14:paraId="6D635271" w14:textId="77777777" w:rsidTr="000A1DA8">
        <w:trPr>
          <w:trHeight w:hRule="exact" w:val="268"/>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045FE1BA"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lastRenderedPageBreak/>
              <w:t>Poremećaji metabolizma i ishrane</w:t>
            </w:r>
          </w:p>
        </w:tc>
      </w:tr>
      <w:tr w:rsidR="005D1EF5" w:rsidRPr="00056CC9" w14:paraId="031AF212" w14:textId="77777777" w:rsidTr="000A1DA8">
        <w:trPr>
          <w:trHeight w:hRule="exact" w:val="26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165EA9E5" w14:textId="77777777" w:rsidR="005D1EF5" w:rsidRPr="00056CC9" w:rsidRDefault="005D1EF5" w:rsidP="00056CC9">
            <w:pPr>
              <w:pStyle w:val="NoSpacing"/>
              <w:jc w:val="both"/>
              <w:rPr>
                <w:rFonts w:eastAsia="Calibri"/>
                <w:b/>
                <w:b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48A87EF2"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Anoreksija</w:t>
            </w:r>
          </w:p>
        </w:tc>
      </w:tr>
      <w:tr w:rsidR="005D1EF5" w:rsidRPr="00056CC9" w14:paraId="21A5641A" w14:textId="77777777" w:rsidTr="000A1DA8">
        <w:trPr>
          <w:trHeight w:hRule="exact" w:val="750"/>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3BC53C16" w14:textId="77777777" w:rsidR="005D1EF5" w:rsidRPr="00056CC9" w:rsidRDefault="005D1EF5" w:rsidP="00056CC9">
            <w:pPr>
              <w:pStyle w:val="NoSpacing"/>
              <w:jc w:val="both"/>
              <w:rPr>
                <w:rFonts w:eastAsia="Calibri"/>
                <w:b/>
                <w:b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89EDD88"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Hipokalijemija, povećan apetit, hipofosfatemija, smanjen apetit, dehidracija, giht, hiperurikemija, hiperkalcijemija, hiperglikemija, hiponatrijemija</w:t>
            </w:r>
          </w:p>
        </w:tc>
      </w:tr>
      <w:tr w:rsidR="005D1EF5" w:rsidRPr="00056CC9" w14:paraId="3AC4A1D8" w14:textId="77777777" w:rsidTr="000A1DA8">
        <w:trPr>
          <w:trHeight w:hRule="exact" w:val="26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60FE0E0A" w14:textId="77777777" w:rsidR="005D1EF5" w:rsidRPr="00056CC9" w:rsidRDefault="005D1EF5" w:rsidP="00056CC9">
            <w:pPr>
              <w:pStyle w:val="NoSpacing"/>
              <w:jc w:val="both"/>
              <w:rPr>
                <w:rFonts w:eastAsia="Calibri"/>
                <w:b/>
                <w:b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0D6D723F"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Hiperkalijemija, hipomagnezijemija</w:t>
            </w:r>
          </w:p>
        </w:tc>
      </w:tr>
      <w:tr w:rsidR="005D1EF5" w:rsidRPr="00056CC9" w14:paraId="1F298878" w14:textId="77777777" w:rsidTr="000A1DA8">
        <w:trPr>
          <w:trHeight w:hRule="exact" w:val="249"/>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2481B5D6"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Psihijatrijski poremećaji</w:t>
            </w:r>
          </w:p>
        </w:tc>
      </w:tr>
      <w:tr w:rsidR="005D1EF5" w:rsidRPr="00056CC9" w14:paraId="05F200C8" w14:textId="77777777" w:rsidTr="000A1DA8">
        <w:trPr>
          <w:trHeight w:hRule="exact" w:val="249"/>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17652023" w14:textId="77777777" w:rsidR="005D1EF5" w:rsidRPr="00056CC9" w:rsidRDefault="005D1EF5" w:rsidP="00056CC9">
            <w:pPr>
              <w:pStyle w:val="NoSpacing"/>
              <w:jc w:val="both"/>
              <w:rPr>
                <w:rFonts w:eastAsia="Calibri"/>
                <w:b/>
                <w:i/>
                <w:i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D8EAF91"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Insomnija</w:t>
            </w:r>
          </w:p>
        </w:tc>
      </w:tr>
      <w:tr w:rsidR="005D1EF5" w:rsidRPr="00056CC9" w14:paraId="3B752859" w14:textId="77777777" w:rsidTr="000A1DA8">
        <w:trPr>
          <w:trHeight w:hRule="exact" w:val="249"/>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3014A77D" w14:textId="77777777" w:rsidR="005D1EF5" w:rsidRPr="00056CC9" w:rsidRDefault="005D1EF5" w:rsidP="00056CC9">
            <w:pPr>
              <w:pStyle w:val="NoSpacing"/>
              <w:jc w:val="both"/>
              <w:rPr>
                <w:rFonts w:eastAsia="Calibri"/>
                <w:b/>
                <w:i/>
                <w:i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236A2E0B"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Depresija, smanjen libido, anksioznost</w:t>
            </w:r>
          </w:p>
        </w:tc>
      </w:tr>
      <w:tr w:rsidR="005D1EF5" w:rsidRPr="00056CC9" w14:paraId="27401449" w14:textId="77777777" w:rsidTr="000A1DA8">
        <w:trPr>
          <w:trHeight w:hRule="exact" w:val="249"/>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1899BBB2" w14:textId="77777777" w:rsidR="005D1EF5" w:rsidRPr="00056CC9" w:rsidRDefault="005D1EF5" w:rsidP="00056CC9">
            <w:pPr>
              <w:pStyle w:val="NoSpacing"/>
              <w:jc w:val="both"/>
              <w:rPr>
                <w:rFonts w:eastAsia="Calibri"/>
                <w:b/>
                <w:i/>
                <w:i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5CC25B94"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Stanje konfuzije</w:t>
            </w:r>
          </w:p>
        </w:tc>
      </w:tr>
      <w:tr w:rsidR="005D1EF5" w:rsidRPr="00056CC9" w14:paraId="01F4E8F7" w14:textId="77777777" w:rsidTr="000A1DA8">
        <w:trPr>
          <w:trHeight w:hRule="exact" w:val="249"/>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6056EDFD"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Poremećaji nervnog sistema</w:t>
            </w:r>
          </w:p>
        </w:tc>
      </w:tr>
      <w:tr w:rsidR="005D1EF5" w:rsidRPr="00056CC9" w14:paraId="3842B368" w14:textId="77777777" w:rsidTr="000A1DA8">
        <w:trPr>
          <w:trHeight w:hRule="exact" w:val="249"/>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2B9A0E58" w14:textId="77777777" w:rsidR="005D1EF5" w:rsidRPr="00056CC9" w:rsidRDefault="005D1EF5" w:rsidP="00056CC9">
            <w:pPr>
              <w:pStyle w:val="NoSpacing"/>
              <w:jc w:val="both"/>
              <w:rPr>
                <w:rFonts w:eastAsia="Calibri"/>
                <w:b/>
                <w:i/>
                <w:iCs/>
                <w:sz w:val="22"/>
                <w:szCs w:val="22"/>
                <w:lang w:val="sr-Latn-ME"/>
              </w:rPr>
            </w:pPr>
            <w:r w:rsidRPr="00056CC9">
              <w:rPr>
                <w:rFonts w:eastAsia="Calibri"/>
                <w:i/>
                <w:iCs/>
                <w:sz w:val="22"/>
                <w:szCs w:val="22"/>
                <w:lang w:val="sr-Latn-ME"/>
              </w:rPr>
              <w:t>Veoma 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50250BCE"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Glavobolja</w:t>
            </w:r>
            <w:r w:rsidRPr="00056CC9">
              <w:rPr>
                <w:rFonts w:eastAsia="Calibri"/>
                <w:sz w:val="22"/>
                <w:szCs w:val="22"/>
                <w:vertAlign w:val="superscript"/>
                <w:lang w:val="sr-Latn-ME"/>
              </w:rPr>
              <w:t>2</w:t>
            </w:r>
          </w:p>
        </w:tc>
      </w:tr>
      <w:tr w:rsidR="005D1EF5" w:rsidRPr="00056CC9" w14:paraId="52931E6C" w14:textId="77777777" w:rsidTr="000A1DA8">
        <w:trPr>
          <w:trHeight w:hRule="exact" w:val="249"/>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1E960E3" w14:textId="77777777" w:rsidR="005D1EF5" w:rsidRPr="00056CC9" w:rsidRDefault="005D1EF5" w:rsidP="00056CC9">
            <w:pPr>
              <w:pStyle w:val="NoSpacing"/>
              <w:jc w:val="both"/>
              <w:rPr>
                <w:rFonts w:eastAsia="Calibri"/>
                <w:b/>
                <w:i/>
                <w:i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2136E8F1"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Vrtoglavica, parestezija, poremećaj ukusa, hipoestezija</w:t>
            </w:r>
          </w:p>
        </w:tc>
      </w:tr>
      <w:tr w:rsidR="005D1EF5" w:rsidRPr="00056CC9" w14:paraId="631D00D9" w14:textId="77777777" w:rsidTr="000A1DA8">
        <w:trPr>
          <w:trHeight w:hRule="exact" w:val="814"/>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102E9E7" w14:textId="77777777" w:rsidR="005D1EF5" w:rsidRPr="00056CC9" w:rsidRDefault="005D1EF5" w:rsidP="00056CC9">
            <w:pPr>
              <w:pStyle w:val="NoSpacing"/>
              <w:jc w:val="both"/>
              <w:rPr>
                <w:rFonts w:eastAsia="Calibri"/>
                <w:b/>
                <w:i/>
                <w:i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7D42680"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Migrena, pospanost, sinkopa, periferna neuropatija, poremećaj pamćenja, išijas, sindrom nemirnih nogu, tremor, cerebralna hemoragija</w:t>
            </w:r>
          </w:p>
          <w:p w14:paraId="40D5BF69" w14:textId="77777777" w:rsidR="005D1EF5" w:rsidRPr="00056CC9" w:rsidRDefault="005D1EF5" w:rsidP="00056CC9">
            <w:pPr>
              <w:pStyle w:val="NoSpacing"/>
              <w:jc w:val="both"/>
              <w:rPr>
                <w:rFonts w:eastAsia="Calibri"/>
                <w:sz w:val="22"/>
                <w:szCs w:val="22"/>
                <w:lang w:val="sr-Latn-ME"/>
              </w:rPr>
            </w:pPr>
          </w:p>
        </w:tc>
      </w:tr>
      <w:tr w:rsidR="005D1EF5" w:rsidRPr="00056CC9" w14:paraId="28A14E41" w14:textId="77777777" w:rsidTr="000A1DA8">
        <w:trPr>
          <w:trHeight w:hRule="exact" w:val="570"/>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6AB67FA3" w14:textId="77777777" w:rsidR="005D1EF5" w:rsidRPr="00056CC9" w:rsidRDefault="005D1EF5" w:rsidP="00056CC9">
            <w:pPr>
              <w:pStyle w:val="NoSpacing"/>
              <w:jc w:val="both"/>
              <w:rPr>
                <w:rFonts w:eastAsia="Calibri"/>
                <w:b/>
                <w:i/>
                <w:i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64B8540"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 xml:space="preserve">Povišen intrakranijalni pritisak, konvulzije, optički </w:t>
            </w:r>
          </w:p>
          <w:p w14:paraId="4A43DDD0"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neuritis</w:t>
            </w:r>
          </w:p>
        </w:tc>
      </w:tr>
      <w:tr w:rsidR="005D1EF5" w:rsidRPr="00056CC9" w14:paraId="12E09B36" w14:textId="77777777" w:rsidTr="000A1DA8">
        <w:trPr>
          <w:trHeight w:hRule="exact" w:val="331"/>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4F43D759"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8A952F6"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Cerebralni edem*</w:t>
            </w:r>
          </w:p>
        </w:tc>
      </w:tr>
      <w:tr w:rsidR="005D1EF5" w:rsidRPr="00056CC9" w14:paraId="5080684A" w14:textId="77777777" w:rsidTr="000A1DA8">
        <w:trPr>
          <w:trHeight w:hRule="exact" w:val="278"/>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4DAF1333"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Poremećaji oka</w:t>
            </w:r>
          </w:p>
        </w:tc>
      </w:tr>
      <w:tr w:rsidR="005D1EF5" w:rsidRPr="00056CC9" w14:paraId="2CFADE58" w14:textId="77777777" w:rsidTr="000A1DA8">
        <w:trPr>
          <w:trHeight w:hRule="exact" w:val="630"/>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692DB3C6"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956AB6B"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Edem kapaka, pojačano suzenje, konjunktivalno krvarenje, konjunktivitis, suvo oko, zamagljen vid</w:t>
            </w:r>
          </w:p>
        </w:tc>
      </w:tr>
      <w:tr w:rsidR="005D1EF5" w:rsidRPr="00056CC9" w14:paraId="2CB89473" w14:textId="77777777" w:rsidTr="000A1DA8">
        <w:trPr>
          <w:trHeight w:hRule="exact" w:val="801"/>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2F30B1D5"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A230660"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Iritacija oka, bol u oku, orbitalni edem,  skleralna hemoragija, retinalna hemoragija, blefaritis, makularni  edem</w:t>
            </w:r>
          </w:p>
        </w:tc>
      </w:tr>
      <w:tr w:rsidR="005D1EF5" w:rsidRPr="00056CC9" w14:paraId="7F05CA1D" w14:textId="77777777" w:rsidTr="000A1DA8">
        <w:trPr>
          <w:trHeight w:hRule="exact" w:val="249"/>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4023D81E"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3A26D6A8"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Katarakta, glaukom, edem papile</w:t>
            </w:r>
          </w:p>
        </w:tc>
      </w:tr>
      <w:tr w:rsidR="005D1EF5" w:rsidRPr="00056CC9" w14:paraId="71C33A26" w14:textId="77777777" w:rsidTr="000A1DA8">
        <w:trPr>
          <w:trHeight w:hRule="exact" w:val="249"/>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1C27A7A2"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3856B750"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Krvarenje u staklastom tijelu*</w:t>
            </w:r>
          </w:p>
        </w:tc>
      </w:tr>
      <w:tr w:rsidR="005D1EF5" w:rsidRPr="00056CC9" w14:paraId="6CCF46FA" w14:textId="77777777" w:rsidTr="000A1DA8">
        <w:trPr>
          <w:trHeight w:hRule="exact" w:val="249"/>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699AA595"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Poremećaji uha i labirinta</w:t>
            </w:r>
          </w:p>
        </w:tc>
      </w:tr>
      <w:tr w:rsidR="005D1EF5" w:rsidRPr="00056CC9" w14:paraId="4E01E2B8" w14:textId="77777777" w:rsidTr="000A1DA8">
        <w:trPr>
          <w:trHeight w:hRule="exact" w:val="323"/>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66E2DCB4"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2839D735"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Vertigo, tinitus, gubitak sluha</w:t>
            </w:r>
          </w:p>
        </w:tc>
      </w:tr>
      <w:tr w:rsidR="005D1EF5" w:rsidRPr="00056CC9" w14:paraId="3DB950A3" w14:textId="77777777" w:rsidTr="000A1DA8">
        <w:trPr>
          <w:trHeight w:hRule="exact" w:val="249"/>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39639E36"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Kardiološki poremećaji</w:t>
            </w:r>
          </w:p>
        </w:tc>
      </w:tr>
      <w:tr w:rsidR="005D1EF5" w:rsidRPr="00056CC9" w14:paraId="3C6DD66F" w14:textId="77777777" w:rsidTr="000A1DA8">
        <w:trPr>
          <w:trHeight w:hRule="exact" w:val="606"/>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095760F3"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82EF4AF"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Palpitacije, tahikardija, kongestivna srčana insuficijencija</w:t>
            </w:r>
            <w:r w:rsidRPr="00056CC9">
              <w:rPr>
                <w:rFonts w:eastAsia="Calibri"/>
                <w:sz w:val="22"/>
                <w:szCs w:val="22"/>
                <w:vertAlign w:val="superscript"/>
                <w:lang w:val="sr-Latn-ME"/>
              </w:rPr>
              <w:t>3</w:t>
            </w:r>
            <w:r w:rsidRPr="00056CC9">
              <w:rPr>
                <w:rFonts w:eastAsia="Calibri"/>
                <w:sz w:val="22"/>
                <w:szCs w:val="22"/>
                <w:lang w:val="sr-Latn-ME"/>
              </w:rPr>
              <w:t>, plućni edem</w:t>
            </w:r>
          </w:p>
        </w:tc>
      </w:tr>
      <w:tr w:rsidR="005D1EF5" w:rsidRPr="00056CC9" w14:paraId="23AABE82" w14:textId="77777777" w:rsidTr="000A1DA8">
        <w:trPr>
          <w:trHeight w:hRule="exact" w:val="55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5CC839B6"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085AEFB6"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Aritmija, atrijalna fibrilacija, srčani zastoj, infarkt miokarda, angina pektoris, perikardna efuzija</w:t>
            </w:r>
          </w:p>
        </w:tc>
      </w:tr>
      <w:tr w:rsidR="005D1EF5" w:rsidRPr="00056CC9" w14:paraId="4D971473" w14:textId="77777777" w:rsidTr="000A1DA8">
        <w:trPr>
          <w:trHeight w:hRule="exact" w:val="289"/>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685B4D34"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1ADA4C7"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Perikarditis*, srčana tamponada*</w:t>
            </w:r>
          </w:p>
        </w:tc>
      </w:tr>
      <w:tr w:rsidR="005D1EF5" w:rsidRPr="00056CC9" w14:paraId="4CF1DB50" w14:textId="77777777" w:rsidTr="000A1DA8">
        <w:trPr>
          <w:trHeight w:hRule="exact" w:val="283"/>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37F8556C"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Vaskularni poremećaji</w:t>
            </w:r>
            <w:r w:rsidRPr="00056CC9">
              <w:rPr>
                <w:rFonts w:eastAsia="Calibri"/>
                <w:b/>
                <w:bCs/>
                <w:sz w:val="22"/>
                <w:szCs w:val="22"/>
                <w:vertAlign w:val="superscript"/>
                <w:lang w:val="sr-Latn-ME"/>
              </w:rPr>
              <w:t xml:space="preserve"> 4</w:t>
            </w:r>
          </w:p>
        </w:tc>
      </w:tr>
      <w:tr w:rsidR="005D1EF5" w:rsidRPr="00056CC9" w14:paraId="1DB4EE07" w14:textId="77777777" w:rsidTr="000A1DA8">
        <w:trPr>
          <w:trHeight w:hRule="exact" w:val="272"/>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577660C"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0092E056"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Crvenilo, hemoragija</w:t>
            </w:r>
          </w:p>
        </w:tc>
      </w:tr>
      <w:tr w:rsidR="005D1EF5" w:rsidRPr="00056CC9" w14:paraId="4842B1DC" w14:textId="77777777" w:rsidTr="000A1DA8">
        <w:trPr>
          <w:trHeight w:hRule="exact" w:val="55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411C5185"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6702B86"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 xml:space="preserve">Hipertenzija, hematom, subduralni hematom, periferna hladnoća, hipotenzija, Raynaud-ov fenomen, </w:t>
            </w:r>
          </w:p>
        </w:tc>
      </w:tr>
      <w:tr w:rsidR="005D1EF5" w:rsidRPr="00056CC9" w14:paraId="5E3CD98A" w14:textId="77777777" w:rsidTr="000A1DA8">
        <w:trPr>
          <w:trHeight w:hRule="exact" w:val="280"/>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41AE1A44"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4F327845"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Tromboza/embolija*</w:t>
            </w:r>
          </w:p>
        </w:tc>
      </w:tr>
      <w:tr w:rsidR="005D1EF5" w:rsidRPr="00056CC9" w14:paraId="420966C2" w14:textId="77777777" w:rsidTr="000A1DA8">
        <w:trPr>
          <w:trHeight w:hRule="exact" w:val="285"/>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5F72613E"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Respiratorni, grudni i medijastinalni poremećaji</w:t>
            </w:r>
          </w:p>
        </w:tc>
      </w:tr>
      <w:tr w:rsidR="005D1EF5" w:rsidRPr="00056CC9" w14:paraId="7D8A5916" w14:textId="77777777" w:rsidTr="000A1DA8">
        <w:trPr>
          <w:trHeight w:hRule="exact" w:val="274"/>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DB7F524"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5447006"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Dispnea, epistaksa, kašalj</w:t>
            </w:r>
          </w:p>
        </w:tc>
      </w:tr>
      <w:tr w:rsidR="005D1EF5" w:rsidRPr="00056CC9" w14:paraId="104C75A8" w14:textId="77777777" w:rsidTr="000A1DA8">
        <w:trPr>
          <w:trHeight w:hRule="exact" w:val="293"/>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3F88A910"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8CA9F41"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Pleuralna efuzija</w:t>
            </w:r>
            <w:r w:rsidRPr="00056CC9">
              <w:rPr>
                <w:rFonts w:eastAsia="Calibri"/>
                <w:sz w:val="22"/>
                <w:szCs w:val="22"/>
                <w:vertAlign w:val="superscript"/>
                <w:lang w:val="sr-Latn-ME"/>
              </w:rPr>
              <w:t>5</w:t>
            </w:r>
            <w:r w:rsidRPr="00056CC9">
              <w:rPr>
                <w:rFonts w:eastAsia="Calibri"/>
                <w:sz w:val="22"/>
                <w:szCs w:val="22"/>
                <w:lang w:val="sr-Latn-ME"/>
              </w:rPr>
              <w:t>, faringolaringealni bol, faringitis</w:t>
            </w:r>
          </w:p>
        </w:tc>
      </w:tr>
      <w:tr w:rsidR="005D1EF5" w:rsidRPr="00056CC9" w14:paraId="55B42D40" w14:textId="77777777" w:rsidTr="000A1DA8">
        <w:trPr>
          <w:trHeight w:hRule="exact" w:val="55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604A5704"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EF91C02"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Pleuritični bol, plućna fibroza, plućna hipertenzija, plućna hemoragija</w:t>
            </w:r>
          </w:p>
        </w:tc>
      </w:tr>
      <w:tr w:rsidR="005D1EF5" w:rsidRPr="00056CC9" w14:paraId="52431B87" w14:textId="77777777" w:rsidTr="000A1DA8">
        <w:trPr>
          <w:trHeight w:hRule="exact" w:val="55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C38D6C0"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2B93702C"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Akutna respiratorna insuficijencija</w:t>
            </w:r>
            <w:r w:rsidRPr="00056CC9">
              <w:rPr>
                <w:rFonts w:eastAsia="Calibri"/>
                <w:sz w:val="22"/>
                <w:szCs w:val="22"/>
                <w:vertAlign w:val="superscript"/>
                <w:lang w:val="sr-Latn-ME"/>
              </w:rPr>
              <w:t>11*</w:t>
            </w:r>
            <w:r w:rsidRPr="00056CC9">
              <w:rPr>
                <w:rFonts w:eastAsia="Calibri"/>
                <w:sz w:val="22"/>
                <w:szCs w:val="22"/>
                <w:lang w:val="sr-Latn-ME"/>
              </w:rPr>
              <w:t>,</w:t>
            </w:r>
            <w:r w:rsidRPr="00056CC9">
              <w:rPr>
                <w:rFonts w:eastAsia="Calibri"/>
                <w:sz w:val="22"/>
                <w:szCs w:val="22"/>
                <w:vertAlign w:val="superscript"/>
                <w:lang w:val="sr-Latn-ME"/>
              </w:rPr>
              <w:t xml:space="preserve"> </w:t>
            </w:r>
            <w:r w:rsidRPr="00056CC9">
              <w:rPr>
                <w:rFonts w:eastAsia="Calibri"/>
                <w:sz w:val="22"/>
                <w:szCs w:val="22"/>
                <w:lang w:val="sr-Latn-ME"/>
              </w:rPr>
              <w:t>intersticijumska bolest pluća*</w:t>
            </w:r>
          </w:p>
        </w:tc>
      </w:tr>
      <w:tr w:rsidR="005D1EF5" w:rsidRPr="00056CC9" w14:paraId="28D523BA" w14:textId="77777777" w:rsidTr="000A1DA8">
        <w:trPr>
          <w:trHeight w:hRule="exact" w:val="314"/>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7383F82F"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Gastrointestinalni poremećaji</w:t>
            </w:r>
          </w:p>
        </w:tc>
      </w:tr>
      <w:tr w:rsidR="005D1EF5" w:rsidRPr="00056CC9" w14:paraId="0F7BAF19" w14:textId="77777777" w:rsidTr="000A1DA8">
        <w:trPr>
          <w:trHeight w:hRule="exact" w:val="55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13C86BC4"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Veoma 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0ADB05D7"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Mučnina, dijareja, povraćanje, dispepsija, bol u abdomenu</w:t>
            </w:r>
            <w:r w:rsidRPr="00056CC9">
              <w:rPr>
                <w:rFonts w:eastAsia="Calibri"/>
                <w:sz w:val="22"/>
                <w:szCs w:val="22"/>
                <w:vertAlign w:val="superscript"/>
                <w:lang w:val="sr-Latn-ME"/>
              </w:rPr>
              <w:t>6</w:t>
            </w:r>
          </w:p>
        </w:tc>
      </w:tr>
      <w:tr w:rsidR="005D1EF5" w:rsidRPr="00056CC9" w14:paraId="6812EE03" w14:textId="77777777" w:rsidTr="000A1DA8">
        <w:trPr>
          <w:trHeight w:hRule="exact" w:val="55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16F90915"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6ADE2A8A"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Flatulencija, distenzija abdomena, gastroezofagusni refluks, konstipacija, suva usta, gastritis</w:t>
            </w:r>
          </w:p>
        </w:tc>
      </w:tr>
      <w:tr w:rsidR="005D1EF5" w:rsidRPr="00056CC9" w14:paraId="0B758287" w14:textId="77777777" w:rsidTr="000A1DA8">
        <w:trPr>
          <w:trHeight w:hRule="exact" w:val="101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3941C8ED"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lastRenderedPageBreak/>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2BC5EBCA"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 xml:space="preserve">Stomatitis, ulceracije u ustima, gastrointestinalna </w:t>
            </w:r>
          </w:p>
          <w:p w14:paraId="62F366FE"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hemoragija</w:t>
            </w:r>
            <w:r w:rsidRPr="00056CC9">
              <w:rPr>
                <w:rFonts w:eastAsia="Calibri"/>
                <w:sz w:val="22"/>
                <w:szCs w:val="22"/>
                <w:vertAlign w:val="superscript"/>
                <w:lang w:val="sr-Latn-ME"/>
              </w:rPr>
              <w:t>7</w:t>
            </w:r>
            <w:r w:rsidRPr="00056CC9">
              <w:rPr>
                <w:rFonts w:eastAsia="Calibri"/>
                <w:sz w:val="22"/>
                <w:szCs w:val="22"/>
                <w:lang w:val="sr-Latn-ME"/>
              </w:rPr>
              <w:t>, podrigivanje, melena, ezofagitis, ascit, gastrični ulkus, hematemeza, heilitis, disfagija,</w:t>
            </w:r>
          </w:p>
          <w:p w14:paraId="2EC30A79"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pankreatitis</w:t>
            </w:r>
          </w:p>
        </w:tc>
      </w:tr>
      <w:tr w:rsidR="005D1EF5" w:rsidRPr="00056CC9" w14:paraId="6162A6C7" w14:textId="77777777" w:rsidTr="000A1DA8">
        <w:trPr>
          <w:trHeight w:hRule="exact" w:val="277"/>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361D1BDB"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5C27DD9"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Kolitis, ileus, inflamatorna bolest crijeva</w:t>
            </w:r>
          </w:p>
        </w:tc>
      </w:tr>
      <w:tr w:rsidR="005D1EF5" w:rsidRPr="00056CC9" w14:paraId="6DFE3334" w14:textId="77777777" w:rsidTr="000A1DA8">
        <w:trPr>
          <w:trHeight w:hRule="exact" w:val="846"/>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20A4FBEF"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461B8EB"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Ileus/intestinalna opstrukcija*, gastrointestinalna perforacija*, divertikulitis*, gastrična</w:t>
            </w:r>
          </w:p>
          <w:p w14:paraId="63FFF8F1"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antralna vaskularna ektazija (GAVE)*</w:t>
            </w:r>
          </w:p>
        </w:tc>
      </w:tr>
      <w:tr w:rsidR="005D1EF5" w:rsidRPr="00056CC9" w14:paraId="1AC12E21" w14:textId="77777777" w:rsidTr="000A1DA8">
        <w:trPr>
          <w:trHeight w:hRule="exact" w:val="298"/>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4BFF432F"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Hepatobilijarni poremećaji</w:t>
            </w:r>
          </w:p>
        </w:tc>
      </w:tr>
      <w:tr w:rsidR="005D1EF5" w:rsidRPr="00056CC9" w14:paraId="4DC691DD" w14:textId="77777777" w:rsidTr="000A1DA8">
        <w:trPr>
          <w:trHeight w:hRule="exact" w:val="275"/>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0013697B"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03C23DB9"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Povišene vrijednosti enzima jetre</w:t>
            </w:r>
          </w:p>
        </w:tc>
      </w:tr>
      <w:tr w:rsidR="005D1EF5" w:rsidRPr="00056CC9" w14:paraId="6CA81048" w14:textId="77777777" w:rsidTr="000A1DA8">
        <w:trPr>
          <w:trHeight w:hRule="exact" w:val="294"/>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55D6A07F"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25D80E44"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Hiperbilirubinemija, hepatitis, žutica</w:t>
            </w:r>
          </w:p>
        </w:tc>
      </w:tr>
      <w:tr w:rsidR="005D1EF5" w:rsidRPr="00056CC9" w14:paraId="59C65A2F" w14:textId="77777777" w:rsidTr="000A1DA8">
        <w:trPr>
          <w:trHeight w:hRule="exact" w:val="269"/>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0685823C"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4AE1F6D0"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Insuficijencija jetre</w:t>
            </w:r>
            <w:r w:rsidRPr="00056CC9">
              <w:rPr>
                <w:rFonts w:eastAsia="Calibri"/>
                <w:sz w:val="22"/>
                <w:szCs w:val="22"/>
                <w:vertAlign w:val="superscript"/>
                <w:lang w:val="sr-Latn-ME"/>
              </w:rPr>
              <w:t>8</w:t>
            </w:r>
            <w:r w:rsidRPr="00056CC9">
              <w:rPr>
                <w:rFonts w:eastAsia="Calibri"/>
                <w:sz w:val="22"/>
                <w:szCs w:val="22"/>
                <w:lang w:val="sr-Latn-ME"/>
              </w:rPr>
              <w:t>, nekroza jetre</w:t>
            </w:r>
          </w:p>
        </w:tc>
      </w:tr>
      <w:tr w:rsidR="005D1EF5" w:rsidRPr="00056CC9" w14:paraId="7AFFC331" w14:textId="77777777" w:rsidTr="000A1DA8">
        <w:trPr>
          <w:trHeight w:hRule="exact" w:val="271"/>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297EA800" w14:textId="77777777" w:rsidR="005D1EF5" w:rsidRPr="00056CC9" w:rsidRDefault="005D1EF5" w:rsidP="00056CC9">
            <w:pPr>
              <w:pStyle w:val="NoSpacing"/>
              <w:jc w:val="both"/>
              <w:rPr>
                <w:rFonts w:eastAsia="Calibri"/>
                <w:sz w:val="22"/>
                <w:szCs w:val="22"/>
                <w:lang w:val="sr-Latn-ME"/>
              </w:rPr>
            </w:pPr>
            <w:r w:rsidRPr="00056CC9">
              <w:rPr>
                <w:rFonts w:eastAsia="Calibri"/>
                <w:b/>
                <w:bCs/>
                <w:sz w:val="22"/>
                <w:szCs w:val="22"/>
                <w:lang w:val="sr-Latn-ME"/>
              </w:rPr>
              <w:t>Poremećaji kože i potkožnog tkiva</w:t>
            </w:r>
          </w:p>
        </w:tc>
      </w:tr>
      <w:tr w:rsidR="005D1EF5" w:rsidRPr="00056CC9" w14:paraId="18E859BE" w14:textId="77777777" w:rsidTr="000A1DA8">
        <w:trPr>
          <w:trHeight w:hRule="exact" w:val="28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40F01BAC"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Veoma 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56626C7A"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Periorbitalni edem, dermatitis/ekcem/osip</w:t>
            </w:r>
          </w:p>
        </w:tc>
      </w:tr>
      <w:tr w:rsidR="005D1EF5" w:rsidRPr="00056CC9" w14:paraId="217B9E71" w14:textId="77777777" w:rsidTr="000A1DA8">
        <w:trPr>
          <w:trHeight w:hRule="exact" w:val="55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24C78433"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5275885"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Svrab, otok lica, suva koža, eritem, alopecija, noćna znojenja, reakcija fotosenzitivnosti</w:t>
            </w:r>
          </w:p>
        </w:tc>
      </w:tr>
      <w:tr w:rsidR="005D1EF5" w:rsidRPr="00056CC9" w14:paraId="208A4124" w14:textId="77777777" w:rsidTr="000A1DA8">
        <w:trPr>
          <w:trHeight w:hRule="exact" w:val="127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1E7A0A67"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4AEDD17B"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Pustulozni osip, kontuzija, pojačano znojenje, urtikarija, ekhimoza, povećana sklonost modricama, hipotrihoza, hipopigmentacija kože, eksfolijativni dermatitis, onihoklazija, folikulitis, petehije, psorijaza, purpura, hiperpigmentacija kože, bulozne erupcije</w:t>
            </w:r>
          </w:p>
        </w:tc>
      </w:tr>
      <w:tr w:rsidR="005D1EF5" w:rsidRPr="00056CC9" w14:paraId="575786A5" w14:textId="77777777" w:rsidTr="000A1DA8">
        <w:trPr>
          <w:trHeight w:hRule="exact" w:val="127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2F1B34E"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3D789E23"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Akutna febrilna neutrofilna dermatoza (Sweet-ov sindrom), obezbojenje noktiju, angioneurotski edem, vezikulni osip, eritema multiforme, leukocitoklastni vaskulitis, Stevens-Johnson-ov sindrom, akutni generalizovani pustulozni egzantem (AGEP)</w:t>
            </w:r>
          </w:p>
        </w:tc>
      </w:tr>
      <w:tr w:rsidR="005D1EF5" w:rsidRPr="00056CC9" w14:paraId="40FD7A46" w14:textId="77777777" w:rsidTr="000A1DA8">
        <w:trPr>
          <w:trHeight w:hRule="exact" w:val="1116"/>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53D5514A"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399C6C8F"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 xml:space="preserve">Sindrom palmoplantarne eritrodisestezije*, lihenoidna keratoza*, </w:t>
            </w:r>
            <w:r w:rsidRPr="00056CC9">
              <w:rPr>
                <w:rFonts w:eastAsia="Calibri"/>
                <w:i/>
                <w:iCs/>
                <w:sz w:val="22"/>
                <w:szCs w:val="22"/>
                <w:lang w:val="sr-Latn-ME"/>
              </w:rPr>
              <w:t>lichen planus</w:t>
            </w:r>
            <w:r w:rsidRPr="00056CC9">
              <w:rPr>
                <w:rFonts w:eastAsia="Calibri"/>
                <w:sz w:val="22"/>
                <w:szCs w:val="22"/>
                <w:lang w:val="sr-Latn-ME"/>
              </w:rPr>
              <w:t>*, toksična epidermalna nekroliza*, osip uzrokovan lijekom sa eozinofilijom i sistemskim simptomima (DRESS)*, pseudoporfirija*</w:t>
            </w:r>
          </w:p>
        </w:tc>
      </w:tr>
      <w:tr w:rsidR="005D1EF5" w:rsidRPr="00056CC9" w14:paraId="1EB8D4CC" w14:textId="77777777" w:rsidTr="000A1DA8">
        <w:trPr>
          <w:trHeight w:hRule="exact" w:val="282"/>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57489E7A" w14:textId="77777777" w:rsidR="005D1EF5" w:rsidRPr="00056CC9" w:rsidRDefault="005D1EF5" w:rsidP="00056CC9">
            <w:pPr>
              <w:pStyle w:val="NoSpacing"/>
              <w:jc w:val="both"/>
              <w:rPr>
                <w:rFonts w:eastAsia="Calibri"/>
                <w:b/>
                <w:bCs/>
                <w:sz w:val="22"/>
                <w:szCs w:val="22"/>
                <w:lang w:val="sr-Latn-ME"/>
              </w:rPr>
            </w:pPr>
            <w:r w:rsidRPr="00056CC9">
              <w:rPr>
                <w:rFonts w:eastAsia="Calibri"/>
                <w:b/>
                <w:bCs/>
                <w:sz w:val="22"/>
                <w:szCs w:val="22"/>
                <w:lang w:val="sr-Latn-ME"/>
              </w:rPr>
              <w:t>Poremećaji mišićno-koštanog sistema i vezivnog tkiva</w:t>
            </w:r>
          </w:p>
          <w:p w14:paraId="17F4A05D" w14:textId="77777777" w:rsidR="005D1EF5" w:rsidRPr="00056CC9" w:rsidRDefault="005D1EF5" w:rsidP="00056CC9">
            <w:pPr>
              <w:pStyle w:val="NoSpacing"/>
              <w:jc w:val="both"/>
              <w:rPr>
                <w:rFonts w:eastAsia="Calibri"/>
                <w:sz w:val="22"/>
                <w:szCs w:val="22"/>
                <w:lang w:val="sr-Latn-ME"/>
              </w:rPr>
            </w:pPr>
          </w:p>
        </w:tc>
      </w:tr>
      <w:tr w:rsidR="005D1EF5" w:rsidRPr="00056CC9" w14:paraId="65D11623" w14:textId="77777777" w:rsidTr="000A1DA8">
        <w:trPr>
          <w:trHeight w:hRule="exact" w:val="556"/>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33C854C0" w14:textId="77777777" w:rsidR="005D1EF5" w:rsidRPr="00056CC9" w:rsidRDefault="005D1EF5" w:rsidP="00056CC9">
            <w:pPr>
              <w:pStyle w:val="NoSpacing"/>
              <w:jc w:val="both"/>
              <w:rPr>
                <w:rFonts w:eastAsia="Calibri"/>
                <w:b/>
                <w:bCs/>
                <w:sz w:val="22"/>
                <w:szCs w:val="22"/>
                <w:lang w:val="sr-Latn-ME"/>
              </w:rPr>
            </w:pPr>
            <w:r w:rsidRPr="00056CC9">
              <w:rPr>
                <w:rFonts w:eastAsia="Calibri"/>
                <w:i/>
                <w:iCs/>
                <w:sz w:val="22"/>
                <w:szCs w:val="22"/>
                <w:lang w:val="sr-Latn-ME"/>
              </w:rPr>
              <w:t>Veoma 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27681DE5" w14:textId="77777777" w:rsidR="005D1EF5" w:rsidRPr="00056CC9" w:rsidRDefault="005D1EF5" w:rsidP="00056CC9">
            <w:pPr>
              <w:pStyle w:val="NoSpacing"/>
              <w:jc w:val="both"/>
              <w:rPr>
                <w:rFonts w:eastAsia="Calibri"/>
                <w:sz w:val="22"/>
                <w:szCs w:val="22"/>
                <w:vertAlign w:val="superscript"/>
                <w:lang w:val="sr-Latn-ME"/>
              </w:rPr>
            </w:pPr>
            <w:r w:rsidRPr="00056CC9">
              <w:rPr>
                <w:rFonts w:eastAsia="Calibri"/>
                <w:sz w:val="22"/>
                <w:szCs w:val="22"/>
                <w:lang w:val="sr-Latn-ME"/>
              </w:rPr>
              <w:t>Mišićni spazam i grčevi, mišićno-skeletni bol uključujući mijalgiju</w:t>
            </w:r>
            <w:r w:rsidRPr="00056CC9">
              <w:rPr>
                <w:rFonts w:eastAsia="Calibri"/>
                <w:sz w:val="22"/>
                <w:szCs w:val="22"/>
                <w:vertAlign w:val="superscript"/>
                <w:lang w:val="sr-Latn-ME"/>
              </w:rPr>
              <w:t>9</w:t>
            </w:r>
            <w:r w:rsidRPr="00056CC9">
              <w:rPr>
                <w:rFonts w:eastAsia="Calibri"/>
                <w:sz w:val="22"/>
                <w:szCs w:val="22"/>
                <w:lang w:val="sr-Latn-ME"/>
              </w:rPr>
              <w:t>, artralgiju, bol u kostima</w:t>
            </w:r>
            <w:r w:rsidRPr="00056CC9">
              <w:rPr>
                <w:rFonts w:eastAsia="Calibri"/>
                <w:sz w:val="22"/>
                <w:szCs w:val="22"/>
                <w:vertAlign w:val="superscript"/>
                <w:lang w:val="sr-Latn-ME"/>
              </w:rPr>
              <w:t>10</w:t>
            </w:r>
          </w:p>
          <w:p w14:paraId="604FB35B" w14:textId="77777777" w:rsidR="005D1EF5" w:rsidRPr="00056CC9" w:rsidRDefault="005D1EF5" w:rsidP="00056CC9">
            <w:pPr>
              <w:pStyle w:val="NoSpacing"/>
              <w:jc w:val="both"/>
              <w:rPr>
                <w:rFonts w:eastAsia="Calibri"/>
                <w:sz w:val="22"/>
                <w:szCs w:val="22"/>
                <w:vertAlign w:val="superscript"/>
                <w:lang w:val="sr-Latn-ME"/>
              </w:rPr>
            </w:pPr>
          </w:p>
          <w:p w14:paraId="6CA089BD" w14:textId="77777777" w:rsidR="005D1EF5" w:rsidRPr="00056CC9" w:rsidRDefault="005D1EF5" w:rsidP="00056CC9">
            <w:pPr>
              <w:pStyle w:val="NoSpacing"/>
              <w:jc w:val="both"/>
              <w:rPr>
                <w:rFonts w:eastAsia="Calibri"/>
                <w:b/>
                <w:bCs/>
                <w:sz w:val="22"/>
                <w:szCs w:val="22"/>
                <w:lang w:val="sr-Latn-ME"/>
              </w:rPr>
            </w:pPr>
          </w:p>
        </w:tc>
      </w:tr>
      <w:tr w:rsidR="005D1EF5" w:rsidRPr="00056CC9" w14:paraId="69332640" w14:textId="77777777" w:rsidTr="000A1DA8">
        <w:trPr>
          <w:trHeight w:hRule="exact" w:val="282"/>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214B2DEF"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5C2DEEE8" w14:textId="77777777" w:rsidR="005D1EF5" w:rsidRPr="00056CC9" w:rsidRDefault="005D1EF5" w:rsidP="00056CC9">
            <w:pPr>
              <w:pStyle w:val="NoSpacing"/>
              <w:jc w:val="both"/>
              <w:rPr>
                <w:rFonts w:eastAsia="Calibri"/>
                <w:b/>
                <w:bCs/>
                <w:sz w:val="22"/>
                <w:szCs w:val="22"/>
                <w:lang w:val="sr-Latn-ME"/>
              </w:rPr>
            </w:pPr>
            <w:r w:rsidRPr="00056CC9">
              <w:rPr>
                <w:rFonts w:eastAsia="Calibri"/>
                <w:sz w:val="22"/>
                <w:szCs w:val="22"/>
                <w:lang w:val="sr-Latn-ME"/>
              </w:rPr>
              <w:t>Otok zglobova</w:t>
            </w:r>
          </w:p>
        </w:tc>
      </w:tr>
      <w:tr w:rsidR="005D1EF5" w:rsidRPr="00056CC9" w14:paraId="7395A946" w14:textId="77777777" w:rsidTr="000A1DA8">
        <w:trPr>
          <w:trHeight w:hRule="exact" w:val="282"/>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6A4F5BA2"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017B55C2" w14:textId="77777777" w:rsidR="005D1EF5" w:rsidRPr="00056CC9" w:rsidRDefault="005D1EF5" w:rsidP="00056CC9">
            <w:pPr>
              <w:pStyle w:val="NoSpacing"/>
              <w:jc w:val="both"/>
              <w:rPr>
                <w:rFonts w:eastAsia="Calibri"/>
                <w:b/>
                <w:bCs/>
                <w:sz w:val="22"/>
                <w:szCs w:val="22"/>
                <w:lang w:val="sr-Latn-ME"/>
              </w:rPr>
            </w:pPr>
            <w:r w:rsidRPr="00056CC9">
              <w:rPr>
                <w:rFonts w:eastAsia="Calibri"/>
                <w:sz w:val="22"/>
                <w:szCs w:val="22"/>
                <w:lang w:val="sr-Latn-ME"/>
              </w:rPr>
              <w:t>Ukočenost zglobova i mišića</w:t>
            </w:r>
          </w:p>
        </w:tc>
      </w:tr>
      <w:tr w:rsidR="005D1EF5" w:rsidRPr="00056CC9" w14:paraId="759F609A" w14:textId="77777777" w:rsidTr="000A1DA8">
        <w:trPr>
          <w:trHeight w:hRule="exact" w:val="282"/>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4F8BCC4E"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4129A4AD" w14:textId="77777777" w:rsidR="005D1EF5" w:rsidRPr="00056CC9" w:rsidRDefault="005D1EF5" w:rsidP="00056CC9">
            <w:pPr>
              <w:pStyle w:val="NoSpacing"/>
              <w:jc w:val="both"/>
              <w:rPr>
                <w:rFonts w:eastAsia="Calibri"/>
                <w:b/>
                <w:bCs/>
                <w:sz w:val="22"/>
                <w:szCs w:val="22"/>
                <w:lang w:val="sr-Latn-ME"/>
              </w:rPr>
            </w:pPr>
            <w:r w:rsidRPr="00056CC9">
              <w:rPr>
                <w:rFonts w:eastAsia="Calibri"/>
                <w:sz w:val="22"/>
                <w:szCs w:val="22"/>
                <w:lang w:val="sr-Latn-ME"/>
              </w:rPr>
              <w:t>Slabost mišića, artritis, rabdomioliza/miopatija</w:t>
            </w:r>
          </w:p>
        </w:tc>
      </w:tr>
      <w:tr w:rsidR="005D1EF5" w:rsidRPr="00056CC9" w14:paraId="24C32101" w14:textId="77777777" w:rsidTr="000A1DA8">
        <w:trPr>
          <w:trHeight w:hRule="exact" w:val="590"/>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E49F964"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6F15E7F"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Avaskularna nekroza/nekroza kuka*, zastoj u rastu kod djece*</w:t>
            </w:r>
          </w:p>
        </w:tc>
      </w:tr>
      <w:tr w:rsidR="005D1EF5" w:rsidRPr="00056CC9" w14:paraId="65406983" w14:textId="77777777" w:rsidTr="000A1DA8">
        <w:trPr>
          <w:trHeight w:hRule="exact" w:val="282"/>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6CD5E85F" w14:textId="77777777" w:rsidR="005D1EF5" w:rsidRPr="00056CC9" w:rsidRDefault="005D1EF5" w:rsidP="00056CC9">
            <w:pPr>
              <w:pStyle w:val="NoSpacing"/>
              <w:jc w:val="both"/>
              <w:rPr>
                <w:rFonts w:eastAsia="Calibri"/>
                <w:b/>
                <w:bCs/>
                <w:sz w:val="22"/>
                <w:szCs w:val="22"/>
                <w:lang w:val="sr-Latn-ME"/>
              </w:rPr>
            </w:pPr>
            <w:r w:rsidRPr="00056CC9">
              <w:rPr>
                <w:rFonts w:eastAsia="Calibri"/>
                <w:b/>
                <w:bCs/>
                <w:sz w:val="22"/>
                <w:szCs w:val="22"/>
                <w:lang w:val="sr-Latn-ME"/>
              </w:rPr>
              <w:t>Poremećaji bubrega i urinarnog sistema</w:t>
            </w:r>
          </w:p>
        </w:tc>
      </w:tr>
      <w:tr w:rsidR="005D1EF5" w:rsidRPr="00056CC9" w14:paraId="01BE11B9" w14:textId="77777777" w:rsidTr="000A1DA8">
        <w:trPr>
          <w:trHeight w:hRule="exact" w:val="682"/>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31CC118" w14:textId="77777777" w:rsidR="005D1EF5" w:rsidRPr="00056CC9" w:rsidRDefault="005D1EF5" w:rsidP="00056CC9">
            <w:pPr>
              <w:pStyle w:val="NoSpacing"/>
              <w:jc w:val="both"/>
              <w:rPr>
                <w:rFonts w:eastAsia="Calibri"/>
                <w:b/>
                <w:b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3128B53F" w14:textId="77777777" w:rsidR="005D1EF5" w:rsidRPr="00056CC9" w:rsidRDefault="005D1EF5" w:rsidP="00056CC9">
            <w:pPr>
              <w:pStyle w:val="NoSpacing"/>
              <w:jc w:val="both"/>
              <w:rPr>
                <w:rFonts w:eastAsia="Calibri"/>
                <w:b/>
                <w:bCs/>
                <w:sz w:val="22"/>
                <w:szCs w:val="22"/>
                <w:lang w:val="sr-Latn-ME"/>
              </w:rPr>
            </w:pPr>
            <w:r w:rsidRPr="00056CC9">
              <w:rPr>
                <w:rFonts w:eastAsia="Calibri"/>
                <w:sz w:val="22"/>
                <w:szCs w:val="22"/>
                <w:lang w:val="sr-Latn-ME"/>
              </w:rPr>
              <w:t>Bubrežni bol, hematurija, akutna bubrežna insuficijencija, povećana učestalost mokrenja</w:t>
            </w:r>
          </w:p>
        </w:tc>
      </w:tr>
      <w:tr w:rsidR="005D1EF5" w:rsidRPr="00056CC9" w14:paraId="4233ED75" w14:textId="77777777" w:rsidTr="000A1DA8">
        <w:trPr>
          <w:trHeight w:hRule="exact" w:val="298"/>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3BAA5E5"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Nepoznato: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5A7B2B2B"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Hronična bubrežna insuficijencija</w:t>
            </w:r>
          </w:p>
        </w:tc>
      </w:tr>
      <w:tr w:rsidR="005D1EF5" w:rsidRPr="00056CC9" w14:paraId="1BBB4D27" w14:textId="77777777" w:rsidTr="000A1DA8">
        <w:trPr>
          <w:trHeight w:hRule="exact" w:val="282"/>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5D297D5D" w14:textId="77777777" w:rsidR="005D1EF5" w:rsidRPr="00056CC9" w:rsidRDefault="005D1EF5" w:rsidP="00056CC9">
            <w:pPr>
              <w:pStyle w:val="NoSpacing"/>
              <w:jc w:val="both"/>
              <w:rPr>
                <w:rFonts w:eastAsia="Calibri"/>
                <w:b/>
                <w:bCs/>
                <w:sz w:val="22"/>
                <w:szCs w:val="22"/>
                <w:lang w:val="sr-Latn-ME"/>
              </w:rPr>
            </w:pPr>
            <w:r w:rsidRPr="00056CC9">
              <w:rPr>
                <w:rFonts w:eastAsia="Calibri"/>
                <w:b/>
                <w:bCs/>
                <w:sz w:val="22"/>
                <w:szCs w:val="22"/>
                <w:lang w:val="sr-Latn-ME"/>
              </w:rPr>
              <w:t>Poremećaji reproduktivnog sistema i dojki</w:t>
            </w:r>
          </w:p>
        </w:tc>
      </w:tr>
      <w:tr w:rsidR="005D1EF5" w:rsidRPr="00056CC9" w14:paraId="69C92094" w14:textId="77777777" w:rsidTr="000A1DA8">
        <w:trPr>
          <w:trHeight w:hRule="exact" w:val="847"/>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B8B8803" w14:textId="77777777" w:rsidR="005D1EF5" w:rsidRPr="00056CC9" w:rsidRDefault="005D1EF5" w:rsidP="00056CC9">
            <w:pPr>
              <w:pStyle w:val="NoSpacing"/>
              <w:jc w:val="both"/>
              <w:rPr>
                <w:rFonts w:eastAsia="Calibri"/>
                <w:b/>
                <w:bCs/>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32EDD9CB" w14:textId="77777777" w:rsidR="005D1EF5" w:rsidRPr="00056CC9" w:rsidRDefault="005D1EF5" w:rsidP="00056CC9">
            <w:pPr>
              <w:pStyle w:val="NoSpacing"/>
              <w:jc w:val="both"/>
              <w:rPr>
                <w:rFonts w:eastAsia="Calibri"/>
                <w:b/>
                <w:bCs/>
                <w:sz w:val="22"/>
                <w:szCs w:val="22"/>
                <w:lang w:val="sr-Latn-ME"/>
              </w:rPr>
            </w:pPr>
            <w:r w:rsidRPr="00056CC9">
              <w:rPr>
                <w:rFonts w:eastAsia="Calibri"/>
                <w:sz w:val="22"/>
                <w:szCs w:val="22"/>
                <w:lang w:val="sr-Latn-ME"/>
              </w:rPr>
              <w:t>Ginekomastija, erektilna disfunkcija, menoragija, neuredna menstruacija, seksualna disfunkcija, bol u bradavicama, uvećanje dojki, edem skrotuma</w:t>
            </w:r>
          </w:p>
        </w:tc>
      </w:tr>
      <w:tr w:rsidR="005D1EF5" w:rsidRPr="00056CC9" w14:paraId="7D5B00BF" w14:textId="77777777" w:rsidTr="000A1DA8">
        <w:trPr>
          <w:trHeight w:hRule="exact" w:val="289"/>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63F3B3D1" w14:textId="77777777" w:rsidR="005D1EF5" w:rsidRPr="00056CC9" w:rsidRDefault="005D1EF5" w:rsidP="00056CC9">
            <w:pPr>
              <w:pStyle w:val="NoSpacing"/>
              <w:jc w:val="both"/>
              <w:rPr>
                <w:rFonts w:eastAsia="Calibri"/>
                <w:b/>
                <w:bCs/>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74641E7" w14:textId="77777777" w:rsidR="005D1EF5" w:rsidRPr="00056CC9" w:rsidRDefault="005D1EF5" w:rsidP="00056CC9">
            <w:pPr>
              <w:pStyle w:val="NoSpacing"/>
              <w:jc w:val="both"/>
              <w:rPr>
                <w:rFonts w:eastAsia="Calibri"/>
                <w:b/>
                <w:bCs/>
                <w:sz w:val="22"/>
                <w:szCs w:val="22"/>
                <w:lang w:val="sr-Latn-ME"/>
              </w:rPr>
            </w:pPr>
            <w:r w:rsidRPr="00056CC9">
              <w:rPr>
                <w:rFonts w:eastAsia="Calibri"/>
                <w:sz w:val="22"/>
                <w:szCs w:val="22"/>
                <w:lang w:val="sr-Latn-ME"/>
              </w:rPr>
              <w:t>Hemoragija žutog tijela/hemoragična cista jajnika</w:t>
            </w:r>
          </w:p>
        </w:tc>
      </w:tr>
      <w:tr w:rsidR="005D1EF5" w:rsidRPr="00056CC9" w14:paraId="347D6D1F" w14:textId="77777777" w:rsidTr="000A1DA8">
        <w:trPr>
          <w:trHeight w:hRule="exact" w:val="282"/>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2738AAAE" w14:textId="77777777" w:rsidR="005D1EF5" w:rsidRPr="00056CC9" w:rsidRDefault="005D1EF5" w:rsidP="00056CC9">
            <w:pPr>
              <w:pStyle w:val="NoSpacing"/>
              <w:jc w:val="both"/>
              <w:rPr>
                <w:rFonts w:eastAsia="Calibri"/>
                <w:b/>
                <w:bCs/>
                <w:sz w:val="22"/>
                <w:szCs w:val="22"/>
                <w:lang w:val="sr-Latn-ME"/>
              </w:rPr>
            </w:pPr>
            <w:r w:rsidRPr="00056CC9">
              <w:rPr>
                <w:rFonts w:eastAsia="Calibri"/>
                <w:b/>
                <w:bCs/>
                <w:sz w:val="22"/>
                <w:szCs w:val="22"/>
                <w:lang w:val="sr-Latn-ME"/>
              </w:rPr>
              <w:t>Opšti poremećaji i reakcije na mjestu primjene</w:t>
            </w:r>
          </w:p>
          <w:p w14:paraId="43F8A276" w14:textId="77777777" w:rsidR="005D1EF5" w:rsidRPr="00056CC9" w:rsidRDefault="005D1EF5" w:rsidP="00056CC9">
            <w:pPr>
              <w:pStyle w:val="NoSpacing"/>
              <w:jc w:val="both"/>
              <w:rPr>
                <w:rFonts w:eastAsia="Calibri"/>
                <w:b/>
                <w:bCs/>
                <w:sz w:val="22"/>
                <w:szCs w:val="22"/>
                <w:lang w:val="sr-Latn-ME"/>
              </w:rPr>
            </w:pPr>
          </w:p>
        </w:tc>
      </w:tr>
      <w:tr w:rsidR="005D1EF5" w:rsidRPr="00056CC9" w14:paraId="735C1D51" w14:textId="77777777" w:rsidTr="000A1DA8">
        <w:trPr>
          <w:trHeight w:hRule="exact" w:val="282"/>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4AD01973" w14:textId="77777777" w:rsidR="005D1EF5" w:rsidRPr="00056CC9" w:rsidRDefault="005D1EF5" w:rsidP="00056CC9">
            <w:pPr>
              <w:pStyle w:val="NoSpacing"/>
              <w:jc w:val="both"/>
              <w:rPr>
                <w:rFonts w:eastAsia="Calibri"/>
                <w:b/>
                <w:bCs/>
                <w:sz w:val="22"/>
                <w:szCs w:val="22"/>
                <w:lang w:val="sr-Latn-ME"/>
              </w:rPr>
            </w:pPr>
            <w:r w:rsidRPr="00056CC9">
              <w:rPr>
                <w:rFonts w:eastAsia="Calibri"/>
                <w:i/>
                <w:iCs/>
                <w:sz w:val="22"/>
                <w:szCs w:val="22"/>
                <w:lang w:val="sr-Latn-ME"/>
              </w:rPr>
              <w:t>Veoma 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2C6D2CCA" w14:textId="77777777" w:rsidR="005D1EF5" w:rsidRPr="00056CC9" w:rsidRDefault="005D1EF5" w:rsidP="00056CC9">
            <w:pPr>
              <w:pStyle w:val="NoSpacing"/>
              <w:jc w:val="both"/>
              <w:rPr>
                <w:rFonts w:eastAsia="Calibri"/>
                <w:b/>
                <w:bCs/>
                <w:sz w:val="22"/>
                <w:szCs w:val="22"/>
                <w:lang w:val="sr-Latn-ME"/>
              </w:rPr>
            </w:pPr>
            <w:r w:rsidRPr="00056CC9">
              <w:rPr>
                <w:rFonts w:eastAsia="Calibri"/>
                <w:sz w:val="22"/>
                <w:szCs w:val="22"/>
                <w:lang w:val="sr-Latn-ME"/>
              </w:rPr>
              <w:t>Retencija tečnosti i edem, zamor</w:t>
            </w:r>
          </w:p>
        </w:tc>
      </w:tr>
      <w:tr w:rsidR="005D1EF5" w:rsidRPr="00056CC9" w14:paraId="0497D123" w14:textId="77777777" w:rsidTr="000A1DA8">
        <w:trPr>
          <w:trHeight w:hRule="exact" w:val="282"/>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2FDDA7C2" w14:textId="77777777" w:rsidR="005D1EF5" w:rsidRPr="00056CC9" w:rsidRDefault="005D1EF5" w:rsidP="00056CC9">
            <w:pPr>
              <w:pStyle w:val="NoSpacing"/>
              <w:jc w:val="both"/>
              <w:rPr>
                <w:rFonts w:eastAsia="Calibri"/>
                <w:b/>
                <w:b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657996B7" w14:textId="77777777" w:rsidR="005D1EF5" w:rsidRPr="00056CC9" w:rsidRDefault="005D1EF5" w:rsidP="00056CC9">
            <w:pPr>
              <w:pStyle w:val="NoSpacing"/>
              <w:jc w:val="both"/>
              <w:rPr>
                <w:rFonts w:eastAsia="Calibri"/>
                <w:b/>
                <w:bCs/>
                <w:sz w:val="22"/>
                <w:szCs w:val="22"/>
                <w:lang w:val="sr-Latn-ME"/>
              </w:rPr>
            </w:pPr>
            <w:r w:rsidRPr="00056CC9">
              <w:rPr>
                <w:rFonts w:eastAsia="Calibri"/>
                <w:sz w:val="22"/>
                <w:szCs w:val="22"/>
                <w:lang w:val="sr-Latn-ME"/>
              </w:rPr>
              <w:t>Slabost, pireksija, anasarka, drhtavica, ukočenost</w:t>
            </w:r>
          </w:p>
        </w:tc>
      </w:tr>
      <w:tr w:rsidR="005D1EF5" w:rsidRPr="00056CC9" w14:paraId="5A13B3E0" w14:textId="77777777" w:rsidTr="000A1DA8">
        <w:trPr>
          <w:trHeight w:hRule="exact" w:val="282"/>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0CCF0262" w14:textId="77777777" w:rsidR="005D1EF5" w:rsidRDefault="005D1EF5" w:rsidP="00056CC9">
            <w:pPr>
              <w:pStyle w:val="NoSpacing"/>
              <w:jc w:val="both"/>
              <w:rPr>
                <w:rFonts w:eastAsia="Calibri"/>
                <w:i/>
                <w:iCs/>
                <w:sz w:val="22"/>
                <w:szCs w:val="22"/>
                <w:lang w:val="sr-Latn-ME"/>
              </w:rPr>
            </w:pPr>
            <w:r w:rsidRPr="00056CC9">
              <w:rPr>
                <w:rFonts w:eastAsia="Calibri"/>
                <w:i/>
                <w:iCs/>
                <w:sz w:val="22"/>
                <w:szCs w:val="22"/>
                <w:lang w:val="sr-Latn-ME"/>
              </w:rPr>
              <w:t>Povremeno:</w:t>
            </w:r>
          </w:p>
          <w:p w14:paraId="7CBFCD53" w14:textId="77777777" w:rsidR="000A1DA8" w:rsidRDefault="000A1DA8" w:rsidP="00056CC9">
            <w:pPr>
              <w:pStyle w:val="NoSpacing"/>
              <w:jc w:val="both"/>
              <w:rPr>
                <w:rFonts w:eastAsia="Calibri"/>
                <w:i/>
                <w:iCs/>
                <w:sz w:val="22"/>
                <w:szCs w:val="22"/>
                <w:lang w:val="sr-Latn-ME"/>
              </w:rPr>
            </w:pPr>
          </w:p>
          <w:p w14:paraId="4F3ED958" w14:textId="791D868D" w:rsidR="000A1DA8" w:rsidRPr="00056CC9" w:rsidRDefault="000A1DA8" w:rsidP="00056CC9">
            <w:pPr>
              <w:pStyle w:val="NoSpacing"/>
              <w:jc w:val="both"/>
              <w:rPr>
                <w:rFonts w:eastAsia="Calibri"/>
                <w:b/>
                <w:bCs/>
                <w:sz w:val="22"/>
                <w:szCs w:val="22"/>
                <w:lang w:val="sr-Latn-ME"/>
              </w:rPr>
            </w:pP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3CDFD69" w14:textId="77777777" w:rsidR="005D1EF5" w:rsidRDefault="005D1EF5" w:rsidP="00056CC9">
            <w:pPr>
              <w:pStyle w:val="NoSpacing"/>
              <w:jc w:val="both"/>
              <w:rPr>
                <w:rFonts w:eastAsia="Calibri"/>
                <w:sz w:val="22"/>
                <w:szCs w:val="22"/>
                <w:lang w:val="sr-Latn-ME"/>
              </w:rPr>
            </w:pPr>
            <w:r w:rsidRPr="00056CC9">
              <w:rPr>
                <w:rFonts w:eastAsia="Calibri"/>
                <w:sz w:val="22"/>
                <w:szCs w:val="22"/>
                <w:lang w:val="sr-Latn-ME"/>
              </w:rPr>
              <w:t>Bol u grudima, slabost</w:t>
            </w:r>
          </w:p>
          <w:p w14:paraId="3924F690" w14:textId="7015EA64" w:rsidR="000A1DA8" w:rsidRPr="00056CC9" w:rsidRDefault="000A1DA8" w:rsidP="00056CC9">
            <w:pPr>
              <w:pStyle w:val="NoSpacing"/>
              <w:jc w:val="both"/>
              <w:rPr>
                <w:rFonts w:eastAsia="Calibri"/>
                <w:b/>
                <w:bCs/>
                <w:sz w:val="22"/>
                <w:szCs w:val="22"/>
                <w:lang w:val="sr-Latn-ME"/>
              </w:rPr>
            </w:pPr>
          </w:p>
        </w:tc>
      </w:tr>
      <w:tr w:rsidR="005D1EF5" w:rsidRPr="00056CC9" w14:paraId="30139DEC" w14:textId="77777777" w:rsidTr="000A1DA8">
        <w:trPr>
          <w:trHeight w:hRule="exact" w:val="249"/>
        </w:trPr>
        <w:tc>
          <w:tcPr>
            <w:tcW w:w="9039" w:type="dxa"/>
            <w:gridSpan w:val="2"/>
            <w:tcBorders>
              <w:top w:val="single" w:sz="6" w:space="0" w:color="auto"/>
              <w:left w:val="single" w:sz="6" w:space="0" w:color="auto"/>
              <w:bottom w:val="single" w:sz="6" w:space="0" w:color="auto"/>
              <w:right w:val="single" w:sz="6" w:space="0" w:color="auto"/>
            </w:tcBorders>
            <w:shd w:val="clear" w:color="auto" w:fill="FFFFFF"/>
          </w:tcPr>
          <w:p w14:paraId="40E86FBE" w14:textId="77777777" w:rsidR="005D1EF5" w:rsidRPr="00056CC9" w:rsidRDefault="005D1EF5" w:rsidP="00056CC9">
            <w:pPr>
              <w:pStyle w:val="NoSpacing"/>
              <w:jc w:val="both"/>
              <w:rPr>
                <w:rFonts w:eastAsia="Calibri"/>
                <w:sz w:val="22"/>
                <w:szCs w:val="22"/>
                <w:lang w:val="sr-Latn-ME"/>
              </w:rPr>
            </w:pPr>
            <w:r w:rsidRPr="00056CC9">
              <w:rPr>
                <w:rFonts w:eastAsia="Calibri"/>
                <w:b/>
                <w:iCs/>
                <w:sz w:val="22"/>
                <w:szCs w:val="22"/>
                <w:lang w:val="sr-Latn-ME"/>
              </w:rPr>
              <w:t>Ispitivanja</w:t>
            </w:r>
          </w:p>
        </w:tc>
      </w:tr>
      <w:tr w:rsidR="005D1EF5" w:rsidRPr="00056CC9" w14:paraId="53B1EB7F" w14:textId="77777777" w:rsidTr="000A1DA8">
        <w:trPr>
          <w:trHeight w:hRule="exact" w:val="273"/>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7B9E2EAA"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lastRenderedPageBreak/>
              <w:t>Veoma 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7E7117FB"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Povećanje tjelesne težine</w:t>
            </w:r>
          </w:p>
        </w:tc>
      </w:tr>
      <w:tr w:rsidR="005D1EF5" w:rsidRPr="00056CC9" w14:paraId="174DF4B4" w14:textId="77777777" w:rsidTr="000A1DA8">
        <w:trPr>
          <w:trHeight w:hRule="exact" w:val="320"/>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6BA455F4" w14:textId="77777777" w:rsidR="005D1EF5" w:rsidRPr="00056CC9" w:rsidRDefault="005D1EF5" w:rsidP="00056CC9">
            <w:pPr>
              <w:pStyle w:val="NoSpacing"/>
              <w:jc w:val="both"/>
              <w:rPr>
                <w:rFonts w:eastAsia="Calibri"/>
                <w:i/>
                <w:iCs/>
                <w:sz w:val="22"/>
                <w:szCs w:val="22"/>
                <w:lang w:val="sr-Latn-ME"/>
              </w:rPr>
            </w:pPr>
            <w:r w:rsidRPr="00056CC9">
              <w:rPr>
                <w:rFonts w:eastAsia="Calibri"/>
                <w:i/>
                <w:iCs/>
                <w:sz w:val="22"/>
                <w:szCs w:val="22"/>
                <w:lang w:val="sr-Latn-ME"/>
              </w:rPr>
              <w:t>Često: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1A826449"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Smanjenje  tjelesne težine</w:t>
            </w:r>
          </w:p>
        </w:tc>
      </w:tr>
      <w:tr w:rsidR="005D1EF5" w:rsidRPr="00056CC9" w14:paraId="7E8182A8" w14:textId="77777777" w:rsidTr="000A1DA8">
        <w:trPr>
          <w:trHeight w:hRule="exact" w:val="999"/>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24B14900" w14:textId="77777777" w:rsidR="005D1EF5" w:rsidRPr="00056CC9" w:rsidRDefault="005D1EF5" w:rsidP="00056CC9">
            <w:pPr>
              <w:pStyle w:val="NoSpacing"/>
              <w:jc w:val="both"/>
              <w:rPr>
                <w:rFonts w:eastAsia="Calibri"/>
                <w:sz w:val="22"/>
                <w:szCs w:val="22"/>
                <w:lang w:val="sr-Latn-ME"/>
              </w:rPr>
            </w:pPr>
            <w:r w:rsidRPr="00056CC9">
              <w:rPr>
                <w:rFonts w:eastAsia="Calibri"/>
                <w:i/>
                <w:iCs/>
                <w:sz w:val="22"/>
                <w:szCs w:val="22"/>
                <w:lang w:val="sr-Latn-ME"/>
              </w:rPr>
              <w:t>Povremeno: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404A53E6"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Povećanje vrijednosti kreatinina u krvi, povećanje vrijednosti kreatin fosfokinaze u krvi, povećanje vrijednosti laktat dehidrogenaze u krvi, povećanje vrijednosti alkalne fosfataze u krvi</w:t>
            </w:r>
          </w:p>
        </w:tc>
      </w:tr>
      <w:tr w:rsidR="005D1EF5" w:rsidRPr="00056CC9" w14:paraId="2FDC4939" w14:textId="77777777" w:rsidTr="000A1DA8">
        <w:trPr>
          <w:trHeight w:hRule="exact" w:val="291"/>
        </w:trPr>
        <w:tc>
          <w:tcPr>
            <w:tcW w:w="3594" w:type="dxa"/>
            <w:tcBorders>
              <w:top w:val="single" w:sz="6" w:space="0" w:color="auto"/>
              <w:left w:val="single" w:sz="6" w:space="0" w:color="auto"/>
              <w:bottom w:val="single" w:sz="6" w:space="0" w:color="auto"/>
              <w:right w:val="single" w:sz="6" w:space="0" w:color="auto"/>
            </w:tcBorders>
            <w:shd w:val="clear" w:color="auto" w:fill="FFFFFF"/>
          </w:tcPr>
          <w:p w14:paraId="497E5AA5" w14:textId="77777777" w:rsidR="005D1EF5" w:rsidRPr="00056CC9" w:rsidRDefault="005D1EF5" w:rsidP="00056CC9">
            <w:pPr>
              <w:pStyle w:val="NoSpacing"/>
              <w:jc w:val="both"/>
              <w:rPr>
                <w:rFonts w:eastAsia="Calibri"/>
                <w:sz w:val="22"/>
                <w:szCs w:val="22"/>
                <w:lang w:val="sr-Latn-ME"/>
              </w:rPr>
            </w:pPr>
            <w:r w:rsidRPr="00056CC9">
              <w:rPr>
                <w:rFonts w:eastAsia="Calibri"/>
                <w:i/>
                <w:iCs/>
                <w:sz w:val="22"/>
                <w:szCs w:val="22"/>
                <w:lang w:val="sr-Latn-ME"/>
              </w:rPr>
              <w:t>Rijetko:</w:t>
            </w:r>
          </w:p>
        </w:tc>
        <w:tc>
          <w:tcPr>
            <w:tcW w:w="5445" w:type="dxa"/>
            <w:tcBorders>
              <w:top w:val="single" w:sz="6" w:space="0" w:color="auto"/>
              <w:left w:val="single" w:sz="6" w:space="0" w:color="auto"/>
              <w:bottom w:val="single" w:sz="6" w:space="0" w:color="auto"/>
              <w:right w:val="single" w:sz="6" w:space="0" w:color="auto"/>
            </w:tcBorders>
            <w:shd w:val="clear" w:color="auto" w:fill="FFFFFF"/>
          </w:tcPr>
          <w:p w14:paraId="0F685046"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Povećanje vrijednosti amilaze u krvi</w:t>
            </w:r>
          </w:p>
        </w:tc>
      </w:tr>
    </w:tbl>
    <w:p w14:paraId="30F1E799" w14:textId="77777777" w:rsidR="005D1EF5" w:rsidRPr="00056CC9" w:rsidRDefault="005D1EF5" w:rsidP="00056CC9">
      <w:pPr>
        <w:pStyle w:val="NoSpacing"/>
        <w:jc w:val="both"/>
        <w:rPr>
          <w:sz w:val="22"/>
          <w:szCs w:val="22"/>
          <w:lang w:val="sr-Latn-ME"/>
        </w:rPr>
      </w:pPr>
      <w:r w:rsidRPr="00056CC9">
        <w:rPr>
          <w:sz w:val="22"/>
          <w:szCs w:val="22"/>
          <w:lang w:val="sr-Latn-ME"/>
        </w:rPr>
        <w:t>*Ovi tipovi reakcija su prijavljeni uglavnom u postmarketinškom iskustvu sa imatinibom. Ovo uključuje spontane prijave slučajeva kao i teška neželjena dejstva iz tekućih ispitivanja, programa proširenog pristupa, kliničkih farmakoloških studija i istraživačkih studija u neodobrenim indikacijama. Budući da su ove reakcije prijavljene od strane populacije nepoznate veličine, nije uvijek moguće pouzdano procijeniti njihovu učestalost ili utvrditi uzročnu povezanost sa izloženošću imatinibu.</w:t>
      </w:r>
    </w:p>
    <w:p w14:paraId="4B4EB4E5" w14:textId="77777777" w:rsidR="005D1EF5" w:rsidRPr="00056CC9" w:rsidRDefault="005D1EF5" w:rsidP="00056CC9">
      <w:pPr>
        <w:pStyle w:val="NoSpacing"/>
        <w:jc w:val="both"/>
        <w:rPr>
          <w:sz w:val="22"/>
          <w:szCs w:val="22"/>
          <w:lang w:val="sr-Latn-ME"/>
        </w:rPr>
      </w:pPr>
      <w:r w:rsidRPr="00056CC9">
        <w:rPr>
          <w:sz w:val="22"/>
          <w:szCs w:val="22"/>
          <w:vertAlign w:val="superscript"/>
          <w:lang w:val="sr-Latn-ME"/>
        </w:rPr>
        <w:t>1</w:t>
      </w:r>
      <w:r w:rsidRPr="00056CC9">
        <w:rPr>
          <w:sz w:val="22"/>
          <w:szCs w:val="22"/>
          <w:lang w:val="sr-Latn-ME"/>
        </w:rPr>
        <w:t xml:space="preserve"> Pneumonija je najčešće prijavljivana kod pacijenata sa transformisanom CML i pacijenata sa GIST-om.</w:t>
      </w:r>
    </w:p>
    <w:p w14:paraId="257E86A4" w14:textId="77777777" w:rsidR="005D1EF5" w:rsidRPr="00056CC9" w:rsidRDefault="005D1EF5" w:rsidP="00056CC9">
      <w:pPr>
        <w:pStyle w:val="NoSpacing"/>
        <w:jc w:val="both"/>
        <w:rPr>
          <w:sz w:val="22"/>
          <w:szCs w:val="22"/>
          <w:lang w:val="sr-Latn-ME"/>
        </w:rPr>
      </w:pPr>
      <w:r w:rsidRPr="00056CC9">
        <w:rPr>
          <w:sz w:val="22"/>
          <w:szCs w:val="22"/>
          <w:vertAlign w:val="superscript"/>
          <w:lang w:val="sr-Latn-ME"/>
        </w:rPr>
        <w:t>2</w:t>
      </w:r>
      <w:r w:rsidRPr="00056CC9">
        <w:rPr>
          <w:sz w:val="22"/>
          <w:szCs w:val="22"/>
          <w:lang w:val="sr-Latn-ME"/>
        </w:rPr>
        <w:t xml:space="preserve"> Glavobolja je bila najčešća kod pacijenata sa GIST-om.</w:t>
      </w:r>
    </w:p>
    <w:p w14:paraId="02000611" w14:textId="77777777" w:rsidR="005D1EF5" w:rsidRPr="00056CC9" w:rsidRDefault="005D1EF5" w:rsidP="00056CC9">
      <w:pPr>
        <w:pStyle w:val="NoSpacing"/>
        <w:jc w:val="both"/>
        <w:rPr>
          <w:sz w:val="22"/>
          <w:szCs w:val="22"/>
          <w:lang w:val="sr-Latn-ME"/>
        </w:rPr>
      </w:pPr>
      <w:r w:rsidRPr="00056CC9">
        <w:rPr>
          <w:sz w:val="22"/>
          <w:szCs w:val="22"/>
          <w:vertAlign w:val="superscript"/>
          <w:lang w:val="sr-Latn-ME"/>
        </w:rPr>
        <w:t>3</w:t>
      </w:r>
      <w:r w:rsidRPr="00056CC9">
        <w:rPr>
          <w:sz w:val="22"/>
          <w:szCs w:val="22"/>
          <w:lang w:val="sr-Latn-ME"/>
        </w:rPr>
        <w:t xml:space="preserve"> Po principu pacijent-godina, srčani događaji, uključujući kongestivnu srčanu insuficijenciju su bili češći kod pacijenata sa transformisanom CML nego kod onih sa hroničnom CML.</w:t>
      </w:r>
    </w:p>
    <w:p w14:paraId="55F56E66" w14:textId="77777777" w:rsidR="005D1EF5" w:rsidRPr="00056CC9" w:rsidRDefault="005D1EF5" w:rsidP="00056CC9">
      <w:pPr>
        <w:pStyle w:val="NoSpacing"/>
        <w:jc w:val="both"/>
        <w:rPr>
          <w:sz w:val="22"/>
          <w:szCs w:val="22"/>
          <w:lang w:val="sr-Latn-ME"/>
        </w:rPr>
      </w:pPr>
      <w:r w:rsidRPr="00056CC9">
        <w:rPr>
          <w:sz w:val="22"/>
          <w:szCs w:val="22"/>
          <w:vertAlign w:val="superscript"/>
          <w:lang w:val="sr-Latn-ME"/>
        </w:rPr>
        <w:t xml:space="preserve">4 </w:t>
      </w:r>
      <w:r w:rsidRPr="00056CC9">
        <w:rPr>
          <w:sz w:val="22"/>
          <w:szCs w:val="22"/>
          <w:lang w:val="sr-Latn-ME"/>
        </w:rPr>
        <w:t>Crvenilo se najčešće javljalo kod pacijenata sa GIST-om, a krvavljenje (hematom, hemoragija)   najčešće kod pacijenata sa GIST-om i transformisanom CML (CML-AP i CML-BC).</w:t>
      </w:r>
    </w:p>
    <w:p w14:paraId="4399300D" w14:textId="77777777" w:rsidR="005D1EF5" w:rsidRPr="00056CC9" w:rsidRDefault="005D1EF5" w:rsidP="00056CC9">
      <w:pPr>
        <w:pStyle w:val="NoSpacing"/>
        <w:jc w:val="both"/>
        <w:rPr>
          <w:sz w:val="22"/>
          <w:szCs w:val="22"/>
          <w:lang w:val="sr-Latn-ME"/>
        </w:rPr>
      </w:pPr>
      <w:r w:rsidRPr="00056CC9">
        <w:rPr>
          <w:sz w:val="22"/>
          <w:szCs w:val="22"/>
          <w:vertAlign w:val="superscript"/>
          <w:lang w:val="sr-Latn-ME"/>
        </w:rPr>
        <w:t xml:space="preserve">5 </w:t>
      </w:r>
      <w:r w:rsidRPr="00056CC9">
        <w:rPr>
          <w:sz w:val="22"/>
          <w:szCs w:val="22"/>
          <w:lang w:val="sr-Latn-ME"/>
        </w:rPr>
        <w:t>Pleuralna efuzija bila je češća kod pacijenata sa GIST-om i pacijenata sa transformisanom CML (CML-AP i CML-BC) nego kod pacijenata sa hroničnom CML.</w:t>
      </w:r>
    </w:p>
    <w:p w14:paraId="66D529E7" w14:textId="77777777" w:rsidR="005D1EF5" w:rsidRPr="00056CC9" w:rsidRDefault="005D1EF5" w:rsidP="00056CC9">
      <w:pPr>
        <w:pStyle w:val="NoSpacing"/>
        <w:jc w:val="both"/>
        <w:rPr>
          <w:sz w:val="22"/>
          <w:szCs w:val="22"/>
          <w:lang w:val="sr-Latn-ME"/>
        </w:rPr>
      </w:pPr>
      <w:r w:rsidRPr="00056CC9">
        <w:rPr>
          <w:sz w:val="22"/>
          <w:szCs w:val="22"/>
          <w:vertAlign w:val="superscript"/>
          <w:lang w:val="sr-Latn-ME"/>
        </w:rPr>
        <w:t>6+7</w:t>
      </w:r>
      <w:r w:rsidRPr="00056CC9">
        <w:rPr>
          <w:sz w:val="22"/>
          <w:szCs w:val="22"/>
          <w:lang w:val="sr-Latn-ME"/>
        </w:rPr>
        <w:t xml:space="preserve"> Bol u abdomenu i gastrointestinalna hemoragija bili su najčešći kod pacijenata sa GIST-om.</w:t>
      </w:r>
    </w:p>
    <w:p w14:paraId="1AB57230" w14:textId="77777777" w:rsidR="005D1EF5" w:rsidRPr="00056CC9" w:rsidRDefault="005D1EF5" w:rsidP="00056CC9">
      <w:pPr>
        <w:pStyle w:val="NoSpacing"/>
        <w:jc w:val="both"/>
        <w:rPr>
          <w:sz w:val="22"/>
          <w:szCs w:val="22"/>
          <w:lang w:val="sr-Latn-ME"/>
        </w:rPr>
      </w:pPr>
      <w:r w:rsidRPr="00056CC9">
        <w:rPr>
          <w:sz w:val="22"/>
          <w:szCs w:val="22"/>
          <w:vertAlign w:val="superscript"/>
          <w:lang w:val="sr-Latn-ME"/>
        </w:rPr>
        <w:t xml:space="preserve">8 </w:t>
      </w:r>
      <w:r w:rsidRPr="00056CC9">
        <w:rPr>
          <w:sz w:val="22"/>
          <w:szCs w:val="22"/>
          <w:lang w:val="sr-Latn-ME"/>
        </w:rPr>
        <w:t>Prijavljeni su i neki fatalni slučajevi nekroze i insuficijencije jetre.</w:t>
      </w:r>
    </w:p>
    <w:p w14:paraId="3DEA6B29" w14:textId="77777777" w:rsidR="005D1EF5" w:rsidRPr="00056CC9" w:rsidRDefault="005D1EF5" w:rsidP="00056CC9">
      <w:pPr>
        <w:pStyle w:val="NoSpacing"/>
        <w:jc w:val="both"/>
        <w:rPr>
          <w:sz w:val="22"/>
          <w:szCs w:val="22"/>
          <w:lang w:val="sr-Latn-ME"/>
        </w:rPr>
      </w:pPr>
      <w:r w:rsidRPr="00056CC9">
        <w:rPr>
          <w:sz w:val="22"/>
          <w:szCs w:val="22"/>
          <w:vertAlign w:val="superscript"/>
          <w:lang w:val="sr-Latn-ME"/>
        </w:rPr>
        <w:t xml:space="preserve">9 </w:t>
      </w:r>
      <w:r w:rsidRPr="00056CC9">
        <w:rPr>
          <w:sz w:val="22"/>
          <w:szCs w:val="22"/>
          <w:lang w:val="sr-Latn-ME"/>
        </w:rPr>
        <w:t>Mišićno-skeletni bol tokom terapije imatinibom ili nakon prestanka terapije, zapažen je u postmarketinškom periodu.</w:t>
      </w:r>
    </w:p>
    <w:p w14:paraId="651DE7EC" w14:textId="77777777" w:rsidR="005D1EF5" w:rsidRPr="00056CC9" w:rsidRDefault="005D1EF5" w:rsidP="00056CC9">
      <w:pPr>
        <w:pStyle w:val="NoSpacing"/>
        <w:jc w:val="both"/>
        <w:rPr>
          <w:sz w:val="22"/>
          <w:szCs w:val="22"/>
          <w:lang w:val="sr-Latn-ME"/>
        </w:rPr>
      </w:pPr>
      <w:r w:rsidRPr="00056CC9">
        <w:rPr>
          <w:sz w:val="22"/>
          <w:szCs w:val="22"/>
          <w:vertAlign w:val="superscript"/>
          <w:lang w:val="sr-Latn-ME"/>
        </w:rPr>
        <w:t xml:space="preserve">10 </w:t>
      </w:r>
      <w:r w:rsidRPr="00056CC9">
        <w:rPr>
          <w:sz w:val="22"/>
          <w:szCs w:val="22"/>
          <w:lang w:val="sr-Latn-ME"/>
        </w:rPr>
        <w:t>Mišićno-skeletni bol i srodni događaji bili su češće zapaženi kod pacijenata sa CML nego kod onih sa GIST-om.</w:t>
      </w:r>
    </w:p>
    <w:p w14:paraId="47573561" w14:textId="77777777" w:rsidR="005D1EF5" w:rsidRPr="00056CC9" w:rsidRDefault="005D1EF5" w:rsidP="00056CC9">
      <w:pPr>
        <w:pStyle w:val="NoSpacing"/>
        <w:jc w:val="both"/>
        <w:rPr>
          <w:sz w:val="22"/>
          <w:szCs w:val="22"/>
          <w:lang w:val="sr-Latn-ME"/>
        </w:rPr>
      </w:pPr>
      <w:r w:rsidRPr="00056CC9">
        <w:rPr>
          <w:sz w:val="22"/>
          <w:szCs w:val="22"/>
          <w:vertAlign w:val="superscript"/>
          <w:lang w:val="sr-Latn-ME"/>
        </w:rPr>
        <w:t xml:space="preserve">11 </w:t>
      </w:r>
      <w:r w:rsidRPr="00056CC9">
        <w:rPr>
          <w:sz w:val="22"/>
          <w:szCs w:val="22"/>
          <w:lang w:val="sr-Latn-ME"/>
        </w:rPr>
        <w:t>Fatalni slučajevi zabilježeni su kod pacijenata sa uznapredovalom bolešću, teškim infekcijama, teškom neutropenijom i drugim teškim udruženim stanjima.</w:t>
      </w:r>
    </w:p>
    <w:p w14:paraId="77A7B29C" w14:textId="77777777" w:rsidR="005D1EF5" w:rsidRPr="00056CC9" w:rsidRDefault="005D1EF5" w:rsidP="00056CC9">
      <w:pPr>
        <w:pStyle w:val="NoSpacing"/>
        <w:jc w:val="both"/>
        <w:rPr>
          <w:sz w:val="22"/>
          <w:szCs w:val="22"/>
          <w:lang w:val="sr-Latn-ME"/>
        </w:rPr>
      </w:pPr>
    </w:p>
    <w:p w14:paraId="777C0BD8" w14:textId="731576D4" w:rsidR="005D1EF5" w:rsidRDefault="005D1EF5" w:rsidP="00056CC9">
      <w:pPr>
        <w:pStyle w:val="NoSpacing"/>
        <w:jc w:val="both"/>
        <w:rPr>
          <w:sz w:val="22"/>
          <w:szCs w:val="22"/>
          <w:u w:val="single"/>
          <w:lang w:val="sr-Latn-ME"/>
        </w:rPr>
      </w:pPr>
      <w:bookmarkStart w:id="0" w:name="_Hlk73453313"/>
      <w:r w:rsidRPr="00056CC9">
        <w:rPr>
          <w:sz w:val="22"/>
          <w:szCs w:val="22"/>
          <w:u w:val="single"/>
          <w:lang w:val="sr-Latn-ME"/>
        </w:rPr>
        <w:t>Poremećaji u  laboratorijskim testovima</w:t>
      </w:r>
    </w:p>
    <w:p w14:paraId="197CA851" w14:textId="77777777" w:rsidR="000A1DA8" w:rsidRPr="00056CC9" w:rsidRDefault="000A1DA8" w:rsidP="00056CC9">
      <w:pPr>
        <w:pStyle w:val="NoSpacing"/>
        <w:jc w:val="both"/>
        <w:rPr>
          <w:sz w:val="22"/>
          <w:szCs w:val="22"/>
          <w:u w:val="single"/>
          <w:lang w:val="sr-Latn-ME"/>
        </w:rPr>
      </w:pPr>
    </w:p>
    <w:p w14:paraId="6CDF635D" w14:textId="77777777" w:rsidR="005D1EF5" w:rsidRPr="00056CC9" w:rsidRDefault="005D1EF5" w:rsidP="00056CC9">
      <w:pPr>
        <w:pStyle w:val="NoSpacing"/>
        <w:jc w:val="both"/>
        <w:rPr>
          <w:sz w:val="22"/>
          <w:szCs w:val="22"/>
          <w:lang w:val="sr-Latn-ME"/>
        </w:rPr>
      </w:pPr>
      <w:r w:rsidRPr="00056CC9">
        <w:rPr>
          <w:i/>
          <w:iCs/>
          <w:sz w:val="22"/>
          <w:szCs w:val="22"/>
          <w:lang w:val="sr-Latn-ME"/>
        </w:rPr>
        <w:t>Hematologija</w:t>
      </w:r>
    </w:p>
    <w:p w14:paraId="50F3D767" w14:textId="77777777" w:rsidR="005D1EF5" w:rsidRPr="00056CC9" w:rsidRDefault="005D1EF5" w:rsidP="00056CC9">
      <w:pPr>
        <w:pStyle w:val="NoSpacing"/>
        <w:jc w:val="both"/>
        <w:rPr>
          <w:sz w:val="22"/>
          <w:szCs w:val="22"/>
          <w:lang w:val="sr-Latn-ME"/>
        </w:rPr>
      </w:pPr>
      <w:r w:rsidRPr="00056CC9">
        <w:rPr>
          <w:sz w:val="22"/>
          <w:szCs w:val="22"/>
          <w:lang w:val="sr-Latn-ME"/>
        </w:rPr>
        <w:t>Kod CML, citopenija, a posebno neutropenija i trombocitopenija, bile su stalno prisutan nalaz u svim ispitivanjima, sa nagovještajem veće učestalosti pri višim dozama ≥ 750 mg (faza I studije). Međutim, pojava citopenija takođe jasno zavisi od stadijuma bolesti, a učestalost neutropenija gradusa 3 ili 4 (ANC &lt; 1,0 × 10</w:t>
      </w:r>
      <w:r w:rsidRPr="00056CC9">
        <w:rPr>
          <w:sz w:val="22"/>
          <w:szCs w:val="22"/>
          <w:vertAlign w:val="superscript"/>
          <w:lang w:val="sr-Latn-ME"/>
        </w:rPr>
        <w:t>9</w:t>
      </w:r>
      <w:r w:rsidRPr="00056CC9">
        <w:rPr>
          <w:sz w:val="22"/>
          <w:szCs w:val="22"/>
          <w:lang w:val="sr-Latn-ME"/>
        </w:rPr>
        <w:t>/l) i trombocitopenija (broj pločica &lt; 50 × 10</w:t>
      </w:r>
      <w:r w:rsidRPr="00056CC9">
        <w:rPr>
          <w:sz w:val="22"/>
          <w:szCs w:val="22"/>
          <w:vertAlign w:val="superscript"/>
          <w:lang w:val="sr-Latn-ME"/>
        </w:rPr>
        <w:t>9</w:t>
      </w:r>
      <w:r w:rsidRPr="00056CC9">
        <w:rPr>
          <w:sz w:val="22"/>
          <w:szCs w:val="22"/>
          <w:lang w:val="sr-Latn-ME"/>
        </w:rPr>
        <w:t>/l) bila je između 4 i 6 puta viša u blastnoj krizi i ubrzanoj fazi (59-64% i 44-63% za neutropeniju  odnosno trombocitopeniju) u poređenju sa novodijagnostikovanim pacijentima u hroničnoj fazi CML(16,7% neutropenija i 8,9% trombocitopenija). Kod novodijagnostikovane CML u hroničnoj fazi, neutropenija gradusa 4 (ANC &lt; 0,5 × 10</w:t>
      </w:r>
      <w:r w:rsidRPr="00056CC9">
        <w:rPr>
          <w:sz w:val="22"/>
          <w:szCs w:val="22"/>
          <w:vertAlign w:val="superscript"/>
          <w:lang w:val="sr-Latn-ME"/>
        </w:rPr>
        <w:t>9</w:t>
      </w:r>
      <w:r w:rsidRPr="00056CC9">
        <w:rPr>
          <w:sz w:val="22"/>
          <w:szCs w:val="22"/>
          <w:lang w:val="sr-Latn-ME"/>
        </w:rPr>
        <w:t>/l) i trombocitopenija (broj pločica &lt;10 × 10</w:t>
      </w:r>
      <w:r w:rsidRPr="00056CC9">
        <w:rPr>
          <w:sz w:val="22"/>
          <w:szCs w:val="22"/>
          <w:vertAlign w:val="superscript"/>
          <w:lang w:val="sr-Latn-ME"/>
        </w:rPr>
        <w:t>9</w:t>
      </w:r>
      <w:r w:rsidRPr="00056CC9">
        <w:rPr>
          <w:sz w:val="22"/>
          <w:szCs w:val="22"/>
          <w:lang w:val="sr-Latn-ME"/>
        </w:rPr>
        <w:t xml:space="preserve">/l) zapažene su kod 3,6% , odnosno  &lt; 1% pacijenata. Medijana trajanja neutropenijskih i trombocitopenijskih epizoda obično se kreće između 2 i 3 nedjelje, odnosno, od 3 do 4 nedjelje. Ovi događaji mogu se obično kontrolisati ili smanjivanjem doze ili prekidanjem terapije </w:t>
      </w:r>
      <w:r w:rsidRPr="00056CC9">
        <w:rPr>
          <w:bCs/>
          <w:sz w:val="22"/>
          <w:szCs w:val="22"/>
          <w:lang w:val="sr-Latn-ME"/>
        </w:rPr>
        <w:t>imatinibom</w:t>
      </w:r>
      <w:r w:rsidRPr="00056CC9">
        <w:rPr>
          <w:sz w:val="22"/>
          <w:szCs w:val="22"/>
          <w:lang w:val="sr-Latn-ME"/>
        </w:rPr>
        <w:t>, ali u rijetkim slučajevima dolazi do trajnog prekida terapije. Kod pedijatrijskih pacijenata sa CML najčešće zapažene toksičnosti bile su citopenije gradusa 3 ili 4 uključujući neutropeniju, trombocitopeniju i anemiju. Ovo se obično javlja u toku prvih nekoliko mjeseci terapije.</w:t>
      </w:r>
    </w:p>
    <w:p w14:paraId="359B648F" w14:textId="77777777" w:rsidR="005D1EF5" w:rsidRPr="00056CC9" w:rsidRDefault="005D1EF5" w:rsidP="00056CC9">
      <w:pPr>
        <w:shd w:val="clear" w:color="auto" w:fill="FFFFFF"/>
        <w:jc w:val="both"/>
        <w:rPr>
          <w:color w:val="000000"/>
          <w:sz w:val="22"/>
          <w:szCs w:val="22"/>
          <w:lang w:val="sr-Latn-ME"/>
        </w:rPr>
      </w:pPr>
    </w:p>
    <w:p w14:paraId="256D8922" w14:textId="77777777" w:rsidR="005D1EF5" w:rsidRPr="00056CC9" w:rsidRDefault="005D1EF5" w:rsidP="00056CC9">
      <w:pPr>
        <w:shd w:val="clear" w:color="auto" w:fill="FFFFFF"/>
        <w:jc w:val="both"/>
        <w:rPr>
          <w:color w:val="000000"/>
          <w:sz w:val="22"/>
          <w:szCs w:val="22"/>
          <w:lang w:val="sr-Latn-ME"/>
        </w:rPr>
      </w:pPr>
      <w:r w:rsidRPr="00056CC9">
        <w:rPr>
          <w:color w:val="000000"/>
          <w:sz w:val="22"/>
          <w:szCs w:val="22"/>
          <w:lang w:val="sr-Latn-ME"/>
        </w:rPr>
        <w:t xml:space="preserve">U studiji pacijenata sa </w:t>
      </w:r>
      <w:r w:rsidRPr="00056CC9">
        <w:rPr>
          <w:sz w:val="22"/>
          <w:szCs w:val="22"/>
          <w:lang w:val="sr-Latn-ME"/>
        </w:rPr>
        <w:t>neresektabilnim i/ili metastatskim GIST-om,</w:t>
      </w:r>
      <w:r w:rsidRPr="00056CC9">
        <w:rPr>
          <w:color w:val="000000"/>
          <w:sz w:val="22"/>
          <w:szCs w:val="22"/>
          <w:lang w:val="sr-Latn-ME"/>
        </w:rPr>
        <w:t xml:space="preserve"> anemija gradusa 3 i 4 prijavljena je kod 5,4%, odnosno 0,7% pacijenata i moguća je povezanost sa gastrointestinalnim ili intratumorskim krvarenjima, bar kod nekoliko pacijenata. Neutropenija gradusa 3 i 4 viđena je kod 7,5%, odnosno 2,7% pacijenata, a trombocitopenija gradusa 3 kod 0,7% pacijenata. Ni kod jednog pacijenata se nije razvila trombocitopenija gradusa 4. Smanjenje broja leukocita (WBC) i neutrofila javljalo se uglavnom tokom prvih šest nedjelja terapije, nakon čega su se vrijednosti relativno stabilizovale.</w:t>
      </w:r>
    </w:p>
    <w:p w14:paraId="7632A641" w14:textId="77777777" w:rsidR="005D1EF5" w:rsidRPr="00056CC9" w:rsidRDefault="005D1EF5" w:rsidP="00056CC9">
      <w:pPr>
        <w:shd w:val="clear" w:color="auto" w:fill="FFFFFF"/>
        <w:jc w:val="both"/>
        <w:rPr>
          <w:color w:val="000000"/>
          <w:sz w:val="22"/>
          <w:szCs w:val="22"/>
          <w:lang w:val="sr-Latn-ME"/>
        </w:rPr>
      </w:pPr>
    </w:p>
    <w:p w14:paraId="26224C24" w14:textId="77777777" w:rsidR="000A1DA8" w:rsidRDefault="000A1DA8" w:rsidP="00056CC9">
      <w:pPr>
        <w:shd w:val="clear" w:color="auto" w:fill="FFFFFF"/>
        <w:jc w:val="both"/>
        <w:rPr>
          <w:i/>
          <w:iCs/>
          <w:color w:val="000000"/>
          <w:sz w:val="22"/>
          <w:szCs w:val="22"/>
          <w:lang w:val="sr-Latn-ME"/>
        </w:rPr>
      </w:pPr>
    </w:p>
    <w:p w14:paraId="2B71B1BA" w14:textId="77777777" w:rsidR="000A1DA8" w:rsidRDefault="000A1DA8" w:rsidP="00056CC9">
      <w:pPr>
        <w:shd w:val="clear" w:color="auto" w:fill="FFFFFF"/>
        <w:jc w:val="both"/>
        <w:rPr>
          <w:i/>
          <w:iCs/>
          <w:color w:val="000000"/>
          <w:sz w:val="22"/>
          <w:szCs w:val="22"/>
          <w:lang w:val="sr-Latn-ME"/>
        </w:rPr>
      </w:pPr>
    </w:p>
    <w:p w14:paraId="102101B4" w14:textId="55C2C0F7" w:rsidR="005D1EF5" w:rsidRPr="00056CC9" w:rsidRDefault="005D1EF5" w:rsidP="00056CC9">
      <w:pPr>
        <w:shd w:val="clear" w:color="auto" w:fill="FFFFFF"/>
        <w:jc w:val="both"/>
        <w:rPr>
          <w:sz w:val="22"/>
          <w:szCs w:val="22"/>
          <w:lang w:val="sr-Latn-ME"/>
        </w:rPr>
      </w:pPr>
      <w:r w:rsidRPr="00056CC9">
        <w:rPr>
          <w:i/>
          <w:iCs/>
          <w:color w:val="000000"/>
          <w:sz w:val="22"/>
          <w:szCs w:val="22"/>
          <w:lang w:val="sr-Latn-ME"/>
        </w:rPr>
        <w:lastRenderedPageBreak/>
        <w:t>Biohemijske analize</w:t>
      </w:r>
    </w:p>
    <w:p w14:paraId="5D4B140E" w14:textId="77777777" w:rsidR="005D1EF5" w:rsidRPr="00056CC9" w:rsidRDefault="005D1EF5" w:rsidP="00056CC9">
      <w:pPr>
        <w:pStyle w:val="NoSpacing"/>
        <w:jc w:val="both"/>
        <w:rPr>
          <w:sz w:val="22"/>
          <w:szCs w:val="22"/>
          <w:lang w:val="sr-Latn-ME"/>
        </w:rPr>
      </w:pPr>
      <w:r w:rsidRPr="00056CC9">
        <w:rPr>
          <w:sz w:val="22"/>
          <w:szCs w:val="22"/>
          <w:lang w:val="sr-Latn-ME"/>
        </w:rPr>
        <w:t xml:space="preserve">Kod pacijenata sa CML izraženo povišenje transaminaza (&lt;5% pacijenata) ili bilirubina (&lt;1%) obično je regulisano smanjenjem doze ili prekidanjem davanja lijeka (medijana trajanja ovih epizoda bila je približno jedna nedjelja). Trajni prekid terapije zbog poremećaja u testovima funkcije jetre zabilježen je kod manje od 1% pacijenata sa CML. </w:t>
      </w:r>
    </w:p>
    <w:p w14:paraId="244D49BC" w14:textId="77777777" w:rsidR="005D1EF5" w:rsidRPr="00056CC9" w:rsidRDefault="005D1EF5" w:rsidP="00056CC9">
      <w:pPr>
        <w:pStyle w:val="NoSpacing"/>
        <w:jc w:val="both"/>
        <w:rPr>
          <w:sz w:val="22"/>
          <w:szCs w:val="22"/>
          <w:lang w:val="sr-Latn-ME"/>
        </w:rPr>
      </w:pPr>
      <w:r w:rsidRPr="00056CC9">
        <w:rPr>
          <w:sz w:val="22"/>
          <w:szCs w:val="22"/>
          <w:lang w:val="sr-Latn-ME"/>
        </w:rPr>
        <w:t xml:space="preserve">Kod pacijenata sa GIST-om (studija B2222), zapaženo je povišenje </w:t>
      </w:r>
      <w:smartTag w:uri="urn:schemas-microsoft-com:office:smarttags" w:element="stockticker">
        <w:r w:rsidRPr="00056CC9">
          <w:rPr>
            <w:sz w:val="22"/>
            <w:szCs w:val="22"/>
            <w:lang w:val="sr-Latn-ME"/>
          </w:rPr>
          <w:t>ALT</w:t>
        </w:r>
      </w:smartTag>
      <w:r w:rsidRPr="00056CC9">
        <w:rPr>
          <w:sz w:val="22"/>
          <w:szCs w:val="22"/>
          <w:lang w:val="sr-Latn-ME"/>
        </w:rPr>
        <w:t xml:space="preserve"> (alanin aminotransferaze) gradusa 3 ili 4 kod 6,8%, a povišenje AST (aspartat aminotransferaze) gradusa 3 ili 4 kod 4,8%. Povećanje bilirubina bilo je manje od 3%.</w:t>
      </w:r>
    </w:p>
    <w:p w14:paraId="4412734F" w14:textId="77777777" w:rsidR="005D1EF5" w:rsidRPr="00056CC9" w:rsidRDefault="005D1EF5" w:rsidP="00056CC9">
      <w:pPr>
        <w:shd w:val="clear" w:color="auto" w:fill="FFFFFF"/>
        <w:jc w:val="both"/>
        <w:rPr>
          <w:sz w:val="22"/>
          <w:szCs w:val="22"/>
          <w:lang w:val="sr-Latn-ME"/>
        </w:rPr>
      </w:pPr>
    </w:p>
    <w:p w14:paraId="12DE7884" w14:textId="77777777" w:rsidR="005D1EF5" w:rsidRPr="00056CC9" w:rsidRDefault="005D1EF5" w:rsidP="00056CC9">
      <w:pPr>
        <w:shd w:val="clear" w:color="auto" w:fill="FFFFFF"/>
        <w:jc w:val="both"/>
        <w:rPr>
          <w:color w:val="000000"/>
          <w:sz w:val="22"/>
          <w:szCs w:val="22"/>
          <w:lang w:val="sr-Latn-ME"/>
        </w:rPr>
      </w:pPr>
      <w:r w:rsidRPr="00056CC9">
        <w:rPr>
          <w:color w:val="000000"/>
          <w:sz w:val="22"/>
          <w:szCs w:val="22"/>
          <w:lang w:val="sr-Latn-ME"/>
        </w:rPr>
        <w:t>Bilo je slučajeva citolitičkog i holestaznog hepatitisa i insuficijencije jetre; kod nekih od njih ishod je bio fatalan, uključujući jednog pacijenta sa visokom dozom paracetamola.</w:t>
      </w:r>
    </w:p>
    <w:p w14:paraId="7BC2191F" w14:textId="77777777" w:rsidR="005D1EF5" w:rsidRPr="00056CC9" w:rsidRDefault="005D1EF5" w:rsidP="00056CC9">
      <w:pPr>
        <w:shd w:val="clear" w:color="auto" w:fill="FFFFFF"/>
        <w:jc w:val="both"/>
        <w:rPr>
          <w:color w:val="000000"/>
          <w:sz w:val="22"/>
          <w:szCs w:val="22"/>
          <w:lang w:val="sr-Latn-ME"/>
        </w:rPr>
      </w:pPr>
    </w:p>
    <w:p w14:paraId="604AAACD" w14:textId="03009929" w:rsidR="005D1EF5" w:rsidRDefault="005D1EF5" w:rsidP="00056CC9">
      <w:pPr>
        <w:shd w:val="clear" w:color="auto" w:fill="FFFFFF"/>
        <w:jc w:val="both"/>
        <w:rPr>
          <w:sz w:val="22"/>
          <w:szCs w:val="22"/>
          <w:u w:val="single"/>
          <w:lang w:val="sr-Latn-ME"/>
        </w:rPr>
      </w:pPr>
      <w:r w:rsidRPr="00056CC9">
        <w:rPr>
          <w:sz w:val="22"/>
          <w:szCs w:val="22"/>
          <w:u w:val="single"/>
          <w:lang w:val="sr-Latn-ME"/>
        </w:rPr>
        <w:t>Opis odabranih neželjenih reakcija</w:t>
      </w:r>
    </w:p>
    <w:p w14:paraId="49006C2C" w14:textId="77777777" w:rsidR="000A1DA8" w:rsidRPr="00056CC9" w:rsidRDefault="000A1DA8" w:rsidP="00056CC9">
      <w:pPr>
        <w:shd w:val="clear" w:color="auto" w:fill="FFFFFF"/>
        <w:jc w:val="both"/>
        <w:rPr>
          <w:sz w:val="22"/>
          <w:szCs w:val="22"/>
          <w:u w:val="single"/>
          <w:lang w:val="sr-Latn-ME"/>
        </w:rPr>
      </w:pPr>
    </w:p>
    <w:p w14:paraId="2B877415" w14:textId="77777777" w:rsidR="005D1EF5" w:rsidRPr="00056CC9" w:rsidRDefault="005D1EF5" w:rsidP="00056CC9">
      <w:pPr>
        <w:shd w:val="clear" w:color="auto" w:fill="FFFFFF"/>
        <w:jc w:val="both"/>
        <w:rPr>
          <w:i/>
          <w:iCs/>
          <w:sz w:val="22"/>
          <w:szCs w:val="22"/>
          <w:lang w:val="sr-Latn-ME"/>
        </w:rPr>
      </w:pPr>
      <w:r w:rsidRPr="00056CC9">
        <w:rPr>
          <w:i/>
          <w:iCs/>
          <w:sz w:val="22"/>
          <w:szCs w:val="22"/>
          <w:lang w:val="sr-Latn-ME"/>
        </w:rPr>
        <w:t>Reaktivacija hepatitisa B</w:t>
      </w:r>
    </w:p>
    <w:p w14:paraId="067D1BE7" w14:textId="77777777" w:rsidR="005D1EF5" w:rsidRPr="00056CC9" w:rsidRDefault="005D1EF5" w:rsidP="00056CC9">
      <w:pPr>
        <w:shd w:val="clear" w:color="auto" w:fill="FFFFFF"/>
        <w:jc w:val="both"/>
        <w:rPr>
          <w:sz w:val="22"/>
          <w:szCs w:val="22"/>
          <w:lang w:val="sr-Latn-ME"/>
        </w:rPr>
      </w:pPr>
      <w:r w:rsidRPr="00056CC9">
        <w:rPr>
          <w:sz w:val="22"/>
          <w:szCs w:val="22"/>
          <w:lang w:val="sr-Latn-ME"/>
        </w:rPr>
        <w:t xml:space="preserve">Zabilježena je reaktivacija hepatitisa B povezana sa inhibitorima BCR-ABL tirozin kinaze. </w:t>
      </w:r>
    </w:p>
    <w:p w14:paraId="08A43155" w14:textId="77777777" w:rsidR="005D1EF5" w:rsidRPr="00056CC9" w:rsidRDefault="005D1EF5" w:rsidP="00056CC9">
      <w:pPr>
        <w:shd w:val="clear" w:color="auto" w:fill="FFFFFF"/>
        <w:jc w:val="both"/>
        <w:rPr>
          <w:sz w:val="22"/>
          <w:szCs w:val="22"/>
          <w:lang w:val="sr-Latn-ME"/>
        </w:rPr>
      </w:pPr>
      <w:r w:rsidRPr="00056CC9">
        <w:rPr>
          <w:sz w:val="22"/>
          <w:szCs w:val="22"/>
          <w:lang w:val="sr-Latn-ME"/>
        </w:rPr>
        <w:t>U nekim slučajevima došlo je do akutne insuficijencije jetre ili fulminantnog hepatitisa što je dovelo do transplantacije jetre ili fatalnog ishoda (vidjeti dio 4.4).</w:t>
      </w:r>
    </w:p>
    <w:bookmarkEnd w:id="0"/>
    <w:p w14:paraId="1E053723" w14:textId="77777777" w:rsidR="005D1EF5" w:rsidRPr="00056CC9" w:rsidRDefault="005D1EF5" w:rsidP="00056CC9">
      <w:pPr>
        <w:pStyle w:val="NoSpacing"/>
        <w:jc w:val="both"/>
        <w:rPr>
          <w:rFonts w:eastAsia="Calibri"/>
          <w:sz w:val="22"/>
          <w:szCs w:val="22"/>
          <w:lang w:val="sr-Latn-ME"/>
        </w:rPr>
      </w:pPr>
    </w:p>
    <w:p w14:paraId="49210877" w14:textId="77777777" w:rsidR="005D1EF5" w:rsidRPr="00056CC9" w:rsidRDefault="005D1EF5" w:rsidP="00056CC9">
      <w:pPr>
        <w:spacing w:after="200"/>
        <w:rPr>
          <w:rFonts w:eastAsia="Calibri"/>
          <w:sz w:val="22"/>
          <w:szCs w:val="22"/>
          <w:u w:val="single"/>
          <w:lang w:val="sr-Latn-ME"/>
        </w:rPr>
      </w:pPr>
      <w:r w:rsidRPr="00056CC9">
        <w:rPr>
          <w:rFonts w:eastAsia="Calibri"/>
          <w:sz w:val="22"/>
          <w:szCs w:val="22"/>
          <w:u w:val="single"/>
          <w:lang w:val="sr-Latn-ME"/>
        </w:rPr>
        <w:t>Prijavljivanje sumnji na neželjena dejstva</w:t>
      </w:r>
    </w:p>
    <w:p w14:paraId="134E9367" w14:textId="77777777" w:rsidR="005D1EF5" w:rsidRPr="00056CC9" w:rsidRDefault="005D1EF5" w:rsidP="000A1DA8">
      <w:pPr>
        <w:spacing w:after="200"/>
        <w:jc w:val="both"/>
        <w:rPr>
          <w:rFonts w:eastAsia="Calibri"/>
          <w:sz w:val="22"/>
          <w:szCs w:val="22"/>
          <w:u w:val="single"/>
          <w:lang w:val="sr-Latn-ME"/>
        </w:rPr>
      </w:pPr>
      <w:r w:rsidRPr="00056CC9">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879858C"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 xml:space="preserve">Institut za ljekove i medicinska sredstva </w:t>
      </w:r>
    </w:p>
    <w:p w14:paraId="79052F5C"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Odjeljenje za farmakovigilancu</w:t>
      </w:r>
    </w:p>
    <w:p w14:paraId="56F6E504"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Bulevar Ivana Crnojevića 64a, 81000 Podgorica</w:t>
      </w:r>
    </w:p>
    <w:p w14:paraId="58BCA963" w14:textId="77777777" w:rsidR="005D1EF5" w:rsidRPr="00056CC9" w:rsidRDefault="005D1EF5" w:rsidP="00056CC9">
      <w:pPr>
        <w:pStyle w:val="NoSpacing"/>
        <w:rPr>
          <w:rFonts w:eastAsia="Calibri"/>
          <w:sz w:val="22"/>
          <w:szCs w:val="22"/>
          <w:lang w:val="sr-Latn-ME"/>
        </w:rPr>
      </w:pPr>
    </w:p>
    <w:p w14:paraId="58BB1A1F"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tel: +382 (0) 20 310 280</w:t>
      </w:r>
    </w:p>
    <w:p w14:paraId="1CE60B54"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fax: +382 (0) 20 310 581</w:t>
      </w:r>
    </w:p>
    <w:p w14:paraId="404D56DA" w14:textId="77777777" w:rsidR="005D1EF5" w:rsidRPr="00056CC9" w:rsidRDefault="008349C8" w:rsidP="00056CC9">
      <w:pPr>
        <w:pStyle w:val="NoSpacing"/>
        <w:jc w:val="both"/>
        <w:rPr>
          <w:rFonts w:eastAsia="Calibri"/>
          <w:sz w:val="22"/>
          <w:szCs w:val="22"/>
          <w:lang w:val="sr-Latn-ME"/>
        </w:rPr>
      </w:pPr>
      <w:hyperlink r:id="rId7" w:history="1">
        <w:r w:rsidR="005D1EF5" w:rsidRPr="00056CC9">
          <w:rPr>
            <w:rStyle w:val="Hyperlink"/>
            <w:rFonts w:eastAsia="Calibri"/>
            <w:sz w:val="22"/>
            <w:szCs w:val="22"/>
            <w:lang w:val="sr-Latn-ME"/>
          </w:rPr>
          <w:t>www.cinmed.me</w:t>
        </w:r>
      </w:hyperlink>
    </w:p>
    <w:p w14:paraId="7209D204" w14:textId="77777777" w:rsidR="005D1EF5" w:rsidRPr="00056CC9" w:rsidRDefault="008349C8" w:rsidP="00056CC9">
      <w:pPr>
        <w:pStyle w:val="NoSpacing"/>
        <w:jc w:val="both"/>
        <w:rPr>
          <w:rFonts w:eastAsia="Calibri"/>
          <w:color w:val="0000FF"/>
          <w:sz w:val="22"/>
          <w:szCs w:val="22"/>
          <w:u w:val="single"/>
          <w:lang w:val="sr-Latn-ME"/>
        </w:rPr>
      </w:pPr>
      <w:hyperlink r:id="rId8" w:history="1">
        <w:r w:rsidR="005D1EF5" w:rsidRPr="00056CC9">
          <w:rPr>
            <w:rStyle w:val="Hyperlink"/>
            <w:rFonts w:eastAsia="Calibri"/>
            <w:sz w:val="22"/>
            <w:szCs w:val="22"/>
            <w:lang w:val="sr-Latn-ME"/>
          </w:rPr>
          <w:t>nezeljenadejstva@cinmed.me</w:t>
        </w:r>
      </w:hyperlink>
    </w:p>
    <w:p w14:paraId="7DCAE813" w14:textId="77777777" w:rsidR="005D1EF5" w:rsidRPr="00056CC9" w:rsidRDefault="005D1EF5" w:rsidP="00056CC9">
      <w:pPr>
        <w:pStyle w:val="NoSpacing"/>
        <w:jc w:val="both"/>
        <w:rPr>
          <w:rFonts w:eastAsia="Calibri"/>
          <w:sz w:val="22"/>
          <w:szCs w:val="22"/>
          <w:lang w:val="sr-Latn-ME"/>
        </w:rPr>
      </w:pPr>
      <w:r w:rsidRPr="00056CC9">
        <w:rPr>
          <w:rFonts w:eastAsia="Calibri"/>
          <w:sz w:val="22"/>
          <w:szCs w:val="22"/>
          <w:lang w:val="sr-Latn-ME"/>
        </w:rPr>
        <w:t>putem IS zdravstvene zaštite</w:t>
      </w:r>
    </w:p>
    <w:p w14:paraId="6C360E38" w14:textId="77777777" w:rsidR="005D1EF5" w:rsidRPr="00056CC9" w:rsidRDefault="005D1EF5" w:rsidP="00056CC9">
      <w:pPr>
        <w:tabs>
          <w:tab w:val="left" w:pos="540"/>
          <w:tab w:val="left" w:pos="569"/>
        </w:tabs>
        <w:rPr>
          <w:b/>
          <w:bCs/>
          <w:sz w:val="22"/>
          <w:szCs w:val="22"/>
          <w:lang w:val="sr-Latn-ME"/>
        </w:rPr>
      </w:pPr>
    </w:p>
    <w:p w14:paraId="70CC7B25" w14:textId="77777777" w:rsidR="005D1EF5" w:rsidRPr="00056CC9" w:rsidRDefault="005D1EF5" w:rsidP="00056CC9">
      <w:pPr>
        <w:tabs>
          <w:tab w:val="left" w:pos="540"/>
          <w:tab w:val="left" w:pos="569"/>
        </w:tabs>
        <w:rPr>
          <w:b/>
          <w:bCs/>
          <w:sz w:val="22"/>
          <w:szCs w:val="22"/>
          <w:lang w:val="sr-Latn-ME"/>
        </w:rPr>
      </w:pPr>
      <w:r w:rsidRPr="00056CC9">
        <w:rPr>
          <w:b/>
          <w:bCs/>
          <w:sz w:val="22"/>
          <w:szCs w:val="22"/>
          <w:lang w:val="sr-Latn-ME"/>
        </w:rPr>
        <w:t xml:space="preserve">4.9. </w:t>
      </w:r>
      <w:r w:rsidRPr="00056CC9">
        <w:rPr>
          <w:b/>
          <w:bCs/>
          <w:sz w:val="22"/>
          <w:szCs w:val="22"/>
          <w:lang w:val="sr-Latn-ME"/>
        </w:rPr>
        <w:tab/>
        <w:t xml:space="preserve">Predoziranje </w:t>
      </w:r>
    </w:p>
    <w:p w14:paraId="6F9D1D92" w14:textId="77777777" w:rsidR="005D1EF5" w:rsidRPr="00056CC9" w:rsidRDefault="005D1EF5" w:rsidP="00056CC9">
      <w:pPr>
        <w:tabs>
          <w:tab w:val="left" w:pos="540"/>
          <w:tab w:val="left" w:pos="569"/>
        </w:tabs>
        <w:rPr>
          <w:b/>
          <w:bCs/>
          <w:sz w:val="22"/>
          <w:szCs w:val="22"/>
          <w:lang w:val="sr-Latn-ME"/>
        </w:rPr>
      </w:pPr>
    </w:p>
    <w:p w14:paraId="54F816A3" w14:textId="76D593EB" w:rsidR="000A1DA8" w:rsidRPr="00056CC9" w:rsidRDefault="005D1EF5" w:rsidP="00056CC9">
      <w:pPr>
        <w:tabs>
          <w:tab w:val="left" w:pos="540"/>
          <w:tab w:val="left" w:pos="569"/>
        </w:tabs>
        <w:jc w:val="both"/>
        <w:rPr>
          <w:color w:val="000000"/>
          <w:sz w:val="22"/>
          <w:szCs w:val="22"/>
          <w:lang w:val="sr-Latn-ME"/>
        </w:rPr>
      </w:pPr>
      <w:r w:rsidRPr="00056CC9">
        <w:rPr>
          <w:color w:val="000000"/>
          <w:sz w:val="22"/>
          <w:szCs w:val="22"/>
          <w:lang w:val="sr-Latn-ME"/>
        </w:rPr>
        <w:t xml:space="preserve">Iskustvo sa dozama većim od preporučenih terapijskih doza je ograničeno. </w:t>
      </w:r>
    </w:p>
    <w:p w14:paraId="63F8CBCB" w14:textId="77777777" w:rsidR="005D1EF5" w:rsidRPr="00056CC9" w:rsidRDefault="005D1EF5" w:rsidP="00056CC9">
      <w:pPr>
        <w:tabs>
          <w:tab w:val="left" w:pos="540"/>
          <w:tab w:val="left" w:pos="569"/>
        </w:tabs>
        <w:jc w:val="both"/>
        <w:rPr>
          <w:b/>
          <w:bCs/>
          <w:sz w:val="22"/>
          <w:szCs w:val="22"/>
          <w:lang w:val="sr-Latn-ME"/>
        </w:rPr>
      </w:pPr>
      <w:r w:rsidRPr="00056CC9">
        <w:rPr>
          <w:color w:val="000000"/>
          <w:sz w:val="22"/>
          <w:szCs w:val="22"/>
          <w:lang w:val="sr-Latn-ME"/>
        </w:rPr>
        <w:t xml:space="preserve">Izolovani slučajevi predoziranja </w:t>
      </w:r>
      <w:r w:rsidRPr="00056CC9">
        <w:rPr>
          <w:bCs/>
          <w:sz w:val="22"/>
          <w:szCs w:val="22"/>
          <w:lang w:val="sr-Latn-ME"/>
        </w:rPr>
        <w:t>imatinibom</w:t>
      </w:r>
      <w:r w:rsidRPr="00056CC9">
        <w:rPr>
          <w:bCs/>
          <w:sz w:val="22"/>
          <w:szCs w:val="22"/>
          <w:vertAlign w:val="superscript"/>
          <w:lang w:val="sr-Latn-ME"/>
        </w:rPr>
        <w:t xml:space="preserve"> </w:t>
      </w:r>
      <w:r w:rsidRPr="00056CC9">
        <w:rPr>
          <w:color w:val="000000"/>
          <w:sz w:val="22"/>
          <w:szCs w:val="22"/>
          <w:lang w:val="sr-Latn-ME"/>
        </w:rPr>
        <w:t>su spontano prijavljivani ili su objavljeni u literaturi. U slučaju predoziranja, pacijenta bi trebalo posmatrati i primijeniti adekvatnu simptomatsku terapiju. Prijavljeni ishod u ovim slučajevima je bio ’’poboljšanje’’ ili ’’oporavak’’. Događaji koji su prijavljivani kod različitih opsega doza su sljedeći:</w:t>
      </w:r>
    </w:p>
    <w:p w14:paraId="5AAF03FC" w14:textId="77777777" w:rsidR="005D1EF5" w:rsidRPr="00056CC9" w:rsidRDefault="005D1EF5" w:rsidP="00056CC9">
      <w:pPr>
        <w:jc w:val="both"/>
        <w:rPr>
          <w:sz w:val="22"/>
          <w:szCs w:val="22"/>
          <w:lang w:val="sr-Latn-ME"/>
        </w:rPr>
      </w:pPr>
    </w:p>
    <w:p w14:paraId="316015A3" w14:textId="60B0ED56" w:rsidR="000A1DA8" w:rsidRPr="000A1DA8" w:rsidRDefault="005D1EF5" w:rsidP="00056CC9">
      <w:pPr>
        <w:jc w:val="both"/>
        <w:rPr>
          <w:i/>
          <w:iCs/>
          <w:sz w:val="22"/>
          <w:szCs w:val="22"/>
          <w:lang w:val="sr-Latn-ME"/>
        </w:rPr>
      </w:pPr>
      <w:r w:rsidRPr="00056CC9">
        <w:rPr>
          <w:i/>
          <w:iCs/>
          <w:sz w:val="22"/>
          <w:szCs w:val="22"/>
          <w:lang w:val="sr-Latn-ME"/>
        </w:rPr>
        <w:t>Populacija odraslih osoba</w:t>
      </w:r>
    </w:p>
    <w:p w14:paraId="27589586" w14:textId="77777777" w:rsidR="005D1EF5" w:rsidRPr="00056CC9" w:rsidRDefault="005D1EF5" w:rsidP="00056CC9">
      <w:pPr>
        <w:jc w:val="both"/>
        <w:rPr>
          <w:sz w:val="22"/>
          <w:szCs w:val="22"/>
          <w:u w:val="single"/>
          <w:lang w:val="sr-Latn-ME"/>
        </w:rPr>
      </w:pPr>
      <w:r w:rsidRPr="00056CC9">
        <w:rPr>
          <w:sz w:val="22"/>
          <w:szCs w:val="22"/>
          <w:lang w:val="sr-Latn-ME"/>
        </w:rPr>
        <w:t>1200 do 1600 mg (trajanje varira od 1 do 10 dana): mučnina, povraćanje, dijareja, osip, crvenilo, otok, oticanje, iscrpljenost, mišićni spazam, trombocitopenija, pancitopenija, abdominalni bol, glavobolja, smanjen apetit.</w:t>
      </w:r>
    </w:p>
    <w:p w14:paraId="0C6D00E9" w14:textId="77777777" w:rsidR="005D1EF5" w:rsidRPr="00056CC9" w:rsidRDefault="005D1EF5" w:rsidP="00056CC9">
      <w:pPr>
        <w:shd w:val="clear" w:color="auto" w:fill="FFFFFF"/>
        <w:jc w:val="both"/>
        <w:rPr>
          <w:color w:val="000000"/>
          <w:sz w:val="22"/>
          <w:szCs w:val="22"/>
          <w:lang w:val="sr-Latn-ME"/>
        </w:rPr>
      </w:pPr>
      <w:r w:rsidRPr="00056CC9">
        <w:rPr>
          <w:color w:val="000000"/>
          <w:sz w:val="22"/>
          <w:szCs w:val="22"/>
          <w:lang w:val="sr-Latn-ME"/>
        </w:rPr>
        <w:t>1800 do 3200 mg (najviše 3200 mg dnevno tokom 6 dana): slabost, mialgija, povećanje vrijednosti kreatinin fosfokinaze, povećanje vrijednosti bilirubina, gastrointestinalni bol.</w:t>
      </w:r>
    </w:p>
    <w:p w14:paraId="4CC8AC35" w14:textId="77777777" w:rsidR="005D1EF5" w:rsidRPr="00056CC9" w:rsidRDefault="005D1EF5" w:rsidP="00056CC9">
      <w:pPr>
        <w:shd w:val="clear" w:color="auto" w:fill="FFFFFF"/>
        <w:jc w:val="both"/>
        <w:rPr>
          <w:color w:val="000000"/>
          <w:sz w:val="22"/>
          <w:szCs w:val="22"/>
          <w:lang w:val="sr-Latn-ME"/>
        </w:rPr>
      </w:pPr>
      <w:r w:rsidRPr="00056CC9">
        <w:rPr>
          <w:color w:val="000000"/>
          <w:sz w:val="22"/>
          <w:szCs w:val="22"/>
          <w:lang w:val="sr-Latn-ME"/>
        </w:rPr>
        <w:t>6400 mg (pojedinačna doza): u literaturi je objavljen jedan slučaj pacijenta koji je imao mučninu, povraćanje, abdominalni bol, pireksiju, oticanje lica, smanjen broj neutrofila, povišenu vrijednost transaminaza.</w:t>
      </w:r>
    </w:p>
    <w:p w14:paraId="4983449F" w14:textId="77777777" w:rsidR="005D1EF5" w:rsidRPr="00056CC9" w:rsidRDefault="005D1EF5" w:rsidP="00056CC9">
      <w:pPr>
        <w:shd w:val="clear" w:color="auto" w:fill="FFFFFF"/>
        <w:jc w:val="both"/>
        <w:rPr>
          <w:color w:val="000000"/>
          <w:sz w:val="22"/>
          <w:szCs w:val="22"/>
          <w:lang w:val="sr-Latn-ME"/>
        </w:rPr>
      </w:pPr>
      <w:r w:rsidRPr="00056CC9">
        <w:rPr>
          <w:color w:val="000000"/>
          <w:sz w:val="22"/>
          <w:szCs w:val="22"/>
          <w:lang w:val="sr-Latn-ME"/>
        </w:rPr>
        <w:t>8 do 10 g (pojedinačna doza): prijavljivani su povraćanje i gastrointestinalni bol.</w:t>
      </w:r>
    </w:p>
    <w:p w14:paraId="4BEC59A8" w14:textId="77777777" w:rsidR="005D1EF5" w:rsidRPr="00056CC9" w:rsidRDefault="005D1EF5" w:rsidP="00056CC9">
      <w:pPr>
        <w:shd w:val="clear" w:color="auto" w:fill="FFFFFF"/>
        <w:jc w:val="both"/>
        <w:rPr>
          <w:color w:val="000000"/>
          <w:sz w:val="22"/>
          <w:szCs w:val="22"/>
          <w:lang w:val="sr-Latn-ME"/>
        </w:rPr>
      </w:pPr>
    </w:p>
    <w:p w14:paraId="358F0DFC" w14:textId="77777777" w:rsidR="000A1DA8" w:rsidRDefault="000A1DA8" w:rsidP="00056CC9">
      <w:pPr>
        <w:jc w:val="both"/>
        <w:rPr>
          <w:i/>
          <w:iCs/>
          <w:sz w:val="22"/>
          <w:szCs w:val="22"/>
          <w:lang w:val="sr-Latn-ME"/>
        </w:rPr>
      </w:pPr>
    </w:p>
    <w:p w14:paraId="61137828" w14:textId="09BD019C" w:rsidR="000A1DA8" w:rsidRDefault="000A1DA8" w:rsidP="00056CC9">
      <w:pPr>
        <w:jc w:val="both"/>
        <w:rPr>
          <w:i/>
          <w:iCs/>
          <w:sz w:val="22"/>
          <w:szCs w:val="22"/>
          <w:lang w:val="sr-Latn-ME"/>
        </w:rPr>
      </w:pPr>
    </w:p>
    <w:p w14:paraId="32F369E1" w14:textId="77777777" w:rsidR="000A1DA8" w:rsidRDefault="000A1DA8" w:rsidP="00056CC9">
      <w:pPr>
        <w:jc w:val="both"/>
        <w:rPr>
          <w:i/>
          <w:iCs/>
          <w:sz w:val="22"/>
          <w:szCs w:val="22"/>
          <w:lang w:val="sr-Latn-ME"/>
        </w:rPr>
      </w:pPr>
    </w:p>
    <w:p w14:paraId="45387053" w14:textId="1EC4057E" w:rsidR="005D1EF5" w:rsidRPr="00056CC9" w:rsidRDefault="005D1EF5" w:rsidP="00056CC9">
      <w:pPr>
        <w:jc w:val="both"/>
        <w:rPr>
          <w:sz w:val="22"/>
          <w:szCs w:val="22"/>
          <w:lang w:val="sr-Latn-ME"/>
        </w:rPr>
      </w:pPr>
      <w:r w:rsidRPr="00056CC9">
        <w:rPr>
          <w:i/>
          <w:iCs/>
          <w:sz w:val="22"/>
          <w:szCs w:val="22"/>
          <w:lang w:val="sr-Latn-ME"/>
        </w:rPr>
        <w:lastRenderedPageBreak/>
        <w:t>Pedijatrijska populacija</w:t>
      </w:r>
    </w:p>
    <w:p w14:paraId="213A0861" w14:textId="77777777" w:rsidR="005D1EF5" w:rsidRPr="00056CC9" w:rsidRDefault="005D1EF5" w:rsidP="00056CC9">
      <w:pPr>
        <w:jc w:val="both"/>
        <w:rPr>
          <w:sz w:val="22"/>
          <w:szCs w:val="22"/>
          <w:lang w:val="sr-Latn-ME"/>
        </w:rPr>
      </w:pPr>
      <w:r w:rsidRPr="00056CC9">
        <w:rPr>
          <w:sz w:val="22"/>
          <w:szCs w:val="22"/>
          <w:lang w:val="sr-Latn-ME"/>
        </w:rPr>
        <w:t>Kod jednog trogodišnjeg dječaka koji je bio izložen pojedinačnoj dozi od 400 mg  javilo se povraćanje, dijareja i anoreksija, a kod drugog trogodišnjeg dječaka koji je bio izložen pojedinačnoj dozi od 980 mg došlo je do smanjenja broja leukocita i dijareje.</w:t>
      </w:r>
    </w:p>
    <w:p w14:paraId="4A603E1D" w14:textId="77777777" w:rsidR="005D1EF5" w:rsidRPr="00056CC9" w:rsidRDefault="005D1EF5" w:rsidP="00056CC9">
      <w:pPr>
        <w:shd w:val="clear" w:color="auto" w:fill="FFFFFF"/>
        <w:spacing w:before="240"/>
        <w:jc w:val="both"/>
        <w:rPr>
          <w:sz w:val="22"/>
          <w:szCs w:val="22"/>
          <w:lang w:val="sr-Latn-ME"/>
        </w:rPr>
      </w:pPr>
      <w:r w:rsidRPr="00056CC9">
        <w:rPr>
          <w:color w:val="000000"/>
          <w:sz w:val="22"/>
          <w:szCs w:val="22"/>
          <w:lang w:val="sr-Latn-ME"/>
        </w:rPr>
        <w:t xml:space="preserve">U slučaju predoziranja, pacijenta bi trebalo posmatrati i dati mu adekvatnu suportivnu terapiju. </w:t>
      </w:r>
    </w:p>
    <w:p w14:paraId="693BC64F" w14:textId="77777777" w:rsidR="005D1EF5" w:rsidRPr="00056CC9" w:rsidRDefault="005D1EF5" w:rsidP="00056CC9">
      <w:pPr>
        <w:tabs>
          <w:tab w:val="left" w:pos="540"/>
          <w:tab w:val="left" w:pos="569"/>
        </w:tabs>
        <w:rPr>
          <w:b/>
          <w:bCs/>
          <w:sz w:val="22"/>
          <w:szCs w:val="22"/>
          <w:lang w:val="sr-Latn-ME"/>
        </w:rPr>
      </w:pPr>
    </w:p>
    <w:p w14:paraId="3B8516AB" w14:textId="77777777" w:rsidR="000A1DA8" w:rsidRDefault="000A1DA8" w:rsidP="00056CC9">
      <w:pPr>
        <w:tabs>
          <w:tab w:val="left" w:pos="540"/>
          <w:tab w:val="left" w:pos="569"/>
        </w:tabs>
        <w:jc w:val="both"/>
        <w:rPr>
          <w:b/>
          <w:bCs/>
          <w:sz w:val="22"/>
          <w:szCs w:val="22"/>
          <w:lang w:val="sr-Latn-ME"/>
        </w:rPr>
      </w:pPr>
    </w:p>
    <w:p w14:paraId="3533B47E" w14:textId="09812C1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5. FARMAKOLOŠKI PODACI</w:t>
      </w:r>
    </w:p>
    <w:p w14:paraId="1BA01FEA" w14:textId="77777777" w:rsidR="005D1EF5" w:rsidRPr="00056CC9" w:rsidRDefault="005D1EF5" w:rsidP="00056CC9">
      <w:pPr>
        <w:tabs>
          <w:tab w:val="left" w:pos="540"/>
          <w:tab w:val="left" w:pos="569"/>
        </w:tabs>
        <w:rPr>
          <w:b/>
          <w:bCs/>
          <w:sz w:val="22"/>
          <w:szCs w:val="22"/>
          <w:lang w:val="sr-Latn-ME"/>
        </w:rPr>
      </w:pPr>
    </w:p>
    <w:p w14:paraId="68F51B30" w14:textId="7777777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 xml:space="preserve">5.1. Farmakodinamski podaci </w:t>
      </w:r>
    </w:p>
    <w:p w14:paraId="1E20EFB5" w14:textId="77777777" w:rsidR="005D1EF5" w:rsidRPr="00056CC9" w:rsidRDefault="005D1EF5" w:rsidP="00056CC9">
      <w:pPr>
        <w:tabs>
          <w:tab w:val="left" w:pos="540"/>
          <w:tab w:val="left" w:pos="569"/>
        </w:tabs>
        <w:jc w:val="both"/>
        <w:rPr>
          <w:b/>
          <w:bCs/>
          <w:sz w:val="22"/>
          <w:szCs w:val="22"/>
          <w:lang w:val="sr-Latn-ME"/>
        </w:rPr>
      </w:pPr>
    </w:p>
    <w:p w14:paraId="7098C27A"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Farmakoterapijska grupa:</w:t>
      </w:r>
      <w:r w:rsidRPr="00056CC9">
        <w:rPr>
          <w:sz w:val="22"/>
          <w:szCs w:val="22"/>
          <w:lang w:val="sr-Latn-ME"/>
        </w:rPr>
        <w:t xml:space="preserve"> inhibitor protein-tirozin kinaze</w:t>
      </w:r>
    </w:p>
    <w:p w14:paraId="2F69A65A" w14:textId="77777777" w:rsidR="005D1EF5" w:rsidRPr="00056CC9" w:rsidRDefault="005D1EF5" w:rsidP="00056CC9">
      <w:pPr>
        <w:tabs>
          <w:tab w:val="left" w:pos="540"/>
          <w:tab w:val="left" w:pos="569"/>
        </w:tabs>
        <w:rPr>
          <w:bCs/>
          <w:sz w:val="22"/>
          <w:szCs w:val="22"/>
          <w:lang w:val="sr-Latn-ME"/>
        </w:rPr>
      </w:pPr>
    </w:p>
    <w:p w14:paraId="031F910F" w14:textId="2B3A9D21" w:rsidR="005D1EF5" w:rsidRPr="00056CC9" w:rsidRDefault="005D1EF5" w:rsidP="00056CC9">
      <w:pPr>
        <w:tabs>
          <w:tab w:val="left" w:pos="540"/>
          <w:tab w:val="left" w:pos="569"/>
        </w:tabs>
        <w:rPr>
          <w:bCs/>
          <w:sz w:val="22"/>
          <w:szCs w:val="22"/>
          <w:lang w:val="sr-Latn-ME"/>
        </w:rPr>
      </w:pPr>
      <w:r w:rsidRPr="00056CC9">
        <w:rPr>
          <w:bCs/>
          <w:sz w:val="22"/>
          <w:szCs w:val="22"/>
          <w:lang w:val="sr-Latn-ME"/>
        </w:rPr>
        <w:t>ATC kod:</w:t>
      </w:r>
      <w:r w:rsidR="00BD3C47">
        <w:rPr>
          <w:sz w:val="22"/>
          <w:szCs w:val="22"/>
          <w:lang w:val="sr-Latn-ME"/>
        </w:rPr>
        <w:t xml:space="preserve"> L01EA01</w:t>
      </w:r>
    </w:p>
    <w:p w14:paraId="6D0C8F10" w14:textId="77777777" w:rsidR="005D1EF5" w:rsidRPr="00056CC9" w:rsidRDefault="005D1EF5" w:rsidP="00056CC9">
      <w:pPr>
        <w:tabs>
          <w:tab w:val="left" w:pos="540"/>
          <w:tab w:val="left" w:pos="569"/>
        </w:tabs>
        <w:rPr>
          <w:b/>
          <w:bCs/>
          <w:sz w:val="22"/>
          <w:szCs w:val="22"/>
          <w:lang w:val="sr-Latn-ME"/>
        </w:rPr>
      </w:pPr>
    </w:p>
    <w:p w14:paraId="15D955E0" w14:textId="77777777" w:rsidR="005D1EF5" w:rsidRPr="00056CC9" w:rsidRDefault="005D1EF5" w:rsidP="00056CC9">
      <w:pPr>
        <w:shd w:val="clear" w:color="auto" w:fill="FFFFFF"/>
        <w:jc w:val="both"/>
        <w:rPr>
          <w:color w:val="000000"/>
          <w:sz w:val="22"/>
          <w:szCs w:val="22"/>
          <w:u w:val="single"/>
          <w:lang w:val="sr-Latn-ME"/>
        </w:rPr>
      </w:pPr>
      <w:r w:rsidRPr="00056CC9">
        <w:rPr>
          <w:color w:val="000000"/>
          <w:sz w:val="22"/>
          <w:szCs w:val="22"/>
          <w:u w:val="single"/>
          <w:lang w:val="sr-Latn-ME"/>
        </w:rPr>
        <w:t>Mehanizam dejstva</w:t>
      </w:r>
    </w:p>
    <w:p w14:paraId="4DC01C8F" w14:textId="77777777" w:rsidR="005D1EF5" w:rsidRPr="00056CC9" w:rsidRDefault="005D1EF5" w:rsidP="00056CC9">
      <w:pPr>
        <w:widowControl w:val="0"/>
        <w:ind w:right="-1"/>
        <w:jc w:val="both"/>
        <w:rPr>
          <w:sz w:val="22"/>
          <w:szCs w:val="22"/>
          <w:lang w:val="sr-Latn-ME" w:eastAsia="sl-SI"/>
        </w:rPr>
      </w:pPr>
      <w:r w:rsidRPr="00056CC9">
        <w:rPr>
          <w:sz w:val="22"/>
          <w:szCs w:val="22"/>
          <w:lang w:val="sr-Latn-ME" w:eastAsia="sl-SI"/>
        </w:rPr>
        <w:t xml:space="preserve">Imatinib je mali molekul inhibitor protein-tirozin kinaze koji snažno inhibira aktivnost Bcr-Abl tirozin kinaze (TK), kao i neke receptore tirozin kinaza: Kit, receptor faktora matičnih ćelija (SCF, engl. </w:t>
      </w:r>
      <w:r w:rsidRPr="00056CC9">
        <w:rPr>
          <w:i/>
          <w:sz w:val="22"/>
          <w:szCs w:val="22"/>
          <w:lang w:val="sr-Latn-ME" w:eastAsia="sl-SI"/>
        </w:rPr>
        <w:t>stem cell factor</w:t>
      </w:r>
      <w:r w:rsidRPr="00056CC9">
        <w:rPr>
          <w:sz w:val="22"/>
          <w:szCs w:val="22"/>
          <w:lang w:val="sr-Latn-ME" w:eastAsia="sl-SI"/>
        </w:rPr>
        <w:t xml:space="preserve">) kodiran c-Kit proto-onkogenom, diskoidin domen receptore (DDR1 i DDR2, engl. </w:t>
      </w:r>
      <w:r w:rsidRPr="00056CC9">
        <w:rPr>
          <w:i/>
          <w:sz w:val="22"/>
          <w:szCs w:val="22"/>
          <w:lang w:val="sr-Latn-ME" w:eastAsia="sl-SI"/>
        </w:rPr>
        <w:t>discoidin domain receptors</w:t>
      </w:r>
      <w:r w:rsidRPr="00056CC9">
        <w:rPr>
          <w:sz w:val="22"/>
          <w:szCs w:val="22"/>
          <w:lang w:val="sr-Latn-ME" w:eastAsia="sl-SI"/>
        </w:rPr>
        <w:t xml:space="preserve">), receptore za faktor stimulacije kolonija (CSF-1R, engl. </w:t>
      </w:r>
      <w:r w:rsidRPr="00056CC9">
        <w:rPr>
          <w:i/>
          <w:sz w:val="22"/>
          <w:szCs w:val="22"/>
          <w:lang w:val="sr-Latn-ME" w:eastAsia="sl-SI"/>
        </w:rPr>
        <w:t>colony stimulating factor receptor</w:t>
      </w:r>
      <w:r w:rsidRPr="00056CC9">
        <w:rPr>
          <w:sz w:val="22"/>
          <w:szCs w:val="22"/>
          <w:lang w:val="sr-Latn-ME" w:eastAsia="sl-SI"/>
        </w:rPr>
        <w:t xml:space="preserve">) i receptore za trombocitni faktor rasta alfa i beta (PDGFR-alfa i PDGFR-beta). Imatinib može da inhibira i celularne događaje do kojih dolazi aktivacijom ovih receptorskih kinaza. </w:t>
      </w:r>
    </w:p>
    <w:p w14:paraId="5E147DE7" w14:textId="77777777" w:rsidR="005D1EF5" w:rsidRPr="00056CC9" w:rsidRDefault="005D1EF5" w:rsidP="00056CC9">
      <w:pPr>
        <w:shd w:val="clear" w:color="auto" w:fill="FFFFFF"/>
        <w:jc w:val="both"/>
        <w:rPr>
          <w:color w:val="000000"/>
          <w:sz w:val="22"/>
          <w:szCs w:val="22"/>
          <w:lang w:val="sr-Latn-ME"/>
        </w:rPr>
      </w:pPr>
    </w:p>
    <w:p w14:paraId="532EEC98" w14:textId="77777777" w:rsidR="005D1EF5" w:rsidRPr="00056CC9" w:rsidRDefault="005D1EF5" w:rsidP="00056CC9">
      <w:pPr>
        <w:shd w:val="clear" w:color="auto" w:fill="FFFFFF"/>
        <w:jc w:val="both"/>
        <w:rPr>
          <w:color w:val="000000"/>
          <w:sz w:val="22"/>
          <w:szCs w:val="22"/>
          <w:u w:val="single"/>
          <w:lang w:val="sr-Latn-ME"/>
        </w:rPr>
      </w:pPr>
      <w:r w:rsidRPr="00056CC9">
        <w:rPr>
          <w:color w:val="000000"/>
          <w:sz w:val="22"/>
          <w:szCs w:val="22"/>
          <w:u w:val="single"/>
          <w:lang w:val="sr-Latn-ME"/>
        </w:rPr>
        <w:t>Farmakodinamski efekti</w:t>
      </w:r>
    </w:p>
    <w:p w14:paraId="4A376FB7" w14:textId="77777777" w:rsidR="005D1EF5" w:rsidRPr="00056CC9" w:rsidRDefault="005D1EF5" w:rsidP="00056CC9">
      <w:pPr>
        <w:shd w:val="clear" w:color="auto" w:fill="FFFFFF"/>
        <w:jc w:val="both"/>
        <w:rPr>
          <w:i/>
          <w:iCs/>
          <w:color w:val="000000"/>
          <w:sz w:val="22"/>
          <w:szCs w:val="22"/>
          <w:lang w:val="sr-Latn-ME"/>
        </w:rPr>
      </w:pPr>
      <w:r w:rsidRPr="00056CC9">
        <w:rPr>
          <w:color w:val="000000"/>
          <w:sz w:val="22"/>
          <w:szCs w:val="22"/>
          <w:lang w:val="sr-Latn-ME"/>
        </w:rPr>
        <w:t xml:space="preserve">Imatinib je inhibitor protein-tirozin kinaze koji snažno inhibira Bcr-Abl tirozin kinazu u </w:t>
      </w:r>
      <w:r w:rsidRPr="00056CC9">
        <w:rPr>
          <w:i/>
          <w:iCs/>
          <w:color w:val="000000"/>
          <w:sz w:val="22"/>
          <w:szCs w:val="22"/>
          <w:lang w:val="sr-Latn-ME"/>
        </w:rPr>
        <w:t xml:space="preserve">in vitro, </w:t>
      </w:r>
      <w:r w:rsidRPr="00056CC9">
        <w:rPr>
          <w:iCs/>
          <w:color w:val="000000"/>
          <w:sz w:val="22"/>
          <w:szCs w:val="22"/>
          <w:lang w:val="sr-Latn-ME"/>
        </w:rPr>
        <w:t>ćelijskim</w:t>
      </w:r>
      <w:r w:rsidRPr="00056CC9">
        <w:rPr>
          <w:color w:val="000000"/>
          <w:sz w:val="22"/>
          <w:szCs w:val="22"/>
          <w:lang w:val="sr-Latn-ME"/>
        </w:rPr>
        <w:t xml:space="preserve"> i </w:t>
      </w:r>
      <w:r w:rsidRPr="00056CC9">
        <w:rPr>
          <w:i/>
          <w:iCs/>
          <w:color w:val="000000"/>
          <w:sz w:val="22"/>
          <w:szCs w:val="22"/>
          <w:lang w:val="sr-Latn-ME"/>
        </w:rPr>
        <w:t xml:space="preserve">in vivo </w:t>
      </w:r>
      <w:r w:rsidRPr="00056CC9">
        <w:rPr>
          <w:color w:val="000000"/>
          <w:sz w:val="22"/>
          <w:szCs w:val="22"/>
          <w:lang w:val="sr-Latn-ME"/>
        </w:rPr>
        <w:t>uslovima. Ovo jedinjenje selektivno inhibira proliferaciju i indukuje apoptozu kod Bcr-Abl pozitivnih ćelijskih linija, kao i kod svježih leukemijskih ćelija kod pacijenata sa Filadelfija hromozom pozitivnom CML i akutnom limfoblastnom leukemijom (</w:t>
      </w:r>
      <w:smartTag w:uri="urn:schemas-microsoft-com:office:smarttags" w:element="stockticker">
        <w:r w:rsidRPr="00056CC9">
          <w:rPr>
            <w:color w:val="000000"/>
            <w:sz w:val="22"/>
            <w:szCs w:val="22"/>
            <w:lang w:val="sr-Latn-ME"/>
          </w:rPr>
          <w:t>ALL</w:t>
        </w:r>
      </w:smartTag>
      <w:r w:rsidRPr="00056CC9">
        <w:rPr>
          <w:color w:val="000000"/>
          <w:sz w:val="22"/>
          <w:szCs w:val="22"/>
          <w:lang w:val="sr-Latn-ME"/>
        </w:rPr>
        <w:t>).</w:t>
      </w:r>
    </w:p>
    <w:p w14:paraId="4BC599EB" w14:textId="77777777" w:rsidR="005D1EF5" w:rsidRPr="00056CC9" w:rsidRDefault="005D1EF5" w:rsidP="00056CC9">
      <w:pPr>
        <w:shd w:val="clear" w:color="auto" w:fill="FFFFFF"/>
        <w:spacing w:before="235"/>
        <w:jc w:val="both"/>
        <w:rPr>
          <w:color w:val="000000"/>
          <w:sz w:val="22"/>
          <w:szCs w:val="22"/>
          <w:lang w:val="sr-Latn-ME"/>
        </w:rPr>
      </w:pPr>
      <w:r w:rsidRPr="00056CC9">
        <w:rPr>
          <w:i/>
          <w:iCs/>
          <w:color w:val="000000"/>
          <w:sz w:val="22"/>
          <w:szCs w:val="22"/>
          <w:lang w:val="sr-Latn-ME"/>
        </w:rPr>
        <w:t>In vivo</w:t>
      </w:r>
      <w:r w:rsidRPr="00056CC9">
        <w:rPr>
          <w:iCs/>
          <w:color w:val="000000"/>
          <w:sz w:val="22"/>
          <w:szCs w:val="22"/>
          <w:lang w:val="sr-Latn-ME"/>
        </w:rPr>
        <w:t>,</w:t>
      </w:r>
      <w:r w:rsidRPr="00056CC9">
        <w:rPr>
          <w:i/>
          <w:iCs/>
          <w:color w:val="000000"/>
          <w:sz w:val="22"/>
          <w:szCs w:val="22"/>
          <w:lang w:val="sr-Latn-ME"/>
        </w:rPr>
        <w:t xml:space="preserve"> </w:t>
      </w:r>
      <w:r w:rsidRPr="00056CC9">
        <w:rPr>
          <w:color w:val="000000"/>
          <w:sz w:val="22"/>
          <w:szCs w:val="22"/>
          <w:lang w:val="sr-Latn-ME"/>
        </w:rPr>
        <w:t xml:space="preserve">jedinjenje pokazuje antitumorsku aktivnost kao pojedinačni lijek na životinjskim modelima korišćenjem Bcr-Abl pozitivnih tumorskih ćelija. </w:t>
      </w:r>
    </w:p>
    <w:p w14:paraId="76AEAF6C" w14:textId="77777777" w:rsidR="005D1EF5" w:rsidRPr="00056CC9" w:rsidRDefault="005D1EF5" w:rsidP="00056CC9">
      <w:pPr>
        <w:shd w:val="clear" w:color="auto" w:fill="FFFFFF"/>
        <w:spacing w:before="235"/>
        <w:jc w:val="both"/>
        <w:rPr>
          <w:sz w:val="22"/>
          <w:szCs w:val="22"/>
          <w:lang w:val="sr-Latn-ME"/>
        </w:rPr>
      </w:pPr>
      <w:r w:rsidRPr="00056CC9">
        <w:rPr>
          <w:color w:val="000000"/>
          <w:sz w:val="22"/>
          <w:szCs w:val="22"/>
          <w:lang w:val="sr-Latn-ME"/>
        </w:rPr>
        <w:t xml:space="preserve">Imatinib je takođe i inhibitor receptorskih tirozin kinaza za trombocitni faktor rasta (PDGF), PDGF-R, i faktor matičnih ćelija (SCF), c-Kit, a inhibira PDGF- i SCF-posredovane ćelijske događaje. </w:t>
      </w:r>
      <w:r w:rsidRPr="00056CC9">
        <w:rPr>
          <w:i/>
          <w:iCs/>
          <w:color w:val="000000"/>
          <w:sz w:val="22"/>
          <w:szCs w:val="22"/>
          <w:lang w:val="sr-Latn-ME"/>
        </w:rPr>
        <w:t xml:space="preserve">In vitro, </w:t>
      </w:r>
      <w:r w:rsidRPr="00056CC9">
        <w:rPr>
          <w:color w:val="000000"/>
          <w:sz w:val="22"/>
          <w:szCs w:val="22"/>
          <w:lang w:val="sr-Latn-ME"/>
        </w:rPr>
        <w:t xml:space="preserve">imatinib inhibira proliferaciju i indukuje apoptozu u gastrointestinalnim ćelijama stromalnog tumora (GIST), koje pokazuju aktivnu </w:t>
      </w:r>
      <w:r w:rsidRPr="00056CC9">
        <w:rPr>
          <w:i/>
          <w:iCs/>
          <w:color w:val="000000"/>
          <w:sz w:val="22"/>
          <w:szCs w:val="22"/>
          <w:lang w:val="sr-Latn-ME"/>
        </w:rPr>
        <w:t xml:space="preserve">kit </w:t>
      </w:r>
      <w:r w:rsidRPr="00056CC9">
        <w:rPr>
          <w:color w:val="000000"/>
          <w:sz w:val="22"/>
          <w:szCs w:val="22"/>
          <w:lang w:val="sr-Latn-ME"/>
        </w:rPr>
        <w:t>mutaciju. Konstitutivna aktivacija PDGF receptora ili Abl protein tirozin kinaza, kao posljedica fuzije</w:t>
      </w:r>
      <w:r w:rsidRPr="00056CC9">
        <w:rPr>
          <w:sz w:val="22"/>
          <w:szCs w:val="22"/>
          <w:lang w:val="sr-Latn-ME"/>
        </w:rPr>
        <w:t xml:space="preserve"> sa r</w:t>
      </w:r>
      <w:r w:rsidRPr="00056CC9">
        <w:rPr>
          <w:color w:val="000000"/>
          <w:sz w:val="22"/>
          <w:szCs w:val="22"/>
          <w:lang w:val="sr-Latn-ME"/>
        </w:rPr>
        <w:t>aznim partnerskim proteinima ili konstitutivna produkcija PDGF uključena je u patogenezu MDS/MPD, HES/CEL i DFSP. Imatinib inhibira signalizaciju i proliferaciju ćelija izazvanu nepravilno regulisanom aktivnošću PDGFR i Abl kinaze.</w:t>
      </w:r>
    </w:p>
    <w:p w14:paraId="268CC762" w14:textId="77777777" w:rsidR="005D1EF5" w:rsidRPr="00056CC9" w:rsidRDefault="005D1EF5" w:rsidP="00056CC9">
      <w:pPr>
        <w:shd w:val="clear" w:color="auto" w:fill="FFFFFF"/>
        <w:spacing w:before="240"/>
        <w:jc w:val="both"/>
        <w:rPr>
          <w:sz w:val="22"/>
          <w:szCs w:val="22"/>
          <w:lang w:val="sr-Latn-ME"/>
        </w:rPr>
      </w:pPr>
      <w:r w:rsidRPr="00056CC9">
        <w:rPr>
          <w:color w:val="000000"/>
          <w:sz w:val="22"/>
          <w:szCs w:val="22"/>
          <w:u w:val="single"/>
          <w:lang w:val="sr-Latn-ME"/>
        </w:rPr>
        <w:t>Kliničke studije kod pacijenata sa hroničnom mijeloidnom leukemijom (CML)</w:t>
      </w:r>
    </w:p>
    <w:p w14:paraId="01C9CBE7" w14:textId="77777777" w:rsidR="005D1EF5" w:rsidRPr="00056CC9" w:rsidRDefault="005D1EF5" w:rsidP="00056CC9">
      <w:pPr>
        <w:shd w:val="clear" w:color="auto" w:fill="FFFFFF"/>
        <w:jc w:val="both"/>
        <w:rPr>
          <w:sz w:val="22"/>
          <w:szCs w:val="22"/>
          <w:lang w:val="sr-Latn-ME"/>
        </w:rPr>
      </w:pPr>
      <w:r w:rsidRPr="00056CC9">
        <w:rPr>
          <w:color w:val="000000"/>
          <w:sz w:val="22"/>
          <w:szCs w:val="22"/>
          <w:lang w:val="sr-Latn-ME"/>
        </w:rPr>
        <w:t xml:space="preserve">Efikasnost </w:t>
      </w:r>
      <w:r w:rsidRPr="00056CC9">
        <w:rPr>
          <w:bCs/>
          <w:sz w:val="22"/>
          <w:szCs w:val="22"/>
          <w:lang w:val="sr-Latn-ME"/>
        </w:rPr>
        <w:t>imatiniba</w:t>
      </w:r>
      <w:r w:rsidRPr="00056CC9">
        <w:rPr>
          <w:bCs/>
          <w:sz w:val="22"/>
          <w:szCs w:val="22"/>
          <w:vertAlign w:val="superscript"/>
          <w:lang w:val="sr-Latn-ME"/>
        </w:rPr>
        <w:t xml:space="preserve"> </w:t>
      </w:r>
      <w:r w:rsidRPr="00056CC9">
        <w:rPr>
          <w:sz w:val="22"/>
          <w:szCs w:val="22"/>
          <w:lang w:val="sr-Latn-ME"/>
        </w:rPr>
        <w:t>zasnovana je na ukupnoj</w:t>
      </w:r>
      <w:r w:rsidRPr="00056CC9">
        <w:rPr>
          <w:bCs/>
          <w:sz w:val="22"/>
          <w:szCs w:val="22"/>
          <w:lang w:val="sr-Latn-ME"/>
        </w:rPr>
        <w:t xml:space="preserve"> hematološkoj i citogenetskoj stopi odgovora </w:t>
      </w:r>
      <w:r w:rsidRPr="00056CC9">
        <w:rPr>
          <w:color w:val="000000"/>
          <w:sz w:val="22"/>
          <w:szCs w:val="22"/>
          <w:lang w:val="sr-Latn-ME"/>
        </w:rPr>
        <w:t>i preživljavanju bez progresije bolesti. Izuzev kod novodijagnostikovane hronične faze CML, nije bilo kontrolisanih kliničkih ispitivanja koja bi pokazala kliničku korist, kao što je poboljšanje simptoma vezanih za bolest ili povećano preživljavanje.</w:t>
      </w:r>
    </w:p>
    <w:p w14:paraId="35A01377" w14:textId="77777777" w:rsidR="005D1EF5" w:rsidRPr="00056CC9" w:rsidRDefault="005D1EF5" w:rsidP="00056CC9">
      <w:pPr>
        <w:shd w:val="clear" w:color="auto" w:fill="FFFFFF"/>
        <w:spacing w:before="240"/>
        <w:jc w:val="both"/>
        <w:rPr>
          <w:color w:val="000000"/>
          <w:sz w:val="22"/>
          <w:szCs w:val="22"/>
          <w:lang w:val="sr-Latn-ME"/>
        </w:rPr>
      </w:pPr>
      <w:r w:rsidRPr="00056CC9">
        <w:rPr>
          <w:color w:val="000000"/>
          <w:sz w:val="22"/>
          <w:szCs w:val="22"/>
          <w:lang w:val="sr-Latn-ME"/>
        </w:rPr>
        <w:t xml:space="preserve">Tri velike, međunarodne, otvorene studije faze II bez kontrolne grupe sprovedene su kod pacijenata sa Filadelfija hromozom pozitivnom (Ph+) CML u odmakloj, blastnoj ili ubrzanoj fazi bolesti, drugim Ph+ leukemijama ili kod pacijenata sa CML u hroničnoj fazi ali sa </w:t>
      </w:r>
      <w:r w:rsidRPr="00056CC9">
        <w:rPr>
          <w:sz w:val="22"/>
          <w:szCs w:val="22"/>
          <w:lang w:val="sr-Latn-ME" w:eastAsia="sl-SI"/>
        </w:rPr>
        <w:t xml:space="preserve">prethodno neuspješnom terapijom </w:t>
      </w:r>
      <w:r w:rsidRPr="00056CC9">
        <w:rPr>
          <w:color w:val="000000"/>
          <w:sz w:val="22"/>
          <w:szCs w:val="22"/>
          <w:lang w:val="sr-Latn-ME"/>
        </w:rPr>
        <w:t>sa interferonom-alfa (IFN). Jedna velika, otvorena, multicentrična, međunarodna randomizovana studija faze III sprovedena je kod pacijenata sa novodijagnostikovanom Ph+ CML. Dodatno, djeca su liječena u dvije studije faze I i jednoj studiji faze II.</w:t>
      </w:r>
    </w:p>
    <w:p w14:paraId="59179F10" w14:textId="77777777" w:rsidR="005D1EF5" w:rsidRPr="00056CC9" w:rsidRDefault="005D1EF5" w:rsidP="00056CC9">
      <w:pPr>
        <w:shd w:val="clear" w:color="auto" w:fill="FFFFFF"/>
        <w:spacing w:before="264"/>
        <w:jc w:val="both"/>
        <w:rPr>
          <w:sz w:val="22"/>
          <w:szCs w:val="22"/>
          <w:lang w:val="sr-Latn-ME"/>
        </w:rPr>
      </w:pPr>
      <w:r w:rsidRPr="00056CC9">
        <w:rPr>
          <w:color w:val="000000"/>
          <w:sz w:val="22"/>
          <w:szCs w:val="22"/>
          <w:lang w:val="sr-Latn-ME"/>
        </w:rPr>
        <w:t>U svim kliničkim studijama, 38-40% pacijenata imalo je ≥ 60 godina starosti, a 10-12% pacijenata imalo je ≥70 godina starosti.</w:t>
      </w:r>
    </w:p>
    <w:p w14:paraId="7A3E09B1" w14:textId="77777777" w:rsidR="005D1EF5" w:rsidRPr="00056CC9" w:rsidRDefault="005D1EF5" w:rsidP="00056CC9">
      <w:pPr>
        <w:shd w:val="clear" w:color="auto" w:fill="FFFFFF"/>
        <w:spacing w:before="264"/>
        <w:jc w:val="both"/>
        <w:rPr>
          <w:color w:val="000000"/>
          <w:sz w:val="22"/>
          <w:szCs w:val="22"/>
          <w:lang w:val="sr-Latn-ME"/>
        </w:rPr>
      </w:pPr>
      <w:r w:rsidRPr="00056CC9">
        <w:rPr>
          <w:i/>
          <w:iCs/>
          <w:color w:val="000000"/>
          <w:sz w:val="22"/>
          <w:szCs w:val="22"/>
          <w:lang w:val="sr-Latn-ME"/>
        </w:rPr>
        <w:lastRenderedPageBreak/>
        <w:t>Hronična faza, novodijagnostikovana:</w:t>
      </w:r>
      <w:r w:rsidRPr="00056CC9">
        <w:rPr>
          <w:iCs/>
          <w:color w:val="000000"/>
          <w:sz w:val="22"/>
          <w:szCs w:val="22"/>
          <w:lang w:val="sr-Latn-ME"/>
        </w:rPr>
        <w:t xml:space="preserve"> U o</w:t>
      </w:r>
      <w:r w:rsidRPr="00056CC9">
        <w:rPr>
          <w:color w:val="000000"/>
          <w:sz w:val="22"/>
          <w:szCs w:val="22"/>
          <w:lang w:val="sr-Latn-ME"/>
        </w:rPr>
        <w:t xml:space="preserve">voj studiji faze III kod odraslih pacijenata upoređivana je monoterapija </w:t>
      </w:r>
      <w:r w:rsidRPr="00056CC9">
        <w:rPr>
          <w:bCs/>
          <w:sz w:val="22"/>
          <w:szCs w:val="22"/>
          <w:lang w:val="sr-Latn-ME"/>
        </w:rPr>
        <w:t>imatinibom</w:t>
      </w:r>
      <w:r w:rsidRPr="00056CC9">
        <w:rPr>
          <w:color w:val="000000"/>
          <w:sz w:val="22"/>
          <w:szCs w:val="22"/>
          <w:lang w:val="sr-Latn-ME"/>
        </w:rPr>
        <w:t xml:space="preserve"> sa kombinovanom terapijom interferon-alfa (IFN) plus citarabin (Ara-C). Pacijentima koji su pokazali odsustvo odgovora (odsustvo kompletnog hematološkog odgovora (engl. CHR- </w:t>
      </w:r>
      <w:r w:rsidRPr="00056CC9">
        <w:rPr>
          <w:i/>
          <w:color w:val="000000"/>
          <w:sz w:val="22"/>
          <w:szCs w:val="22"/>
          <w:lang w:val="sr-Latn-ME"/>
        </w:rPr>
        <w:t>complete haematological response</w:t>
      </w:r>
      <w:r w:rsidRPr="00056CC9">
        <w:rPr>
          <w:color w:val="000000"/>
          <w:sz w:val="22"/>
          <w:szCs w:val="22"/>
          <w:lang w:val="sr-Latn-ME"/>
        </w:rPr>
        <w:t xml:space="preserve">) nakon 6 mjeseci, povećanje broja bijelih krvnih ćelija (WBC), odsustvo </w:t>
      </w:r>
      <w:r w:rsidRPr="00056CC9">
        <w:rPr>
          <w:sz w:val="22"/>
          <w:szCs w:val="22"/>
          <w:lang w:val="sr-Latn-ME"/>
        </w:rPr>
        <w:t>glavnog c</w:t>
      </w:r>
      <w:r w:rsidRPr="00056CC9">
        <w:rPr>
          <w:color w:val="000000"/>
          <w:sz w:val="22"/>
          <w:szCs w:val="22"/>
          <w:lang w:val="sr-Latn-ME"/>
        </w:rPr>
        <w:t xml:space="preserve">itogenetskog odgovora (engl. MCyR- </w:t>
      </w:r>
      <w:r w:rsidRPr="00056CC9">
        <w:rPr>
          <w:i/>
          <w:color w:val="000000"/>
          <w:sz w:val="22"/>
          <w:szCs w:val="22"/>
          <w:lang w:val="sr-Latn-ME"/>
        </w:rPr>
        <w:t>major cytogenetic response</w:t>
      </w:r>
      <w:r w:rsidRPr="00056CC9">
        <w:rPr>
          <w:color w:val="000000"/>
          <w:sz w:val="22"/>
          <w:szCs w:val="22"/>
          <w:lang w:val="sr-Latn-ME"/>
        </w:rPr>
        <w:t xml:space="preserve">) nakon 24 mjeseca, gubitak odgovora (gubitak CHR ili MCyR) ili su teško podnosili terapiju, dozvoljeno je da pređu u alternativnu terapijsku grupu. U grupi koja je uzimala </w:t>
      </w:r>
      <w:r w:rsidRPr="00056CC9">
        <w:rPr>
          <w:bCs/>
          <w:sz w:val="22"/>
          <w:szCs w:val="22"/>
          <w:lang w:val="sr-Latn-ME"/>
        </w:rPr>
        <w:t>imatinib</w:t>
      </w:r>
      <w:r w:rsidRPr="00056CC9">
        <w:rPr>
          <w:color w:val="000000"/>
          <w:sz w:val="22"/>
          <w:szCs w:val="22"/>
          <w:lang w:val="sr-Latn-ME"/>
        </w:rPr>
        <w:t>, pacijenti su liječeni sa 400 mg dnevno. U IFN grupi, pacijenti su liječeni ciljnom dozom IFN od 5 Mi.j./m</w:t>
      </w:r>
      <w:r w:rsidRPr="00056CC9">
        <w:rPr>
          <w:color w:val="000000"/>
          <w:sz w:val="22"/>
          <w:szCs w:val="22"/>
          <w:vertAlign w:val="superscript"/>
          <w:lang w:val="sr-Latn-ME"/>
        </w:rPr>
        <w:t>2</w:t>
      </w:r>
      <w:r w:rsidRPr="00056CC9">
        <w:rPr>
          <w:color w:val="000000"/>
          <w:sz w:val="22"/>
          <w:szCs w:val="22"/>
          <w:lang w:val="sr-Latn-ME"/>
        </w:rPr>
        <w:t>/dan subkutano u kombinaciji sa subkutanim Ara-C 20 mg/m</w:t>
      </w:r>
      <w:r w:rsidRPr="00056CC9">
        <w:rPr>
          <w:color w:val="000000"/>
          <w:sz w:val="22"/>
          <w:szCs w:val="22"/>
          <w:vertAlign w:val="superscript"/>
          <w:lang w:val="sr-Latn-ME"/>
        </w:rPr>
        <w:t>2</w:t>
      </w:r>
      <w:r w:rsidRPr="00056CC9">
        <w:rPr>
          <w:color w:val="000000"/>
          <w:sz w:val="22"/>
          <w:szCs w:val="22"/>
          <w:lang w:val="sr-Latn-ME"/>
        </w:rPr>
        <w:t>/dan tokom 10 dana/mjesec.</w:t>
      </w:r>
    </w:p>
    <w:p w14:paraId="3906C62F" w14:textId="77777777" w:rsidR="005D1EF5" w:rsidRPr="00056CC9" w:rsidRDefault="005D1EF5" w:rsidP="00056CC9">
      <w:pPr>
        <w:tabs>
          <w:tab w:val="left" w:pos="540"/>
          <w:tab w:val="left" w:pos="569"/>
        </w:tabs>
        <w:jc w:val="both"/>
        <w:rPr>
          <w:b/>
          <w:color w:val="000000"/>
          <w:sz w:val="22"/>
          <w:szCs w:val="22"/>
          <w:lang w:val="sr-Latn-ME"/>
        </w:rPr>
      </w:pPr>
      <w:r w:rsidRPr="00056CC9">
        <w:rPr>
          <w:color w:val="000000"/>
          <w:sz w:val="22"/>
          <w:szCs w:val="22"/>
          <w:lang w:val="sr-Latn-ME"/>
        </w:rPr>
        <w:t>Ukupno 1106 pacijenata je bilo randomizovano, po 553 u svakoj grupi. Karakteristike pacijenata na početku studije bile su dobro izbalansirane između dvije grupe. Medijana starosti bila je 51 godina (raspon 18-70 godina), sa 21,9% pacijenata sa ≥60 godina starosti. Bilo je 59% muškaraca i 41% žena; 89,9% bijelaca, a 4,7% pacijenata crne rase.</w:t>
      </w:r>
      <w:r w:rsidRPr="00056CC9">
        <w:rPr>
          <w:sz w:val="22"/>
          <w:szCs w:val="22"/>
          <w:lang w:val="sr-Latn-ME"/>
        </w:rPr>
        <w:t xml:space="preserve"> Sedam</w:t>
      </w:r>
      <w:r w:rsidRPr="00056CC9">
        <w:rPr>
          <w:color w:val="FF0000"/>
          <w:sz w:val="22"/>
          <w:szCs w:val="22"/>
          <w:lang w:val="sr-Latn-ME"/>
        </w:rPr>
        <w:t xml:space="preserve"> </w:t>
      </w:r>
      <w:r w:rsidRPr="00056CC9">
        <w:rPr>
          <w:color w:val="000000"/>
          <w:sz w:val="22"/>
          <w:szCs w:val="22"/>
          <w:lang w:val="sr-Latn-ME"/>
        </w:rPr>
        <w:t xml:space="preserve">godina pošto je bio uključen posljednji pacijent, srednje vrijeme terapije prve linije bilo je </w:t>
      </w:r>
      <w:r w:rsidRPr="00056CC9">
        <w:rPr>
          <w:sz w:val="22"/>
          <w:szCs w:val="22"/>
          <w:lang w:val="sr-Latn-ME"/>
        </w:rPr>
        <w:t>82</w:t>
      </w:r>
      <w:r w:rsidRPr="00056CC9">
        <w:rPr>
          <w:color w:val="FF0000"/>
          <w:sz w:val="22"/>
          <w:szCs w:val="22"/>
          <w:lang w:val="sr-Latn-ME"/>
        </w:rPr>
        <w:t xml:space="preserve"> </w:t>
      </w:r>
      <w:r w:rsidRPr="00056CC9">
        <w:rPr>
          <w:color w:val="000000"/>
          <w:sz w:val="22"/>
          <w:szCs w:val="22"/>
          <w:lang w:val="sr-Latn-ME"/>
        </w:rPr>
        <w:t>mjeseca u grupi sa imatinibom i 8 mjeseci</w:t>
      </w:r>
      <w:r w:rsidRPr="00056CC9" w:rsidDel="00B927DE">
        <w:rPr>
          <w:color w:val="000000"/>
          <w:sz w:val="22"/>
          <w:szCs w:val="22"/>
          <w:lang w:val="sr-Latn-ME"/>
        </w:rPr>
        <w:t xml:space="preserve"> </w:t>
      </w:r>
      <w:r w:rsidRPr="00056CC9">
        <w:rPr>
          <w:color w:val="000000"/>
          <w:sz w:val="22"/>
          <w:szCs w:val="22"/>
          <w:lang w:val="sr-Latn-ME"/>
        </w:rPr>
        <w:t xml:space="preserve">u IFN grupi. Srednje vrijeme terapije kada je </w:t>
      </w:r>
      <w:r w:rsidRPr="00056CC9">
        <w:rPr>
          <w:bCs/>
          <w:sz w:val="22"/>
          <w:szCs w:val="22"/>
          <w:lang w:val="sr-Latn-ME"/>
        </w:rPr>
        <w:t>imatinib</w:t>
      </w:r>
      <w:r w:rsidRPr="00056CC9">
        <w:rPr>
          <w:color w:val="000000"/>
          <w:sz w:val="22"/>
          <w:szCs w:val="22"/>
          <w:lang w:val="sr-Latn-ME"/>
        </w:rPr>
        <w:t xml:space="preserve"> korišćen kao druga linija terapije bilo je </w:t>
      </w:r>
      <w:r w:rsidRPr="00056CC9">
        <w:rPr>
          <w:sz w:val="22"/>
          <w:szCs w:val="22"/>
          <w:lang w:val="sr-Latn-ME"/>
        </w:rPr>
        <w:t>64</w:t>
      </w:r>
      <w:r w:rsidRPr="00056CC9">
        <w:rPr>
          <w:color w:val="000000"/>
          <w:sz w:val="22"/>
          <w:szCs w:val="22"/>
          <w:lang w:val="sr-Latn-ME"/>
        </w:rPr>
        <w:t xml:space="preserve"> mjeseca. Ukupno, kod pacijenata koji su primali </w:t>
      </w:r>
      <w:r w:rsidRPr="00056CC9">
        <w:rPr>
          <w:bCs/>
          <w:sz w:val="22"/>
          <w:szCs w:val="22"/>
          <w:lang w:val="sr-Latn-ME"/>
        </w:rPr>
        <w:t>imatinib</w:t>
      </w:r>
      <w:r w:rsidRPr="00056CC9">
        <w:rPr>
          <w:color w:val="000000"/>
          <w:sz w:val="22"/>
          <w:szCs w:val="22"/>
          <w:lang w:val="sr-Latn-ME"/>
        </w:rPr>
        <w:t xml:space="preserve"> kao prvu liniju, prosječna dnevna doza bila je </w:t>
      </w:r>
      <w:r w:rsidRPr="00056CC9">
        <w:rPr>
          <w:sz w:val="22"/>
          <w:szCs w:val="22"/>
          <w:lang w:val="sr-Latn-ME"/>
        </w:rPr>
        <w:t>406±76 mg</w:t>
      </w:r>
      <w:r w:rsidRPr="00056CC9">
        <w:rPr>
          <w:color w:val="000000"/>
          <w:sz w:val="22"/>
          <w:szCs w:val="22"/>
          <w:lang w:val="sr-Latn-ME"/>
        </w:rPr>
        <w:t xml:space="preserve">. </w:t>
      </w:r>
      <w:r w:rsidRPr="00056CC9">
        <w:rPr>
          <w:bCs/>
          <w:sz w:val="22"/>
          <w:szCs w:val="22"/>
          <w:lang w:val="sr-Latn-ME"/>
        </w:rPr>
        <w:t xml:space="preserve">Primarni parametar efikasnosti u studiji je bilo preživljavanje bez progresije bolesti. </w:t>
      </w:r>
      <w:r w:rsidRPr="00056CC9">
        <w:rPr>
          <w:color w:val="000000"/>
          <w:sz w:val="22"/>
          <w:szCs w:val="22"/>
          <w:lang w:val="sr-Latn-ME"/>
        </w:rPr>
        <w:t xml:space="preserve">Progresija je definisana kao bilo koji od sljedećih događaja: progresija u ubrzanu fazu ili blastnu krizu, smrt, gubitak CHR ili MCyR, ili kod pacijenata koji nisu postigli CHR, povećanje broja WBC uprkos odgovarajućim terapijskim mjerama. Glavni citogenetski odgovor, hematološki odgovor, molekularni odgovor (procjena minimalne rezidualne bolesti), vrijeme do ubrzane faze ili blastne krize i preživljavanje su glavni sekundarni parametri praćenja. Podaci o odgovoru na terapiju prikazani su u </w:t>
      </w:r>
      <w:r w:rsidRPr="00056CC9">
        <w:rPr>
          <w:b/>
          <w:color w:val="000000"/>
          <w:sz w:val="22"/>
          <w:szCs w:val="22"/>
          <w:lang w:val="sr-Latn-ME"/>
        </w:rPr>
        <w:t>Tabeli 2.</w:t>
      </w:r>
    </w:p>
    <w:p w14:paraId="53EDCEB7" w14:textId="77777777" w:rsidR="005D1EF5" w:rsidRPr="00056CC9" w:rsidRDefault="005D1EF5" w:rsidP="00056CC9">
      <w:pPr>
        <w:tabs>
          <w:tab w:val="left" w:pos="540"/>
          <w:tab w:val="left" w:pos="569"/>
        </w:tabs>
        <w:jc w:val="both"/>
        <w:rPr>
          <w:b/>
          <w:color w:val="000000"/>
          <w:sz w:val="22"/>
          <w:szCs w:val="22"/>
          <w:lang w:val="sr-Latn-ME"/>
        </w:rPr>
      </w:pPr>
    </w:p>
    <w:p w14:paraId="652033EC" w14:textId="77777777" w:rsidR="005D1EF5" w:rsidRPr="00056CC9" w:rsidRDefault="005D1EF5" w:rsidP="007074BE">
      <w:pPr>
        <w:shd w:val="clear" w:color="auto" w:fill="FFFFFF"/>
        <w:jc w:val="both"/>
        <w:rPr>
          <w:b/>
          <w:bCs/>
          <w:color w:val="000000"/>
          <w:sz w:val="22"/>
          <w:szCs w:val="22"/>
          <w:lang w:val="sr-Latn-ME"/>
        </w:rPr>
      </w:pPr>
      <w:r w:rsidRPr="00056CC9">
        <w:rPr>
          <w:b/>
          <w:bCs/>
          <w:color w:val="000000"/>
          <w:sz w:val="22"/>
          <w:szCs w:val="22"/>
          <w:lang w:val="sr-Latn-ME"/>
        </w:rPr>
        <w:t xml:space="preserve">Tabela 2. Odgovor u studiji kod pacijenata sa novodijagnostikovanom CML  (podaci za </w:t>
      </w:r>
      <w:r w:rsidRPr="00056CC9">
        <w:rPr>
          <w:b/>
          <w:bCs/>
          <w:sz w:val="22"/>
          <w:szCs w:val="22"/>
          <w:lang w:val="sr-Latn-ME"/>
        </w:rPr>
        <w:t>84</w:t>
      </w:r>
      <w:r w:rsidRPr="00056CC9">
        <w:rPr>
          <w:b/>
          <w:bCs/>
          <w:color w:val="000000"/>
          <w:sz w:val="22"/>
          <w:szCs w:val="22"/>
          <w:lang w:val="sr-Latn-ME"/>
        </w:rPr>
        <w:t xml:space="preserve"> mjeseca)</w:t>
      </w:r>
    </w:p>
    <w:p w14:paraId="1F74BEBA" w14:textId="77777777" w:rsidR="005D1EF5" w:rsidRPr="00056CC9" w:rsidRDefault="005D1EF5" w:rsidP="00056CC9">
      <w:pPr>
        <w:shd w:val="clear" w:color="auto" w:fill="FFFFFF"/>
        <w:rPr>
          <w:b/>
          <w:bCs/>
          <w:color w:val="000000"/>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1"/>
        <w:gridCol w:w="2185"/>
        <w:gridCol w:w="225"/>
        <w:gridCol w:w="2881"/>
      </w:tblGrid>
      <w:tr w:rsidR="005D1EF5" w:rsidRPr="00056CC9" w14:paraId="3872B873" w14:textId="77777777" w:rsidTr="007074BE">
        <w:trPr>
          <w:trHeight w:val="98"/>
          <w:jc w:val="center"/>
        </w:trPr>
        <w:tc>
          <w:tcPr>
            <w:tcW w:w="3681" w:type="dxa"/>
            <w:tcBorders>
              <w:top w:val="single" w:sz="4" w:space="0" w:color="auto"/>
              <w:left w:val="single" w:sz="4" w:space="0" w:color="auto"/>
              <w:bottom w:val="nil"/>
              <w:right w:val="nil"/>
            </w:tcBorders>
          </w:tcPr>
          <w:p w14:paraId="5CC59ED0" w14:textId="77777777" w:rsidR="005D1EF5" w:rsidRPr="00056CC9" w:rsidRDefault="005D1EF5" w:rsidP="00056CC9">
            <w:pPr>
              <w:widowControl w:val="0"/>
              <w:autoSpaceDE w:val="0"/>
              <w:autoSpaceDN w:val="0"/>
              <w:adjustRightInd w:val="0"/>
              <w:ind w:right="-1"/>
              <w:rPr>
                <w:sz w:val="22"/>
                <w:szCs w:val="22"/>
                <w:lang w:val="sr-Latn-ME" w:eastAsia="sl-SI"/>
              </w:rPr>
            </w:pPr>
          </w:p>
        </w:tc>
        <w:tc>
          <w:tcPr>
            <w:tcW w:w="2410" w:type="dxa"/>
            <w:gridSpan w:val="2"/>
            <w:tcBorders>
              <w:top w:val="single" w:sz="4" w:space="0" w:color="auto"/>
              <w:left w:val="nil"/>
              <w:bottom w:val="nil"/>
              <w:right w:val="nil"/>
            </w:tcBorders>
            <w:hideMark/>
          </w:tcPr>
          <w:p w14:paraId="246A8913"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b/>
                <w:bCs/>
                <w:sz w:val="22"/>
                <w:szCs w:val="22"/>
                <w:lang w:val="sr-Latn-ME" w:eastAsia="sl-SI"/>
              </w:rPr>
              <w:t>Imatinib</w:t>
            </w:r>
          </w:p>
        </w:tc>
        <w:tc>
          <w:tcPr>
            <w:tcW w:w="2881" w:type="dxa"/>
            <w:tcBorders>
              <w:top w:val="single" w:sz="4" w:space="0" w:color="auto"/>
              <w:left w:val="nil"/>
              <w:bottom w:val="nil"/>
              <w:right w:val="single" w:sz="4" w:space="0" w:color="auto"/>
            </w:tcBorders>
            <w:hideMark/>
          </w:tcPr>
          <w:p w14:paraId="26196CE1"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b/>
                <w:bCs/>
                <w:sz w:val="22"/>
                <w:szCs w:val="22"/>
                <w:lang w:val="sr-Latn-ME" w:eastAsia="sl-SI"/>
              </w:rPr>
              <w:t>IFN+Ara-C</w:t>
            </w:r>
          </w:p>
        </w:tc>
      </w:tr>
      <w:tr w:rsidR="005D1EF5" w:rsidRPr="00056CC9" w14:paraId="76177277" w14:textId="77777777" w:rsidTr="007074BE">
        <w:trPr>
          <w:trHeight w:val="102"/>
          <w:jc w:val="center"/>
        </w:trPr>
        <w:tc>
          <w:tcPr>
            <w:tcW w:w="3681" w:type="dxa"/>
            <w:tcBorders>
              <w:top w:val="nil"/>
              <w:left w:val="single" w:sz="4" w:space="0" w:color="auto"/>
              <w:bottom w:val="single" w:sz="4" w:space="0" w:color="auto"/>
              <w:right w:val="nil"/>
            </w:tcBorders>
            <w:hideMark/>
          </w:tcPr>
          <w:p w14:paraId="241ADCE9" w14:textId="77777777" w:rsidR="005D1EF5" w:rsidRPr="00056CC9" w:rsidRDefault="005D1EF5" w:rsidP="00056CC9">
            <w:pPr>
              <w:widowControl w:val="0"/>
              <w:autoSpaceDE w:val="0"/>
              <w:autoSpaceDN w:val="0"/>
              <w:adjustRightInd w:val="0"/>
              <w:ind w:right="-1"/>
              <w:rPr>
                <w:sz w:val="22"/>
                <w:szCs w:val="22"/>
                <w:lang w:val="sr-Latn-ME" w:eastAsia="sl-SI"/>
              </w:rPr>
            </w:pPr>
            <w:r w:rsidRPr="00056CC9">
              <w:rPr>
                <w:b/>
                <w:bCs/>
                <w:sz w:val="22"/>
                <w:szCs w:val="22"/>
                <w:lang w:val="sr-Latn-ME" w:eastAsia="sl-SI"/>
              </w:rPr>
              <w:t xml:space="preserve">(Najbolje stope odgovora) </w:t>
            </w:r>
          </w:p>
        </w:tc>
        <w:tc>
          <w:tcPr>
            <w:tcW w:w="2410" w:type="dxa"/>
            <w:gridSpan w:val="2"/>
            <w:tcBorders>
              <w:top w:val="nil"/>
              <w:left w:val="nil"/>
              <w:bottom w:val="single" w:sz="4" w:space="0" w:color="auto"/>
              <w:right w:val="nil"/>
            </w:tcBorders>
            <w:hideMark/>
          </w:tcPr>
          <w:p w14:paraId="359994E9"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n=553</w:t>
            </w:r>
          </w:p>
        </w:tc>
        <w:tc>
          <w:tcPr>
            <w:tcW w:w="2881" w:type="dxa"/>
            <w:tcBorders>
              <w:top w:val="nil"/>
              <w:left w:val="nil"/>
              <w:bottom w:val="single" w:sz="4" w:space="0" w:color="auto"/>
              <w:right w:val="single" w:sz="4" w:space="0" w:color="auto"/>
            </w:tcBorders>
            <w:hideMark/>
          </w:tcPr>
          <w:p w14:paraId="5FF2864F"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n=553</w:t>
            </w:r>
          </w:p>
        </w:tc>
      </w:tr>
      <w:tr w:rsidR="005D1EF5" w:rsidRPr="00056CC9" w14:paraId="1F19B025" w14:textId="77777777" w:rsidTr="007074BE">
        <w:trPr>
          <w:trHeight w:val="98"/>
          <w:jc w:val="center"/>
        </w:trPr>
        <w:tc>
          <w:tcPr>
            <w:tcW w:w="8969" w:type="dxa"/>
            <w:gridSpan w:val="4"/>
            <w:tcBorders>
              <w:top w:val="single" w:sz="4" w:space="0" w:color="auto"/>
              <w:left w:val="single" w:sz="4" w:space="0" w:color="auto"/>
              <w:bottom w:val="nil"/>
              <w:right w:val="single" w:sz="4" w:space="0" w:color="auto"/>
            </w:tcBorders>
            <w:hideMark/>
          </w:tcPr>
          <w:p w14:paraId="7C8F4367" w14:textId="77777777" w:rsidR="005D1EF5" w:rsidRPr="00056CC9" w:rsidRDefault="005D1EF5" w:rsidP="00056CC9">
            <w:pPr>
              <w:widowControl w:val="0"/>
              <w:autoSpaceDE w:val="0"/>
              <w:autoSpaceDN w:val="0"/>
              <w:adjustRightInd w:val="0"/>
              <w:ind w:right="-1"/>
              <w:rPr>
                <w:b/>
                <w:bCs/>
                <w:sz w:val="22"/>
                <w:szCs w:val="22"/>
                <w:lang w:val="sr-Latn-ME" w:eastAsia="sl-SI"/>
              </w:rPr>
            </w:pPr>
            <w:r w:rsidRPr="00056CC9">
              <w:rPr>
                <w:b/>
                <w:bCs/>
                <w:sz w:val="22"/>
                <w:szCs w:val="22"/>
                <w:lang w:val="sr-Latn-ME" w:eastAsia="sl-SI"/>
              </w:rPr>
              <w:t>Hematološki odgovor</w:t>
            </w:r>
          </w:p>
        </w:tc>
      </w:tr>
      <w:tr w:rsidR="005D1EF5" w:rsidRPr="00056CC9" w14:paraId="2D795D03" w14:textId="77777777" w:rsidTr="007074BE">
        <w:trPr>
          <w:trHeight w:val="100"/>
          <w:jc w:val="center"/>
        </w:trPr>
        <w:tc>
          <w:tcPr>
            <w:tcW w:w="3681" w:type="dxa"/>
            <w:tcBorders>
              <w:top w:val="nil"/>
              <w:left w:val="single" w:sz="4" w:space="0" w:color="auto"/>
              <w:bottom w:val="nil"/>
              <w:right w:val="nil"/>
            </w:tcBorders>
            <w:hideMark/>
          </w:tcPr>
          <w:p w14:paraId="37873A4F" w14:textId="77777777" w:rsidR="005D1EF5" w:rsidRPr="00056CC9" w:rsidRDefault="005D1EF5" w:rsidP="00056CC9">
            <w:pPr>
              <w:widowControl w:val="0"/>
              <w:autoSpaceDE w:val="0"/>
              <w:autoSpaceDN w:val="0"/>
              <w:adjustRightInd w:val="0"/>
              <w:ind w:right="-1"/>
              <w:rPr>
                <w:sz w:val="22"/>
                <w:szCs w:val="22"/>
                <w:lang w:val="sr-Latn-ME" w:eastAsia="sl-SI"/>
              </w:rPr>
            </w:pPr>
            <w:r w:rsidRPr="00056CC9">
              <w:rPr>
                <w:sz w:val="22"/>
                <w:szCs w:val="22"/>
                <w:lang w:val="sr-Latn-ME" w:eastAsia="sl-SI"/>
              </w:rPr>
              <w:t xml:space="preserve">CHR stopa n (%) </w:t>
            </w:r>
          </w:p>
        </w:tc>
        <w:tc>
          <w:tcPr>
            <w:tcW w:w="2185" w:type="dxa"/>
            <w:tcBorders>
              <w:top w:val="nil"/>
              <w:left w:val="nil"/>
              <w:bottom w:val="nil"/>
              <w:right w:val="nil"/>
            </w:tcBorders>
            <w:hideMark/>
          </w:tcPr>
          <w:p w14:paraId="59D4AB62"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534 (96,6%)*</w:t>
            </w:r>
          </w:p>
        </w:tc>
        <w:tc>
          <w:tcPr>
            <w:tcW w:w="3103" w:type="dxa"/>
            <w:gridSpan w:val="2"/>
            <w:tcBorders>
              <w:top w:val="nil"/>
              <w:left w:val="nil"/>
              <w:bottom w:val="nil"/>
              <w:right w:val="single" w:sz="4" w:space="0" w:color="auto"/>
            </w:tcBorders>
            <w:hideMark/>
          </w:tcPr>
          <w:p w14:paraId="4EBFC1C4"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313 (56,6%)*</w:t>
            </w:r>
          </w:p>
        </w:tc>
      </w:tr>
      <w:tr w:rsidR="005D1EF5" w:rsidRPr="00056CC9" w14:paraId="2580FF7D" w14:textId="77777777" w:rsidTr="007074BE">
        <w:trPr>
          <w:trHeight w:val="100"/>
          <w:jc w:val="center"/>
        </w:trPr>
        <w:tc>
          <w:tcPr>
            <w:tcW w:w="3681" w:type="dxa"/>
            <w:tcBorders>
              <w:top w:val="nil"/>
              <w:left w:val="single" w:sz="4" w:space="0" w:color="auto"/>
              <w:bottom w:val="nil"/>
              <w:right w:val="nil"/>
            </w:tcBorders>
          </w:tcPr>
          <w:p w14:paraId="23F209A5" w14:textId="77777777" w:rsidR="005D1EF5" w:rsidRPr="00056CC9" w:rsidRDefault="005D1EF5" w:rsidP="00056CC9">
            <w:pPr>
              <w:widowControl w:val="0"/>
              <w:autoSpaceDE w:val="0"/>
              <w:autoSpaceDN w:val="0"/>
              <w:adjustRightInd w:val="0"/>
              <w:ind w:right="-1"/>
              <w:rPr>
                <w:sz w:val="22"/>
                <w:szCs w:val="22"/>
                <w:lang w:val="sr-Latn-ME" w:eastAsia="sl-SI"/>
              </w:rPr>
            </w:pPr>
            <w:r w:rsidRPr="00056CC9">
              <w:rPr>
                <w:sz w:val="22"/>
                <w:szCs w:val="22"/>
                <w:lang w:val="sr-Latn-ME" w:eastAsia="sl-SI"/>
              </w:rPr>
              <w:t>[95% CI]</w:t>
            </w:r>
          </w:p>
          <w:p w14:paraId="1768B258" w14:textId="77777777" w:rsidR="005D1EF5" w:rsidRPr="00056CC9" w:rsidRDefault="005D1EF5" w:rsidP="00056CC9">
            <w:pPr>
              <w:widowControl w:val="0"/>
              <w:autoSpaceDE w:val="0"/>
              <w:autoSpaceDN w:val="0"/>
              <w:adjustRightInd w:val="0"/>
              <w:ind w:right="-1"/>
              <w:rPr>
                <w:sz w:val="22"/>
                <w:szCs w:val="22"/>
                <w:lang w:val="sr-Latn-ME" w:eastAsia="sl-SI"/>
              </w:rPr>
            </w:pPr>
          </w:p>
        </w:tc>
        <w:tc>
          <w:tcPr>
            <w:tcW w:w="2185" w:type="dxa"/>
            <w:tcBorders>
              <w:top w:val="nil"/>
              <w:left w:val="nil"/>
              <w:bottom w:val="nil"/>
              <w:right w:val="nil"/>
            </w:tcBorders>
            <w:hideMark/>
          </w:tcPr>
          <w:p w14:paraId="268EA4AD"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[94,7%, 97,9%]</w:t>
            </w:r>
          </w:p>
        </w:tc>
        <w:tc>
          <w:tcPr>
            <w:tcW w:w="3103" w:type="dxa"/>
            <w:gridSpan w:val="2"/>
            <w:tcBorders>
              <w:top w:val="nil"/>
              <w:left w:val="nil"/>
              <w:bottom w:val="nil"/>
              <w:right w:val="single" w:sz="4" w:space="0" w:color="auto"/>
            </w:tcBorders>
            <w:hideMark/>
          </w:tcPr>
          <w:p w14:paraId="495037FF"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[52,4%, 60,8%]</w:t>
            </w:r>
          </w:p>
        </w:tc>
      </w:tr>
      <w:tr w:rsidR="005D1EF5" w:rsidRPr="00056CC9" w14:paraId="13A37329" w14:textId="77777777" w:rsidTr="007074BE">
        <w:trPr>
          <w:trHeight w:val="98"/>
          <w:jc w:val="center"/>
        </w:trPr>
        <w:tc>
          <w:tcPr>
            <w:tcW w:w="8969" w:type="dxa"/>
            <w:gridSpan w:val="4"/>
            <w:tcBorders>
              <w:top w:val="nil"/>
              <w:left w:val="single" w:sz="4" w:space="0" w:color="auto"/>
              <w:bottom w:val="nil"/>
              <w:right w:val="single" w:sz="4" w:space="0" w:color="auto"/>
            </w:tcBorders>
            <w:hideMark/>
          </w:tcPr>
          <w:p w14:paraId="60D62DAF" w14:textId="77777777" w:rsidR="005D1EF5" w:rsidRPr="00056CC9" w:rsidRDefault="005D1EF5" w:rsidP="00056CC9">
            <w:pPr>
              <w:widowControl w:val="0"/>
              <w:autoSpaceDE w:val="0"/>
              <w:autoSpaceDN w:val="0"/>
              <w:adjustRightInd w:val="0"/>
              <w:ind w:right="-1"/>
              <w:rPr>
                <w:b/>
                <w:bCs/>
                <w:sz w:val="22"/>
                <w:szCs w:val="22"/>
                <w:lang w:val="sr-Latn-ME" w:eastAsia="sl-SI"/>
              </w:rPr>
            </w:pPr>
            <w:r w:rsidRPr="00056CC9">
              <w:rPr>
                <w:b/>
                <w:bCs/>
                <w:sz w:val="22"/>
                <w:szCs w:val="22"/>
                <w:lang w:val="sr-Latn-ME" w:eastAsia="sl-SI"/>
              </w:rPr>
              <w:t>Citogenetski odgovor</w:t>
            </w:r>
          </w:p>
        </w:tc>
      </w:tr>
      <w:tr w:rsidR="005D1EF5" w:rsidRPr="00056CC9" w14:paraId="702A39F2" w14:textId="77777777" w:rsidTr="007074BE">
        <w:trPr>
          <w:trHeight w:val="100"/>
          <w:jc w:val="center"/>
        </w:trPr>
        <w:tc>
          <w:tcPr>
            <w:tcW w:w="3681" w:type="dxa"/>
            <w:tcBorders>
              <w:top w:val="nil"/>
              <w:left w:val="single" w:sz="4" w:space="0" w:color="auto"/>
              <w:bottom w:val="nil"/>
              <w:right w:val="nil"/>
            </w:tcBorders>
            <w:hideMark/>
          </w:tcPr>
          <w:p w14:paraId="0085A48B" w14:textId="77777777" w:rsidR="005D1EF5" w:rsidRPr="00056CC9" w:rsidRDefault="005D1EF5" w:rsidP="00056CC9">
            <w:pPr>
              <w:widowControl w:val="0"/>
              <w:autoSpaceDE w:val="0"/>
              <w:autoSpaceDN w:val="0"/>
              <w:adjustRightInd w:val="0"/>
              <w:ind w:right="-1"/>
              <w:rPr>
                <w:sz w:val="22"/>
                <w:szCs w:val="22"/>
                <w:lang w:val="sr-Latn-ME" w:eastAsia="sl-SI"/>
              </w:rPr>
            </w:pPr>
            <w:r w:rsidRPr="00056CC9">
              <w:rPr>
                <w:sz w:val="22"/>
                <w:szCs w:val="22"/>
                <w:lang w:val="sr-Latn-ME" w:eastAsia="sl-SI"/>
              </w:rPr>
              <w:t xml:space="preserve">Glavni odgovor n (%) </w:t>
            </w:r>
          </w:p>
        </w:tc>
        <w:tc>
          <w:tcPr>
            <w:tcW w:w="2185" w:type="dxa"/>
            <w:tcBorders>
              <w:top w:val="nil"/>
              <w:left w:val="nil"/>
              <w:bottom w:val="nil"/>
              <w:right w:val="nil"/>
            </w:tcBorders>
            <w:hideMark/>
          </w:tcPr>
          <w:p w14:paraId="22062843"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490 (88,6%)*</w:t>
            </w:r>
          </w:p>
        </w:tc>
        <w:tc>
          <w:tcPr>
            <w:tcW w:w="3103" w:type="dxa"/>
            <w:gridSpan w:val="2"/>
            <w:tcBorders>
              <w:top w:val="nil"/>
              <w:left w:val="nil"/>
              <w:bottom w:val="nil"/>
              <w:right w:val="single" w:sz="4" w:space="0" w:color="auto"/>
            </w:tcBorders>
            <w:hideMark/>
          </w:tcPr>
          <w:p w14:paraId="61435BEB"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129 (23,3%)*</w:t>
            </w:r>
          </w:p>
        </w:tc>
      </w:tr>
      <w:tr w:rsidR="005D1EF5" w:rsidRPr="00056CC9" w14:paraId="7DE57822" w14:textId="77777777" w:rsidTr="007074BE">
        <w:trPr>
          <w:trHeight w:val="100"/>
          <w:jc w:val="center"/>
        </w:trPr>
        <w:tc>
          <w:tcPr>
            <w:tcW w:w="3681" w:type="dxa"/>
            <w:tcBorders>
              <w:top w:val="nil"/>
              <w:left w:val="single" w:sz="4" w:space="0" w:color="auto"/>
              <w:bottom w:val="nil"/>
              <w:right w:val="nil"/>
            </w:tcBorders>
            <w:hideMark/>
          </w:tcPr>
          <w:p w14:paraId="1EFDECE8" w14:textId="77777777" w:rsidR="005D1EF5" w:rsidRPr="00056CC9" w:rsidRDefault="005D1EF5" w:rsidP="00056CC9">
            <w:pPr>
              <w:widowControl w:val="0"/>
              <w:autoSpaceDE w:val="0"/>
              <w:autoSpaceDN w:val="0"/>
              <w:adjustRightInd w:val="0"/>
              <w:ind w:right="-1"/>
              <w:rPr>
                <w:sz w:val="22"/>
                <w:szCs w:val="22"/>
                <w:lang w:val="sr-Latn-ME" w:eastAsia="sl-SI"/>
              </w:rPr>
            </w:pPr>
            <w:r w:rsidRPr="00056CC9">
              <w:rPr>
                <w:sz w:val="22"/>
                <w:szCs w:val="22"/>
                <w:lang w:val="sr-Latn-ME" w:eastAsia="sl-SI"/>
              </w:rPr>
              <w:t xml:space="preserve">[95% CI] </w:t>
            </w:r>
          </w:p>
        </w:tc>
        <w:tc>
          <w:tcPr>
            <w:tcW w:w="2185" w:type="dxa"/>
            <w:tcBorders>
              <w:top w:val="nil"/>
              <w:left w:val="nil"/>
              <w:bottom w:val="nil"/>
              <w:right w:val="nil"/>
            </w:tcBorders>
            <w:hideMark/>
          </w:tcPr>
          <w:p w14:paraId="0E763AA7"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[85,7%, 91,1%]</w:t>
            </w:r>
          </w:p>
        </w:tc>
        <w:tc>
          <w:tcPr>
            <w:tcW w:w="3103" w:type="dxa"/>
            <w:gridSpan w:val="2"/>
            <w:tcBorders>
              <w:top w:val="nil"/>
              <w:left w:val="nil"/>
              <w:bottom w:val="nil"/>
              <w:right w:val="single" w:sz="4" w:space="0" w:color="auto"/>
            </w:tcBorders>
            <w:hideMark/>
          </w:tcPr>
          <w:p w14:paraId="68B4DF40"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[19,9%, 27,1%]</w:t>
            </w:r>
          </w:p>
        </w:tc>
      </w:tr>
      <w:tr w:rsidR="005D1EF5" w:rsidRPr="00056CC9" w14:paraId="56AAC466" w14:textId="77777777" w:rsidTr="007074BE">
        <w:trPr>
          <w:trHeight w:val="100"/>
          <w:jc w:val="center"/>
        </w:trPr>
        <w:tc>
          <w:tcPr>
            <w:tcW w:w="3681" w:type="dxa"/>
            <w:tcBorders>
              <w:top w:val="nil"/>
              <w:left w:val="single" w:sz="4" w:space="0" w:color="auto"/>
              <w:bottom w:val="nil"/>
              <w:right w:val="nil"/>
            </w:tcBorders>
            <w:hideMark/>
          </w:tcPr>
          <w:p w14:paraId="673EA10B" w14:textId="77777777" w:rsidR="005D1EF5" w:rsidRPr="00056CC9" w:rsidRDefault="005D1EF5" w:rsidP="00056CC9">
            <w:pPr>
              <w:widowControl w:val="0"/>
              <w:autoSpaceDE w:val="0"/>
              <w:autoSpaceDN w:val="0"/>
              <w:adjustRightInd w:val="0"/>
              <w:ind w:right="-1"/>
              <w:rPr>
                <w:sz w:val="22"/>
                <w:szCs w:val="22"/>
                <w:lang w:val="sr-Latn-ME" w:eastAsia="sl-SI"/>
              </w:rPr>
            </w:pPr>
            <w:r w:rsidRPr="00056CC9">
              <w:rPr>
                <w:sz w:val="22"/>
                <w:szCs w:val="22"/>
                <w:lang w:val="sr-Latn-ME" w:eastAsia="sl-SI"/>
              </w:rPr>
              <w:t xml:space="preserve">Potpuni citogenetski odgovor n (%) </w:t>
            </w:r>
          </w:p>
        </w:tc>
        <w:tc>
          <w:tcPr>
            <w:tcW w:w="2185" w:type="dxa"/>
            <w:tcBorders>
              <w:top w:val="nil"/>
              <w:left w:val="nil"/>
              <w:bottom w:val="nil"/>
              <w:right w:val="nil"/>
            </w:tcBorders>
            <w:hideMark/>
          </w:tcPr>
          <w:p w14:paraId="68B50407"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456 (82,5%)*</w:t>
            </w:r>
          </w:p>
        </w:tc>
        <w:tc>
          <w:tcPr>
            <w:tcW w:w="3103" w:type="dxa"/>
            <w:gridSpan w:val="2"/>
            <w:tcBorders>
              <w:top w:val="nil"/>
              <w:left w:val="nil"/>
              <w:bottom w:val="nil"/>
              <w:right w:val="single" w:sz="4" w:space="0" w:color="auto"/>
            </w:tcBorders>
            <w:hideMark/>
          </w:tcPr>
          <w:p w14:paraId="03686301"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64 (11,6%)*</w:t>
            </w:r>
          </w:p>
        </w:tc>
      </w:tr>
      <w:tr w:rsidR="005D1EF5" w:rsidRPr="00056CC9" w14:paraId="0FF91758" w14:textId="77777777" w:rsidTr="007074BE">
        <w:trPr>
          <w:trHeight w:val="100"/>
          <w:jc w:val="center"/>
        </w:trPr>
        <w:tc>
          <w:tcPr>
            <w:tcW w:w="3681" w:type="dxa"/>
            <w:tcBorders>
              <w:top w:val="nil"/>
              <w:left w:val="single" w:sz="4" w:space="0" w:color="auto"/>
              <w:bottom w:val="nil"/>
              <w:right w:val="nil"/>
            </w:tcBorders>
            <w:hideMark/>
          </w:tcPr>
          <w:p w14:paraId="703D6F3E" w14:textId="77777777" w:rsidR="005D1EF5" w:rsidRPr="00056CC9" w:rsidRDefault="005D1EF5" w:rsidP="00056CC9">
            <w:pPr>
              <w:widowControl w:val="0"/>
              <w:autoSpaceDE w:val="0"/>
              <w:autoSpaceDN w:val="0"/>
              <w:adjustRightInd w:val="0"/>
              <w:ind w:right="-1"/>
              <w:rPr>
                <w:sz w:val="22"/>
                <w:szCs w:val="22"/>
                <w:lang w:val="sr-Latn-ME" w:eastAsia="sl-SI"/>
              </w:rPr>
            </w:pPr>
            <w:r w:rsidRPr="00056CC9">
              <w:rPr>
                <w:sz w:val="22"/>
                <w:szCs w:val="22"/>
                <w:lang w:val="sr-Latn-ME" w:eastAsia="sl-SI"/>
              </w:rPr>
              <w:t>Parcijalnii citogenetski odgovor n (%)</w:t>
            </w:r>
          </w:p>
          <w:p w14:paraId="7FE196D4" w14:textId="77777777" w:rsidR="005D1EF5" w:rsidRPr="00056CC9" w:rsidRDefault="005D1EF5" w:rsidP="00056CC9">
            <w:pPr>
              <w:widowControl w:val="0"/>
              <w:autoSpaceDE w:val="0"/>
              <w:autoSpaceDN w:val="0"/>
              <w:adjustRightInd w:val="0"/>
              <w:ind w:right="-1"/>
              <w:rPr>
                <w:sz w:val="22"/>
                <w:szCs w:val="22"/>
                <w:lang w:val="sr-Latn-ME" w:eastAsia="sl-SI"/>
              </w:rPr>
            </w:pPr>
          </w:p>
        </w:tc>
        <w:tc>
          <w:tcPr>
            <w:tcW w:w="2185" w:type="dxa"/>
            <w:tcBorders>
              <w:top w:val="nil"/>
              <w:left w:val="nil"/>
              <w:bottom w:val="nil"/>
              <w:right w:val="nil"/>
            </w:tcBorders>
            <w:hideMark/>
          </w:tcPr>
          <w:p w14:paraId="0C644638"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34 (6,1%)</w:t>
            </w:r>
          </w:p>
        </w:tc>
        <w:tc>
          <w:tcPr>
            <w:tcW w:w="3103" w:type="dxa"/>
            <w:gridSpan w:val="2"/>
            <w:tcBorders>
              <w:top w:val="nil"/>
              <w:left w:val="nil"/>
              <w:bottom w:val="nil"/>
              <w:right w:val="single" w:sz="4" w:space="0" w:color="auto"/>
            </w:tcBorders>
            <w:hideMark/>
          </w:tcPr>
          <w:p w14:paraId="7DE687EA"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65 (11,8%)</w:t>
            </w:r>
          </w:p>
        </w:tc>
      </w:tr>
      <w:tr w:rsidR="005D1EF5" w:rsidRPr="00056CC9" w14:paraId="64AE6E1E" w14:textId="77777777" w:rsidTr="007074BE">
        <w:trPr>
          <w:trHeight w:val="100"/>
          <w:jc w:val="center"/>
        </w:trPr>
        <w:tc>
          <w:tcPr>
            <w:tcW w:w="8969" w:type="dxa"/>
            <w:gridSpan w:val="4"/>
            <w:tcBorders>
              <w:top w:val="nil"/>
              <w:left w:val="single" w:sz="4" w:space="0" w:color="auto"/>
              <w:bottom w:val="nil"/>
              <w:right w:val="single" w:sz="4" w:space="0" w:color="auto"/>
            </w:tcBorders>
            <w:hideMark/>
          </w:tcPr>
          <w:p w14:paraId="62013DD8" w14:textId="77777777" w:rsidR="005D1EF5" w:rsidRPr="00056CC9" w:rsidRDefault="005D1EF5" w:rsidP="00056CC9">
            <w:pPr>
              <w:widowControl w:val="0"/>
              <w:autoSpaceDE w:val="0"/>
              <w:autoSpaceDN w:val="0"/>
              <w:adjustRightInd w:val="0"/>
              <w:ind w:right="-1"/>
              <w:rPr>
                <w:sz w:val="22"/>
                <w:szCs w:val="22"/>
                <w:lang w:val="sr-Latn-ME" w:eastAsia="sl-SI"/>
              </w:rPr>
            </w:pPr>
            <w:r w:rsidRPr="00056CC9">
              <w:rPr>
                <w:b/>
                <w:bCs/>
                <w:sz w:val="22"/>
                <w:szCs w:val="22"/>
                <w:lang w:val="sr-Latn-ME" w:eastAsia="sl-SI"/>
              </w:rPr>
              <w:t>Molekularni odgovor **</w:t>
            </w:r>
          </w:p>
        </w:tc>
      </w:tr>
      <w:tr w:rsidR="005D1EF5" w:rsidRPr="00056CC9" w14:paraId="22A8655F" w14:textId="77777777" w:rsidTr="007074BE">
        <w:trPr>
          <w:trHeight w:val="100"/>
          <w:jc w:val="center"/>
        </w:trPr>
        <w:tc>
          <w:tcPr>
            <w:tcW w:w="3681" w:type="dxa"/>
            <w:tcBorders>
              <w:top w:val="nil"/>
              <w:left w:val="single" w:sz="4" w:space="0" w:color="auto"/>
              <w:bottom w:val="nil"/>
              <w:right w:val="nil"/>
            </w:tcBorders>
            <w:hideMark/>
          </w:tcPr>
          <w:p w14:paraId="12C36F42" w14:textId="77777777" w:rsidR="005D1EF5" w:rsidRPr="00056CC9" w:rsidRDefault="005D1EF5" w:rsidP="00056CC9">
            <w:pPr>
              <w:widowControl w:val="0"/>
              <w:autoSpaceDE w:val="0"/>
              <w:autoSpaceDN w:val="0"/>
              <w:adjustRightInd w:val="0"/>
              <w:ind w:right="-1"/>
              <w:rPr>
                <w:sz w:val="22"/>
                <w:szCs w:val="22"/>
                <w:lang w:val="sr-Latn-ME" w:eastAsia="sl-SI"/>
              </w:rPr>
            </w:pPr>
            <w:r w:rsidRPr="00056CC9">
              <w:rPr>
                <w:sz w:val="22"/>
                <w:szCs w:val="22"/>
                <w:lang w:val="sr-Latn-ME" w:eastAsia="sl-SI"/>
              </w:rPr>
              <w:t xml:space="preserve">Veliki odgovor nakon 12 mjeseci (%) </w:t>
            </w:r>
          </w:p>
        </w:tc>
        <w:tc>
          <w:tcPr>
            <w:tcW w:w="2185" w:type="dxa"/>
            <w:tcBorders>
              <w:top w:val="nil"/>
              <w:left w:val="nil"/>
              <w:bottom w:val="nil"/>
              <w:right w:val="nil"/>
            </w:tcBorders>
            <w:hideMark/>
          </w:tcPr>
          <w:p w14:paraId="6E900234"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153/305=50,2%</w:t>
            </w:r>
          </w:p>
        </w:tc>
        <w:tc>
          <w:tcPr>
            <w:tcW w:w="3103" w:type="dxa"/>
            <w:gridSpan w:val="2"/>
            <w:tcBorders>
              <w:top w:val="nil"/>
              <w:left w:val="nil"/>
              <w:bottom w:val="nil"/>
              <w:right w:val="single" w:sz="4" w:space="0" w:color="auto"/>
            </w:tcBorders>
            <w:hideMark/>
          </w:tcPr>
          <w:p w14:paraId="25B16CD1"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8/83=9,6%</w:t>
            </w:r>
          </w:p>
        </w:tc>
      </w:tr>
      <w:tr w:rsidR="005D1EF5" w:rsidRPr="00056CC9" w14:paraId="13F5F5E9" w14:textId="77777777" w:rsidTr="007074BE">
        <w:trPr>
          <w:trHeight w:val="100"/>
          <w:jc w:val="center"/>
        </w:trPr>
        <w:tc>
          <w:tcPr>
            <w:tcW w:w="3681" w:type="dxa"/>
            <w:tcBorders>
              <w:top w:val="nil"/>
              <w:left w:val="single" w:sz="4" w:space="0" w:color="auto"/>
              <w:bottom w:val="nil"/>
              <w:right w:val="nil"/>
            </w:tcBorders>
            <w:hideMark/>
          </w:tcPr>
          <w:p w14:paraId="3145A004" w14:textId="77777777" w:rsidR="005D1EF5" w:rsidRPr="00056CC9" w:rsidRDefault="005D1EF5" w:rsidP="00056CC9">
            <w:pPr>
              <w:widowControl w:val="0"/>
              <w:autoSpaceDE w:val="0"/>
              <w:autoSpaceDN w:val="0"/>
              <w:adjustRightInd w:val="0"/>
              <w:ind w:right="-1"/>
              <w:rPr>
                <w:sz w:val="22"/>
                <w:szCs w:val="22"/>
                <w:lang w:val="sr-Latn-ME" w:eastAsia="sl-SI"/>
              </w:rPr>
            </w:pPr>
            <w:r w:rsidRPr="00056CC9">
              <w:rPr>
                <w:sz w:val="22"/>
                <w:szCs w:val="22"/>
                <w:lang w:val="sr-Latn-ME" w:eastAsia="sl-SI"/>
              </w:rPr>
              <w:t xml:space="preserve">Veliki odgovor nakon 24 mjeseca (%) </w:t>
            </w:r>
          </w:p>
        </w:tc>
        <w:tc>
          <w:tcPr>
            <w:tcW w:w="2185" w:type="dxa"/>
            <w:tcBorders>
              <w:top w:val="nil"/>
              <w:left w:val="nil"/>
              <w:bottom w:val="nil"/>
              <w:right w:val="nil"/>
            </w:tcBorders>
            <w:hideMark/>
          </w:tcPr>
          <w:p w14:paraId="57187D43"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73/104=70,2%</w:t>
            </w:r>
          </w:p>
        </w:tc>
        <w:tc>
          <w:tcPr>
            <w:tcW w:w="3103" w:type="dxa"/>
            <w:gridSpan w:val="2"/>
            <w:tcBorders>
              <w:top w:val="nil"/>
              <w:left w:val="nil"/>
              <w:bottom w:val="nil"/>
              <w:right w:val="single" w:sz="4" w:space="0" w:color="auto"/>
            </w:tcBorders>
            <w:hideMark/>
          </w:tcPr>
          <w:p w14:paraId="618A5BF0"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3/12=25%</w:t>
            </w:r>
          </w:p>
        </w:tc>
      </w:tr>
      <w:tr w:rsidR="005D1EF5" w:rsidRPr="00056CC9" w14:paraId="1508AD2A" w14:textId="77777777" w:rsidTr="007074BE">
        <w:trPr>
          <w:trHeight w:val="100"/>
          <w:jc w:val="center"/>
        </w:trPr>
        <w:tc>
          <w:tcPr>
            <w:tcW w:w="3681" w:type="dxa"/>
            <w:tcBorders>
              <w:top w:val="nil"/>
              <w:left w:val="single" w:sz="4" w:space="0" w:color="auto"/>
              <w:bottom w:val="single" w:sz="4" w:space="0" w:color="auto"/>
              <w:right w:val="nil"/>
            </w:tcBorders>
            <w:hideMark/>
          </w:tcPr>
          <w:p w14:paraId="5DE79873" w14:textId="77777777" w:rsidR="005D1EF5" w:rsidRPr="00056CC9" w:rsidRDefault="005D1EF5" w:rsidP="00056CC9">
            <w:pPr>
              <w:widowControl w:val="0"/>
              <w:autoSpaceDE w:val="0"/>
              <w:autoSpaceDN w:val="0"/>
              <w:adjustRightInd w:val="0"/>
              <w:ind w:right="-1"/>
              <w:rPr>
                <w:sz w:val="22"/>
                <w:szCs w:val="22"/>
                <w:lang w:val="sr-Latn-ME" w:eastAsia="sl-SI"/>
              </w:rPr>
            </w:pPr>
            <w:r w:rsidRPr="00056CC9">
              <w:rPr>
                <w:sz w:val="22"/>
                <w:szCs w:val="22"/>
                <w:lang w:val="sr-Latn-ME" w:eastAsia="sl-SI"/>
              </w:rPr>
              <w:t xml:space="preserve">Veliki odgovor nakon 84 mjeseca (%) </w:t>
            </w:r>
          </w:p>
        </w:tc>
        <w:tc>
          <w:tcPr>
            <w:tcW w:w="2185" w:type="dxa"/>
            <w:tcBorders>
              <w:top w:val="nil"/>
              <w:left w:val="nil"/>
              <w:bottom w:val="single" w:sz="4" w:space="0" w:color="auto"/>
              <w:right w:val="nil"/>
            </w:tcBorders>
            <w:hideMark/>
          </w:tcPr>
          <w:p w14:paraId="18D06572"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102/116=87,9%</w:t>
            </w:r>
          </w:p>
        </w:tc>
        <w:tc>
          <w:tcPr>
            <w:tcW w:w="3103" w:type="dxa"/>
            <w:gridSpan w:val="2"/>
            <w:tcBorders>
              <w:top w:val="nil"/>
              <w:left w:val="nil"/>
              <w:bottom w:val="single" w:sz="4" w:space="0" w:color="auto"/>
              <w:right w:val="single" w:sz="4" w:space="0" w:color="auto"/>
            </w:tcBorders>
            <w:hideMark/>
          </w:tcPr>
          <w:p w14:paraId="0DD08EF3" w14:textId="77777777" w:rsidR="005D1EF5" w:rsidRPr="00056CC9" w:rsidRDefault="005D1EF5" w:rsidP="007074BE">
            <w:pPr>
              <w:widowControl w:val="0"/>
              <w:autoSpaceDE w:val="0"/>
              <w:autoSpaceDN w:val="0"/>
              <w:adjustRightInd w:val="0"/>
              <w:ind w:right="-1"/>
              <w:jc w:val="center"/>
              <w:rPr>
                <w:sz w:val="22"/>
                <w:szCs w:val="22"/>
                <w:lang w:val="sr-Latn-ME" w:eastAsia="sl-SI"/>
              </w:rPr>
            </w:pPr>
            <w:r w:rsidRPr="00056CC9">
              <w:rPr>
                <w:sz w:val="22"/>
                <w:szCs w:val="22"/>
                <w:lang w:val="sr-Latn-ME" w:eastAsia="sl-SI"/>
              </w:rPr>
              <w:t>3/4=75%</w:t>
            </w:r>
          </w:p>
        </w:tc>
      </w:tr>
      <w:tr w:rsidR="005D1EF5" w:rsidRPr="00056CC9" w14:paraId="3F41C9BF" w14:textId="77777777" w:rsidTr="007074BE">
        <w:trPr>
          <w:trHeight w:val="785"/>
          <w:jc w:val="center"/>
        </w:trPr>
        <w:tc>
          <w:tcPr>
            <w:tcW w:w="8969" w:type="dxa"/>
            <w:gridSpan w:val="4"/>
            <w:tcBorders>
              <w:top w:val="single" w:sz="4" w:space="0" w:color="auto"/>
              <w:left w:val="single" w:sz="4" w:space="0" w:color="auto"/>
              <w:bottom w:val="single" w:sz="4" w:space="0" w:color="auto"/>
              <w:right w:val="single" w:sz="4" w:space="0" w:color="auto"/>
            </w:tcBorders>
            <w:hideMark/>
          </w:tcPr>
          <w:p w14:paraId="08E7D02B" w14:textId="77777777" w:rsidR="005D1EF5" w:rsidRPr="00056CC9" w:rsidRDefault="005D1EF5" w:rsidP="00056CC9">
            <w:pPr>
              <w:widowControl w:val="0"/>
              <w:autoSpaceDE w:val="0"/>
              <w:autoSpaceDN w:val="0"/>
              <w:adjustRightInd w:val="0"/>
              <w:ind w:right="-1"/>
              <w:rPr>
                <w:sz w:val="22"/>
                <w:szCs w:val="22"/>
                <w:lang w:val="sr-Latn-ME" w:eastAsia="sl-SI"/>
              </w:rPr>
            </w:pPr>
          </w:p>
          <w:p w14:paraId="4029C608" w14:textId="77777777" w:rsidR="005D1EF5" w:rsidRPr="00056CC9" w:rsidRDefault="005D1EF5" w:rsidP="00056CC9">
            <w:pPr>
              <w:widowControl w:val="0"/>
              <w:autoSpaceDE w:val="0"/>
              <w:autoSpaceDN w:val="0"/>
              <w:adjustRightInd w:val="0"/>
              <w:ind w:right="-1"/>
              <w:jc w:val="both"/>
              <w:rPr>
                <w:sz w:val="22"/>
                <w:szCs w:val="22"/>
                <w:lang w:val="sr-Latn-ME" w:eastAsia="sl-SI"/>
              </w:rPr>
            </w:pPr>
            <w:r w:rsidRPr="00056CC9">
              <w:rPr>
                <w:sz w:val="22"/>
                <w:szCs w:val="22"/>
                <w:lang w:val="sr-Latn-ME" w:eastAsia="sl-SI"/>
              </w:rPr>
              <w:t xml:space="preserve">*p &lt; 0,001, Fischer-ov egzaktni test </w:t>
            </w:r>
          </w:p>
          <w:p w14:paraId="1D9EF487" w14:textId="77777777" w:rsidR="005D1EF5" w:rsidRPr="00056CC9" w:rsidRDefault="005D1EF5" w:rsidP="00056CC9">
            <w:pPr>
              <w:widowControl w:val="0"/>
              <w:autoSpaceDE w:val="0"/>
              <w:autoSpaceDN w:val="0"/>
              <w:adjustRightInd w:val="0"/>
              <w:ind w:right="-1"/>
              <w:jc w:val="both"/>
              <w:rPr>
                <w:sz w:val="22"/>
                <w:szCs w:val="22"/>
                <w:lang w:val="sr-Latn-ME" w:eastAsia="sl-SI"/>
              </w:rPr>
            </w:pPr>
            <w:r w:rsidRPr="00056CC9">
              <w:rPr>
                <w:sz w:val="22"/>
                <w:szCs w:val="22"/>
                <w:lang w:val="sr-Latn-ME" w:eastAsia="sl-SI"/>
              </w:rPr>
              <w:t xml:space="preserve">**procenti molekularnog odgovora zasnovani na dostupnim uzorcima </w:t>
            </w:r>
          </w:p>
          <w:p w14:paraId="7617ADCA" w14:textId="77777777" w:rsidR="005D1EF5" w:rsidRPr="00056CC9" w:rsidRDefault="005D1EF5" w:rsidP="00056CC9">
            <w:pPr>
              <w:widowControl w:val="0"/>
              <w:autoSpaceDE w:val="0"/>
              <w:autoSpaceDN w:val="0"/>
              <w:adjustRightInd w:val="0"/>
              <w:ind w:right="-1"/>
              <w:jc w:val="both"/>
              <w:rPr>
                <w:sz w:val="22"/>
                <w:szCs w:val="22"/>
                <w:lang w:val="sr-Latn-ME" w:eastAsia="sl-SI"/>
              </w:rPr>
            </w:pPr>
            <w:r w:rsidRPr="00056CC9">
              <w:rPr>
                <w:b/>
                <w:sz w:val="22"/>
                <w:szCs w:val="22"/>
                <w:lang w:val="sr-Latn-ME" w:eastAsia="sl-SI"/>
              </w:rPr>
              <w:t>Kriterijumi hematološkog odgovora</w:t>
            </w:r>
            <w:r w:rsidRPr="00056CC9">
              <w:rPr>
                <w:sz w:val="22"/>
                <w:szCs w:val="22"/>
                <w:lang w:val="sr-Latn-ME" w:eastAsia="sl-SI"/>
              </w:rPr>
              <w:t xml:space="preserve"> </w:t>
            </w:r>
            <w:r w:rsidRPr="00056CC9">
              <w:rPr>
                <w:b/>
                <w:sz w:val="22"/>
                <w:szCs w:val="22"/>
                <w:lang w:val="sr-Latn-ME" w:eastAsia="sl-SI"/>
              </w:rPr>
              <w:t>(svi odgovori treba da budu potvrđeni nakon ≥ 4 nedjelje</w:t>
            </w:r>
            <w:r w:rsidRPr="00056CC9">
              <w:rPr>
                <w:sz w:val="22"/>
                <w:szCs w:val="22"/>
                <w:lang w:val="sr-Latn-ME" w:eastAsia="sl-SI"/>
              </w:rPr>
              <w:t>): WBC &lt; 10 x 10</w:t>
            </w:r>
            <w:r w:rsidRPr="00056CC9">
              <w:rPr>
                <w:sz w:val="22"/>
                <w:szCs w:val="22"/>
                <w:vertAlign w:val="superscript"/>
                <w:lang w:val="sr-Latn-ME" w:eastAsia="sl-SI"/>
              </w:rPr>
              <w:t>9</w:t>
            </w:r>
            <w:r w:rsidRPr="00056CC9">
              <w:rPr>
                <w:sz w:val="22"/>
                <w:szCs w:val="22"/>
                <w:lang w:val="sr-Latn-ME" w:eastAsia="sl-SI"/>
              </w:rPr>
              <w:t xml:space="preserve"> /L, trombociti &lt; 450 x 10</w:t>
            </w:r>
            <w:r w:rsidRPr="00056CC9">
              <w:rPr>
                <w:sz w:val="22"/>
                <w:szCs w:val="22"/>
                <w:vertAlign w:val="superscript"/>
                <w:lang w:val="sr-Latn-ME" w:eastAsia="sl-SI"/>
              </w:rPr>
              <w:t>9</w:t>
            </w:r>
            <w:r w:rsidRPr="00056CC9">
              <w:rPr>
                <w:sz w:val="22"/>
                <w:szCs w:val="22"/>
                <w:lang w:val="sr-Latn-ME" w:eastAsia="sl-SI"/>
              </w:rPr>
              <w:t xml:space="preserve"> /L, mijelociti+metamijelociti &lt; 5% u krvi, nema blasta i promijelocita u krvi, bazofili &lt; 20%, nema ekstramedularne zahvaćenosti.</w:t>
            </w:r>
          </w:p>
          <w:p w14:paraId="05731AEB" w14:textId="77777777" w:rsidR="005D1EF5" w:rsidRPr="00056CC9" w:rsidRDefault="005D1EF5" w:rsidP="00056CC9">
            <w:pPr>
              <w:widowControl w:val="0"/>
              <w:autoSpaceDE w:val="0"/>
              <w:autoSpaceDN w:val="0"/>
              <w:adjustRightInd w:val="0"/>
              <w:ind w:right="-1"/>
              <w:jc w:val="both"/>
              <w:rPr>
                <w:sz w:val="22"/>
                <w:szCs w:val="22"/>
                <w:lang w:val="sr-Latn-ME" w:eastAsia="sl-SI"/>
              </w:rPr>
            </w:pPr>
            <w:r w:rsidRPr="00056CC9">
              <w:rPr>
                <w:b/>
                <w:sz w:val="22"/>
                <w:szCs w:val="22"/>
                <w:lang w:val="sr-Latn-ME" w:eastAsia="sl-SI"/>
              </w:rPr>
              <w:t>Kriterijumi citogenetskog odgovora:</w:t>
            </w:r>
            <w:r w:rsidRPr="00056CC9">
              <w:rPr>
                <w:sz w:val="22"/>
                <w:szCs w:val="22"/>
                <w:lang w:val="sr-Latn-ME" w:eastAsia="sl-SI"/>
              </w:rPr>
              <w:t xml:space="preserve"> kompletan (0% Ph+ metafaze), parcijalan (1-35%), manji (36-65%) ili minimalan (66-95%). Veliki odgovor (0-35%) kombinuje i kompletan i parcijalan odgovor. </w:t>
            </w:r>
          </w:p>
          <w:p w14:paraId="2BDC58A7" w14:textId="77777777" w:rsidR="005D1EF5" w:rsidRPr="00056CC9" w:rsidRDefault="005D1EF5" w:rsidP="00056CC9">
            <w:pPr>
              <w:widowControl w:val="0"/>
              <w:autoSpaceDE w:val="0"/>
              <w:autoSpaceDN w:val="0"/>
              <w:adjustRightInd w:val="0"/>
              <w:ind w:right="-1"/>
              <w:jc w:val="both"/>
              <w:rPr>
                <w:sz w:val="22"/>
                <w:szCs w:val="22"/>
                <w:lang w:val="sr-Latn-ME" w:eastAsia="sl-SI"/>
              </w:rPr>
            </w:pPr>
            <w:r w:rsidRPr="00056CC9">
              <w:rPr>
                <w:b/>
                <w:sz w:val="22"/>
                <w:szCs w:val="22"/>
                <w:lang w:val="sr-Latn-ME" w:eastAsia="sl-SI"/>
              </w:rPr>
              <w:t>Kriterijumi velikog molekularnog odgovora</w:t>
            </w:r>
            <w:r w:rsidRPr="00056CC9">
              <w:rPr>
                <w:sz w:val="22"/>
                <w:szCs w:val="22"/>
                <w:lang w:val="sr-Latn-ME" w:eastAsia="sl-SI"/>
              </w:rPr>
              <w:t>: u perifernoj krvi redukcija od ≥ 3 logaritma u količini BcrAbl kopija (kvantitativno određivanje reverzne transkriptaze u stvarnom vremenu PCR metodom) u odnosu na standardizovane početne vrijednosti.</w:t>
            </w:r>
          </w:p>
        </w:tc>
      </w:tr>
    </w:tbl>
    <w:p w14:paraId="40F37718" w14:textId="77777777" w:rsidR="007074BE" w:rsidRDefault="007074BE" w:rsidP="00056CC9">
      <w:pPr>
        <w:shd w:val="clear" w:color="auto" w:fill="FFFFFF"/>
        <w:tabs>
          <w:tab w:val="left" w:pos="284"/>
          <w:tab w:val="center" w:pos="4320"/>
          <w:tab w:val="right" w:pos="8640"/>
        </w:tabs>
        <w:spacing w:before="120"/>
        <w:jc w:val="both"/>
        <w:rPr>
          <w:color w:val="000000"/>
          <w:sz w:val="22"/>
          <w:szCs w:val="22"/>
          <w:lang w:val="sr-Latn-ME"/>
        </w:rPr>
      </w:pPr>
    </w:p>
    <w:p w14:paraId="59E57E60" w14:textId="79049C77" w:rsidR="005D1EF5" w:rsidRPr="00056CC9" w:rsidRDefault="005D1EF5" w:rsidP="00056CC9">
      <w:pPr>
        <w:shd w:val="clear" w:color="auto" w:fill="FFFFFF"/>
        <w:tabs>
          <w:tab w:val="left" w:pos="284"/>
          <w:tab w:val="center" w:pos="4320"/>
          <w:tab w:val="right" w:pos="8640"/>
        </w:tabs>
        <w:spacing w:before="120"/>
        <w:jc w:val="both"/>
        <w:rPr>
          <w:color w:val="000000"/>
          <w:sz w:val="22"/>
          <w:szCs w:val="22"/>
          <w:lang w:val="sr-Latn-ME"/>
        </w:rPr>
      </w:pPr>
      <w:r w:rsidRPr="00056CC9">
        <w:rPr>
          <w:color w:val="000000"/>
          <w:sz w:val="22"/>
          <w:szCs w:val="22"/>
          <w:lang w:val="sr-Latn-ME"/>
        </w:rPr>
        <w:lastRenderedPageBreak/>
        <w:t xml:space="preserve">Stope kompletnog hematološkog odgovora, glavnog citogenetskog odgovora i kompletnog citogenetskog odgovora na terapiju prve linije procjenjivane su korišćenjem Kaplan-Meier-ovog pristupa, za koji su oni koji nisu odgovorili na terapiju bili isključeni nakon datuma posljednjeg pregleda.  Koristeći ovaj pristup, ispitivana kumulativna stopa odgovora na terapiju prve linije imatinibom  poboljšana je od 12. do 84. mjeseca terapije na sljedeći način: kompletan hematološki odogovor (CHR) od 96,4% do 98,4%, i kompletan citogenetski odgovor (engl. CCyR- </w:t>
      </w:r>
      <w:r w:rsidRPr="00056CC9">
        <w:rPr>
          <w:i/>
          <w:color w:val="000000"/>
          <w:sz w:val="22"/>
          <w:szCs w:val="22"/>
          <w:lang w:val="sr-Latn-ME"/>
        </w:rPr>
        <w:t>complete cytogenic response</w:t>
      </w:r>
      <w:r w:rsidRPr="00056CC9">
        <w:rPr>
          <w:color w:val="000000"/>
          <w:sz w:val="22"/>
          <w:szCs w:val="22"/>
          <w:lang w:val="sr-Latn-ME"/>
        </w:rPr>
        <w:t>) od 69,5% do 87,2%.</w:t>
      </w:r>
    </w:p>
    <w:p w14:paraId="542E087C" w14:textId="77777777" w:rsidR="005D1EF5" w:rsidRPr="00056CC9" w:rsidRDefault="005D1EF5" w:rsidP="00056CC9">
      <w:pPr>
        <w:shd w:val="clear" w:color="auto" w:fill="FFFFFF"/>
        <w:tabs>
          <w:tab w:val="left" w:pos="284"/>
          <w:tab w:val="center" w:pos="4320"/>
          <w:tab w:val="right" w:pos="8640"/>
        </w:tabs>
        <w:spacing w:before="120"/>
        <w:jc w:val="both"/>
        <w:rPr>
          <w:color w:val="000000"/>
          <w:sz w:val="22"/>
          <w:szCs w:val="22"/>
          <w:lang w:val="sr-Latn-ME"/>
        </w:rPr>
      </w:pPr>
      <w:r w:rsidRPr="00056CC9">
        <w:rPr>
          <w:color w:val="000000"/>
          <w:sz w:val="22"/>
          <w:szCs w:val="22"/>
          <w:lang w:val="sr-Latn-ME"/>
        </w:rPr>
        <w:t>Tokom sedmogodišnjeg praćenja, bilo je 93 (16,8%) događaja koji su ukazivali na progresiju bolesti u grupi na imatinibu: 37 (6,7%) progresija u ubrzanu fazu/blastnu krizu, 31 (5,6%) gubitak MCyR, 15 (2,7%) gubitak CHR ili povećanje broja bijelih krvnih ćelija, i 10 (1,8%) smrtnih ishoda koji se ne vezuju za CML. Nasuprot tome, bilo je 165 (29,8%) događaja u grupi na IFN+Ara-C, od kojih se 130 dogodilo tokom terapije prve linije sa IFN+Ara-C.</w:t>
      </w:r>
    </w:p>
    <w:p w14:paraId="05084E33" w14:textId="77777777" w:rsidR="005D1EF5" w:rsidRPr="00056CC9" w:rsidRDefault="005D1EF5" w:rsidP="00056CC9">
      <w:pPr>
        <w:shd w:val="clear" w:color="auto" w:fill="FFFFFF"/>
        <w:tabs>
          <w:tab w:val="left" w:pos="284"/>
          <w:tab w:val="center" w:pos="4320"/>
          <w:tab w:val="right" w:pos="8640"/>
        </w:tabs>
        <w:spacing w:before="120"/>
        <w:jc w:val="both"/>
        <w:rPr>
          <w:color w:val="000000"/>
          <w:sz w:val="22"/>
          <w:szCs w:val="22"/>
          <w:lang w:val="sr-Latn-ME"/>
        </w:rPr>
      </w:pPr>
      <w:r w:rsidRPr="00056CC9">
        <w:rPr>
          <w:color w:val="000000"/>
          <w:sz w:val="22"/>
          <w:szCs w:val="22"/>
          <w:lang w:val="sr-Latn-ME"/>
        </w:rPr>
        <w:t>Procijenjena stopa pacijenata bez progresije u ubrzane faze ili blastnu krizu nakon 84 mjeseca bila je značajno veća u grupi koja je primala imatinib u poređenju sa grupom na IFN (92,5% prema 85,1%, p&lt;0,001). Godišnja stopa progresije u ubrzanu fazu ili blastnu krizu opadala je sa vremenom tokom terapije i bila je manja od 1% godišnje u četvrtoj i petoj godini. Ispitivana stopa preživljavanja bez progresije bolesti nakon 84 mjeseci bila je 81,2% u grupi koja je primala imatinib, i 60,6% u kontrolnoj grupi (p&lt;0,001). Godišnje stope progresije bilo kog tipa kod imatiniba su se takođe smanjivale tokom vremena.</w:t>
      </w:r>
    </w:p>
    <w:p w14:paraId="2AACA324" w14:textId="77777777" w:rsidR="005D1EF5" w:rsidRPr="00056CC9" w:rsidRDefault="005D1EF5" w:rsidP="00056CC9">
      <w:pPr>
        <w:shd w:val="clear" w:color="auto" w:fill="FFFFFF"/>
        <w:tabs>
          <w:tab w:val="left" w:pos="284"/>
          <w:tab w:val="center" w:pos="4320"/>
          <w:tab w:val="right" w:pos="8640"/>
        </w:tabs>
        <w:spacing w:before="120"/>
        <w:jc w:val="both"/>
        <w:rPr>
          <w:color w:val="000000"/>
          <w:sz w:val="22"/>
          <w:szCs w:val="22"/>
          <w:lang w:val="sr-Latn-ME"/>
        </w:rPr>
      </w:pPr>
      <w:r w:rsidRPr="00056CC9">
        <w:rPr>
          <w:color w:val="000000"/>
          <w:sz w:val="22"/>
          <w:szCs w:val="22"/>
          <w:lang w:val="sr-Latn-ME"/>
        </w:rPr>
        <w:t>Ukupno 71 (12,8%) pacijenata je umrlo u grupi koja je primala imatinib, i 85 (15,4%) u grupi na IFN+Ara-C. Nakon 84 mjeseca, ispitivano ukupno preživljavanje bilo je 86,4% (83, 90)  u randomizovanoj grupi na imatinibu u odnosu na 83,3% (80, 87) u randomizovanoj grupi na IFN+Ara-C (p=0,073, log-rank test). Ovaj parametar – vrijeme do događaja je pod snažnim uticajem visoke stope prelaska iz grupe IFN+Ara-C na imatinib. Efekat terapije imatinibom na preživljavanje u hroničnoj fazi novodijagnostikovane CML je dalje ispitivan u retrospektivnoj analizi gore navedenih podataka za imatinib i primarnih podataka iz faze III druge studije koja je koristila IFN+Ara-C (n=325) u identičnom režimu. U ovoj retrospektivnoj analizi, superiornost imatiniba u odnosu na IFN+Ara-C u odnosu na ukupno preživljavanje je pokazana (p&lt;0,001); tokom 42 mjeseca, 47 (8,5%) pacijenata na imatinibu i 63 (19,4%) pacijenata na IFN+Ara-C je umrlo.</w:t>
      </w:r>
    </w:p>
    <w:p w14:paraId="3BFB60CA" w14:textId="77777777" w:rsidR="005D1EF5" w:rsidRPr="00056CC9" w:rsidRDefault="005D1EF5" w:rsidP="00056CC9">
      <w:pPr>
        <w:shd w:val="clear" w:color="auto" w:fill="FFFFFF"/>
        <w:tabs>
          <w:tab w:val="left" w:pos="284"/>
          <w:tab w:val="center" w:pos="4320"/>
          <w:tab w:val="right" w:pos="8640"/>
        </w:tabs>
        <w:spacing w:before="120"/>
        <w:jc w:val="both"/>
        <w:rPr>
          <w:bCs/>
          <w:sz w:val="22"/>
          <w:szCs w:val="22"/>
          <w:lang w:val="sr-Latn-ME"/>
        </w:rPr>
      </w:pPr>
      <w:r w:rsidRPr="00056CC9">
        <w:rPr>
          <w:color w:val="000000"/>
          <w:sz w:val="22"/>
          <w:szCs w:val="22"/>
          <w:lang w:val="sr-Latn-ME"/>
        </w:rPr>
        <w:t xml:space="preserve">Stepen citogenetskog odgovora i molekularnog odgovora imao je jasan efekat na dugoročni ishod kod pacijenata </w:t>
      </w:r>
      <w:r w:rsidRPr="00056CC9">
        <w:rPr>
          <w:bCs/>
          <w:sz w:val="22"/>
          <w:szCs w:val="22"/>
          <w:lang w:val="sr-Latn-ME"/>
        </w:rPr>
        <w:t>koji su primali imatinib</w:t>
      </w:r>
      <w:r w:rsidRPr="00056CC9">
        <w:rPr>
          <w:color w:val="000000"/>
          <w:sz w:val="22"/>
          <w:szCs w:val="22"/>
          <w:lang w:val="sr-Latn-ME"/>
        </w:rPr>
        <w:t xml:space="preserve">. Dok je procijenjenih </w:t>
      </w:r>
      <w:r w:rsidRPr="00056CC9">
        <w:rPr>
          <w:sz w:val="22"/>
          <w:szCs w:val="22"/>
          <w:lang w:val="sr-Latn-ME"/>
        </w:rPr>
        <w:t>96%</w:t>
      </w:r>
      <w:r w:rsidRPr="00056CC9">
        <w:rPr>
          <w:color w:val="000000"/>
          <w:sz w:val="22"/>
          <w:szCs w:val="22"/>
          <w:lang w:val="sr-Latn-ME"/>
        </w:rPr>
        <w:t xml:space="preserve"> (93%) pacijenata sa CCyR (engl. PcyR- </w:t>
      </w:r>
      <w:r w:rsidRPr="00056CC9">
        <w:rPr>
          <w:i/>
          <w:color w:val="000000"/>
          <w:sz w:val="22"/>
          <w:szCs w:val="22"/>
          <w:lang w:val="sr-Latn-ME"/>
        </w:rPr>
        <w:t>partial cytogenetic response</w:t>
      </w:r>
      <w:r w:rsidRPr="00056CC9">
        <w:rPr>
          <w:color w:val="000000"/>
          <w:sz w:val="22"/>
          <w:szCs w:val="22"/>
          <w:lang w:val="sr-Latn-ME"/>
        </w:rPr>
        <w:t xml:space="preserve">) nakon 12 mjeseci bilo bez progresije u ubrzanu fazu/blastnu krizu nakon 84 mjeseca, samo 81% pacijenata bez MCyR nakon 12 mjeseci je bilo bez progresije u uznapredovalu CML na </w:t>
      </w:r>
      <w:r w:rsidRPr="00056CC9">
        <w:rPr>
          <w:sz w:val="22"/>
          <w:szCs w:val="22"/>
          <w:lang w:val="sr-Latn-ME"/>
        </w:rPr>
        <w:t>84 mjesec</w:t>
      </w:r>
      <w:r w:rsidRPr="00056CC9">
        <w:rPr>
          <w:color w:val="000000"/>
          <w:sz w:val="22"/>
          <w:szCs w:val="22"/>
          <w:lang w:val="sr-Latn-ME"/>
        </w:rPr>
        <w:t xml:space="preserve">i (p&lt;0,001 ukupno, p=0,25 između CCyR i PCyR). Kod pacijenata sa redukcijom Bcr-Abl kopija za najmanje 3 logaritma nakon 12 mjeseci, vjerovatnoća da ne dođe do progresije u ubrzanu fazu/blastnu krizu bila je </w:t>
      </w:r>
      <w:r w:rsidRPr="00056CC9">
        <w:rPr>
          <w:sz w:val="22"/>
          <w:szCs w:val="22"/>
          <w:lang w:val="sr-Latn-ME"/>
        </w:rPr>
        <w:t>99%</w:t>
      </w:r>
      <w:r w:rsidRPr="00056CC9">
        <w:rPr>
          <w:color w:val="000000"/>
          <w:sz w:val="22"/>
          <w:szCs w:val="22"/>
          <w:lang w:val="sr-Latn-ME"/>
        </w:rPr>
        <w:t xml:space="preserve"> nakon </w:t>
      </w:r>
      <w:r w:rsidRPr="00056CC9">
        <w:rPr>
          <w:sz w:val="22"/>
          <w:szCs w:val="22"/>
          <w:lang w:val="sr-Latn-ME"/>
        </w:rPr>
        <w:t>84</w:t>
      </w:r>
      <w:r w:rsidRPr="00056CC9">
        <w:rPr>
          <w:color w:val="000000"/>
          <w:sz w:val="22"/>
          <w:szCs w:val="22"/>
          <w:lang w:val="sr-Latn-ME"/>
        </w:rPr>
        <w:t xml:space="preserve"> mjeseca. Slični nalazi su dobijeni i u 18-mjesečnoj landmark analizi.</w:t>
      </w:r>
      <w:r w:rsidRPr="00056CC9">
        <w:rPr>
          <w:bCs/>
          <w:sz w:val="22"/>
          <w:szCs w:val="22"/>
          <w:lang w:val="sr-Latn-ME"/>
        </w:rPr>
        <w:t xml:space="preserve"> </w:t>
      </w:r>
    </w:p>
    <w:p w14:paraId="35BCEE84" w14:textId="77777777" w:rsidR="005D1EF5" w:rsidRPr="00056CC9" w:rsidRDefault="005D1EF5" w:rsidP="00056CC9">
      <w:pPr>
        <w:shd w:val="clear" w:color="auto" w:fill="FFFFFF"/>
        <w:spacing w:before="240"/>
        <w:jc w:val="both"/>
        <w:rPr>
          <w:sz w:val="22"/>
          <w:szCs w:val="22"/>
          <w:lang w:val="sr-Latn-ME"/>
        </w:rPr>
      </w:pPr>
      <w:r w:rsidRPr="00056CC9">
        <w:rPr>
          <w:color w:val="000000"/>
          <w:sz w:val="22"/>
          <w:szCs w:val="22"/>
          <w:lang w:val="sr-Latn-ME"/>
        </w:rPr>
        <w:t xml:space="preserve">U ovoj studiji, dozvoljeno je povećavanje doze </w:t>
      </w:r>
      <w:r w:rsidRPr="00056CC9">
        <w:rPr>
          <w:bCs/>
          <w:sz w:val="22"/>
          <w:szCs w:val="22"/>
          <w:lang w:val="sr-Latn-ME"/>
        </w:rPr>
        <w:t>imatiniba</w:t>
      </w:r>
      <w:r w:rsidRPr="00056CC9">
        <w:rPr>
          <w:color w:val="000000"/>
          <w:sz w:val="22"/>
          <w:szCs w:val="22"/>
          <w:lang w:val="sr-Latn-ME"/>
        </w:rPr>
        <w:t xml:space="preserve"> od 400 mg dnevno do 600 mg dnevno, potom sa 600 mg dnevno do 800 mg dnevno. Nakon 42 mjeseca praćenja, 11 pacijenata doživjelo je potvrđen gubitak (unutar 4 nedjelje) svog citogenetskog odgovora. Od ovih 11 pacijenata, kod </w:t>
      </w:r>
      <w:r w:rsidRPr="00056CC9">
        <w:rPr>
          <w:bCs/>
          <w:sz w:val="22"/>
          <w:szCs w:val="22"/>
          <w:lang w:val="sr-Latn-ME"/>
        </w:rPr>
        <w:t>4 pacijenta doza je povećana na 800 mg/dan</w:t>
      </w:r>
      <w:r w:rsidRPr="00056CC9">
        <w:rPr>
          <w:color w:val="000000"/>
          <w:sz w:val="22"/>
          <w:szCs w:val="22"/>
          <w:lang w:val="sr-Latn-ME"/>
        </w:rPr>
        <w:t>, od toga je kod 2 uspostavljen citogenetski odgovor (jedan parcijalan i jedan kompletan, a drugi od ova 2 je postigao i molekularni odgovor). Od preostalih 7 pacijenata kojima nije povećavana doza, samo jedan je ponovo uspostavio kompletan citogenetski odgovor. Procenat pojedinih neželjenih reakcija bio je veći kod 40 pacijenata kod kojih je doza povećana na 800 mg dnevno u poređenju sa populacijom pacijenata prije povećanja doze (n=551). Češće neželjene reakcije su bile gastrointestinalne hemoragije, konjunktivitis i povećanje vrijednosti transaminaza ili bilirubina. Druge neželjene reakcije su prijavljivane sa nižom ili jednakom učestalošću.</w:t>
      </w:r>
    </w:p>
    <w:p w14:paraId="2C16FC38" w14:textId="77777777" w:rsidR="005D1EF5" w:rsidRPr="00056CC9" w:rsidRDefault="005D1EF5" w:rsidP="00056CC9">
      <w:pPr>
        <w:shd w:val="clear" w:color="auto" w:fill="FFFFFF"/>
        <w:spacing w:before="235"/>
        <w:jc w:val="both"/>
        <w:rPr>
          <w:sz w:val="22"/>
          <w:szCs w:val="22"/>
          <w:lang w:val="sr-Latn-ME"/>
        </w:rPr>
      </w:pPr>
      <w:r w:rsidRPr="00056CC9">
        <w:rPr>
          <w:i/>
          <w:iCs/>
          <w:color w:val="000000"/>
          <w:sz w:val="22"/>
          <w:szCs w:val="22"/>
          <w:lang w:val="sr-Latn-ME"/>
        </w:rPr>
        <w:t xml:space="preserve">Hronična faza, neuspjeh interferona: </w:t>
      </w:r>
      <w:r w:rsidRPr="00056CC9">
        <w:rPr>
          <w:color w:val="000000"/>
          <w:sz w:val="22"/>
          <w:szCs w:val="22"/>
          <w:lang w:val="sr-Latn-ME"/>
        </w:rPr>
        <w:t xml:space="preserve">532 odrasla pacijenta liječena su početnom dozom od 400 mg. Pacijenti su bili raspoređeni u tri glavne kategorije: </w:t>
      </w:r>
      <w:r w:rsidRPr="00056CC9">
        <w:rPr>
          <w:sz w:val="22"/>
          <w:szCs w:val="22"/>
          <w:lang w:val="sr-Latn-ME"/>
        </w:rPr>
        <w:t>hematološki neuspjeh (29%), citogenetski neuspjeh (35%), ili nepodnošenje interferona (36%). Pacijenti su prethodno primali IFN, medijana trajanja liječenja iznosila je 14</w:t>
      </w:r>
      <w:r w:rsidRPr="00056CC9">
        <w:rPr>
          <w:color w:val="000000"/>
          <w:sz w:val="22"/>
          <w:szCs w:val="22"/>
          <w:lang w:val="sr-Latn-ME"/>
        </w:rPr>
        <w:t xml:space="preserve"> mjeseci  u doza</w:t>
      </w:r>
      <w:r w:rsidRPr="00056CC9">
        <w:rPr>
          <w:sz w:val="22"/>
          <w:szCs w:val="22"/>
          <w:lang w:val="sr-Latn-ME"/>
        </w:rPr>
        <w:t>ma ≥ 25 × 10</w:t>
      </w:r>
      <w:r w:rsidRPr="00056CC9">
        <w:rPr>
          <w:sz w:val="22"/>
          <w:szCs w:val="22"/>
          <w:vertAlign w:val="superscript"/>
          <w:lang w:val="sr-Latn-ME"/>
        </w:rPr>
        <w:t>6</w:t>
      </w:r>
      <w:r w:rsidRPr="00056CC9">
        <w:rPr>
          <w:sz w:val="22"/>
          <w:szCs w:val="22"/>
          <w:lang w:val="sr-Latn-ME"/>
        </w:rPr>
        <w:t xml:space="preserve"> IU/nedjelja, i svi su bili u kasnoj hroničnoj fazi, sa medijanom vremena 32 mjeseca od postavljanja dijagnoze. Primarna varijabila efikasnosti u studiji bila </w:t>
      </w:r>
      <w:r w:rsidRPr="00056CC9">
        <w:rPr>
          <w:sz w:val="22"/>
          <w:szCs w:val="22"/>
          <w:lang w:val="sr-Latn-ME"/>
        </w:rPr>
        <w:lastRenderedPageBreak/>
        <w:t>je stopa velikog citogenetskog odgovora (kompletan plus parcija</w:t>
      </w:r>
      <w:r w:rsidRPr="00056CC9">
        <w:rPr>
          <w:color w:val="000000"/>
          <w:sz w:val="22"/>
          <w:szCs w:val="22"/>
          <w:lang w:val="sr-Latn-ME"/>
        </w:rPr>
        <w:t>lni odgovor, 0 do 35% Ph+ metafaza u kostnoj srži).</w:t>
      </w:r>
    </w:p>
    <w:p w14:paraId="08D6C803" w14:textId="77777777" w:rsidR="005D1EF5" w:rsidRPr="00056CC9" w:rsidRDefault="005D1EF5" w:rsidP="00056CC9">
      <w:pPr>
        <w:shd w:val="clear" w:color="auto" w:fill="FFFFFF"/>
        <w:spacing w:before="240"/>
        <w:jc w:val="both"/>
        <w:rPr>
          <w:color w:val="000000"/>
          <w:sz w:val="22"/>
          <w:szCs w:val="22"/>
          <w:lang w:val="sr-Latn-ME"/>
        </w:rPr>
      </w:pPr>
      <w:r w:rsidRPr="00056CC9">
        <w:rPr>
          <w:color w:val="000000"/>
          <w:sz w:val="22"/>
          <w:szCs w:val="22"/>
          <w:lang w:val="sr-Latn-ME"/>
        </w:rPr>
        <w:t>U ovom ispitivanju, 65% pacijenata postiglo je veliki citogenetski odgovor koji je bio kompletan kod 53% (potvrđeno 43%) pacijenata (Tabela 3). Kompletan hematološki odgovor postignut je kod 95% pacijenata.</w:t>
      </w:r>
    </w:p>
    <w:p w14:paraId="32C3E27F" w14:textId="77777777" w:rsidR="005D1EF5" w:rsidRPr="00056CC9" w:rsidRDefault="005D1EF5" w:rsidP="00056CC9">
      <w:pPr>
        <w:shd w:val="clear" w:color="auto" w:fill="FFFFFF"/>
        <w:spacing w:before="240"/>
        <w:jc w:val="both"/>
        <w:rPr>
          <w:color w:val="000000"/>
          <w:sz w:val="22"/>
          <w:szCs w:val="22"/>
          <w:lang w:val="sr-Latn-ME"/>
        </w:rPr>
      </w:pPr>
      <w:r w:rsidRPr="00056CC9">
        <w:rPr>
          <w:i/>
          <w:iCs/>
          <w:color w:val="000000"/>
          <w:sz w:val="22"/>
          <w:szCs w:val="22"/>
          <w:lang w:val="sr-Latn-ME"/>
        </w:rPr>
        <w:t xml:space="preserve">Ubrzana faza: </w:t>
      </w:r>
      <w:r w:rsidRPr="00056CC9">
        <w:rPr>
          <w:color w:val="000000"/>
          <w:sz w:val="22"/>
          <w:szCs w:val="22"/>
          <w:lang w:val="sr-Latn-ME"/>
        </w:rPr>
        <w:t>235 odraslih pacijenata sa ubrzanom fazom bolesti je uključeno u ispitivanje. Prvih 77 pacijenata započelo je sa 400 mg. Protokol je zatim dopunjen da bi se omogućila primjena većih doza, pa je ostalih 158 pacijenata započelo liječenje dozom od 600 mg.</w:t>
      </w:r>
    </w:p>
    <w:p w14:paraId="1FD4FFF3" w14:textId="77777777" w:rsidR="005D1EF5" w:rsidRPr="00056CC9" w:rsidRDefault="005D1EF5" w:rsidP="00056CC9">
      <w:pPr>
        <w:shd w:val="clear" w:color="auto" w:fill="FFFFFF"/>
        <w:spacing w:before="240"/>
        <w:jc w:val="both"/>
        <w:rPr>
          <w:sz w:val="22"/>
          <w:szCs w:val="22"/>
          <w:lang w:val="sr-Latn-ME"/>
        </w:rPr>
      </w:pPr>
      <w:r w:rsidRPr="00056CC9">
        <w:rPr>
          <w:color w:val="000000"/>
          <w:sz w:val="22"/>
          <w:szCs w:val="22"/>
          <w:lang w:val="sr-Latn-ME"/>
        </w:rPr>
        <w:t>Primarna varijabila efikasnosti je bila stopa hematološkog odgovora, opisana kao kompletni hematološki odgovor, bez dokaza o leukemiji (tj. klirens blastocita iz kostne srži i krvi, ali bez potpunog oporavka periferne krvi kao što je slučaj kod kompletnog odgovora), ili povratak u hroničnu fazu CML. Potvrđen hematološki odgovor je bio postignut kod 71,5% pacijenata (Tabela 3). Značajno je to što je 27,7% pacijenata takođe postiglo glavni citogenetski odgovor, koji je bio kompletan kod 20,4% (potvrđeno 16%) pacijenata. Za pacijente liječene dozom od 600 mg, procjena srednjeg preživljavanja bez progresije bolesti i ukupnog preživljavanja bila je 22,9 i 42,5 mjeseci.</w:t>
      </w:r>
    </w:p>
    <w:p w14:paraId="496BD0A3" w14:textId="77777777" w:rsidR="005D1EF5" w:rsidRPr="00056CC9" w:rsidRDefault="005D1EF5" w:rsidP="00056CC9">
      <w:pPr>
        <w:shd w:val="clear" w:color="auto" w:fill="FFFFFF"/>
        <w:spacing w:before="240"/>
        <w:jc w:val="both"/>
        <w:rPr>
          <w:color w:val="000000"/>
          <w:sz w:val="22"/>
          <w:szCs w:val="22"/>
          <w:lang w:val="sr-Latn-ME"/>
        </w:rPr>
      </w:pPr>
      <w:r w:rsidRPr="00056CC9">
        <w:rPr>
          <w:i/>
          <w:iCs/>
          <w:color w:val="000000"/>
          <w:sz w:val="22"/>
          <w:szCs w:val="22"/>
          <w:lang w:val="sr-Latn-ME"/>
        </w:rPr>
        <w:t xml:space="preserve">Mijeloidna blastna kriza: </w:t>
      </w:r>
      <w:r w:rsidRPr="00056CC9">
        <w:rPr>
          <w:color w:val="000000"/>
          <w:sz w:val="22"/>
          <w:szCs w:val="22"/>
          <w:lang w:val="sr-Latn-ME"/>
        </w:rPr>
        <w:t>260 pacijenata sa mijeloidnom blastnom krizom je uključeno u ispitivanje. Od toga je 95 (37%) prethodno primilo hemoterapiju za terapiju ili ubrzane faze ili blastne krize ("prethodno liječeni pacijenti"), dok je 165 (63%) nije prethodno primalo ("neliječeni pacijenti"). Prvih 37 pacijenata započelo je terapiju sa 400 mg. Protokol je zatim dopunjen da bi se omogućila primjena većih doza, tako da je preostalih 223 pacijenata započelo liječenje dozom od 600 mg.</w:t>
      </w:r>
    </w:p>
    <w:p w14:paraId="482FE25E" w14:textId="77777777" w:rsidR="005D1EF5" w:rsidRPr="00056CC9" w:rsidRDefault="005D1EF5" w:rsidP="00056CC9">
      <w:pPr>
        <w:shd w:val="clear" w:color="auto" w:fill="FFFFFF"/>
        <w:spacing w:before="240"/>
        <w:jc w:val="both"/>
        <w:rPr>
          <w:color w:val="000000"/>
          <w:sz w:val="22"/>
          <w:szCs w:val="22"/>
          <w:lang w:val="sr-Latn-ME"/>
        </w:rPr>
      </w:pPr>
      <w:r w:rsidRPr="00056CC9">
        <w:rPr>
          <w:color w:val="000000"/>
          <w:sz w:val="22"/>
          <w:szCs w:val="22"/>
          <w:lang w:val="sr-Latn-ME"/>
        </w:rPr>
        <w:t>Primarna varijabila efikasnosti je bila stopa hematološkog odgovora, opisana kao kompletan hematološki odgovor, bez dokaza o leukemiji, ili povratak u hroničnu fazu CML (korišćenjem istih kriterijuma kao za studiju u ubrzanoj fazi). U ovoj studiji, 31% pacijenata postiglo je hematološki odgovor (36% od prethodno neliječenih pacijenata a 22% od prethodno liječenih). Stopa odgovora bila je takođe veća kod pacijenata liječenih sa 600 mg (33%) u poređenju sa pacijentima liječenim sa 400 mg (16%, p=0,0220). Procjena srednjeg preživljavanja prethodno neliječenih i liječenih pacijenata bila je 7,7 i 4,7 mjeseci.</w:t>
      </w:r>
    </w:p>
    <w:p w14:paraId="700C123A" w14:textId="77777777" w:rsidR="005D1EF5" w:rsidRPr="00056CC9" w:rsidRDefault="005D1EF5" w:rsidP="00056CC9">
      <w:pPr>
        <w:tabs>
          <w:tab w:val="left" w:pos="540"/>
          <w:tab w:val="left" w:pos="569"/>
        </w:tabs>
        <w:jc w:val="both"/>
        <w:rPr>
          <w:i/>
          <w:iCs/>
          <w:color w:val="000000"/>
          <w:sz w:val="22"/>
          <w:szCs w:val="22"/>
          <w:lang w:val="sr-Latn-ME"/>
        </w:rPr>
      </w:pPr>
    </w:p>
    <w:p w14:paraId="1A24325C" w14:textId="77777777" w:rsidR="005D1EF5" w:rsidRPr="00056CC9" w:rsidRDefault="005D1EF5" w:rsidP="00056CC9">
      <w:pPr>
        <w:tabs>
          <w:tab w:val="left" w:pos="540"/>
          <w:tab w:val="left" w:pos="569"/>
        </w:tabs>
        <w:jc w:val="both"/>
        <w:rPr>
          <w:color w:val="000000"/>
          <w:sz w:val="22"/>
          <w:szCs w:val="22"/>
          <w:lang w:val="sr-Latn-ME"/>
        </w:rPr>
      </w:pPr>
      <w:r w:rsidRPr="00056CC9">
        <w:rPr>
          <w:i/>
          <w:iCs/>
          <w:color w:val="000000"/>
          <w:sz w:val="22"/>
          <w:szCs w:val="22"/>
          <w:lang w:val="sr-Latn-ME"/>
        </w:rPr>
        <w:t xml:space="preserve">Limfoidna blastna kriza: </w:t>
      </w:r>
      <w:r w:rsidRPr="00056CC9">
        <w:rPr>
          <w:color w:val="000000"/>
          <w:sz w:val="22"/>
          <w:szCs w:val="22"/>
          <w:lang w:val="sr-Latn-ME"/>
        </w:rPr>
        <w:t>ograničen broj pacijenata bio je uključen u studije faze I (n=10). Stopa hematološkog odgovora bila je 70%, sa trajanjem od 2 do 3 mjeseca.</w:t>
      </w:r>
    </w:p>
    <w:p w14:paraId="79ACAD7D" w14:textId="77777777" w:rsidR="005D1EF5" w:rsidRPr="00056CC9" w:rsidRDefault="005D1EF5" w:rsidP="00056CC9">
      <w:pPr>
        <w:tabs>
          <w:tab w:val="left" w:pos="540"/>
          <w:tab w:val="left" w:pos="569"/>
        </w:tabs>
        <w:jc w:val="both"/>
        <w:rPr>
          <w:color w:val="000000"/>
          <w:sz w:val="22"/>
          <w:szCs w:val="22"/>
          <w:lang w:val="sr-Latn-ME"/>
        </w:rPr>
      </w:pPr>
    </w:p>
    <w:p w14:paraId="70888BD8" w14:textId="77777777" w:rsidR="005D1EF5" w:rsidRPr="00056CC9" w:rsidRDefault="005D1EF5" w:rsidP="00056CC9">
      <w:pPr>
        <w:pStyle w:val="NoSpacing"/>
        <w:rPr>
          <w:b/>
          <w:bCs/>
          <w:sz w:val="22"/>
          <w:szCs w:val="22"/>
          <w:lang w:val="sr-Latn-ME"/>
        </w:rPr>
      </w:pPr>
      <w:r w:rsidRPr="00056CC9">
        <w:rPr>
          <w:b/>
          <w:bCs/>
          <w:sz w:val="22"/>
          <w:szCs w:val="22"/>
          <w:lang w:val="sr-Latn-ME"/>
        </w:rPr>
        <w:t>Tabela 3. Odgovor na terapiju u studijama kod odraslih pacijenata sa CML</w:t>
      </w:r>
    </w:p>
    <w:p w14:paraId="4169CBFD" w14:textId="77777777" w:rsidR="005D1EF5" w:rsidRPr="00056CC9" w:rsidRDefault="005D1EF5" w:rsidP="00056CC9">
      <w:pPr>
        <w:pStyle w:val="NoSpacing"/>
        <w:rPr>
          <w:b/>
          <w:bCs/>
          <w:sz w:val="22"/>
          <w:szCs w:val="22"/>
          <w:lang w:val="sr-Latn-ME"/>
        </w:rPr>
      </w:pPr>
    </w:p>
    <w:tbl>
      <w:tblPr>
        <w:tblW w:w="0" w:type="auto"/>
        <w:jc w:val="center"/>
        <w:tblLayout w:type="fixed"/>
        <w:tblCellMar>
          <w:left w:w="40" w:type="dxa"/>
          <w:right w:w="40" w:type="dxa"/>
        </w:tblCellMar>
        <w:tblLook w:val="0000" w:firstRow="0" w:lastRow="0" w:firstColumn="0" w:lastColumn="0" w:noHBand="0" w:noVBand="0"/>
      </w:tblPr>
      <w:tblGrid>
        <w:gridCol w:w="3062"/>
        <w:gridCol w:w="1797"/>
        <w:gridCol w:w="1884"/>
        <w:gridCol w:w="1836"/>
      </w:tblGrid>
      <w:tr w:rsidR="005D1EF5" w:rsidRPr="00056CC9" w14:paraId="049FFC37" w14:textId="77777777" w:rsidTr="004805F8">
        <w:trPr>
          <w:jc w:val="center"/>
        </w:trPr>
        <w:tc>
          <w:tcPr>
            <w:tcW w:w="3062" w:type="dxa"/>
            <w:tcBorders>
              <w:top w:val="single" w:sz="4" w:space="0" w:color="auto"/>
              <w:left w:val="single" w:sz="6" w:space="0" w:color="auto"/>
              <w:bottom w:val="single" w:sz="6" w:space="0" w:color="auto"/>
              <w:right w:val="single" w:sz="6" w:space="0" w:color="auto"/>
            </w:tcBorders>
            <w:shd w:val="clear" w:color="auto" w:fill="FFFFFF"/>
          </w:tcPr>
          <w:p w14:paraId="12C37FC1" w14:textId="77777777" w:rsidR="005D1EF5" w:rsidRPr="00056CC9" w:rsidRDefault="005D1EF5" w:rsidP="00056CC9">
            <w:pPr>
              <w:shd w:val="clear" w:color="auto" w:fill="FFFFFF"/>
              <w:rPr>
                <w:sz w:val="22"/>
                <w:szCs w:val="22"/>
                <w:lang w:val="sr-Latn-ME"/>
              </w:rPr>
            </w:pPr>
          </w:p>
        </w:tc>
        <w:tc>
          <w:tcPr>
            <w:tcW w:w="1797" w:type="dxa"/>
            <w:tcBorders>
              <w:top w:val="single" w:sz="4" w:space="0" w:color="auto"/>
              <w:left w:val="single" w:sz="6" w:space="0" w:color="auto"/>
              <w:bottom w:val="single" w:sz="6" w:space="0" w:color="auto"/>
              <w:right w:val="single" w:sz="6" w:space="0" w:color="auto"/>
            </w:tcBorders>
            <w:shd w:val="clear" w:color="auto" w:fill="FFFFFF"/>
          </w:tcPr>
          <w:p w14:paraId="7108D698"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Studija 0110</w:t>
            </w:r>
          </w:p>
          <w:p w14:paraId="7B1D69FE"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 xml:space="preserve">37-mjesečni podaci </w:t>
            </w:r>
          </w:p>
          <w:p w14:paraId="32784151" w14:textId="77777777" w:rsidR="005D1EF5" w:rsidRPr="00056CC9" w:rsidRDefault="005D1EF5" w:rsidP="00056CC9">
            <w:pPr>
              <w:shd w:val="clear" w:color="auto" w:fill="FFFFFF"/>
              <w:jc w:val="center"/>
              <w:rPr>
                <w:sz w:val="22"/>
                <w:szCs w:val="22"/>
                <w:lang w:val="sr-Latn-ME"/>
              </w:rPr>
            </w:pPr>
            <w:r w:rsidRPr="00056CC9">
              <w:rPr>
                <w:color w:val="000000"/>
                <w:sz w:val="22"/>
                <w:szCs w:val="22"/>
                <w:lang w:val="sr-Latn-ME"/>
              </w:rPr>
              <w:t>Hronična faza, neuspjeh IFN (n=532)</w:t>
            </w:r>
          </w:p>
        </w:tc>
        <w:tc>
          <w:tcPr>
            <w:tcW w:w="1884" w:type="dxa"/>
            <w:tcBorders>
              <w:top w:val="single" w:sz="4" w:space="0" w:color="auto"/>
              <w:left w:val="single" w:sz="6" w:space="0" w:color="auto"/>
              <w:bottom w:val="single" w:sz="6" w:space="0" w:color="auto"/>
              <w:right w:val="single" w:sz="6" w:space="0" w:color="auto"/>
            </w:tcBorders>
            <w:shd w:val="clear" w:color="auto" w:fill="FFFFFF"/>
          </w:tcPr>
          <w:p w14:paraId="4A6E86A2"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 xml:space="preserve">Studija 0109 </w:t>
            </w:r>
          </w:p>
          <w:p w14:paraId="0D2FD643"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40,5-mjesečni podaci</w:t>
            </w:r>
          </w:p>
          <w:p w14:paraId="15673131" w14:textId="77777777" w:rsidR="005D1EF5" w:rsidRDefault="005D1EF5" w:rsidP="00056CC9">
            <w:pPr>
              <w:shd w:val="clear" w:color="auto" w:fill="FFFFFF"/>
              <w:jc w:val="center"/>
              <w:rPr>
                <w:color w:val="000000"/>
                <w:sz w:val="22"/>
                <w:szCs w:val="22"/>
                <w:lang w:val="sr-Latn-ME"/>
              </w:rPr>
            </w:pPr>
            <w:r w:rsidRPr="00056CC9">
              <w:rPr>
                <w:color w:val="000000"/>
                <w:sz w:val="22"/>
                <w:szCs w:val="22"/>
                <w:lang w:val="sr-Latn-ME"/>
              </w:rPr>
              <w:t>Ubrzana faza (n=235)</w:t>
            </w:r>
          </w:p>
          <w:p w14:paraId="7F3B80E8" w14:textId="4F65F4A5" w:rsidR="007074BE" w:rsidRPr="00056CC9" w:rsidRDefault="007074BE" w:rsidP="00056CC9">
            <w:pPr>
              <w:shd w:val="clear" w:color="auto" w:fill="FFFFFF"/>
              <w:jc w:val="center"/>
              <w:rPr>
                <w:sz w:val="22"/>
                <w:szCs w:val="22"/>
                <w:lang w:val="sr-Latn-ME"/>
              </w:rPr>
            </w:pPr>
          </w:p>
        </w:tc>
        <w:tc>
          <w:tcPr>
            <w:tcW w:w="1836" w:type="dxa"/>
            <w:tcBorders>
              <w:top w:val="single" w:sz="4" w:space="0" w:color="auto"/>
              <w:left w:val="single" w:sz="6" w:space="0" w:color="auto"/>
              <w:bottom w:val="single" w:sz="6" w:space="0" w:color="auto"/>
              <w:right w:val="single" w:sz="6" w:space="0" w:color="auto"/>
            </w:tcBorders>
            <w:shd w:val="clear" w:color="auto" w:fill="FFFFFF"/>
          </w:tcPr>
          <w:p w14:paraId="28CD49CE"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Studija 0102</w:t>
            </w:r>
          </w:p>
          <w:p w14:paraId="669531AF" w14:textId="77777777" w:rsidR="005D1EF5" w:rsidRPr="00056CC9" w:rsidRDefault="005D1EF5" w:rsidP="00056CC9">
            <w:pPr>
              <w:shd w:val="clear" w:color="auto" w:fill="FFFFFF"/>
              <w:jc w:val="center"/>
              <w:rPr>
                <w:sz w:val="22"/>
                <w:szCs w:val="22"/>
                <w:lang w:val="sr-Latn-ME"/>
              </w:rPr>
            </w:pPr>
            <w:r w:rsidRPr="00056CC9">
              <w:rPr>
                <w:color w:val="000000"/>
                <w:sz w:val="22"/>
                <w:szCs w:val="22"/>
                <w:lang w:val="sr-Latn-ME"/>
              </w:rPr>
              <w:t>38-mjesečni podaci Mijeloidna blastna kriza (n=260)</w:t>
            </w:r>
          </w:p>
        </w:tc>
      </w:tr>
      <w:tr w:rsidR="005D1EF5" w:rsidRPr="00056CC9" w14:paraId="0B95A8E6" w14:textId="77777777" w:rsidTr="004805F8">
        <w:trPr>
          <w:jc w:val="center"/>
        </w:trPr>
        <w:tc>
          <w:tcPr>
            <w:tcW w:w="3062" w:type="dxa"/>
            <w:tcBorders>
              <w:top w:val="single" w:sz="6" w:space="0" w:color="auto"/>
              <w:left w:val="single" w:sz="6" w:space="0" w:color="auto"/>
              <w:bottom w:val="single" w:sz="6" w:space="0" w:color="auto"/>
              <w:right w:val="single" w:sz="6" w:space="0" w:color="auto"/>
            </w:tcBorders>
            <w:shd w:val="clear" w:color="auto" w:fill="FFFFFF"/>
          </w:tcPr>
          <w:p w14:paraId="089B8434" w14:textId="77777777" w:rsidR="005D1EF5" w:rsidRPr="00056CC9" w:rsidRDefault="005D1EF5" w:rsidP="00056CC9">
            <w:pPr>
              <w:shd w:val="clear" w:color="auto" w:fill="FFFFFF"/>
              <w:rPr>
                <w:sz w:val="22"/>
                <w:szCs w:val="22"/>
                <w:lang w:val="sr-Latn-ME"/>
              </w:rPr>
            </w:pPr>
          </w:p>
        </w:tc>
        <w:tc>
          <w:tcPr>
            <w:tcW w:w="5517" w:type="dxa"/>
            <w:gridSpan w:val="3"/>
            <w:tcBorders>
              <w:top w:val="single" w:sz="6" w:space="0" w:color="auto"/>
              <w:left w:val="single" w:sz="6" w:space="0" w:color="auto"/>
              <w:bottom w:val="single" w:sz="6" w:space="0" w:color="auto"/>
              <w:right w:val="single" w:sz="6" w:space="0" w:color="auto"/>
            </w:tcBorders>
            <w:shd w:val="clear" w:color="auto" w:fill="FFFFFF"/>
          </w:tcPr>
          <w:p w14:paraId="7B825E31" w14:textId="77777777" w:rsidR="005D1EF5" w:rsidRDefault="005D1EF5" w:rsidP="00056CC9">
            <w:pPr>
              <w:shd w:val="clear" w:color="auto" w:fill="FFFFFF"/>
              <w:jc w:val="center"/>
              <w:rPr>
                <w:color w:val="000000"/>
                <w:sz w:val="22"/>
                <w:szCs w:val="22"/>
                <w:lang w:val="sr-Latn-ME"/>
              </w:rPr>
            </w:pPr>
            <w:r w:rsidRPr="00056CC9">
              <w:rPr>
                <w:color w:val="000000"/>
                <w:sz w:val="22"/>
                <w:szCs w:val="22"/>
                <w:lang w:val="sr-Latn-ME"/>
              </w:rPr>
              <w:t>% pacijenata (CI</w:t>
            </w:r>
            <w:r w:rsidRPr="00056CC9">
              <w:rPr>
                <w:color w:val="000000"/>
                <w:sz w:val="22"/>
                <w:szCs w:val="22"/>
                <w:vertAlign w:val="subscript"/>
                <w:lang w:val="sr-Latn-ME"/>
              </w:rPr>
              <w:t>95%</w:t>
            </w:r>
            <w:r w:rsidRPr="00056CC9">
              <w:rPr>
                <w:color w:val="000000"/>
                <w:sz w:val="22"/>
                <w:szCs w:val="22"/>
                <w:lang w:val="sr-Latn-ME"/>
              </w:rPr>
              <w:t>)</w:t>
            </w:r>
          </w:p>
          <w:p w14:paraId="512B7789" w14:textId="56B86833" w:rsidR="007074BE" w:rsidRPr="00056CC9" w:rsidRDefault="007074BE" w:rsidP="00056CC9">
            <w:pPr>
              <w:shd w:val="clear" w:color="auto" w:fill="FFFFFF"/>
              <w:jc w:val="center"/>
              <w:rPr>
                <w:color w:val="000000"/>
                <w:sz w:val="22"/>
                <w:szCs w:val="22"/>
                <w:lang w:val="sr-Latn-ME"/>
              </w:rPr>
            </w:pPr>
          </w:p>
        </w:tc>
      </w:tr>
      <w:tr w:rsidR="005D1EF5" w:rsidRPr="00056CC9" w14:paraId="04FB2D48" w14:textId="77777777" w:rsidTr="004805F8">
        <w:trPr>
          <w:jc w:val="center"/>
        </w:trPr>
        <w:tc>
          <w:tcPr>
            <w:tcW w:w="3062" w:type="dxa"/>
            <w:tcBorders>
              <w:top w:val="single" w:sz="6" w:space="0" w:color="auto"/>
              <w:left w:val="single" w:sz="6" w:space="0" w:color="auto"/>
              <w:bottom w:val="single" w:sz="4" w:space="0" w:color="auto"/>
              <w:right w:val="single" w:sz="6" w:space="0" w:color="auto"/>
            </w:tcBorders>
            <w:shd w:val="clear" w:color="auto" w:fill="FFFFFF"/>
          </w:tcPr>
          <w:p w14:paraId="077D4923" w14:textId="77777777" w:rsidR="005D1EF5" w:rsidRPr="00056CC9" w:rsidRDefault="005D1EF5" w:rsidP="00056CC9">
            <w:pPr>
              <w:shd w:val="clear" w:color="auto" w:fill="FFFFFF"/>
              <w:rPr>
                <w:color w:val="000000"/>
                <w:sz w:val="22"/>
                <w:szCs w:val="22"/>
                <w:vertAlign w:val="superscript"/>
                <w:lang w:val="sr-Latn-ME"/>
              </w:rPr>
            </w:pPr>
            <w:r w:rsidRPr="00056CC9">
              <w:rPr>
                <w:color w:val="000000"/>
                <w:sz w:val="22"/>
                <w:szCs w:val="22"/>
                <w:lang w:val="sr-Latn-ME"/>
              </w:rPr>
              <w:t>Hematološki odgovor</w:t>
            </w:r>
            <w:r w:rsidRPr="00056CC9">
              <w:rPr>
                <w:color w:val="000000"/>
                <w:sz w:val="22"/>
                <w:szCs w:val="22"/>
                <w:vertAlign w:val="superscript"/>
                <w:lang w:val="sr-Latn-ME"/>
              </w:rPr>
              <w:t>1</w:t>
            </w:r>
          </w:p>
          <w:p w14:paraId="6C6B856D"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Kompletan hematološki odgovor (</w:t>
            </w:r>
            <w:smartTag w:uri="urn:schemas-microsoft-com:office:smarttags" w:element="stockticker">
              <w:r w:rsidRPr="00056CC9">
                <w:rPr>
                  <w:color w:val="000000"/>
                  <w:sz w:val="22"/>
                  <w:szCs w:val="22"/>
                  <w:lang w:val="sr-Latn-ME"/>
                </w:rPr>
                <w:t>CHR</w:t>
              </w:r>
            </w:smartTag>
            <w:r w:rsidRPr="00056CC9">
              <w:rPr>
                <w:color w:val="000000"/>
                <w:sz w:val="22"/>
                <w:szCs w:val="22"/>
                <w:lang w:val="sr-Latn-ME"/>
              </w:rPr>
              <w:t>)</w:t>
            </w:r>
          </w:p>
          <w:p w14:paraId="73EA8BE6"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Nema dokaza leukemije (NEL) Povratak na hroničnu fazu (</w:t>
            </w:r>
            <w:smartTag w:uri="urn:schemas-microsoft-com:office:smarttags" w:element="stockticker">
              <w:r w:rsidRPr="00056CC9">
                <w:rPr>
                  <w:color w:val="000000"/>
                  <w:sz w:val="22"/>
                  <w:szCs w:val="22"/>
                  <w:lang w:val="sr-Latn-ME"/>
                </w:rPr>
                <w:t>RTC</w:t>
              </w:r>
            </w:smartTag>
            <w:r w:rsidRPr="00056CC9">
              <w:rPr>
                <w:color w:val="000000"/>
                <w:sz w:val="22"/>
                <w:szCs w:val="22"/>
                <w:lang w:val="sr-Latn-ME"/>
              </w:rPr>
              <w:t>)</w:t>
            </w:r>
          </w:p>
        </w:tc>
        <w:tc>
          <w:tcPr>
            <w:tcW w:w="1797" w:type="dxa"/>
            <w:tcBorders>
              <w:top w:val="single" w:sz="6" w:space="0" w:color="auto"/>
              <w:left w:val="single" w:sz="6" w:space="0" w:color="auto"/>
              <w:bottom w:val="single" w:sz="4" w:space="0" w:color="auto"/>
              <w:right w:val="single" w:sz="6" w:space="0" w:color="auto"/>
            </w:tcBorders>
            <w:shd w:val="clear" w:color="auto" w:fill="FFFFFF"/>
          </w:tcPr>
          <w:p w14:paraId="0805E694" w14:textId="77777777" w:rsidR="005D1EF5" w:rsidRPr="00056CC9" w:rsidRDefault="005D1EF5" w:rsidP="00056CC9">
            <w:pPr>
              <w:shd w:val="clear" w:color="auto" w:fill="FFFFFF"/>
              <w:jc w:val="center"/>
              <w:rPr>
                <w:sz w:val="22"/>
                <w:szCs w:val="22"/>
                <w:lang w:val="sr-Latn-ME"/>
              </w:rPr>
            </w:pPr>
            <w:r w:rsidRPr="00056CC9">
              <w:rPr>
                <w:color w:val="000000"/>
                <w:sz w:val="22"/>
                <w:szCs w:val="22"/>
                <w:lang w:val="sr-Latn-ME"/>
              </w:rPr>
              <w:t>95% (92,3-96,3) 95%</w:t>
            </w:r>
          </w:p>
          <w:p w14:paraId="656B5E28" w14:textId="77777777" w:rsidR="005D1EF5" w:rsidRPr="00056CC9" w:rsidRDefault="005D1EF5" w:rsidP="00056CC9">
            <w:pPr>
              <w:shd w:val="clear" w:color="auto" w:fill="FFFFFF"/>
              <w:jc w:val="center"/>
              <w:rPr>
                <w:color w:val="000000"/>
                <w:sz w:val="22"/>
                <w:szCs w:val="22"/>
                <w:lang w:val="sr-Latn-ME"/>
              </w:rPr>
            </w:pPr>
          </w:p>
          <w:p w14:paraId="63080CAE"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Nije primjenljivo</w:t>
            </w:r>
          </w:p>
          <w:p w14:paraId="46DB5B7B" w14:textId="77777777" w:rsidR="005D1EF5" w:rsidRPr="00056CC9" w:rsidRDefault="005D1EF5" w:rsidP="00056CC9">
            <w:pPr>
              <w:shd w:val="clear" w:color="auto" w:fill="FFFFFF"/>
              <w:jc w:val="center"/>
              <w:rPr>
                <w:sz w:val="22"/>
                <w:szCs w:val="22"/>
                <w:lang w:val="sr-Latn-ME"/>
              </w:rPr>
            </w:pPr>
            <w:r w:rsidRPr="00056CC9">
              <w:rPr>
                <w:color w:val="000000"/>
                <w:sz w:val="22"/>
                <w:szCs w:val="22"/>
                <w:lang w:val="sr-Latn-ME"/>
              </w:rPr>
              <w:t>Nije primjenljivo</w:t>
            </w:r>
          </w:p>
        </w:tc>
        <w:tc>
          <w:tcPr>
            <w:tcW w:w="1884" w:type="dxa"/>
            <w:tcBorders>
              <w:top w:val="single" w:sz="6" w:space="0" w:color="auto"/>
              <w:left w:val="single" w:sz="6" w:space="0" w:color="auto"/>
              <w:bottom w:val="single" w:sz="4" w:space="0" w:color="auto"/>
              <w:right w:val="single" w:sz="6" w:space="0" w:color="auto"/>
            </w:tcBorders>
            <w:shd w:val="clear" w:color="auto" w:fill="FFFFFF"/>
          </w:tcPr>
          <w:p w14:paraId="68516994"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71% (65,3-77,2)</w:t>
            </w:r>
          </w:p>
          <w:p w14:paraId="164C4230" w14:textId="77777777" w:rsidR="005D1EF5" w:rsidRPr="00056CC9" w:rsidRDefault="005D1EF5" w:rsidP="00056CC9">
            <w:pPr>
              <w:shd w:val="clear" w:color="auto" w:fill="FFFFFF"/>
              <w:jc w:val="center"/>
              <w:rPr>
                <w:sz w:val="22"/>
                <w:szCs w:val="22"/>
                <w:lang w:val="sr-Latn-ME"/>
              </w:rPr>
            </w:pPr>
            <w:r w:rsidRPr="00056CC9">
              <w:rPr>
                <w:color w:val="000000"/>
                <w:sz w:val="22"/>
                <w:szCs w:val="22"/>
                <w:lang w:val="sr-Latn-ME"/>
              </w:rPr>
              <w:t>42%</w:t>
            </w:r>
          </w:p>
          <w:p w14:paraId="0693E2BD" w14:textId="77777777" w:rsidR="005D1EF5" w:rsidRPr="00056CC9" w:rsidRDefault="005D1EF5" w:rsidP="00056CC9">
            <w:pPr>
              <w:shd w:val="clear" w:color="auto" w:fill="FFFFFF"/>
              <w:jc w:val="center"/>
              <w:rPr>
                <w:color w:val="000000"/>
                <w:sz w:val="22"/>
                <w:szCs w:val="22"/>
                <w:lang w:val="sr-Latn-ME"/>
              </w:rPr>
            </w:pPr>
          </w:p>
          <w:p w14:paraId="726E2215"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12%</w:t>
            </w:r>
          </w:p>
          <w:p w14:paraId="061E6D07" w14:textId="77777777" w:rsidR="005D1EF5" w:rsidRPr="00056CC9" w:rsidRDefault="005D1EF5" w:rsidP="00056CC9">
            <w:pPr>
              <w:shd w:val="clear" w:color="auto" w:fill="FFFFFF"/>
              <w:jc w:val="center"/>
              <w:rPr>
                <w:sz w:val="22"/>
                <w:szCs w:val="22"/>
                <w:lang w:val="sr-Latn-ME"/>
              </w:rPr>
            </w:pPr>
            <w:r w:rsidRPr="00056CC9">
              <w:rPr>
                <w:color w:val="000000"/>
                <w:sz w:val="22"/>
                <w:szCs w:val="22"/>
                <w:lang w:val="sr-Latn-ME"/>
              </w:rPr>
              <w:t>17%</w:t>
            </w:r>
          </w:p>
        </w:tc>
        <w:tc>
          <w:tcPr>
            <w:tcW w:w="1836" w:type="dxa"/>
            <w:tcBorders>
              <w:top w:val="single" w:sz="6" w:space="0" w:color="auto"/>
              <w:left w:val="single" w:sz="6" w:space="0" w:color="auto"/>
              <w:bottom w:val="single" w:sz="4" w:space="0" w:color="auto"/>
              <w:right w:val="single" w:sz="6" w:space="0" w:color="auto"/>
            </w:tcBorders>
            <w:shd w:val="clear" w:color="auto" w:fill="FFFFFF"/>
          </w:tcPr>
          <w:p w14:paraId="58496083"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31% (25,2-36,8)</w:t>
            </w:r>
          </w:p>
          <w:p w14:paraId="1208598F" w14:textId="77777777" w:rsidR="005D1EF5" w:rsidRPr="00056CC9" w:rsidRDefault="005D1EF5" w:rsidP="00056CC9">
            <w:pPr>
              <w:shd w:val="clear" w:color="auto" w:fill="FFFFFF"/>
              <w:jc w:val="center"/>
              <w:rPr>
                <w:sz w:val="22"/>
                <w:szCs w:val="22"/>
                <w:lang w:val="sr-Latn-ME"/>
              </w:rPr>
            </w:pPr>
            <w:r w:rsidRPr="00056CC9">
              <w:rPr>
                <w:color w:val="000000"/>
                <w:sz w:val="22"/>
                <w:szCs w:val="22"/>
                <w:lang w:val="sr-Latn-ME"/>
              </w:rPr>
              <w:t>8%</w:t>
            </w:r>
          </w:p>
          <w:p w14:paraId="65607FDD" w14:textId="77777777" w:rsidR="005D1EF5" w:rsidRPr="00056CC9" w:rsidRDefault="005D1EF5" w:rsidP="00056CC9">
            <w:pPr>
              <w:shd w:val="clear" w:color="auto" w:fill="FFFFFF"/>
              <w:jc w:val="center"/>
              <w:rPr>
                <w:color w:val="000000"/>
                <w:sz w:val="22"/>
                <w:szCs w:val="22"/>
                <w:lang w:val="sr-Latn-ME"/>
              </w:rPr>
            </w:pPr>
          </w:p>
          <w:p w14:paraId="421634FA"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5%</w:t>
            </w:r>
          </w:p>
          <w:p w14:paraId="68FB1FAD" w14:textId="77777777" w:rsidR="005D1EF5" w:rsidRPr="00056CC9" w:rsidRDefault="005D1EF5" w:rsidP="00056CC9">
            <w:pPr>
              <w:shd w:val="clear" w:color="auto" w:fill="FFFFFF"/>
              <w:jc w:val="center"/>
              <w:rPr>
                <w:sz w:val="22"/>
                <w:szCs w:val="22"/>
                <w:lang w:val="sr-Latn-ME"/>
              </w:rPr>
            </w:pPr>
            <w:r w:rsidRPr="00056CC9">
              <w:rPr>
                <w:color w:val="000000"/>
                <w:sz w:val="22"/>
                <w:szCs w:val="22"/>
                <w:lang w:val="sr-Latn-ME"/>
              </w:rPr>
              <w:t>18%</w:t>
            </w:r>
          </w:p>
        </w:tc>
      </w:tr>
      <w:tr w:rsidR="005D1EF5" w:rsidRPr="00056CC9" w14:paraId="61CAA102" w14:textId="77777777" w:rsidTr="004805F8">
        <w:trPr>
          <w:jc w:val="center"/>
        </w:trPr>
        <w:tc>
          <w:tcPr>
            <w:tcW w:w="3062" w:type="dxa"/>
            <w:tcBorders>
              <w:top w:val="single" w:sz="4" w:space="0" w:color="auto"/>
              <w:left w:val="single" w:sz="6" w:space="0" w:color="auto"/>
              <w:bottom w:val="single" w:sz="6" w:space="0" w:color="auto"/>
              <w:right w:val="single" w:sz="6" w:space="0" w:color="auto"/>
            </w:tcBorders>
            <w:shd w:val="clear" w:color="auto" w:fill="FFFFFF"/>
          </w:tcPr>
          <w:p w14:paraId="3304D92E"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Glavni citogenetski odgovor</w:t>
            </w:r>
            <w:r w:rsidRPr="00056CC9">
              <w:rPr>
                <w:color w:val="000000"/>
                <w:sz w:val="22"/>
                <w:szCs w:val="22"/>
                <w:vertAlign w:val="superscript"/>
                <w:lang w:val="sr-Latn-ME"/>
              </w:rPr>
              <w:t xml:space="preserve">2 </w:t>
            </w:r>
            <w:r w:rsidRPr="00056CC9">
              <w:rPr>
                <w:color w:val="000000"/>
                <w:sz w:val="22"/>
                <w:szCs w:val="22"/>
                <w:lang w:val="sr-Latn-ME"/>
              </w:rPr>
              <w:t>Kompletan</w:t>
            </w:r>
          </w:p>
          <w:p w14:paraId="5C0C9220"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(Potvrđena</w:t>
            </w:r>
            <w:r w:rsidRPr="00056CC9">
              <w:rPr>
                <w:color w:val="000000"/>
                <w:sz w:val="22"/>
                <w:szCs w:val="22"/>
                <w:vertAlign w:val="superscript"/>
                <w:lang w:val="sr-Latn-ME"/>
              </w:rPr>
              <w:t>3</w:t>
            </w:r>
            <w:r w:rsidRPr="00056CC9">
              <w:rPr>
                <w:color w:val="000000"/>
                <w:sz w:val="22"/>
                <w:szCs w:val="22"/>
                <w:lang w:val="sr-Latn-ME"/>
              </w:rPr>
              <w:t>) [95% CI]</w:t>
            </w:r>
          </w:p>
          <w:p w14:paraId="694EBC59"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Djelimičan</w:t>
            </w:r>
          </w:p>
        </w:tc>
        <w:tc>
          <w:tcPr>
            <w:tcW w:w="1797" w:type="dxa"/>
            <w:tcBorders>
              <w:top w:val="single" w:sz="4" w:space="0" w:color="auto"/>
              <w:left w:val="single" w:sz="6" w:space="0" w:color="auto"/>
              <w:bottom w:val="single" w:sz="6" w:space="0" w:color="auto"/>
              <w:right w:val="single" w:sz="6" w:space="0" w:color="auto"/>
            </w:tcBorders>
            <w:shd w:val="clear" w:color="auto" w:fill="FFFFFF"/>
          </w:tcPr>
          <w:p w14:paraId="0C9CA3A9"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65% (61,2-69,5) 53%</w:t>
            </w:r>
          </w:p>
          <w:p w14:paraId="703F5180" w14:textId="77777777" w:rsidR="005D1EF5" w:rsidRPr="00056CC9" w:rsidRDefault="005D1EF5" w:rsidP="00056CC9">
            <w:pPr>
              <w:shd w:val="clear" w:color="auto" w:fill="FFFFFF"/>
              <w:jc w:val="center"/>
              <w:rPr>
                <w:sz w:val="22"/>
                <w:szCs w:val="22"/>
                <w:lang w:val="sr-Latn-ME"/>
              </w:rPr>
            </w:pPr>
            <w:r w:rsidRPr="00056CC9">
              <w:rPr>
                <w:color w:val="000000"/>
                <w:sz w:val="22"/>
                <w:szCs w:val="22"/>
                <w:lang w:val="sr-Latn-ME"/>
              </w:rPr>
              <w:t>(43%) [38,6-47,2] 12%</w:t>
            </w:r>
          </w:p>
        </w:tc>
        <w:tc>
          <w:tcPr>
            <w:tcW w:w="1884" w:type="dxa"/>
            <w:tcBorders>
              <w:top w:val="single" w:sz="4" w:space="0" w:color="auto"/>
              <w:left w:val="single" w:sz="6" w:space="0" w:color="auto"/>
              <w:bottom w:val="single" w:sz="6" w:space="0" w:color="auto"/>
              <w:right w:val="single" w:sz="6" w:space="0" w:color="auto"/>
            </w:tcBorders>
            <w:shd w:val="clear" w:color="auto" w:fill="FFFFFF"/>
          </w:tcPr>
          <w:p w14:paraId="482683CD"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28% (22,0-33,9)</w:t>
            </w:r>
          </w:p>
          <w:p w14:paraId="089B2352"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20%</w:t>
            </w:r>
          </w:p>
          <w:p w14:paraId="42A6BE15"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(16%) [11,3-21,0]</w:t>
            </w:r>
          </w:p>
          <w:p w14:paraId="70F9C4C4" w14:textId="77777777" w:rsidR="005D1EF5" w:rsidRDefault="005D1EF5" w:rsidP="00056CC9">
            <w:pPr>
              <w:shd w:val="clear" w:color="auto" w:fill="FFFFFF"/>
              <w:jc w:val="center"/>
              <w:rPr>
                <w:color w:val="000000"/>
                <w:sz w:val="22"/>
                <w:szCs w:val="22"/>
                <w:lang w:val="sr-Latn-ME"/>
              </w:rPr>
            </w:pPr>
            <w:r w:rsidRPr="00056CC9">
              <w:rPr>
                <w:color w:val="000000"/>
                <w:sz w:val="22"/>
                <w:szCs w:val="22"/>
                <w:lang w:val="sr-Latn-ME"/>
              </w:rPr>
              <w:t>7%</w:t>
            </w:r>
          </w:p>
          <w:p w14:paraId="11D6F570" w14:textId="461A108D" w:rsidR="007074BE" w:rsidRPr="00056CC9" w:rsidRDefault="007074BE" w:rsidP="00056CC9">
            <w:pPr>
              <w:shd w:val="clear" w:color="auto" w:fill="FFFFFF"/>
              <w:jc w:val="center"/>
              <w:rPr>
                <w:sz w:val="22"/>
                <w:szCs w:val="22"/>
                <w:lang w:val="sr-Latn-ME"/>
              </w:rPr>
            </w:pPr>
          </w:p>
        </w:tc>
        <w:tc>
          <w:tcPr>
            <w:tcW w:w="1836" w:type="dxa"/>
            <w:tcBorders>
              <w:top w:val="single" w:sz="4" w:space="0" w:color="auto"/>
              <w:left w:val="single" w:sz="6" w:space="0" w:color="auto"/>
              <w:bottom w:val="single" w:sz="6" w:space="0" w:color="auto"/>
              <w:right w:val="single" w:sz="6" w:space="0" w:color="auto"/>
            </w:tcBorders>
            <w:shd w:val="clear" w:color="auto" w:fill="FFFFFF"/>
          </w:tcPr>
          <w:p w14:paraId="7E9279F0"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15% (11,2-20,4)</w:t>
            </w:r>
          </w:p>
          <w:p w14:paraId="545CEB7D"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7%</w:t>
            </w:r>
          </w:p>
          <w:p w14:paraId="0BC30BA1" w14:textId="77777777" w:rsidR="005D1EF5" w:rsidRPr="00056CC9" w:rsidRDefault="005D1EF5" w:rsidP="00056CC9">
            <w:pPr>
              <w:shd w:val="clear" w:color="auto" w:fill="FFFFFF"/>
              <w:jc w:val="center"/>
              <w:rPr>
                <w:color w:val="000000"/>
                <w:sz w:val="22"/>
                <w:szCs w:val="22"/>
                <w:lang w:val="sr-Latn-ME"/>
              </w:rPr>
            </w:pPr>
            <w:r w:rsidRPr="00056CC9">
              <w:rPr>
                <w:color w:val="000000"/>
                <w:sz w:val="22"/>
                <w:szCs w:val="22"/>
                <w:lang w:val="sr-Latn-ME"/>
              </w:rPr>
              <w:t>(2%) [0,6-4,4]</w:t>
            </w:r>
          </w:p>
          <w:p w14:paraId="54A1E492" w14:textId="77777777" w:rsidR="005D1EF5" w:rsidRPr="00056CC9" w:rsidRDefault="005D1EF5" w:rsidP="00056CC9">
            <w:pPr>
              <w:shd w:val="clear" w:color="auto" w:fill="FFFFFF"/>
              <w:jc w:val="center"/>
              <w:rPr>
                <w:sz w:val="22"/>
                <w:szCs w:val="22"/>
                <w:lang w:val="sr-Latn-ME"/>
              </w:rPr>
            </w:pPr>
            <w:r w:rsidRPr="00056CC9">
              <w:rPr>
                <w:color w:val="000000"/>
                <w:sz w:val="22"/>
                <w:szCs w:val="22"/>
                <w:lang w:val="sr-Latn-ME"/>
              </w:rPr>
              <w:t>8%</w:t>
            </w:r>
          </w:p>
        </w:tc>
      </w:tr>
      <w:tr w:rsidR="005D1EF5" w:rsidRPr="00056CC9" w14:paraId="44EC1A33" w14:textId="77777777" w:rsidTr="004805F8">
        <w:trPr>
          <w:jc w:val="center"/>
        </w:trPr>
        <w:tc>
          <w:tcPr>
            <w:tcW w:w="8579" w:type="dxa"/>
            <w:gridSpan w:val="4"/>
            <w:tcBorders>
              <w:top w:val="single" w:sz="6" w:space="0" w:color="auto"/>
              <w:left w:val="single" w:sz="6" w:space="0" w:color="auto"/>
              <w:bottom w:val="single" w:sz="6" w:space="0" w:color="auto"/>
              <w:right w:val="single" w:sz="6" w:space="0" w:color="auto"/>
            </w:tcBorders>
            <w:shd w:val="clear" w:color="auto" w:fill="FFFFFF"/>
          </w:tcPr>
          <w:p w14:paraId="358FC01D" w14:textId="77777777" w:rsidR="005D1EF5" w:rsidRPr="00056CC9" w:rsidRDefault="005D1EF5" w:rsidP="00056CC9">
            <w:pPr>
              <w:rPr>
                <w:b/>
                <w:bCs/>
                <w:sz w:val="22"/>
                <w:szCs w:val="22"/>
                <w:lang w:val="sr-Latn-ME"/>
              </w:rPr>
            </w:pPr>
            <w:r w:rsidRPr="00056CC9">
              <w:rPr>
                <w:b/>
                <w:bCs/>
                <w:sz w:val="22"/>
                <w:szCs w:val="22"/>
                <w:vertAlign w:val="superscript"/>
                <w:lang w:val="sr-Latn-ME"/>
              </w:rPr>
              <w:lastRenderedPageBreak/>
              <w:t xml:space="preserve"> 1</w:t>
            </w:r>
            <w:r w:rsidRPr="00056CC9">
              <w:rPr>
                <w:b/>
                <w:bCs/>
                <w:sz w:val="22"/>
                <w:szCs w:val="22"/>
                <w:lang w:val="sr-Latn-ME"/>
              </w:rPr>
              <w:t xml:space="preserve"> Kriterijumi hematološkog odgovora (svi odgovori treba da budu potvrđeni poslije ≥ 4 nedjelje):</w:t>
            </w:r>
          </w:p>
          <w:p w14:paraId="66C9F213" w14:textId="77777777" w:rsidR="005D1EF5" w:rsidRPr="00056CC9" w:rsidRDefault="005D1EF5" w:rsidP="00056CC9">
            <w:pPr>
              <w:rPr>
                <w:sz w:val="22"/>
                <w:szCs w:val="22"/>
                <w:lang w:val="sr-Latn-ME"/>
              </w:rPr>
            </w:pPr>
            <w:smartTag w:uri="urn:schemas-microsoft-com:office:smarttags" w:element="stockticker">
              <w:r w:rsidRPr="00056CC9">
                <w:rPr>
                  <w:sz w:val="22"/>
                  <w:szCs w:val="22"/>
                  <w:lang w:val="sr-Latn-ME"/>
                </w:rPr>
                <w:t xml:space="preserve"> CHR</w:t>
              </w:r>
            </w:smartTag>
            <w:r w:rsidRPr="00056CC9">
              <w:rPr>
                <w:sz w:val="22"/>
                <w:szCs w:val="22"/>
                <w:lang w:val="sr-Latn-ME"/>
              </w:rPr>
              <w:t>: studija 0110 [WBC &lt; 10 × 10</w:t>
            </w:r>
            <w:r w:rsidRPr="00056CC9">
              <w:rPr>
                <w:sz w:val="22"/>
                <w:szCs w:val="22"/>
                <w:vertAlign w:val="superscript"/>
                <w:lang w:val="sr-Latn-ME"/>
              </w:rPr>
              <w:t>9</w:t>
            </w:r>
            <w:r w:rsidRPr="00056CC9">
              <w:rPr>
                <w:sz w:val="22"/>
                <w:szCs w:val="22"/>
                <w:lang w:val="sr-Latn-ME"/>
              </w:rPr>
              <w:t>/l, trombociti &lt; 450 × 10</w:t>
            </w:r>
            <w:r w:rsidRPr="00056CC9">
              <w:rPr>
                <w:sz w:val="22"/>
                <w:szCs w:val="22"/>
                <w:vertAlign w:val="superscript"/>
                <w:lang w:val="sr-Latn-ME"/>
              </w:rPr>
              <w:t>9</w:t>
            </w:r>
            <w:r w:rsidRPr="00056CC9">
              <w:rPr>
                <w:sz w:val="22"/>
                <w:szCs w:val="22"/>
                <w:lang w:val="sr-Latn-ME"/>
              </w:rPr>
              <w:t>/l, mijelocit+metamijelocit &lt; 5% u krvi, bez blastocita i promijelocita u krvi, bazofili &lt; 20%, bez ekstramedularne aktivnosti] i u studijama 0102 i 0109 [ANC ≥ 1,5 × 10</w:t>
            </w:r>
            <w:r w:rsidRPr="00056CC9">
              <w:rPr>
                <w:sz w:val="22"/>
                <w:szCs w:val="22"/>
                <w:vertAlign w:val="superscript"/>
                <w:lang w:val="sr-Latn-ME"/>
              </w:rPr>
              <w:t>9</w:t>
            </w:r>
            <w:r w:rsidRPr="00056CC9">
              <w:rPr>
                <w:sz w:val="22"/>
                <w:szCs w:val="22"/>
                <w:lang w:val="sr-Latn-ME"/>
              </w:rPr>
              <w:t>/l, trombociti ≥ 100 × 10</w:t>
            </w:r>
            <w:r w:rsidRPr="00056CC9">
              <w:rPr>
                <w:sz w:val="22"/>
                <w:szCs w:val="22"/>
                <w:vertAlign w:val="superscript"/>
                <w:lang w:val="sr-Latn-ME"/>
              </w:rPr>
              <w:t>9</w:t>
            </w:r>
            <w:r w:rsidRPr="00056CC9">
              <w:rPr>
                <w:sz w:val="22"/>
                <w:szCs w:val="22"/>
                <w:lang w:val="sr-Latn-ME"/>
              </w:rPr>
              <w:t>/l, nema blastocita u krvi,  BM blastocit &lt; 5% i bez ekstramedularne bolesti]</w:t>
            </w:r>
          </w:p>
          <w:p w14:paraId="6C589F10" w14:textId="77777777" w:rsidR="005D1EF5" w:rsidRPr="00056CC9" w:rsidRDefault="005D1EF5" w:rsidP="00056CC9">
            <w:pPr>
              <w:rPr>
                <w:sz w:val="22"/>
                <w:szCs w:val="22"/>
                <w:lang w:val="sr-Latn-ME"/>
              </w:rPr>
            </w:pPr>
          </w:p>
          <w:p w14:paraId="1EDB12B0" w14:textId="77777777" w:rsidR="005D1EF5" w:rsidRPr="00056CC9" w:rsidRDefault="005D1EF5" w:rsidP="00056CC9">
            <w:pPr>
              <w:rPr>
                <w:sz w:val="22"/>
                <w:szCs w:val="22"/>
                <w:lang w:val="sr-Latn-ME"/>
              </w:rPr>
            </w:pPr>
            <w:r w:rsidRPr="00056CC9">
              <w:rPr>
                <w:sz w:val="22"/>
                <w:szCs w:val="22"/>
                <w:lang w:val="sr-Latn-ME"/>
              </w:rPr>
              <w:t xml:space="preserve"> NEL (engl. </w:t>
            </w:r>
            <w:r w:rsidRPr="00056CC9">
              <w:rPr>
                <w:i/>
                <w:sz w:val="22"/>
                <w:szCs w:val="22"/>
                <w:lang w:val="sr-Latn-ME"/>
              </w:rPr>
              <w:t>no evidence of leukaemia</w:t>
            </w:r>
            <w:r w:rsidRPr="00056CC9">
              <w:rPr>
                <w:sz w:val="22"/>
                <w:szCs w:val="22"/>
                <w:lang w:val="sr-Latn-ME"/>
              </w:rPr>
              <w:t xml:space="preserve">):  Isti kriterijumi kao za </w:t>
            </w:r>
            <w:smartTag w:uri="urn:schemas-microsoft-com:office:smarttags" w:element="stockticker">
              <w:r w:rsidRPr="00056CC9">
                <w:rPr>
                  <w:sz w:val="22"/>
                  <w:szCs w:val="22"/>
                  <w:lang w:val="sr-Latn-ME"/>
                </w:rPr>
                <w:t>CHR</w:t>
              </w:r>
            </w:smartTag>
            <w:r w:rsidRPr="00056CC9">
              <w:rPr>
                <w:sz w:val="22"/>
                <w:szCs w:val="22"/>
                <w:lang w:val="sr-Latn-ME"/>
              </w:rPr>
              <w:t xml:space="preserve"> ali ANC ≥ 1 × 10</w:t>
            </w:r>
            <w:r w:rsidRPr="00056CC9">
              <w:rPr>
                <w:sz w:val="22"/>
                <w:szCs w:val="22"/>
                <w:vertAlign w:val="superscript"/>
                <w:lang w:val="sr-Latn-ME"/>
              </w:rPr>
              <w:t>9</w:t>
            </w:r>
            <w:r w:rsidRPr="00056CC9">
              <w:rPr>
                <w:sz w:val="22"/>
                <w:szCs w:val="22"/>
                <w:lang w:val="sr-Latn-ME"/>
              </w:rPr>
              <w:t>/l a trombociti ≥ 20 × 10</w:t>
            </w:r>
            <w:r w:rsidRPr="00056CC9">
              <w:rPr>
                <w:sz w:val="22"/>
                <w:szCs w:val="22"/>
                <w:vertAlign w:val="superscript"/>
                <w:lang w:val="sr-Latn-ME"/>
              </w:rPr>
              <w:t>9</w:t>
            </w:r>
            <w:r w:rsidRPr="00056CC9">
              <w:rPr>
                <w:sz w:val="22"/>
                <w:szCs w:val="22"/>
                <w:lang w:val="sr-Latn-ME"/>
              </w:rPr>
              <w:t xml:space="preserve">/l (samo 0102 i 0109) </w:t>
            </w:r>
          </w:p>
          <w:p w14:paraId="5568B6BD" w14:textId="77777777" w:rsidR="005D1EF5" w:rsidRPr="00056CC9" w:rsidRDefault="005D1EF5" w:rsidP="00056CC9">
            <w:pPr>
              <w:rPr>
                <w:sz w:val="22"/>
                <w:szCs w:val="22"/>
                <w:lang w:val="sr-Latn-ME"/>
              </w:rPr>
            </w:pPr>
          </w:p>
          <w:p w14:paraId="2D375178" w14:textId="77777777" w:rsidR="005D1EF5" w:rsidRPr="00056CC9" w:rsidRDefault="005D1EF5" w:rsidP="00056CC9">
            <w:pPr>
              <w:rPr>
                <w:sz w:val="22"/>
                <w:szCs w:val="22"/>
                <w:lang w:val="sr-Latn-ME"/>
              </w:rPr>
            </w:pPr>
            <w:smartTag w:uri="urn:schemas-microsoft-com:office:smarttags" w:element="stockticker">
              <w:r w:rsidRPr="00056CC9">
                <w:rPr>
                  <w:sz w:val="22"/>
                  <w:szCs w:val="22"/>
                  <w:lang w:val="sr-Latn-ME"/>
                </w:rPr>
                <w:t xml:space="preserve"> RTC</w:t>
              </w:r>
            </w:smartTag>
            <w:r w:rsidRPr="00056CC9">
              <w:rPr>
                <w:sz w:val="22"/>
                <w:szCs w:val="22"/>
                <w:lang w:val="sr-Latn-ME"/>
              </w:rPr>
              <w:t xml:space="preserve"> (engl. </w:t>
            </w:r>
            <w:r w:rsidRPr="00056CC9">
              <w:rPr>
                <w:i/>
                <w:sz w:val="22"/>
                <w:szCs w:val="22"/>
                <w:lang w:val="sr-Latn-ME"/>
              </w:rPr>
              <w:t>return to chronic phase</w:t>
            </w:r>
            <w:r w:rsidRPr="00056CC9">
              <w:rPr>
                <w:sz w:val="22"/>
                <w:szCs w:val="22"/>
                <w:lang w:val="sr-Latn-ME"/>
              </w:rPr>
              <w:t xml:space="preserve">) &lt; 15% blastocita BM i PB, &lt; 30% blastocita+promijelocita u BM i PB, &lt; 20% bazofila u PB, bez ekstramedularne bolesti osim slezine i jetre (samo za 0102 i  0109). </w:t>
            </w:r>
          </w:p>
          <w:p w14:paraId="3E3D3625" w14:textId="77777777" w:rsidR="005D1EF5" w:rsidRPr="00056CC9" w:rsidRDefault="005D1EF5" w:rsidP="00056CC9">
            <w:pPr>
              <w:rPr>
                <w:sz w:val="22"/>
                <w:szCs w:val="22"/>
                <w:lang w:val="sr-Latn-ME"/>
              </w:rPr>
            </w:pPr>
          </w:p>
          <w:p w14:paraId="4D530334" w14:textId="77777777" w:rsidR="005D1EF5" w:rsidRPr="00056CC9" w:rsidRDefault="005D1EF5" w:rsidP="00056CC9">
            <w:pPr>
              <w:rPr>
                <w:sz w:val="22"/>
                <w:szCs w:val="22"/>
                <w:vertAlign w:val="superscript"/>
                <w:lang w:val="sr-Latn-ME"/>
              </w:rPr>
            </w:pPr>
            <w:r w:rsidRPr="00056CC9">
              <w:rPr>
                <w:sz w:val="22"/>
                <w:szCs w:val="22"/>
                <w:lang w:val="sr-Latn-ME"/>
              </w:rPr>
              <w:t xml:space="preserve"> BM (engl. </w:t>
            </w:r>
            <w:r w:rsidRPr="00056CC9">
              <w:rPr>
                <w:i/>
                <w:sz w:val="22"/>
                <w:szCs w:val="22"/>
                <w:lang w:val="sr-Latn-ME"/>
              </w:rPr>
              <w:t>bone marrow</w:t>
            </w:r>
            <w:r w:rsidRPr="00056CC9">
              <w:rPr>
                <w:sz w:val="22"/>
                <w:szCs w:val="22"/>
                <w:lang w:val="sr-Latn-ME"/>
              </w:rPr>
              <w:t xml:space="preserve">) = kostna srž, PB (engl. </w:t>
            </w:r>
            <w:r w:rsidRPr="00056CC9">
              <w:rPr>
                <w:i/>
                <w:sz w:val="22"/>
                <w:szCs w:val="22"/>
                <w:lang w:val="sr-Latn-ME"/>
              </w:rPr>
              <w:t>peripheral blood</w:t>
            </w:r>
            <w:r w:rsidRPr="00056CC9">
              <w:rPr>
                <w:sz w:val="22"/>
                <w:szCs w:val="22"/>
                <w:lang w:val="sr-Latn-ME"/>
              </w:rPr>
              <w:t xml:space="preserve">) = periferna krv </w:t>
            </w:r>
          </w:p>
          <w:p w14:paraId="04AED2F6" w14:textId="77777777" w:rsidR="005D1EF5" w:rsidRPr="00056CC9" w:rsidRDefault="005D1EF5" w:rsidP="00056CC9">
            <w:pPr>
              <w:shd w:val="clear" w:color="auto" w:fill="FFFFFF"/>
              <w:tabs>
                <w:tab w:val="left" w:pos="567"/>
              </w:tabs>
              <w:spacing w:before="120"/>
              <w:ind w:left="567" w:hanging="567"/>
              <w:rPr>
                <w:b/>
                <w:bCs/>
                <w:color w:val="000000"/>
                <w:sz w:val="22"/>
                <w:szCs w:val="22"/>
                <w:lang w:val="sr-Latn-ME"/>
              </w:rPr>
            </w:pPr>
            <w:r w:rsidRPr="00056CC9">
              <w:rPr>
                <w:color w:val="000000"/>
                <w:sz w:val="22"/>
                <w:szCs w:val="22"/>
                <w:vertAlign w:val="superscript"/>
                <w:lang w:val="sr-Latn-ME"/>
              </w:rPr>
              <w:t>2</w:t>
            </w:r>
            <w:r w:rsidRPr="00056CC9">
              <w:rPr>
                <w:color w:val="000000"/>
                <w:sz w:val="22"/>
                <w:szCs w:val="22"/>
                <w:lang w:val="sr-Latn-ME"/>
              </w:rPr>
              <w:t xml:space="preserve"> </w:t>
            </w:r>
            <w:r w:rsidRPr="00056CC9">
              <w:rPr>
                <w:b/>
                <w:color w:val="000000"/>
                <w:sz w:val="22"/>
                <w:szCs w:val="22"/>
                <w:lang w:val="sr-Latn-ME"/>
              </w:rPr>
              <w:t xml:space="preserve">Kriterijumi </w:t>
            </w:r>
            <w:r w:rsidRPr="00056CC9">
              <w:rPr>
                <w:b/>
                <w:bCs/>
                <w:color w:val="000000"/>
                <w:sz w:val="22"/>
                <w:szCs w:val="22"/>
                <w:lang w:val="sr-Latn-ME"/>
              </w:rPr>
              <w:t>citogenetskog odgovora:</w:t>
            </w:r>
          </w:p>
          <w:p w14:paraId="41DFDE84"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 xml:space="preserve"> Glavni odgovor obuhvata i kompletan i parcijalan odgovor: kompletan (0% Ph+ metafaze),  </w:t>
            </w:r>
          </w:p>
          <w:p w14:paraId="44683BCE"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 xml:space="preserve"> parcijalna (1-35%) </w:t>
            </w:r>
          </w:p>
          <w:p w14:paraId="6DCB1D1C" w14:textId="77777777" w:rsidR="005D1EF5" w:rsidRPr="00056CC9" w:rsidRDefault="005D1EF5" w:rsidP="00056CC9">
            <w:pPr>
              <w:shd w:val="clear" w:color="auto" w:fill="FFFFFF"/>
              <w:rPr>
                <w:color w:val="000000"/>
                <w:sz w:val="22"/>
                <w:szCs w:val="22"/>
                <w:lang w:val="sr-Latn-ME"/>
              </w:rPr>
            </w:pPr>
            <w:r w:rsidRPr="00056CC9">
              <w:rPr>
                <w:color w:val="000000"/>
                <w:sz w:val="22"/>
                <w:szCs w:val="22"/>
                <w:vertAlign w:val="superscript"/>
                <w:lang w:val="sr-Latn-ME"/>
              </w:rPr>
              <w:t xml:space="preserve"> 3</w:t>
            </w:r>
            <w:r w:rsidRPr="00056CC9">
              <w:rPr>
                <w:color w:val="000000"/>
                <w:sz w:val="22"/>
                <w:szCs w:val="22"/>
                <w:lang w:val="sr-Latn-ME"/>
              </w:rPr>
              <w:t xml:space="preserve"> Kompletan citogenetski odgovor potvrđen drugom citogenetskom evaluacijom kostne srži  </w:t>
            </w:r>
          </w:p>
          <w:p w14:paraId="24289BC2" w14:textId="77777777" w:rsidR="005D1EF5" w:rsidRPr="00056CC9" w:rsidRDefault="005D1EF5" w:rsidP="00056CC9">
            <w:pPr>
              <w:shd w:val="clear" w:color="auto" w:fill="FFFFFF"/>
              <w:rPr>
                <w:color w:val="000000"/>
                <w:sz w:val="22"/>
                <w:szCs w:val="22"/>
                <w:lang w:val="sr-Latn-ME"/>
              </w:rPr>
            </w:pPr>
            <w:r w:rsidRPr="00056CC9">
              <w:rPr>
                <w:color w:val="000000"/>
                <w:sz w:val="22"/>
                <w:szCs w:val="22"/>
                <w:lang w:val="sr-Latn-ME"/>
              </w:rPr>
              <w:t xml:space="preserve"> obavljenom bar jedan mjesec nakon početnog ispitivanja kostne srži.</w:t>
            </w:r>
          </w:p>
        </w:tc>
      </w:tr>
    </w:tbl>
    <w:p w14:paraId="30B5DD43" w14:textId="77777777" w:rsidR="005D1EF5" w:rsidRPr="00056CC9" w:rsidRDefault="005D1EF5" w:rsidP="00056CC9">
      <w:pPr>
        <w:pStyle w:val="NoSpacing"/>
        <w:rPr>
          <w:b/>
          <w:bCs/>
          <w:sz w:val="22"/>
          <w:szCs w:val="22"/>
          <w:lang w:val="sr-Latn-ME"/>
        </w:rPr>
      </w:pPr>
    </w:p>
    <w:p w14:paraId="4BF618CC" w14:textId="77777777" w:rsidR="005D1EF5" w:rsidRPr="00056CC9" w:rsidRDefault="005D1EF5" w:rsidP="00056CC9">
      <w:pPr>
        <w:shd w:val="clear" w:color="auto" w:fill="FFFFFF"/>
        <w:spacing w:before="120"/>
        <w:jc w:val="both"/>
        <w:rPr>
          <w:color w:val="000000"/>
          <w:sz w:val="22"/>
          <w:szCs w:val="22"/>
          <w:lang w:val="sr-Latn-ME"/>
        </w:rPr>
      </w:pPr>
      <w:r w:rsidRPr="00056CC9">
        <w:rPr>
          <w:i/>
          <w:iCs/>
          <w:color w:val="000000"/>
          <w:sz w:val="22"/>
          <w:szCs w:val="22"/>
          <w:lang w:val="sr-Latn-ME"/>
        </w:rPr>
        <w:t xml:space="preserve">Pedijatrijski pacijenti: </w:t>
      </w:r>
      <w:r w:rsidRPr="00056CC9">
        <w:rPr>
          <w:color w:val="000000"/>
          <w:sz w:val="22"/>
          <w:szCs w:val="22"/>
          <w:lang w:val="sr-Latn-ME"/>
        </w:rPr>
        <w:t xml:space="preserve">Ukupno 26 pedijatrijskih pacijenata uzrasta &lt; 18 godina sa ili hroničnom fazom CML (n=11), ili CML u blastnoj krizi ili Ph+ akutnoj leukemiji (n=15), uključeno je u fazu I studije sa povećavanjem doza. To je bila populacija prethodno obimno liječenih pacijenata, pošto je 46% prethodno imalo BMT (engl. </w:t>
      </w:r>
      <w:r w:rsidRPr="00056CC9">
        <w:rPr>
          <w:i/>
          <w:color w:val="000000"/>
          <w:sz w:val="22"/>
          <w:szCs w:val="22"/>
          <w:lang w:val="sr-Latn-ME"/>
        </w:rPr>
        <w:t>bone marrow transplant</w:t>
      </w:r>
      <w:r w:rsidRPr="00056CC9">
        <w:rPr>
          <w:color w:val="000000"/>
          <w:sz w:val="22"/>
          <w:szCs w:val="22"/>
          <w:lang w:val="sr-Latn-ME"/>
        </w:rPr>
        <w:t xml:space="preserve">), a 73% je primilo hemoterapiju koja se sastojala od nekoliko ljekova. Pacijenti su liječeni dozama </w:t>
      </w:r>
      <w:r w:rsidRPr="00056CC9">
        <w:rPr>
          <w:bCs/>
          <w:sz w:val="22"/>
          <w:szCs w:val="22"/>
          <w:lang w:val="sr-Latn-ME"/>
        </w:rPr>
        <w:t>imatiniba</w:t>
      </w:r>
      <w:r w:rsidRPr="00056CC9">
        <w:rPr>
          <w:bCs/>
          <w:sz w:val="22"/>
          <w:szCs w:val="22"/>
          <w:vertAlign w:val="superscript"/>
          <w:lang w:val="sr-Latn-ME"/>
        </w:rPr>
        <w:t xml:space="preserve"> </w:t>
      </w:r>
      <w:r w:rsidRPr="00056CC9">
        <w:rPr>
          <w:color w:val="000000"/>
          <w:sz w:val="22"/>
          <w:szCs w:val="22"/>
          <w:lang w:val="sr-Latn-ME"/>
        </w:rPr>
        <w:t>od 260 mg/m</w:t>
      </w:r>
      <w:r w:rsidRPr="00056CC9">
        <w:rPr>
          <w:color w:val="000000"/>
          <w:sz w:val="22"/>
          <w:szCs w:val="22"/>
          <w:vertAlign w:val="superscript"/>
          <w:lang w:val="sr-Latn-ME"/>
        </w:rPr>
        <w:t>2</w:t>
      </w:r>
      <w:r w:rsidRPr="00056CC9">
        <w:rPr>
          <w:color w:val="000000"/>
          <w:sz w:val="22"/>
          <w:szCs w:val="22"/>
          <w:lang w:val="sr-Latn-ME"/>
        </w:rPr>
        <w:t>/dan (n=5), 340 mg/m</w:t>
      </w:r>
      <w:r w:rsidRPr="00056CC9">
        <w:rPr>
          <w:color w:val="000000"/>
          <w:sz w:val="22"/>
          <w:szCs w:val="22"/>
          <w:vertAlign w:val="superscript"/>
          <w:lang w:val="sr-Latn-ME"/>
        </w:rPr>
        <w:t>2</w:t>
      </w:r>
      <w:r w:rsidRPr="00056CC9">
        <w:rPr>
          <w:color w:val="000000"/>
          <w:sz w:val="22"/>
          <w:szCs w:val="22"/>
          <w:lang w:val="sr-Latn-ME"/>
        </w:rPr>
        <w:t>/dan (n=9), 440 mg/m</w:t>
      </w:r>
      <w:r w:rsidRPr="00056CC9">
        <w:rPr>
          <w:color w:val="000000"/>
          <w:sz w:val="22"/>
          <w:szCs w:val="22"/>
          <w:vertAlign w:val="superscript"/>
          <w:lang w:val="sr-Latn-ME"/>
        </w:rPr>
        <w:t>2</w:t>
      </w:r>
      <w:r w:rsidRPr="00056CC9">
        <w:rPr>
          <w:color w:val="000000"/>
          <w:sz w:val="22"/>
          <w:szCs w:val="22"/>
          <w:lang w:val="sr-Latn-ME"/>
        </w:rPr>
        <w:t>/dan (n=7) i 570 mg/m</w:t>
      </w:r>
      <w:r w:rsidRPr="00056CC9">
        <w:rPr>
          <w:color w:val="000000"/>
          <w:sz w:val="22"/>
          <w:szCs w:val="22"/>
          <w:vertAlign w:val="superscript"/>
          <w:lang w:val="sr-Latn-ME"/>
        </w:rPr>
        <w:t>2</w:t>
      </w:r>
      <w:r w:rsidRPr="00056CC9">
        <w:rPr>
          <w:color w:val="000000"/>
          <w:sz w:val="22"/>
          <w:szCs w:val="22"/>
          <w:lang w:val="sr-Latn-ME"/>
        </w:rPr>
        <w:t>/dan (n=5). Od 9 pacijenata sa hroničnom fazom CML i dostupnim citogenetskim podacima, 4 (44%)  i 3 (33%) je postiglo kompletan i parcijalan citogenetski odgovor, sa stopom glavnog citogenetskog odgovora (MCyR) od 77%.</w:t>
      </w:r>
    </w:p>
    <w:p w14:paraId="3B22328F" w14:textId="77777777" w:rsidR="005D1EF5" w:rsidRPr="00056CC9" w:rsidRDefault="005D1EF5" w:rsidP="00056CC9">
      <w:pPr>
        <w:jc w:val="both"/>
        <w:rPr>
          <w:sz w:val="22"/>
          <w:szCs w:val="22"/>
          <w:lang w:val="sr-Latn-ME"/>
        </w:rPr>
      </w:pPr>
    </w:p>
    <w:p w14:paraId="29FA79BB" w14:textId="77777777" w:rsidR="005D1EF5" w:rsidRPr="00056CC9" w:rsidRDefault="005D1EF5" w:rsidP="00056CC9">
      <w:pPr>
        <w:shd w:val="clear" w:color="auto" w:fill="FFFFFF"/>
        <w:jc w:val="both"/>
        <w:rPr>
          <w:color w:val="000000"/>
          <w:sz w:val="22"/>
          <w:szCs w:val="22"/>
          <w:lang w:val="sr-Latn-ME"/>
        </w:rPr>
      </w:pPr>
      <w:r w:rsidRPr="00056CC9">
        <w:rPr>
          <w:color w:val="000000"/>
          <w:sz w:val="22"/>
          <w:szCs w:val="22"/>
          <w:lang w:val="sr-Latn-ME"/>
        </w:rPr>
        <w:t xml:space="preserve">Ukupno 51 pedijatrijski pacijent sa novodijagnostikovanom i neliječenom CML u hroničnoj fazi uključen je u otvorenu, multicentričnu studiju faze II, jedne grupe pacijenata. Pacijenti su liječeni </w:t>
      </w:r>
      <w:r w:rsidRPr="00056CC9">
        <w:rPr>
          <w:bCs/>
          <w:sz w:val="22"/>
          <w:szCs w:val="22"/>
          <w:lang w:val="sr-Latn-ME"/>
        </w:rPr>
        <w:t>imatinibom</w:t>
      </w:r>
      <w:r w:rsidRPr="00056CC9">
        <w:rPr>
          <w:bCs/>
          <w:sz w:val="22"/>
          <w:szCs w:val="22"/>
          <w:vertAlign w:val="superscript"/>
          <w:lang w:val="sr-Latn-ME"/>
        </w:rPr>
        <w:t xml:space="preserve">  </w:t>
      </w:r>
      <w:r w:rsidRPr="00056CC9">
        <w:rPr>
          <w:color w:val="000000"/>
          <w:sz w:val="22"/>
          <w:szCs w:val="22"/>
          <w:lang w:val="sr-Latn-ME"/>
        </w:rPr>
        <w:t>340 mg/m</w:t>
      </w:r>
      <w:r w:rsidRPr="00056CC9">
        <w:rPr>
          <w:color w:val="000000"/>
          <w:sz w:val="22"/>
          <w:szCs w:val="22"/>
          <w:vertAlign w:val="superscript"/>
          <w:lang w:val="sr-Latn-ME"/>
        </w:rPr>
        <w:t>2</w:t>
      </w:r>
      <w:r w:rsidRPr="00056CC9">
        <w:rPr>
          <w:color w:val="000000"/>
          <w:sz w:val="22"/>
          <w:szCs w:val="22"/>
          <w:lang w:val="sr-Latn-ME"/>
        </w:rPr>
        <w:t xml:space="preserve">/dan, </w:t>
      </w:r>
      <w:r w:rsidRPr="00056CC9">
        <w:rPr>
          <w:sz w:val="22"/>
          <w:szCs w:val="22"/>
          <w:lang w:val="sr-Latn-ME" w:eastAsia="sl-SI"/>
        </w:rPr>
        <w:t xml:space="preserve">bez prekidanja u odsustvu toksičnosti koja bi ograničavala dozu. </w:t>
      </w:r>
      <w:r w:rsidRPr="00056CC9">
        <w:rPr>
          <w:color w:val="000000"/>
          <w:sz w:val="22"/>
          <w:szCs w:val="22"/>
          <w:lang w:val="sr-Latn-ME"/>
        </w:rPr>
        <w:t xml:space="preserve">Terapija </w:t>
      </w:r>
      <w:r w:rsidRPr="00056CC9">
        <w:rPr>
          <w:bCs/>
          <w:sz w:val="22"/>
          <w:szCs w:val="22"/>
          <w:lang w:val="sr-Latn-ME"/>
        </w:rPr>
        <w:t xml:space="preserve">imatinibom je dovela do brzog odgovora </w:t>
      </w:r>
      <w:r w:rsidRPr="00056CC9">
        <w:rPr>
          <w:color w:val="000000"/>
          <w:sz w:val="22"/>
          <w:szCs w:val="22"/>
          <w:lang w:val="sr-Latn-ME"/>
        </w:rPr>
        <w:t>kod pedijatrijskih pacijenata sa novodijagnostikovanom CML sa kompletnim hematološkim odgovorom (CHR) od 78% nakon 8 nedjelja terapije. Visok stepen CHR je praćen razvojem kompletnog citogenetskog odgovora (CCyR) od 65%, što je komparabilno sa rezultatima dobijenim kod odraslih pacijenta. Osim toga, parcijalan citogenetski odgovor (PCyR) je uočen kod 16% pacijenata, a</w:t>
      </w:r>
      <w:r w:rsidRPr="00056CC9">
        <w:rPr>
          <w:sz w:val="22"/>
          <w:szCs w:val="22"/>
          <w:lang w:val="sr-Latn-ME"/>
        </w:rPr>
        <w:t xml:space="preserve"> glavni citogenetski odgovor (MCyR) kod 81% pacijenata. Kod većine pacijenata koji su postigli kompletan citogenetski odgovor, CCyR se razvio</w:t>
      </w:r>
      <w:r w:rsidRPr="00056CC9">
        <w:rPr>
          <w:color w:val="000000"/>
          <w:sz w:val="22"/>
          <w:szCs w:val="22"/>
          <w:lang w:val="sr-Latn-ME"/>
        </w:rPr>
        <w:t xml:space="preserve"> između 3. i 10. mjeseca liječenja sa srednjim vremenom do odgovora od 5,6 mjeseci, zasnovano na Kaplan-Meier-ovoj procjeni.</w:t>
      </w:r>
    </w:p>
    <w:p w14:paraId="091CD65A" w14:textId="77777777" w:rsidR="005D1EF5" w:rsidRPr="00056CC9" w:rsidRDefault="005D1EF5" w:rsidP="00056CC9">
      <w:pPr>
        <w:shd w:val="clear" w:color="auto" w:fill="FFFFFF"/>
        <w:jc w:val="both"/>
        <w:rPr>
          <w:color w:val="000000"/>
          <w:sz w:val="22"/>
          <w:szCs w:val="22"/>
          <w:lang w:val="sr-Latn-ME"/>
        </w:rPr>
      </w:pPr>
    </w:p>
    <w:p w14:paraId="3257DEE3" w14:textId="77777777" w:rsidR="005D1EF5" w:rsidRPr="00056CC9" w:rsidRDefault="005D1EF5" w:rsidP="00056CC9">
      <w:pPr>
        <w:shd w:val="clear" w:color="auto" w:fill="FFFFFF"/>
        <w:jc w:val="both"/>
        <w:rPr>
          <w:sz w:val="22"/>
          <w:szCs w:val="22"/>
          <w:lang w:val="sr-Latn-ME"/>
        </w:rPr>
      </w:pPr>
      <w:r w:rsidRPr="00056CC9">
        <w:rPr>
          <w:color w:val="000000"/>
          <w:sz w:val="22"/>
          <w:szCs w:val="22"/>
          <w:lang w:val="sr-Latn-ME"/>
        </w:rPr>
        <w:t>Evropska Agencija za ljekove je izuzela od obaveze podnošenja rezultata ispitivanja sa imatinibom u svim podgrupama pedijatrijskih pacijenata sa Filadelfija hromozom (bcr-abl translokacija)- pozitivnom hroničnom mijeloidnom leukemijom (vidjeti dio 4.2).</w:t>
      </w:r>
    </w:p>
    <w:p w14:paraId="700E7A09" w14:textId="77777777" w:rsidR="005D1EF5" w:rsidRPr="00056CC9" w:rsidRDefault="005D1EF5" w:rsidP="00056CC9">
      <w:pPr>
        <w:shd w:val="clear" w:color="auto" w:fill="FFFFFF"/>
        <w:spacing w:before="240"/>
        <w:jc w:val="both"/>
        <w:rPr>
          <w:sz w:val="22"/>
          <w:szCs w:val="22"/>
          <w:lang w:val="sr-Latn-ME"/>
        </w:rPr>
      </w:pPr>
      <w:r w:rsidRPr="00056CC9">
        <w:rPr>
          <w:color w:val="000000"/>
          <w:sz w:val="22"/>
          <w:szCs w:val="22"/>
          <w:u w:val="single"/>
          <w:lang w:val="sr-Latn-ME"/>
        </w:rPr>
        <w:t xml:space="preserve">Kliničke studije kod Ph+ </w:t>
      </w:r>
      <w:smartTag w:uri="urn:schemas-microsoft-com:office:smarttags" w:element="stockticker">
        <w:r w:rsidRPr="00056CC9">
          <w:rPr>
            <w:color w:val="000000"/>
            <w:sz w:val="22"/>
            <w:szCs w:val="22"/>
            <w:u w:val="single"/>
            <w:lang w:val="sr-Latn-ME"/>
          </w:rPr>
          <w:t>ALL</w:t>
        </w:r>
      </w:smartTag>
    </w:p>
    <w:p w14:paraId="766CA7B9" w14:textId="77777777" w:rsidR="005D1EF5" w:rsidRPr="00056CC9" w:rsidRDefault="005D1EF5" w:rsidP="00056CC9">
      <w:pPr>
        <w:shd w:val="clear" w:color="auto" w:fill="FFFFFF"/>
        <w:jc w:val="both"/>
        <w:rPr>
          <w:color w:val="000000"/>
          <w:sz w:val="22"/>
          <w:szCs w:val="22"/>
          <w:lang w:val="sr-Latn-ME"/>
        </w:rPr>
      </w:pPr>
      <w:r w:rsidRPr="00056CC9">
        <w:rPr>
          <w:i/>
          <w:color w:val="000000"/>
          <w:sz w:val="22"/>
          <w:szCs w:val="22"/>
          <w:lang w:val="sr-Latn-ME"/>
        </w:rPr>
        <w:t>Novodijagnostikovana</w:t>
      </w:r>
      <w:r w:rsidRPr="00056CC9">
        <w:rPr>
          <w:color w:val="000000"/>
          <w:sz w:val="22"/>
          <w:szCs w:val="22"/>
          <w:lang w:val="sr-Latn-ME"/>
        </w:rPr>
        <w:t xml:space="preserve"> </w:t>
      </w:r>
      <w:r w:rsidRPr="00056CC9">
        <w:rPr>
          <w:i/>
          <w:iCs/>
          <w:color w:val="000000"/>
          <w:sz w:val="22"/>
          <w:szCs w:val="22"/>
          <w:lang w:val="sr-Latn-ME"/>
        </w:rPr>
        <w:t xml:space="preserve">Ph+ </w:t>
      </w:r>
      <w:smartTag w:uri="urn:schemas-microsoft-com:office:smarttags" w:element="stockticker">
        <w:r w:rsidRPr="00056CC9">
          <w:rPr>
            <w:i/>
            <w:iCs/>
            <w:color w:val="000000"/>
            <w:sz w:val="22"/>
            <w:szCs w:val="22"/>
            <w:lang w:val="sr-Latn-ME"/>
          </w:rPr>
          <w:t>ALL</w:t>
        </w:r>
      </w:smartTag>
      <w:r w:rsidRPr="00056CC9">
        <w:rPr>
          <w:i/>
          <w:iCs/>
          <w:color w:val="000000"/>
          <w:sz w:val="22"/>
          <w:szCs w:val="22"/>
          <w:lang w:val="sr-Latn-ME"/>
        </w:rPr>
        <w:t xml:space="preserve">: </w:t>
      </w:r>
      <w:r w:rsidRPr="00056CC9">
        <w:rPr>
          <w:color w:val="000000"/>
          <w:sz w:val="22"/>
          <w:szCs w:val="22"/>
          <w:lang w:val="sr-Latn-ME"/>
        </w:rPr>
        <w:t xml:space="preserve">u kontrolisanom ispitivanju (ADE10) primjene imatiniba u odnosu na indukciju hemioterapije kod 55 novodijagnostikovanih pacijenata, starosti 55 godina i više, imatinib primijenjen kao pojedinačni lijek indukovao je značajno veću stopu kompletnog hematološkog odgovora nego hemioterapija (96,3% prema 50%; p=0,0001). Kada je data spasonosna terapija imatinibom pacijentima  koji nisu reagovali ili su loše reagovali na hemoterapiju, rezultat je bio da je 9 pacijenata (81,8%) od 11 postiglo kompletan hematološki odgovor. Ovaj klinički efekat bio je udružen sa većom redukcijom bcr-abl transkripta kod pacijenata liječenih imatinibom nego kod grupe na hemoterapiji poslije 2 nedjelje terapije (p=0,02). Svi pacijenti su primili imatinib i konsolidovanu hemoterapiju (vidjeti </w:t>
      </w:r>
      <w:r w:rsidRPr="00056CC9">
        <w:rPr>
          <w:bCs/>
          <w:color w:val="000000"/>
          <w:sz w:val="22"/>
          <w:szCs w:val="22"/>
          <w:lang w:val="sr-Latn-ME"/>
        </w:rPr>
        <w:t>Tabelu 4)</w:t>
      </w:r>
      <w:r w:rsidRPr="00056CC9">
        <w:rPr>
          <w:color w:val="000000"/>
          <w:sz w:val="22"/>
          <w:szCs w:val="22"/>
          <w:lang w:val="sr-Latn-ME"/>
        </w:rPr>
        <w:t xml:space="preserve"> poslije indukcije, a nivoi bcr-abl transkripta bili su identični kod obje grupe nakon 8 nedjelja. Kao što je očekivano na osnovu dizajna ispitivanja, nisu uočene razlike u trajanju </w:t>
      </w:r>
      <w:r w:rsidRPr="00056CC9">
        <w:rPr>
          <w:color w:val="000000"/>
          <w:sz w:val="22"/>
          <w:szCs w:val="22"/>
          <w:lang w:val="sr-Latn-ME"/>
        </w:rPr>
        <w:lastRenderedPageBreak/>
        <w:t>remisije, preživljavanju bez bolesti ili ukupnom preživljavanju, mada su pacijenti sa kompletnim  molekularnim odgovorom i minimalnom rezidualnom bolešću imali bolji ishod u smislu trajanja remisije (p=0,01) i preživljavanja bez bolesti (p=0,02).</w:t>
      </w:r>
    </w:p>
    <w:p w14:paraId="416B592C" w14:textId="77777777" w:rsidR="005D1EF5" w:rsidRPr="00056CC9" w:rsidRDefault="005D1EF5" w:rsidP="00056CC9">
      <w:pPr>
        <w:shd w:val="clear" w:color="auto" w:fill="FFFFFF"/>
        <w:jc w:val="both"/>
        <w:rPr>
          <w:color w:val="000000"/>
          <w:sz w:val="22"/>
          <w:szCs w:val="22"/>
          <w:lang w:val="sr-Latn-ME"/>
        </w:rPr>
      </w:pPr>
    </w:p>
    <w:p w14:paraId="4E48B54A" w14:textId="77777777" w:rsidR="005D1EF5" w:rsidRPr="00056CC9" w:rsidRDefault="005D1EF5" w:rsidP="00056CC9">
      <w:pPr>
        <w:pStyle w:val="NoSpacing"/>
        <w:jc w:val="both"/>
        <w:rPr>
          <w:color w:val="000000"/>
          <w:sz w:val="22"/>
          <w:szCs w:val="22"/>
          <w:lang w:val="sr-Latn-ME"/>
        </w:rPr>
      </w:pPr>
      <w:r w:rsidRPr="00056CC9">
        <w:rPr>
          <w:color w:val="000000"/>
          <w:sz w:val="22"/>
          <w:szCs w:val="22"/>
          <w:lang w:val="sr-Latn-ME"/>
        </w:rPr>
        <w:t xml:space="preserve">Rezultati uočeni kod populacije od 211 novodijagnostikovanih pacijenata sa Ph+ </w:t>
      </w:r>
      <w:smartTag w:uri="urn:schemas-microsoft-com:office:smarttags" w:element="stockticker">
        <w:r w:rsidRPr="00056CC9">
          <w:rPr>
            <w:color w:val="000000"/>
            <w:sz w:val="22"/>
            <w:szCs w:val="22"/>
            <w:lang w:val="sr-Latn-ME"/>
          </w:rPr>
          <w:t>ALL</w:t>
        </w:r>
      </w:smartTag>
      <w:r w:rsidRPr="00056CC9">
        <w:rPr>
          <w:color w:val="000000"/>
          <w:sz w:val="22"/>
          <w:szCs w:val="22"/>
          <w:lang w:val="sr-Latn-ME"/>
        </w:rPr>
        <w:t xml:space="preserve"> u 4 nekontrolisane kliničke studije (AAU02, ADE04, AJP01 i AUS01) su konzistentni sa rezultatima opisanim gore. Imatinib u kombinaciji sa indukcionom hemoterapijom (vidjeti </w:t>
      </w:r>
      <w:r w:rsidRPr="00056CC9">
        <w:rPr>
          <w:bCs/>
          <w:color w:val="000000"/>
          <w:sz w:val="22"/>
          <w:szCs w:val="22"/>
          <w:lang w:val="sr-Latn-ME"/>
        </w:rPr>
        <w:t>Tabelu 4)</w:t>
      </w:r>
      <w:r w:rsidRPr="00056CC9">
        <w:rPr>
          <w:color w:val="000000"/>
          <w:sz w:val="22"/>
          <w:szCs w:val="22"/>
          <w:lang w:val="sr-Latn-ME"/>
        </w:rPr>
        <w:t xml:space="preserve"> doveo je do stope kompletnog hematološkog odgovora od 93% (147 od 158 procjenjivih pacijenata) i stope glavnog citogenetskog odgovora od 90% (19 od 21 procjenjivog pacijenta). Stopa kompletnog molekulskog odgovora bila je 48% (49 od 102 procjenjiva pacijenta). Preživljavanje bez bolesti (engl. DFS- </w:t>
      </w:r>
      <w:r w:rsidRPr="00056CC9">
        <w:rPr>
          <w:i/>
          <w:color w:val="000000"/>
          <w:sz w:val="22"/>
          <w:szCs w:val="22"/>
          <w:lang w:val="sr-Latn-ME"/>
        </w:rPr>
        <w:t>disease-free survival</w:t>
      </w:r>
      <w:r w:rsidRPr="00056CC9">
        <w:rPr>
          <w:color w:val="000000"/>
          <w:sz w:val="22"/>
          <w:szCs w:val="22"/>
          <w:lang w:val="sr-Latn-ME"/>
        </w:rPr>
        <w:t xml:space="preserve">) i ukupno preživljavanje (engl. OS- </w:t>
      </w:r>
      <w:r w:rsidRPr="00056CC9">
        <w:rPr>
          <w:i/>
          <w:color w:val="000000"/>
          <w:sz w:val="22"/>
          <w:szCs w:val="22"/>
          <w:lang w:val="sr-Latn-ME"/>
        </w:rPr>
        <w:t>overall survival</w:t>
      </w:r>
      <w:r w:rsidRPr="00056CC9">
        <w:rPr>
          <w:color w:val="000000"/>
          <w:sz w:val="22"/>
          <w:szCs w:val="22"/>
          <w:lang w:val="sr-Latn-ME"/>
        </w:rPr>
        <w:t>) konstantno su prelazili 1 godinu i bili superiorniji u odnosu na istorijsku kontrolu (</w:t>
      </w:r>
      <w:smartTag w:uri="urn:schemas-microsoft-com:office:smarttags" w:element="stockticker">
        <w:r w:rsidRPr="00056CC9">
          <w:rPr>
            <w:color w:val="000000"/>
            <w:sz w:val="22"/>
            <w:szCs w:val="22"/>
            <w:lang w:val="sr-Latn-ME"/>
          </w:rPr>
          <w:t>DFS</w:t>
        </w:r>
      </w:smartTag>
      <w:r w:rsidRPr="00056CC9">
        <w:rPr>
          <w:color w:val="000000"/>
          <w:sz w:val="22"/>
          <w:szCs w:val="22"/>
          <w:lang w:val="sr-Latn-ME"/>
        </w:rPr>
        <w:t xml:space="preserve"> p&lt;0,001; OS p&lt;0,0001) u dvije studije (AJP01 i AUS01).</w:t>
      </w:r>
    </w:p>
    <w:p w14:paraId="565FBC96" w14:textId="77777777" w:rsidR="005D1EF5" w:rsidRPr="00056CC9" w:rsidRDefault="005D1EF5" w:rsidP="00056CC9">
      <w:pPr>
        <w:pStyle w:val="NoSpacing"/>
        <w:jc w:val="both"/>
        <w:rPr>
          <w:b/>
          <w:bCs/>
          <w:sz w:val="22"/>
          <w:szCs w:val="22"/>
          <w:lang w:val="sr-Latn-ME"/>
        </w:rPr>
      </w:pPr>
    </w:p>
    <w:p w14:paraId="31D2A521" w14:textId="77777777" w:rsidR="005D1EF5" w:rsidRPr="00056CC9" w:rsidRDefault="005D1EF5" w:rsidP="00056CC9">
      <w:pPr>
        <w:pStyle w:val="NoSpacing"/>
        <w:jc w:val="both"/>
        <w:rPr>
          <w:b/>
          <w:bCs/>
          <w:sz w:val="22"/>
          <w:szCs w:val="22"/>
          <w:lang w:val="sr-Latn-ME"/>
        </w:rPr>
      </w:pPr>
      <w:r w:rsidRPr="00056CC9">
        <w:rPr>
          <w:b/>
          <w:bCs/>
          <w:sz w:val="22"/>
          <w:szCs w:val="22"/>
          <w:lang w:val="sr-Latn-ME"/>
        </w:rPr>
        <w:t>Tabela 4.  Režim hemoterapije primijenjen u kombinaciji sa imatinibom</w:t>
      </w:r>
    </w:p>
    <w:p w14:paraId="7915A645" w14:textId="77777777" w:rsidR="005D1EF5" w:rsidRPr="00056CC9" w:rsidRDefault="005D1EF5" w:rsidP="00056CC9">
      <w:pPr>
        <w:pStyle w:val="NoSpacing"/>
        <w:jc w:val="both"/>
        <w:rPr>
          <w:b/>
          <w:bCs/>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812"/>
      </w:tblGrid>
      <w:tr w:rsidR="005D1EF5" w:rsidRPr="00056CC9" w14:paraId="61241E94" w14:textId="77777777" w:rsidTr="004805F8">
        <w:trPr>
          <w:jc w:val="center"/>
        </w:trPr>
        <w:tc>
          <w:tcPr>
            <w:tcW w:w="2943" w:type="dxa"/>
          </w:tcPr>
          <w:p w14:paraId="4E98A99D" w14:textId="77777777" w:rsidR="005D1EF5" w:rsidRPr="00056CC9" w:rsidRDefault="005D1EF5" w:rsidP="00056CC9">
            <w:pPr>
              <w:shd w:val="clear" w:color="auto" w:fill="FFFFFF"/>
              <w:rPr>
                <w:sz w:val="22"/>
                <w:szCs w:val="22"/>
                <w:lang w:val="sr-Latn-ME"/>
              </w:rPr>
            </w:pPr>
            <w:r w:rsidRPr="00056CC9">
              <w:rPr>
                <w:b/>
                <w:bCs/>
                <w:color w:val="000000"/>
                <w:sz w:val="22"/>
                <w:szCs w:val="22"/>
                <w:lang w:val="sr-Latn-ME"/>
              </w:rPr>
              <w:t>Studija ADE10</w:t>
            </w:r>
          </w:p>
        </w:tc>
        <w:tc>
          <w:tcPr>
            <w:tcW w:w="5812" w:type="dxa"/>
          </w:tcPr>
          <w:p w14:paraId="51AFD250" w14:textId="77777777" w:rsidR="005D1EF5" w:rsidRPr="00056CC9" w:rsidRDefault="005D1EF5" w:rsidP="00056CC9">
            <w:pPr>
              <w:shd w:val="clear" w:color="auto" w:fill="FFFFFF"/>
              <w:rPr>
                <w:sz w:val="22"/>
                <w:szCs w:val="22"/>
                <w:lang w:val="sr-Latn-ME"/>
              </w:rPr>
            </w:pPr>
          </w:p>
        </w:tc>
      </w:tr>
      <w:tr w:rsidR="005D1EF5" w:rsidRPr="00056CC9" w14:paraId="139AD4A3" w14:textId="77777777" w:rsidTr="004805F8">
        <w:trPr>
          <w:jc w:val="center"/>
        </w:trPr>
        <w:tc>
          <w:tcPr>
            <w:tcW w:w="2943" w:type="dxa"/>
          </w:tcPr>
          <w:p w14:paraId="41B5F399"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Prethodna faza</w:t>
            </w:r>
          </w:p>
        </w:tc>
        <w:tc>
          <w:tcPr>
            <w:tcW w:w="5812" w:type="dxa"/>
          </w:tcPr>
          <w:p w14:paraId="7C4F1AA2" w14:textId="77777777" w:rsidR="005D1EF5" w:rsidRPr="00056CC9" w:rsidRDefault="005D1EF5" w:rsidP="00056CC9">
            <w:pPr>
              <w:shd w:val="clear" w:color="auto" w:fill="FFFFFF"/>
              <w:rPr>
                <w:sz w:val="22"/>
                <w:szCs w:val="22"/>
                <w:lang w:val="sr-Latn-ME"/>
              </w:rPr>
            </w:pPr>
            <w:r w:rsidRPr="00056CC9">
              <w:rPr>
                <w:sz w:val="22"/>
                <w:szCs w:val="22"/>
                <w:lang w:val="sr-Latn-ME"/>
              </w:rPr>
              <w:t>DEX 10 mg/m</w:t>
            </w:r>
            <w:r w:rsidRPr="00056CC9">
              <w:rPr>
                <w:sz w:val="22"/>
                <w:szCs w:val="22"/>
                <w:vertAlign w:val="superscript"/>
                <w:lang w:val="sr-Latn-ME"/>
              </w:rPr>
              <w:t xml:space="preserve">2 </w:t>
            </w:r>
            <w:r w:rsidRPr="00056CC9">
              <w:rPr>
                <w:sz w:val="22"/>
                <w:szCs w:val="22"/>
                <w:lang w:val="sr-Latn-ME"/>
              </w:rPr>
              <w:t>oralno, dani 1-5;</w:t>
            </w:r>
          </w:p>
          <w:p w14:paraId="01BDA1D5" w14:textId="77777777" w:rsidR="005D1EF5" w:rsidRPr="00056CC9" w:rsidRDefault="005D1EF5" w:rsidP="00056CC9">
            <w:pPr>
              <w:shd w:val="clear" w:color="auto" w:fill="FFFFFF"/>
              <w:rPr>
                <w:sz w:val="22"/>
                <w:szCs w:val="22"/>
                <w:lang w:val="sr-Latn-ME"/>
              </w:rPr>
            </w:pPr>
            <w:r w:rsidRPr="00056CC9">
              <w:rPr>
                <w:sz w:val="22"/>
                <w:szCs w:val="22"/>
                <w:lang w:val="sr-Latn-ME"/>
              </w:rPr>
              <w:t>CP 200 mg/m</w:t>
            </w:r>
            <w:r w:rsidRPr="00056CC9">
              <w:rPr>
                <w:sz w:val="22"/>
                <w:szCs w:val="22"/>
                <w:vertAlign w:val="superscript"/>
                <w:lang w:val="sr-Latn-ME"/>
              </w:rPr>
              <w:t>2</w:t>
            </w:r>
            <w:r w:rsidRPr="00056CC9">
              <w:rPr>
                <w:sz w:val="22"/>
                <w:szCs w:val="22"/>
                <w:lang w:val="sr-Latn-ME"/>
              </w:rPr>
              <w:t xml:space="preserve"> i.v., dani 3, 4, 5;</w:t>
            </w:r>
          </w:p>
          <w:p w14:paraId="62F607EC" w14:textId="77777777" w:rsidR="005D1EF5" w:rsidRPr="00056CC9" w:rsidRDefault="005D1EF5" w:rsidP="00056CC9">
            <w:pPr>
              <w:shd w:val="clear" w:color="auto" w:fill="FFFFFF"/>
              <w:rPr>
                <w:sz w:val="22"/>
                <w:szCs w:val="22"/>
                <w:lang w:val="sr-Latn-ME"/>
              </w:rPr>
            </w:pPr>
            <w:smartTag w:uri="urn:schemas-microsoft-com:office:smarttags" w:element="stockticker">
              <w:r w:rsidRPr="00056CC9">
                <w:rPr>
                  <w:sz w:val="22"/>
                  <w:szCs w:val="22"/>
                  <w:lang w:val="sr-Latn-ME"/>
                </w:rPr>
                <w:t>MTX</w:t>
              </w:r>
            </w:smartTag>
            <w:r w:rsidRPr="00056CC9">
              <w:rPr>
                <w:sz w:val="22"/>
                <w:szCs w:val="22"/>
                <w:lang w:val="sr-Latn-ME"/>
              </w:rPr>
              <w:t xml:space="preserve"> 12 mg intratekalno, dani 1</w:t>
            </w:r>
          </w:p>
        </w:tc>
      </w:tr>
      <w:tr w:rsidR="005D1EF5" w:rsidRPr="00056CC9" w14:paraId="4FD77A17" w14:textId="77777777" w:rsidTr="004805F8">
        <w:trPr>
          <w:jc w:val="center"/>
        </w:trPr>
        <w:tc>
          <w:tcPr>
            <w:tcW w:w="2943" w:type="dxa"/>
          </w:tcPr>
          <w:p w14:paraId="35DC2AE9"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 xml:space="preserve">Indukcija remisije </w:t>
            </w:r>
          </w:p>
        </w:tc>
        <w:tc>
          <w:tcPr>
            <w:tcW w:w="5812" w:type="dxa"/>
          </w:tcPr>
          <w:p w14:paraId="5A67013D" w14:textId="77777777" w:rsidR="005D1EF5" w:rsidRPr="00056CC9" w:rsidRDefault="005D1EF5" w:rsidP="00056CC9">
            <w:pPr>
              <w:shd w:val="clear" w:color="auto" w:fill="FFFFFF"/>
              <w:rPr>
                <w:sz w:val="22"/>
                <w:szCs w:val="22"/>
                <w:lang w:val="sr-Latn-ME"/>
              </w:rPr>
            </w:pPr>
            <w:r w:rsidRPr="00056CC9">
              <w:rPr>
                <w:sz w:val="22"/>
                <w:szCs w:val="22"/>
                <w:lang w:val="sr-Latn-ME"/>
              </w:rPr>
              <w:t>DEX 10 mg/m</w:t>
            </w:r>
            <w:r w:rsidRPr="00056CC9">
              <w:rPr>
                <w:sz w:val="22"/>
                <w:szCs w:val="22"/>
                <w:vertAlign w:val="superscript"/>
                <w:lang w:val="sr-Latn-ME"/>
              </w:rPr>
              <w:t>2</w:t>
            </w:r>
            <w:r w:rsidRPr="00056CC9">
              <w:rPr>
                <w:sz w:val="22"/>
                <w:szCs w:val="22"/>
                <w:lang w:val="sr-Latn-ME"/>
              </w:rPr>
              <w:t xml:space="preserve"> oralno, dani 6-7, 13-16;</w:t>
            </w:r>
          </w:p>
          <w:p w14:paraId="3CA75DC6" w14:textId="77777777" w:rsidR="005D1EF5" w:rsidRPr="00056CC9" w:rsidRDefault="005D1EF5" w:rsidP="00056CC9">
            <w:pPr>
              <w:shd w:val="clear" w:color="auto" w:fill="FFFFFF"/>
              <w:rPr>
                <w:sz w:val="22"/>
                <w:szCs w:val="22"/>
                <w:lang w:val="sr-Latn-ME"/>
              </w:rPr>
            </w:pPr>
            <w:r w:rsidRPr="00056CC9">
              <w:rPr>
                <w:sz w:val="22"/>
                <w:szCs w:val="22"/>
                <w:lang w:val="sr-Latn-ME"/>
              </w:rPr>
              <w:t>VCR 1 mg i.v., dani 7, 14;</w:t>
            </w:r>
          </w:p>
          <w:p w14:paraId="7BC53BE2" w14:textId="77777777" w:rsidR="005D1EF5" w:rsidRPr="00056CC9" w:rsidRDefault="005D1EF5" w:rsidP="00056CC9">
            <w:pPr>
              <w:shd w:val="clear" w:color="auto" w:fill="FFFFFF"/>
              <w:rPr>
                <w:sz w:val="22"/>
                <w:szCs w:val="22"/>
                <w:lang w:val="sr-Latn-ME"/>
              </w:rPr>
            </w:pPr>
            <w:smartTag w:uri="urn:schemas-microsoft-com:office:smarttags" w:element="stockticker">
              <w:r w:rsidRPr="00056CC9">
                <w:rPr>
                  <w:sz w:val="22"/>
                  <w:szCs w:val="22"/>
                  <w:lang w:val="sr-Latn-ME"/>
                </w:rPr>
                <w:t>IDA</w:t>
              </w:r>
            </w:smartTag>
            <w:r w:rsidRPr="00056CC9">
              <w:rPr>
                <w:sz w:val="22"/>
                <w:szCs w:val="22"/>
                <w:lang w:val="sr-Latn-ME"/>
              </w:rPr>
              <w:t xml:space="preserve"> 8 mg/m</w:t>
            </w:r>
            <w:r w:rsidRPr="00056CC9">
              <w:rPr>
                <w:sz w:val="22"/>
                <w:szCs w:val="22"/>
                <w:vertAlign w:val="superscript"/>
                <w:lang w:val="sr-Latn-ME"/>
              </w:rPr>
              <w:t>2</w:t>
            </w:r>
            <w:r w:rsidRPr="00056CC9">
              <w:rPr>
                <w:sz w:val="22"/>
                <w:szCs w:val="22"/>
                <w:lang w:val="sr-Latn-ME"/>
              </w:rPr>
              <w:t xml:space="preserve"> i.v. (0,5 h), dani 7, 8, 14, 15;</w:t>
            </w:r>
          </w:p>
          <w:p w14:paraId="58974DD4" w14:textId="77777777" w:rsidR="005D1EF5" w:rsidRPr="00056CC9" w:rsidRDefault="005D1EF5" w:rsidP="00056CC9">
            <w:pPr>
              <w:shd w:val="clear" w:color="auto" w:fill="FFFFFF"/>
              <w:rPr>
                <w:sz w:val="22"/>
                <w:szCs w:val="22"/>
                <w:lang w:val="sr-Latn-ME"/>
              </w:rPr>
            </w:pPr>
            <w:r w:rsidRPr="00056CC9">
              <w:rPr>
                <w:sz w:val="22"/>
                <w:szCs w:val="22"/>
                <w:lang w:val="sr-Latn-ME"/>
              </w:rPr>
              <w:t>CP 500 mg/m</w:t>
            </w:r>
            <w:r w:rsidRPr="00056CC9">
              <w:rPr>
                <w:sz w:val="22"/>
                <w:szCs w:val="22"/>
                <w:vertAlign w:val="superscript"/>
                <w:lang w:val="sr-Latn-ME"/>
              </w:rPr>
              <w:t>2</w:t>
            </w:r>
            <w:r w:rsidRPr="00056CC9">
              <w:rPr>
                <w:sz w:val="22"/>
                <w:szCs w:val="22"/>
                <w:lang w:val="sr-Latn-ME"/>
              </w:rPr>
              <w:t xml:space="preserve"> i.v. (1 h) dan 1;</w:t>
            </w:r>
          </w:p>
          <w:p w14:paraId="3F919A41" w14:textId="77777777" w:rsidR="005D1EF5" w:rsidRPr="00056CC9" w:rsidRDefault="005D1EF5" w:rsidP="00056CC9">
            <w:pPr>
              <w:shd w:val="clear" w:color="auto" w:fill="FFFFFF"/>
              <w:rPr>
                <w:sz w:val="22"/>
                <w:szCs w:val="22"/>
                <w:lang w:val="sr-Latn-ME"/>
              </w:rPr>
            </w:pPr>
            <w:r w:rsidRPr="00056CC9">
              <w:rPr>
                <w:sz w:val="22"/>
                <w:szCs w:val="22"/>
                <w:lang w:val="sr-Latn-ME"/>
              </w:rPr>
              <w:t>Ara-C 60 mg/m</w:t>
            </w:r>
            <w:r w:rsidRPr="00056CC9">
              <w:rPr>
                <w:sz w:val="22"/>
                <w:szCs w:val="22"/>
                <w:vertAlign w:val="superscript"/>
                <w:lang w:val="sr-Latn-ME"/>
              </w:rPr>
              <w:t>2</w:t>
            </w:r>
            <w:r w:rsidRPr="00056CC9">
              <w:rPr>
                <w:sz w:val="22"/>
                <w:szCs w:val="22"/>
                <w:lang w:val="sr-Latn-ME"/>
              </w:rPr>
              <w:t xml:space="preserve"> i.v., dani 22-25, 29-32</w:t>
            </w:r>
          </w:p>
        </w:tc>
      </w:tr>
      <w:tr w:rsidR="005D1EF5" w:rsidRPr="00056CC9" w14:paraId="014CBBC3" w14:textId="77777777" w:rsidTr="004805F8">
        <w:trPr>
          <w:jc w:val="center"/>
        </w:trPr>
        <w:tc>
          <w:tcPr>
            <w:tcW w:w="2943" w:type="dxa"/>
          </w:tcPr>
          <w:p w14:paraId="1873B354"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Terapija konsolidacije I, III, V</w:t>
            </w:r>
          </w:p>
        </w:tc>
        <w:tc>
          <w:tcPr>
            <w:tcW w:w="5812" w:type="dxa"/>
          </w:tcPr>
          <w:p w14:paraId="29B3515E" w14:textId="77777777" w:rsidR="005D1EF5" w:rsidRPr="00056CC9" w:rsidRDefault="005D1EF5" w:rsidP="00056CC9">
            <w:pPr>
              <w:shd w:val="clear" w:color="auto" w:fill="FFFFFF"/>
              <w:rPr>
                <w:sz w:val="22"/>
                <w:szCs w:val="22"/>
                <w:lang w:val="sr-Latn-ME"/>
              </w:rPr>
            </w:pPr>
            <w:smartTag w:uri="urn:schemas-microsoft-com:office:smarttags" w:element="stockticker">
              <w:r w:rsidRPr="00056CC9">
                <w:rPr>
                  <w:sz w:val="22"/>
                  <w:szCs w:val="22"/>
                  <w:lang w:val="sr-Latn-ME"/>
                </w:rPr>
                <w:t>MTX</w:t>
              </w:r>
            </w:smartTag>
            <w:r w:rsidRPr="00056CC9">
              <w:rPr>
                <w:sz w:val="22"/>
                <w:szCs w:val="22"/>
                <w:lang w:val="sr-Latn-ME"/>
              </w:rPr>
              <w:t xml:space="preserve"> 500 mg/m</w:t>
            </w:r>
            <w:r w:rsidRPr="00056CC9">
              <w:rPr>
                <w:sz w:val="22"/>
                <w:szCs w:val="22"/>
                <w:vertAlign w:val="superscript"/>
                <w:lang w:val="sr-Latn-ME"/>
              </w:rPr>
              <w:t>2</w:t>
            </w:r>
            <w:r w:rsidRPr="00056CC9">
              <w:rPr>
                <w:sz w:val="22"/>
                <w:szCs w:val="22"/>
                <w:lang w:val="sr-Latn-ME"/>
              </w:rPr>
              <w:t xml:space="preserve"> i.v. (24 h), dani 1, 15; </w:t>
            </w:r>
          </w:p>
          <w:p w14:paraId="5F45514C" w14:textId="77777777" w:rsidR="005D1EF5" w:rsidRPr="00056CC9" w:rsidRDefault="005D1EF5" w:rsidP="00056CC9">
            <w:pPr>
              <w:shd w:val="clear" w:color="auto" w:fill="FFFFFF"/>
              <w:rPr>
                <w:sz w:val="22"/>
                <w:szCs w:val="22"/>
                <w:lang w:val="sr-Latn-ME"/>
              </w:rPr>
            </w:pPr>
            <w:r w:rsidRPr="00056CC9">
              <w:rPr>
                <w:sz w:val="22"/>
                <w:szCs w:val="22"/>
                <w:lang w:val="sr-Latn-ME"/>
              </w:rPr>
              <w:t>6-MP 25 mg/m2 oralno, dani 1-20</w:t>
            </w:r>
          </w:p>
        </w:tc>
      </w:tr>
      <w:tr w:rsidR="005D1EF5" w:rsidRPr="00056CC9" w14:paraId="553CBDE8" w14:textId="77777777" w:rsidTr="004805F8">
        <w:trPr>
          <w:jc w:val="center"/>
        </w:trPr>
        <w:tc>
          <w:tcPr>
            <w:tcW w:w="2943" w:type="dxa"/>
          </w:tcPr>
          <w:p w14:paraId="77CBD192" w14:textId="77777777" w:rsidR="005D1EF5" w:rsidRPr="00056CC9" w:rsidRDefault="005D1EF5" w:rsidP="00056CC9">
            <w:pPr>
              <w:shd w:val="clear" w:color="auto" w:fill="FFFFFF"/>
              <w:rPr>
                <w:b/>
                <w:bCs/>
                <w:color w:val="000000"/>
                <w:sz w:val="22"/>
                <w:szCs w:val="22"/>
                <w:lang w:val="sr-Latn-ME"/>
              </w:rPr>
            </w:pPr>
            <w:r w:rsidRPr="00056CC9">
              <w:rPr>
                <w:color w:val="000000"/>
                <w:sz w:val="22"/>
                <w:szCs w:val="22"/>
                <w:lang w:val="sr-Latn-ME"/>
              </w:rPr>
              <w:t>Terapija konsolidacije II, IV</w:t>
            </w:r>
          </w:p>
        </w:tc>
        <w:tc>
          <w:tcPr>
            <w:tcW w:w="5812" w:type="dxa"/>
          </w:tcPr>
          <w:p w14:paraId="6133D4E9" w14:textId="77777777" w:rsidR="005D1EF5" w:rsidRPr="00056CC9" w:rsidRDefault="005D1EF5" w:rsidP="00056CC9">
            <w:pPr>
              <w:shd w:val="clear" w:color="auto" w:fill="FFFFFF"/>
              <w:rPr>
                <w:sz w:val="22"/>
                <w:szCs w:val="22"/>
                <w:lang w:val="sr-Latn-ME"/>
              </w:rPr>
            </w:pPr>
            <w:r w:rsidRPr="00056CC9">
              <w:rPr>
                <w:sz w:val="22"/>
                <w:szCs w:val="22"/>
                <w:lang w:val="sr-Latn-ME"/>
              </w:rPr>
              <w:t>Ara-C 75 mg/m</w:t>
            </w:r>
            <w:r w:rsidRPr="00056CC9">
              <w:rPr>
                <w:sz w:val="22"/>
                <w:szCs w:val="22"/>
                <w:vertAlign w:val="superscript"/>
                <w:lang w:val="sr-Latn-ME"/>
              </w:rPr>
              <w:t>2</w:t>
            </w:r>
            <w:r w:rsidRPr="00056CC9">
              <w:rPr>
                <w:sz w:val="22"/>
                <w:szCs w:val="22"/>
                <w:lang w:val="sr-Latn-ME"/>
              </w:rPr>
              <w:t xml:space="preserve"> i.v.(1h), dani 1-5,</w:t>
            </w:r>
          </w:p>
          <w:p w14:paraId="1C7BD23A" w14:textId="77777777" w:rsidR="005D1EF5" w:rsidRPr="00056CC9" w:rsidRDefault="005D1EF5" w:rsidP="00056CC9">
            <w:pPr>
              <w:shd w:val="clear" w:color="auto" w:fill="FFFFFF"/>
              <w:rPr>
                <w:sz w:val="22"/>
                <w:szCs w:val="22"/>
                <w:lang w:val="sr-Latn-ME"/>
              </w:rPr>
            </w:pPr>
            <w:r w:rsidRPr="00056CC9">
              <w:rPr>
                <w:sz w:val="22"/>
                <w:szCs w:val="22"/>
                <w:lang w:val="sr-Latn-ME"/>
              </w:rPr>
              <w:t>VM26 60 mg/m</w:t>
            </w:r>
            <w:r w:rsidRPr="00056CC9">
              <w:rPr>
                <w:sz w:val="22"/>
                <w:szCs w:val="22"/>
                <w:vertAlign w:val="superscript"/>
                <w:lang w:val="sr-Latn-ME"/>
              </w:rPr>
              <w:t>2</w:t>
            </w:r>
            <w:r w:rsidRPr="00056CC9">
              <w:rPr>
                <w:sz w:val="22"/>
                <w:szCs w:val="22"/>
                <w:lang w:val="sr-Latn-ME"/>
              </w:rPr>
              <w:t xml:space="preserve"> i.v. (1h), dani 1-5 </w:t>
            </w:r>
          </w:p>
        </w:tc>
      </w:tr>
      <w:tr w:rsidR="005D1EF5" w:rsidRPr="00056CC9" w14:paraId="7A3A3DE6" w14:textId="77777777" w:rsidTr="004805F8">
        <w:trPr>
          <w:jc w:val="center"/>
        </w:trPr>
        <w:tc>
          <w:tcPr>
            <w:tcW w:w="2943" w:type="dxa"/>
          </w:tcPr>
          <w:p w14:paraId="164E4806" w14:textId="77777777" w:rsidR="005D1EF5" w:rsidRPr="00056CC9" w:rsidRDefault="005D1EF5" w:rsidP="00056CC9">
            <w:pPr>
              <w:shd w:val="clear" w:color="auto" w:fill="FFFFFF"/>
              <w:rPr>
                <w:sz w:val="22"/>
                <w:szCs w:val="22"/>
                <w:lang w:val="sr-Latn-ME"/>
              </w:rPr>
            </w:pPr>
            <w:r w:rsidRPr="00056CC9">
              <w:rPr>
                <w:b/>
                <w:bCs/>
                <w:color w:val="000000"/>
                <w:sz w:val="22"/>
                <w:szCs w:val="22"/>
                <w:lang w:val="sr-Latn-ME"/>
              </w:rPr>
              <w:t>Studija AAU02</w:t>
            </w:r>
          </w:p>
        </w:tc>
        <w:tc>
          <w:tcPr>
            <w:tcW w:w="5812" w:type="dxa"/>
          </w:tcPr>
          <w:p w14:paraId="542DC061" w14:textId="77777777" w:rsidR="005D1EF5" w:rsidRPr="00056CC9" w:rsidRDefault="005D1EF5" w:rsidP="00056CC9">
            <w:pPr>
              <w:shd w:val="clear" w:color="auto" w:fill="FFFFFF"/>
              <w:rPr>
                <w:sz w:val="22"/>
                <w:szCs w:val="22"/>
                <w:lang w:val="sr-Latn-ME"/>
              </w:rPr>
            </w:pPr>
          </w:p>
        </w:tc>
      </w:tr>
      <w:tr w:rsidR="005D1EF5" w:rsidRPr="00056CC9" w14:paraId="159FA28D" w14:textId="77777777" w:rsidTr="004805F8">
        <w:trPr>
          <w:jc w:val="center"/>
        </w:trPr>
        <w:tc>
          <w:tcPr>
            <w:tcW w:w="2943" w:type="dxa"/>
          </w:tcPr>
          <w:p w14:paraId="276599A4"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 xml:space="preserve">Indukcijska terapija </w:t>
            </w:r>
            <w:r w:rsidRPr="00056CC9">
              <w:rPr>
                <w:i/>
                <w:iCs/>
                <w:color w:val="000000"/>
                <w:sz w:val="22"/>
                <w:szCs w:val="22"/>
                <w:lang w:val="sr-Latn-ME"/>
              </w:rPr>
              <w:t xml:space="preserve">(de novo </w:t>
            </w:r>
            <w:r w:rsidRPr="00056CC9">
              <w:rPr>
                <w:color w:val="000000"/>
                <w:sz w:val="22"/>
                <w:szCs w:val="22"/>
                <w:lang w:val="sr-Latn-ME"/>
              </w:rPr>
              <w:t xml:space="preserve">Ph+ </w:t>
            </w:r>
            <w:smartTag w:uri="urn:schemas-microsoft-com:office:smarttags" w:element="stockticker">
              <w:r w:rsidRPr="00056CC9">
                <w:rPr>
                  <w:color w:val="000000"/>
                  <w:sz w:val="22"/>
                  <w:szCs w:val="22"/>
                  <w:lang w:val="sr-Latn-ME"/>
                </w:rPr>
                <w:t>ALL</w:t>
              </w:r>
            </w:smartTag>
            <w:r w:rsidRPr="00056CC9">
              <w:rPr>
                <w:color w:val="000000"/>
                <w:sz w:val="22"/>
                <w:szCs w:val="22"/>
                <w:lang w:val="sr-Latn-ME"/>
              </w:rPr>
              <w:t>)</w:t>
            </w:r>
          </w:p>
        </w:tc>
        <w:tc>
          <w:tcPr>
            <w:tcW w:w="5812" w:type="dxa"/>
          </w:tcPr>
          <w:p w14:paraId="7FC3F06E" w14:textId="77777777" w:rsidR="005D1EF5" w:rsidRPr="00056CC9" w:rsidRDefault="005D1EF5" w:rsidP="00056CC9">
            <w:pPr>
              <w:shd w:val="clear" w:color="auto" w:fill="FFFFFF"/>
              <w:rPr>
                <w:sz w:val="22"/>
                <w:szCs w:val="22"/>
                <w:lang w:val="sr-Latn-ME"/>
              </w:rPr>
            </w:pPr>
            <w:r w:rsidRPr="00056CC9">
              <w:rPr>
                <w:sz w:val="22"/>
                <w:szCs w:val="22"/>
                <w:lang w:val="sr-Latn-ME"/>
              </w:rPr>
              <w:t>Daunorubicin 30 mg/m</w:t>
            </w:r>
            <w:r w:rsidRPr="00056CC9">
              <w:rPr>
                <w:sz w:val="22"/>
                <w:szCs w:val="22"/>
                <w:vertAlign w:val="superscript"/>
                <w:lang w:val="sr-Latn-ME"/>
              </w:rPr>
              <w:t>2</w:t>
            </w:r>
            <w:r w:rsidRPr="00056CC9">
              <w:rPr>
                <w:sz w:val="22"/>
                <w:szCs w:val="22"/>
                <w:lang w:val="sr-Latn-ME"/>
              </w:rPr>
              <w:t xml:space="preserve"> i.v., dani 1-3, 15-16;</w:t>
            </w:r>
          </w:p>
          <w:p w14:paraId="1AEBB395" w14:textId="77777777" w:rsidR="005D1EF5" w:rsidRPr="00056CC9" w:rsidRDefault="005D1EF5" w:rsidP="00056CC9">
            <w:pPr>
              <w:shd w:val="clear" w:color="auto" w:fill="FFFFFF"/>
              <w:rPr>
                <w:sz w:val="22"/>
                <w:szCs w:val="22"/>
                <w:lang w:val="sr-Latn-ME"/>
              </w:rPr>
            </w:pPr>
            <w:r w:rsidRPr="00056CC9">
              <w:rPr>
                <w:sz w:val="22"/>
                <w:szCs w:val="22"/>
                <w:lang w:val="sr-Latn-ME"/>
              </w:rPr>
              <w:t>VCR 2 mg ukupna doza i.v., dani 1, 8, 15, 22;</w:t>
            </w:r>
          </w:p>
          <w:p w14:paraId="5F552C46" w14:textId="77777777" w:rsidR="005D1EF5" w:rsidRPr="00056CC9" w:rsidRDefault="005D1EF5" w:rsidP="00056CC9">
            <w:pPr>
              <w:shd w:val="clear" w:color="auto" w:fill="FFFFFF"/>
              <w:rPr>
                <w:sz w:val="22"/>
                <w:szCs w:val="22"/>
                <w:lang w:val="sr-Latn-ME"/>
              </w:rPr>
            </w:pPr>
            <w:r w:rsidRPr="00056CC9">
              <w:rPr>
                <w:sz w:val="22"/>
                <w:szCs w:val="22"/>
                <w:lang w:val="sr-Latn-ME"/>
              </w:rPr>
              <w:t>CP 750 mg/m</w:t>
            </w:r>
            <w:r w:rsidRPr="00056CC9">
              <w:rPr>
                <w:sz w:val="22"/>
                <w:szCs w:val="22"/>
                <w:vertAlign w:val="superscript"/>
                <w:lang w:val="sr-Latn-ME"/>
              </w:rPr>
              <w:t>2</w:t>
            </w:r>
            <w:r w:rsidRPr="00056CC9">
              <w:rPr>
                <w:sz w:val="22"/>
                <w:szCs w:val="22"/>
                <w:lang w:val="sr-Latn-ME"/>
              </w:rPr>
              <w:t xml:space="preserve"> i.v., dani 1, 8; </w:t>
            </w:r>
          </w:p>
          <w:p w14:paraId="61906EC4" w14:textId="77777777" w:rsidR="005D1EF5" w:rsidRPr="00056CC9" w:rsidRDefault="005D1EF5" w:rsidP="00056CC9">
            <w:pPr>
              <w:shd w:val="clear" w:color="auto" w:fill="FFFFFF"/>
              <w:rPr>
                <w:sz w:val="22"/>
                <w:szCs w:val="22"/>
                <w:lang w:val="sr-Latn-ME"/>
              </w:rPr>
            </w:pPr>
            <w:r w:rsidRPr="00056CC9">
              <w:rPr>
                <w:sz w:val="22"/>
                <w:szCs w:val="22"/>
                <w:lang w:val="sr-Latn-ME"/>
              </w:rPr>
              <w:t>Prednizon 60 mg/m</w:t>
            </w:r>
            <w:r w:rsidRPr="00056CC9">
              <w:rPr>
                <w:sz w:val="22"/>
                <w:szCs w:val="22"/>
                <w:vertAlign w:val="superscript"/>
                <w:lang w:val="sr-Latn-ME"/>
              </w:rPr>
              <w:t xml:space="preserve">2 </w:t>
            </w:r>
            <w:r w:rsidRPr="00056CC9">
              <w:rPr>
                <w:sz w:val="22"/>
                <w:szCs w:val="22"/>
                <w:lang w:val="sr-Latn-ME"/>
              </w:rPr>
              <w:t>oralno, dani 1-7, 15-21;</w:t>
            </w:r>
          </w:p>
          <w:p w14:paraId="7CF64046" w14:textId="77777777" w:rsidR="005D1EF5" w:rsidRPr="00056CC9" w:rsidRDefault="005D1EF5" w:rsidP="00056CC9">
            <w:pPr>
              <w:shd w:val="clear" w:color="auto" w:fill="FFFFFF"/>
              <w:rPr>
                <w:sz w:val="22"/>
                <w:szCs w:val="22"/>
                <w:lang w:val="sr-Latn-ME"/>
              </w:rPr>
            </w:pPr>
            <w:smartTag w:uri="urn:schemas-microsoft-com:office:smarttags" w:element="stockticker">
              <w:r w:rsidRPr="00056CC9">
                <w:rPr>
                  <w:sz w:val="22"/>
                  <w:szCs w:val="22"/>
                  <w:lang w:val="sr-Latn-ME"/>
                </w:rPr>
                <w:t>IDA</w:t>
              </w:r>
            </w:smartTag>
            <w:r w:rsidRPr="00056CC9">
              <w:rPr>
                <w:sz w:val="22"/>
                <w:szCs w:val="22"/>
                <w:lang w:val="sr-Latn-ME"/>
              </w:rPr>
              <w:t xml:space="preserve"> 9 mg/m</w:t>
            </w:r>
            <w:r w:rsidRPr="00056CC9">
              <w:rPr>
                <w:sz w:val="22"/>
                <w:szCs w:val="22"/>
                <w:vertAlign w:val="superscript"/>
                <w:lang w:val="sr-Latn-ME"/>
              </w:rPr>
              <w:t>2</w:t>
            </w:r>
            <w:r w:rsidRPr="00056CC9">
              <w:rPr>
                <w:sz w:val="22"/>
                <w:szCs w:val="22"/>
                <w:lang w:val="sr-Latn-ME"/>
              </w:rPr>
              <w:t xml:space="preserve"> oralno, dani 1-28;</w:t>
            </w:r>
          </w:p>
          <w:p w14:paraId="0E0CACED" w14:textId="77777777" w:rsidR="005D1EF5" w:rsidRPr="00056CC9" w:rsidRDefault="005D1EF5" w:rsidP="00056CC9">
            <w:pPr>
              <w:shd w:val="clear" w:color="auto" w:fill="FFFFFF"/>
              <w:rPr>
                <w:sz w:val="22"/>
                <w:szCs w:val="22"/>
                <w:lang w:val="sr-Latn-ME"/>
              </w:rPr>
            </w:pPr>
            <w:smartTag w:uri="urn:schemas-microsoft-com:office:smarttags" w:element="stockticker">
              <w:r w:rsidRPr="00056CC9">
                <w:rPr>
                  <w:sz w:val="22"/>
                  <w:szCs w:val="22"/>
                  <w:lang w:val="sr-Latn-ME"/>
                </w:rPr>
                <w:t>MTX</w:t>
              </w:r>
            </w:smartTag>
            <w:r w:rsidRPr="00056CC9">
              <w:rPr>
                <w:sz w:val="22"/>
                <w:szCs w:val="22"/>
                <w:lang w:val="sr-Latn-ME"/>
              </w:rPr>
              <w:t xml:space="preserve"> 15 mg intratekalno, dani 1, 8, 15, 22;</w:t>
            </w:r>
          </w:p>
          <w:p w14:paraId="1752BE5E" w14:textId="77777777" w:rsidR="005D1EF5" w:rsidRPr="00056CC9" w:rsidRDefault="005D1EF5" w:rsidP="00056CC9">
            <w:pPr>
              <w:shd w:val="clear" w:color="auto" w:fill="FFFFFF"/>
              <w:rPr>
                <w:sz w:val="22"/>
                <w:szCs w:val="22"/>
                <w:lang w:val="sr-Latn-ME"/>
              </w:rPr>
            </w:pPr>
            <w:r w:rsidRPr="00056CC9">
              <w:rPr>
                <w:sz w:val="22"/>
                <w:szCs w:val="22"/>
                <w:lang w:val="sr-Latn-ME"/>
              </w:rPr>
              <w:t>Ara-C 40 mg intratekalno, dani 1, 8, 15, 22;</w:t>
            </w:r>
          </w:p>
          <w:p w14:paraId="5C5DCD73" w14:textId="77777777" w:rsidR="005D1EF5" w:rsidRPr="00056CC9" w:rsidRDefault="005D1EF5" w:rsidP="00056CC9">
            <w:pPr>
              <w:shd w:val="clear" w:color="auto" w:fill="FFFFFF"/>
              <w:rPr>
                <w:sz w:val="22"/>
                <w:szCs w:val="22"/>
                <w:lang w:val="sr-Latn-ME"/>
              </w:rPr>
            </w:pPr>
            <w:r w:rsidRPr="00056CC9">
              <w:rPr>
                <w:sz w:val="22"/>
                <w:szCs w:val="22"/>
                <w:lang w:val="sr-Latn-ME"/>
              </w:rPr>
              <w:t>Metilprednizolon 40 mg intratekalno, dani 1, 8, 15, 22</w:t>
            </w:r>
          </w:p>
        </w:tc>
      </w:tr>
      <w:tr w:rsidR="005D1EF5" w:rsidRPr="00056CC9" w14:paraId="4FEDFEC3" w14:textId="77777777" w:rsidTr="004805F8">
        <w:trPr>
          <w:jc w:val="center"/>
        </w:trPr>
        <w:tc>
          <w:tcPr>
            <w:tcW w:w="2943" w:type="dxa"/>
          </w:tcPr>
          <w:p w14:paraId="282BB2AC"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 xml:space="preserve">Konsolidacija </w:t>
            </w:r>
            <w:r w:rsidRPr="00056CC9">
              <w:rPr>
                <w:i/>
                <w:iCs/>
                <w:color w:val="000000"/>
                <w:sz w:val="22"/>
                <w:szCs w:val="22"/>
                <w:lang w:val="sr-Latn-ME"/>
              </w:rPr>
              <w:t xml:space="preserve">(de novo </w:t>
            </w:r>
            <w:r w:rsidRPr="00056CC9">
              <w:rPr>
                <w:color w:val="000000"/>
                <w:sz w:val="22"/>
                <w:szCs w:val="22"/>
                <w:lang w:val="sr-Latn-ME"/>
              </w:rPr>
              <w:t xml:space="preserve">Ph+ </w:t>
            </w:r>
            <w:smartTag w:uri="urn:schemas-microsoft-com:office:smarttags" w:element="stockticker">
              <w:r w:rsidRPr="00056CC9">
                <w:rPr>
                  <w:color w:val="000000"/>
                  <w:sz w:val="22"/>
                  <w:szCs w:val="22"/>
                  <w:lang w:val="sr-Latn-ME"/>
                </w:rPr>
                <w:t>ALL</w:t>
              </w:r>
            </w:smartTag>
            <w:r w:rsidRPr="00056CC9">
              <w:rPr>
                <w:color w:val="000000"/>
                <w:sz w:val="22"/>
                <w:szCs w:val="22"/>
                <w:lang w:val="sr-Latn-ME"/>
              </w:rPr>
              <w:t>)</w:t>
            </w:r>
          </w:p>
        </w:tc>
        <w:tc>
          <w:tcPr>
            <w:tcW w:w="5812" w:type="dxa"/>
          </w:tcPr>
          <w:p w14:paraId="2F7233D9" w14:textId="77777777" w:rsidR="005D1EF5" w:rsidRPr="00056CC9" w:rsidRDefault="005D1EF5" w:rsidP="00056CC9">
            <w:pPr>
              <w:shd w:val="clear" w:color="auto" w:fill="FFFFFF"/>
              <w:rPr>
                <w:sz w:val="22"/>
                <w:szCs w:val="22"/>
                <w:lang w:val="sr-Latn-ME"/>
              </w:rPr>
            </w:pPr>
            <w:r w:rsidRPr="00056CC9">
              <w:rPr>
                <w:sz w:val="22"/>
                <w:szCs w:val="22"/>
                <w:lang w:val="sr-Latn-ME"/>
              </w:rPr>
              <w:t>Ara-C 1,000 mg/m</w:t>
            </w:r>
            <w:r w:rsidRPr="00056CC9">
              <w:rPr>
                <w:sz w:val="22"/>
                <w:szCs w:val="22"/>
                <w:vertAlign w:val="superscript"/>
                <w:lang w:val="sr-Latn-ME"/>
              </w:rPr>
              <w:t>2</w:t>
            </w:r>
            <w:r w:rsidRPr="00056CC9">
              <w:rPr>
                <w:sz w:val="22"/>
                <w:szCs w:val="22"/>
                <w:lang w:val="sr-Latn-ME"/>
              </w:rPr>
              <w:t>/12 h i.v.(3 h), dani 1-4;</w:t>
            </w:r>
          </w:p>
          <w:p w14:paraId="4B3BCA9F" w14:textId="77777777" w:rsidR="005D1EF5" w:rsidRPr="00056CC9" w:rsidRDefault="005D1EF5" w:rsidP="00056CC9">
            <w:pPr>
              <w:shd w:val="clear" w:color="auto" w:fill="FFFFFF"/>
              <w:rPr>
                <w:sz w:val="22"/>
                <w:szCs w:val="22"/>
                <w:lang w:val="sr-Latn-ME"/>
              </w:rPr>
            </w:pPr>
            <w:r w:rsidRPr="00056CC9">
              <w:rPr>
                <w:sz w:val="22"/>
                <w:szCs w:val="22"/>
                <w:lang w:val="sr-Latn-ME"/>
              </w:rPr>
              <w:t>Mitoksantron 10 mg/m</w:t>
            </w:r>
            <w:r w:rsidRPr="00056CC9">
              <w:rPr>
                <w:sz w:val="22"/>
                <w:szCs w:val="22"/>
                <w:vertAlign w:val="superscript"/>
                <w:lang w:val="sr-Latn-ME"/>
              </w:rPr>
              <w:t>2</w:t>
            </w:r>
            <w:r w:rsidRPr="00056CC9">
              <w:rPr>
                <w:sz w:val="22"/>
                <w:szCs w:val="22"/>
                <w:lang w:val="sr-Latn-ME"/>
              </w:rPr>
              <w:t xml:space="preserve"> i.v. dani 3-5;</w:t>
            </w:r>
          </w:p>
          <w:p w14:paraId="4FD917D8" w14:textId="77777777" w:rsidR="005D1EF5" w:rsidRPr="00056CC9" w:rsidRDefault="005D1EF5" w:rsidP="00056CC9">
            <w:pPr>
              <w:shd w:val="clear" w:color="auto" w:fill="FFFFFF"/>
              <w:rPr>
                <w:sz w:val="22"/>
                <w:szCs w:val="22"/>
                <w:lang w:val="sr-Latn-ME"/>
              </w:rPr>
            </w:pPr>
            <w:smartTag w:uri="urn:schemas-microsoft-com:office:smarttags" w:element="stockticker">
              <w:r w:rsidRPr="00056CC9">
                <w:rPr>
                  <w:sz w:val="22"/>
                  <w:szCs w:val="22"/>
                  <w:lang w:val="sr-Latn-ME"/>
                </w:rPr>
                <w:t>MTX</w:t>
              </w:r>
            </w:smartTag>
            <w:r w:rsidRPr="00056CC9">
              <w:rPr>
                <w:sz w:val="22"/>
                <w:szCs w:val="22"/>
                <w:lang w:val="sr-Latn-ME"/>
              </w:rPr>
              <w:t xml:space="preserve"> 15 mg intratekalno, dan 1;</w:t>
            </w:r>
          </w:p>
          <w:p w14:paraId="56748A64" w14:textId="77777777" w:rsidR="005D1EF5" w:rsidRPr="00056CC9" w:rsidRDefault="005D1EF5" w:rsidP="00056CC9">
            <w:pPr>
              <w:shd w:val="clear" w:color="auto" w:fill="FFFFFF"/>
              <w:rPr>
                <w:sz w:val="22"/>
                <w:szCs w:val="22"/>
                <w:lang w:val="sr-Latn-ME"/>
              </w:rPr>
            </w:pPr>
            <w:r w:rsidRPr="00056CC9">
              <w:rPr>
                <w:sz w:val="22"/>
                <w:szCs w:val="22"/>
                <w:lang w:val="sr-Latn-ME"/>
              </w:rPr>
              <w:t>Metilprednizolon 40 mg intratekalno, dan 1</w:t>
            </w:r>
          </w:p>
        </w:tc>
      </w:tr>
      <w:tr w:rsidR="005D1EF5" w:rsidRPr="00056CC9" w14:paraId="01613E5D" w14:textId="77777777" w:rsidTr="004805F8">
        <w:trPr>
          <w:jc w:val="center"/>
        </w:trPr>
        <w:tc>
          <w:tcPr>
            <w:tcW w:w="2943" w:type="dxa"/>
          </w:tcPr>
          <w:p w14:paraId="78534FE9" w14:textId="77777777" w:rsidR="005D1EF5" w:rsidRPr="00056CC9" w:rsidRDefault="005D1EF5" w:rsidP="00056CC9">
            <w:pPr>
              <w:shd w:val="clear" w:color="auto" w:fill="FFFFFF"/>
              <w:rPr>
                <w:sz w:val="22"/>
                <w:szCs w:val="22"/>
                <w:lang w:val="sr-Latn-ME"/>
              </w:rPr>
            </w:pPr>
            <w:r w:rsidRPr="00056CC9">
              <w:rPr>
                <w:b/>
                <w:bCs/>
                <w:color w:val="000000"/>
                <w:sz w:val="22"/>
                <w:szCs w:val="22"/>
                <w:lang w:val="sr-Latn-ME"/>
              </w:rPr>
              <w:t>Studija ADE04</w:t>
            </w:r>
          </w:p>
        </w:tc>
        <w:tc>
          <w:tcPr>
            <w:tcW w:w="5812" w:type="dxa"/>
          </w:tcPr>
          <w:p w14:paraId="2F2D8C04" w14:textId="77777777" w:rsidR="005D1EF5" w:rsidRPr="00056CC9" w:rsidRDefault="005D1EF5" w:rsidP="00056CC9">
            <w:pPr>
              <w:shd w:val="clear" w:color="auto" w:fill="FFFFFF"/>
              <w:rPr>
                <w:sz w:val="22"/>
                <w:szCs w:val="22"/>
                <w:lang w:val="sr-Latn-ME"/>
              </w:rPr>
            </w:pPr>
          </w:p>
        </w:tc>
      </w:tr>
      <w:tr w:rsidR="005D1EF5" w:rsidRPr="00056CC9" w14:paraId="3F98DED6" w14:textId="77777777" w:rsidTr="004805F8">
        <w:trPr>
          <w:jc w:val="center"/>
        </w:trPr>
        <w:tc>
          <w:tcPr>
            <w:tcW w:w="2943" w:type="dxa"/>
          </w:tcPr>
          <w:p w14:paraId="0AA21F26" w14:textId="77777777" w:rsidR="005D1EF5" w:rsidRPr="00056CC9" w:rsidRDefault="005D1EF5" w:rsidP="00056CC9">
            <w:pPr>
              <w:shd w:val="clear" w:color="auto" w:fill="FFFFFF"/>
              <w:rPr>
                <w:b/>
                <w:bCs/>
                <w:color w:val="000000"/>
                <w:sz w:val="22"/>
                <w:szCs w:val="22"/>
                <w:lang w:val="sr-Latn-ME"/>
              </w:rPr>
            </w:pPr>
            <w:r w:rsidRPr="00056CC9">
              <w:rPr>
                <w:color w:val="000000"/>
                <w:sz w:val="22"/>
                <w:szCs w:val="22"/>
                <w:lang w:val="sr-Latn-ME"/>
              </w:rPr>
              <w:t>Prethodna faza</w:t>
            </w:r>
          </w:p>
        </w:tc>
        <w:tc>
          <w:tcPr>
            <w:tcW w:w="5812" w:type="dxa"/>
          </w:tcPr>
          <w:p w14:paraId="0891B27A" w14:textId="77777777" w:rsidR="005D1EF5" w:rsidRPr="00056CC9" w:rsidRDefault="005D1EF5" w:rsidP="00056CC9">
            <w:pPr>
              <w:shd w:val="clear" w:color="auto" w:fill="FFFFFF"/>
              <w:rPr>
                <w:sz w:val="22"/>
                <w:szCs w:val="22"/>
                <w:lang w:val="sr-Latn-ME"/>
              </w:rPr>
            </w:pPr>
            <w:r w:rsidRPr="00056CC9">
              <w:rPr>
                <w:sz w:val="22"/>
                <w:szCs w:val="22"/>
                <w:lang w:val="sr-Latn-ME"/>
              </w:rPr>
              <w:t>DEX 10 mg/m</w:t>
            </w:r>
            <w:r w:rsidRPr="00056CC9">
              <w:rPr>
                <w:sz w:val="22"/>
                <w:szCs w:val="22"/>
                <w:vertAlign w:val="superscript"/>
                <w:lang w:val="sr-Latn-ME"/>
              </w:rPr>
              <w:t>2</w:t>
            </w:r>
            <w:r w:rsidRPr="00056CC9">
              <w:rPr>
                <w:sz w:val="22"/>
                <w:szCs w:val="22"/>
                <w:lang w:val="sr-Latn-ME"/>
              </w:rPr>
              <w:t xml:space="preserve"> oralno, dani 1-5;</w:t>
            </w:r>
          </w:p>
          <w:p w14:paraId="58789DBD" w14:textId="77777777" w:rsidR="005D1EF5" w:rsidRPr="00056CC9" w:rsidRDefault="005D1EF5" w:rsidP="00056CC9">
            <w:pPr>
              <w:shd w:val="clear" w:color="auto" w:fill="FFFFFF"/>
              <w:rPr>
                <w:sz w:val="22"/>
                <w:szCs w:val="22"/>
                <w:lang w:val="sr-Latn-ME"/>
              </w:rPr>
            </w:pPr>
            <w:r w:rsidRPr="00056CC9">
              <w:rPr>
                <w:sz w:val="22"/>
                <w:szCs w:val="22"/>
                <w:lang w:val="sr-Latn-ME"/>
              </w:rPr>
              <w:t>CP 200 mg/m</w:t>
            </w:r>
            <w:r w:rsidRPr="00056CC9">
              <w:rPr>
                <w:sz w:val="22"/>
                <w:szCs w:val="22"/>
                <w:vertAlign w:val="superscript"/>
                <w:lang w:val="sr-Latn-ME"/>
              </w:rPr>
              <w:t>2</w:t>
            </w:r>
            <w:r w:rsidRPr="00056CC9">
              <w:rPr>
                <w:sz w:val="22"/>
                <w:szCs w:val="22"/>
                <w:lang w:val="sr-Latn-ME"/>
              </w:rPr>
              <w:t xml:space="preserve"> i.v., dani 3-5;</w:t>
            </w:r>
          </w:p>
          <w:p w14:paraId="264852B0" w14:textId="77777777" w:rsidR="005D1EF5" w:rsidRPr="00056CC9" w:rsidRDefault="005D1EF5" w:rsidP="00056CC9">
            <w:pPr>
              <w:shd w:val="clear" w:color="auto" w:fill="FFFFFF"/>
              <w:rPr>
                <w:sz w:val="22"/>
                <w:szCs w:val="22"/>
                <w:lang w:val="sr-Latn-ME"/>
              </w:rPr>
            </w:pPr>
            <w:smartTag w:uri="urn:schemas-microsoft-com:office:smarttags" w:element="stockticker">
              <w:r w:rsidRPr="00056CC9">
                <w:rPr>
                  <w:sz w:val="22"/>
                  <w:szCs w:val="22"/>
                  <w:lang w:val="sr-Latn-ME"/>
                </w:rPr>
                <w:t>MTX</w:t>
              </w:r>
            </w:smartTag>
            <w:r w:rsidRPr="00056CC9">
              <w:rPr>
                <w:sz w:val="22"/>
                <w:szCs w:val="22"/>
                <w:lang w:val="sr-Latn-ME"/>
              </w:rPr>
              <w:t xml:space="preserve"> 15 mg intratekalno, dan 1</w:t>
            </w:r>
          </w:p>
        </w:tc>
      </w:tr>
      <w:tr w:rsidR="005D1EF5" w:rsidRPr="00056CC9" w14:paraId="481DBF5C" w14:textId="77777777" w:rsidTr="004805F8">
        <w:trPr>
          <w:jc w:val="center"/>
        </w:trPr>
        <w:tc>
          <w:tcPr>
            <w:tcW w:w="2943" w:type="dxa"/>
          </w:tcPr>
          <w:p w14:paraId="66A99AB8" w14:textId="77777777" w:rsidR="005D1EF5" w:rsidRPr="00056CC9" w:rsidRDefault="005D1EF5" w:rsidP="00056CC9">
            <w:pPr>
              <w:shd w:val="clear" w:color="auto" w:fill="FFFFFF"/>
              <w:rPr>
                <w:b/>
                <w:bCs/>
                <w:color w:val="000000"/>
                <w:sz w:val="22"/>
                <w:szCs w:val="22"/>
                <w:lang w:val="sr-Latn-ME"/>
              </w:rPr>
            </w:pPr>
            <w:r w:rsidRPr="00056CC9">
              <w:rPr>
                <w:sz w:val="22"/>
                <w:szCs w:val="22"/>
                <w:lang w:val="sr-Latn-ME"/>
              </w:rPr>
              <w:t>Indukcijska terapija I</w:t>
            </w:r>
          </w:p>
        </w:tc>
        <w:tc>
          <w:tcPr>
            <w:tcW w:w="5812" w:type="dxa"/>
          </w:tcPr>
          <w:p w14:paraId="13A18307" w14:textId="77777777" w:rsidR="005D1EF5" w:rsidRPr="00056CC9" w:rsidRDefault="005D1EF5" w:rsidP="00056CC9">
            <w:pPr>
              <w:shd w:val="clear" w:color="auto" w:fill="FFFFFF"/>
              <w:rPr>
                <w:sz w:val="22"/>
                <w:szCs w:val="22"/>
                <w:lang w:val="sr-Latn-ME"/>
              </w:rPr>
            </w:pPr>
            <w:r w:rsidRPr="00056CC9">
              <w:rPr>
                <w:sz w:val="22"/>
                <w:szCs w:val="22"/>
                <w:lang w:val="sr-Latn-ME"/>
              </w:rPr>
              <w:t>DEX 10 mg/m</w:t>
            </w:r>
            <w:r w:rsidRPr="00056CC9">
              <w:rPr>
                <w:sz w:val="22"/>
                <w:szCs w:val="22"/>
                <w:vertAlign w:val="superscript"/>
                <w:lang w:val="sr-Latn-ME"/>
              </w:rPr>
              <w:t>2</w:t>
            </w:r>
            <w:r w:rsidRPr="00056CC9">
              <w:rPr>
                <w:sz w:val="22"/>
                <w:szCs w:val="22"/>
                <w:lang w:val="sr-Latn-ME"/>
              </w:rPr>
              <w:t xml:space="preserve"> oralno, dani 1-5;</w:t>
            </w:r>
          </w:p>
          <w:p w14:paraId="362C5286" w14:textId="77777777" w:rsidR="005D1EF5" w:rsidRPr="00056CC9" w:rsidRDefault="005D1EF5" w:rsidP="00056CC9">
            <w:pPr>
              <w:shd w:val="clear" w:color="auto" w:fill="FFFFFF"/>
              <w:rPr>
                <w:sz w:val="22"/>
                <w:szCs w:val="22"/>
                <w:lang w:val="sr-Latn-ME"/>
              </w:rPr>
            </w:pPr>
            <w:r w:rsidRPr="00056CC9">
              <w:rPr>
                <w:sz w:val="22"/>
                <w:szCs w:val="22"/>
                <w:lang w:val="sr-Latn-ME"/>
              </w:rPr>
              <w:t>VCR 2 mg i.v., dani 6, 13, 20;</w:t>
            </w:r>
          </w:p>
          <w:p w14:paraId="5D66B43F" w14:textId="77777777" w:rsidR="005D1EF5" w:rsidRPr="00056CC9" w:rsidRDefault="005D1EF5" w:rsidP="00056CC9">
            <w:pPr>
              <w:shd w:val="clear" w:color="auto" w:fill="FFFFFF"/>
              <w:rPr>
                <w:sz w:val="22"/>
                <w:szCs w:val="22"/>
                <w:lang w:val="sr-Latn-ME"/>
              </w:rPr>
            </w:pPr>
            <w:r w:rsidRPr="00056CC9">
              <w:rPr>
                <w:sz w:val="22"/>
                <w:szCs w:val="22"/>
                <w:lang w:val="sr-Latn-ME"/>
              </w:rPr>
              <w:t>Daunorubicin 45 mg/m</w:t>
            </w:r>
            <w:r w:rsidRPr="00056CC9">
              <w:rPr>
                <w:sz w:val="22"/>
                <w:szCs w:val="22"/>
                <w:vertAlign w:val="superscript"/>
                <w:lang w:val="sr-Latn-ME"/>
              </w:rPr>
              <w:t>2</w:t>
            </w:r>
            <w:r w:rsidRPr="00056CC9">
              <w:rPr>
                <w:sz w:val="22"/>
                <w:szCs w:val="22"/>
                <w:lang w:val="sr-Latn-ME"/>
              </w:rPr>
              <w:t xml:space="preserve"> i.v., dani 6-7, 13-14</w:t>
            </w:r>
          </w:p>
        </w:tc>
      </w:tr>
      <w:tr w:rsidR="005D1EF5" w:rsidRPr="00056CC9" w14:paraId="3247142C" w14:textId="77777777" w:rsidTr="004805F8">
        <w:trPr>
          <w:jc w:val="center"/>
        </w:trPr>
        <w:tc>
          <w:tcPr>
            <w:tcW w:w="2943" w:type="dxa"/>
          </w:tcPr>
          <w:p w14:paraId="38430A88" w14:textId="77777777" w:rsidR="005D1EF5" w:rsidRPr="00056CC9" w:rsidRDefault="005D1EF5" w:rsidP="00056CC9">
            <w:pPr>
              <w:shd w:val="clear" w:color="auto" w:fill="FFFFFF"/>
              <w:rPr>
                <w:b/>
                <w:bCs/>
                <w:color w:val="000000"/>
                <w:sz w:val="22"/>
                <w:szCs w:val="22"/>
                <w:lang w:val="sr-Latn-ME"/>
              </w:rPr>
            </w:pPr>
            <w:r w:rsidRPr="00056CC9">
              <w:rPr>
                <w:color w:val="000000"/>
                <w:sz w:val="22"/>
                <w:szCs w:val="22"/>
                <w:lang w:val="sr-Latn-ME"/>
              </w:rPr>
              <w:t>Indukcijska terapija</w:t>
            </w:r>
            <w:r w:rsidRPr="00056CC9">
              <w:rPr>
                <w:sz w:val="22"/>
                <w:szCs w:val="22"/>
                <w:lang w:val="sr-Latn-ME"/>
              </w:rPr>
              <w:t xml:space="preserve"> II</w:t>
            </w:r>
          </w:p>
        </w:tc>
        <w:tc>
          <w:tcPr>
            <w:tcW w:w="5812" w:type="dxa"/>
          </w:tcPr>
          <w:p w14:paraId="7EF7E2A3" w14:textId="77777777" w:rsidR="005D1EF5" w:rsidRPr="00056CC9" w:rsidRDefault="005D1EF5" w:rsidP="00056CC9">
            <w:pPr>
              <w:shd w:val="clear" w:color="auto" w:fill="FFFFFF"/>
              <w:rPr>
                <w:sz w:val="22"/>
                <w:szCs w:val="22"/>
                <w:lang w:val="sr-Latn-ME"/>
              </w:rPr>
            </w:pPr>
            <w:r w:rsidRPr="00056CC9">
              <w:rPr>
                <w:sz w:val="22"/>
                <w:szCs w:val="22"/>
                <w:lang w:val="sr-Latn-ME"/>
              </w:rPr>
              <w:t>CP 1 g/m</w:t>
            </w:r>
            <w:r w:rsidRPr="00056CC9">
              <w:rPr>
                <w:sz w:val="22"/>
                <w:szCs w:val="22"/>
                <w:vertAlign w:val="superscript"/>
                <w:lang w:val="sr-Latn-ME"/>
              </w:rPr>
              <w:t>2</w:t>
            </w:r>
            <w:r w:rsidRPr="00056CC9">
              <w:rPr>
                <w:sz w:val="22"/>
                <w:szCs w:val="22"/>
                <w:lang w:val="sr-Latn-ME"/>
              </w:rPr>
              <w:t xml:space="preserve"> i.v. (1 h), dani 26, 46;</w:t>
            </w:r>
          </w:p>
          <w:p w14:paraId="06BE8240" w14:textId="77777777" w:rsidR="005D1EF5" w:rsidRPr="00056CC9" w:rsidRDefault="005D1EF5" w:rsidP="00056CC9">
            <w:pPr>
              <w:shd w:val="clear" w:color="auto" w:fill="FFFFFF"/>
              <w:rPr>
                <w:sz w:val="22"/>
                <w:szCs w:val="22"/>
                <w:lang w:val="sr-Latn-ME"/>
              </w:rPr>
            </w:pPr>
            <w:r w:rsidRPr="00056CC9">
              <w:rPr>
                <w:sz w:val="22"/>
                <w:szCs w:val="22"/>
                <w:lang w:val="sr-Latn-ME"/>
              </w:rPr>
              <w:t>Ara-C 75 mg/m</w:t>
            </w:r>
            <w:r w:rsidRPr="00056CC9">
              <w:rPr>
                <w:sz w:val="22"/>
                <w:szCs w:val="22"/>
                <w:vertAlign w:val="superscript"/>
                <w:lang w:val="sr-Latn-ME"/>
              </w:rPr>
              <w:t>2</w:t>
            </w:r>
            <w:r w:rsidRPr="00056CC9">
              <w:rPr>
                <w:sz w:val="22"/>
                <w:szCs w:val="22"/>
                <w:lang w:val="sr-Latn-ME"/>
              </w:rPr>
              <w:t xml:space="preserve"> i.v. (1 h), dani 28-31, 35-38, 42-45;</w:t>
            </w:r>
          </w:p>
          <w:p w14:paraId="55978E9E" w14:textId="77777777" w:rsidR="005D1EF5" w:rsidRPr="00056CC9" w:rsidRDefault="005D1EF5" w:rsidP="00056CC9">
            <w:pPr>
              <w:shd w:val="clear" w:color="auto" w:fill="FFFFFF"/>
              <w:rPr>
                <w:sz w:val="22"/>
                <w:szCs w:val="22"/>
                <w:lang w:val="sr-Latn-ME"/>
              </w:rPr>
            </w:pPr>
            <w:r w:rsidRPr="00056CC9">
              <w:rPr>
                <w:sz w:val="22"/>
                <w:szCs w:val="22"/>
                <w:lang w:val="sr-Latn-ME"/>
              </w:rPr>
              <w:t>6-MP 60 mg/m</w:t>
            </w:r>
            <w:r w:rsidRPr="00056CC9">
              <w:rPr>
                <w:sz w:val="22"/>
                <w:szCs w:val="22"/>
                <w:vertAlign w:val="superscript"/>
                <w:lang w:val="sr-Latn-ME"/>
              </w:rPr>
              <w:t>2</w:t>
            </w:r>
            <w:r w:rsidRPr="00056CC9">
              <w:rPr>
                <w:sz w:val="22"/>
                <w:szCs w:val="22"/>
                <w:lang w:val="sr-Latn-ME"/>
              </w:rPr>
              <w:t xml:space="preserve"> oralno, dani 26-46</w:t>
            </w:r>
          </w:p>
        </w:tc>
      </w:tr>
      <w:tr w:rsidR="005D1EF5" w:rsidRPr="00056CC9" w14:paraId="54E2AAB7" w14:textId="77777777" w:rsidTr="004805F8">
        <w:trPr>
          <w:jc w:val="center"/>
        </w:trPr>
        <w:tc>
          <w:tcPr>
            <w:tcW w:w="2943" w:type="dxa"/>
          </w:tcPr>
          <w:p w14:paraId="6BDDAE7A" w14:textId="77777777" w:rsidR="005D1EF5" w:rsidRPr="00056CC9" w:rsidRDefault="005D1EF5" w:rsidP="00056CC9">
            <w:pPr>
              <w:shd w:val="clear" w:color="auto" w:fill="FFFFFF"/>
              <w:rPr>
                <w:b/>
                <w:bCs/>
                <w:color w:val="000000"/>
                <w:sz w:val="22"/>
                <w:szCs w:val="22"/>
                <w:lang w:val="sr-Latn-ME"/>
              </w:rPr>
            </w:pPr>
            <w:r w:rsidRPr="00056CC9">
              <w:rPr>
                <w:color w:val="000000"/>
                <w:sz w:val="22"/>
                <w:szCs w:val="22"/>
                <w:lang w:val="sr-Latn-ME"/>
              </w:rPr>
              <w:t>Terapija konsolidacije</w:t>
            </w:r>
          </w:p>
        </w:tc>
        <w:tc>
          <w:tcPr>
            <w:tcW w:w="5812" w:type="dxa"/>
          </w:tcPr>
          <w:p w14:paraId="327B7E00" w14:textId="77777777" w:rsidR="005D1EF5" w:rsidRPr="00056CC9" w:rsidRDefault="005D1EF5" w:rsidP="00056CC9">
            <w:pPr>
              <w:shd w:val="clear" w:color="auto" w:fill="FFFFFF"/>
              <w:rPr>
                <w:sz w:val="22"/>
                <w:szCs w:val="22"/>
                <w:lang w:val="sr-Latn-ME"/>
              </w:rPr>
            </w:pPr>
            <w:r w:rsidRPr="00056CC9">
              <w:rPr>
                <w:sz w:val="22"/>
                <w:szCs w:val="22"/>
                <w:lang w:val="sr-Latn-ME"/>
              </w:rPr>
              <w:t>DEX 10 mg/m</w:t>
            </w:r>
            <w:r w:rsidRPr="00056CC9">
              <w:rPr>
                <w:sz w:val="22"/>
                <w:szCs w:val="22"/>
                <w:vertAlign w:val="superscript"/>
                <w:lang w:val="sr-Latn-ME"/>
              </w:rPr>
              <w:t>2</w:t>
            </w:r>
            <w:r w:rsidRPr="00056CC9">
              <w:rPr>
                <w:sz w:val="22"/>
                <w:szCs w:val="22"/>
                <w:lang w:val="sr-Latn-ME"/>
              </w:rPr>
              <w:t xml:space="preserve"> oralno, dani 1-5;</w:t>
            </w:r>
          </w:p>
          <w:p w14:paraId="469D8D42" w14:textId="77777777" w:rsidR="005D1EF5" w:rsidRPr="00056CC9" w:rsidRDefault="005D1EF5" w:rsidP="00056CC9">
            <w:pPr>
              <w:shd w:val="clear" w:color="auto" w:fill="FFFFFF"/>
              <w:rPr>
                <w:sz w:val="22"/>
                <w:szCs w:val="22"/>
                <w:lang w:val="sr-Latn-ME"/>
              </w:rPr>
            </w:pPr>
            <w:r w:rsidRPr="00056CC9">
              <w:rPr>
                <w:sz w:val="22"/>
                <w:szCs w:val="22"/>
                <w:lang w:val="sr-Latn-ME"/>
              </w:rPr>
              <w:t>Vindezin 3 mg/m</w:t>
            </w:r>
            <w:r w:rsidRPr="00056CC9">
              <w:rPr>
                <w:sz w:val="22"/>
                <w:szCs w:val="22"/>
                <w:vertAlign w:val="superscript"/>
                <w:lang w:val="sr-Latn-ME"/>
              </w:rPr>
              <w:t>2</w:t>
            </w:r>
            <w:r w:rsidRPr="00056CC9">
              <w:rPr>
                <w:sz w:val="22"/>
                <w:szCs w:val="22"/>
                <w:lang w:val="sr-Latn-ME"/>
              </w:rPr>
              <w:t xml:space="preserve"> i.v., dan 1;</w:t>
            </w:r>
          </w:p>
          <w:p w14:paraId="2540ECDA" w14:textId="77777777" w:rsidR="005D1EF5" w:rsidRPr="00056CC9" w:rsidRDefault="005D1EF5" w:rsidP="00056CC9">
            <w:pPr>
              <w:shd w:val="clear" w:color="auto" w:fill="FFFFFF"/>
              <w:rPr>
                <w:sz w:val="22"/>
                <w:szCs w:val="22"/>
                <w:lang w:val="sr-Latn-ME"/>
              </w:rPr>
            </w:pPr>
            <w:smartTag w:uri="urn:schemas-microsoft-com:office:smarttags" w:element="stockticker">
              <w:r w:rsidRPr="00056CC9">
                <w:rPr>
                  <w:sz w:val="22"/>
                  <w:szCs w:val="22"/>
                  <w:lang w:val="sr-Latn-ME"/>
                </w:rPr>
                <w:t>MTX</w:t>
              </w:r>
            </w:smartTag>
            <w:r w:rsidRPr="00056CC9">
              <w:rPr>
                <w:sz w:val="22"/>
                <w:szCs w:val="22"/>
                <w:lang w:val="sr-Latn-ME"/>
              </w:rPr>
              <w:t xml:space="preserve"> 1,5 g/m</w:t>
            </w:r>
            <w:r w:rsidRPr="00056CC9">
              <w:rPr>
                <w:sz w:val="22"/>
                <w:szCs w:val="22"/>
                <w:vertAlign w:val="superscript"/>
                <w:lang w:val="sr-Latn-ME"/>
              </w:rPr>
              <w:t>2</w:t>
            </w:r>
            <w:r w:rsidRPr="00056CC9">
              <w:rPr>
                <w:sz w:val="22"/>
                <w:szCs w:val="22"/>
                <w:lang w:val="sr-Latn-ME"/>
              </w:rPr>
              <w:t xml:space="preserve"> i.v. (24 h), dan 1;</w:t>
            </w:r>
          </w:p>
          <w:p w14:paraId="46CB32CC" w14:textId="77777777" w:rsidR="005D1EF5" w:rsidRPr="00056CC9" w:rsidRDefault="005D1EF5" w:rsidP="00056CC9">
            <w:pPr>
              <w:shd w:val="clear" w:color="auto" w:fill="FFFFFF"/>
              <w:rPr>
                <w:sz w:val="22"/>
                <w:szCs w:val="22"/>
                <w:lang w:val="sr-Latn-ME"/>
              </w:rPr>
            </w:pPr>
            <w:r w:rsidRPr="00056CC9">
              <w:rPr>
                <w:sz w:val="22"/>
                <w:szCs w:val="22"/>
                <w:lang w:val="sr-Latn-ME"/>
              </w:rPr>
              <w:t>Etopozid 250 mg/m</w:t>
            </w:r>
            <w:r w:rsidRPr="00056CC9">
              <w:rPr>
                <w:sz w:val="22"/>
                <w:szCs w:val="22"/>
                <w:vertAlign w:val="superscript"/>
                <w:lang w:val="sr-Latn-ME"/>
              </w:rPr>
              <w:t>2</w:t>
            </w:r>
            <w:r w:rsidRPr="00056CC9">
              <w:rPr>
                <w:sz w:val="22"/>
                <w:szCs w:val="22"/>
                <w:lang w:val="sr-Latn-ME"/>
              </w:rPr>
              <w:t xml:space="preserve"> i.v. (1 h) dani 4-5;</w:t>
            </w:r>
          </w:p>
          <w:p w14:paraId="7C68A083" w14:textId="77777777" w:rsidR="005D1EF5" w:rsidRPr="00056CC9" w:rsidRDefault="005D1EF5" w:rsidP="00056CC9">
            <w:pPr>
              <w:shd w:val="clear" w:color="auto" w:fill="FFFFFF"/>
              <w:rPr>
                <w:sz w:val="22"/>
                <w:szCs w:val="22"/>
                <w:lang w:val="sr-Latn-ME"/>
              </w:rPr>
            </w:pPr>
            <w:r w:rsidRPr="00056CC9">
              <w:rPr>
                <w:sz w:val="22"/>
                <w:szCs w:val="22"/>
                <w:lang w:val="sr-Latn-ME"/>
              </w:rPr>
              <w:t>Ara-C 2x 2 g/m</w:t>
            </w:r>
            <w:r w:rsidRPr="00056CC9">
              <w:rPr>
                <w:sz w:val="22"/>
                <w:szCs w:val="22"/>
                <w:vertAlign w:val="superscript"/>
                <w:lang w:val="sr-Latn-ME"/>
              </w:rPr>
              <w:t>2</w:t>
            </w:r>
            <w:r w:rsidRPr="00056CC9">
              <w:rPr>
                <w:sz w:val="22"/>
                <w:szCs w:val="22"/>
                <w:lang w:val="sr-Latn-ME"/>
              </w:rPr>
              <w:t xml:space="preserve"> i.v. (3 h, svakih 12 h), dan 5</w:t>
            </w:r>
          </w:p>
        </w:tc>
      </w:tr>
      <w:tr w:rsidR="005D1EF5" w:rsidRPr="00056CC9" w14:paraId="5AC88801" w14:textId="77777777" w:rsidTr="004805F8">
        <w:trPr>
          <w:jc w:val="center"/>
        </w:trPr>
        <w:tc>
          <w:tcPr>
            <w:tcW w:w="2943" w:type="dxa"/>
          </w:tcPr>
          <w:p w14:paraId="16BC0254" w14:textId="77777777" w:rsidR="005D1EF5" w:rsidRPr="00056CC9" w:rsidRDefault="005D1EF5" w:rsidP="00056CC9">
            <w:pPr>
              <w:shd w:val="clear" w:color="auto" w:fill="FFFFFF"/>
              <w:rPr>
                <w:b/>
                <w:bCs/>
                <w:color w:val="000000"/>
                <w:sz w:val="22"/>
                <w:szCs w:val="22"/>
                <w:lang w:val="sr-Latn-ME"/>
              </w:rPr>
            </w:pPr>
            <w:r w:rsidRPr="00056CC9">
              <w:rPr>
                <w:b/>
                <w:bCs/>
                <w:color w:val="000000"/>
                <w:sz w:val="22"/>
                <w:szCs w:val="22"/>
                <w:lang w:val="sr-Latn-ME"/>
              </w:rPr>
              <w:lastRenderedPageBreak/>
              <w:t>Studija AJP01</w:t>
            </w:r>
          </w:p>
        </w:tc>
        <w:tc>
          <w:tcPr>
            <w:tcW w:w="5812" w:type="dxa"/>
          </w:tcPr>
          <w:p w14:paraId="45B20DCF" w14:textId="77777777" w:rsidR="005D1EF5" w:rsidRPr="00056CC9" w:rsidRDefault="005D1EF5" w:rsidP="00056CC9">
            <w:pPr>
              <w:shd w:val="clear" w:color="auto" w:fill="FFFFFF"/>
              <w:rPr>
                <w:sz w:val="22"/>
                <w:szCs w:val="22"/>
                <w:lang w:val="sr-Latn-ME"/>
              </w:rPr>
            </w:pPr>
          </w:p>
        </w:tc>
      </w:tr>
      <w:tr w:rsidR="005D1EF5" w:rsidRPr="00056CC9" w14:paraId="16CB602C" w14:textId="77777777" w:rsidTr="004805F8">
        <w:trPr>
          <w:jc w:val="center"/>
        </w:trPr>
        <w:tc>
          <w:tcPr>
            <w:tcW w:w="2943" w:type="dxa"/>
          </w:tcPr>
          <w:p w14:paraId="5A1664FB" w14:textId="77777777" w:rsidR="005D1EF5" w:rsidRPr="00056CC9" w:rsidRDefault="005D1EF5" w:rsidP="00056CC9">
            <w:pPr>
              <w:shd w:val="clear" w:color="auto" w:fill="FFFFFF"/>
              <w:rPr>
                <w:b/>
                <w:bCs/>
                <w:color w:val="000000"/>
                <w:sz w:val="22"/>
                <w:szCs w:val="22"/>
                <w:lang w:val="sr-Latn-ME"/>
              </w:rPr>
            </w:pPr>
            <w:r w:rsidRPr="00056CC9">
              <w:rPr>
                <w:color w:val="000000"/>
                <w:sz w:val="22"/>
                <w:szCs w:val="22"/>
                <w:lang w:val="sr-Latn-ME"/>
              </w:rPr>
              <w:t>Indukcijska terapija</w:t>
            </w:r>
          </w:p>
        </w:tc>
        <w:tc>
          <w:tcPr>
            <w:tcW w:w="5812" w:type="dxa"/>
          </w:tcPr>
          <w:p w14:paraId="282CCA20" w14:textId="77777777" w:rsidR="005D1EF5" w:rsidRPr="00056CC9" w:rsidRDefault="005D1EF5" w:rsidP="00056CC9">
            <w:pPr>
              <w:shd w:val="clear" w:color="auto" w:fill="FFFFFF"/>
              <w:rPr>
                <w:sz w:val="22"/>
                <w:szCs w:val="22"/>
                <w:lang w:val="sr-Latn-ME"/>
              </w:rPr>
            </w:pPr>
            <w:r w:rsidRPr="00056CC9">
              <w:rPr>
                <w:sz w:val="22"/>
                <w:szCs w:val="22"/>
                <w:lang w:val="sr-Latn-ME"/>
              </w:rPr>
              <w:t>CP 1.2 g/m</w:t>
            </w:r>
            <w:r w:rsidRPr="00056CC9">
              <w:rPr>
                <w:sz w:val="22"/>
                <w:szCs w:val="22"/>
                <w:vertAlign w:val="superscript"/>
                <w:lang w:val="sr-Latn-ME"/>
              </w:rPr>
              <w:t>2</w:t>
            </w:r>
            <w:r w:rsidRPr="00056CC9">
              <w:rPr>
                <w:sz w:val="22"/>
                <w:szCs w:val="22"/>
                <w:lang w:val="sr-Latn-ME"/>
              </w:rPr>
              <w:t xml:space="preserve"> i.v. (3 h), dan 1;</w:t>
            </w:r>
          </w:p>
          <w:p w14:paraId="5952F867" w14:textId="77777777" w:rsidR="005D1EF5" w:rsidRPr="00056CC9" w:rsidRDefault="005D1EF5" w:rsidP="00056CC9">
            <w:pPr>
              <w:shd w:val="clear" w:color="auto" w:fill="FFFFFF"/>
              <w:rPr>
                <w:sz w:val="22"/>
                <w:szCs w:val="22"/>
                <w:lang w:val="sr-Latn-ME"/>
              </w:rPr>
            </w:pPr>
            <w:r w:rsidRPr="00056CC9">
              <w:rPr>
                <w:sz w:val="22"/>
                <w:szCs w:val="22"/>
                <w:lang w:val="sr-Latn-ME"/>
              </w:rPr>
              <w:t>Daunorubicin 60 mg/m</w:t>
            </w:r>
            <w:r w:rsidRPr="00056CC9">
              <w:rPr>
                <w:sz w:val="22"/>
                <w:szCs w:val="22"/>
                <w:vertAlign w:val="superscript"/>
                <w:lang w:val="sr-Latn-ME"/>
              </w:rPr>
              <w:t>2</w:t>
            </w:r>
            <w:r w:rsidRPr="00056CC9">
              <w:rPr>
                <w:sz w:val="22"/>
                <w:szCs w:val="22"/>
                <w:lang w:val="sr-Latn-ME"/>
              </w:rPr>
              <w:t xml:space="preserve"> i.v. (1 h), dani 1-3; </w:t>
            </w:r>
          </w:p>
          <w:p w14:paraId="5F106BE5" w14:textId="77777777" w:rsidR="005D1EF5" w:rsidRPr="00056CC9" w:rsidRDefault="005D1EF5" w:rsidP="00056CC9">
            <w:pPr>
              <w:shd w:val="clear" w:color="auto" w:fill="FFFFFF"/>
              <w:rPr>
                <w:sz w:val="22"/>
                <w:szCs w:val="22"/>
                <w:lang w:val="sr-Latn-ME"/>
              </w:rPr>
            </w:pPr>
            <w:r w:rsidRPr="00056CC9">
              <w:rPr>
                <w:sz w:val="22"/>
                <w:szCs w:val="22"/>
                <w:lang w:val="sr-Latn-ME"/>
              </w:rPr>
              <w:t>Vinkristin 1,3 mg/m</w:t>
            </w:r>
            <w:r w:rsidRPr="00056CC9">
              <w:rPr>
                <w:sz w:val="22"/>
                <w:szCs w:val="22"/>
                <w:vertAlign w:val="superscript"/>
                <w:lang w:val="sr-Latn-ME"/>
              </w:rPr>
              <w:t>2</w:t>
            </w:r>
            <w:r w:rsidRPr="00056CC9">
              <w:rPr>
                <w:sz w:val="22"/>
                <w:szCs w:val="22"/>
                <w:lang w:val="sr-Latn-ME"/>
              </w:rPr>
              <w:t xml:space="preserve"> i.v., dani 1, 8, 15, 21;</w:t>
            </w:r>
          </w:p>
          <w:p w14:paraId="1408204A" w14:textId="77777777" w:rsidR="005D1EF5" w:rsidRPr="00056CC9" w:rsidRDefault="005D1EF5" w:rsidP="00056CC9">
            <w:pPr>
              <w:shd w:val="clear" w:color="auto" w:fill="FFFFFF"/>
              <w:rPr>
                <w:sz w:val="22"/>
                <w:szCs w:val="22"/>
                <w:lang w:val="sr-Latn-ME"/>
              </w:rPr>
            </w:pPr>
            <w:r w:rsidRPr="00056CC9">
              <w:rPr>
                <w:sz w:val="22"/>
                <w:szCs w:val="22"/>
                <w:lang w:val="sr-Latn-ME"/>
              </w:rPr>
              <w:t>Prednizolon 60 g/m</w:t>
            </w:r>
            <w:r w:rsidRPr="00056CC9">
              <w:rPr>
                <w:sz w:val="22"/>
                <w:szCs w:val="22"/>
                <w:vertAlign w:val="superscript"/>
                <w:lang w:val="sr-Latn-ME"/>
              </w:rPr>
              <w:t>2</w:t>
            </w:r>
            <w:r w:rsidRPr="00056CC9">
              <w:rPr>
                <w:sz w:val="22"/>
                <w:szCs w:val="22"/>
                <w:lang w:val="sr-Latn-ME"/>
              </w:rPr>
              <w:t>/dan oralno</w:t>
            </w:r>
          </w:p>
        </w:tc>
      </w:tr>
      <w:tr w:rsidR="005D1EF5" w:rsidRPr="00056CC9" w14:paraId="6C8793D2" w14:textId="77777777" w:rsidTr="004805F8">
        <w:trPr>
          <w:jc w:val="center"/>
        </w:trPr>
        <w:tc>
          <w:tcPr>
            <w:tcW w:w="2943" w:type="dxa"/>
          </w:tcPr>
          <w:p w14:paraId="13352EAF" w14:textId="77777777" w:rsidR="005D1EF5" w:rsidRPr="00056CC9" w:rsidRDefault="005D1EF5" w:rsidP="00056CC9">
            <w:pPr>
              <w:shd w:val="clear" w:color="auto" w:fill="FFFFFF"/>
              <w:rPr>
                <w:sz w:val="22"/>
                <w:szCs w:val="22"/>
                <w:lang w:val="sr-Latn-ME"/>
              </w:rPr>
            </w:pPr>
            <w:r w:rsidRPr="00056CC9">
              <w:rPr>
                <w:color w:val="000000"/>
                <w:sz w:val="22"/>
                <w:szCs w:val="22"/>
                <w:lang w:val="sr-Latn-ME"/>
              </w:rPr>
              <w:t>Terapija konsolidacije</w:t>
            </w:r>
          </w:p>
        </w:tc>
        <w:tc>
          <w:tcPr>
            <w:tcW w:w="5812" w:type="dxa"/>
          </w:tcPr>
          <w:p w14:paraId="7A4CB9FA" w14:textId="77777777" w:rsidR="005D1EF5" w:rsidRPr="00056CC9" w:rsidRDefault="005D1EF5" w:rsidP="00056CC9">
            <w:pPr>
              <w:shd w:val="clear" w:color="auto" w:fill="FFFFFF"/>
              <w:rPr>
                <w:sz w:val="22"/>
                <w:szCs w:val="22"/>
                <w:lang w:val="sr-Latn-ME"/>
              </w:rPr>
            </w:pPr>
            <w:r w:rsidRPr="00056CC9">
              <w:rPr>
                <w:sz w:val="22"/>
                <w:szCs w:val="22"/>
                <w:lang w:val="sr-Latn-ME"/>
              </w:rPr>
              <w:t xml:space="preserve">Naizmjenični hemioterapijski ciklusi: visoka doza hemioterapije pomoću </w:t>
            </w:r>
            <w:smartTag w:uri="urn:schemas-microsoft-com:office:smarttags" w:element="stockticker">
              <w:r w:rsidRPr="00056CC9">
                <w:rPr>
                  <w:sz w:val="22"/>
                  <w:szCs w:val="22"/>
                  <w:lang w:val="sr-Latn-ME"/>
                </w:rPr>
                <w:t>MTX</w:t>
              </w:r>
            </w:smartTag>
            <w:r w:rsidRPr="00056CC9">
              <w:rPr>
                <w:sz w:val="22"/>
                <w:szCs w:val="22"/>
                <w:lang w:val="sr-Latn-ME"/>
              </w:rPr>
              <w:t xml:space="preserve"> 1 g/m</w:t>
            </w:r>
            <w:r w:rsidRPr="00056CC9">
              <w:rPr>
                <w:sz w:val="22"/>
                <w:szCs w:val="22"/>
                <w:vertAlign w:val="superscript"/>
                <w:lang w:val="sr-Latn-ME"/>
              </w:rPr>
              <w:t>2</w:t>
            </w:r>
            <w:r w:rsidRPr="00056CC9">
              <w:rPr>
                <w:sz w:val="22"/>
                <w:szCs w:val="22"/>
                <w:lang w:val="sr-Latn-ME"/>
              </w:rPr>
              <w:t xml:space="preserve"> i.v. (24 h), dan 1, i Ara-C 2 g/m</w:t>
            </w:r>
            <w:r w:rsidRPr="00056CC9">
              <w:rPr>
                <w:sz w:val="22"/>
                <w:szCs w:val="22"/>
                <w:vertAlign w:val="superscript"/>
                <w:lang w:val="sr-Latn-ME"/>
              </w:rPr>
              <w:t>2</w:t>
            </w:r>
            <w:r w:rsidRPr="00056CC9">
              <w:rPr>
                <w:sz w:val="22"/>
                <w:szCs w:val="22"/>
                <w:lang w:val="sr-Latn-ME"/>
              </w:rPr>
              <w:t xml:space="preserve"> i.v. (svakih 12 h), dani 2-3, tokom 4 ciklusa</w:t>
            </w:r>
          </w:p>
        </w:tc>
      </w:tr>
      <w:tr w:rsidR="005D1EF5" w:rsidRPr="00056CC9" w14:paraId="7664D74C" w14:textId="77777777" w:rsidTr="004805F8">
        <w:trPr>
          <w:jc w:val="center"/>
        </w:trPr>
        <w:tc>
          <w:tcPr>
            <w:tcW w:w="2943" w:type="dxa"/>
          </w:tcPr>
          <w:p w14:paraId="283EBDA0" w14:textId="77777777" w:rsidR="005D1EF5" w:rsidRPr="00056CC9" w:rsidRDefault="005D1EF5" w:rsidP="00056CC9">
            <w:pPr>
              <w:shd w:val="clear" w:color="auto" w:fill="FFFFFF"/>
              <w:rPr>
                <w:sz w:val="22"/>
                <w:szCs w:val="22"/>
                <w:lang w:val="sr-Latn-ME"/>
              </w:rPr>
            </w:pPr>
            <w:r w:rsidRPr="00056CC9">
              <w:rPr>
                <w:sz w:val="22"/>
                <w:szCs w:val="22"/>
                <w:lang w:val="sr-Latn-ME"/>
              </w:rPr>
              <w:t>Održavanje</w:t>
            </w:r>
          </w:p>
        </w:tc>
        <w:tc>
          <w:tcPr>
            <w:tcW w:w="5812" w:type="dxa"/>
          </w:tcPr>
          <w:p w14:paraId="09FD70FB" w14:textId="77777777" w:rsidR="005D1EF5" w:rsidRPr="00056CC9" w:rsidRDefault="005D1EF5" w:rsidP="00056CC9">
            <w:pPr>
              <w:shd w:val="clear" w:color="auto" w:fill="FFFFFF"/>
              <w:rPr>
                <w:sz w:val="22"/>
                <w:szCs w:val="22"/>
                <w:lang w:val="sr-Latn-ME"/>
              </w:rPr>
            </w:pPr>
            <w:r w:rsidRPr="00056CC9">
              <w:rPr>
                <w:sz w:val="22"/>
                <w:szCs w:val="22"/>
                <w:lang w:val="sr-Latn-ME"/>
              </w:rPr>
              <w:t>VCR 1,3 g/m</w:t>
            </w:r>
            <w:r w:rsidRPr="00056CC9">
              <w:rPr>
                <w:sz w:val="22"/>
                <w:szCs w:val="22"/>
                <w:vertAlign w:val="superscript"/>
                <w:lang w:val="sr-Latn-ME"/>
              </w:rPr>
              <w:t>2</w:t>
            </w:r>
            <w:r w:rsidRPr="00056CC9">
              <w:rPr>
                <w:sz w:val="22"/>
                <w:szCs w:val="22"/>
                <w:lang w:val="sr-Latn-ME"/>
              </w:rPr>
              <w:t xml:space="preserve"> i.v., dan 1;</w:t>
            </w:r>
          </w:p>
          <w:p w14:paraId="5AE3F618" w14:textId="77777777" w:rsidR="005D1EF5" w:rsidRPr="00056CC9" w:rsidRDefault="005D1EF5" w:rsidP="00056CC9">
            <w:pPr>
              <w:shd w:val="clear" w:color="auto" w:fill="FFFFFF"/>
              <w:rPr>
                <w:sz w:val="22"/>
                <w:szCs w:val="22"/>
                <w:lang w:val="sr-Latn-ME"/>
              </w:rPr>
            </w:pPr>
            <w:r w:rsidRPr="00056CC9">
              <w:rPr>
                <w:sz w:val="22"/>
                <w:szCs w:val="22"/>
                <w:lang w:val="sr-Latn-ME"/>
              </w:rPr>
              <w:t>Prednizolon 60 mg/m</w:t>
            </w:r>
            <w:r w:rsidRPr="00056CC9">
              <w:rPr>
                <w:sz w:val="22"/>
                <w:szCs w:val="22"/>
                <w:vertAlign w:val="superscript"/>
                <w:lang w:val="sr-Latn-ME"/>
              </w:rPr>
              <w:t>2</w:t>
            </w:r>
            <w:r w:rsidRPr="00056CC9">
              <w:rPr>
                <w:sz w:val="22"/>
                <w:szCs w:val="22"/>
                <w:lang w:val="sr-Latn-ME"/>
              </w:rPr>
              <w:t xml:space="preserve"> oralno, dani 1-5</w:t>
            </w:r>
          </w:p>
        </w:tc>
      </w:tr>
      <w:tr w:rsidR="005D1EF5" w:rsidRPr="00056CC9" w14:paraId="2BC638A5" w14:textId="77777777" w:rsidTr="004805F8">
        <w:trPr>
          <w:jc w:val="center"/>
        </w:trPr>
        <w:tc>
          <w:tcPr>
            <w:tcW w:w="2943" w:type="dxa"/>
          </w:tcPr>
          <w:p w14:paraId="15A483FC" w14:textId="77777777" w:rsidR="005D1EF5" w:rsidRPr="00056CC9" w:rsidRDefault="005D1EF5" w:rsidP="00056CC9">
            <w:pPr>
              <w:shd w:val="clear" w:color="auto" w:fill="FFFFFF"/>
              <w:rPr>
                <w:sz w:val="22"/>
                <w:szCs w:val="22"/>
                <w:lang w:val="sr-Latn-ME"/>
              </w:rPr>
            </w:pPr>
            <w:r w:rsidRPr="00056CC9">
              <w:rPr>
                <w:b/>
                <w:bCs/>
                <w:color w:val="000000"/>
                <w:sz w:val="22"/>
                <w:szCs w:val="22"/>
                <w:lang w:val="sr-Latn-ME"/>
              </w:rPr>
              <w:t>Studija AUS01</w:t>
            </w:r>
          </w:p>
        </w:tc>
        <w:tc>
          <w:tcPr>
            <w:tcW w:w="5812" w:type="dxa"/>
          </w:tcPr>
          <w:p w14:paraId="63681A4F" w14:textId="77777777" w:rsidR="005D1EF5" w:rsidRPr="00056CC9" w:rsidRDefault="005D1EF5" w:rsidP="00056CC9">
            <w:pPr>
              <w:shd w:val="clear" w:color="auto" w:fill="FFFFFF"/>
              <w:rPr>
                <w:sz w:val="22"/>
                <w:szCs w:val="22"/>
                <w:lang w:val="sr-Latn-ME"/>
              </w:rPr>
            </w:pPr>
          </w:p>
        </w:tc>
      </w:tr>
      <w:tr w:rsidR="005D1EF5" w:rsidRPr="00056CC9" w14:paraId="56CA6029" w14:textId="77777777" w:rsidTr="004805F8">
        <w:trPr>
          <w:jc w:val="center"/>
        </w:trPr>
        <w:tc>
          <w:tcPr>
            <w:tcW w:w="2943" w:type="dxa"/>
          </w:tcPr>
          <w:p w14:paraId="6E77D3A7" w14:textId="77777777" w:rsidR="005D1EF5" w:rsidRPr="00056CC9" w:rsidRDefault="005D1EF5" w:rsidP="00056CC9">
            <w:pPr>
              <w:shd w:val="clear" w:color="auto" w:fill="FFFFFF"/>
              <w:rPr>
                <w:b/>
                <w:bCs/>
                <w:color w:val="000000"/>
                <w:sz w:val="22"/>
                <w:szCs w:val="22"/>
                <w:lang w:val="sr-Latn-ME"/>
              </w:rPr>
            </w:pPr>
            <w:r w:rsidRPr="00056CC9">
              <w:rPr>
                <w:sz w:val="22"/>
                <w:szCs w:val="22"/>
                <w:lang w:val="sr-Latn-ME"/>
              </w:rPr>
              <w:t>Indukcijsko-konsolidacijska terapija</w:t>
            </w:r>
          </w:p>
        </w:tc>
        <w:tc>
          <w:tcPr>
            <w:tcW w:w="5812" w:type="dxa"/>
          </w:tcPr>
          <w:p w14:paraId="05FF92FA" w14:textId="77777777" w:rsidR="005D1EF5" w:rsidRPr="00056CC9" w:rsidRDefault="005D1EF5" w:rsidP="00056CC9">
            <w:pPr>
              <w:shd w:val="clear" w:color="auto" w:fill="FFFFFF"/>
              <w:rPr>
                <w:sz w:val="22"/>
                <w:szCs w:val="22"/>
                <w:lang w:val="sr-Latn-ME"/>
              </w:rPr>
            </w:pPr>
            <w:r w:rsidRPr="00056CC9">
              <w:rPr>
                <w:sz w:val="22"/>
                <w:szCs w:val="22"/>
                <w:lang w:val="sr-Latn-ME"/>
              </w:rPr>
              <w:t>Hiper-CVAD režim: CP 300 mg/m2 i.v. (3 h, svakih 12 h), dani 1-3; Vinkristin 2 mg i.v., dani 4, 11;</w:t>
            </w:r>
          </w:p>
          <w:p w14:paraId="38B6241D" w14:textId="77777777" w:rsidR="005D1EF5" w:rsidRPr="00056CC9" w:rsidRDefault="005D1EF5" w:rsidP="00056CC9">
            <w:pPr>
              <w:shd w:val="clear" w:color="auto" w:fill="FFFFFF"/>
              <w:rPr>
                <w:sz w:val="22"/>
                <w:szCs w:val="22"/>
                <w:lang w:val="sr-Latn-ME"/>
              </w:rPr>
            </w:pPr>
            <w:r w:rsidRPr="00056CC9">
              <w:rPr>
                <w:sz w:val="22"/>
                <w:szCs w:val="22"/>
                <w:lang w:val="sr-Latn-ME"/>
              </w:rPr>
              <w:t>Doksorubicin 50 mg/m</w:t>
            </w:r>
            <w:r w:rsidRPr="00056CC9">
              <w:rPr>
                <w:sz w:val="22"/>
                <w:szCs w:val="22"/>
                <w:vertAlign w:val="superscript"/>
                <w:lang w:val="sr-Latn-ME"/>
              </w:rPr>
              <w:t>2</w:t>
            </w:r>
            <w:r w:rsidRPr="00056CC9">
              <w:rPr>
                <w:sz w:val="22"/>
                <w:szCs w:val="22"/>
                <w:lang w:val="sr-Latn-ME"/>
              </w:rPr>
              <w:t xml:space="preserve"> i.v. (24 h), dan 4;</w:t>
            </w:r>
          </w:p>
          <w:p w14:paraId="3E943537" w14:textId="77777777" w:rsidR="005D1EF5" w:rsidRPr="00056CC9" w:rsidRDefault="005D1EF5" w:rsidP="00056CC9">
            <w:pPr>
              <w:shd w:val="clear" w:color="auto" w:fill="FFFFFF"/>
              <w:rPr>
                <w:sz w:val="22"/>
                <w:szCs w:val="22"/>
                <w:lang w:val="sr-Latn-ME"/>
              </w:rPr>
            </w:pPr>
            <w:r w:rsidRPr="00056CC9">
              <w:rPr>
                <w:sz w:val="22"/>
                <w:szCs w:val="22"/>
                <w:lang w:val="sr-Latn-ME"/>
              </w:rPr>
              <w:t xml:space="preserve">DEX 40 mg/dan, 1-4. dani i 11-14. dana, naizmjenično sa </w:t>
            </w:r>
            <w:smartTag w:uri="urn:schemas-microsoft-com:office:smarttags" w:element="stockticker">
              <w:r w:rsidRPr="00056CC9">
                <w:rPr>
                  <w:sz w:val="22"/>
                  <w:szCs w:val="22"/>
                  <w:lang w:val="sr-Latn-ME"/>
                </w:rPr>
                <w:t>MTX</w:t>
              </w:r>
            </w:smartTag>
            <w:r w:rsidRPr="00056CC9">
              <w:rPr>
                <w:sz w:val="22"/>
                <w:szCs w:val="22"/>
                <w:lang w:val="sr-Latn-ME"/>
              </w:rPr>
              <w:t xml:space="preserve"> 1 g/m</w:t>
            </w:r>
            <w:r w:rsidRPr="00056CC9">
              <w:rPr>
                <w:sz w:val="22"/>
                <w:szCs w:val="22"/>
                <w:vertAlign w:val="superscript"/>
                <w:lang w:val="sr-Latn-ME"/>
              </w:rPr>
              <w:t>2</w:t>
            </w:r>
            <w:r w:rsidRPr="00056CC9">
              <w:rPr>
                <w:sz w:val="22"/>
                <w:szCs w:val="22"/>
                <w:lang w:val="sr-Latn-ME"/>
              </w:rPr>
              <w:t xml:space="preserve"> i.v. (24 h), dan 1, Ara-C 1 g/m</w:t>
            </w:r>
            <w:r w:rsidRPr="00056CC9">
              <w:rPr>
                <w:sz w:val="22"/>
                <w:szCs w:val="22"/>
                <w:vertAlign w:val="superscript"/>
                <w:lang w:val="sr-Latn-ME"/>
              </w:rPr>
              <w:t>2</w:t>
            </w:r>
            <w:r w:rsidRPr="00056CC9">
              <w:rPr>
                <w:sz w:val="22"/>
                <w:szCs w:val="22"/>
                <w:lang w:val="sr-Latn-ME"/>
              </w:rPr>
              <w:t xml:space="preserve"> i.v. (2 h, svakih 12 h), dana 2-3 (ukupno 8 ciklusa)</w:t>
            </w:r>
          </w:p>
        </w:tc>
      </w:tr>
      <w:tr w:rsidR="005D1EF5" w:rsidRPr="00056CC9" w14:paraId="2215C275" w14:textId="77777777" w:rsidTr="004805F8">
        <w:trPr>
          <w:jc w:val="center"/>
        </w:trPr>
        <w:tc>
          <w:tcPr>
            <w:tcW w:w="2943" w:type="dxa"/>
          </w:tcPr>
          <w:p w14:paraId="2CD7F54A" w14:textId="77777777" w:rsidR="005D1EF5" w:rsidRPr="00056CC9" w:rsidRDefault="005D1EF5" w:rsidP="00056CC9">
            <w:pPr>
              <w:shd w:val="clear" w:color="auto" w:fill="FFFFFF"/>
              <w:rPr>
                <w:b/>
                <w:bCs/>
                <w:color w:val="000000"/>
                <w:sz w:val="22"/>
                <w:szCs w:val="22"/>
                <w:lang w:val="sr-Latn-ME"/>
              </w:rPr>
            </w:pPr>
            <w:r w:rsidRPr="00056CC9">
              <w:rPr>
                <w:sz w:val="22"/>
                <w:szCs w:val="22"/>
                <w:lang w:val="sr-Latn-ME"/>
              </w:rPr>
              <w:t>Održavanje</w:t>
            </w:r>
          </w:p>
        </w:tc>
        <w:tc>
          <w:tcPr>
            <w:tcW w:w="5812" w:type="dxa"/>
          </w:tcPr>
          <w:p w14:paraId="73E9DD0A" w14:textId="77777777" w:rsidR="005D1EF5" w:rsidRPr="00056CC9" w:rsidRDefault="005D1EF5" w:rsidP="00056CC9">
            <w:pPr>
              <w:shd w:val="clear" w:color="auto" w:fill="FFFFFF"/>
              <w:rPr>
                <w:sz w:val="22"/>
                <w:szCs w:val="22"/>
                <w:lang w:val="sr-Latn-ME"/>
              </w:rPr>
            </w:pPr>
            <w:r w:rsidRPr="00056CC9">
              <w:rPr>
                <w:sz w:val="22"/>
                <w:szCs w:val="22"/>
                <w:lang w:val="sr-Latn-ME"/>
              </w:rPr>
              <w:t>VCR 2 mg i.v. mjesečno tokom 13 mjeseci;</w:t>
            </w:r>
          </w:p>
          <w:p w14:paraId="6DD1BB92" w14:textId="77777777" w:rsidR="005D1EF5" w:rsidRPr="00056CC9" w:rsidRDefault="005D1EF5" w:rsidP="00056CC9">
            <w:pPr>
              <w:shd w:val="clear" w:color="auto" w:fill="FFFFFF"/>
              <w:rPr>
                <w:sz w:val="22"/>
                <w:szCs w:val="22"/>
                <w:lang w:val="sr-Latn-ME"/>
              </w:rPr>
            </w:pPr>
            <w:r w:rsidRPr="00056CC9">
              <w:rPr>
                <w:sz w:val="22"/>
                <w:szCs w:val="22"/>
                <w:lang w:val="sr-Latn-ME"/>
              </w:rPr>
              <w:t>Prednizolon 200 mg oralno, 5 dana mjesečno tokom 13 mjeseci</w:t>
            </w:r>
          </w:p>
        </w:tc>
      </w:tr>
      <w:tr w:rsidR="005D1EF5" w:rsidRPr="00056CC9" w14:paraId="055B978C" w14:textId="77777777" w:rsidTr="004805F8">
        <w:trPr>
          <w:jc w:val="center"/>
        </w:trPr>
        <w:tc>
          <w:tcPr>
            <w:tcW w:w="8755" w:type="dxa"/>
            <w:gridSpan w:val="2"/>
          </w:tcPr>
          <w:p w14:paraId="37D1C411" w14:textId="77777777" w:rsidR="005D1EF5" w:rsidRPr="00056CC9" w:rsidRDefault="005D1EF5" w:rsidP="00056CC9">
            <w:pPr>
              <w:shd w:val="clear" w:color="auto" w:fill="FFFFFF"/>
              <w:rPr>
                <w:sz w:val="22"/>
                <w:szCs w:val="22"/>
                <w:lang w:val="sr-Latn-ME"/>
              </w:rPr>
            </w:pPr>
            <w:r w:rsidRPr="00056CC9">
              <w:rPr>
                <w:sz w:val="22"/>
                <w:szCs w:val="22"/>
                <w:lang w:val="sr-Latn-ME"/>
              </w:rPr>
              <w:t>Svi terapijski režimi uključuju davanje steroida za CNS profilaksu.</w:t>
            </w:r>
          </w:p>
        </w:tc>
      </w:tr>
      <w:tr w:rsidR="005D1EF5" w:rsidRPr="00056CC9" w14:paraId="35C006FD" w14:textId="77777777" w:rsidTr="004805F8">
        <w:trPr>
          <w:jc w:val="center"/>
        </w:trPr>
        <w:tc>
          <w:tcPr>
            <w:tcW w:w="8755" w:type="dxa"/>
            <w:gridSpan w:val="2"/>
          </w:tcPr>
          <w:p w14:paraId="25D18165" w14:textId="77777777" w:rsidR="005D1EF5" w:rsidRPr="00056CC9" w:rsidRDefault="005D1EF5" w:rsidP="00056CC9">
            <w:pPr>
              <w:shd w:val="clear" w:color="auto" w:fill="FFFFFF"/>
              <w:rPr>
                <w:sz w:val="22"/>
                <w:szCs w:val="22"/>
                <w:lang w:val="sr-Latn-ME"/>
              </w:rPr>
            </w:pPr>
            <w:r w:rsidRPr="00056CC9">
              <w:rPr>
                <w:sz w:val="22"/>
                <w:szCs w:val="22"/>
                <w:lang w:val="sr-Latn-ME"/>
              </w:rPr>
              <w:t xml:space="preserve">Ara-C: citozin arabinozid; CP: ciklofosfamid; DEX: deksametazon; </w:t>
            </w:r>
            <w:smartTag w:uri="urn:schemas-microsoft-com:office:smarttags" w:element="stockticker">
              <w:r w:rsidRPr="00056CC9">
                <w:rPr>
                  <w:sz w:val="22"/>
                  <w:szCs w:val="22"/>
                  <w:lang w:val="sr-Latn-ME"/>
                </w:rPr>
                <w:t>MTX</w:t>
              </w:r>
            </w:smartTag>
            <w:r w:rsidRPr="00056CC9">
              <w:rPr>
                <w:sz w:val="22"/>
                <w:szCs w:val="22"/>
                <w:lang w:val="sr-Latn-ME"/>
              </w:rPr>
              <w:t>: metotreksat;</w:t>
            </w:r>
          </w:p>
          <w:p w14:paraId="715DC79F" w14:textId="77777777" w:rsidR="005D1EF5" w:rsidRPr="00056CC9" w:rsidRDefault="005D1EF5" w:rsidP="00056CC9">
            <w:pPr>
              <w:shd w:val="clear" w:color="auto" w:fill="FFFFFF"/>
              <w:rPr>
                <w:sz w:val="22"/>
                <w:szCs w:val="22"/>
                <w:lang w:val="sr-Latn-ME"/>
              </w:rPr>
            </w:pPr>
            <w:r w:rsidRPr="00056CC9">
              <w:rPr>
                <w:sz w:val="22"/>
                <w:szCs w:val="22"/>
                <w:lang w:val="sr-Latn-ME"/>
              </w:rPr>
              <w:t xml:space="preserve">6-MP: 6-merkaptopurin; VM26: tenipozid; VCR: vinkristin; </w:t>
            </w:r>
            <w:smartTag w:uri="urn:schemas-microsoft-com:office:smarttags" w:element="stockticker">
              <w:r w:rsidRPr="00056CC9">
                <w:rPr>
                  <w:sz w:val="22"/>
                  <w:szCs w:val="22"/>
                  <w:lang w:val="sr-Latn-ME"/>
                </w:rPr>
                <w:t>IDA</w:t>
              </w:r>
            </w:smartTag>
            <w:r w:rsidRPr="00056CC9">
              <w:rPr>
                <w:sz w:val="22"/>
                <w:szCs w:val="22"/>
                <w:lang w:val="sr-Latn-ME"/>
              </w:rPr>
              <w:t>: idarubicin; i.v.: intravenski</w:t>
            </w:r>
          </w:p>
        </w:tc>
      </w:tr>
    </w:tbl>
    <w:p w14:paraId="22D8E4DD" w14:textId="77777777" w:rsidR="005D1EF5" w:rsidRPr="00056CC9" w:rsidRDefault="005D1EF5" w:rsidP="00056CC9">
      <w:pPr>
        <w:pStyle w:val="NoSpacing"/>
        <w:jc w:val="both"/>
        <w:rPr>
          <w:b/>
          <w:bCs/>
          <w:sz w:val="22"/>
          <w:szCs w:val="22"/>
          <w:lang w:val="sr-Latn-ME"/>
        </w:rPr>
      </w:pPr>
    </w:p>
    <w:p w14:paraId="75D0BAAA"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r w:rsidRPr="00056CC9">
        <w:rPr>
          <w:i/>
          <w:iCs/>
          <w:sz w:val="22"/>
          <w:szCs w:val="22"/>
          <w:lang w:val="sr-Latn-ME"/>
        </w:rPr>
        <w:t xml:space="preserve">Pedijatrijski pacijenti: </w:t>
      </w:r>
      <w:r w:rsidRPr="00056CC9">
        <w:rPr>
          <w:rFonts w:eastAsia="TimesNewRoman"/>
          <w:sz w:val="22"/>
          <w:szCs w:val="22"/>
          <w:lang w:val="sr-Latn-ME"/>
        </w:rPr>
        <w:t xml:space="preserve">u studiji I2301, ukupno 93 djece, adolescenata i mladih odraslih pacijenata (uzrasta od 1 do 22 godine) sa Ph+ALL bilo je uključeno u jedno otvoreno, multicentrično, sekvencijalno, kohortno, nerandomizovano ispitivanje faze III i liječeno imatinibom (primjenom doze od 340 mg/m2/dan) zajedno sa intenzivnom hemioterapijom, nakon indukcione terapije. Imatinib je povremeno primjenjivan u kohortama 1- 5, pri čemu je terapija ranije počinjala i trajala sve duže od jedne do druge kohorte; pri čemu je kohorta 1 primala terapiju najmanjeg intenziteta lijekom imatinib, a kohorta 5 terapiju najvećeg intenziteta lijekom imatinib (najduža terapija u danima uz kontinuirano dnevno doziranje imatiniba u prvim ciklusima hemioterapije). Kontinuirana svakodnevna izloženost imatinibu u ranoj fazi liječenja u kombinaciji sa hemioterapijom dovela je kod pacijenata iz kohorte 5 (n=50) do poboljšavanja stope 4-godišnjeg preživljavanja bez događaja (EFS, engl. </w:t>
      </w:r>
      <w:r w:rsidRPr="00056CC9">
        <w:rPr>
          <w:i/>
          <w:iCs/>
          <w:sz w:val="22"/>
          <w:szCs w:val="22"/>
          <w:lang w:val="sr-Latn-ME"/>
        </w:rPr>
        <w:t>event-free survival</w:t>
      </w:r>
      <w:r w:rsidRPr="00056CC9">
        <w:rPr>
          <w:rFonts w:eastAsia="TimesNewRoman"/>
          <w:sz w:val="22"/>
          <w:szCs w:val="22"/>
          <w:lang w:val="sr-Latn-ME"/>
        </w:rPr>
        <w:t>) u odnosu na ranije kontrolne kohorte (n=120) koje su primale standardnu hemioterapiju bez imatiniba (69,6% u odnosu na 31,6%). Procijenjeno 4-godišnje ukupno preživljavanje (OS) pacijenata iz kohorte 5 bilo je 83,6%, u poređenju sa 44,8% u ranijoj kontrolnoj kohorti. Od 50 pacijenata u kohorti 5, 20 pacijenata (40%) bilo je sa transplantiranim hematopoeznim matičnim ćelijama</w:t>
      </w:r>
    </w:p>
    <w:p w14:paraId="6395F76E"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p>
    <w:p w14:paraId="0B42118E" w14:textId="77777777" w:rsidR="005D1EF5" w:rsidRPr="00056CC9" w:rsidRDefault="005D1EF5" w:rsidP="00056CC9">
      <w:pPr>
        <w:shd w:val="clear" w:color="auto" w:fill="FFFFFF"/>
        <w:autoSpaceDE w:val="0"/>
        <w:autoSpaceDN w:val="0"/>
        <w:adjustRightInd w:val="0"/>
        <w:jc w:val="both"/>
        <w:rPr>
          <w:rFonts w:eastAsia="TimesNewRoman"/>
          <w:b/>
          <w:bCs/>
          <w:sz w:val="22"/>
          <w:szCs w:val="22"/>
          <w:lang w:val="sr-Latn-ME"/>
        </w:rPr>
      </w:pPr>
      <w:r w:rsidRPr="00056CC9">
        <w:rPr>
          <w:rFonts w:eastAsia="TimesNewRoman"/>
          <w:b/>
          <w:bCs/>
          <w:sz w:val="22"/>
          <w:szCs w:val="22"/>
          <w:lang w:val="sr-Latn-ME"/>
        </w:rPr>
        <w:t>Tabela 5. Režim hemioterapije primijenjen u kombinaciji sa imatinibom u studiji I2301</w:t>
      </w:r>
    </w:p>
    <w:p w14:paraId="00A818DB" w14:textId="77777777" w:rsidR="005D1EF5" w:rsidRPr="00056CC9" w:rsidRDefault="005D1EF5" w:rsidP="00056CC9">
      <w:pPr>
        <w:shd w:val="clear" w:color="auto" w:fill="FFFFFF"/>
        <w:autoSpaceDE w:val="0"/>
        <w:autoSpaceDN w:val="0"/>
        <w:adjustRightInd w:val="0"/>
        <w:jc w:val="both"/>
        <w:rPr>
          <w:rFonts w:eastAsia="TimesNewRoman"/>
          <w:b/>
          <w:bCs/>
          <w:sz w:val="22"/>
          <w:szCs w:val="22"/>
          <w:lang w:val="sr-Latn-ME"/>
        </w:rPr>
      </w:pPr>
    </w:p>
    <w:tbl>
      <w:tblPr>
        <w:tblW w:w="9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613"/>
      </w:tblGrid>
      <w:tr w:rsidR="005D1EF5" w:rsidRPr="00056CC9" w14:paraId="4CCF179D" w14:textId="77777777" w:rsidTr="004805F8">
        <w:trPr>
          <w:trHeight w:val="770"/>
        </w:trPr>
        <w:tc>
          <w:tcPr>
            <w:tcW w:w="2410" w:type="dxa"/>
          </w:tcPr>
          <w:p w14:paraId="4BCE39BD"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Konsolidacioni blok 1 </w:t>
            </w:r>
          </w:p>
          <w:p w14:paraId="4189D9A2"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(3 nedjelje) </w:t>
            </w:r>
          </w:p>
        </w:tc>
        <w:tc>
          <w:tcPr>
            <w:tcW w:w="6613" w:type="dxa"/>
          </w:tcPr>
          <w:p w14:paraId="606EF637"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VP-16 (100 mg/m</w:t>
            </w:r>
            <w:r w:rsidRPr="00056CC9">
              <w:rPr>
                <w:color w:val="000000"/>
                <w:sz w:val="22"/>
                <w:szCs w:val="22"/>
                <w:vertAlign w:val="superscript"/>
                <w:lang w:val="sr-Latn-ME"/>
              </w:rPr>
              <w:t>2</w:t>
            </w:r>
            <w:r w:rsidRPr="00056CC9">
              <w:rPr>
                <w:color w:val="000000"/>
                <w:sz w:val="22"/>
                <w:szCs w:val="22"/>
                <w:lang w:val="sr-Latn-ME"/>
              </w:rPr>
              <w:t xml:space="preserve">/dan, IV): dani 1-5 </w:t>
            </w:r>
          </w:p>
          <w:p w14:paraId="1BE87812"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Ifosfamid (1,8 g/m</w:t>
            </w:r>
            <w:r w:rsidRPr="00056CC9">
              <w:rPr>
                <w:color w:val="000000"/>
                <w:sz w:val="22"/>
                <w:szCs w:val="22"/>
                <w:vertAlign w:val="superscript"/>
                <w:lang w:val="sr-Latn-ME"/>
              </w:rPr>
              <w:t>2</w:t>
            </w:r>
            <w:r w:rsidRPr="00056CC9">
              <w:rPr>
                <w:color w:val="000000"/>
                <w:sz w:val="22"/>
                <w:szCs w:val="22"/>
                <w:lang w:val="sr-Latn-ME"/>
              </w:rPr>
              <w:t xml:space="preserve">/dan, IV): dani 1-5 </w:t>
            </w:r>
          </w:p>
          <w:p w14:paraId="40530715"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MESNA (360 mg/m</w:t>
            </w:r>
            <w:r w:rsidRPr="00056CC9">
              <w:rPr>
                <w:color w:val="000000"/>
                <w:sz w:val="22"/>
                <w:szCs w:val="22"/>
                <w:vertAlign w:val="superscript"/>
                <w:lang w:val="sr-Latn-ME"/>
              </w:rPr>
              <w:t>2</w:t>
            </w:r>
            <w:r w:rsidRPr="00056CC9">
              <w:rPr>
                <w:color w:val="000000"/>
                <w:sz w:val="22"/>
                <w:szCs w:val="22"/>
                <w:lang w:val="sr-Latn-ME"/>
              </w:rPr>
              <w:t xml:space="preserve">/doza svakih 3h, x 8 doza dnevno, IV): dani 1-5 </w:t>
            </w:r>
          </w:p>
          <w:p w14:paraId="4C43817A"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G-CSF (5 μg/kg, SC): dani 6-15 ili dok ANC ne bude &gt; 1500 nakon najniže izmjerene vrijednosti (nadir)</w:t>
            </w:r>
          </w:p>
          <w:p w14:paraId="54CAFEC9"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IT metotreksat (u skladu sa godinama): SAMO 1 dan</w:t>
            </w:r>
          </w:p>
          <w:p w14:paraId="0A9D3A37"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Trostruka IT terapija (u skladu sa godinama): dani 8, 15 </w:t>
            </w:r>
          </w:p>
        </w:tc>
      </w:tr>
      <w:tr w:rsidR="005D1EF5" w:rsidRPr="00056CC9" w14:paraId="5F71209F" w14:textId="77777777" w:rsidTr="004805F8">
        <w:trPr>
          <w:trHeight w:val="770"/>
        </w:trPr>
        <w:tc>
          <w:tcPr>
            <w:tcW w:w="2410" w:type="dxa"/>
          </w:tcPr>
          <w:p w14:paraId="3FC9AE63"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Konsolidacioni blok 2 </w:t>
            </w:r>
          </w:p>
          <w:p w14:paraId="3733E954"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(3 nedjelje) </w:t>
            </w:r>
          </w:p>
        </w:tc>
        <w:tc>
          <w:tcPr>
            <w:tcW w:w="6613" w:type="dxa"/>
          </w:tcPr>
          <w:p w14:paraId="5D8AFB6E"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Metotreksat (5 g/m</w:t>
            </w:r>
            <w:r w:rsidRPr="00056CC9">
              <w:rPr>
                <w:color w:val="000000"/>
                <w:sz w:val="22"/>
                <w:szCs w:val="22"/>
                <w:vertAlign w:val="superscript"/>
                <w:lang w:val="sr-Latn-ME"/>
              </w:rPr>
              <w:t>2</w:t>
            </w:r>
            <w:r w:rsidRPr="00056CC9">
              <w:rPr>
                <w:color w:val="000000"/>
                <w:sz w:val="22"/>
                <w:szCs w:val="22"/>
                <w:lang w:val="sr-Latn-ME"/>
              </w:rPr>
              <w:t xml:space="preserve"> tokom 24 sata, IV): dan 1 </w:t>
            </w:r>
          </w:p>
          <w:p w14:paraId="37DC827A"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Leukovorin (75 mg/m</w:t>
            </w:r>
            <w:r w:rsidRPr="00056CC9">
              <w:rPr>
                <w:color w:val="000000"/>
                <w:sz w:val="22"/>
                <w:szCs w:val="22"/>
                <w:vertAlign w:val="superscript"/>
                <w:lang w:val="sr-Latn-ME"/>
              </w:rPr>
              <w:t>2</w:t>
            </w:r>
            <w:r w:rsidRPr="00056CC9">
              <w:rPr>
                <w:color w:val="000000"/>
                <w:sz w:val="22"/>
                <w:szCs w:val="22"/>
                <w:lang w:val="sr-Latn-ME"/>
              </w:rPr>
              <w:t xml:space="preserve"> sata 36, IV; 15 mg/m2 IV ili PO svakih 6h x 6 doza) iii: dani 2 i 3 </w:t>
            </w:r>
          </w:p>
          <w:p w14:paraId="21866228"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Trostruka IT terapija (u skladu sa godinama): dan 1 </w:t>
            </w:r>
          </w:p>
          <w:p w14:paraId="3B705839"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ARA-C (3 g/m2/doza svakih 12 h x 4, IV): dani 2 i 3 </w:t>
            </w:r>
          </w:p>
          <w:p w14:paraId="5FF54551"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G-CSF (5 μg/kg, SC): dani 4-13 ili dok ANC ne bude &gt; 1500 nakon najniže izmjerene vrijednosti (nadir)</w:t>
            </w:r>
          </w:p>
        </w:tc>
      </w:tr>
      <w:tr w:rsidR="005D1EF5" w:rsidRPr="00056CC9" w14:paraId="71AF3F60" w14:textId="77777777" w:rsidTr="004805F8">
        <w:trPr>
          <w:trHeight w:val="900"/>
        </w:trPr>
        <w:tc>
          <w:tcPr>
            <w:tcW w:w="2410" w:type="dxa"/>
          </w:tcPr>
          <w:p w14:paraId="11FD58B1"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lastRenderedPageBreak/>
              <w:t xml:space="preserve">Reindukcioni blok 1 </w:t>
            </w:r>
          </w:p>
          <w:p w14:paraId="3F404B7A"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(3 nedjelje) </w:t>
            </w:r>
          </w:p>
        </w:tc>
        <w:tc>
          <w:tcPr>
            <w:tcW w:w="6613" w:type="dxa"/>
          </w:tcPr>
          <w:p w14:paraId="209C649C"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VCR (1,5 mg/m</w:t>
            </w:r>
            <w:r w:rsidRPr="00056CC9">
              <w:rPr>
                <w:color w:val="000000"/>
                <w:sz w:val="22"/>
                <w:szCs w:val="22"/>
                <w:vertAlign w:val="superscript"/>
                <w:lang w:val="sr-Latn-ME"/>
              </w:rPr>
              <w:t>2</w:t>
            </w:r>
            <w:r w:rsidRPr="00056CC9">
              <w:rPr>
                <w:color w:val="000000"/>
                <w:sz w:val="22"/>
                <w:szCs w:val="22"/>
                <w:lang w:val="sr-Latn-ME"/>
              </w:rPr>
              <w:t xml:space="preserve">/dan, IV): dani 1, 8 i 15 </w:t>
            </w:r>
          </w:p>
          <w:p w14:paraId="2ACC6D9E"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DAUN (45 mg/m</w:t>
            </w:r>
            <w:r w:rsidRPr="00056CC9">
              <w:rPr>
                <w:color w:val="000000"/>
                <w:sz w:val="22"/>
                <w:szCs w:val="22"/>
                <w:vertAlign w:val="superscript"/>
                <w:lang w:val="sr-Latn-ME"/>
              </w:rPr>
              <w:t>2</w:t>
            </w:r>
            <w:r w:rsidRPr="00056CC9">
              <w:rPr>
                <w:color w:val="000000"/>
                <w:sz w:val="22"/>
                <w:szCs w:val="22"/>
                <w:lang w:val="sr-Latn-ME"/>
              </w:rPr>
              <w:t xml:space="preserve">/dan bolus, IV): dani 1 i 2 </w:t>
            </w:r>
          </w:p>
          <w:p w14:paraId="7F962208"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CPM (250 mg/m</w:t>
            </w:r>
            <w:r w:rsidRPr="00056CC9">
              <w:rPr>
                <w:color w:val="000000"/>
                <w:sz w:val="22"/>
                <w:szCs w:val="22"/>
                <w:vertAlign w:val="superscript"/>
                <w:lang w:val="sr-Latn-ME"/>
              </w:rPr>
              <w:t>2</w:t>
            </w:r>
            <w:r w:rsidRPr="00056CC9">
              <w:rPr>
                <w:color w:val="000000"/>
                <w:sz w:val="22"/>
                <w:szCs w:val="22"/>
                <w:lang w:val="sr-Latn-ME"/>
              </w:rPr>
              <w:t xml:space="preserve">/doza svakih 12h x 4 doze, IV): dani 3 i 4 </w:t>
            </w:r>
          </w:p>
          <w:p w14:paraId="3DA492BB"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PEG-ASP (2500 IJ/m</w:t>
            </w:r>
            <w:r w:rsidRPr="00056CC9">
              <w:rPr>
                <w:color w:val="000000"/>
                <w:sz w:val="22"/>
                <w:szCs w:val="22"/>
                <w:vertAlign w:val="superscript"/>
                <w:lang w:val="sr-Latn-ME"/>
              </w:rPr>
              <w:t>2</w:t>
            </w:r>
            <w:r w:rsidRPr="00056CC9">
              <w:rPr>
                <w:color w:val="000000"/>
                <w:sz w:val="22"/>
                <w:szCs w:val="22"/>
                <w:lang w:val="sr-Latn-ME"/>
              </w:rPr>
              <w:t xml:space="preserve">, IM): dan 4 </w:t>
            </w:r>
          </w:p>
          <w:p w14:paraId="6D9DD34B"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G-CSF (5 μg/kg, SC): dani 5-14 ili dok ANC ne bude &gt; 1500 nakon najniže izmjerene vrijednosti (nadir)</w:t>
            </w:r>
          </w:p>
          <w:p w14:paraId="5ABFC966"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Trostruka IT terapija (u skladu sa godinama): dani 1 i 15 </w:t>
            </w:r>
          </w:p>
          <w:p w14:paraId="0A9E304A"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DEX (6 mg/m</w:t>
            </w:r>
            <w:r w:rsidRPr="00056CC9">
              <w:rPr>
                <w:color w:val="000000"/>
                <w:sz w:val="22"/>
                <w:szCs w:val="22"/>
                <w:vertAlign w:val="superscript"/>
                <w:lang w:val="sr-Latn-ME"/>
              </w:rPr>
              <w:t>2</w:t>
            </w:r>
            <w:r w:rsidRPr="00056CC9">
              <w:rPr>
                <w:color w:val="000000"/>
                <w:sz w:val="22"/>
                <w:szCs w:val="22"/>
                <w:lang w:val="sr-Latn-ME"/>
              </w:rPr>
              <w:t xml:space="preserve">/dan, PO): dani 1-7 i 15-21 </w:t>
            </w:r>
          </w:p>
        </w:tc>
      </w:tr>
      <w:tr w:rsidR="005D1EF5" w:rsidRPr="00056CC9" w14:paraId="5ABED8BE" w14:textId="77777777" w:rsidTr="004805F8">
        <w:trPr>
          <w:trHeight w:val="900"/>
        </w:trPr>
        <w:tc>
          <w:tcPr>
            <w:tcW w:w="2410" w:type="dxa"/>
            <w:tcBorders>
              <w:top w:val="single" w:sz="4" w:space="0" w:color="auto"/>
              <w:left w:val="single" w:sz="4" w:space="0" w:color="auto"/>
              <w:bottom w:val="single" w:sz="4" w:space="0" w:color="auto"/>
              <w:right w:val="single" w:sz="4" w:space="0" w:color="auto"/>
            </w:tcBorders>
          </w:tcPr>
          <w:p w14:paraId="6B1F446D"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Blok intenzifikacije 1</w:t>
            </w:r>
          </w:p>
          <w:p w14:paraId="299101DC"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(9 nedjelja) </w:t>
            </w:r>
          </w:p>
        </w:tc>
        <w:tc>
          <w:tcPr>
            <w:tcW w:w="6613" w:type="dxa"/>
            <w:tcBorders>
              <w:top w:val="single" w:sz="4" w:space="0" w:color="auto"/>
              <w:left w:val="single" w:sz="4" w:space="0" w:color="auto"/>
              <w:bottom w:val="single" w:sz="4" w:space="0" w:color="auto"/>
              <w:right w:val="single" w:sz="4" w:space="0" w:color="auto"/>
            </w:tcBorders>
          </w:tcPr>
          <w:p w14:paraId="3B011CEE"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Metotreksat (5 g/m</w:t>
            </w:r>
            <w:r w:rsidRPr="00056CC9">
              <w:rPr>
                <w:color w:val="000000"/>
                <w:sz w:val="22"/>
                <w:szCs w:val="22"/>
                <w:vertAlign w:val="superscript"/>
                <w:lang w:val="sr-Latn-ME"/>
              </w:rPr>
              <w:t>2</w:t>
            </w:r>
            <w:r w:rsidRPr="00056CC9">
              <w:rPr>
                <w:color w:val="000000"/>
                <w:sz w:val="22"/>
                <w:szCs w:val="22"/>
                <w:lang w:val="sr-Latn-ME"/>
              </w:rPr>
              <w:t xml:space="preserve"> tokom 24 sata, IV): dani 1 i 15 </w:t>
            </w:r>
          </w:p>
          <w:p w14:paraId="34BF9F4B"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Leukovorin (75 mg/m</w:t>
            </w:r>
            <w:r w:rsidRPr="00056CC9">
              <w:rPr>
                <w:color w:val="000000"/>
                <w:sz w:val="22"/>
                <w:szCs w:val="22"/>
                <w:vertAlign w:val="superscript"/>
                <w:lang w:val="sr-Latn-ME"/>
              </w:rPr>
              <w:t>2</w:t>
            </w:r>
            <w:r w:rsidRPr="00056CC9">
              <w:rPr>
                <w:color w:val="000000"/>
                <w:sz w:val="22"/>
                <w:szCs w:val="22"/>
                <w:lang w:val="sr-Latn-ME"/>
              </w:rPr>
              <w:t xml:space="preserve"> sata 36, IV; 15 mg/m</w:t>
            </w:r>
            <w:r w:rsidRPr="00056CC9">
              <w:rPr>
                <w:color w:val="000000"/>
                <w:sz w:val="22"/>
                <w:szCs w:val="22"/>
                <w:vertAlign w:val="superscript"/>
                <w:lang w:val="sr-Latn-ME"/>
              </w:rPr>
              <w:t>2</w:t>
            </w:r>
            <w:r w:rsidRPr="00056CC9">
              <w:rPr>
                <w:color w:val="000000"/>
                <w:sz w:val="22"/>
                <w:szCs w:val="22"/>
                <w:lang w:val="sr-Latn-ME"/>
              </w:rPr>
              <w:t xml:space="preserve"> IV ili PO svakih 6h x 6 doza) iii: dani 2, 3, 16 i 17 </w:t>
            </w:r>
          </w:p>
          <w:p w14:paraId="364EC901"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Trostruka IT terapija (u skladu sa godinama): dani 1 i 22 </w:t>
            </w:r>
          </w:p>
          <w:p w14:paraId="0781ED27"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VP-16 (100 mg/m</w:t>
            </w:r>
            <w:r w:rsidRPr="00056CC9">
              <w:rPr>
                <w:color w:val="000000"/>
                <w:sz w:val="22"/>
                <w:szCs w:val="22"/>
                <w:vertAlign w:val="superscript"/>
                <w:lang w:val="sr-Latn-ME"/>
              </w:rPr>
              <w:t>2</w:t>
            </w:r>
            <w:r w:rsidRPr="00056CC9">
              <w:rPr>
                <w:color w:val="000000"/>
                <w:sz w:val="22"/>
                <w:szCs w:val="22"/>
                <w:lang w:val="sr-Latn-ME"/>
              </w:rPr>
              <w:t xml:space="preserve">/dan, IV): dani 22-26 </w:t>
            </w:r>
          </w:p>
          <w:p w14:paraId="1E73B714"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CPM (300 mg/m</w:t>
            </w:r>
            <w:r w:rsidRPr="00056CC9">
              <w:rPr>
                <w:color w:val="000000"/>
                <w:sz w:val="22"/>
                <w:szCs w:val="22"/>
                <w:vertAlign w:val="superscript"/>
                <w:lang w:val="sr-Latn-ME"/>
              </w:rPr>
              <w:t>2</w:t>
            </w:r>
            <w:r w:rsidRPr="00056CC9">
              <w:rPr>
                <w:color w:val="000000"/>
                <w:sz w:val="22"/>
                <w:szCs w:val="22"/>
                <w:lang w:val="sr-Latn-ME"/>
              </w:rPr>
              <w:t xml:space="preserve">/dan, IV): dani 22-26 </w:t>
            </w:r>
          </w:p>
          <w:p w14:paraId="58433FCC"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MESNA (150 mg/m</w:t>
            </w:r>
            <w:r w:rsidRPr="00056CC9">
              <w:rPr>
                <w:color w:val="000000"/>
                <w:sz w:val="22"/>
                <w:szCs w:val="22"/>
                <w:vertAlign w:val="superscript"/>
                <w:lang w:val="sr-Latn-ME"/>
              </w:rPr>
              <w:t>2</w:t>
            </w:r>
            <w:r w:rsidRPr="00056CC9">
              <w:rPr>
                <w:color w:val="000000"/>
                <w:sz w:val="22"/>
                <w:szCs w:val="22"/>
                <w:lang w:val="sr-Latn-ME"/>
              </w:rPr>
              <w:t xml:space="preserve">/dan, IV): dani 22-26 </w:t>
            </w:r>
          </w:p>
          <w:p w14:paraId="26F36488"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G-CSF (5 μg/kg, SC): dani 27-36 ili dok ANC ne bude &gt; 1500 nakon najniže izmjerene vrijednosti (nadir)</w:t>
            </w:r>
          </w:p>
          <w:p w14:paraId="62646CB4"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ARA-C (3 g/m</w:t>
            </w:r>
            <w:r w:rsidRPr="00056CC9">
              <w:rPr>
                <w:color w:val="000000"/>
                <w:sz w:val="22"/>
                <w:szCs w:val="22"/>
                <w:vertAlign w:val="superscript"/>
                <w:lang w:val="sr-Latn-ME"/>
              </w:rPr>
              <w:t>2</w:t>
            </w:r>
            <w:r w:rsidRPr="00056CC9">
              <w:rPr>
                <w:color w:val="000000"/>
                <w:sz w:val="22"/>
                <w:szCs w:val="22"/>
                <w:lang w:val="sr-Latn-ME"/>
              </w:rPr>
              <w:t xml:space="preserve">, svakih 12h, IV): dani 43, 44 </w:t>
            </w:r>
          </w:p>
          <w:p w14:paraId="41AB112E"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L-ASP (6000 IJ/m</w:t>
            </w:r>
            <w:r w:rsidRPr="00056CC9">
              <w:rPr>
                <w:color w:val="000000"/>
                <w:sz w:val="22"/>
                <w:szCs w:val="22"/>
                <w:vertAlign w:val="superscript"/>
                <w:lang w:val="sr-Latn-ME"/>
              </w:rPr>
              <w:t>2</w:t>
            </w:r>
            <w:r w:rsidRPr="00056CC9">
              <w:rPr>
                <w:color w:val="000000"/>
                <w:sz w:val="22"/>
                <w:szCs w:val="22"/>
                <w:lang w:val="sr-Latn-ME"/>
              </w:rPr>
              <w:t xml:space="preserve">, IM): dan 44 </w:t>
            </w:r>
          </w:p>
        </w:tc>
      </w:tr>
      <w:tr w:rsidR="005D1EF5" w:rsidRPr="00056CC9" w14:paraId="0FDB6172" w14:textId="77777777" w:rsidTr="004805F8">
        <w:trPr>
          <w:trHeight w:val="900"/>
        </w:trPr>
        <w:tc>
          <w:tcPr>
            <w:tcW w:w="2410" w:type="dxa"/>
            <w:tcBorders>
              <w:top w:val="single" w:sz="4" w:space="0" w:color="auto"/>
              <w:left w:val="single" w:sz="4" w:space="0" w:color="auto"/>
              <w:bottom w:val="single" w:sz="4" w:space="0" w:color="auto"/>
              <w:right w:val="single" w:sz="4" w:space="0" w:color="auto"/>
            </w:tcBorders>
          </w:tcPr>
          <w:p w14:paraId="668DD25A"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Reindukcioni blok 2</w:t>
            </w:r>
          </w:p>
          <w:p w14:paraId="69CBC506"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(3 nedjelje) </w:t>
            </w:r>
          </w:p>
        </w:tc>
        <w:tc>
          <w:tcPr>
            <w:tcW w:w="6613" w:type="dxa"/>
            <w:tcBorders>
              <w:top w:val="single" w:sz="4" w:space="0" w:color="auto"/>
              <w:left w:val="single" w:sz="4" w:space="0" w:color="auto"/>
              <w:bottom w:val="single" w:sz="4" w:space="0" w:color="auto"/>
              <w:right w:val="single" w:sz="4" w:space="0" w:color="auto"/>
            </w:tcBorders>
          </w:tcPr>
          <w:p w14:paraId="49525A76"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VCR (1,5 mg/m</w:t>
            </w:r>
            <w:r w:rsidRPr="00056CC9">
              <w:rPr>
                <w:color w:val="000000"/>
                <w:sz w:val="22"/>
                <w:szCs w:val="22"/>
                <w:vertAlign w:val="superscript"/>
                <w:lang w:val="sr-Latn-ME"/>
              </w:rPr>
              <w:t>2</w:t>
            </w:r>
            <w:r w:rsidRPr="00056CC9">
              <w:rPr>
                <w:color w:val="000000"/>
                <w:sz w:val="22"/>
                <w:szCs w:val="22"/>
                <w:lang w:val="sr-Latn-ME"/>
              </w:rPr>
              <w:t xml:space="preserve">/dan, IV): dani 1, 8 i 15 </w:t>
            </w:r>
          </w:p>
          <w:p w14:paraId="77652E31"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DAUN (45 mg/m</w:t>
            </w:r>
            <w:r w:rsidRPr="00056CC9">
              <w:rPr>
                <w:color w:val="000000"/>
                <w:sz w:val="22"/>
                <w:szCs w:val="22"/>
                <w:vertAlign w:val="superscript"/>
                <w:lang w:val="sr-Latn-ME"/>
              </w:rPr>
              <w:t>2</w:t>
            </w:r>
            <w:r w:rsidRPr="00056CC9">
              <w:rPr>
                <w:color w:val="000000"/>
                <w:sz w:val="22"/>
                <w:szCs w:val="22"/>
                <w:lang w:val="sr-Latn-ME"/>
              </w:rPr>
              <w:t xml:space="preserve">/dan bolus, IV): dani 1 i 2 </w:t>
            </w:r>
          </w:p>
          <w:p w14:paraId="7FA9F905"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CPM (250 mg/m</w:t>
            </w:r>
            <w:r w:rsidRPr="00056CC9">
              <w:rPr>
                <w:color w:val="000000"/>
                <w:sz w:val="22"/>
                <w:szCs w:val="22"/>
                <w:vertAlign w:val="superscript"/>
                <w:lang w:val="sr-Latn-ME"/>
              </w:rPr>
              <w:t>2</w:t>
            </w:r>
            <w:r w:rsidRPr="00056CC9">
              <w:rPr>
                <w:color w:val="000000"/>
                <w:sz w:val="22"/>
                <w:szCs w:val="22"/>
                <w:lang w:val="sr-Latn-ME"/>
              </w:rPr>
              <w:t xml:space="preserve">/doza svakih 12h x 4 doze, iv): dani 3 i 4 </w:t>
            </w:r>
          </w:p>
          <w:p w14:paraId="36C33252"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PEG-ASP (2500 IJ/m</w:t>
            </w:r>
            <w:r w:rsidRPr="00056CC9">
              <w:rPr>
                <w:color w:val="000000"/>
                <w:sz w:val="22"/>
                <w:szCs w:val="22"/>
                <w:vertAlign w:val="superscript"/>
                <w:lang w:val="sr-Latn-ME"/>
              </w:rPr>
              <w:t>2</w:t>
            </w:r>
            <w:r w:rsidRPr="00056CC9">
              <w:rPr>
                <w:color w:val="000000"/>
                <w:sz w:val="22"/>
                <w:szCs w:val="22"/>
                <w:lang w:val="sr-Latn-ME"/>
              </w:rPr>
              <w:t xml:space="preserve">, IM): dan 4 </w:t>
            </w:r>
          </w:p>
          <w:p w14:paraId="796E5737"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G-CSF (5 μg/kg, SC): dani 5-14 ili dok ANC ne bude &gt; 1500  nakon najniže izmjerene vrijednosti (nadir)</w:t>
            </w:r>
          </w:p>
          <w:p w14:paraId="1914DA9C"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Trostruka IT terapija (u skladu sa godinama): dani 1 i 15 </w:t>
            </w:r>
          </w:p>
          <w:p w14:paraId="50134F70"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DEX (6 mg/m</w:t>
            </w:r>
            <w:r w:rsidRPr="00056CC9">
              <w:rPr>
                <w:color w:val="000000"/>
                <w:sz w:val="22"/>
                <w:szCs w:val="22"/>
                <w:vertAlign w:val="superscript"/>
                <w:lang w:val="sr-Latn-ME"/>
              </w:rPr>
              <w:t>2</w:t>
            </w:r>
            <w:r w:rsidRPr="00056CC9">
              <w:rPr>
                <w:color w:val="000000"/>
                <w:sz w:val="22"/>
                <w:szCs w:val="22"/>
                <w:lang w:val="sr-Latn-ME"/>
              </w:rPr>
              <w:t xml:space="preserve">/dan, PO): dani 1-7 i 15-21 </w:t>
            </w:r>
          </w:p>
        </w:tc>
      </w:tr>
      <w:tr w:rsidR="005D1EF5" w:rsidRPr="00056CC9" w14:paraId="54C0D95E" w14:textId="77777777" w:rsidTr="004805F8">
        <w:trPr>
          <w:trHeight w:val="900"/>
        </w:trPr>
        <w:tc>
          <w:tcPr>
            <w:tcW w:w="2410" w:type="dxa"/>
            <w:tcBorders>
              <w:top w:val="single" w:sz="4" w:space="0" w:color="auto"/>
              <w:left w:val="single" w:sz="4" w:space="0" w:color="auto"/>
              <w:bottom w:val="single" w:sz="4" w:space="0" w:color="auto"/>
              <w:right w:val="single" w:sz="4" w:space="0" w:color="auto"/>
            </w:tcBorders>
          </w:tcPr>
          <w:p w14:paraId="6E35F926"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Blok intenzifikacije 2 </w:t>
            </w:r>
          </w:p>
          <w:p w14:paraId="27A4237D"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(9 nedjelja) </w:t>
            </w:r>
          </w:p>
        </w:tc>
        <w:tc>
          <w:tcPr>
            <w:tcW w:w="6613" w:type="dxa"/>
            <w:tcBorders>
              <w:top w:val="single" w:sz="4" w:space="0" w:color="auto"/>
              <w:left w:val="single" w:sz="4" w:space="0" w:color="auto"/>
              <w:bottom w:val="single" w:sz="4" w:space="0" w:color="auto"/>
              <w:right w:val="single" w:sz="4" w:space="0" w:color="auto"/>
            </w:tcBorders>
          </w:tcPr>
          <w:p w14:paraId="5EF22F7A"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Metotreksat (5 g/m</w:t>
            </w:r>
            <w:r w:rsidRPr="00056CC9">
              <w:rPr>
                <w:color w:val="000000"/>
                <w:sz w:val="22"/>
                <w:szCs w:val="22"/>
                <w:vertAlign w:val="superscript"/>
                <w:lang w:val="sr-Latn-ME"/>
              </w:rPr>
              <w:t>2</w:t>
            </w:r>
            <w:r w:rsidRPr="00056CC9">
              <w:rPr>
                <w:color w:val="000000"/>
                <w:sz w:val="22"/>
                <w:szCs w:val="22"/>
                <w:lang w:val="sr-Latn-ME"/>
              </w:rPr>
              <w:t xml:space="preserve"> tokom 24 sata, IV): dani 1 i 15 </w:t>
            </w:r>
          </w:p>
          <w:p w14:paraId="0C143696"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Leukovorin (75 mg/m</w:t>
            </w:r>
            <w:r w:rsidRPr="00056CC9">
              <w:rPr>
                <w:color w:val="000000"/>
                <w:sz w:val="22"/>
                <w:szCs w:val="22"/>
                <w:vertAlign w:val="superscript"/>
                <w:lang w:val="sr-Latn-ME"/>
              </w:rPr>
              <w:t>2</w:t>
            </w:r>
            <w:r w:rsidRPr="00056CC9">
              <w:rPr>
                <w:color w:val="000000"/>
                <w:sz w:val="22"/>
                <w:szCs w:val="22"/>
                <w:lang w:val="sr-Latn-ME"/>
              </w:rPr>
              <w:t xml:space="preserve"> sata 36, IV; 15 mg/m2 IV ili PO svakih 6h x 6 doza) iii: dani 2, 3, 16 i 17 </w:t>
            </w:r>
          </w:p>
          <w:p w14:paraId="7E7ED51B"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Trostruka IT terapija (u skladu sa godinama): dani 1 i 22 </w:t>
            </w:r>
          </w:p>
          <w:p w14:paraId="62C26AFC"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VP-16 (100 mg/m</w:t>
            </w:r>
            <w:r w:rsidRPr="00056CC9">
              <w:rPr>
                <w:color w:val="000000"/>
                <w:sz w:val="22"/>
                <w:szCs w:val="22"/>
                <w:vertAlign w:val="superscript"/>
                <w:lang w:val="sr-Latn-ME"/>
              </w:rPr>
              <w:t>2</w:t>
            </w:r>
            <w:r w:rsidRPr="00056CC9">
              <w:rPr>
                <w:color w:val="000000"/>
                <w:sz w:val="22"/>
                <w:szCs w:val="22"/>
                <w:lang w:val="sr-Latn-ME"/>
              </w:rPr>
              <w:t xml:space="preserve">/dan, IV): dani 22-26 </w:t>
            </w:r>
          </w:p>
          <w:p w14:paraId="578F4141"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CPM (300 mg/m</w:t>
            </w:r>
            <w:r w:rsidRPr="00056CC9">
              <w:rPr>
                <w:color w:val="000000"/>
                <w:sz w:val="22"/>
                <w:szCs w:val="22"/>
                <w:vertAlign w:val="superscript"/>
                <w:lang w:val="sr-Latn-ME"/>
              </w:rPr>
              <w:t>2</w:t>
            </w:r>
            <w:r w:rsidRPr="00056CC9">
              <w:rPr>
                <w:color w:val="000000"/>
                <w:sz w:val="22"/>
                <w:szCs w:val="22"/>
                <w:lang w:val="sr-Latn-ME"/>
              </w:rPr>
              <w:t xml:space="preserve">/dan, IV): dani 22-26 </w:t>
            </w:r>
          </w:p>
          <w:p w14:paraId="2DC7302F"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MESNA (150 mg/m</w:t>
            </w:r>
            <w:r w:rsidRPr="00056CC9">
              <w:rPr>
                <w:color w:val="000000"/>
                <w:sz w:val="22"/>
                <w:szCs w:val="22"/>
                <w:vertAlign w:val="superscript"/>
                <w:lang w:val="sr-Latn-ME"/>
              </w:rPr>
              <w:t>2</w:t>
            </w:r>
            <w:r w:rsidRPr="00056CC9">
              <w:rPr>
                <w:color w:val="000000"/>
                <w:sz w:val="22"/>
                <w:szCs w:val="22"/>
                <w:lang w:val="sr-Latn-ME"/>
              </w:rPr>
              <w:t xml:space="preserve">/dan, IV): dani 22-26 </w:t>
            </w:r>
          </w:p>
          <w:p w14:paraId="4D903F2F"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G-CSF (5 μg/kg, SC): dani 27-36 ili dok ANC ne bude &gt; 1500 nakon najniže izmjerene vrijednosti (nadir)</w:t>
            </w:r>
          </w:p>
          <w:p w14:paraId="31D4CC2F"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ARA-C (3 g/m</w:t>
            </w:r>
            <w:r w:rsidRPr="00056CC9">
              <w:rPr>
                <w:color w:val="000000"/>
                <w:sz w:val="22"/>
                <w:szCs w:val="22"/>
                <w:vertAlign w:val="superscript"/>
                <w:lang w:val="sr-Latn-ME"/>
              </w:rPr>
              <w:t>2</w:t>
            </w:r>
            <w:r w:rsidRPr="00056CC9">
              <w:rPr>
                <w:color w:val="000000"/>
                <w:sz w:val="22"/>
                <w:szCs w:val="22"/>
                <w:lang w:val="sr-Latn-ME"/>
              </w:rPr>
              <w:t xml:space="preserve">, svakih 12h, IV): dani 43, 44 </w:t>
            </w:r>
          </w:p>
          <w:p w14:paraId="4BAA064F"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L-ASP (6000 IJ/m</w:t>
            </w:r>
            <w:r w:rsidRPr="00056CC9">
              <w:rPr>
                <w:color w:val="000000"/>
                <w:sz w:val="22"/>
                <w:szCs w:val="22"/>
                <w:vertAlign w:val="superscript"/>
                <w:lang w:val="sr-Latn-ME"/>
              </w:rPr>
              <w:t>2</w:t>
            </w:r>
            <w:r w:rsidRPr="00056CC9">
              <w:rPr>
                <w:color w:val="000000"/>
                <w:sz w:val="22"/>
                <w:szCs w:val="22"/>
                <w:lang w:val="sr-Latn-ME"/>
              </w:rPr>
              <w:t xml:space="preserve">, IM): dan 44 </w:t>
            </w:r>
          </w:p>
        </w:tc>
      </w:tr>
      <w:tr w:rsidR="005D1EF5" w:rsidRPr="00056CC9" w14:paraId="0D54D5C1" w14:textId="77777777" w:rsidTr="004805F8">
        <w:trPr>
          <w:trHeight w:val="900"/>
        </w:trPr>
        <w:tc>
          <w:tcPr>
            <w:tcW w:w="2410" w:type="dxa"/>
            <w:tcBorders>
              <w:top w:val="single" w:sz="4" w:space="0" w:color="auto"/>
              <w:left w:val="single" w:sz="4" w:space="0" w:color="auto"/>
              <w:bottom w:val="single" w:sz="4" w:space="0" w:color="auto"/>
              <w:right w:val="single" w:sz="4" w:space="0" w:color="auto"/>
            </w:tcBorders>
          </w:tcPr>
          <w:p w14:paraId="055FCEBB"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Održavanje</w:t>
            </w:r>
          </w:p>
          <w:p w14:paraId="478A9EC5"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(8-nedjeljni ciklusi) </w:t>
            </w:r>
          </w:p>
          <w:p w14:paraId="2BF9C64E"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Ciklusi 1–4 </w:t>
            </w:r>
          </w:p>
        </w:tc>
        <w:tc>
          <w:tcPr>
            <w:tcW w:w="6613" w:type="dxa"/>
            <w:tcBorders>
              <w:top w:val="single" w:sz="4" w:space="0" w:color="auto"/>
              <w:left w:val="single" w:sz="4" w:space="0" w:color="auto"/>
              <w:bottom w:val="single" w:sz="4" w:space="0" w:color="auto"/>
              <w:right w:val="single" w:sz="4" w:space="0" w:color="auto"/>
            </w:tcBorders>
          </w:tcPr>
          <w:p w14:paraId="283976E7"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MTX (5 g/m</w:t>
            </w:r>
            <w:r w:rsidRPr="00056CC9">
              <w:rPr>
                <w:color w:val="000000"/>
                <w:sz w:val="22"/>
                <w:szCs w:val="22"/>
                <w:vertAlign w:val="superscript"/>
                <w:lang w:val="sr-Latn-ME"/>
              </w:rPr>
              <w:t>2</w:t>
            </w:r>
            <w:r w:rsidRPr="00056CC9">
              <w:rPr>
                <w:color w:val="000000"/>
                <w:sz w:val="22"/>
                <w:szCs w:val="22"/>
                <w:lang w:val="sr-Latn-ME"/>
              </w:rPr>
              <w:t xml:space="preserve"> tokom 24 sata, IV): dan 1 </w:t>
            </w:r>
          </w:p>
          <w:p w14:paraId="3F934A38"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Leukovorin (75 mg/m</w:t>
            </w:r>
            <w:r w:rsidRPr="00056CC9">
              <w:rPr>
                <w:color w:val="000000"/>
                <w:sz w:val="22"/>
                <w:szCs w:val="22"/>
                <w:vertAlign w:val="superscript"/>
                <w:lang w:val="sr-Latn-ME"/>
              </w:rPr>
              <w:t>2</w:t>
            </w:r>
            <w:r w:rsidRPr="00056CC9">
              <w:rPr>
                <w:color w:val="000000"/>
                <w:sz w:val="22"/>
                <w:szCs w:val="22"/>
                <w:lang w:val="sr-Latn-ME"/>
              </w:rPr>
              <w:t xml:space="preserve"> sata 36, IV; 15 mg/m</w:t>
            </w:r>
            <w:r w:rsidRPr="00056CC9">
              <w:rPr>
                <w:color w:val="000000"/>
                <w:sz w:val="22"/>
                <w:szCs w:val="22"/>
                <w:vertAlign w:val="superscript"/>
                <w:lang w:val="sr-Latn-ME"/>
              </w:rPr>
              <w:t>2</w:t>
            </w:r>
            <w:r w:rsidRPr="00056CC9">
              <w:rPr>
                <w:color w:val="000000"/>
                <w:sz w:val="22"/>
                <w:szCs w:val="22"/>
                <w:lang w:val="sr-Latn-ME"/>
              </w:rPr>
              <w:t xml:space="preserve"> IV ili PO svakih 6h x 6 doza) iii: dani 2 i 3 </w:t>
            </w:r>
          </w:p>
          <w:p w14:paraId="10931911"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Trostruka IT terapija (u skladu sa godinama): dani 1, 29 </w:t>
            </w:r>
          </w:p>
          <w:p w14:paraId="76356907"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VCR (1.5 mg/m</w:t>
            </w:r>
            <w:r w:rsidRPr="00056CC9">
              <w:rPr>
                <w:color w:val="000000"/>
                <w:sz w:val="22"/>
                <w:szCs w:val="22"/>
                <w:vertAlign w:val="superscript"/>
                <w:lang w:val="sr-Latn-ME"/>
              </w:rPr>
              <w:t>2</w:t>
            </w:r>
            <w:r w:rsidRPr="00056CC9">
              <w:rPr>
                <w:color w:val="000000"/>
                <w:sz w:val="22"/>
                <w:szCs w:val="22"/>
                <w:lang w:val="sr-Latn-ME"/>
              </w:rPr>
              <w:t xml:space="preserve">, IV): dani 1, 29 </w:t>
            </w:r>
          </w:p>
          <w:p w14:paraId="7A0B3929"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DEX (6 mg/m</w:t>
            </w:r>
            <w:r w:rsidRPr="00056CC9">
              <w:rPr>
                <w:color w:val="000000"/>
                <w:sz w:val="22"/>
                <w:szCs w:val="22"/>
                <w:vertAlign w:val="superscript"/>
                <w:lang w:val="sr-Latn-ME"/>
              </w:rPr>
              <w:t>2</w:t>
            </w:r>
            <w:r w:rsidRPr="00056CC9">
              <w:rPr>
                <w:color w:val="000000"/>
                <w:sz w:val="22"/>
                <w:szCs w:val="22"/>
                <w:lang w:val="sr-Latn-ME"/>
              </w:rPr>
              <w:t xml:space="preserve">/dan PO): dani 1-5; 29-33 </w:t>
            </w:r>
          </w:p>
          <w:p w14:paraId="1B9CD168"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6-MP (75 mg/m</w:t>
            </w:r>
            <w:r w:rsidRPr="00056CC9">
              <w:rPr>
                <w:color w:val="000000"/>
                <w:sz w:val="22"/>
                <w:szCs w:val="22"/>
                <w:vertAlign w:val="superscript"/>
                <w:lang w:val="sr-Latn-ME"/>
              </w:rPr>
              <w:t>2</w:t>
            </w:r>
            <w:r w:rsidRPr="00056CC9">
              <w:rPr>
                <w:color w:val="000000"/>
                <w:sz w:val="22"/>
                <w:szCs w:val="22"/>
                <w:lang w:val="sr-Latn-ME"/>
              </w:rPr>
              <w:t xml:space="preserve">/dan, PO): dani 8-28 </w:t>
            </w:r>
          </w:p>
          <w:p w14:paraId="6A1A51D4"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Metotreksat (20 mg/m</w:t>
            </w:r>
            <w:r w:rsidRPr="00056CC9">
              <w:rPr>
                <w:color w:val="000000"/>
                <w:sz w:val="22"/>
                <w:szCs w:val="22"/>
                <w:vertAlign w:val="superscript"/>
                <w:lang w:val="sr-Latn-ME"/>
              </w:rPr>
              <w:t>2</w:t>
            </w:r>
            <w:r w:rsidRPr="00056CC9">
              <w:rPr>
                <w:color w:val="000000"/>
                <w:sz w:val="22"/>
                <w:szCs w:val="22"/>
                <w:lang w:val="sr-Latn-ME"/>
              </w:rPr>
              <w:t xml:space="preserve">/nedjeljno, PO): dani 8, 15, 22 </w:t>
            </w:r>
          </w:p>
          <w:p w14:paraId="0EC2240F"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VP-16 (100 mg/m</w:t>
            </w:r>
            <w:r w:rsidRPr="00056CC9">
              <w:rPr>
                <w:color w:val="000000"/>
                <w:sz w:val="22"/>
                <w:szCs w:val="22"/>
                <w:vertAlign w:val="superscript"/>
                <w:lang w:val="sr-Latn-ME"/>
              </w:rPr>
              <w:t>2</w:t>
            </w:r>
            <w:r w:rsidRPr="00056CC9">
              <w:rPr>
                <w:color w:val="000000"/>
                <w:sz w:val="22"/>
                <w:szCs w:val="22"/>
                <w:lang w:val="sr-Latn-ME"/>
              </w:rPr>
              <w:t xml:space="preserve">, IV): dani 29-33 </w:t>
            </w:r>
          </w:p>
          <w:p w14:paraId="48EE1875"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CPM (300 mg/m</w:t>
            </w:r>
            <w:r w:rsidRPr="00056CC9">
              <w:rPr>
                <w:color w:val="000000"/>
                <w:sz w:val="22"/>
                <w:szCs w:val="22"/>
                <w:vertAlign w:val="superscript"/>
                <w:lang w:val="sr-Latn-ME"/>
              </w:rPr>
              <w:t>2</w:t>
            </w:r>
            <w:r w:rsidRPr="00056CC9">
              <w:rPr>
                <w:color w:val="000000"/>
                <w:sz w:val="22"/>
                <w:szCs w:val="22"/>
                <w:lang w:val="sr-Latn-ME"/>
              </w:rPr>
              <w:t xml:space="preserve">, IV): dani 29-33 </w:t>
            </w:r>
          </w:p>
          <w:p w14:paraId="712D2581"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MESNA IV dani 29-33 </w:t>
            </w:r>
          </w:p>
          <w:p w14:paraId="6C04C05E"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G-CSF (5 μg/kg, SC): dani 34-43 </w:t>
            </w:r>
          </w:p>
        </w:tc>
      </w:tr>
      <w:tr w:rsidR="005D1EF5" w:rsidRPr="00056CC9" w14:paraId="5116281D" w14:textId="77777777" w:rsidTr="004805F8">
        <w:trPr>
          <w:trHeight w:val="900"/>
        </w:trPr>
        <w:tc>
          <w:tcPr>
            <w:tcW w:w="2410" w:type="dxa"/>
            <w:tcBorders>
              <w:top w:val="single" w:sz="4" w:space="0" w:color="auto"/>
              <w:left w:val="single" w:sz="4" w:space="0" w:color="auto"/>
              <w:bottom w:val="single" w:sz="4" w:space="0" w:color="auto"/>
              <w:right w:val="single" w:sz="4" w:space="0" w:color="auto"/>
            </w:tcBorders>
          </w:tcPr>
          <w:p w14:paraId="0A990D7B"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Održavanje</w:t>
            </w:r>
          </w:p>
          <w:p w14:paraId="2CA6DC49"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(8-nedjeljni ciklusi) </w:t>
            </w:r>
          </w:p>
          <w:p w14:paraId="185DA3A1"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Ciklus 5 </w:t>
            </w:r>
          </w:p>
        </w:tc>
        <w:tc>
          <w:tcPr>
            <w:tcW w:w="6613" w:type="dxa"/>
            <w:tcBorders>
              <w:top w:val="single" w:sz="4" w:space="0" w:color="auto"/>
              <w:left w:val="single" w:sz="4" w:space="0" w:color="auto"/>
              <w:bottom w:val="single" w:sz="4" w:space="0" w:color="auto"/>
              <w:right w:val="single" w:sz="4" w:space="0" w:color="auto"/>
            </w:tcBorders>
          </w:tcPr>
          <w:p w14:paraId="5B5B196D"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Kranijalno zračenje  (Blok 5 samo) </w:t>
            </w:r>
          </w:p>
          <w:p w14:paraId="50EB3E71"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12 Gy u 8 frakcija kod svih pacijenata koji su CNS1 i CNS2 u trenutku dijagnoze </w:t>
            </w:r>
          </w:p>
          <w:p w14:paraId="6BC758B4"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18 Gy u 10 frakcija kod pacijenata koji su CNS3 u trenutku dijagnoze</w:t>
            </w:r>
          </w:p>
          <w:p w14:paraId="59A2E18F"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VCR (1,5 mg/m</w:t>
            </w:r>
            <w:r w:rsidRPr="00056CC9">
              <w:rPr>
                <w:color w:val="000000"/>
                <w:sz w:val="22"/>
                <w:szCs w:val="22"/>
                <w:vertAlign w:val="superscript"/>
                <w:lang w:val="sr-Latn-ME"/>
              </w:rPr>
              <w:t>2</w:t>
            </w:r>
            <w:r w:rsidRPr="00056CC9">
              <w:rPr>
                <w:color w:val="000000"/>
                <w:sz w:val="22"/>
                <w:szCs w:val="22"/>
                <w:lang w:val="sr-Latn-ME"/>
              </w:rPr>
              <w:t xml:space="preserve">/dan, IV): dani 1, 29 </w:t>
            </w:r>
          </w:p>
          <w:p w14:paraId="58B401A4"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DEX (6 mg/m</w:t>
            </w:r>
            <w:r w:rsidRPr="00056CC9">
              <w:rPr>
                <w:color w:val="000000"/>
                <w:sz w:val="22"/>
                <w:szCs w:val="22"/>
                <w:vertAlign w:val="superscript"/>
                <w:lang w:val="sr-Latn-ME"/>
              </w:rPr>
              <w:t>2</w:t>
            </w:r>
            <w:r w:rsidRPr="00056CC9">
              <w:rPr>
                <w:color w:val="000000"/>
                <w:sz w:val="22"/>
                <w:szCs w:val="22"/>
                <w:lang w:val="sr-Latn-ME"/>
              </w:rPr>
              <w:t xml:space="preserve">/dan, PO): dani 1-5; 29-33 </w:t>
            </w:r>
          </w:p>
          <w:p w14:paraId="0CAFD07D" w14:textId="77777777" w:rsidR="005D1EF5" w:rsidRPr="00056CC9" w:rsidRDefault="005D1EF5" w:rsidP="00056CC9">
            <w:pPr>
              <w:shd w:val="clear" w:color="auto" w:fill="FFFFFF"/>
              <w:autoSpaceDE w:val="0"/>
              <w:autoSpaceDN w:val="0"/>
              <w:adjustRightInd w:val="0"/>
              <w:rPr>
                <w:rFonts w:eastAsia="TimesNewRoman"/>
                <w:sz w:val="22"/>
                <w:szCs w:val="22"/>
                <w:lang w:val="sr-Latn-ME"/>
              </w:rPr>
            </w:pPr>
            <w:r w:rsidRPr="00056CC9">
              <w:rPr>
                <w:color w:val="000000"/>
                <w:sz w:val="22"/>
                <w:szCs w:val="22"/>
                <w:lang w:val="sr-Latn-ME"/>
              </w:rPr>
              <w:lastRenderedPageBreak/>
              <w:t>6-MP (75 mg/m</w:t>
            </w:r>
            <w:r w:rsidRPr="00056CC9">
              <w:rPr>
                <w:color w:val="000000"/>
                <w:sz w:val="22"/>
                <w:szCs w:val="22"/>
                <w:vertAlign w:val="superscript"/>
                <w:lang w:val="sr-Latn-ME"/>
              </w:rPr>
              <w:t>2</w:t>
            </w:r>
            <w:r w:rsidRPr="00056CC9">
              <w:rPr>
                <w:color w:val="000000"/>
                <w:sz w:val="22"/>
                <w:szCs w:val="22"/>
                <w:lang w:val="sr-Latn-ME"/>
              </w:rPr>
              <w:t xml:space="preserve">/dan, PO): dani 11-56 (ne davati 6-MP od dana 6 do dana 10 kranijalnog zračenja počev od dana 1 ciklusa 5. </w:t>
            </w:r>
            <w:r w:rsidRPr="00056CC9">
              <w:rPr>
                <w:rFonts w:eastAsia="TimesNewRoman"/>
                <w:sz w:val="22"/>
                <w:szCs w:val="22"/>
                <w:lang w:val="sr-Latn-ME"/>
              </w:rPr>
              <w:t>Sa primjenom 6-</w:t>
            </w:r>
          </w:p>
          <w:p w14:paraId="4FDE1211" w14:textId="77777777" w:rsidR="005D1EF5" w:rsidRPr="00056CC9" w:rsidRDefault="005D1EF5" w:rsidP="00056CC9">
            <w:pPr>
              <w:shd w:val="clear" w:color="auto" w:fill="FFFFFF"/>
              <w:autoSpaceDE w:val="0"/>
              <w:autoSpaceDN w:val="0"/>
              <w:adjustRightInd w:val="0"/>
              <w:rPr>
                <w:rFonts w:eastAsia="TimesNewRoman"/>
                <w:sz w:val="22"/>
                <w:szCs w:val="22"/>
                <w:lang w:val="sr-Latn-ME"/>
              </w:rPr>
            </w:pPr>
            <w:r w:rsidRPr="00056CC9">
              <w:rPr>
                <w:rFonts w:eastAsia="TimesNewRoman"/>
                <w:sz w:val="22"/>
                <w:szCs w:val="22"/>
                <w:lang w:val="sr-Latn-ME"/>
              </w:rPr>
              <w:t>MP započeti 1. dana nakon završetka kranijalnog zračenja.</w:t>
            </w:r>
          </w:p>
          <w:p w14:paraId="1567FB08"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Metotreksat (20 mg/m</w:t>
            </w:r>
            <w:r w:rsidRPr="00056CC9">
              <w:rPr>
                <w:color w:val="000000"/>
                <w:sz w:val="22"/>
                <w:szCs w:val="22"/>
                <w:vertAlign w:val="superscript"/>
                <w:lang w:val="sr-Latn-ME"/>
              </w:rPr>
              <w:t>2</w:t>
            </w:r>
            <w:r w:rsidRPr="00056CC9">
              <w:rPr>
                <w:color w:val="000000"/>
                <w:sz w:val="22"/>
                <w:szCs w:val="22"/>
                <w:lang w:val="sr-Latn-ME"/>
              </w:rPr>
              <w:t xml:space="preserve">/nedjeljno, PO): dani 8, 15, 22, 29, 36, 43, 50 </w:t>
            </w:r>
          </w:p>
        </w:tc>
      </w:tr>
      <w:tr w:rsidR="005D1EF5" w:rsidRPr="00056CC9" w14:paraId="26C350AA" w14:textId="77777777" w:rsidTr="004805F8">
        <w:trPr>
          <w:trHeight w:val="900"/>
        </w:trPr>
        <w:tc>
          <w:tcPr>
            <w:tcW w:w="2410" w:type="dxa"/>
            <w:tcBorders>
              <w:top w:val="single" w:sz="4" w:space="0" w:color="auto"/>
              <w:left w:val="single" w:sz="4" w:space="0" w:color="auto"/>
              <w:bottom w:val="single" w:sz="4" w:space="0" w:color="auto"/>
              <w:right w:val="single" w:sz="4" w:space="0" w:color="auto"/>
            </w:tcBorders>
          </w:tcPr>
          <w:p w14:paraId="5A0DC1F1"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lastRenderedPageBreak/>
              <w:t>Održavanje</w:t>
            </w:r>
          </w:p>
          <w:p w14:paraId="5CD6197C"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(8-nedjeljni ciklus) </w:t>
            </w:r>
          </w:p>
          <w:p w14:paraId="1C9C8935"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 xml:space="preserve">Ciklusi 6-12 </w:t>
            </w:r>
          </w:p>
        </w:tc>
        <w:tc>
          <w:tcPr>
            <w:tcW w:w="6613" w:type="dxa"/>
            <w:tcBorders>
              <w:top w:val="single" w:sz="4" w:space="0" w:color="auto"/>
              <w:left w:val="single" w:sz="4" w:space="0" w:color="auto"/>
              <w:bottom w:val="single" w:sz="4" w:space="0" w:color="auto"/>
              <w:right w:val="single" w:sz="4" w:space="0" w:color="auto"/>
            </w:tcBorders>
          </w:tcPr>
          <w:p w14:paraId="3C4883F5"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VCR (1,5 mg/m</w:t>
            </w:r>
            <w:r w:rsidRPr="00056CC9">
              <w:rPr>
                <w:color w:val="000000"/>
                <w:sz w:val="22"/>
                <w:szCs w:val="22"/>
                <w:vertAlign w:val="superscript"/>
                <w:lang w:val="sr-Latn-ME"/>
              </w:rPr>
              <w:t>2</w:t>
            </w:r>
            <w:r w:rsidRPr="00056CC9">
              <w:rPr>
                <w:color w:val="000000"/>
                <w:sz w:val="22"/>
                <w:szCs w:val="22"/>
                <w:lang w:val="sr-Latn-ME"/>
              </w:rPr>
              <w:t xml:space="preserve">/dan, IV): dani 1, 29 </w:t>
            </w:r>
          </w:p>
          <w:p w14:paraId="44FB0F57"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DEX (6 mg/m</w:t>
            </w:r>
            <w:r w:rsidRPr="00056CC9">
              <w:rPr>
                <w:color w:val="000000"/>
                <w:sz w:val="22"/>
                <w:szCs w:val="22"/>
                <w:vertAlign w:val="superscript"/>
                <w:lang w:val="sr-Latn-ME"/>
              </w:rPr>
              <w:t>2</w:t>
            </w:r>
            <w:r w:rsidRPr="00056CC9">
              <w:rPr>
                <w:color w:val="000000"/>
                <w:sz w:val="22"/>
                <w:szCs w:val="22"/>
                <w:lang w:val="sr-Latn-ME"/>
              </w:rPr>
              <w:t xml:space="preserve">/dan, PO): dani 1-5; 29-33 </w:t>
            </w:r>
          </w:p>
          <w:p w14:paraId="6E88656D"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6-MP (75 mg/m</w:t>
            </w:r>
            <w:r w:rsidRPr="00056CC9">
              <w:rPr>
                <w:color w:val="000000"/>
                <w:sz w:val="22"/>
                <w:szCs w:val="22"/>
                <w:vertAlign w:val="superscript"/>
                <w:lang w:val="sr-Latn-ME"/>
              </w:rPr>
              <w:t>2</w:t>
            </w:r>
            <w:r w:rsidRPr="00056CC9">
              <w:rPr>
                <w:color w:val="000000"/>
                <w:sz w:val="22"/>
                <w:szCs w:val="22"/>
                <w:lang w:val="sr-Latn-ME"/>
              </w:rPr>
              <w:t xml:space="preserve">/dan, PO): dani 1-56 </w:t>
            </w:r>
          </w:p>
          <w:p w14:paraId="01A80B3A" w14:textId="77777777" w:rsidR="005D1EF5" w:rsidRPr="00056CC9" w:rsidRDefault="005D1EF5" w:rsidP="00056CC9">
            <w:pPr>
              <w:shd w:val="clear" w:color="auto" w:fill="FFFFFF"/>
              <w:autoSpaceDE w:val="0"/>
              <w:autoSpaceDN w:val="0"/>
              <w:adjustRightInd w:val="0"/>
              <w:rPr>
                <w:color w:val="000000"/>
                <w:sz w:val="22"/>
                <w:szCs w:val="22"/>
                <w:lang w:val="sr-Latn-ME"/>
              </w:rPr>
            </w:pPr>
            <w:r w:rsidRPr="00056CC9">
              <w:rPr>
                <w:color w:val="000000"/>
                <w:sz w:val="22"/>
                <w:szCs w:val="22"/>
                <w:lang w:val="sr-Latn-ME"/>
              </w:rPr>
              <w:t>Metotreksat (20 mg/m</w:t>
            </w:r>
            <w:r w:rsidRPr="00056CC9">
              <w:rPr>
                <w:color w:val="000000"/>
                <w:sz w:val="22"/>
                <w:szCs w:val="22"/>
                <w:vertAlign w:val="superscript"/>
                <w:lang w:val="sr-Latn-ME"/>
              </w:rPr>
              <w:t>2</w:t>
            </w:r>
            <w:r w:rsidRPr="00056CC9">
              <w:rPr>
                <w:color w:val="000000"/>
                <w:sz w:val="22"/>
                <w:szCs w:val="22"/>
                <w:lang w:val="sr-Latn-ME"/>
              </w:rPr>
              <w:t xml:space="preserve">/nedjeljno, PO): dani 1, 8, 15, 22, 29, 36, 43, 50 </w:t>
            </w:r>
          </w:p>
        </w:tc>
      </w:tr>
    </w:tbl>
    <w:p w14:paraId="2DFA6420" w14:textId="77777777" w:rsidR="005D1EF5" w:rsidRPr="00056CC9" w:rsidRDefault="005D1EF5" w:rsidP="00056CC9">
      <w:pPr>
        <w:shd w:val="clear" w:color="auto" w:fill="FFFFFF"/>
        <w:autoSpaceDE w:val="0"/>
        <w:autoSpaceDN w:val="0"/>
        <w:adjustRightInd w:val="0"/>
        <w:jc w:val="both"/>
        <w:rPr>
          <w:rFonts w:eastAsia="TimesNewRoman"/>
          <w:b/>
          <w:bCs/>
          <w:sz w:val="22"/>
          <w:szCs w:val="22"/>
          <w:lang w:val="sr-Latn-ME"/>
        </w:rPr>
      </w:pPr>
    </w:p>
    <w:p w14:paraId="79DFE0D9" w14:textId="77777777" w:rsidR="005D1EF5" w:rsidRPr="00056CC9" w:rsidRDefault="005D1EF5" w:rsidP="00056CC9">
      <w:pPr>
        <w:pStyle w:val="NoSpacing"/>
        <w:jc w:val="both"/>
        <w:rPr>
          <w:rFonts w:eastAsia="TimesNewRoman"/>
          <w:sz w:val="22"/>
          <w:szCs w:val="22"/>
          <w:lang w:val="sr-Latn-ME"/>
        </w:rPr>
      </w:pPr>
      <w:r w:rsidRPr="00056CC9">
        <w:rPr>
          <w:rFonts w:eastAsia="TimesNewRoman"/>
          <w:sz w:val="22"/>
          <w:szCs w:val="22"/>
          <w:lang w:val="sr-Latn-ME"/>
        </w:rPr>
        <w:t>G-CSF = faktor stimulacije kolonija granulocita, VP-16 = etopozid, MTX = metotreksat, IV = intravenski, SC = supkutano, IT = intratekalno, PO = oralno, IM = intramuskularno, ARA-C = citarabin, CPM = ciklofosfamid, VCR = vinkristin, DEX = deksametazon, DAUN = daunorubicin, 6-MP = 6-merkaptopurin, E. coli L-ASP = L- asparaginaza, PEG-ASP = PEG asparaginaza, MESNA = 2-merkaptoetan sulfonat natrijum, iii = ili dok nivo MTX ne bude &lt; 0,1 mikroM, q6h = svakih 6 sati, Gy = Grej</w:t>
      </w:r>
    </w:p>
    <w:p w14:paraId="1CC1D663" w14:textId="77777777" w:rsidR="005D1EF5" w:rsidRPr="00056CC9" w:rsidRDefault="005D1EF5" w:rsidP="00056CC9">
      <w:pPr>
        <w:shd w:val="clear" w:color="auto" w:fill="FFFFFF"/>
        <w:autoSpaceDE w:val="0"/>
        <w:autoSpaceDN w:val="0"/>
        <w:adjustRightInd w:val="0"/>
        <w:rPr>
          <w:rFonts w:eastAsia="TimesNewRoman"/>
          <w:sz w:val="22"/>
          <w:szCs w:val="22"/>
          <w:lang w:val="sr-Latn-ME"/>
        </w:rPr>
      </w:pPr>
    </w:p>
    <w:p w14:paraId="534A6543"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r w:rsidRPr="00056CC9">
        <w:rPr>
          <w:rFonts w:eastAsia="TimesNewRoman"/>
          <w:sz w:val="22"/>
          <w:szCs w:val="22"/>
          <w:lang w:val="sr-Latn-ME"/>
        </w:rPr>
        <w:t>Studija AIT07 bila je multicentrična, otvorena, randomizovana studija faze II/III koje je uključivala 128 pacijenata (uzrasta od 1 do &lt; 18 godina) liječenih imatinibom u kombinaciji sa hemioterapijom. Čini se da su podaci o bezbjednosti lijeka iz ove studije u skladu sa bezbjednosnim profilom imatiniba kod pacijenata sa Ph+ALL.</w:t>
      </w:r>
    </w:p>
    <w:p w14:paraId="681B9840" w14:textId="77777777" w:rsidR="005D1EF5" w:rsidRPr="00056CC9" w:rsidRDefault="005D1EF5" w:rsidP="00056CC9">
      <w:pPr>
        <w:shd w:val="clear" w:color="auto" w:fill="FFFFFF"/>
        <w:tabs>
          <w:tab w:val="left" w:pos="284"/>
          <w:tab w:val="center" w:pos="4320"/>
          <w:tab w:val="right" w:pos="8640"/>
        </w:tabs>
        <w:rPr>
          <w:bCs/>
          <w:iCs/>
          <w:sz w:val="22"/>
          <w:szCs w:val="22"/>
          <w:lang w:val="sr-Latn-ME"/>
        </w:rPr>
      </w:pPr>
    </w:p>
    <w:p w14:paraId="05ACB216" w14:textId="77777777" w:rsidR="005D1EF5" w:rsidRPr="00056CC9" w:rsidRDefault="005D1EF5" w:rsidP="00056CC9">
      <w:pPr>
        <w:shd w:val="clear" w:color="auto" w:fill="FFFFFF"/>
        <w:tabs>
          <w:tab w:val="left" w:pos="284"/>
          <w:tab w:val="center" w:pos="4320"/>
          <w:tab w:val="right" w:pos="8640"/>
        </w:tabs>
        <w:jc w:val="both"/>
        <w:rPr>
          <w:bCs/>
          <w:i/>
          <w:sz w:val="22"/>
          <w:szCs w:val="22"/>
          <w:lang w:val="sr-Latn-ME"/>
        </w:rPr>
      </w:pPr>
      <w:r w:rsidRPr="00056CC9">
        <w:rPr>
          <w:bCs/>
          <w:i/>
          <w:sz w:val="22"/>
          <w:szCs w:val="22"/>
          <w:lang w:val="sr-Latn-ME"/>
        </w:rPr>
        <w:t>Relaps/refraktorna Ph+ ALL</w:t>
      </w:r>
      <w:r w:rsidRPr="00056CC9">
        <w:rPr>
          <w:i/>
          <w:iCs/>
          <w:sz w:val="22"/>
          <w:szCs w:val="22"/>
          <w:lang w:val="sr-Latn-ME"/>
        </w:rPr>
        <w:t xml:space="preserve">: </w:t>
      </w:r>
      <w:r w:rsidRPr="00056CC9">
        <w:rPr>
          <w:sz w:val="22"/>
          <w:szCs w:val="22"/>
          <w:lang w:val="sr-Latn-ME"/>
        </w:rPr>
        <w:t xml:space="preserve">Kad je imatinib primijenjen kao jedini lijek za terapiju pacijenata sa relapsnom/refraktarnom Ph+ </w:t>
      </w:r>
      <w:smartTag w:uri="urn:schemas-microsoft-com:office:smarttags" w:element="stockticker">
        <w:r w:rsidRPr="00056CC9">
          <w:rPr>
            <w:sz w:val="22"/>
            <w:szCs w:val="22"/>
            <w:lang w:val="sr-Latn-ME"/>
          </w:rPr>
          <w:t>ALL</w:t>
        </w:r>
      </w:smartTag>
      <w:r w:rsidRPr="00056CC9">
        <w:rPr>
          <w:sz w:val="22"/>
          <w:szCs w:val="22"/>
          <w:lang w:val="sr-Latn-ME"/>
        </w:rPr>
        <w:t xml:space="preserve">, to je kod 53 od 411 pacijenata čiji je odgovor procjenjivan, rezultovalo stopom hematološkog odgovora od 30% (9% od ukupnog) i stopom glavnog citogenetskog odgovora od 23%. (Napomena: od 411 pacijenata, 353 je liječeno u proširenom programu pristupa bez prikupljanja podataka o primarnom odgovoru.) Medijana vremena do progresije u ukupnoj populaciji od 411 pacijenata sa relapsnom/refraktornom Ph+ </w:t>
      </w:r>
      <w:smartTag w:uri="urn:schemas-microsoft-com:office:smarttags" w:element="stockticker">
        <w:r w:rsidRPr="00056CC9">
          <w:rPr>
            <w:sz w:val="22"/>
            <w:szCs w:val="22"/>
            <w:lang w:val="sr-Latn-ME"/>
          </w:rPr>
          <w:t>ALL</w:t>
        </w:r>
      </w:smartTag>
      <w:r w:rsidRPr="00056CC9">
        <w:rPr>
          <w:sz w:val="22"/>
          <w:szCs w:val="22"/>
          <w:lang w:val="sr-Latn-ME"/>
        </w:rPr>
        <w:t xml:space="preserve"> kretala se od 2,6 do 3,1 mjeseca, a medijana ukupnog preživljavanja kod 401 procjenjivog pacijenta kretala se od 4,9 do 9 mjeseci. Podaci su bili slični kad su ponovo analizirani da bi se uključili samo pacijenti starosti 55 godina ili stariji.</w:t>
      </w:r>
    </w:p>
    <w:p w14:paraId="4D389982" w14:textId="77777777" w:rsidR="005D1EF5" w:rsidRPr="00056CC9" w:rsidRDefault="005D1EF5" w:rsidP="00056CC9">
      <w:pPr>
        <w:pStyle w:val="NoSpacing"/>
        <w:rPr>
          <w:sz w:val="22"/>
          <w:szCs w:val="22"/>
          <w:lang w:val="sr-Latn-ME"/>
        </w:rPr>
      </w:pPr>
    </w:p>
    <w:p w14:paraId="0F65EDD1" w14:textId="77777777" w:rsidR="005D1EF5" w:rsidRPr="00056CC9" w:rsidRDefault="005D1EF5" w:rsidP="00056CC9">
      <w:pPr>
        <w:pStyle w:val="NoSpacing"/>
        <w:rPr>
          <w:sz w:val="22"/>
          <w:szCs w:val="22"/>
          <w:u w:val="single"/>
          <w:lang w:val="sr-Latn-ME"/>
        </w:rPr>
      </w:pPr>
      <w:r w:rsidRPr="00056CC9">
        <w:rPr>
          <w:sz w:val="22"/>
          <w:szCs w:val="22"/>
          <w:u w:val="single"/>
          <w:lang w:val="sr-Latn-ME"/>
        </w:rPr>
        <w:t>Kliničke studije kod pacijenata sa MDS/MPD</w:t>
      </w:r>
    </w:p>
    <w:p w14:paraId="54611961" w14:textId="77777777" w:rsidR="005D1EF5" w:rsidRPr="00056CC9" w:rsidRDefault="005D1EF5" w:rsidP="00056CC9">
      <w:pPr>
        <w:pStyle w:val="NoSpacing"/>
        <w:jc w:val="both"/>
        <w:rPr>
          <w:sz w:val="22"/>
          <w:szCs w:val="22"/>
          <w:lang w:val="sr-Latn-ME"/>
        </w:rPr>
      </w:pPr>
      <w:r w:rsidRPr="00056CC9">
        <w:rPr>
          <w:sz w:val="22"/>
          <w:szCs w:val="22"/>
          <w:lang w:val="sr-Latn-ME"/>
        </w:rPr>
        <w:t xml:space="preserve">Iskustvo sa </w:t>
      </w:r>
      <w:r w:rsidRPr="00056CC9">
        <w:rPr>
          <w:bCs/>
          <w:sz w:val="22"/>
          <w:szCs w:val="22"/>
          <w:lang w:val="sr-Latn-ME"/>
        </w:rPr>
        <w:t>primjenom imatiniba</w:t>
      </w:r>
      <w:r w:rsidRPr="00056CC9">
        <w:rPr>
          <w:bCs/>
          <w:sz w:val="22"/>
          <w:szCs w:val="22"/>
          <w:vertAlign w:val="superscript"/>
          <w:lang w:val="sr-Latn-ME"/>
        </w:rPr>
        <w:t xml:space="preserve">  </w:t>
      </w:r>
      <w:r w:rsidRPr="00056CC9">
        <w:rPr>
          <w:sz w:val="22"/>
          <w:szCs w:val="22"/>
          <w:lang w:val="sr-Latn-ME"/>
        </w:rPr>
        <w:t>kod ove indikacije je veoma ograničeno i zasnovano na stopi hematološkog i citogenetskog odgovora. Nema kontrolisanih ispitivanja koja bi pokazala kliničku korist ili povećano preživljavanje. Jedno otvoreno, multicentrično ispitivanje faze II (studija B2225) je sprovedeno ispitivanjem</w:t>
      </w:r>
      <w:r w:rsidRPr="00056CC9">
        <w:rPr>
          <w:bCs/>
          <w:sz w:val="22"/>
          <w:szCs w:val="22"/>
          <w:lang w:val="sr-Latn-ME"/>
        </w:rPr>
        <w:t xml:space="preserve"> imatiniba</w:t>
      </w:r>
      <w:r w:rsidRPr="00056CC9">
        <w:rPr>
          <w:bCs/>
          <w:sz w:val="22"/>
          <w:szCs w:val="22"/>
          <w:vertAlign w:val="superscript"/>
          <w:lang w:val="sr-Latn-ME"/>
        </w:rPr>
        <w:t xml:space="preserve">  </w:t>
      </w:r>
      <w:r w:rsidRPr="00056CC9">
        <w:rPr>
          <w:sz w:val="22"/>
          <w:szCs w:val="22"/>
          <w:lang w:val="sr-Latn-ME"/>
        </w:rPr>
        <w:t xml:space="preserve">kod različitih populacija pacijenata koji su patili od po život opasnih bolesti udruženih sa Abl, Kit ili PDGFR proteinskim tirozin kinazama. Ovo ispitivanje je uključilo 7 pacijenata sa </w:t>
      </w:r>
      <w:smartTag w:uri="urn:schemas-microsoft-com:office:smarttags" w:element="stockticker">
        <w:r w:rsidRPr="00056CC9">
          <w:rPr>
            <w:sz w:val="22"/>
            <w:szCs w:val="22"/>
            <w:lang w:val="sr-Latn-ME"/>
          </w:rPr>
          <w:t>MDS</w:t>
        </w:r>
      </w:smartTag>
      <w:r w:rsidRPr="00056CC9">
        <w:rPr>
          <w:sz w:val="22"/>
          <w:szCs w:val="22"/>
          <w:lang w:val="sr-Latn-ME"/>
        </w:rPr>
        <w:t>/MPD koji su liječeni sa 400 mg imatiniba dnevno. Tri pacijenta su ispoljila kompletan hematološki odgovor (</w:t>
      </w:r>
      <w:smartTag w:uri="urn:schemas-microsoft-com:office:smarttags" w:element="stockticker">
        <w:r w:rsidRPr="00056CC9">
          <w:rPr>
            <w:sz w:val="22"/>
            <w:szCs w:val="22"/>
            <w:lang w:val="sr-Latn-ME"/>
          </w:rPr>
          <w:t>CHR</w:t>
        </w:r>
      </w:smartTag>
      <w:r w:rsidRPr="00056CC9">
        <w:rPr>
          <w:sz w:val="22"/>
          <w:szCs w:val="22"/>
          <w:lang w:val="sr-Latn-ME"/>
        </w:rPr>
        <w:t xml:space="preserve">), a jedan pacijent je imao djelimičan hematološki odgovor (engl. PHR- </w:t>
      </w:r>
      <w:r w:rsidRPr="00056CC9">
        <w:rPr>
          <w:i/>
          <w:sz w:val="22"/>
          <w:szCs w:val="22"/>
          <w:lang w:val="sr-Latn-ME"/>
        </w:rPr>
        <w:t>partial haematological response</w:t>
      </w:r>
      <w:r w:rsidRPr="00056CC9">
        <w:rPr>
          <w:sz w:val="22"/>
          <w:szCs w:val="22"/>
          <w:lang w:val="sr-Latn-ME"/>
        </w:rPr>
        <w:t xml:space="preserve">). </w:t>
      </w:r>
    </w:p>
    <w:p w14:paraId="2C178FC2" w14:textId="77777777" w:rsidR="005D1EF5" w:rsidRPr="00056CC9" w:rsidRDefault="005D1EF5" w:rsidP="00056CC9">
      <w:pPr>
        <w:shd w:val="clear" w:color="auto" w:fill="FFFFFF"/>
        <w:spacing w:before="240"/>
        <w:jc w:val="both"/>
        <w:rPr>
          <w:color w:val="000000"/>
          <w:sz w:val="22"/>
          <w:szCs w:val="22"/>
          <w:lang w:val="sr-Latn-ME"/>
        </w:rPr>
      </w:pPr>
      <w:r w:rsidRPr="00056CC9">
        <w:rPr>
          <w:color w:val="000000"/>
          <w:sz w:val="22"/>
          <w:szCs w:val="22"/>
          <w:lang w:val="sr-Latn-ME"/>
        </w:rPr>
        <w:t xml:space="preserve">U vrijeme prvobitne analize, tri od četiri pacijenta sa detektovanim rearanžiranjem PDGFR gena ispoljilo je hematološki odgovor (2 </w:t>
      </w:r>
      <w:smartTag w:uri="urn:schemas-microsoft-com:office:smarttags" w:element="stockticker">
        <w:r w:rsidRPr="00056CC9">
          <w:rPr>
            <w:color w:val="000000"/>
            <w:sz w:val="22"/>
            <w:szCs w:val="22"/>
            <w:lang w:val="sr-Latn-ME"/>
          </w:rPr>
          <w:t>CHR</w:t>
        </w:r>
      </w:smartTag>
      <w:r w:rsidRPr="00056CC9">
        <w:rPr>
          <w:color w:val="000000"/>
          <w:sz w:val="22"/>
          <w:szCs w:val="22"/>
          <w:lang w:val="sr-Latn-ME"/>
        </w:rPr>
        <w:t xml:space="preserve"> i 1 PHR). Starost ovih pacijenata kretala se od 20 do 72 godine. </w:t>
      </w:r>
    </w:p>
    <w:p w14:paraId="1EF2C013" w14:textId="77777777" w:rsidR="005D1EF5" w:rsidRPr="00056CC9" w:rsidRDefault="005D1EF5" w:rsidP="00056CC9">
      <w:pPr>
        <w:keepNext/>
        <w:shd w:val="clear" w:color="auto" w:fill="FFFFFF"/>
        <w:tabs>
          <w:tab w:val="num" w:pos="1985"/>
        </w:tabs>
        <w:ind w:left="1985" w:hanging="1985"/>
        <w:jc w:val="both"/>
        <w:outlineLvl w:val="2"/>
        <w:rPr>
          <w:b/>
          <w:sz w:val="22"/>
          <w:szCs w:val="22"/>
          <w:lang w:val="sr-Latn-ME"/>
        </w:rPr>
      </w:pPr>
    </w:p>
    <w:p w14:paraId="61BF4E06"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r w:rsidRPr="00056CC9">
        <w:rPr>
          <w:rFonts w:eastAsia="TimesNewRoman"/>
          <w:sz w:val="22"/>
          <w:szCs w:val="22"/>
          <w:lang w:val="sr-Latn-ME"/>
        </w:rPr>
        <w:t>Studija L2401 je vođena kao opservacioni registar za prikupljanje podataka o efikasnosti i bezbjednosti dugotrajne primjene imatiniba, kod pacijenata sa rearanžmanom PDGFR-β gena, koji pate od mijeloproliferativnih neoplazmi. Ukupno 23 pacijenta uključena u taj registar primala su medijanu dnevne doze imatiniba od 264 mg (raspon: 100 do 400 mg) sa medijanom trajanja od 7,2 godine (raspon od 0,1 do 12,7 godina). Zbog opservacione prirode ovog registra, podaci o hematološkoj, citogenetskoj i molekularnoj procjeni bili su dostupni za 22, 9 odnosno 17 od 23 uključena pacijenta. Kada se pretpostavi da su pacijenti sa nedostajućim podacima oni bez odgovora, onda može da se izvede zaključak da je CHR uočen kod 20/23 (87%) pacijenata, CCyR kod 9/23 (39,1%) pacijenata a MR kod 11/23 (47,8%) pacijenata. Kad se nivo odgovora računa kao da je dobijen od pacijenata sa najmanje jednom validnom procjenom, onda su rezultati za CHR, CCyR i MR sljedeći: 20/22 (90,9%), 9/9 (100%) i 11/17 (64,7%), respektivno.</w:t>
      </w:r>
    </w:p>
    <w:p w14:paraId="03213412" w14:textId="77777777" w:rsidR="005D1EF5" w:rsidRPr="00056CC9" w:rsidRDefault="005D1EF5" w:rsidP="00056CC9">
      <w:pPr>
        <w:shd w:val="clear" w:color="auto" w:fill="FFFFFF"/>
        <w:spacing w:before="240"/>
        <w:jc w:val="both"/>
        <w:rPr>
          <w:color w:val="000000"/>
          <w:sz w:val="22"/>
          <w:szCs w:val="22"/>
          <w:lang w:val="sr-Latn-ME"/>
        </w:rPr>
      </w:pPr>
      <w:r w:rsidRPr="00056CC9">
        <w:rPr>
          <w:color w:val="000000"/>
          <w:sz w:val="22"/>
          <w:szCs w:val="22"/>
          <w:lang w:val="sr-Latn-ME"/>
        </w:rPr>
        <w:lastRenderedPageBreak/>
        <w:t xml:space="preserve">Osim toga, drugih 24 pacijenata sa </w:t>
      </w:r>
      <w:smartTag w:uri="urn:schemas-microsoft-com:office:smarttags" w:element="stockticker">
        <w:r w:rsidRPr="00056CC9">
          <w:rPr>
            <w:color w:val="000000"/>
            <w:sz w:val="22"/>
            <w:szCs w:val="22"/>
            <w:lang w:val="sr-Latn-ME"/>
          </w:rPr>
          <w:t>MDS</w:t>
        </w:r>
      </w:smartTag>
      <w:r w:rsidRPr="00056CC9">
        <w:rPr>
          <w:color w:val="000000"/>
          <w:sz w:val="22"/>
          <w:szCs w:val="22"/>
          <w:lang w:val="sr-Latn-ME"/>
        </w:rPr>
        <w:t xml:space="preserve">/MPD je opisano u 13 publikacija. 21 pacijent je liječen sa 400 mg </w:t>
      </w:r>
      <w:r w:rsidRPr="00056CC9">
        <w:rPr>
          <w:bCs/>
          <w:sz w:val="22"/>
          <w:szCs w:val="22"/>
          <w:lang w:val="sr-Latn-ME"/>
        </w:rPr>
        <w:t>imatiniba</w:t>
      </w:r>
      <w:r w:rsidRPr="00056CC9">
        <w:rPr>
          <w:bCs/>
          <w:sz w:val="22"/>
          <w:szCs w:val="22"/>
          <w:vertAlign w:val="superscript"/>
          <w:lang w:val="sr-Latn-ME"/>
        </w:rPr>
        <w:t xml:space="preserve">  </w:t>
      </w:r>
      <w:r w:rsidRPr="00056CC9">
        <w:rPr>
          <w:color w:val="000000"/>
          <w:sz w:val="22"/>
          <w:szCs w:val="22"/>
          <w:lang w:val="sr-Latn-ME"/>
        </w:rPr>
        <w:t>dnevno, dok su druga 3 pacijenta primila niže doze. Kod 11 pacijenata kod kojih je detektovano rearanžiranje PDGFR gena, 9 njih je postiglo kompletan hematološki odgovor a jedan djelimičan hematološki odgovor. Starost ovih pacijenata kretala se od 2 do 79 godina. U nedavnoj publikaciji, aktuelni podaci za 6 od tih 11 pacijenata otkrili su da su svi oni ostali u citogenetskoj remisiji (raspon 32-38 mjeseci). Ista publikacija je objavila rezultate dugoročnog praćenja za 12 MDS/MPD pacijenata sa rearanžiranjem PDGFR gena (5 pacijenata iz studije B2225). Ovi pacijenti su prima</w:t>
      </w:r>
      <w:r w:rsidRPr="00056CC9">
        <w:rPr>
          <w:bCs/>
          <w:sz w:val="22"/>
          <w:szCs w:val="22"/>
          <w:lang w:val="sr-Latn-ME"/>
        </w:rPr>
        <w:t>li imatinib</w:t>
      </w:r>
      <w:r w:rsidRPr="00056CC9">
        <w:rPr>
          <w:bCs/>
          <w:sz w:val="22"/>
          <w:szCs w:val="22"/>
          <w:vertAlign w:val="superscript"/>
          <w:lang w:val="sr-Latn-ME"/>
        </w:rPr>
        <w:t xml:space="preserve"> </w:t>
      </w:r>
      <w:r w:rsidRPr="00056CC9">
        <w:rPr>
          <w:color w:val="000000"/>
          <w:sz w:val="22"/>
          <w:szCs w:val="22"/>
          <w:lang w:val="sr-Latn-ME"/>
        </w:rPr>
        <w:t xml:space="preserve"> sa medijanom od 47 mjeseci (raspon 24 dana - 60 mjeseci). Kod 6 od ovih pacijenata sada je praćenje premašilo 4 godine. Jedanaest pacijenata je postiglo brz kompletan hematološki odgovor; deset je imalo potpunu rezoluciju citogenetskih abnormalnosti i smanjenje ili nestanak fuzijskih transkripta, mjereno pomoću RT-</w:t>
      </w:r>
      <w:smartTag w:uri="urn:schemas-microsoft-com:office:smarttags" w:element="stockticker">
        <w:r w:rsidRPr="00056CC9">
          <w:rPr>
            <w:color w:val="000000"/>
            <w:sz w:val="22"/>
            <w:szCs w:val="22"/>
            <w:lang w:val="sr-Latn-ME"/>
          </w:rPr>
          <w:t>PCR</w:t>
        </w:r>
      </w:smartTag>
      <w:r w:rsidRPr="00056CC9">
        <w:rPr>
          <w:color w:val="000000"/>
          <w:sz w:val="22"/>
          <w:szCs w:val="22"/>
          <w:lang w:val="sr-Latn-ME"/>
        </w:rPr>
        <w:t xml:space="preserve">. Hematološki i citogenetski odgovor održavali su se za medijanu od 49 mjeseci (raspon 19-60), odnosno 47 mjeseci (raspon 16-59). Ukupno preživljavanje je 65 mjeseci od dijagnoze (raspon 25-234). Davanje </w:t>
      </w:r>
      <w:r w:rsidRPr="00056CC9">
        <w:rPr>
          <w:bCs/>
          <w:sz w:val="22"/>
          <w:szCs w:val="22"/>
          <w:lang w:val="sr-Latn-ME"/>
        </w:rPr>
        <w:t>imatiniba</w:t>
      </w:r>
      <w:r w:rsidRPr="00056CC9">
        <w:rPr>
          <w:bCs/>
          <w:sz w:val="22"/>
          <w:szCs w:val="22"/>
          <w:vertAlign w:val="superscript"/>
          <w:lang w:val="sr-Latn-ME"/>
        </w:rPr>
        <w:t xml:space="preserve">  </w:t>
      </w:r>
      <w:r w:rsidRPr="00056CC9">
        <w:rPr>
          <w:color w:val="000000"/>
          <w:sz w:val="22"/>
          <w:szCs w:val="22"/>
          <w:lang w:val="sr-Latn-ME"/>
        </w:rPr>
        <w:t>pacijentima bez genetske translokacije obično ne rezultuje bilo kakvim poboljšanjem.</w:t>
      </w:r>
    </w:p>
    <w:p w14:paraId="2BD73BA1" w14:textId="77777777" w:rsidR="005D1EF5" w:rsidRPr="00056CC9" w:rsidRDefault="005D1EF5" w:rsidP="00056CC9">
      <w:pPr>
        <w:keepNext/>
        <w:shd w:val="clear" w:color="auto" w:fill="FFFFFF"/>
        <w:tabs>
          <w:tab w:val="num" w:pos="1985"/>
        </w:tabs>
        <w:ind w:left="1985" w:hanging="1985"/>
        <w:jc w:val="both"/>
        <w:outlineLvl w:val="2"/>
        <w:rPr>
          <w:b/>
          <w:sz w:val="22"/>
          <w:szCs w:val="22"/>
          <w:lang w:val="sr-Latn-ME"/>
        </w:rPr>
      </w:pPr>
    </w:p>
    <w:p w14:paraId="7B1765F4"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r w:rsidRPr="00056CC9">
        <w:rPr>
          <w:rFonts w:eastAsia="TimesNewRoman"/>
          <w:sz w:val="22"/>
          <w:szCs w:val="22"/>
          <w:lang w:val="sr-Latn-ME"/>
        </w:rPr>
        <w:t>Kontrolisane studije nisu sprovedene na pedijatrijskim pacijentima sa MDS/MPD. U četiri publikacije opisano je pet pacijenata s MDS/MPD povezanim s rearanžmanom PDGFR gena. Starost ovih pacijenata kretala se u rasponu od 3 mjeseca do 4 godine, a imatinib je primijenjen u dozi od 50 mg dnevno ili u dozama od 92,5 do 340 mg/m2 dnevno. Svi pacijenti postigli su kompletan hematološki odgovor, citogenetski odgovor i/ili klinički odgovor.</w:t>
      </w:r>
    </w:p>
    <w:p w14:paraId="4BAF4A02"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p>
    <w:p w14:paraId="1EB71F0C" w14:textId="77777777" w:rsidR="005D1EF5" w:rsidRPr="00056CC9" w:rsidRDefault="005D1EF5" w:rsidP="00056CC9">
      <w:pPr>
        <w:shd w:val="clear" w:color="auto" w:fill="FFFFFF"/>
        <w:autoSpaceDE w:val="0"/>
        <w:autoSpaceDN w:val="0"/>
        <w:adjustRightInd w:val="0"/>
        <w:jc w:val="both"/>
        <w:rPr>
          <w:rFonts w:eastAsia="TimesNewRoman"/>
          <w:sz w:val="22"/>
          <w:szCs w:val="22"/>
          <w:u w:val="single"/>
          <w:lang w:val="sr-Latn-ME"/>
        </w:rPr>
      </w:pPr>
      <w:r w:rsidRPr="00056CC9">
        <w:rPr>
          <w:rFonts w:eastAsia="TimesNewRoman"/>
          <w:sz w:val="22"/>
          <w:szCs w:val="22"/>
          <w:u w:val="single"/>
          <w:lang w:val="sr-Latn-ME"/>
        </w:rPr>
        <w:t>Kliničke studije kod pacijenata sa HES/CEL</w:t>
      </w:r>
    </w:p>
    <w:p w14:paraId="722ECD8C"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r w:rsidRPr="00056CC9">
        <w:rPr>
          <w:rFonts w:eastAsia="TimesNewRoman"/>
          <w:sz w:val="22"/>
          <w:szCs w:val="22"/>
          <w:lang w:val="sr-Latn-ME"/>
        </w:rPr>
        <w:t>Jedno otvoreno, multicentrično, kliničko ispitivanje faze II (studija B2225) je sprovedeno da bi se ispitala primjena imatiniba kod različitih populacija pacijenata koji su patili od po život opasnih bolesti udruženih sa Abl, Kit ili PDGFR proteinskim tirozin kinazama. U ovom ispitivanju, 14 pacijenata sa HES/CEL liječeno je sa 100 mg do 1000 mg imatiniba dnevno. Drugih 162 pacijenata sa HES/CEL, opisanih u 35 publikovanih prikaza slučajeva i serija slučajeva primali su imatinib u dozama od 75 mg do 800 mg dnevno. Citogenetske abnormalnosti bile su procjenjivane kod 117 od ukupne populacije od 176 pacijenata. Kod 61 od tih 117 pacijenata identifikovana je FIP1L1-PDGFRα fuzijska kinaza. Kod dodatna četiri pacijenata sa HES nađeno je da su FIP1L1-PDGFRα-pozitivni u druga 3 publikovana izveštaja. Svih 65 pacijenata pozitivnih na FIP1L1-PDGFRα fuzijsku kinazu postiglo je kompletan hematološki odgovor koji se mjesecima održavao (raspon od 1+ do 44+ mjeseci, prekinuto u vrijeme izvještaja). Kao što je opisano u nedavnoj publikaciji, 21 od ovih 65 pacijenata takođe je postiglo kompletnu molekulsku remisiju sa medijanom praćenja od 28 mjeseci (raspon 13-67 mjeseci). Starost ovih pacijenata kretala se od 25 do 72 godine. Istraživači su u prikazima slučajeva dodatno opisali poboljšanja u simptomatologiji i poremećajima funkcije drugih organa. Opisana su poboljšanja srčanog, nervnog sistema, kožnog/potkožnog tkiva, respiratornih/ torakalnih/medijastinalnih organa, muskuloskeletnih organa, vezivnog tkiva, vaskularnog i gastrointestinalnog sistema organa.</w:t>
      </w:r>
    </w:p>
    <w:p w14:paraId="08906AED"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p>
    <w:p w14:paraId="2762AB57"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r w:rsidRPr="00056CC9">
        <w:rPr>
          <w:rFonts w:eastAsia="TimesNewRoman"/>
          <w:sz w:val="22"/>
          <w:szCs w:val="22"/>
          <w:lang w:val="sr-Latn-ME"/>
        </w:rPr>
        <w:t>Nema kontrolisanih ispitivanja kod pedijatrijskih pacijenata sa HES/CEL. U 3 publikacije opisana su tri (3) pacijenta sa HES i CEL povezanim sa rearanžmanom gena za PDGFR. Ovi pacijenti su bili uzrasta od 2 do 16 godina, i imatinib je primjenjivan u dozi od 300 mg/m2 dnevno ili u dozama u rasponu od 200 do 400 mg dnevno. Svi pacijenti su postigli kompletan hematološki odgovor, kompletan citogenetski odgovor i/ili kompletan molekularni odgovor.</w:t>
      </w:r>
    </w:p>
    <w:p w14:paraId="0F53E6A6"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p>
    <w:p w14:paraId="20C43111" w14:textId="77777777" w:rsidR="005D1EF5" w:rsidRPr="00056CC9" w:rsidRDefault="005D1EF5" w:rsidP="00056CC9">
      <w:pPr>
        <w:shd w:val="clear" w:color="auto" w:fill="FFFFFF"/>
        <w:autoSpaceDE w:val="0"/>
        <w:autoSpaceDN w:val="0"/>
        <w:adjustRightInd w:val="0"/>
        <w:jc w:val="both"/>
        <w:rPr>
          <w:rFonts w:eastAsia="TimesNewRoman"/>
          <w:sz w:val="22"/>
          <w:szCs w:val="22"/>
          <w:u w:val="single"/>
          <w:lang w:val="sr-Latn-ME"/>
        </w:rPr>
      </w:pPr>
      <w:r w:rsidRPr="00056CC9">
        <w:rPr>
          <w:rFonts w:eastAsia="TimesNewRoman"/>
          <w:sz w:val="22"/>
          <w:szCs w:val="22"/>
          <w:u w:val="single"/>
          <w:lang w:val="sr-Latn-ME"/>
        </w:rPr>
        <w:t>Kliničke studije kod DFSP</w:t>
      </w:r>
    </w:p>
    <w:p w14:paraId="219B2CF3"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r w:rsidRPr="00056CC9">
        <w:rPr>
          <w:rFonts w:eastAsia="TimesNewRoman"/>
          <w:sz w:val="22"/>
          <w:szCs w:val="22"/>
          <w:lang w:val="sr-Latn-ME"/>
        </w:rPr>
        <w:t xml:space="preserve">Jedna otvorena, multicentrična klinička studija faze II (studija B2225) izvedena je na 12 pacijenata sa DFSP liječenih imatinibom u dozi od 800 mg dnevno. Starost pacijenata sa DFSP kretala se od 23 do 75 godina; DFSP je bio metastatski, uz lokalni recidiv, nakon inicijalne hirurške resekcije, i nije se smatrao pogodnim za dalju resekcijsku hirurgiju u vrijeme uključivanja ovih pacijenata u studiju. Primarni dokaz o efikasnosti bio je zasnovan na stopi objektivnog odgovora. Od 12 uključenih pacijenata, 9 je reagovalo, jedan kompletno, a 8 djelimično. Tri pacijenta koja su ispoljila djelimičan odgovor su kasnije oslobođena bolesti hirurškim zahvatom. Medijana trajanja terapije u studiji B2225 bila je 6,2 mjeseca, sa maksimumom trajanja od 24,3 mjeseca. Drugih 6 pacijenata sa DFSP liječenih imatinibom opisano je u 5 publikovanih prikaza pojedinačnih slučajeva, a starost im se kretala od 18 mjeseci do 49 godina. Odrasli pacijenti, opisani u objavljenoj literaturi, bili su liječeni ili sa 400 mg (4 slučaja) ili sa 800 mg (1 slučaj) imatiniba dnevno. Petoro pacijenata je reagovalo, tri kompletno, a dva </w:t>
      </w:r>
      <w:r w:rsidRPr="00056CC9">
        <w:rPr>
          <w:rFonts w:eastAsia="TimesNewRoman"/>
          <w:sz w:val="22"/>
          <w:szCs w:val="22"/>
          <w:lang w:val="sr-Latn-ME"/>
        </w:rPr>
        <w:lastRenderedPageBreak/>
        <w:t>djelimično. Medijana trajanja terapije u objavljenoj literaturi kretala se između 4 nedelje i više od 20 mjeseci. Translokacija t(17:22)[(q22:q13)], ili njen genski proizvod, bili su prisutni kod skoro svih pacijenata koji su reagovali na terapiju imatinibom.</w:t>
      </w:r>
    </w:p>
    <w:p w14:paraId="59181C99"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p>
    <w:p w14:paraId="0D0E0DE0" w14:textId="77777777" w:rsidR="005D1EF5" w:rsidRPr="00056CC9" w:rsidRDefault="005D1EF5" w:rsidP="00056CC9">
      <w:pPr>
        <w:shd w:val="clear" w:color="auto" w:fill="FFFFFF"/>
        <w:autoSpaceDE w:val="0"/>
        <w:autoSpaceDN w:val="0"/>
        <w:adjustRightInd w:val="0"/>
        <w:jc w:val="both"/>
        <w:rPr>
          <w:rFonts w:eastAsia="TimesNewRoman"/>
          <w:sz w:val="22"/>
          <w:szCs w:val="22"/>
          <w:lang w:val="sr-Latn-ME"/>
        </w:rPr>
      </w:pPr>
      <w:r w:rsidRPr="00056CC9">
        <w:rPr>
          <w:rFonts w:eastAsia="TimesNewRoman"/>
          <w:sz w:val="22"/>
          <w:szCs w:val="22"/>
          <w:lang w:val="sr-Latn-ME"/>
        </w:rPr>
        <w:t>Nema kontrolisanih ispitivanja kod pedijatrijskih pacijenata sa DFSP. U 3 objavljena rada prijavljeno je 5 pacijenata sa DFSP i PDGFR rearanžmanom gena. Ovi pacijenti su bili uzrasta od novorođenčadi do 14 godina, a imatinib je primjenjivan u dozi od 50 mg dnevno ili u dozama u rasponu od 400 do 520 mg/m2 dnevno. Svi pacijenti su postigli djelimičan i/ili kompletan odgovor.</w:t>
      </w:r>
    </w:p>
    <w:p w14:paraId="6F36FA40" w14:textId="77777777" w:rsidR="005D1EF5" w:rsidRPr="00056CC9" w:rsidRDefault="005D1EF5" w:rsidP="00056CC9">
      <w:pPr>
        <w:tabs>
          <w:tab w:val="left" w:pos="540"/>
          <w:tab w:val="left" w:pos="569"/>
        </w:tabs>
        <w:rPr>
          <w:b/>
          <w:bCs/>
          <w:sz w:val="22"/>
          <w:szCs w:val="22"/>
          <w:lang w:val="sr-Latn-ME"/>
        </w:rPr>
      </w:pPr>
    </w:p>
    <w:p w14:paraId="2B2B6C14" w14:textId="7777777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 xml:space="preserve">5.2. Farmakokinetički podaci </w:t>
      </w:r>
    </w:p>
    <w:p w14:paraId="3BDDF470" w14:textId="77777777" w:rsidR="005D1EF5" w:rsidRPr="00056CC9" w:rsidRDefault="005D1EF5" w:rsidP="00056CC9">
      <w:pPr>
        <w:tabs>
          <w:tab w:val="left" w:pos="540"/>
          <w:tab w:val="left" w:pos="569"/>
        </w:tabs>
        <w:jc w:val="both"/>
        <w:rPr>
          <w:sz w:val="22"/>
          <w:szCs w:val="22"/>
          <w:lang w:val="sr-Latn-ME"/>
        </w:rPr>
      </w:pPr>
    </w:p>
    <w:p w14:paraId="4CF736DE"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Farmakokinetika imatiniba</w:t>
      </w:r>
    </w:p>
    <w:p w14:paraId="4300B5BE" w14:textId="77777777" w:rsidR="005D1EF5" w:rsidRPr="00056CC9" w:rsidRDefault="005D1EF5" w:rsidP="00056CC9">
      <w:pPr>
        <w:tabs>
          <w:tab w:val="left" w:pos="540"/>
          <w:tab w:val="left" w:pos="569"/>
        </w:tabs>
        <w:jc w:val="both"/>
        <w:rPr>
          <w:i/>
          <w:iCs/>
          <w:sz w:val="22"/>
          <w:szCs w:val="22"/>
          <w:lang w:val="sr-Latn-ME"/>
        </w:rPr>
      </w:pPr>
      <w:r w:rsidRPr="00056CC9">
        <w:rPr>
          <w:sz w:val="22"/>
          <w:szCs w:val="22"/>
          <w:lang w:val="sr-Latn-ME"/>
        </w:rPr>
        <w:t xml:space="preserve">Farmakokinetika imatiniba je procijenjena na ukupnom rasponu doza od 25 do 1000 mg. Farmakokinetski profili u plazmi bili su analizirani prvog dana i sedmog ili 28-og dana, do kada su koncentracije u plazmi dostigle stanje ravnoteže </w:t>
      </w:r>
      <w:r w:rsidRPr="00056CC9">
        <w:rPr>
          <w:i/>
          <w:iCs/>
          <w:sz w:val="22"/>
          <w:szCs w:val="22"/>
          <w:lang w:val="sr-Latn-ME"/>
        </w:rPr>
        <w:t>(steady state).</w:t>
      </w:r>
    </w:p>
    <w:p w14:paraId="0D4924BA" w14:textId="77777777" w:rsidR="005D1EF5" w:rsidRPr="00056CC9" w:rsidRDefault="005D1EF5" w:rsidP="00056CC9">
      <w:pPr>
        <w:tabs>
          <w:tab w:val="left" w:pos="540"/>
          <w:tab w:val="left" w:pos="569"/>
        </w:tabs>
        <w:jc w:val="both"/>
        <w:rPr>
          <w:sz w:val="22"/>
          <w:szCs w:val="22"/>
          <w:lang w:val="sr-Latn-ME"/>
        </w:rPr>
      </w:pPr>
    </w:p>
    <w:p w14:paraId="4A1299DC"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Resorpcija</w:t>
      </w:r>
    </w:p>
    <w:p w14:paraId="46A55FCB"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Srednja apsolutna bioraspoloživost za kapsule je 98%. Među pacijentima je postojala visoka varijabilnost u nivoima PIK-a imatiniba u plazmi poslije oralne doze. Kad je davan sa masnim obrokom, obim resorpcije imatiniba bio je minimalno redukovan (11% smanjenja C</w:t>
      </w:r>
      <w:r w:rsidRPr="00056CC9">
        <w:rPr>
          <w:sz w:val="22"/>
          <w:szCs w:val="22"/>
          <w:vertAlign w:val="subscript"/>
          <w:lang w:val="sr-Latn-ME"/>
        </w:rPr>
        <w:t>max</w:t>
      </w:r>
      <w:r w:rsidRPr="00056CC9">
        <w:rPr>
          <w:sz w:val="22"/>
          <w:szCs w:val="22"/>
          <w:lang w:val="sr-Latn-ME"/>
        </w:rPr>
        <w:t xml:space="preserve"> i produženja t</w:t>
      </w:r>
      <w:r w:rsidRPr="00056CC9">
        <w:rPr>
          <w:sz w:val="22"/>
          <w:szCs w:val="22"/>
          <w:vertAlign w:val="subscript"/>
          <w:lang w:val="sr-Latn-ME"/>
        </w:rPr>
        <w:t>max</w:t>
      </w:r>
      <w:r w:rsidRPr="00056CC9">
        <w:rPr>
          <w:sz w:val="22"/>
          <w:szCs w:val="22"/>
          <w:lang w:val="sr-Latn-ME"/>
        </w:rPr>
        <w:t xml:space="preserve"> za 1,5 h), sa malim redukovanjem PIK-a (7,4%) u poređenju sa davanjem našte. Efekat prethodne gastrointestinalne operacije na resorpciju lijeka nije ispitivan.</w:t>
      </w:r>
    </w:p>
    <w:p w14:paraId="5158C48A" w14:textId="77777777" w:rsidR="005D1EF5" w:rsidRPr="00056CC9" w:rsidRDefault="005D1EF5" w:rsidP="00056CC9">
      <w:pPr>
        <w:tabs>
          <w:tab w:val="left" w:pos="540"/>
          <w:tab w:val="left" w:pos="569"/>
        </w:tabs>
        <w:jc w:val="both"/>
        <w:rPr>
          <w:sz w:val="22"/>
          <w:szCs w:val="22"/>
          <w:lang w:val="sr-Latn-ME"/>
        </w:rPr>
      </w:pPr>
    </w:p>
    <w:p w14:paraId="5578BB26"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Distribucija</w:t>
      </w:r>
    </w:p>
    <w:p w14:paraId="13B0728E"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 xml:space="preserve">U klinički relevantnim koncentracijama imatiniba, vezivanje za proteine plazme bilo je približno 95% na osnovu </w:t>
      </w:r>
      <w:r w:rsidRPr="00056CC9">
        <w:rPr>
          <w:i/>
          <w:iCs/>
          <w:sz w:val="22"/>
          <w:szCs w:val="22"/>
          <w:lang w:val="sr-Latn-ME"/>
        </w:rPr>
        <w:t>in vitro</w:t>
      </w:r>
      <w:r w:rsidRPr="00056CC9">
        <w:rPr>
          <w:sz w:val="22"/>
          <w:szCs w:val="22"/>
          <w:lang w:val="sr-Latn-ME"/>
        </w:rPr>
        <w:t xml:space="preserve"> eksperimenata, uglavnom za albumin i alfa-kiseli-glikoprotein, sa malim vezivanjem za lipoprotein.</w:t>
      </w:r>
    </w:p>
    <w:p w14:paraId="73276B94" w14:textId="77777777" w:rsidR="005D1EF5" w:rsidRPr="00056CC9" w:rsidRDefault="005D1EF5" w:rsidP="00056CC9">
      <w:pPr>
        <w:tabs>
          <w:tab w:val="left" w:pos="540"/>
          <w:tab w:val="left" w:pos="569"/>
        </w:tabs>
        <w:jc w:val="both"/>
        <w:rPr>
          <w:sz w:val="22"/>
          <w:szCs w:val="22"/>
          <w:lang w:val="sr-Latn-ME"/>
        </w:rPr>
      </w:pPr>
    </w:p>
    <w:p w14:paraId="4A56FD3C"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Biotransformacija</w:t>
      </w:r>
    </w:p>
    <w:p w14:paraId="063DB301"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 xml:space="preserve">Glavni cirkulišući metabolit kod ljudi je N-demetilovani piperazinski derivat, koji ispoljava sličnu aktivnost </w:t>
      </w:r>
      <w:r w:rsidRPr="00056CC9">
        <w:rPr>
          <w:i/>
          <w:sz w:val="22"/>
          <w:szCs w:val="22"/>
          <w:lang w:val="sr-Latn-ME"/>
        </w:rPr>
        <w:t>in vitro</w:t>
      </w:r>
      <w:r w:rsidRPr="00056CC9">
        <w:rPr>
          <w:sz w:val="22"/>
          <w:szCs w:val="22"/>
          <w:lang w:val="sr-Latn-ME"/>
        </w:rPr>
        <w:t xml:space="preserve"> kao i matično jedinjenje. Plazma PIK za ovaj metabolit bio je samo 16% od PIK-a za imatinib. Vezivanje za proteine plazme N-demetilovanog metabolita slično je onom kod matičnog jedinjenja.</w:t>
      </w:r>
    </w:p>
    <w:p w14:paraId="0808D66D" w14:textId="77777777" w:rsidR="005D1EF5" w:rsidRPr="00056CC9" w:rsidRDefault="005D1EF5" w:rsidP="00056CC9">
      <w:pPr>
        <w:tabs>
          <w:tab w:val="left" w:pos="540"/>
          <w:tab w:val="left" w:pos="569"/>
        </w:tabs>
        <w:jc w:val="both"/>
        <w:rPr>
          <w:sz w:val="22"/>
          <w:szCs w:val="22"/>
          <w:lang w:val="sr-Latn-ME"/>
        </w:rPr>
      </w:pPr>
    </w:p>
    <w:p w14:paraId="5616DBC1"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Imatinib i N-demetilovani metabolit zajedno su odgovorni za oko 65% cirkulišuće radioaktivnosti (PIK(</w:t>
      </w:r>
      <w:r w:rsidRPr="00056CC9">
        <w:rPr>
          <w:sz w:val="22"/>
          <w:szCs w:val="22"/>
          <w:vertAlign w:val="subscript"/>
          <w:lang w:val="sr-Latn-ME"/>
        </w:rPr>
        <w:t>0-48 h</w:t>
      </w:r>
      <w:r w:rsidRPr="00056CC9">
        <w:rPr>
          <w:sz w:val="22"/>
          <w:szCs w:val="22"/>
          <w:lang w:val="sr-Latn-ME"/>
        </w:rPr>
        <w:t>)). Preostala cirkulišuća radioaktivnost sastojala se od brojnih manjih metabolita.</w:t>
      </w:r>
    </w:p>
    <w:p w14:paraId="45F951E1" w14:textId="77777777" w:rsidR="005D1EF5" w:rsidRPr="00056CC9" w:rsidRDefault="005D1EF5" w:rsidP="00056CC9">
      <w:pPr>
        <w:tabs>
          <w:tab w:val="left" w:pos="540"/>
          <w:tab w:val="left" w:pos="569"/>
        </w:tabs>
        <w:jc w:val="both"/>
        <w:rPr>
          <w:sz w:val="22"/>
          <w:szCs w:val="22"/>
          <w:lang w:val="sr-Latn-ME"/>
        </w:rPr>
      </w:pPr>
    </w:p>
    <w:p w14:paraId="08C70B9E"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 xml:space="preserve">Rezultati </w:t>
      </w:r>
      <w:r w:rsidRPr="00056CC9">
        <w:rPr>
          <w:i/>
          <w:iCs/>
          <w:sz w:val="22"/>
          <w:szCs w:val="22"/>
          <w:lang w:val="sr-Latn-ME"/>
        </w:rPr>
        <w:t>in vitro</w:t>
      </w:r>
      <w:r w:rsidRPr="00056CC9">
        <w:rPr>
          <w:sz w:val="22"/>
          <w:szCs w:val="22"/>
          <w:lang w:val="sr-Latn-ME"/>
        </w:rPr>
        <w:t xml:space="preserve"> pokazali su da je CYP3A4 glavni humani P450 enzim koji katalizuje biotransformaciju imatiniba. Od palete potencijalne komedikacije (acetaminofen, aciklovir, alopurinol, amfotericin, citarabin, eritromicin, flukonazol, hidroksiureja, norfloksacin, penicilin V) samo su eritromicin (IC</w:t>
      </w:r>
      <w:r w:rsidRPr="00056CC9">
        <w:rPr>
          <w:sz w:val="22"/>
          <w:szCs w:val="22"/>
          <w:vertAlign w:val="subscript"/>
          <w:lang w:val="sr-Latn-ME"/>
        </w:rPr>
        <w:t>50</w:t>
      </w:r>
      <w:r w:rsidRPr="00056CC9">
        <w:rPr>
          <w:sz w:val="22"/>
          <w:szCs w:val="22"/>
          <w:lang w:val="sr-Latn-ME"/>
        </w:rPr>
        <w:t xml:space="preserve"> 50 mikroM) i flukonazol (IC</w:t>
      </w:r>
      <w:r w:rsidRPr="00056CC9">
        <w:rPr>
          <w:sz w:val="22"/>
          <w:szCs w:val="22"/>
          <w:vertAlign w:val="subscript"/>
          <w:lang w:val="sr-Latn-ME"/>
        </w:rPr>
        <w:t>50</w:t>
      </w:r>
      <w:r w:rsidRPr="00056CC9">
        <w:rPr>
          <w:sz w:val="22"/>
          <w:szCs w:val="22"/>
          <w:lang w:val="sr-Latn-ME"/>
        </w:rPr>
        <w:t xml:space="preserve"> 118 mikroM) pokazali inhibiciju metabolizma imatiniba koja može biti klinički relevantna.</w:t>
      </w:r>
    </w:p>
    <w:p w14:paraId="57156EEF" w14:textId="77777777" w:rsidR="005D1EF5" w:rsidRPr="00056CC9" w:rsidRDefault="005D1EF5" w:rsidP="00056CC9">
      <w:pPr>
        <w:tabs>
          <w:tab w:val="left" w:pos="540"/>
          <w:tab w:val="left" w:pos="569"/>
        </w:tabs>
        <w:jc w:val="both"/>
        <w:rPr>
          <w:sz w:val="22"/>
          <w:szCs w:val="22"/>
          <w:lang w:val="sr-Latn-ME"/>
        </w:rPr>
      </w:pPr>
    </w:p>
    <w:p w14:paraId="6C4DAC0D"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 xml:space="preserve">Za imatinib je pokazano da je </w:t>
      </w:r>
      <w:r w:rsidRPr="00056CC9">
        <w:rPr>
          <w:i/>
          <w:iCs/>
          <w:sz w:val="22"/>
          <w:szCs w:val="22"/>
          <w:lang w:val="sr-Latn-ME"/>
        </w:rPr>
        <w:t>in vitro</w:t>
      </w:r>
      <w:r w:rsidRPr="00056CC9">
        <w:rPr>
          <w:sz w:val="22"/>
          <w:szCs w:val="22"/>
          <w:lang w:val="sr-Latn-ME"/>
        </w:rPr>
        <w:t xml:space="preserve"> kompetitivni inhibitor supstrata markera za CYP2C9, CYP2D6 i CYP3A4/5. Ki vrijednosti u humanim mikrozomima jetre bile su redom 27, 7,5 i 7,9 mikromol/l. Maksimalne koncentracije u plazmi imatiniba kod pacijenata su 2-4 mikromol/l, usljed čega je inhibicija CYP2D6 i/ili CYP3A4/5-posredovanog metabolizma istovremeno datih ljekova moguća. Imatinib nije uticao na biotransformaciju 5-fluorouracila, ali je inhibisao metabolizam paklitaksela kao rezultat kompetitivne inhibicije CYP2C8 (Ki = 34,7 µM). Ova Ki vrijednost je daleko viša od očekivanih nivoa imatiniba u plazmi pacijenta, pa se stoga ne očekuje nikakva interakcija nakon istovremenog davanja 5-fluorouracila ili paklitaksela i imatiniba.</w:t>
      </w:r>
    </w:p>
    <w:p w14:paraId="7ACE57C5" w14:textId="77777777" w:rsidR="005D1EF5" w:rsidRPr="00056CC9" w:rsidRDefault="005D1EF5" w:rsidP="00056CC9">
      <w:pPr>
        <w:tabs>
          <w:tab w:val="left" w:pos="540"/>
          <w:tab w:val="left" w:pos="569"/>
        </w:tabs>
        <w:jc w:val="both"/>
        <w:rPr>
          <w:sz w:val="22"/>
          <w:szCs w:val="22"/>
          <w:lang w:val="sr-Latn-ME"/>
        </w:rPr>
      </w:pPr>
    </w:p>
    <w:p w14:paraId="590A13E1"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Eliminacija</w:t>
      </w:r>
    </w:p>
    <w:p w14:paraId="72A98D8E"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 xml:space="preserve">Na osnovu pronalaženja jedinjenja poslije oralne doze imatiniba markiranog sa </w:t>
      </w:r>
      <w:r w:rsidRPr="00056CC9">
        <w:rPr>
          <w:sz w:val="22"/>
          <w:szCs w:val="22"/>
          <w:vertAlign w:val="superscript"/>
          <w:lang w:val="sr-Latn-ME"/>
        </w:rPr>
        <w:t>14</w:t>
      </w:r>
      <w:r w:rsidRPr="00056CC9">
        <w:rPr>
          <w:sz w:val="22"/>
          <w:szCs w:val="22"/>
          <w:lang w:val="sr-Latn-ME"/>
        </w:rPr>
        <w:t>C, približno 81% doze je pronađeno unutar 7 dana u fecesu (68% doze) i urinu (13% doze). Na nepromijenjeni imatinib odlazilo je 25% doze (5% urin, 20% feces), a ostatak su bili metaboliti.</w:t>
      </w:r>
    </w:p>
    <w:p w14:paraId="6DA87339" w14:textId="77777777" w:rsidR="005D1EF5" w:rsidRPr="00056CC9" w:rsidRDefault="005D1EF5" w:rsidP="00056CC9">
      <w:pPr>
        <w:tabs>
          <w:tab w:val="left" w:pos="540"/>
          <w:tab w:val="left" w:pos="569"/>
        </w:tabs>
        <w:jc w:val="both"/>
        <w:rPr>
          <w:sz w:val="22"/>
          <w:szCs w:val="22"/>
          <w:lang w:val="sr-Latn-ME"/>
        </w:rPr>
      </w:pPr>
    </w:p>
    <w:p w14:paraId="72594E9C"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lastRenderedPageBreak/>
        <w:t xml:space="preserve">Farmakokinetika u plazmi </w:t>
      </w:r>
    </w:p>
    <w:p w14:paraId="6729AF14"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Nakon oralnog davanja zdravim dobrovoljcima, poluvrijeme eliminacije(t1/2) iznosilo je približno 18 h, potvrđujući da je doziranje jednom dnevno odgovarajuće. Povećanje srednjeg PIK-a sa povećanjem doze bilo je linearno, a doza proporcionalna u rasponu od 25 do 1000 mg imatiniba poslije oralnog davanja. Nije bilo promjena u kinetici imatiniba na ponovljeno davanje, a akumulacija je bila 1,5-2,5-puta u stanju ravnoteže kad se dozira jednom dnevno.</w:t>
      </w:r>
    </w:p>
    <w:p w14:paraId="452E8E92" w14:textId="77777777" w:rsidR="005D1EF5" w:rsidRPr="00056CC9" w:rsidRDefault="005D1EF5" w:rsidP="00056CC9">
      <w:pPr>
        <w:tabs>
          <w:tab w:val="left" w:pos="540"/>
          <w:tab w:val="left" w:pos="569"/>
        </w:tabs>
        <w:jc w:val="both"/>
        <w:rPr>
          <w:sz w:val="22"/>
          <w:szCs w:val="22"/>
          <w:lang w:val="sr-Latn-ME"/>
        </w:rPr>
      </w:pPr>
    </w:p>
    <w:p w14:paraId="26205DFE"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Populaciona farmakokinetika</w:t>
      </w:r>
    </w:p>
    <w:p w14:paraId="42C2A2C7"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Na osnovu populacione farmakokinetičke analize kod CML pacijenata, postojao je mali efekat starosti na volumen distribucije (12% povećanja kod pacijenata &gt; 65 godina). Smatra se da ova promjena nije klinički značajna. Efekat tjelesne težine na klirens imatiniba je takav da se za pacijenta koji ima 50 kg očekuje srednji klirens od 8,5 l/h, dok se za pacijenta težine 100 kg očekuje klirens povećan do 11,8 l/h. Ove promjene se ne smatraju dovoljnim da opravdaju podešavanje doze na osnovu tjelesne mase. Nema uticaja pola na kinetiku imatiniba.</w:t>
      </w:r>
    </w:p>
    <w:p w14:paraId="3FEB8D66" w14:textId="77777777" w:rsidR="005D1EF5" w:rsidRPr="00056CC9" w:rsidRDefault="005D1EF5" w:rsidP="00056CC9">
      <w:pPr>
        <w:tabs>
          <w:tab w:val="left" w:pos="540"/>
          <w:tab w:val="left" w:pos="569"/>
        </w:tabs>
        <w:jc w:val="both"/>
        <w:rPr>
          <w:sz w:val="22"/>
          <w:szCs w:val="22"/>
          <w:lang w:val="sr-Latn-ME"/>
        </w:rPr>
      </w:pPr>
    </w:p>
    <w:p w14:paraId="4A9C6B7A"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Farmakokinetika kod djece</w:t>
      </w:r>
    </w:p>
    <w:p w14:paraId="6DD416F6"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Kao i kod odraslih pacijenata, imatinib se brzo resorbovao poslije oralnog davanja kod pedijatrijskih pacijenata u studijama faze I i faze II. Doziranje kod djece od 260 i 340 mg/m2/dan postizalo je istu ekspoziciju, respektivno, kao doze od 400 mg i 600 mg kod odraslih pacijenata. Poređenje PIK(</w:t>
      </w:r>
      <w:r w:rsidRPr="00056CC9">
        <w:rPr>
          <w:sz w:val="22"/>
          <w:szCs w:val="22"/>
          <w:vertAlign w:val="subscript"/>
          <w:lang w:val="sr-Latn-ME"/>
        </w:rPr>
        <w:t>0-24</w:t>
      </w:r>
      <w:r w:rsidRPr="00056CC9">
        <w:rPr>
          <w:sz w:val="22"/>
          <w:szCs w:val="22"/>
          <w:lang w:val="sr-Latn-ME"/>
        </w:rPr>
        <w:t>) na dan 8. i dan 1. pri 340 mg/m2/dan doznom nivou otkrilo je 1,7-puta veću akumulaciju lijeka poslije ponovljenog doziranja jednom dnevno.</w:t>
      </w:r>
    </w:p>
    <w:p w14:paraId="7C81CDEE" w14:textId="77777777" w:rsidR="005D1EF5" w:rsidRPr="00056CC9" w:rsidRDefault="005D1EF5" w:rsidP="00056CC9">
      <w:pPr>
        <w:tabs>
          <w:tab w:val="left" w:pos="540"/>
          <w:tab w:val="left" w:pos="569"/>
        </w:tabs>
        <w:jc w:val="both"/>
        <w:rPr>
          <w:sz w:val="22"/>
          <w:szCs w:val="22"/>
          <w:lang w:val="sr-Latn-ME"/>
        </w:rPr>
      </w:pPr>
    </w:p>
    <w:p w14:paraId="1AC61953"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Na osnovu rezultata farmakokinetičke analize kod svih pedijatrijskih pacijenata sa hematološkim poremećajima (CML, Ph+ALL ili drugim hematološkim poremećajima liječenim imatinibom), klirens imatiniba se povećava sa povećanjem tjelesne površine (BSA). Nakon korekcije s obzirom na uticaj BSA, pokazano je da drugi demografski parametri, kao što su uzrast, tjelesna masa i indeks tjelesne mase, nemaju klinički značaj za izlaganje imatinibu. Ovom analizom je potvrđeno da je izloženost imatinibu kod pedijatrijskih pacijenata koji su primali doze od 260 mg/m2 jednom dnevno (ali ne više od 400 mg jednom dnevno) ili 340 mg/m2 jednom dnevno (ali ne više od 600 mg jednom dnevno) bila slična onoj kod odraslih pacijenata koji su primali doze imatiniba od 400 mg ili 600 mg jednom dnevno.</w:t>
      </w:r>
    </w:p>
    <w:p w14:paraId="3CC6545A" w14:textId="77777777" w:rsidR="005D1EF5" w:rsidRPr="00056CC9" w:rsidRDefault="005D1EF5" w:rsidP="00056CC9">
      <w:pPr>
        <w:tabs>
          <w:tab w:val="left" w:pos="540"/>
          <w:tab w:val="left" w:pos="569"/>
        </w:tabs>
        <w:jc w:val="both"/>
        <w:rPr>
          <w:sz w:val="22"/>
          <w:szCs w:val="22"/>
          <w:lang w:val="sr-Latn-ME"/>
        </w:rPr>
      </w:pPr>
    </w:p>
    <w:p w14:paraId="1F9EDA50" w14:textId="77777777" w:rsidR="005D1EF5" w:rsidRPr="00056CC9" w:rsidRDefault="005D1EF5" w:rsidP="00056CC9">
      <w:pPr>
        <w:tabs>
          <w:tab w:val="left" w:pos="540"/>
          <w:tab w:val="left" w:pos="569"/>
        </w:tabs>
        <w:jc w:val="both"/>
        <w:rPr>
          <w:sz w:val="22"/>
          <w:szCs w:val="22"/>
          <w:u w:val="single"/>
          <w:lang w:val="sr-Latn-ME"/>
        </w:rPr>
      </w:pPr>
      <w:r w:rsidRPr="00056CC9">
        <w:rPr>
          <w:sz w:val="22"/>
          <w:szCs w:val="22"/>
          <w:u w:val="single"/>
          <w:lang w:val="sr-Latn-ME"/>
        </w:rPr>
        <w:t>Poremećaj funkcije organa</w:t>
      </w:r>
    </w:p>
    <w:p w14:paraId="2C29EBD5"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Imatinib i njegovi metaboliti se ne izlučuju preko bubrega u značajnoj mjeri. Pacijenti sa blagim i umjerenim poremećajem bubrežne funkcije izgleda da imaju veću ekspoziciju u plazmi od pacijenata sa normalnom bubrežnom funkcijom. Povećanje je približno 1,5- do 2-puta, što odgovara povećanju od 1,5-puta plazminog AGP, za koji se imatinib snažno vezuje. Klirens slobodnog lijeka imatiniba je vjerovatno sličan među pacijentima sa bubrežnim poremećajem i onih sa normalnom bubrežnom funkcijom, pošto bubrežna ekskrecija predstavlja samo manji put eliminacije imatiniba (vidjeti djelove 4.2 i 4.4).</w:t>
      </w:r>
    </w:p>
    <w:p w14:paraId="5F4909C4" w14:textId="77777777" w:rsidR="005D1EF5" w:rsidRPr="00056CC9" w:rsidRDefault="005D1EF5" w:rsidP="00056CC9">
      <w:pPr>
        <w:tabs>
          <w:tab w:val="left" w:pos="540"/>
          <w:tab w:val="left" w:pos="569"/>
        </w:tabs>
        <w:jc w:val="both"/>
        <w:rPr>
          <w:sz w:val="22"/>
          <w:szCs w:val="22"/>
          <w:lang w:val="sr-Latn-ME"/>
        </w:rPr>
      </w:pPr>
    </w:p>
    <w:p w14:paraId="100897AC" w14:textId="77777777" w:rsidR="005D1EF5" w:rsidRPr="00056CC9" w:rsidRDefault="005D1EF5" w:rsidP="00056CC9">
      <w:pPr>
        <w:tabs>
          <w:tab w:val="left" w:pos="540"/>
          <w:tab w:val="left" w:pos="569"/>
        </w:tabs>
        <w:jc w:val="both"/>
        <w:rPr>
          <w:sz w:val="22"/>
          <w:szCs w:val="22"/>
          <w:lang w:val="sr-Latn-ME"/>
        </w:rPr>
      </w:pPr>
      <w:r w:rsidRPr="00056CC9">
        <w:rPr>
          <w:sz w:val="22"/>
          <w:szCs w:val="22"/>
          <w:lang w:val="sr-Latn-ME"/>
        </w:rPr>
        <w:t>Mada su rezultati farmakokinetičke analize pokazali da postoji znatna međuindividualna varijacija, prosječna izloženost imatinibu nije se povećala kod pacijenata sa različitim stepenima disfunkcije jetre u poređenju sa pacijentima sa normalnom funkcijom jetre (vidjeti djelove 4.2, 4.4 i 4.8).</w:t>
      </w:r>
    </w:p>
    <w:p w14:paraId="34AF5171" w14:textId="77777777" w:rsidR="005D1EF5" w:rsidRPr="00056CC9" w:rsidRDefault="005D1EF5" w:rsidP="00056CC9">
      <w:pPr>
        <w:tabs>
          <w:tab w:val="left" w:pos="540"/>
          <w:tab w:val="left" w:pos="569"/>
        </w:tabs>
        <w:rPr>
          <w:bCs/>
          <w:sz w:val="22"/>
          <w:szCs w:val="22"/>
          <w:lang w:val="sr-Latn-ME"/>
        </w:rPr>
      </w:pPr>
    </w:p>
    <w:p w14:paraId="44D4191E" w14:textId="77777777" w:rsidR="005D1EF5" w:rsidRPr="00056CC9" w:rsidRDefault="005D1EF5" w:rsidP="00056CC9">
      <w:pPr>
        <w:tabs>
          <w:tab w:val="left" w:pos="540"/>
          <w:tab w:val="left" w:pos="569"/>
        </w:tabs>
        <w:rPr>
          <w:b/>
          <w:bCs/>
          <w:sz w:val="22"/>
          <w:szCs w:val="22"/>
          <w:lang w:val="sr-Latn-ME"/>
        </w:rPr>
      </w:pPr>
      <w:r w:rsidRPr="00056CC9">
        <w:rPr>
          <w:b/>
          <w:bCs/>
          <w:sz w:val="22"/>
          <w:szCs w:val="22"/>
          <w:lang w:val="sr-Latn-ME"/>
        </w:rPr>
        <w:t xml:space="preserve">5.3. Pretklinički podaci o bezbjednosti </w:t>
      </w:r>
    </w:p>
    <w:p w14:paraId="17D46F2A" w14:textId="77777777" w:rsidR="005D1EF5" w:rsidRPr="00056CC9" w:rsidRDefault="005D1EF5" w:rsidP="00056CC9">
      <w:pPr>
        <w:tabs>
          <w:tab w:val="left" w:pos="540"/>
          <w:tab w:val="left" w:pos="569"/>
        </w:tabs>
        <w:rPr>
          <w:bCs/>
          <w:sz w:val="22"/>
          <w:szCs w:val="22"/>
          <w:lang w:val="sr-Latn-ME"/>
        </w:rPr>
      </w:pPr>
    </w:p>
    <w:p w14:paraId="4BB95AE0"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Pretklinički bezbjednosni profil imatiniba procjenjivan je na pacovima, psima, majmunima i kunićima.</w:t>
      </w:r>
    </w:p>
    <w:p w14:paraId="20E01B31" w14:textId="77777777" w:rsidR="005D1EF5" w:rsidRPr="00056CC9" w:rsidRDefault="005D1EF5" w:rsidP="00056CC9">
      <w:pPr>
        <w:tabs>
          <w:tab w:val="left" w:pos="540"/>
          <w:tab w:val="left" w:pos="569"/>
        </w:tabs>
        <w:jc w:val="both"/>
        <w:rPr>
          <w:bCs/>
          <w:sz w:val="22"/>
          <w:szCs w:val="22"/>
          <w:lang w:val="sr-Latn-ME"/>
        </w:rPr>
      </w:pPr>
    </w:p>
    <w:p w14:paraId="507FFC25"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Ispitivanja toksičnosti multipnih doza otkrila su blage do umjerene hematološke promjene kod pacova, pasa i majmuna, praćene promjenama na kostnoj srži kod pacova i pasa.</w:t>
      </w:r>
    </w:p>
    <w:p w14:paraId="58F8ED02" w14:textId="77777777" w:rsidR="005D1EF5" w:rsidRPr="00056CC9" w:rsidRDefault="005D1EF5" w:rsidP="00056CC9">
      <w:pPr>
        <w:tabs>
          <w:tab w:val="left" w:pos="540"/>
          <w:tab w:val="left" w:pos="569"/>
        </w:tabs>
        <w:jc w:val="both"/>
        <w:rPr>
          <w:bCs/>
          <w:sz w:val="22"/>
          <w:szCs w:val="22"/>
          <w:lang w:val="sr-Latn-ME"/>
        </w:rPr>
      </w:pPr>
    </w:p>
    <w:p w14:paraId="60A95033"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Jetra je bila ciljni organ kod pacova i pasa. Blago do umjereno povećanja nivoa transaminaza i blago sniženje holesterola, triglicerida, ukupnih proteina i albumina uočeni su na obje vrste. Nijesu uočene histopatološke promjene na jetri pacova. Teška toksičnost jetre zapažena je kod pasa liječenih 2 nedjelje, sa povećanjem jetrinih enzima, hepatocelularnom nekrozom, nekrozom i hiperplazijom žučnih puteva.</w:t>
      </w:r>
    </w:p>
    <w:p w14:paraId="5A7692A3" w14:textId="77777777" w:rsidR="005D1EF5" w:rsidRPr="00056CC9" w:rsidRDefault="005D1EF5" w:rsidP="00056CC9">
      <w:pPr>
        <w:tabs>
          <w:tab w:val="left" w:pos="540"/>
          <w:tab w:val="left" w:pos="569"/>
        </w:tabs>
        <w:jc w:val="both"/>
        <w:rPr>
          <w:bCs/>
          <w:sz w:val="22"/>
          <w:szCs w:val="22"/>
          <w:lang w:val="sr-Latn-ME"/>
        </w:rPr>
      </w:pPr>
    </w:p>
    <w:p w14:paraId="11E45674"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lastRenderedPageBreak/>
        <w:t xml:space="preserve">Bubrežna toksičnost zapažena je kod majmuna liječenih 2 nedjelje, sa fokusnom mineralizacijom i dilatacijom bubrežnih tubula i tubularnom nefrozom. Povećanje ureje u krvi (engl. BUN- </w:t>
      </w:r>
      <w:r w:rsidRPr="00056CC9">
        <w:rPr>
          <w:bCs/>
          <w:i/>
          <w:sz w:val="22"/>
          <w:szCs w:val="22"/>
          <w:lang w:val="sr-Latn-ME"/>
        </w:rPr>
        <w:t>blood urea nitrogen</w:t>
      </w:r>
      <w:r w:rsidRPr="00056CC9">
        <w:rPr>
          <w:bCs/>
          <w:sz w:val="22"/>
          <w:szCs w:val="22"/>
          <w:lang w:val="sr-Latn-ME"/>
        </w:rPr>
        <w:t>) i kreatinina zapaženo je kod nekoliko životinja. Kod pacova, hiperplazija prelaznog epitela u bubrežnim papilama i u mokraćnoj bešici bila je uočena pri dozama ≥ 6 mg/kg u 13-nedjeljnoj studiji, bez promjena u serumskim i urinarnim parametrima. Zapažen je povećan broj oportunističkih infekcija kod hroničnog liječenja imatinibom.</w:t>
      </w:r>
    </w:p>
    <w:p w14:paraId="7FD54E71" w14:textId="77777777" w:rsidR="005D1EF5" w:rsidRPr="00056CC9" w:rsidRDefault="005D1EF5" w:rsidP="00056CC9">
      <w:pPr>
        <w:tabs>
          <w:tab w:val="left" w:pos="540"/>
          <w:tab w:val="left" w:pos="569"/>
        </w:tabs>
        <w:jc w:val="both"/>
        <w:rPr>
          <w:bCs/>
          <w:sz w:val="22"/>
          <w:szCs w:val="22"/>
          <w:lang w:val="sr-Latn-ME"/>
        </w:rPr>
      </w:pPr>
    </w:p>
    <w:p w14:paraId="352F4EFF"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 xml:space="preserve">U 39-nedjeljnoj studiji na majmunima, nije utvrđen NOAEL= engl. </w:t>
      </w:r>
      <w:r w:rsidRPr="00056CC9">
        <w:rPr>
          <w:bCs/>
          <w:i/>
          <w:sz w:val="22"/>
          <w:szCs w:val="22"/>
          <w:lang w:val="sr-Latn-ME"/>
        </w:rPr>
        <w:t>no observed effect level</w:t>
      </w:r>
      <w:r w:rsidRPr="00056CC9">
        <w:rPr>
          <w:bCs/>
          <w:sz w:val="22"/>
          <w:szCs w:val="22"/>
          <w:lang w:val="sr-Latn-ME"/>
        </w:rPr>
        <w:t xml:space="preserve"> (doza bez štetnog efekta) pri najnižoj dozi od 15 mg/kg, koja približno iznosi jednu trećinu maksimalne humane doze od 800 mg prema tjelesnoj površini. Terapija je dovela do pogoršanja normalno suprimovane malarijske infekcije kod ovih životinja.</w:t>
      </w:r>
    </w:p>
    <w:p w14:paraId="72F64F8B" w14:textId="77777777" w:rsidR="005D1EF5" w:rsidRPr="00056CC9" w:rsidRDefault="005D1EF5" w:rsidP="00056CC9">
      <w:pPr>
        <w:tabs>
          <w:tab w:val="left" w:pos="540"/>
          <w:tab w:val="left" w:pos="569"/>
        </w:tabs>
        <w:jc w:val="both"/>
        <w:rPr>
          <w:bCs/>
          <w:sz w:val="22"/>
          <w:szCs w:val="22"/>
          <w:lang w:val="sr-Latn-ME"/>
        </w:rPr>
      </w:pPr>
    </w:p>
    <w:p w14:paraId="6E568F90"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 xml:space="preserve">Imatinib se nije smatrao genotoksičnim kad je testiran u </w:t>
      </w:r>
      <w:r w:rsidRPr="00056CC9">
        <w:rPr>
          <w:bCs/>
          <w:i/>
          <w:sz w:val="22"/>
          <w:szCs w:val="22"/>
          <w:lang w:val="sr-Latn-ME"/>
        </w:rPr>
        <w:t>in vitro</w:t>
      </w:r>
      <w:r w:rsidRPr="00056CC9">
        <w:rPr>
          <w:bCs/>
          <w:sz w:val="22"/>
          <w:szCs w:val="22"/>
          <w:lang w:val="sr-Latn-ME"/>
        </w:rPr>
        <w:t xml:space="preserve"> testovima sa bakterijskim ćelijama (Ames-ov test), </w:t>
      </w:r>
      <w:r w:rsidRPr="00056CC9">
        <w:rPr>
          <w:bCs/>
          <w:i/>
          <w:sz w:val="22"/>
          <w:szCs w:val="22"/>
          <w:lang w:val="sr-Latn-ME"/>
        </w:rPr>
        <w:t>in vitro</w:t>
      </w:r>
      <w:r w:rsidRPr="00056CC9">
        <w:rPr>
          <w:bCs/>
          <w:sz w:val="22"/>
          <w:szCs w:val="22"/>
          <w:lang w:val="sr-Latn-ME"/>
        </w:rPr>
        <w:t xml:space="preserve"> testovima na ćelijama sisara (limfom miša) i </w:t>
      </w:r>
      <w:r w:rsidRPr="00056CC9">
        <w:rPr>
          <w:bCs/>
          <w:i/>
          <w:sz w:val="22"/>
          <w:szCs w:val="22"/>
          <w:lang w:val="sr-Latn-ME"/>
        </w:rPr>
        <w:t>in vivo</w:t>
      </w:r>
      <w:r w:rsidRPr="00056CC9">
        <w:rPr>
          <w:bCs/>
          <w:sz w:val="22"/>
          <w:szCs w:val="22"/>
          <w:lang w:val="sr-Latn-ME"/>
        </w:rPr>
        <w:t xml:space="preserve"> mikronukleusnom testu pacova. Pozitivni genotoksični efekti dobijeni su za imatinib u </w:t>
      </w:r>
      <w:r w:rsidRPr="00056CC9">
        <w:rPr>
          <w:bCs/>
          <w:i/>
          <w:sz w:val="22"/>
          <w:szCs w:val="22"/>
          <w:lang w:val="sr-Latn-ME"/>
        </w:rPr>
        <w:t>in vitro</w:t>
      </w:r>
      <w:r w:rsidRPr="00056CC9">
        <w:rPr>
          <w:bCs/>
          <w:sz w:val="22"/>
          <w:szCs w:val="22"/>
          <w:lang w:val="sr-Latn-ME"/>
        </w:rPr>
        <w:t xml:space="preserve"> testu na ćelijama sisara (ovarijum kineskog hrčka) za klastogenost (hromozomska aberacija) u prisustvu metaboličke aktivacije. Dva intermedijera u procesu proizvodnje, koji su takođe prisutni u finalnom proizvodu, pozitivni su na mutagenezu u Ames-ovom testu. Jedan od ovih intermedijera bio je takođe pozitivan u testu na limfomu miša.</w:t>
      </w:r>
    </w:p>
    <w:p w14:paraId="09CE8220" w14:textId="77777777" w:rsidR="005D1EF5" w:rsidRPr="00056CC9" w:rsidRDefault="005D1EF5" w:rsidP="00056CC9">
      <w:pPr>
        <w:tabs>
          <w:tab w:val="left" w:pos="540"/>
          <w:tab w:val="left" w:pos="569"/>
        </w:tabs>
        <w:jc w:val="both"/>
        <w:rPr>
          <w:bCs/>
          <w:sz w:val="22"/>
          <w:szCs w:val="22"/>
          <w:lang w:val="sr-Latn-ME"/>
        </w:rPr>
      </w:pPr>
    </w:p>
    <w:p w14:paraId="5262AE03"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U studiji fertiliteta, na muškim pacovima koji su primali dozu tokom 70 dana prije parenja, smanjila se težina testisa i epididimisa i procenat motilne sperme pri dozi od  60 mg/kg, što je približno jednako maksimalnoj kliničkoj dozi od 800 mg/dan, baziranoj na veličini površine tijela. Ovo nije zapaženo pri dozama ≤ 20 mg/kg. Blaga do umjerena redukcija spermatogeneze takođe je uočena kod pasa pri oralnim dozama ≥ 30 mg/kg. Kada su ženke pacova dozirane 14 dana prije parenja pa do 6. gestacijskog dana, nije bilo efekta na parenje ili broj skotnih ženki. Pri dozi od 60 mg/kg, ženke pacova imale su značajne post-implantacijske fetusne gubitke i smanjenje broja živih fetusa. Ovo nije uočeno pri dozama ≤ 20 mg/kg.</w:t>
      </w:r>
    </w:p>
    <w:p w14:paraId="2EBA7F42" w14:textId="77777777" w:rsidR="005D1EF5" w:rsidRPr="00056CC9" w:rsidRDefault="005D1EF5" w:rsidP="00056CC9">
      <w:pPr>
        <w:tabs>
          <w:tab w:val="left" w:pos="540"/>
          <w:tab w:val="left" w:pos="569"/>
        </w:tabs>
        <w:jc w:val="both"/>
        <w:rPr>
          <w:bCs/>
          <w:sz w:val="22"/>
          <w:szCs w:val="22"/>
          <w:lang w:val="sr-Latn-ME"/>
        </w:rPr>
      </w:pPr>
    </w:p>
    <w:p w14:paraId="43B0DC78"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U ispitivanju prenatalnog i postnatalnog razvoja kod pacova, uočen je crveni vaginalni sekret u grupi  koja je oralno primala 45 mg/kg/dan bilo14. ili 15. dan gestacije. Pri istoj dozi, broj mrtvorođenih mladunaca kao i onih koji su uginuli 0. i 4. dana postpartum,  bio je povećan.  Kod F1 potomaka, pri istoj dozi, srednje tjelesne mase bile su redukovane od rođenja do žrtvovanja, a broj legla koji je dostigao kriterijum za prepucijsku separaciju, bio je malo snižen. F1 fertilnost nije bila pogođena, dok je povećan broj resorpcija i smanjen broj vijabilnih fetusa zapažen pri 45 mg/kg/dan. Vrijednost NOEL i za ženke (majke) i za F1 generaciju bio je 15 mg/kg/dan (četvrtina maksimalne humane doze od 800 mg).</w:t>
      </w:r>
    </w:p>
    <w:p w14:paraId="7306CB19" w14:textId="77777777" w:rsidR="005D1EF5" w:rsidRPr="00056CC9" w:rsidRDefault="005D1EF5" w:rsidP="00056CC9">
      <w:pPr>
        <w:tabs>
          <w:tab w:val="left" w:pos="540"/>
          <w:tab w:val="left" w:pos="569"/>
        </w:tabs>
        <w:jc w:val="both"/>
        <w:rPr>
          <w:bCs/>
          <w:sz w:val="22"/>
          <w:szCs w:val="22"/>
          <w:lang w:val="sr-Latn-ME"/>
        </w:rPr>
      </w:pPr>
    </w:p>
    <w:p w14:paraId="66AA6050"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Imatinib je bio teratogen kod pacova koji su ga primili tokom organogeneze u dozama ≥ 100 mg/kg,  koje su približno jednake maksimalnoj kliničkoj dozi od 800 mg/dan, prema tjelesnoj površini. Teratogeni efekti uključivali su eksencefaliju ili encefalokele, odsutnu/smanjenu čeonu i odsutnu parijetalnu kost. Ovi efekti nijesu uočeni pri dozama ≤ 30 mg/kg.</w:t>
      </w:r>
    </w:p>
    <w:p w14:paraId="313DBBFF" w14:textId="77777777" w:rsidR="005D1EF5" w:rsidRPr="00056CC9" w:rsidRDefault="005D1EF5" w:rsidP="00056CC9">
      <w:pPr>
        <w:tabs>
          <w:tab w:val="left" w:pos="540"/>
          <w:tab w:val="left" w:pos="569"/>
        </w:tabs>
        <w:jc w:val="both"/>
        <w:rPr>
          <w:bCs/>
          <w:sz w:val="22"/>
          <w:szCs w:val="22"/>
          <w:lang w:val="sr-Latn-ME"/>
        </w:rPr>
      </w:pPr>
    </w:p>
    <w:p w14:paraId="286204CC"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 xml:space="preserve">Juvenilna razvojna toksikološka studija na pacovima (dan 10 do 70 nakon okota) nije identifikovala nove ciljne organe u odnosu na već poznate ciljne organe kod odraslih pacova. U juvenilnoj toksikološkoj studiji, dejstvo na rast, odlaganje otvaranja vagine i odvajanje prepucijuma zapaženi su pri izloženosti koja iznosi približno 0,3 do 2 puta prosječne izloženosti kod djece pri primjeni najviše preporučene doze od 340 mg/m2. Osim toga, mortalitet mladih životinja (otprilike u fazi odbijanja od dojenja) zapažen je pri izloženosti koja je iznosila približno 2 puta više od prosječne pedijatrijske izloženosti pri primjeni najviše preporučene doze od 340 mg/m2. </w:t>
      </w:r>
    </w:p>
    <w:p w14:paraId="535ED3CF" w14:textId="77777777" w:rsidR="005D1EF5" w:rsidRPr="00056CC9" w:rsidRDefault="005D1EF5" w:rsidP="00056CC9">
      <w:pPr>
        <w:tabs>
          <w:tab w:val="left" w:pos="540"/>
          <w:tab w:val="left" w:pos="569"/>
        </w:tabs>
        <w:jc w:val="both"/>
        <w:rPr>
          <w:bCs/>
          <w:sz w:val="22"/>
          <w:szCs w:val="22"/>
          <w:lang w:val="sr-Latn-ME"/>
        </w:rPr>
      </w:pPr>
    </w:p>
    <w:p w14:paraId="77F093E6"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Dvogodišnja studija karcinogenosti kod pacova na imatinibu pri 15, 30 i 60 mg/kg/dan rezultovala je statistički značajnom redukcijom životnog vijeka mužjaka pri 60 mg/kg/dan i ženki pri ≥ 30 mg/kg/dan. Histopatološki pregled uginulih otkrio je kardiomiopatiju (kod oba pola), hroničnu progresivnu nefropatiju (ženke) i papilom prepucijske žlijezde kao glavne uzroke smrti ili razlog za žrtvovanje. Ciljni organi za neoplazijske promjene bili su bubrezi, mokraćna bešika, uretra, prepucijska i klitorisna žlijezda, tanko crijevo, paratireoidne žlijezde, nadbubrežne žlijezde i nežljezdani dio želuca.</w:t>
      </w:r>
    </w:p>
    <w:p w14:paraId="6366C761" w14:textId="77777777" w:rsidR="005D1EF5" w:rsidRPr="00056CC9" w:rsidRDefault="005D1EF5" w:rsidP="00056CC9">
      <w:pPr>
        <w:tabs>
          <w:tab w:val="left" w:pos="540"/>
          <w:tab w:val="left" w:pos="569"/>
        </w:tabs>
        <w:jc w:val="both"/>
        <w:rPr>
          <w:bCs/>
          <w:sz w:val="22"/>
          <w:szCs w:val="22"/>
          <w:lang w:val="sr-Latn-ME"/>
        </w:rPr>
      </w:pPr>
    </w:p>
    <w:p w14:paraId="78FBB292"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lastRenderedPageBreak/>
        <w:t>Papilom/karcinom prepucijalne/klitorisne žlijezde zapažan je od 30 mg/kg/dan naviše, predstavljajući približno 0,5 ili 0,3 puta humanu dnevnu ekspoziciju (zasnovanu na PIK-u) pri 400 mg/dan, odnosno 800 mg/dan, i 0,4 puta dnevne ekspozicije kod djece (zasnovano na PIK-u) pri 340 mg/m2/dan. Vrijednost NOEL iznosila je 15 mg/kg/dan. Bubrežni adenom/karcinom, papilom mokraćne bešike i uretre, adenokarcinomi tankog crijeva, adenomi paratireoidnih žlijezda, benigni i maligni medularni tumori nadbubrežnih žlijezda i neglandularni želudačni papilomi/karcinomi zapaženi su pri 60 mg/kg/dan, što je približno 1,7 ili 1 put humane dnevne ekspozicije (zasnovano na PIK-u) pri 400 mg/dan, odnosno 800 mg/dan, i 1,2 puta dnevne ekspozicije kod djece (zasnovano na PIK-u) pri 340 mg/m2/dan. Vrijednost NOEL iznosila je 30 mg/kg/dan.</w:t>
      </w:r>
    </w:p>
    <w:p w14:paraId="6AFE7F2D" w14:textId="77777777" w:rsidR="005D1EF5" w:rsidRPr="00056CC9" w:rsidRDefault="005D1EF5" w:rsidP="00056CC9">
      <w:pPr>
        <w:tabs>
          <w:tab w:val="left" w:pos="540"/>
          <w:tab w:val="left" w:pos="569"/>
        </w:tabs>
        <w:jc w:val="both"/>
        <w:rPr>
          <w:bCs/>
          <w:sz w:val="22"/>
          <w:szCs w:val="22"/>
          <w:lang w:val="sr-Latn-ME"/>
        </w:rPr>
      </w:pPr>
    </w:p>
    <w:p w14:paraId="4061D02B"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Za ljude, mehanizam i relevantnost ovih nalaza studija karcinogenosti na pacovima nisu još jasni.</w:t>
      </w:r>
    </w:p>
    <w:p w14:paraId="037BCDFA" w14:textId="77777777" w:rsidR="005D1EF5" w:rsidRPr="00056CC9" w:rsidRDefault="005D1EF5" w:rsidP="00056CC9">
      <w:pPr>
        <w:tabs>
          <w:tab w:val="left" w:pos="540"/>
          <w:tab w:val="left" w:pos="569"/>
        </w:tabs>
        <w:jc w:val="both"/>
        <w:rPr>
          <w:bCs/>
          <w:sz w:val="22"/>
          <w:szCs w:val="22"/>
          <w:lang w:val="sr-Latn-ME"/>
        </w:rPr>
      </w:pPr>
    </w:p>
    <w:p w14:paraId="3F99A6D1"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Neneoplazijske lezije koje nisu identifikovane u ranijim pretkliničkim studijama bile su na kardiovaskularnom sistemu, pankreasu, endokrinim organima i zubima. Najznačajnije promjene uključivale su srčanu hipertrofiju i dilataciju, što  je dovelo do znakova srčane insuficijencije kod nekih životinja.</w:t>
      </w:r>
    </w:p>
    <w:p w14:paraId="04A18635" w14:textId="77777777" w:rsidR="005D1EF5" w:rsidRPr="00056CC9" w:rsidRDefault="005D1EF5" w:rsidP="00056CC9">
      <w:pPr>
        <w:tabs>
          <w:tab w:val="left" w:pos="540"/>
          <w:tab w:val="left" w:pos="569"/>
        </w:tabs>
        <w:jc w:val="both"/>
        <w:rPr>
          <w:bCs/>
          <w:sz w:val="22"/>
          <w:szCs w:val="22"/>
          <w:lang w:val="sr-Latn-ME"/>
        </w:rPr>
      </w:pPr>
    </w:p>
    <w:p w14:paraId="43A65068" w14:textId="77777777" w:rsidR="005D1EF5" w:rsidRPr="00056CC9" w:rsidRDefault="005D1EF5" w:rsidP="00056CC9">
      <w:pPr>
        <w:tabs>
          <w:tab w:val="left" w:pos="540"/>
          <w:tab w:val="left" w:pos="569"/>
        </w:tabs>
        <w:jc w:val="both"/>
        <w:rPr>
          <w:bCs/>
          <w:sz w:val="22"/>
          <w:szCs w:val="22"/>
          <w:lang w:val="sr-Latn-ME"/>
        </w:rPr>
      </w:pPr>
      <w:r w:rsidRPr="00056CC9">
        <w:rPr>
          <w:bCs/>
          <w:sz w:val="22"/>
          <w:szCs w:val="22"/>
          <w:lang w:val="sr-Latn-ME"/>
        </w:rPr>
        <w:t>Aktivna supstanca imatinib predstavlja rizik za okolinu za organizme koji žive u sedimentnom tlu.</w:t>
      </w:r>
    </w:p>
    <w:p w14:paraId="5E67859D" w14:textId="77777777" w:rsidR="005D1EF5" w:rsidRPr="00056CC9" w:rsidRDefault="005D1EF5" w:rsidP="00056CC9">
      <w:pPr>
        <w:tabs>
          <w:tab w:val="left" w:pos="540"/>
          <w:tab w:val="left" w:pos="569"/>
        </w:tabs>
        <w:rPr>
          <w:b/>
          <w:bCs/>
          <w:sz w:val="22"/>
          <w:szCs w:val="22"/>
          <w:lang w:val="sr-Latn-ME"/>
        </w:rPr>
      </w:pPr>
    </w:p>
    <w:p w14:paraId="6790B75E" w14:textId="77777777" w:rsidR="007074BE" w:rsidRDefault="007074BE" w:rsidP="00056CC9">
      <w:pPr>
        <w:tabs>
          <w:tab w:val="left" w:pos="540"/>
          <w:tab w:val="left" w:pos="569"/>
        </w:tabs>
        <w:rPr>
          <w:b/>
          <w:bCs/>
          <w:sz w:val="22"/>
          <w:szCs w:val="22"/>
          <w:lang w:val="sr-Latn-ME"/>
        </w:rPr>
      </w:pPr>
    </w:p>
    <w:p w14:paraId="447DBE16" w14:textId="388BD5AA" w:rsidR="005D1EF5" w:rsidRPr="00056CC9" w:rsidRDefault="005D1EF5" w:rsidP="00056CC9">
      <w:pPr>
        <w:tabs>
          <w:tab w:val="left" w:pos="540"/>
          <w:tab w:val="left" w:pos="569"/>
        </w:tabs>
        <w:rPr>
          <w:b/>
          <w:bCs/>
          <w:sz w:val="22"/>
          <w:szCs w:val="22"/>
          <w:lang w:val="sr-Latn-ME"/>
        </w:rPr>
      </w:pPr>
      <w:r w:rsidRPr="00056CC9">
        <w:rPr>
          <w:b/>
          <w:bCs/>
          <w:sz w:val="22"/>
          <w:szCs w:val="22"/>
          <w:lang w:val="sr-Latn-ME"/>
        </w:rPr>
        <w:t>6. FARMACEUTSKI PODACI</w:t>
      </w:r>
    </w:p>
    <w:p w14:paraId="26F23AF8" w14:textId="77777777" w:rsidR="005D1EF5" w:rsidRPr="00056CC9" w:rsidRDefault="005D1EF5" w:rsidP="00056CC9">
      <w:pPr>
        <w:tabs>
          <w:tab w:val="left" w:pos="540"/>
          <w:tab w:val="left" w:pos="569"/>
        </w:tabs>
        <w:rPr>
          <w:bCs/>
          <w:sz w:val="22"/>
          <w:szCs w:val="22"/>
          <w:lang w:val="sr-Latn-ME"/>
        </w:rPr>
      </w:pPr>
    </w:p>
    <w:p w14:paraId="35CD01EE" w14:textId="77777777" w:rsidR="005D1EF5" w:rsidRPr="00056CC9" w:rsidRDefault="005D1EF5" w:rsidP="00056CC9">
      <w:pPr>
        <w:tabs>
          <w:tab w:val="left" w:pos="540"/>
          <w:tab w:val="left" w:pos="569"/>
        </w:tabs>
        <w:rPr>
          <w:b/>
          <w:bCs/>
          <w:sz w:val="22"/>
          <w:szCs w:val="22"/>
          <w:lang w:val="sr-Latn-ME"/>
        </w:rPr>
      </w:pPr>
      <w:r w:rsidRPr="00056CC9">
        <w:rPr>
          <w:b/>
          <w:bCs/>
          <w:sz w:val="22"/>
          <w:szCs w:val="22"/>
          <w:lang w:val="sr-Latn-ME"/>
        </w:rPr>
        <w:t>6.1. Lista pomoćnih supstanci (ekscipijenasa)</w:t>
      </w:r>
    </w:p>
    <w:p w14:paraId="14CFC607" w14:textId="77777777" w:rsidR="005D1EF5" w:rsidRPr="00056CC9" w:rsidRDefault="005D1EF5" w:rsidP="00056CC9">
      <w:pPr>
        <w:tabs>
          <w:tab w:val="left" w:pos="540"/>
          <w:tab w:val="left" w:pos="569"/>
        </w:tabs>
        <w:rPr>
          <w:b/>
          <w:bCs/>
          <w:sz w:val="22"/>
          <w:szCs w:val="22"/>
          <w:lang w:val="sr-Latn-ME"/>
        </w:rPr>
      </w:pPr>
    </w:p>
    <w:p w14:paraId="01ECC7B9" w14:textId="77777777" w:rsidR="005D1EF5" w:rsidRPr="00056CC9" w:rsidRDefault="005D1EF5" w:rsidP="00056CC9">
      <w:pPr>
        <w:shd w:val="clear" w:color="auto" w:fill="FFFFFF" w:themeFill="background1"/>
        <w:ind w:right="360"/>
        <w:jc w:val="both"/>
        <w:rPr>
          <w:noProof/>
          <w:color w:val="000000"/>
          <w:sz w:val="22"/>
          <w:szCs w:val="22"/>
          <w:u w:val="single"/>
          <w:lang w:val="sr-Latn-ME"/>
        </w:rPr>
      </w:pPr>
      <w:r w:rsidRPr="00056CC9">
        <w:rPr>
          <w:noProof/>
          <w:color w:val="000000"/>
          <w:sz w:val="22"/>
          <w:szCs w:val="22"/>
          <w:u w:val="single"/>
          <w:lang w:val="sr-Latn-ME"/>
        </w:rPr>
        <w:t>Jezgro tablete:</w:t>
      </w:r>
    </w:p>
    <w:p w14:paraId="73B6BB20" w14:textId="77777777" w:rsidR="005D1EF5" w:rsidRPr="00056CC9" w:rsidRDefault="005D1EF5" w:rsidP="00056CC9">
      <w:pPr>
        <w:shd w:val="clear" w:color="auto" w:fill="FFFFFF" w:themeFill="background1"/>
        <w:ind w:left="720" w:right="357" w:hanging="720"/>
        <w:jc w:val="both"/>
        <w:rPr>
          <w:noProof/>
          <w:color w:val="000000"/>
          <w:sz w:val="22"/>
          <w:szCs w:val="22"/>
          <w:lang w:val="sr-Latn-ME"/>
        </w:rPr>
      </w:pPr>
      <w:r w:rsidRPr="00056CC9">
        <w:rPr>
          <w:noProof/>
          <w:color w:val="000000"/>
          <w:sz w:val="22"/>
          <w:szCs w:val="22"/>
          <w:lang w:val="sr-Latn-ME"/>
        </w:rPr>
        <w:t>Celuloza, mikrokristalna</w:t>
      </w:r>
    </w:p>
    <w:p w14:paraId="4435C04D" w14:textId="77777777" w:rsidR="005D1EF5" w:rsidRPr="00056CC9" w:rsidRDefault="005D1EF5" w:rsidP="00056CC9">
      <w:pPr>
        <w:shd w:val="clear" w:color="auto" w:fill="FFFFFF" w:themeFill="background1"/>
        <w:ind w:left="720" w:right="357" w:hanging="720"/>
        <w:jc w:val="both"/>
        <w:rPr>
          <w:noProof/>
          <w:color w:val="000000"/>
          <w:sz w:val="22"/>
          <w:szCs w:val="22"/>
          <w:lang w:val="sr-Latn-ME"/>
        </w:rPr>
      </w:pPr>
      <w:r w:rsidRPr="00056CC9">
        <w:rPr>
          <w:noProof/>
          <w:color w:val="000000"/>
          <w:sz w:val="22"/>
          <w:szCs w:val="22"/>
          <w:lang w:val="sr-Latn-ME"/>
        </w:rPr>
        <w:t>Hidroksipropil celuloza, niskosupstituisana</w:t>
      </w:r>
    </w:p>
    <w:p w14:paraId="5D1F1653" w14:textId="77777777" w:rsidR="005D1EF5" w:rsidRPr="00056CC9" w:rsidRDefault="005D1EF5" w:rsidP="00056CC9">
      <w:pPr>
        <w:shd w:val="clear" w:color="auto" w:fill="FFFFFF" w:themeFill="background1"/>
        <w:ind w:left="720" w:right="357" w:hanging="720"/>
        <w:jc w:val="both"/>
        <w:rPr>
          <w:noProof/>
          <w:color w:val="000000"/>
          <w:sz w:val="22"/>
          <w:szCs w:val="22"/>
          <w:lang w:val="sr-Latn-ME"/>
        </w:rPr>
      </w:pPr>
      <w:r w:rsidRPr="00056CC9">
        <w:rPr>
          <w:noProof/>
          <w:color w:val="000000"/>
          <w:sz w:val="22"/>
          <w:szCs w:val="22"/>
          <w:lang w:val="sr-Latn-ME"/>
        </w:rPr>
        <w:t>Povidon</w:t>
      </w:r>
    </w:p>
    <w:p w14:paraId="0CA84B84" w14:textId="77777777" w:rsidR="005D1EF5" w:rsidRPr="00056CC9" w:rsidRDefault="005D1EF5" w:rsidP="00056CC9">
      <w:pPr>
        <w:shd w:val="clear" w:color="auto" w:fill="FFFFFF" w:themeFill="background1"/>
        <w:ind w:left="720" w:right="357" w:hanging="720"/>
        <w:jc w:val="both"/>
        <w:rPr>
          <w:noProof/>
          <w:color w:val="000000"/>
          <w:sz w:val="22"/>
          <w:szCs w:val="22"/>
          <w:lang w:val="sr-Latn-ME"/>
        </w:rPr>
      </w:pPr>
      <w:r w:rsidRPr="00056CC9">
        <w:rPr>
          <w:noProof/>
          <w:color w:val="000000"/>
          <w:sz w:val="22"/>
          <w:szCs w:val="22"/>
          <w:lang w:val="sr-Latn-ME"/>
        </w:rPr>
        <w:t>Krospovidon (Tip A)</w:t>
      </w:r>
    </w:p>
    <w:p w14:paraId="2F65C6DE" w14:textId="77777777" w:rsidR="005D1EF5" w:rsidRPr="00056CC9" w:rsidRDefault="005D1EF5" w:rsidP="00056CC9">
      <w:pPr>
        <w:shd w:val="clear" w:color="auto" w:fill="FFFFFF" w:themeFill="background1"/>
        <w:ind w:left="720" w:right="357" w:hanging="720"/>
        <w:jc w:val="both"/>
        <w:rPr>
          <w:noProof/>
          <w:color w:val="000000"/>
          <w:sz w:val="22"/>
          <w:szCs w:val="22"/>
          <w:lang w:val="sr-Latn-ME"/>
        </w:rPr>
      </w:pPr>
      <w:r w:rsidRPr="00056CC9">
        <w:rPr>
          <w:noProof/>
          <w:color w:val="000000"/>
          <w:sz w:val="22"/>
          <w:szCs w:val="22"/>
          <w:lang w:val="sr-Latn-ME"/>
        </w:rPr>
        <w:t>Silicijum dioksid, koloidni, bezvodni</w:t>
      </w:r>
    </w:p>
    <w:p w14:paraId="6E8B0A2A" w14:textId="77777777" w:rsidR="005D1EF5" w:rsidRPr="00056CC9" w:rsidRDefault="005D1EF5" w:rsidP="00056CC9">
      <w:pPr>
        <w:shd w:val="clear" w:color="auto" w:fill="FFFFFF" w:themeFill="background1"/>
        <w:ind w:left="720" w:right="357" w:hanging="720"/>
        <w:jc w:val="both"/>
        <w:rPr>
          <w:noProof/>
          <w:color w:val="000000"/>
          <w:sz w:val="22"/>
          <w:szCs w:val="22"/>
          <w:lang w:val="sr-Latn-ME"/>
        </w:rPr>
      </w:pPr>
      <w:r w:rsidRPr="00056CC9">
        <w:rPr>
          <w:noProof/>
          <w:color w:val="000000"/>
          <w:sz w:val="22"/>
          <w:szCs w:val="22"/>
          <w:lang w:val="sr-Latn-ME"/>
        </w:rPr>
        <w:t>Magnezijum stearat</w:t>
      </w:r>
    </w:p>
    <w:p w14:paraId="6711CD17" w14:textId="77777777" w:rsidR="005D1EF5" w:rsidRPr="00056CC9" w:rsidRDefault="005D1EF5" w:rsidP="00056CC9">
      <w:pPr>
        <w:shd w:val="clear" w:color="auto" w:fill="FFFFFF" w:themeFill="background1"/>
        <w:ind w:left="720" w:right="357" w:hanging="720"/>
        <w:jc w:val="both"/>
        <w:rPr>
          <w:noProof/>
          <w:color w:val="000000"/>
          <w:sz w:val="22"/>
          <w:szCs w:val="22"/>
          <w:lang w:val="sr-Latn-ME"/>
        </w:rPr>
      </w:pPr>
    </w:p>
    <w:p w14:paraId="30F5D17C" w14:textId="77777777" w:rsidR="005D1EF5" w:rsidRPr="00056CC9" w:rsidRDefault="005D1EF5" w:rsidP="00056CC9">
      <w:pPr>
        <w:shd w:val="clear" w:color="auto" w:fill="FFFFFF" w:themeFill="background1"/>
        <w:ind w:left="720" w:right="360" w:hanging="720"/>
        <w:jc w:val="both"/>
        <w:rPr>
          <w:noProof/>
          <w:color w:val="000000"/>
          <w:sz w:val="22"/>
          <w:szCs w:val="22"/>
          <w:u w:val="single"/>
          <w:lang w:val="sr-Latn-ME"/>
        </w:rPr>
      </w:pPr>
      <w:r w:rsidRPr="00056CC9">
        <w:rPr>
          <w:noProof/>
          <w:color w:val="000000"/>
          <w:sz w:val="22"/>
          <w:szCs w:val="22"/>
          <w:u w:val="single"/>
          <w:lang w:val="sr-Latn-ME"/>
        </w:rPr>
        <w:t>Film obloga tablete:</w:t>
      </w:r>
    </w:p>
    <w:p w14:paraId="61724BA0" w14:textId="77777777" w:rsidR="005D1EF5" w:rsidRPr="00056CC9" w:rsidRDefault="005D1EF5" w:rsidP="00056CC9">
      <w:pPr>
        <w:shd w:val="clear" w:color="auto" w:fill="FFFFFF" w:themeFill="background1"/>
        <w:ind w:left="720" w:right="360" w:hanging="720"/>
        <w:jc w:val="both"/>
        <w:rPr>
          <w:noProof/>
          <w:color w:val="000000"/>
          <w:sz w:val="22"/>
          <w:szCs w:val="22"/>
          <w:lang w:val="sr-Latn-ME"/>
        </w:rPr>
      </w:pPr>
      <w:r w:rsidRPr="00056CC9">
        <w:rPr>
          <w:noProof/>
          <w:color w:val="000000"/>
          <w:sz w:val="22"/>
          <w:szCs w:val="22"/>
          <w:lang w:val="sr-Latn-ME"/>
        </w:rPr>
        <w:t>Hipromeloza</w:t>
      </w:r>
    </w:p>
    <w:p w14:paraId="78CC2132" w14:textId="77777777" w:rsidR="005D1EF5" w:rsidRPr="00056CC9" w:rsidRDefault="005D1EF5" w:rsidP="00056CC9">
      <w:pPr>
        <w:shd w:val="clear" w:color="auto" w:fill="FFFFFF" w:themeFill="background1"/>
        <w:ind w:left="720" w:right="360" w:hanging="720"/>
        <w:jc w:val="both"/>
        <w:rPr>
          <w:color w:val="000000"/>
          <w:sz w:val="22"/>
          <w:szCs w:val="22"/>
          <w:lang w:val="sr-Latn-ME"/>
        </w:rPr>
      </w:pPr>
      <w:r w:rsidRPr="00056CC9">
        <w:rPr>
          <w:color w:val="000000"/>
          <w:sz w:val="22"/>
          <w:szCs w:val="22"/>
          <w:lang w:val="sr-Latn-ME"/>
        </w:rPr>
        <w:t>Polietilen glikol 400</w:t>
      </w:r>
    </w:p>
    <w:p w14:paraId="4A2286D5" w14:textId="77777777" w:rsidR="005D1EF5" w:rsidRPr="00056CC9" w:rsidRDefault="005D1EF5" w:rsidP="00056CC9">
      <w:pPr>
        <w:shd w:val="clear" w:color="auto" w:fill="FFFFFF" w:themeFill="background1"/>
        <w:ind w:left="720" w:right="360" w:hanging="720"/>
        <w:jc w:val="both"/>
        <w:rPr>
          <w:color w:val="000000"/>
          <w:sz w:val="22"/>
          <w:szCs w:val="22"/>
          <w:lang w:val="sr-Latn-ME"/>
        </w:rPr>
      </w:pPr>
      <w:r w:rsidRPr="00056CC9">
        <w:rPr>
          <w:color w:val="000000"/>
          <w:sz w:val="22"/>
          <w:szCs w:val="22"/>
          <w:lang w:val="sr-Latn-ME"/>
        </w:rPr>
        <w:t>Talk</w:t>
      </w:r>
    </w:p>
    <w:p w14:paraId="299B6309" w14:textId="77777777" w:rsidR="005D1EF5" w:rsidRPr="00056CC9" w:rsidRDefault="005D1EF5" w:rsidP="00056CC9">
      <w:pPr>
        <w:shd w:val="clear" w:color="auto" w:fill="FFFFFF" w:themeFill="background1"/>
        <w:ind w:left="720" w:right="360" w:hanging="720"/>
        <w:jc w:val="both"/>
        <w:rPr>
          <w:color w:val="000000"/>
          <w:sz w:val="22"/>
          <w:szCs w:val="22"/>
          <w:lang w:val="sr-Latn-ME"/>
        </w:rPr>
      </w:pPr>
      <w:r w:rsidRPr="00056CC9">
        <w:rPr>
          <w:color w:val="000000"/>
          <w:sz w:val="22"/>
          <w:szCs w:val="22"/>
          <w:lang w:val="sr-Latn-ME"/>
        </w:rPr>
        <w:t>Gvožđe (III) oksid, crveni (E172)</w:t>
      </w:r>
    </w:p>
    <w:p w14:paraId="493318F3" w14:textId="77777777" w:rsidR="005D1EF5" w:rsidRPr="00056CC9" w:rsidRDefault="005D1EF5" w:rsidP="00056CC9">
      <w:pPr>
        <w:shd w:val="clear" w:color="auto" w:fill="FFFFFF" w:themeFill="background1"/>
        <w:ind w:left="720" w:right="360" w:hanging="720"/>
        <w:jc w:val="both"/>
        <w:rPr>
          <w:color w:val="000000"/>
          <w:sz w:val="22"/>
          <w:szCs w:val="22"/>
          <w:lang w:val="sr-Latn-ME"/>
        </w:rPr>
      </w:pPr>
      <w:r w:rsidRPr="00056CC9">
        <w:rPr>
          <w:color w:val="000000"/>
          <w:sz w:val="22"/>
          <w:szCs w:val="22"/>
          <w:lang w:val="sr-Latn-ME"/>
        </w:rPr>
        <w:t>Gvožđe (III) oksid, žuti (E172)</w:t>
      </w:r>
    </w:p>
    <w:p w14:paraId="48510376" w14:textId="77777777" w:rsidR="005D1EF5" w:rsidRPr="00056CC9" w:rsidRDefault="005D1EF5" w:rsidP="00056CC9">
      <w:pPr>
        <w:tabs>
          <w:tab w:val="left" w:pos="540"/>
          <w:tab w:val="left" w:pos="569"/>
        </w:tabs>
        <w:rPr>
          <w:bCs/>
          <w:sz w:val="22"/>
          <w:szCs w:val="22"/>
          <w:lang w:val="sr-Latn-ME"/>
        </w:rPr>
      </w:pPr>
    </w:p>
    <w:p w14:paraId="66FE8FE5" w14:textId="77777777" w:rsidR="005D1EF5" w:rsidRPr="00056CC9" w:rsidRDefault="005D1EF5" w:rsidP="00056CC9">
      <w:pPr>
        <w:tabs>
          <w:tab w:val="left" w:pos="540"/>
          <w:tab w:val="left" w:pos="569"/>
        </w:tabs>
        <w:rPr>
          <w:b/>
          <w:bCs/>
          <w:sz w:val="22"/>
          <w:szCs w:val="22"/>
          <w:lang w:val="sr-Latn-ME"/>
        </w:rPr>
      </w:pPr>
      <w:r w:rsidRPr="00056CC9">
        <w:rPr>
          <w:b/>
          <w:bCs/>
          <w:sz w:val="22"/>
          <w:szCs w:val="22"/>
          <w:lang w:val="sr-Latn-ME"/>
        </w:rPr>
        <w:t>6.2. Inkompatibilnosti</w:t>
      </w:r>
    </w:p>
    <w:p w14:paraId="4EE32FB7" w14:textId="77777777" w:rsidR="005D1EF5" w:rsidRPr="00056CC9" w:rsidRDefault="005D1EF5" w:rsidP="00056CC9">
      <w:pPr>
        <w:tabs>
          <w:tab w:val="left" w:pos="540"/>
          <w:tab w:val="left" w:pos="569"/>
        </w:tabs>
        <w:rPr>
          <w:bCs/>
          <w:sz w:val="22"/>
          <w:szCs w:val="22"/>
          <w:lang w:val="sr-Latn-ME"/>
        </w:rPr>
      </w:pPr>
    </w:p>
    <w:p w14:paraId="7CAA4C0E" w14:textId="77777777" w:rsidR="005D1EF5" w:rsidRPr="00056CC9" w:rsidRDefault="005D1EF5" w:rsidP="00056CC9">
      <w:pPr>
        <w:tabs>
          <w:tab w:val="left" w:pos="540"/>
          <w:tab w:val="left" w:pos="569"/>
        </w:tabs>
        <w:rPr>
          <w:sz w:val="22"/>
          <w:szCs w:val="22"/>
          <w:lang w:val="sr-Latn-ME"/>
        </w:rPr>
      </w:pPr>
      <w:r w:rsidRPr="00056CC9">
        <w:rPr>
          <w:sz w:val="22"/>
          <w:szCs w:val="22"/>
          <w:lang w:val="sr-Latn-ME"/>
        </w:rPr>
        <w:t>Nije primjenljivo.</w:t>
      </w:r>
    </w:p>
    <w:p w14:paraId="2C34A75A" w14:textId="77777777" w:rsidR="005D1EF5" w:rsidRPr="00056CC9" w:rsidRDefault="005D1EF5" w:rsidP="00056CC9">
      <w:pPr>
        <w:tabs>
          <w:tab w:val="left" w:pos="540"/>
          <w:tab w:val="left" w:pos="569"/>
        </w:tabs>
        <w:rPr>
          <w:bCs/>
          <w:sz w:val="22"/>
          <w:szCs w:val="22"/>
          <w:lang w:val="sr-Latn-ME"/>
        </w:rPr>
      </w:pPr>
    </w:p>
    <w:p w14:paraId="7B0501AE" w14:textId="77777777" w:rsidR="005D1EF5" w:rsidRPr="00056CC9" w:rsidRDefault="005D1EF5" w:rsidP="00056CC9">
      <w:pPr>
        <w:tabs>
          <w:tab w:val="left" w:pos="540"/>
          <w:tab w:val="left" w:pos="569"/>
        </w:tabs>
        <w:rPr>
          <w:b/>
          <w:bCs/>
          <w:sz w:val="22"/>
          <w:szCs w:val="22"/>
          <w:lang w:val="sr-Latn-ME"/>
        </w:rPr>
      </w:pPr>
      <w:r w:rsidRPr="00056CC9">
        <w:rPr>
          <w:b/>
          <w:bCs/>
          <w:sz w:val="22"/>
          <w:szCs w:val="22"/>
          <w:lang w:val="sr-Latn-ME"/>
        </w:rPr>
        <w:t>6.3. Rok upotrebe</w:t>
      </w:r>
    </w:p>
    <w:p w14:paraId="0A1E7630" w14:textId="77777777" w:rsidR="005D1EF5" w:rsidRPr="00056CC9" w:rsidRDefault="005D1EF5" w:rsidP="00056CC9">
      <w:pPr>
        <w:tabs>
          <w:tab w:val="left" w:pos="540"/>
          <w:tab w:val="left" w:pos="569"/>
        </w:tabs>
        <w:rPr>
          <w:b/>
          <w:bCs/>
          <w:sz w:val="22"/>
          <w:szCs w:val="22"/>
          <w:lang w:val="sr-Latn-ME"/>
        </w:rPr>
      </w:pPr>
    </w:p>
    <w:p w14:paraId="4DA8BA39" w14:textId="77777777" w:rsidR="005D1EF5" w:rsidRPr="00056CC9" w:rsidRDefault="005D1EF5" w:rsidP="00056CC9">
      <w:pPr>
        <w:tabs>
          <w:tab w:val="left" w:pos="540"/>
          <w:tab w:val="left" w:pos="569"/>
        </w:tabs>
        <w:rPr>
          <w:sz w:val="22"/>
          <w:szCs w:val="22"/>
          <w:lang w:val="sr-Latn-ME"/>
        </w:rPr>
      </w:pPr>
      <w:r w:rsidRPr="00056CC9">
        <w:rPr>
          <w:sz w:val="22"/>
          <w:szCs w:val="22"/>
          <w:lang w:val="sr-Latn-ME"/>
        </w:rPr>
        <w:t>3 godine.</w:t>
      </w:r>
    </w:p>
    <w:p w14:paraId="5CFCEBAE" w14:textId="77777777" w:rsidR="005D1EF5" w:rsidRPr="00056CC9" w:rsidRDefault="005D1EF5" w:rsidP="00056CC9">
      <w:pPr>
        <w:tabs>
          <w:tab w:val="left" w:pos="540"/>
          <w:tab w:val="left" w:pos="569"/>
        </w:tabs>
        <w:rPr>
          <w:bCs/>
          <w:sz w:val="22"/>
          <w:szCs w:val="22"/>
          <w:lang w:val="sr-Latn-ME"/>
        </w:rPr>
      </w:pPr>
    </w:p>
    <w:p w14:paraId="6DEA5D48" w14:textId="77777777" w:rsidR="005D1EF5" w:rsidRPr="00056CC9" w:rsidRDefault="005D1EF5" w:rsidP="00056CC9">
      <w:pPr>
        <w:tabs>
          <w:tab w:val="left" w:pos="540"/>
          <w:tab w:val="left" w:pos="569"/>
        </w:tabs>
        <w:rPr>
          <w:b/>
          <w:bCs/>
          <w:sz w:val="22"/>
          <w:szCs w:val="22"/>
          <w:lang w:val="sr-Latn-ME"/>
        </w:rPr>
      </w:pPr>
      <w:r w:rsidRPr="00056CC9">
        <w:rPr>
          <w:b/>
          <w:bCs/>
          <w:sz w:val="22"/>
          <w:szCs w:val="22"/>
          <w:lang w:val="sr-Latn-ME"/>
        </w:rPr>
        <w:t>6.4. Posebne mjere upozorenja pri čuvanju lijeka</w:t>
      </w:r>
    </w:p>
    <w:p w14:paraId="530982A6" w14:textId="77777777" w:rsidR="005D1EF5" w:rsidRPr="00056CC9" w:rsidRDefault="005D1EF5" w:rsidP="00056CC9">
      <w:pPr>
        <w:tabs>
          <w:tab w:val="left" w:pos="540"/>
          <w:tab w:val="left" w:pos="569"/>
        </w:tabs>
        <w:rPr>
          <w:b/>
          <w:bCs/>
          <w:sz w:val="22"/>
          <w:szCs w:val="22"/>
          <w:lang w:val="sr-Latn-ME"/>
        </w:rPr>
      </w:pPr>
    </w:p>
    <w:p w14:paraId="2EE5FEEF" w14:textId="77777777" w:rsidR="005D1EF5" w:rsidRPr="00056CC9" w:rsidRDefault="005D1EF5" w:rsidP="00056CC9">
      <w:pPr>
        <w:tabs>
          <w:tab w:val="left" w:pos="540"/>
          <w:tab w:val="left" w:pos="569"/>
        </w:tabs>
        <w:rPr>
          <w:b/>
          <w:bCs/>
          <w:sz w:val="22"/>
          <w:szCs w:val="22"/>
          <w:lang w:val="sr-Latn-ME"/>
        </w:rPr>
      </w:pPr>
      <w:r w:rsidRPr="00056CC9">
        <w:rPr>
          <w:sz w:val="22"/>
          <w:szCs w:val="22"/>
          <w:lang w:val="sr-Latn-ME"/>
        </w:rPr>
        <w:t>Lijek ne zahtijeva posebne uslove čuvanja.</w:t>
      </w:r>
    </w:p>
    <w:p w14:paraId="4871EE7D" w14:textId="77777777" w:rsidR="005D1EF5" w:rsidRPr="00056CC9" w:rsidRDefault="005D1EF5" w:rsidP="00056CC9">
      <w:pPr>
        <w:tabs>
          <w:tab w:val="left" w:pos="540"/>
          <w:tab w:val="left" w:pos="569"/>
        </w:tabs>
        <w:rPr>
          <w:bCs/>
          <w:sz w:val="22"/>
          <w:szCs w:val="22"/>
          <w:lang w:val="sr-Latn-ME"/>
        </w:rPr>
      </w:pPr>
    </w:p>
    <w:p w14:paraId="55D71F2E" w14:textId="7777777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 xml:space="preserve">6.5. Vrsta i sadržaj pakovanja </w:t>
      </w:r>
    </w:p>
    <w:p w14:paraId="38D40586" w14:textId="77777777" w:rsidR="005D1EF5" w:rsidRPr="00056CC9" w:rsidRDefault="005D1EF5" w:rsidP="00056CC9">
      <w:pPr>
        <w:tabs>
          <w:tab w:val="left" w:pos="540"/>
          <w:tab w:val="left" w:pos="569"/>
        </w:tabs>
        <w:rPr>
          <w:b/>
          <w:bCs/>
          <w:sz w:val="22"/>
          <w:szCs w:val="22"/>
          <w:lang w:val="sr-Latn-ME"/>
        </w:rPr>
      </w:pPr>
    </w:p>
    <w:p w14:paraId="38E4A90A" w14:textId="77777777" w:rsidR="005D1EF5" w:rsidRPr="00056CC9" w:rsidRDefault="005D1EF5" w:rsidP="00056CC9">
      <w:pPr>
        <w:tabs>
          <w:tab w:val="left" w:pos="540"/>
          <w:tab w:val="left" w:pos="569"/>
        </w:tabs>
        <w:rPr>
          <w:sz w:val="22"/>
          <w:szCs w:val="22"/>
          <w:lang w:val="sr-Latn-ME"/>
        </w:rPr>
      </w:pPr>
      <w:r w:rsidRPr="00056CC9">
        <w:rPr>
          <w:sz w:val="22"/>
          <w:szCs w:val="22"/>
          <w:lang w:val="sr-Latn-ME"/>
        </w:rPr>
        <w:t xml:space="preserve">PVC/PE/PVDC/Alu blister </w:t>
      </w:r>
    </w:p>
    <w:p w14:paraId="3735C9C9" w14:textId="77777777" w:rsidR="005D1EF5" w:rsidRPr="00056CC9" w:rsidRDefault="005D1EF5" w:rsidP="00056CC9">
      <w:pPr>
        <w:tabs>
          <w:tab w:val="left" w:pos="540"/>
          <w:tab w:val="left" w:pos="569"/>
        </w:tabs>
        <w:rPr>
          <w:sz w:val="22"/>
          <w:szCs w:val="22"/>
          <w:lang w:val="sr-Latn-ME"/>
        </w:rPr>
      </w:pPr>
    </w:p>
    <w:p w14:paraId="258B061A" w14:textId="77777777" w:rsidR="005D1EF5" w:rsidRPr="00056CC9" w:rsidRDefault="005D1EF5" w:rsidP="00056CC9">
      <w:pPr>
        <w:tabs>
          <w:tab w:val="left" w:pos="540"/>
          <w:tab w:val="left" w:pos="569"/>
        </w:tabs>
        <w:rPr>
          <w:sz w:val="22"/>
          <w:szCs w:val="22"/>
          <w:lang w:val="sr-Latn-ME"/>
        </w:rPr>
      </w:pPr>
      <w:r w:rsidRPr="00056CC9">
        <w:rPr>
          <w:sz w:val="22"/>
          <w:szCs w:val="22"/>
          <w:lang w:val="sr-Latn-ME"/>
        </w:rPr>
        <w:t>Imarem, 100 mg, film tablete</w:t>
      </w:r>
    </w:p>
    <w:p w14:paraId="6175E45E" w14:textId="77777777" w:rsidR="005D1EF5" w:rsidRPr="00056CC9" w:rsidRDefault="005D1EF5" w:rsidP="00056CC9">
      <w:pPr>
        <w:tabs>
          <w:tab w:val="left" w:pos="540"/>
          <w:tab w:val="left" w:pos="569"/>
        </w:tabs>
        <w:rPr>
          <w:sz w:val="22"/>
          <w:szCs w:val="22"/>
          <w:lang w:val="sr-Latn-ME"/>
        </w:rPr>
      </w:pPr>
      <w:r w:rsidRPr="00056CC9">
        <w:rPr>
          <w:sz w:val="22"/>
          <w:szCs w:val="22"/>
          <w:lang w:val="sr-Latn-ME"/>
        </w:rPr>
        <w:t>Pakovanje: ukupno 60 film tableta, blister, 6 x 10 film tableta</w:t>
      </w:r>
    </w:p>
    <w:p w14:paraId="1F568734" w14:textId="77777777" w:rsidR="005D1EF5" w:rsidRPr="00056CC9" w:rsidRDefault="005D1EF5" w:rsidP="00056CC9">
      <w:pPr>
        <w:tabs>
          <w:tab w:val="left" w:pos="540"/>
          <w:tab w:val="left" w:pos="569"/>
        </w:tabs>
        <w:rPr>
          <w:sz w:val="22"/>
          <w:szCs w:val="22"/>
          <w:lang w:val="sr-Latn-ME"/>
        </w:rPr>
      </w:pPr>
      <w:r w:rsidRPr="00056CC9">
        <w:rPr>
          <w:sz w:val="22"/>
          <w:szCs w:val="22"/>
          <w:lang w:val="sr-Latn-ME"/>
        </w:rPr>
        <w:lastRenderedPageBreak/>
        <w:t>Imarem, 400 mg, film tablete</w:t>
      </w:r>
    </w:p>
    <w:p w14:paraId="558D9DE6" w14:textId="77777777" w:rsidR="005D1EF5" w:rsidRPr="00056CC9" w:rsidRDefault="005D1EF5" w:rsidP="00056CC9">
      <w:pPr>
        <w:tabs>
          <w:tab w:val="left" w:pos="540"/>
          <w:tab w:val="left" w:pos="569"/>
        </w:tabs>
        <w:rPr>
          <w:sz w:val="22"/>
          <w:szCs w:val="22"/>
          <w:lang w:val="sr-Latn-ME"/>
        </w:rPr>
      </w:pPr>
      <w:r w:rsidRPr="00056CC9">
        <w:rPr>
          <w:sz w:val="22"/>
          <w:szCs w:val="22"/>
          <w:lang w:val="sr-Latn-ME"/>
        </w:rPr>
        <w:t>Pakovanje: ukupno 30 film tableta, blister, 3 x 10 film tableta</w:t>
      </w:r>
    </w:p>
    <w:p w14:paraId="34EF6064" w14:textId="77777777" w:rsidR="005D1EF5" w:rsidRPr="00056CC9" w:rsidRDefault="005D1EF5" w:rsidP="00056CC9">
      <w:pPr>
        <w:tabs>
          <w:tab w:val="left" w:pos="540"/>
          <w:tab w:val="left" w:pos="569"/>
        </w:tabs>
        <w:rPr>
          <w:bCs/>
          <w:sz w:val="22"/>
          <w:szCs w:val="22"/>
          <w:lang w:val="sr-Latn-ME"/>
        </w:rPr>
      </w:pPr>
    </w:p>
    <w:p w14:paraId="5E519C04" w14:textId="7777777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 xml:space="preserve">6.6. </w:t>
      </w:r>
      <w:r w:rsidRPr="00056CC9">
        <w:rPr>
          <w:b/>
          <w:bCs/>
          <w:color w:val="000000"/>
          <w:sz w:val="22"/>
          <w:szCs w:val="22"/>
          <w:lang w:val="sr-Latn-ME"/>
        </w:rPr>
        <w:t>Posebne mjere opreza pri odlaganju materijala koji treba odbaciti nakon primjene lijeka</w:t>
      </w:r>
      <w:r w:rsidRPr="00056CC9">
        <w:rPr>
          <w:b/>
          <w:bCs/>
          <w:sz w:val="22"/>
          <w:szCs w:val="22"/>
          <w:lang w:val="sr-Latn-ME"/>
        </w:rPr>
        <w:t xml:space="preserve"> </w:t>
      </w:r>
    </w:p>
    <w:p w14:paraId="7BDB2E6D" w14:textId="77777777" w:rsidR="005D1EF5" w:rsidRPr="00056CC9" w:rsidRDefault="005D1EF5" w:rsidP="00056CC9">
      <w:pPr>
        <w:tabs>
          <w:tab w:val="left" w:pos="540"/>
          <w:tab w:val="left" w:pos="569"/>
        </w:tabs>
        <w:jc w:val="both"/>
        <w:rPr>
          <w:b/>
          <w:bCs/>
          <w:sz w:val="22"/>
          <w:szCs w:val="22"/>
          <w:lang w:val="sr-Latn-ME"/>
        </w:rPr>
      </w:pPr>
      <w:r w:rsidRPr="00056CC9">
        <w:rPr>
          <w:b/>
          <w:bCs/>
          <w:sz w:val="22"/>
          <w:szCs w:val="22"/>
          <w:lang w:val="sr-Latn-ME"/>
        </w:rPr>
        <w:t xml:space="preserve">(i druga uputstva za rukovanje lijekom) </w:t>
      </w:r>
    </w:p>
    <w:p w14:paraId="2290F7CC" w14:textId="77777777" w:rsidR="005D1EF5" w:rsidRPr="00056CC9" w:rsidRDefault="005D1EF5" w:rsidP="00056CC9">
      <w:pPr>
        <w:tabs>
          <w:tab w:val="left" w:pos="540"/>
          <w:tab w:val="left" w:pos="569"/>
        </w:tabs>
        <w:jc w:val="both"/>
        <w:rPr>
          <w:b/>
          <w:bCs/>
          <w:sz w:val="22"/>
          <w:szCs w:val="22"/>
          <w:lang w:val="sr-Latn-ME"/>
        </w:rPr>
      </w:pPr>
    </w:p>
    <w:p w14:paraId="2E7F0BAD" w14:textId="77777777" w:rsidR="005D1EF5" w:rsidRPr="00056CC9" w:rsidRDefault="005D1EF5" w:rsidP="00056CC9">
      <w:pPr>
        <w:shd w:val="clear" w:color="auto" w:fill="FFFFFF" w:themeFill="background1"/>
        <w:autoSpaceDE w:val="0"/>
        <w:autoSpaceDN w:val="0"/>
        <w:adjustRightInd w:val="0"/>
        <w:jc w:val="both"/>
        <w:rPr>
          <w:rFonts w:eastAsia="TimesNewRoman"/>
          <w:sz w:val="22"/>
          <w:szCs w:val="22"/>
          <w:lang w:val="sr-Latn-ME"/>
        </w:rPr>
      </w:pPr>
      <w:r w:rsidRPr="00056CC9">
        <w:rPr>
          <w:rFonts w:eastAsia="TimesNewRoman"/>
          <w:sz w:val="22"/>
          <w:szCs w:val="22"/>
          <w:lang w:val="sr-Latn-ME"/>
        </w:rPr>
        <w:t>Svu neiskorišćenu količinu lijeka ili otpadnog materijala nakon njegove upotrebe treba ukloniti, u skladu sa važećim propisima.</w:t>
      </w:r>
    </w:p>
    <w:p w14:paraId="5AEFB906" w14:textId="77777777" w:rsidR="005D1EF5" w:rsidRPr="00056CC9" w:rsidRDefault="005D1EF5" w:rsidP="00056CC9">
      <w:pPr>
        <w:shd w:val="clear" w:color="auto" w:fill="FFFFFF" w:themeFill="background1"/>
        <w:autoSpaceDE w:val="0"/>
        <w:autoSpaceDN w:val="0"/>
        <w:adjustRightInd w:val="0"/>
        <w:rPr>
          <w:rFonts w:eastAsia="TimesNewRoman"/>
          <w:sz w:val="22"/>
          <w:szCs w:val="22"/>
          <w:lang w:val="sr-Latn-ME"/>
        </w:rPr>
      </w:pPr>
    </w:p>
    <w:p w14:paraId="15E54CA8" w14:textId="77777777" w:rsidR="007074BE" w:rsidRDefault="007074BE" w:rsidP="00056CC9">
      <w:pPr>
        <w:tabs>
          <w:tab w:val="left" w:pos="540"/>
          <w:tab w:val="left" w:pos="569"/>
        </w:tabs>
        <w:rPr>
          <w:b/>
          <w:bCs/>
          <w:sz w:val="22"/>
          <w:szCs w:val="22"/>
          <w:lang w:val="sr-Latn-ME"/>
        </w:rPr>
      </w:pPr>
    </w:p>
    <w:p w14:paraId="3999F877" w14:textId="4657159F" w:rsidR="005D1EF5" w:rsidRPr="00056CC9" w:rsidRDefault="005D1EF5" w:rsidP="00056CC9">
      <w:pPr>
        <w:tabs>
          <w:tab w:val="left" w:pos="540"/>
          <w:tab w:val="left" w:pos="569"/>
        </w:tabs>
        <w:rPr>
          <w:b/>
          <w:bCs/>
          <w:sz w:val="22"/>
          <w:szCs w:val="22"/>
          <w:lang w:val="sr-Latn-ME"/>
        </w:rPr>
      </w:pPr>
      <w:r w:rsidRPr="00056CC9">
        <w:rPr>
          <w:b/>
          <w:bCs/>
          <w:sz w:val="22"/>
          <w:szCs w:val="22"/>
          <w:lang w:val="sr-Latn-ME"/>
        </w:rPr>
        <w:t xml:space="preserve">7. NOSILAC DOZVOLE </w:t>
      </w:r>
    </w:p>
    <w:p w14:paraId="62DDCC8A" w14:textId="77777777" w:rsidR="005D1EF5" w:rsidRPr="00056CC9" w:rsidRDefault="005D1EF5" w:rsidP="00056CC9">
      <w:pPr>
        <w:tabs>
          <w:tab w:val="left" w:pos="540"/>
          <w:tab w:val="left" w:pos="569"/>
        </w:tabs>
        <w:rPr>
          <w:bCs/>
          <w:sz w:val="22"/>
          <w:szCs w:val="22"/>
          <w:lang w:val="sr-Latn-ME"/>
        </w:rPr>
      </w:pPr>
    </w:p>
    <w:p w14:paraId="71FCA5C4" w14:textId="77777777" w:rsidR="005D1EF5" w:rsidRPr="00056CC9" w:rsidRDefault="005D1EF5" w:rsidP="00056CC9">
      <w:pPr>
        <w:widowControl w:val="0"/>
        <w:autoSpaceDE w:val="0"/>
        <w:autoSpaceDN w:val="0"/>
        <w:rPr>
          <w:sz w:val="22"/>
          <w:szCs w:val="22"/>
          <w:lang w:val="sr-Latn-ME"/>
        </w:rPr>
      </w:pPr>
      <w:r w:rsidRPr="00056CC9">
        <w:rPr>
          <w:sz w:val="22"/>
          <w:szCs w:val="22"/>
          <w:lang w:val="sr-Latn-ME"/>
        </w:rPr>
        <w:t>Društvo za trgovinu, promet i usluge “Pontera Pharma Solutions” doo Podgorica</w:t>
      </w:r>
    </w:p>
    <w:p w14:paraId="04705607" w14:textId="77777777" w:rsidR="005D1EF5" w:rsidRPr="00056CC9" w:rsidRDefault="005D1EF5" w:rsidP="00056CC9">
      <w:pPr>
        <w:shd w:val="clear" w:color="auto" w:fill="FFFFFF" w:themeFill="background1"/>
        <w:rPr>
          <w:sz w:val="22"/>
          <w:szCs w:val="22"/>
          <w:lang w:val="sr-Latn-ME"/>
        </w:rPr>
      </w:pPr>
      <w:r w:rsidRPr="00056CC9">
        <w:rPr>
          <w:sz w:val="22"/>
          <w:szCs w:val="22"/>
          <w:lang w:val="sr-Latn-ME"/>
        </w:rPr>
        <w:t>Cijevna bb, Podgorica, Crna Gora</w:t>
      </w:r>
    </w:p>
    <w:p w14:paraId="64A10DE7" w14:textId="77777777" w:rsidR="005D1EF5" w:rsidRPr="00056CC9" w:rsidRDefault="005D1EF5" w:rsidP="00056CC9">
      <w:pPr>
        <w:tabs>
          <w:tab w:val="left" w:pos="540"/>
          <w:tab w:val="left" w:pos="569"/>
        </w:tabs>
        <w:rPr>
          <w:bCs/>
          <w:sz w:val="22"/>
          <w:szCs w:val="22"/>
          <w:lang w:val="sr-Latn-ME"/>
        </w:rPr>
      </w:pPr>
    </w:p>
    <w:p w14:paraId="4698A61F" w14:textId="77777777" w:rsidR="007074BE" w:rsidRDefault="007074BE" w:rsidP="00056CC9">
      <w:pPr>
        <w:tabs>
          <w:tab w:val="left" w:pos="540"/>
          <w:tab w:val="left" w:pos="569"/>
        </w:tabs>
        <w:rPr>
          <w:b/>
          <w:bCs/>
          <w:sz w:val="22"/>
          <w:szCs w:val="22"/>
          <w:lang w:val="sr-Latn-ME"/>
        </w:rPr>
      </w:pPr>
    </w:p>
    <w:p w14:paraId="119F3C13" w14:textId="500E106B" w:rsidR="005D1EF5" w:rsidRPr="00056CC9" w:rsidRDefault="005D1EF5" w:rsidP="00056CC9">
      <w:pPr>
        <w:tabs>
          <w:tab w:val="left" w:pos="540"/>
          <w:tab w:val="left" w:pos="569"/>
        </w:tabs>
        <w:rPr>
          <w:b/>
          <w:bCs/>
          <w:sz w:val="22"/>
          <w:szCs w:val="22"/>
          <w:lang w:val="sr-Latn-ME"/>
        </w:rPr>
      </w:pPr>
      <w:r w:rsidRPr="00056CC9">
        <w:rPr>
          <w:b/>
          <w:bCs/>
          <w:sz w:val="22"/>
          <w:szCs w:val="22"/>
          <w:lang w:val="sr-Latn-ME"/>
        </w:rPr>
        <w:t>8. BROJ DOZVOLE ZA STAVLJANJE LIJEKA U PROMET</w:t>
      </w:r>
    </w:p>
    <w:p w14:paraId="24D0609F" w14:textId="77777777" w:rsidR="005D1EF5" w:rsidRPr="00056CC9" w:rsidRDefault="005D1EF5" w:rsidP="00056CC9">
      <w:pPr>
        <w:tabs>
          <w:tab w:val="left" w:pos="540"/>
          <w:tab w:val="left" w:pos="569"/>
        </w:tabs>
        <w:rPr>
          <w:bCs/>
          <w:sz w:val="22"/>
          <w:szCs w:val="22"/>
          <w:lang w:val="sr-Latn-ME"/>
        </w:rPr>
      </w:pPr>
    </w:p>
    <w:p w14:paraId="691784AF" w14:textId="7870F16D" w:rsidR="005D1EF5" w:rsidRPr="00056CC9" w:rsidRDefault="005D1EF5" w:rsidP="00056CC9">
      <w:pPr>
        <w:pStyle w:val="NoSpacing"/>
        <w:jc w:val="both"/>
        <w:rPr>
          <w:sz w:val="22"/>
          <w:szCs w:val="22"/>
          <w:lang w:val="sr-Latn-ME"/>
        </w:rPr>
      </w:pPr>
      <w:r w:rsidRPr="00056CC9">
        <w:rPr>
          <w:sz w:val="22"/>
          <w:szCs w:val="22"/>
          <w:lang w:val="sr-Latn-ME"/>
        </w:rPr>
        <w:t xml:space="preserve">Imarem, film tableta, 100 mg, blister, 60 (6x10) film tableta: </w:t>
      </w:r>
      <w:r w:rsidR="009E5CD9" w:rsidRPr="009E5CD9">
        <w:rPr>
          <w:sz w:val="22"/>
          <w:szCs w:val="22"/>
          <w:lang w:val="sr-Latn-ME"/>
        </w:rPr>
        <w:t>2030/21/859 - 3996</w:t>
      </w:r>
    </w:p>
    <w:p w14:paraId="464A0E02" w14:textId="5249DC50" w:rsidR="005D1EF5" w:rsidRPr="00056CC9" w:rsidRDefault="005D1EF5" w:rsidP="00056CC9">
      <w:pPr>
        <w:pStyle w:val="NoSpacing"/>
        <w:jc w:val="both"/>
        <w:rPr>
          <w:sz w:val="22"/>
          <w:szCs w:val="22"/>
          <w:lang w:val="sr-Latn-ME"/>
        </w:rPr>
      </w:pPr>
      <w:r w:rsidRPr="00056CC9">
        <w:rPr>
          <w:sz w:val="22"/>
          <w:szCs w:val="22"/>
          <w:lang w:val="sr-Latn-ME"/>
        </w:rPr>
        <w:t xml:space="preserve">Imarem, film tableta, 400 mg, blister, 30 (3x10) film tableta: </w:t>
      </w:r>
      <w:r w:rsidR="00987081" w:rsidRPr="00987081">
        <w:rPr>
          <w:sz w:val="22"/>
          <w:szCs w:val="22"/>
          <w:lang w:val="sr-Latn-ME"/>
        </w:rPr>
        <w:t>2030/21/860 - 3997</w:t>
      </w:r>
    </w:p>
    <w:p w14:paraId="220833CD" w14:textId="77777777" w:rsidR="005D1EF5" w:rsidRPr="00056CC9" w:rsidRDefault="005D1EF5" w:rsidP="00056CC9">
      <w:pPr>
        <w:tabs>
          <w:tab w:val="left" w:pos="540"/>
          <w:tab w:val="left" w:pos="569"/>
        </w:tabs>
        <w:rPr>
          <w:b/>
          <w:bCs/>
          <w:sz w:val="22"/>
          <w:szCs w:val="22"/>
          <w:lang w:val="sr-Latn-ME"/>
        </w:rPr>
      </w:pPr>
    </w:p>
    <w:p w14:paraId="25727772" w14:textId="77777777" w:rsidR="007074BE" w:rsidRDefault="007074BE" w:rsidP="00056CC9">
      <w:pPr>
        <w:tabs>
          <w:tab w:val="left" w:pos="540"/>
          <w:tab w:val="left" w:pos="569"/>
        </w:tabs>
        <w:rPr>
          <w:b/>
          <w:bCs/>
          <w:sz w:val="22"/>
          <w:szCs w:val="22"/>
          <w:lang w:val="sr-Latn-ME"/>
        </w:rPr>
      </w:pPr>
    </w:p>
    <w:p w14:paraId="2FB8077B" w14:textId="269B0DF0" w:rsidR="005D1EF5" w:rsidRPr="00056CC9" w:rsidRDefault="005D1EF5" w:rsidP="00056CC9">
      <w:pPr>
        <w:tabs>
          <w:tab w:val="left" w:pos="540"/>
          <w:tab w:val="left" w:pos="569"/>
        </w:tabs>
        <w:rPr>
          <w:b/>
          <w:bCs/>
          <w:sz w:val="22"/>
          <w:szCs w:val="22"/>
          <w:lang w:val="sr-Latn-ME"/>
        </w:rPr>
      </w:pPr>
      <w:r w:rsidRPr="00056CC9">
        <w:rPr>
          <w:b/>
          <w:bCs/>
          <w:sz w:val="22"/>
          <w:szCs w:val="22"/>
          <w:lang w:val="sr-Latn-ME"/>
        </w:rPr>
        <w:t>9. DATUM PRVE DOZVOLE/OBNOVE DOZVOLE ZA STAVLJANJE LIJEKA U PROMET</w:t>
      </w:r>
    </w:p>
    <w:p w14:paraId="4203C284" w14:textId="77777777" w:rsidR="005D1EF5" w:rsidRPr="00056CC9" w:rsidRDefault="005D1EF5" w:rsidP="00056CC9">
      <w:pPr>
        <w:tabs>
          <w:tab w:val="left" w:pos="540"/>
          <w:tab w:val="left" w:pos="569"/>
        </w:tabs>
        <w:rPr>
          <w:bCs/>
          <w:sz w:val="22"/>
          <w:szCs w:val="22"/>
          <w:lang w:val="sr-Latn-ME"/>
        </w:rPr>
      </w:pPr>
    </w:p>
    <w:p w14:paraId="254A0AB6" w14:textId="55F4FCF0" w:rsidR="005D1EF5" w:rsidRPr="00056CC9" w:rsidRDefault="005D1EF5" w:rsidP="00056CC9">
      <w:pPr>
        <w:pStyle w:val="NoSpacing"/>
        <w:rPr>
          <w:noProof/>
          <w:sz w:val="22"/>
          <w:szCs w:val="22"/>
          <w:lang w:val="sr-Latn-ME"/>
        </w:rPr>
      </w:pPr>
      <w:r w:rsidRPr="00056CC9">
        <w:rPr>
          <w:noProof/>
          <w:sz w:val="22"/>
          <w:szCs w:val="22"/>
          <w:lang w:val="sr-Latn-ME"/>
        </w:rPr>
        <w:t xml:space="preserve">Imarem, film tableta, 100 mg, blister, 60 (6x10) film tableta: </w:t>
      </w:r>
      <w:r w:rsidR="00F85B05" w:rsidRPr="00F85B05">
        <w:rPr>
          <w:noProof/>
          <w:sz w:val="22"/>
          <w:szCs w:val="22"/>
          <w:lang w:val="sr-Latn-ME"/>
        </w:rPr>
        <w:t>16.06.2021. godine</w:t>
      </w:r>
    </w:p>
    <w:p w14:paraId="2489A9E8" w14:textId="2AE24CF5" w:rsidR="005D1EF5" w:rsidRPr="00056CC9" w:rsidRDefault="005D1EF5" w:rsidP="00056CC9">
      <w:pPr>
        <w:pStyle w:val="NoSpacing"/>
        <w:rPr>
          <w:noProof/>
          <w:sz w:val="22"/>
          <w:szCs w:val="22"/>
          <w:lang w:val="sr-Latn-ME"/>
        </w:rPr>
      </w:pPr>
      <w:r w:rsidRPr="00056CC9">
        <w:rPr>
          <w:noProof/>
          <w:sz w:val="22"/>
          <w:szCs w:val="22"/>
          <w:lang w:val="sr-Latn-ME"/>
        </w:rPr>
        <w:t xml:space="preserve">Imarem, film tableta, 400 mg, blister, 30 (3x10) film tableta: </w:t>
      </w:r>
      <w:r w:rsidR="00F85B05" w:rsidRPr="00F85B05">
        <w:rPr>
          <w:noProof/>
          <w:sz w:val="22"/>
          <w:szCs w:val="22"/>
          <w:lang w:val="sr-Latn-ME"/>
        </w:rPr>
        <w:t>16.06.2021. godine</w:t>
      </w:r>
      <w:bookmarkStart w:id="1" w:name="_GoBack"/>
      <w:bookmarkEnd w:id="1"/>
    </w:p>
    <w:p w14:paraId="5047EF30" w14:textId="77777777" w:rsidR="005D1EF5" w:rsidRPr="00056CC9" w:rsidRDefault="005D1EF5" w:rsidP="00056CC9">
      <w:pPr>
        <w:tabs>
          <w:tab w:val="left" w:pos="540"/>
          <w:tab w:val="left" w:pos="569"/>
        </w:tabs>
        <w:rPr>
          <w:bCs/>
          <w:sz w:val="22"/>
          <w:szCs w:val="22"/>
          <w:lang w:val="sr-Latn-ME"/>
        </w:rPr>
      </w:pPr>
    </w:p>
    <w:p w14:paraId="4C97C863" w14:textId="77777777" w:rsidR="007074BE" w:rsidRDefault="007074BE" w:rsidP="00056CC9">
      <w:pPr>
        <w:tabs>
          <w:tab w:val="left" w:pos="540"/>
          <w:tab w:val="left" w:pos="569"/>
        </w:tabs>
        <w:ind w:left="540" w:hanging="540"/>
        <w:rPr>
          <w:b/>
          <w:bCs/>
          <w:sz w:val="22"/>
          <w:szCs w:val="22"/>
          <w:lang w:val="sr-Latn-ME"/>
        </w:rPr>
      </w:pPr>
    </w:p>
    <w:p w14:paraId="72AFF055" w14:textId="087A0829" w:rsidR="005D1EF5" w:rsidRPr="00056CC9" w:rsidRDefault="005D1EF5" w:rsidP="00056CC9">
      <w:pPr>
        <w:tabs>
          <w:tab w:val="left" w:pos="540"/>
          <w:tab w:val="left" w:pos="569"/>
        </w:tabs>
        <w:ind w:left="540" w:hanging="540"/>
        <w:rPr>
          <w:bCs/>
          <w:sz w:val="22"/>
          <w:szCs w:val="22"/>
          <w:lang w:val="sr-Latn-ME"/>
        </w:rPr>
      </w:pPr>
      <w:r w:rsidRPr="00056CC9">
        <w:rPr>
          <w:b/>
          <w:bCs/>
          <w:sz w:val="22"/>
          <w:szCs w:val="22"/>
          <w:lang w:val="sr-Latn-ME"/>
        </w:rPr>
        <w:t xml:space="preserve">10. DATUM REVIZIJE TEKSTA </w:t>
      </w:r>
    </w:p>
    <w:p w14:paraId="62A3DC4C" w14:textId="77777777" w:rsidR="005D1EF5" w:rsidRPr="00056CC9" w:rsidRDefault="005D1EF5" w:rsidP="00056CC9">
      <w:pPr>
        <w:rPr>
          <w:sz w:val="22"/>
          <w:szCs w:val="22"/>
          <w:lang w:val="sr-Latn-ME"/>
        </w:rPr>
      </w:pPr>
    </w:p>
    <w:p w14:paraId="26A6F07A" w14:textId="7454492B" w:rsidR="00C92728" w:rsidRPr="00056CC9" w:rsidRDefault="007074BE" w:rsidP="00056CC9">
      <w:pPr>
        <w:rPr>
          <w:sz w:val="22"/>
          <w:szCs w:val="22"/>
          <w:lang w:val="sr-Latn-ME"/>
        </w:rPr>
      </w:pPr>
      <w:r>
        <w:rPr>
          <w:sz w:val="22"/>
          <w:szCs w:val="22"/>
          <w:lang w:val="sr-Latn-ME"/>
        </w:rPr>
        <w:t>Jun, 2021. godine</w:t>
      </w:r>
    </w:p>
    <w:sectPr w:rsidR="00C92728" w:rsidRPr="00056CC9" w:rsidSect="006B5404">
      <w:footerReference w:type="default" r:id="rId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E4F73" w14:textId="77777777" w:rsidR="008349C8" w:rsidRDefault="008349C8">
      <w:r>
        <w:separator/>
      </w:r>
    </w:p>
  </w:endnote>
  <w:endnote w:type="continuationSeparator" w:id="0">
    <w:p w14:paraId="0FB9F003" w14:textId="77777777" w:rsidR="008349C8" w:rsidRDefault="0083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72D58" w14:textId="659C611D" w:rsidR="00904B99" w:rsidRPr="00B23F69" w:rsidRDefault="005D1EF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85B05">
      <w:rPr>
        <w:noProof/>
        <w:sz w:val="22"/>
        <w:szCs w:val="22"/>
      </w:rPr>
      <w:t>28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85B05">
      <w:rPr>
        <w:noProof/>
        <w:sz w:val="22"/>
        <w:szCs w:val="22"/>
      </w:rPr>
      <w:t>29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66E7D" w14:textId="77777777" w:rsidR="008349C8" w:rsidRDefault="008349C8">
      <w:r>
        <w:separator/>
      </w:r>
    </w:p>
  </w:footnote>
  <w:footnote w:type="continuationSeparator" w:id="0">
    <w:p w14:paraId="1979EC1F" w14:textId="77777777" w:rsidR="008349C8" w:rsidRDefault="00834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E34405"/>
    <w:multiLevelType w:val="hybridMultilevel"/>
    <w:tmpl w:val="6AC0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E14697C"/>
    <w:multiLevelType w:val="hybridMultilevel"/>
    <w:tmpl w:val="A59A880A"/>
    <w:lvl w:ilvl="0" w:tplc="13840B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C0632"/>
    <w:multiLevelType w:val="hybridMultilevel"/>
    <w:tmpl w:val="099AC7E0"/>
    <w:lvl w:ilvl="0" w:tplc="837814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93D28"/>
    <w:multiLevelType w:val="hybridMultilevel"/>
    <w:tmpl w:val="FF9A5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0270908"/>
    <w:multiLevelType w:val="hybridMultilevel"/>
    <w:tmpl w:val="F5C8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num>
  <w:num w:numId="4">
    <w:abstractNumId w:val="12"/>
  </w:num>
  <w:num w:numId="5">
    <w:abstractNumId w:val="5"/>
  </w:num>
  <w:num w:numId="6">
    <w:abstractNumId w:val="1"/>
  </w:num>
  <w:num w:numId="7">
    <w:abstractNumId w:val="11"/>
  </w:num>
  <w:num w:numId="8">
    <w:abstractNumId w:val="4"/>
  </w:num>
  <w:num w:numId="9">
    <w:abstractNumId w:val="7"/>
  </w:num>
  <w:num w:numId="10">
    <w:abstractNumId w:val="15"/>
  </w:num>
  <w:num w:numId="11">
    <w:abstractNumId w:val="6"/>
  </w:num>
  <w:num w:numId="12">
    <w:abstractNumId w:val="2"/>
  </w:num>
  <w:num w:numId="13">
    <w:abstractNumId w:val="10"/>
  </w:num>
  <w:num w:numId="14">
    <w:abstractNumId w:val="13"/>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F5"/>
    <w:rsid w:val="00056CC9"/>
    <w:rsid w:val="000A1DA8"/>
    <w:rsid w:val="001565FD"/>
    <w:rsid w:val="00335090"/>
    <w:rsid w:val="003653E5"/>
    <w:rsid w:val="005D1EF5"/>
    <w:rsid w:val="007074BE"/>
    <w:rsid w:val="008349C8"/>
    <w:rsid w:val="00950FBF"/>
    <w:rsid w:val="00987081"/>
    <w:rsid w:val="009E5CD9"/>
    <w:rsid w:val="00BD3C47"/>
    <w:rsid w:val="00C92728"/>
    <w:rsid w:val="00D70E58"/>
    <w:rsid w:val="00F8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BD36A86"/>
  <w15:chartTrackingRefBased/>
  <w15:docId w15:val="{FEE611E5-46A9-44BC-9AD9-E383B044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F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D1EF5"/>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1EF5"/>
    <w:rPr>
      <w:rFonts w:eastAsia="Times New Roman" w:cs="Arial"/>
      <w:i/>
      <w:iCs/>
      <w:color w:val="999999"/>
      <w:sz w:val="18"/>
      <w:szCs w:val="24"/>
    </w:rPr>
  </w:style>
  <w:style w:type="paragraph" w:styleId="Header">
    <w:name w:val="header"/>
    <w:basedOn w:val="Normal"/>
    <w:link w:val="HeaderChar"/>
    <w:rsid w:val="005D1EF5"/>
    <w:pPr>
      <w:tabs>
        <w:tab w:val="center" w:pos="4320"/>
        <w:tab w:val="right" w:pos="8640"/>
      </w:tabs>
    </w:pPr>
  </w:style>
  <w:style w:type="character" w:customStyle="1" w:styleId="HeaderChar">
    <w:name w:val="Header Char"/>
    <w:basedOn w:val="DefaultParagraphFont"/>
    <w:link w:val="Header"/>
    <w:rsid w:val="005D1EF5"/>
    <w:rPr>
      <w:rFonts w:ascii="Times New Roman" w:eastAsia="Times New Roman" w:hAnsi="Times New Roman" w:cs="Times New Roman"/>
      <w:sz w:val="24"/>
      <w:szCs w:val="24"/>
    </w:rPr>
  </w:style>
  <w:style w:type="paragraph" w:styleId="Footer">
    <w:name w:val="footer"/>
    <w:basedOn w:val="Normal"/>
    <w:link w:val="FooterChar"/>
    <w:rsid w:val="005D1EF5"/>
    <w:pPr>
      <w:tabs>
        <w:tab w:val="center" w:pos="4320"/>
        <w:tab w:val="right" w:pos="8640"/>
      </w:tabs>
    </w:pPr>
  </w:style>
  <w:style w:type="character" w:customStyle="1" w:styleId="FooterChar">
    <w:name w:val="Footer Char"/>
    <w:basedOn w:val="DefaultParagraphFont"/>
    <w:link w:val="Footer"/>
    <w:rsid w:val="005D1EF5"/>
    <w:rPr>
      <w:rFonts w:ascii="Times New Roman" w:eastAsia="Times New Roman" w:hAnsi="Times New Roman" w:cs="Times New Roman"/>
      <w:sz w:val="24"/>
      <w:szCs w:val="24"/>
    </w:rPr>
  </w:style>
  <w:style w:type="character" w:styleId="PageNumber">
    <w:name w:val="page number"/>
    <w:basedOn w:val="DefaultParagraphFont"/>
    <w:rsid w:val="005D1EF5"/>
  </w:style>
  <w:style w:type="numbering" w:styleId="111111">
    <w:name w:val="Outline List 2"/>
    <w:basedOn w:val="NoList"/>
    <w:rsid w:val="005D1EF5"/>
    <w:pPr>
      <w:numPr>
        <w:numId w:val="3"/>
      </w:numPr>
    </w:pPr>
  </w:style>
  <w:style w:type="character" w:styleId="CommentReference">
    <w:name w:val="annotation reference"/>
    <w:semiHidden/>
    <w:rsid w:val="005D1EF5"/>
    <w:rPr>
      <w:sz w:val="16"/>
      <w:szCs w:val="16"/>
    </w:rPr>
  </w:style>
  <w:style w:type="paragraph" w:styleId="CommentText">
    <w:name w:val="annotation text"/>
    <w:basedOn w:val="Normal"/>
    <w:link w:val="CommentTextChar"/>
    <w:semiHidden/>
    <w:rsid w:val="005D1EF5"/>
    <w:rPr>
      <w:sz w:val="20"/>
      <w:szCs w:val="20"/>
    </w:rPr>
  </w:style>
  <w:style w:type="character" w:customStyle="1" w:styleId="CommentTextChar">
    <w:name w:val="Comment Text Char"/>
    <w:basedOn w:val="DefaultParagraphFont"/>
    <w:link w:val="CommentText"/>
    <w:semiHidden/>
    <w:rsid w:val="005D1E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D1EF5"/>
    <w:rPr>
      <w:b/>
      <w:bCs/>
    </w:rPr>
  </w:style>
  <w:style w:type="character" w:customStyle="1" w:styleId="CommentSubjectChar">
    <w:name w:val="Comment Subject Char"/>
    <w:basedOn w:val="CommentTextChar"/>
    <w:link w:val="CommentSubject"/>
    <w:semiHidden/>
    <w:rsid w:val="005D1EF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D1EF5"/>
    <w:rPr>
      <w:rFonts w:ascii="Tahoma" w:hAnsi="Tahoma" w:cs="Tahoma"/>
      <w:sz w:val="16"/>
      <w:szCs w:val="16"/>
    </w:rPr>
  </w:style>
  <w:style w:type="character" w:customStyle="1" w:styleId="BalloonTextChar">
    <w:name w:val="Balloon Text Char"/>
    <w:basedOn w:val="DefaultParagraphFont"/>
    <w:link w:val="BalloonText"/>
    <w:semiHidden/>
    <w:rsid w:val="005D1EF5"/>
    <w:rPr>
      <w:rFonts w:ascii="Tahoma" w:eastAsia="Times New Roman" w:hAnsi="Tahoma" w:cs="Tahoma"/>
      <w:sz w:val="16"/>
      <w:szCs w:val="16"/>
    </w:rPr>
  </w:style>
  <w:style w:type="paragraph" w:styleId="NoSpacing">
    <w:name w:val="No Spacing"/>
    <w:uiPriority w:val="1"/>
    <w:qFormat/>
    <w:rsid w:val="005D1EF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5D1EF5"/>
    <w:rPr>
      <w:color w:val="0563C1" w:themeColor="hyperlink"/>
      <w:u w:val="single"/>
    </w:rPr>
  </w:style>
  <w:style w:type="paragraph" w:styleId="ListParagraph">
    <w:name w:val="List Paragraph"/>
    <w:basedOn w:val="Normal"/>
    <w:uiPriority w:val="34"/>
    <w:qFormat/>
    <w:rsid w:val="005D1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3" Type="http://schemas.openxmlformats.org/officeDocument/2006/relationships/settings" Target="settings.xml"/><Relationship Id="rId7" Type="http://schemas.openxmlformats.org/officeDocument/2006/relationships/hyperlink" Target="http://www.cinmed.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14555</Words>
  <Characters>82968</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Gordana Boljević</cp:lastModifiedBy>
  <cp:revision>10</cp:revision>
  <dcterms:created xsi:type="dcterms:W3CDTF">2021-06-15T11:13:00Z</dcterms:created>
  <dcterms:modified xsi:type="dcterms:W3CDTF">2021-06-16T07:15:00Z</dcterms:modified>
</cp:coreProperties>
</file>