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B8532" w14:textId="77777777" w:rsidR="00FE1656" w:rsidRDefault="00FE1656" w:rsidP="004D1981">
      <w:pPr>
        <w:jc w:val="center"/>
        <w:rPr>
          <w:b/>
          <w:bCs/>
          <w:iCs/>
          <w:szCs w:val="22"/>
          <w:u w:val="single"/>
          <w:lang w:val="sr-Latn-RS"/>
        </w:rPr>
      </w:pPr>
    </w:p>
    <w:p w14:paraId="5BEF362A" w14:textId="77777777" w:rsidR="009B0E28" w:rsidRDefault="009B0E28" w:rsidP="00DB5090">
      <w:pPr>
        <w:rPr>
          <w:b/>
          <w:bCs/>
          <w:iCs/>
          <w:szCs w:val="22"/>
          <w:u w:val="single"/>
          <w:lang w:val="sr-Latn-RS"/>
        </w:rPr>
      </w:pPr>
    </w:p>
    <w:p w14:paraId="7F405F34" w14:textId="0CEF85DD" w:rsidR="008A295A" w:rsidRPr="00966063" w:rsidRDefault="008A295A" w:rsidP="004D1981">
      <w:pPr>
        <w:jc w:val="center"/>
        <w:rPr>
          <w:b/>
          <w:bCs/>
          <w:iCs/>
          <w:szCs w:val="22"/>
          <w:u w:val="single"/>
          <w:lang w:val="sr-Latn-RS"/>
        </w:rPr>
      </w:pPr>
      <w:r w:rsidRPr="00966063">
        <w:rPr>
          <w:b/>
          <w:bCs/>
          <w:iCs/>
          <w:szCs w:val="22"/>
          <w:u w:val="single"/>
          <w:lang w:val="sr-Latn-RS"/>
        </w:rPr>
        <w:t>SAŽETAK KARAKTERISTIKA LEKA</w:t>
      </w:r>
    </w:p>
    <w:p w14:paraId="63914C71" w14:textId="77777777" w:rsidR="008A295A" w:rsidRPr="00966063" w:rsidRDefault="008A295A" w:rsidP="004D1981">
      <w:pPr>
        <w:rPr>
          <w:szCs w:val="22"/>
          <w:lang w:val="sr-Latn-RS"/>
        </w:rPr>
      </w:pPr>
    </w:p>
    <w:p w14:paraId="582E834F" w14:textId="77777777" w:rsidR="008A295A" w:rsidRPr="00966063" w:rsidRDefault="008A295A" w:rsidP="004D1981">
      <w:pPr>
        <w:rPr>
          <w:szCs w:val="22"/>
          <w:lang w:val="sr-Latn-RS"/>
        </w:rPr>
      </w:pPr>
    </w:p>
    <w:p w14:paraId="0B705BFF" w14:textId="3FE0B203" w:rsidR="008A295A" w:rsidRPr="00966063" w:rsidRDefault="008A295A" w:rsidP="004D1981">
      <w:pPr>
        <w:pStyle w:val="NASLOV123"/>
        <w:jc w:val="both"/>
        <w:rPr>
          <w:lang w:val="sr-Latn-RS"/>
        </w:rPr>
      </w:pPr>
      <w:r w:rsidRPr="00966063">
        <w:rPr>
          <w:lang w:val="sr-Latn-RS"/>
        </w:rPr>
        <w:t xml:space="preserve">1. </w:t>
      </w:r>
      <w:r w:rsidR="00344693">
        <w:rPr>
          <w:lang w:val="sr-Latn-RS"/>
        </w:rPr>
        <w:t>NAZIV</w:t>
      </w:r>
      <w:r w:rsidRPr="00966063">
        <w:rPr>
          <w:lang w:val="sr-Latn-RS"/>
        </w:rPr>
        <w:t xml:space="preserve"> L</w:t>
      </w:r>
      <w:r w:rsidR="00344693">
        <w:rPr>
          <w:lang w:val="sr-Latn-RS"/>
        </w:rPr>
        <w:t>IJ</w:t>
      </w:r>
      <w:r w:rsidRPr="00966063">
        <w:rPr>
          <w:lang w:val="sr-Latn-RS"/>
        </w:rPr>
        <w:t>EKA</w:t>
      </w:r>
    </w:p>
    <w:p w14:paraId="7086077F" w14:textId="5B62DE1F" w:rsidR="008A295A" w:rsidRPr="00DB5090" w:rsidRDefault="00A15C07" w:rsidP="00797A96">
      <w:pPr>
        <w:pStyle w:val="Heading5"/>
        <w:jc w:val="left"/>
        <w:rPr>
          <w:rFonts w:cs="Times New Roman"/>
          <w:b w:val="0"/>
          <w:szCs w:val="22"/>
          <w:lang w:val="sr-Latn-RS"/>
        </w:rPr>
      </w:pPr>
      <w:r w:rsidRPr="00DB5090">
        <w:rPr>
          <w:rFonts w:cs="Times New Roman"/>
          <w:b w:val="0"/>
          <w:szCs w:val="22"/>
          <w:lang w:val="sr-Latn-RS"/>
        </w:rPr>
        <w:t>Paracetamol Galenika</w:t>
      </w:r>
      <w:r w:rsidR="008A295A" w:rsidRPr="00DB5090">
        <w:rPr>
          <w:rFonts w:cs="Times New Roman"/>
          <w:b w:val="0"/>
          <w:szCs w:val="22"/>
          <w:lang w:val="sr-Latn-RS"/>
        </w:rPr>
        <w:t>, 500 mg, tableta</w:t>
      </w:r>
    </w:p>
    <w:p w14:paraId="60DA8660" w14:textId="77777777" w:rsidR="008A295A" w:rsidRPr="00966063" w:rsidRDefault="008A295A" w:rsidP="00797A96">
      <w:pPr>
        <w:jc w:val="left"/>
        <w:rPr>
          <w:b/>
          <w:bCs/>
          <w:szCs w:val="22"/>
          <w:lang w:val="sr-Latn-RS"/>
        </w:rPr>
      </w:pPr>
    </w:p>
    <w:p w14:paraId="3A61F8CD" w14:textId="30FDDF6A" w:rsidR="008A295A" w:rsidRDefault="008A295A" w:rsidP="004D1981">
      <w:pPr>
        <w:rPr>
          <w:szCs w:val="22"/>
          <w:lang w:val="sr-Latn-RS"/>
        </w:rPr>
      </w:pPr>
      <w:r w:rsidRPr="00966063">
        <w:rPr>
          <w:szCs w:val="22"/>
          <w:lang w:val="sr-Latn-RS"/>
        </w:rPr>
        <w:t xml:space="preserve">INN: paracetamol  </w:t>
      </w:r>
    </w:p>
    <w:p w14:paraId="1670BCA7" w14:textId="77777777" w:rsidR="00FE1656" w:rsidRPr="00966063" w:rsidRDefault="00FE1656" w:rsidP="004D1981">
      <w:pPr>
        <w:rPr>
          <w:szCs w:val="22"/>
          <w:lang w:val="sr-Latn-RS"/>
        </w:rPr>
      </w:pPr>
    </w:p>
    <w:p w14:paraId="5B92A7D6" w14:textId="77777777" w:rsidR="008A295A" w:rsidRPr="00966063" w:rsidRDefault="008A295A" w:rsidP="00512CFC">
      <w:pPr>
        <w:pStyle w:val="NASLOV123"/>
        <w:jc w:val="both"/>
        <w:rPr>
          <w:lang w:val="sr-Latn-RS"/>
        </w:rPr>
      </w:pPr>
      <w:r w:rsidRPr="00966063">
        <w:rPr>
          <w:lang w:val="sr-Latn-RS"/>
        </w:rPr>
        <w:t>2. KVALITATIVNI I KVANTITATIVNI SASTAV</w:t>
      </w:r>
    </w:p>
    <w:p w14:paraId="243DB501" w14:textId="77777777" w:rsidR="008A295A" w:rsidRPr="00966063" w:rsidRDefault="008A295A" w:rsidP="00080DBB">
      <w:pPr>
        <w:pStyle w:val="Header"/>
        <w:tabs>
          <w:tab w:val="clear" w:pos="4536"/>
          <w:tab w:val="clear" w:pos="9072"/>
          <w:tab w:val="left" w:pos="284"/>
        </w:tabs>
        <w:jc w:val="left"/>
        <w:rPr>
          <w:rFonts w:ascii="Times New Roman" w:hAnsi="Times New Roman" w:cs="Arial"/>
          <w:sz w:val="22"/>
          <w:lang w:val="sr-Latn-RS"/>
        </w:rPr>
      </w:pPr>
      <w:r w:rsidRPr="00966063">
        <w:rPr>
          <w:rFonts w:ascii="Times New Roman" w:hAnsi="Times New Roman" w:cs="Arial"/>
          <w:sz w:val="22"/>
          <w:lang w:val="sr-Latn-RS"/>
        </w:rPr>
        <w:t>1 tableta sadrži 500 mg paracetamola</w:t>
      </w:r>
    </w:p>
    <w:p w14:paraId="144380B2" w14:textId="0134744C" w:rsidR="007C553E" w:rsidRDefault="007C553E" w:rsidP="007C553E">
      <w:pPr>
        <w:rPr>
          <w:szCs w:val="22"/>
          <w:lang w:val="sr-Latn-CS"/>
        </w:rPr>
      </w:pPr>
      <w:r w:rsidRPr="00786071">
        <w:rPr>
          <w:szCs w:val="22"/>
          <w:lang w:val="sr-Latn-CS"/>
        </w:rPr>
        <w:t>Za spisak svih ekscipijenasa, pogledati dio 6.1.</w:t>
      </w:r>
    </w:p>
    <w:p w14:paraId="545E2CC6" w14:textId="77777777" w:rsidR="00FE1656" w:rsidRPr="00786071" w:rsidRDefault="00FE1656" w:rsidP="007C553E">
      <w:pPr>
        <w:rPr>
          <w:szCs w:val="22"/>
          <w:lang w:val="sr-Latn-CS"/>
        </w:rPr>
      </w:pPr>
    </w:p>
    <w:p w14:paraId="6832B878" w14:textId="77777777" w:rsidR="008A295A" w:rsidRPr="00966063" w:rsidRDefault="008A295A" w:rsidP="004D1981">
      <w:pPr>
        <w:pStyle w:val="NASLOV123"/>
        <w:jc w:val="both"/>
        <w:rPr>
          <w:lang w:val="sr-Latn-RS"/>
        </w:rPr>
      </w:pPr>
      <w:r w:rsidRPr="00966063">
        <w:rPr>
          <w:lang w:val="sr-Latn-RS"/>
        </w:rPr>
        <w:t>3. FARMACEUTSKI OBLIK</w:t>
      </w:r>
    </w:p>
    <w:p w14:paraId="7CDBC6E8" w14:textId="77777777" w:rsidR="008A295A" w:rsidRPr="00966063" w:rsidRDefault="008A295A" w:rsidP="00080DBB">
      <w:pPr>
        <w:pStyle w:val="Header"/>
        <w:tabs>
          <w:tab w:val="clear" w:pos="4536"/>
          <w:tab w:val="clear" w:pos="9072"/>
          <w:tab w:val="left" w:pos="284"/>
        </w:tabs>
        <w:jc w:val="left"/>
        <w:rPr>
          <w:rFonts w:ascii="Times New Roman" w:hAnsi="Times New Roman" w:cs="Arial"/>
          <w:sz w:val="22"/>
          <w:lang w:val="sr-Latn-RS"/>
        </w:rPr>
      </w:pPr>
      <w:r w:rsidRPr="00966063">
        <w:rPr>
          <w:rFonts w:ascii="Times New Roman" w:hAnsi="Times New Roman" w:cs="Arial"/>
          <w:sz w:val="22"/>
          <w:lang w:val="sr-Latn-RS"/>
        </w:rPr>
        <w:t>Tableta.</w:t>
      </w:r>
    </w:p>
    <w:p w14:paraId="166AA107" w14:textId="4D52C3EF" w:rsidR="008A295A" w:rsidRPr="00966063" w:rsidRDefault="008A295A" w:rsidP="00080DBB">
      <w:pPr>
        <w:rPr>
          <w:szCs w:val="22"/>
          <w:lang w:val="sr-Latn-RS"/>
        </w:rPr>
      </w:pPr>
      <w:r w:rsidRPr="00966063">
        <w:rPr>
          <w:szCs w:val="22"/>
          <w:lang w:val="sr-Latn-RS"/>
        </w:rPr>
        <w:t>Okrugle, bikonveksne tablete, b</w:t>
      </w:r>
      <w:r w:rsidR="007C553E">
        <w:rPr>
          <w:szCs w:val="22"/>
          <w:lang w:val="sr-Latn-RS"/>
        </w:rPr>
        <w:t>ij</w:t>
      </w:r>
      <w:r w:rsidRPr="00966063">
        <w:rPr>
          <w:szCs w:val="22"/>
          <w:lang w:val="sr-Latn-RS"/>
        </w:rPr>
        <w:t>ele boje.</w:t>
      </w:r>
    </w:p>
    <w:p w14:paraId="13B04F01" w14:textId="77777777" w:rsidR="008A295A" w:rsidRPr="00966063" w:rsidRDefault="008A295A" w:rsidP="004D1981">
      <w:pPr>
        <w:rPr>
          <w:szCs w:val="22"/>
          <w:lang w:val="sr-Latn-RS"/>
        </w:rPr>
      </w:pPr>
    </w:p>
    <w:p w14:paraId="6DD39B73" w14:textId="77777777" w:rsidR="008A295A" w:rsidRPr="00966063" w:rsidRDefault="008A295A" w:rsidP="004D1981">
      <w:pPr>
        <w:pStyle w:val="NASLOV123"/>
        <w:jc w:val="both"/>
        <w:rPr>
          <w:lang w:val="sr-Latn-RS"/>
        </w:rPr>
      </w:pPr>
      <w:r w:rsidRPr="00966063">
        <w:rPr>
          <w:lang w:val="sr-Latn-RS"/>
        </w:rPr>
        <w:t>4. KLINIČKI PODACI</w:t>
      </w:r>
    </w:p>
    <w:p w14:paraId="69FF6C8E" w14:textId="77777777" w:rsidR="008A295A" w:rsidRPr="00966063" w:rsidRDefault="008A295A" w:rsidP="004D1981">
      <w:pPr>
        <w:rPr>
          <w:b/>
          <w:bCs/>
          <w:szCs w:val="22"/>
          <w:lang w:val="sr-Latn-RS"/>
        </w:rPr>
      </w:pPr>
      <w:r w:rsidRPr="00966063">
        <w:rPr>
          <w:b/>
          <w:bCs/>
          <w:szCs w:val="22"/>
          <w:lang w:val="sr-Latn-RS"/>
        </w:rPr>
        <w:t>4.1. Terapijske indikacije</w:t>
      </w:r>
    </w:p>
    <w:p w14:paraId="06F48571" w14:textId="77777777" w:rsidR="008A295A" w:rsidRPr="00966063" w:rsidRDefault="008A295A" w:rsidP="004D1981">
      <w:pPr>
        <w:rPr>
          <w:szCs w:val="22"/>
          <w:lang w:val="sr-Latn-RS"/>
        </w:rPr>
      </w:pPr>
    </w:p>
    <w:p w14:paraId="6DAFEB35" w14:textId="10805147"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Paracetamol je blag analgetik i antipiretik. Upotreba</w:t>
      </w:r>
      <w:r w:rsidR="00CF178E" w:rsidRPr="00966063">
        <w:rPr>
          <w:szCs w:val="22"/>
          <w:lang w:val="sr-Latn-RS"/>
        </w:rPr>
        <w:t xml:space="preserve"> tablet</w:t>
      </w:r>
      <w:r w:rsidR="008722C9" w:rsidRPr="00966063">
        <w:rPr>
          <w:szCs w:val="22"/>
          <w:lang w:val="sr-Latn-RS"/>
        </w:rPr>
        <w:t>a</w:t>
      </w:r>
      <w:r w:rsidR="00CF178E" w:rsidRPr="00966063">
        <w:rPr>
          <w:szCs w:val="22"/>
          <w:lang w:val="sr-Latn-RS"/>
        </w:rPr>
        <w:t xml:space="preserve"> </w:t>
      </w:r>
      <w:r w:rsidRPr="00966063">
        <w:rPr>
          <w:szCs w:val="22"/>
          <w:lang w:val="sr-Latn-RS"/>
        </w:rPr>
        <w:t>se preporu</w:t>
      </w:r>
      <w:r w:rsidRPr="00966063">
        <w:rPr>
          <w:rFonts w:eastAsia="TimesNewRoman"/>
          <w:szCs w:val="22"/>
          <w:lang w:val="sr-Latn-RS"/>
        </w:rPr>
        <w:t>č</w:t>
      </w:r>
      <w:r w:rsidRPr="00966063">
        <w:rPr>
          <w:szCs w:val="22"/>
          <w:lang w:val="sr-Latn-RS"/>
        </w:rPr>
        <w:t>uje</w:t>
      </w:r>
      <w:r w:rsidR="00CF178E" w:rsidRPr="00966063">
        <w:rPr>
          <w:szCs w:val="22"/>
          <w:lang w:val="sr-Latn-RS"/>
        </w:rPr>
        <w:t xml:space="preserve"> </w:t>
      </w:r>
      <w:r w:rsidRPr="00966063">
        <w:rPr>
          <w:szCs w:val="22"/>
          <w:lang w:val="sr-Latn-RS"/>
        </w:rPr>
        <w:t>za l</w:t>
      </w:r>
      <w:r w:rsidR="007C553E">
        <w:rPr>
          <w:szCs w:val="22"/>
          <w:lang w:val="sr-Latn-RS"/>
        </w:rPr>
        <w:t>ij</w:t>
      </w:r>
      <w:r w:rsidRPr="00966063">
        <w:rPr>
          <w:szCs w:val="22"/>
          <w:lang w:val="sr-Latn-RS"/>
        </w:rPr>
        <w:t>ečenje bolnih i febrilnih stanja</w:t>
      </w:r>
      <w:r w:rsidR="00DC6496">
        <w:rPr>
          <w:szCs w:val="22"/>
          <w:lang w:val="sr-Latn-RS"/>
        </w:rPr>
        <w:t>,</w:t>
      </w:r>
      <w:r w:rsidR="00CF178E" w:rsidRPr="00966063">
        <w:rPr>
          <w:szCs w:val="22"/>
          <w:lang w:val="sr-Latn-RS"/>
        </w:rPr>
        <w:t xml:space="preserve"> </w:t>
      </w:r>
      <w:r w:rsidRPr="00966063">
        <w:rPr>
          <w:szCs w:val="22"/>
          <w:lang w:val="sr-Latn-RS"/>
        </w:rPr>
        <w:t>kao što su glavobolja (uklju</w:t>
      </w:r>
      <w:r w:rsidRPr="00966063">
        <w:rPr>
          <w:rFonts w:eastAsia="TimesNewRoman"/>
          <w:szCs w:val="22"/>
          <w:lang w:val="sr-Latn-RS"/>
        </w:rPr>
        <w:t>č</w:t>
      </w:r>
      <w:r w:rsidRPr="00966063">
        <w:rPr>
          <w:szCs w:val="22"/>
          <w:lang w:val="sr-Latn-RS"/>
        </w:rPr>
        <w:t>uju</w:t>
      </w:r>
      <w:r w:rsidRPr="00966063">
        <w:rPr>
          <w:rFonts w:eastAsia="TimesNewRoman"/>
          <w:szCs w:val="22"/>
          <w:lang w:val="sr-Latn-RS"/>
        </w:rPr>
        <w:t>ć</w:t>
      </w:r>
      <w:r w:rsidRPr="00966063">
        <w:rPr>
          <w:szCs w:val="22"/>
          <w:lang w:val="sr-Latn-RS"/>
        </w:rPr>
        <w:t>i i migrenu i tenzionu glavobolju), zubobolja, bol u le</w:t>
      </w:r>
      <w:r w:rsidRPr="00966063">
        <w:rPr>
          <w:rFonts w:eastAsia="TimesNewRoman"/>
          <w:szCs w:val="22"/>
          <w:lang w:val="sr-Latn-RS"/>
        </w:rPr>
        <w:t>đ</w:t>
      </w:r>
      <w:r w:rsidRPr="00966063">
        <w:rPr>
          <w:szCs w:val="22"/>
          <w:lang w:val="sr-Latn-RS"/>
        </w:rPr>
        <w:t>ima, reumatski bolovi i bolovi u miši</w:t>
      </w:r>
      <w:r w:rsidRPr="00966063">
        <w:rPr>
          <w:rFonts w:eastAsia="TimesNewRoman"/>
          <w:szCs w:val="22"/>
          <w:lang w:val="sr-Latn-RS"/>
        </w:rPr>
        <w:t>ć</w:t>
      </w:r>
      <w:r w:rsidRPr="00966063">
        <w:rPr>
          <w:szCs w:val="22"/>
          <w:lang w:val="sr-Latn-RS"/>
        </w:rPr>
        <w:t>im</w:t>
      </w:r>
      <w:r w:rsidR="00355087" w:rsidRPr="00966063">
        <w:rPr>
          <w:szCs w:val="22"/>
          <w:lang w:val="sr-Latn-RS"/>
        </w:rPr>
        <w:t>a, dismenoreja, bol u grlu, kao</w:t>
      </w:r>
      <w:r w:rsidRPr="00966063">
        <w:rPr>
          <w:szCs w:val="22"/>
          <w:lang w:val="sr-Latn-RS"/>
        </w:rPr>
        <w:t xml:space="preserve"> i za</w:t>
      </w:r>
      <w:r w:rsidR="00CF178E" w:rsidRPr="00966063">
        <w:rPr>
          <w:szCs w:val="22"/>
          <w:lang w:val="sr-Latn-RS"/>
        </w:rPr>
        <w:t xml:space="preserve"> </w:t>
      </w:r>
      <w:r w:rsidRPr="00966063">
        <w:rPr>
          <w:szCs w:val="22"/>
          <w:lang w:val="sr-Latn-RS"/>
        </w:rPr>
        <w:t>ublažavanje groznice, odnosno tegoba i bolova koji prate prehladu i grip.</w:t>
      </w:r>
      <w:r w:rsidR="00CF178E" w:rsidRPr="00966063">
        <w:rPr>
          <w:szCs w:val="22"/>
          <w:lang w:val="sr-Latn-RS"/>
        </w:rPr>
        <w:t xml:space="preserve"> </w:t>
      </w:r>
      <w:r w:rsidRPr="00966063">
        <w:rPr>
          <w:szCs w:val="22"/>
          <w:lang w:val="sr-Latn-RS"/>
        </w:rPr>
        <w:t>L</w:t>
      </w:r>
      <w:r w:rsidR="007C553E">
        <w:rPr>
          <w:szCs w:val="22"/>
          <w:lang w:val="sr-Latn-RS"/>
        </w:rPr>
        <w:t>ij</w:t>
      </w:r>
      <w:r w:rsidRPr="00966063">
        <w:rPr>
          <w:szCs w:val="22"/>
          <w:lang w:val="sr-Latn-RS"/>
        </w:rPr>
        <w:t>ek se takođe može koristiti kao simptomatska terapija</w:t>
      </w:r>
      <w:r w:rsidR="00CF178E" w:rsidRPr="00966063">
        <w:rPr>
          <w:szCs w:val="22"/>
          <w:lang w:val="sr-Latn-RS"/>
        </w:rPr>
        <w:t xml:space="preserve"> </w:t>
      </w:r>
      <w:r w:rsidRPr="00966063">
        <w:rPr>
          <w:szCs w:val="22"/>
          <w:lang w:val="sr-Latn-RS"/>
        </w:rPr>
        <w:t>kod bolova povezanih sa</w:t>
      </w:r>
      <w:r w:rsidR="00CF178E" w:rsidRPr="00966063">
        <w:rPr>
          <w:szCs w:val="22"/>
          <w:lang w:val="sr-Latn-RS"/>
        </w:rPr>
        <w:t xml:space="preserve"> </w:t>
      </w:r>
      <w:r w:rsidRPr="00966063">
        <w:rPr>
          <w:szCs w:val="22"/>
          <w:lang w:val="sr-Latn-RS"/>
        </w:rPr>
        <w:t>osteoartritisom.</w:t>
      </w:r>
    </w:p>
    <w:p w14:paraId="10DF4213" w14:textId="77777777" w:rsidR="008A295A" w:rsidRPr="00966063" w:rsidRDefault="008A295A" w:rsidP="004C01A2">
      <w:pPr>
        <w:rPr>
          <w:szCs w:val="22"/>
          <w:lang w:val="sr-Latn-RS"/>
        </w:rPr>
      </w:pPr>
    </w:p>
    <w:p w14:paraId="5FF68314" w14:textId="4AEE1A52" w:rsidR="008A295A" w:rsidRDefault="008A295A" w:rsidP="004C01A2">
      <w:pPr>
        <w:rPr>
          <w:b/>
          <w:bCs/>
          <w:szCs w:val="22"/>
          <w:lang w:val="sr-Latn-RS"/>
        </w:rPr>
      </w:pPr>
      <w:r w:rsidRPr="00966063">
        <w:rPr>
          <w:b/>
          <w:bCs/>
          <w:szCs w:val="22"/>
          <w:lang w:val="sr-Latn-RS"/>
        </w:rPr>
        <w:t>4.2. Doziranje i način prim</w:t>
      </w:r>
      <w:r w:rsidR="007C553E">
        <w:rPr>
          <w:b/>
          <w:bCs/>
          <w:szCs w:val="22"/>
          <w:lang w:val="sr-Latn-RS"/>
        </w:rPr>
        <w:t>j</w:t>
      </w:r>
      <w:r w:rsidRPr="00966063">
        <w:rPr>
          <w:b/>
          <w:bCs/>
          <w:szCs w:val="22"/>
          <w:lang w:val="sr-Latn-RS"/>
        </w:rPr>
        <w:t>ene</w:t>
      </w:r>
    </w:p>
    <w:p w14:paraId="2B7496D4" w14:textId="32CB1118" w:rsidR="007C553E" w:rsidRDefault="007C553E" w:rsidP="004C01A2">
      <w:pPr>
        <w:rPr>
          <w:b/>
          <w:bCs/>
          <w:szCs w:val="22"/>
          <w:lang w:val="sr-Latn-RS"/>
        </w:rPr>
      </w:pPr>
    </w:p>
    <w:p w14:paraId="335B8389" w14:textId="5C4AC3E5" w:rsidR="007C553E" w:rsidRPr="007C553E" w:rsidRDefault="007C553E" w:rsidP="007C553E">
      <w:pPr>
        <w:tabs>
          <w:tab w:val="left" w:pos="540"/>
          <w:tab w:val="left" w:pos="569"/>
        </w:tabs>
        <w:rPr>
          <w:bCs/>
          <w:szCs w:val="22"/>
          <w:u w:val="single"/>
        </w:rPr>
      </w:pPr>
      <w:r w:rsidRPr="00786071">
        <w:rPr>
          <w:bCs/>
          <w:szCs w:val="22"/>
          <w:u w:val="single"/>
        </w:rPr>
        <w:t>Doziranje</w:t>
      </w:r>
    </w:p>
    <w:p w14:paraId="0F0F8E9B" w14:textId="77777777" w:rsidR="008A295A" w:rsidRPr="00966063" w:rsidRDefault="008A295A" w:rsidP="00B049A2">
      <w:pPr>
        <w:pStyle w:val="NormalWeb"/>
        <w:spacing w:before="0" w:beforeAutospacing="0" w:after="0"/>
        <w:jc w:val="both"/>
        <w:rPr>
          <w:b/>
          <w:color w:val="0000FF"/>
          <w:sz w:val="22"/>
          <w:szCs w:val="22"/>
          <w:lang w:val="sr-Latn-RS"/>
        </w:rPr>
      </w:pPr>
    </w:p>
    <w:p w14:paraId="62DE78D8" w14:textId="3B4A0CF8" w:rsidR="008A295A" w:rsidRPr="00966063" w:rsidRDefault="008A295A" w:rsidP="00B049A2">
      <w:pPr>
        <w:rPr>
          <w:szCs w:val="22"/>
          <w:u w:val="single"/>
          <w:lang w:val="sr-Latn-RS"/>
        </w:rPr>
      </w:pPr>
      <w:r w:rsidRPr="00966063">
        <w:rPr>
          <w:szCs w:val="22"/>
          <w:u w:val="single"/>
          <w:lang w:val="sr-Latn-RS"/>
        </w:rPr>
        <w:t>Odrasli, starije osobe i d</w:t>
      </w:r>
      <w:r w:rsidR="007C553E">
        <w:rPr>
          <w:szCs w:val="22"/>
          <w:u w:val="single"/>
          <w:lang w:val="sr-Latn-RS"/>
        </w:rPr>
        <w:t>j</w:t>
      </w:r>
      <w:r w:rsidRPr="00966063">
        <w:rPr>
          <w:szCs w:val="22"/>
          <w:u w:val="single"/>
          <w:lang w:val="sr-Latn-RS"/>
        </w:rPr>
        <w:t>eca uzrasta 16 godina i starija</w:t>
      </w:r>
    </w:p>
    <w:p w14:paraId="0BCEDA94" w14:textId="16907132" w:rsidR="008A295A" w:rsidRPr="00966063" w:rsidRDefault="00CF178E" w:rsidP="00B049A2">
      <w:pPr>
        <w:rPr>
          <w:szCs w:val="22"/>
          <w:lang w:val="sr-Latn-RS"/>
        </w:rPr>
      </w:pPr>
      <w:r w:rsidRPr="00966063">
        <w:rPr>
          <w:szCs w:val="22"/>
          <w:lang w:val="sr-Latn-RS"/>
        </w:rPr>
        <w:t>Jedna ili dv</w:t>
      </w:r>
      <w:r w:rsidR="007C553E">
        <w:rPr>
          <w:szCs w:val="22"/>
          <w:lang w:val="sr-Latn-RS"/>
        </w:rPr>
        <w:t>ij</w:t>
      </w:r>
      <w:r w:rsidRPr="00966063">
        <w:rPr>
          <w:szCs w:val="22"/>
          <w:lang w:val="sr-Latn-RS"/>
        </w:rPr>
        <w:t xml:space="preserve">e </w:t>
      </w:r>
      <w:r w:rsidR="008A295A" w:rsidRPr="00966063">
        <w:rPr>
          <w:szCs w:val="22"/>
          <w:lang w:val="sr-Latn-RS"/>
        </w:rPr>
        <w:t>tablete do 4 puta dnevno, po potrebi.</w:t>
      </w:r>
    </w:p>
    <w:p w14:paraId="19A406A8" w14:textId="77777777" w:rsidR="008A295A" w:rsidRPr="00966063" w:rsidRDefault="008A295A" w:rsidP="00B049A2">
      <w:pPr>
        <w:rPr>
          <w:szCs w:val="22"/>
          <w:u w:val="single"/>
          <w:lang w:val="sr-Latn-RS"/>
        </w:rPr>
      </w:pPr>
    </w:p>
    <w:p w14:paraId="44A018EC" w14:textId="3E53435C" w:rsidR="008A295A" w:rsidRPr="00966063" w:rsidRDefault="008A295A" w:rsidP="00B049A2">
      <w:pPr>
        <w:rPr>
          <w:szCs w:val="22"/>
          <w:u w:val="single"/>
          <w:lang w:val="sr-Latn-RS"/>
        </w:rPr>
      </w:pPr>
      <w:r w:rsidRPr="00966063">
        <w:rPr>
          <w:szCs w:val="22"/>
          <w:u w:val="single"/>
          <w:lang w:val="sr-Latn-RS"/>
        </w:rPr>
        <w:t>D</w:t>
      </w:r>
      <w:r w:rsidR="007C553E">
        <w:rPr>
          <w:szCs w:val="22"/>
          <w:u w:val="single"/>
          <w:lang w:val="sr-Latn-RS"/>
        </w:rPr>
        <w:t>j</w:t>
      </w:r>
      <w:r w:rsidRPr="00966063">
        <w:rPr>
          <w:szCs w:val="22"/>
          <w:u w:val="single"/>
          <w:lang w:val="sr-Latn-RS"/>
        </w:rPr>
        <w:t>eca</w:t>
      </w:r>
    </w:p>
    <w:p w14:paraId="4CE8F0EC" w14:textId="77777777" w:rsidR="008A295A" w:rsidRPr="00966063" w:rsidRDefault="008A295A" w:rsidP="00B049A2">
      <w:pPr>
        <w:tabs>
          <w:tab w:val="clear" w:pos="284"/>
        </w:tabs>
        <w:autoSpaceDE w:val="0"/>
        <w:autoSpaceDN w:val="0"/>
        <w:adjustRightInd w:val="0"/>
        <w:rPr>
          <w:szCs w:val="22"/>
          <w:lang w:val="sr-Latn-RS"/>
        </w:rPr>
      </w:pPr>
      <w:r w:rsidRPr="00966063">
        <w:rPr>
          <w:i/>
          <w:szCs w:val="22"/>
          <w:lang w:val="sr-Latn-RS"/>
        </w:rPr>
        <w:t>Uzrast od 10 do 15 godina:</w:t>
      </w:r>
      <w:r w:rsidRPr="00966063">
        <w:rPr>
          <w:szCs w:val="22"/>
          <w:lang w:val="sr-Latn-RS"/>
        </w:rPr>
        <w:t xml:space="preserve"> jedna tableta do 4 puta dnevno, po potrebi.</w:t>
      </w:r>
    </w:p>
    <w:p w14:paraId="1F6F69C0" w14:textId="37B15194" w:rsidR="008A295A" w:rsidRPr="00966063" w:rsidRDefault="008A295A" w:rsidP="00B049A2">
      <w:pPr>
        <w:rPr>
          <w:szCs w:val="22"/>
          <w:lang w:val="sr-Latn-RS"/>
        </w:rPr>
      </w:pPr>
      <w:r w:rsidRPr="00966063">
        <w:rPr>
          <w:szCs w:val="22"/>
          <w:lang w:val="sr-Latn-RS"/>
        </w:rPr>
        <w:t>Paracetamol tablete ne treba prim</w:t>
      </w:r>
      <w:r w:rsidR="007C553E">
        <w:rPr>
          <w:szCs w:val="22"/>
          <w:lang w:val="sr-Latn-RS"/>
        </w:rPr>
        <w:t>j</w:t>
      </w:r>
      <w:r w:rsidRPr="00966063">
        <w:rPr>
          <w:szCs w:val="22"/>
          <w:lang w:val="sr-Latn-RS"/>
        </w:rPr>
        <w:t>enjivati kod d</w:t>
      </w:r>
      <w:r w:rsidR="007C553E">
        <w:rPr>
          <w:szCs w:val="22"/>
          <w:lang w:val="sr-Latn-RS"/>
        </w:rPr>
        <w:t>j</w:t>
      </w:r>
      <w:r w:rsidRPr="00966063">
        <w:rPr>
          <w:szCs w:val="22"/>
          <w:lang w:val="sr-Latn-RS"/>
        </w:rPr>
        <w:t>ece duže od 3 dana bez prethodne konsultacije sa l</w:t>
      </w:r>
      <w:r w:rsidR="007C553E">
        <w:rPr>
          <w:szCs w:val="22"/>
          <w:lang w:val="sr-Latn-RS"/>
        </w:rPr>
        <w:t>j</w:t>
      </w:r>
      <w:r w:rsidRPr="00966063">
        <w:rPr>
          <w:szCs w:val="22"/>
          <w:lang w:val="sr-Latn-RS"/>
        </w:rPr>
        <w:t>ekarom.</w:t>
      </w:r>
    </w:p>
    <w:p w14:paraId="1038A054" w14:textId="28936ED6" w:rsidR="008A295A" w:rsidRPr="00966063" w:rsidRDefault="008A295A" w:rsidP="00B049A2">
      <w:pPr>
        <w:rPr>
          <w:szCs w:val="22"/>
          <w:lang w:val="sr-Latn-RS"/>
        </w:rPr>
      </w:pPr>
      <w:r w:rsidRPr="00966063">
        <w:rPr>
          <w:szCs w:val="22"/>
          <w:lang w:val="sr-Latn-RS"/>
        </w:rPr>
        <w:t>Za d</w:t>
      </w:r>
      <w:r w:rsidR="007C553E">
        <w:rPr>
          <w:szCs w:val="22"/>
          <w:lang w:val="sr-Latn-RS"/>
        </w:rPr>
        <w:t>j</w:t>
      </w:r>
      <w:r w:rsidRPr="00966063">
        <w:rPr>
          <w:szCs w:val="22"/>
          <w:lang w:val="sr-Latn-RS"/>
        </w:rPr>
        <w:t>ecu mlađu od 10 godina tablete od 500 mg nisu pogodne, pa se preporučuje upotreba sirupa.</w:t>
      </w:r>
    </w:p>
    <w:p w14:paraId="676B651E" w14:textId="77777777" w:rsidR="008A295A" w:rsidRPr="00966063" w:rsidRDefault="008A295A" w:rsidP="00B049A2">
      <w:pPr>
        <w:tabs>
          <w:tab w:val="clear" w:pos="284"/>
        </w:tabs>
        <w:autoSpaceDE w:val="0"/>
        <w:autoSpaceDN w:val="0"/>
        <w:adjustRightInd w:val="0"/>
        <w:rPr>
          <w:szCs w:val="22"/>
          <w:lang w:val="sr-Latn-RS"/>
        </w:rPr>
      </w:pPr>
    </w:p>
    <w:p w14:paraId="1E132F5B" w14:textId="46622D5D" w:rsidR="008A295A" w:rsidRDefault="008A295A" w:rsidP="00B049A2">
      <w:pPr>
        <w:tabs>
          <w:tab w:val="clear" w:pos="284"/>
        </w:tabs>
        <w:autoSpaceDE w:val="0"/>
        <w:autoSpaceDN w:val="0"/>
        <w:adjustRightInd w:val="0"/>
        <w:rPr>
          <w:szCs w:val="22"/>
          <w:lang w:val="sr-Latn-RS"/>
        </w:rPr>
      </w:pPr>
      <w:r w:rsidRPr="00966063">
        <w:rPr>
          <w:szCs w:val="22"/>
          <w:lang w:val="sr-Latn-RS"/>
        </w:rPr>
        <w:t>Dozu</w:t>
      </w:r>
      <w:r w:rsidR="00CF178E" w:rsidRPr="00966063">
        <w:rPr>
          <w:szCs w:val="22"/>
          <w:lang w:val="sr-Latn-RS"/>
        </w:rPr>
        <w:t xml:space="preserve"> </w:t>
      </w:r>
      <w:r w:rsidRPr="00966063">
        <w:rPr>
          <w:szCs w:val="22"/>
          <w:lang w:val="sr-Latn-RS"/>
        </w:rPr>
        <w:t>je potrebno prim</w:t>
      </w:r>
      <w:r w:rsidR="007C553E">
        <w:rPr>
          <w:szCs w:val="22"/>
          <w:lang w:val="sr-Latn-RS"/>
        </w:rPr>
        <w:t>j</w:t>
      </w:r>
      <w:r w:rsidRPr="00966063">
        <w:rPr>
          <w:szCs w:val="22"/>
          <w:lang w:val="sr-Latn-RS"/>
        </w:rPr>
        <w:t>enjivati sa razmakom od najmanje 4 sata, a ne sm</w:t>
      </w:r>
      <w:r w:rsidR="007C553E">
        <w:rPr>
          <w:szCs w:val="22"/>
          <w:lang w:val="sr-Latn-RS"/>
        </w:rPr>
        <w:t>i</w:t>
      </w:r>
      <w:r w:rsidRPr="00966063">
        <w:rPr>
          <w:szCs w:val="22"/>
          <w:lang w:val="sr-Latn-RS"/>
        </w:rPr>
        <w:t>ju se prekoračiti 4 doze tokom 24 sata.</w:t>
      </w:r>
    </w:p>
    <w:p w14:paraId="3F731BF5" w14:textId="77777777" w:rsidR="007C553E" w:rsidRPr="00966063" w:rsidRDefault="007C553E" w:rsidP="00B049A2">
      <w:pPr>
        <w:tabs>
          <w:tab w:val="clear" w:pos="284"/>
        </w:tabs>
        <w:autoSpaceDE w:val="0"/>
        <w:autoSpaceDN w:val="0"/>
        <w:adjustRightInd w:val="0"/>
        <w:rPr>
          <w:szCs w:val="22"/>
          <w:lang w:val="sr-Latn-RS"/>
        </w:rPr>
      </w:pPr>
    </w:p>
    <w:p w14:paraId="0D189CB5" w14:textId="77777777" w:rsidR="007C553E" w:rsidRPr="00786071" w:rsidRDefault="007C553E" w:rsidP="007C553E">
      <w:pPr>
        <w:tabs>
          <w:tab w:val="left" w:pos="540"/>
          <w:tab w:val="left" w:pos="569"/>
        </w:tabs>
        <w:rPr>
          <w:bCs/>
          <w:szCs w:val="22"/>
          <w:u w:val="single"/>
        </w:rPr>
      </w:pPr>
      <w:r w:rsidRPr="00786071">
        <w:rPr>
          <w:bCs/>
          <w:szCs w:val="22"/>
          <w:u w:val="single"/>
        </w:rPr>
        <w:t>Način primjene</w:t>
      </w:r>
    </w:p>
    <w:p w14:paraId="610C6869" w14:textId="77777777" w:rsidR="008A295A" w:rsidRPr="00966063" w:rsidRDefault="008A295A" w:rsidP="00B049A2">
      <w:pPr>
        <w:tabs>
          <w:tab w:val="clear" w:pos="284"/>
        </w:tabs>
        <w:autoSpaceDE w:val="0"/>
        <w:autoSpaceDN w:val="0"/>
        <w:adjustRightInd w:val="0"/>
        <w:rPr>
          <w:szCs w:val="22"/>
          <w:lang w:val="sr-Latn-RS"/>
        </w:rPr>
      </w:pPr>
    </w:p>
    <w:p w14:paraId="340E6062" w14:textId="77777777" w:rsidR="008A295A" w:rsidRPr="00966063" w:rsidRDefault="008A295A" w:rsidP="00B049A2">
      <w:pPr>
        <w:tabs>
          <w:tab w:val="clear" w:pos="284"/>
        </w:tabs>
        <w:autoSpaceDE w:val="0"/>
        <w:autoSpaceDN w:val="0"/>
        <w:adjustRightInd w:val="0"/>
        <w:rPr>
          <w:szCs w:val="22"/>
          <w:lang w:val="sr-Latn-RS"/>
        </w:rPr>
      </w:pPr>
      <w:r w:rsidRPr="00966063">
        <w:rPr>
          <w:szCs w:val="22"/>
          <w:lang w:val="sr-Latn-RS"/>
        </w:rPr>
        <w:t>Isključivo za oralnu upotrebu.</w:t>
      </w:r>
    </w:p>
    <w:p w14:paraId="26945A15" w14:textId="77777777" w:rsidR="008A295A" w:rsidRPr="00966063" w:rsidRDefault="008A295A" w:rsidP="004C01A2">
      <w:pPr>
        <w:pStyle w:val="NormalWeb"/>
        <w:spacing w:before="0" w:beforeAutospacing="0" w:after="0"/>
        <w:jc w:val="both"/>
        <w:rPr>
          <w:b/>
          <w:color w:val="0000FF"/>
          <w:sz w:val="22"/>
          <w:szCs w:val="22"/>
          <w:lang w:val="sr-Latn-RS"/>
        </w:rPr>
      </w:pPr>
    </w:p>
    <w:p w14:paraId="2450A03D" w14:textId="77777777" w:rsidR="008A295A" w:rsidRPr="00966063" w:rsidRDefault="008A295A" w:rsidP="004C01A2">
      <w:pPr>
        <w:rPr>
          <w:b/>
          <w:bCs/>
          <w:szCs w:val="22"/>
          <w:lang w:val="sr-Latn-RS"/>
        </w:rPr>
      </w:pPr>
      <w:r w:rsidRPr="00966063">
        <w:rPr>
          <w:b/>
          <w:bCs/>
          <w:szCs w:val="22"/>
          <w:lang w:val="sr-Latn-RS"/>
        </w:rPr>
        <w:t xml:space="preserve">4.3. Kontraindikacije </w:t>
      </w:r>
    </w:p>
    <w:p w14:paraId="441FF803" w14:textId="77777777" w:rsidR="008A295A" w:rsidRPr="00966063" w:rsidRDefault="008A295A" w:rsidP="004C01A2">
      <w:pPr>
        <w:rPr>
          <w:b/>
          <w:bCs/>
          <w:szCs w:val="22"/>
          <w:lang w:val="sr-Latn-RS"/>
        </w:rPr>
      </w:pPr>
    </w:p>
    <w:p w14:paraId="197A593E" w14:textId="46B00C3B"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Preos</w:t>
      </w:r>
      <w:r w:rsidR="007C553E">
        <w:rPr>
          <w:szCs w:val="22"/>
          <w:lang w:val="sr-Latn-RS"/>
        </w:rPr>
        <w:t>j</w:t>
      </w:r>
      <w:r w:rsidRPr="00966063">
        <w:rPr>
          <w:szCs w:val="22"/>
          <w:lang w:val="sr-Latn-RS"/>
        </w:rPr>
        <w:t>etljivost na paracetamol</w:t>
      </w:r>
      <w:r w:rsidR="005640D0">
        <w:rPr>
          <w:szCs w:val="22"/>
          <w:lang w:val="sr-Latn-CS"/>
        </w:rPr>
        <w:t xml:space="preserve"> ili na bilo koju od pomoćnih supstanci navedenih u od</w:t>
      </w:r>
      <w:r w:rsidR="007C553E">
        <w:rPr>
          <w:szCs w:val="22"/>
          <w:lang w:val="sr-Latn-CS"/>
        </w:rPr>
        <w:t>j</w:t>
      </w:r>
      <w:r w:rsidR="005640D0">
        <w:rPr>
          <w:szCs w:val="22"/>
          <w:lang w:val="sr-Latn-CS"/>
        </w:rPr>
        <w:t>eljku 6.1</w:t>
      </w:r>
      <w:r w:rsidRPr="00966063">
        <w:rPr>
          <w:szCs w:val="22"/>
          <w:lang w:val="sr-Latn-RS"/>
        </w:rPr>
        <w:t>.</w:t>
      </w:r>
    </w:p>
    <w:p w14:paraId="05BE6450" w14:textId="77777777" w:rsidR="008A295A" w:rsidRPr="00966063" w:rsidRDefault="008A295A" w:rsidP="004D1981">
      <w:pPr>
        <w:rPr>
          <w:b/>
          <w:bCs/>
          <w:szCs w:val="22"/>
          <w:lang w:val="sr-Latn-RS"/>
        </w:rPr>
      </w:pPr>
    </w:p>
    <w:p w14:paraId="741AFACB" w14:textId="2593409C" w:rsidR="008A295A" w:rsidRPr="00966063" w:rsidRDefault="008A295A" w:rsidP="004D1981">
      <w:pPr>
        <w:rPr>
          <w:b/>
          <w:bCs/>
          <w:szCs w:val="22"/>
          <w:lang w:val="sr-Latn-RS"/>
        </w:rPr>
      </w:pPr>
      <w:r w:rsidRPr="00966063">
        <w:rPr>
          <w:b/>
          <w:bCs/>
          <w:szCs w:val="22"/>
          <w:lang w:val="sr-Latn-RS"/>
        </w:rPr>
        <w:t>4.4. Posebna upozorenja i m</w:t>
      </w:r>
      <w:r w:rsidR="007C553E">
        <w:rPr>
          <w:b/>
          <w:bCs/>
          <w:szCs w:val="22"/>
          <w:lang w:val="sr-Latn-RS"/>
        </w:rPr>
        <w:t>j</w:t>
      </w:r>
      <w:r w:rsidRPr="00966063">
        <w:rPr>
          <w:b/>
          <w:bCs/>
          <w:szCs w:val="22"/>
          <w:lang w:val="sr-Latn-RS"/>
        </w:rPr>
        <w:t>ere opreza pri upotrebi l</w:t>
      </w:r>
      <w:r w:rsidR="007C553E">
        <w:rPr>
          <w:b/>
          <w:bCs/>
          <w:szCs w:val="22"/>
          <w:lang w:val="sr-Latn-RS"/>
        </w:rPr>
        <w:t>ij</w:t>
      </w:r>
      <w:r w:rsidRPr="00966063">
        <w:rPr>
          <w:b/>
          <w:bCs/>
          <w:szCs w:val="22"/>
          <w:lang w:val="sr-Latn-RS"/>
        </w:rPr>
        <w:t>eka</w:t>
      </w:r>
    </w:p>
    <w:p w14:paraId="4A14449E" w14:textId="77777777" w:rsidR="008A295A" w:rsidRPr="00966063" w:rsidRDefault="008A295A" w:rsidP="004C01A2">
      <w:pPr>
        <w:rPr>
          <w:b/>
          <w:bCs/>
          <w:szCs w:val="22"/>
          <w:lang w:val="sr-Latn-RS"/>
        </w:rPr>
      </w:pPr>
    </w:p>
    <w:p w14:paraId="06993971" w14:textId="1D225BDE" w:rsidR="008A295A" w:rsidRPr="00966063" w:rsidRDefault="008A295A" w:rsidP="009419E8">
      <w:pPr>
        <w:tabs>
          <w:tab w:val="clear" w:pos="284"/>
        </w:tabs>
        <w:autoSpaceDE w:val="0"/>
        <w:autoSpaceDN w:val="0"/>
        <w:adjustRightInd w:val="0"/>
        <w:rPr>
          <w:szCs w:val="22"/>
          <w:lang w:val="sr-Latn-RS"/>
        </w:rPr>
      </w:pPr>
      <w:r w:rsidRPr="00966063">
        <w:rPr>
          <w:szCs w:val="22"/>
          <w:lang w:val="sr-Latn-RS"/>
        </w:rPr>
        <w:t>Potreban je poseban oprez pri upotrebi paracetamola kod pacijenata sa smanjenom funkcijom jetre ili bubrega.</w:t>
      </w:r>
      <w:r w:rsidR="00552BF3" w:rsidRPr="00966063">
        <w:rPr>
          <w:szCs w:val="22"/>
          <w:lang w:val="sr-Latn-RS"/>
        </w:rPr>
        <w:t xml:space="preserve"> </w:t>
      </w:r>
      <w:r w:rsidRPr="00966063">
        <w:rPr>
          <w:szCs w:val="22"/>
          <w:lang w:val="sr-Latn-RS"/>
        </w:rPr>
        <w:t>Rizik od predoziranja je ve</w:t>
      </w:r>
      <w:r w:rsidRPr="00966063">
        <w:rPr>
          <w:rFonts w:eastAsia="TimesNewRoman"/>
          <w:szCs w:val="22"/>
          <w:lang w:val="sr-Latn-RS"/>
        </w:rPr>
        <w:t>ć</w:t>
      </w:r>
      <w:r w:rsidRPr="00966063">
        <w:rPr>
          <w:szCs w:val="22"/>
          <w:lang w:val="sr-Latn-RS"/>
        </w:rPr>
        <w:t>i kod pacijenata sa oboljenjem jetre koje je posl</w:t>
      </w:r>
      <w:r w:rsidR="007C553E">
        <w:rPr>
          <w:szCs w:val="22"/>
          <w:lang w:val="sr-Latn-RS"/>
        </w:rPr>
        <w:t>j</w:t>
      </w:r>
      <w:r w:rsidRPr="00966063">
        <w:rPr>
          <w:szCs w:val="22"/>
          <w:lang w:val="sr-Latn-RS"/>
        </w:rPr>
        <w:t>edica zloupotrebe alkohola, a nije pra</w:t>
      </w:r>
      <w:r w:rsidRPr="00966063">
        <w:rPr>
          <w:rFonts w:eastAsia="TimesNewRoman"/>
          <w:szCs w:val="22"/>
          <w:lang w:val="sr-Latn-RS"/>
        </w:rPr>
        <w:t>ć</w:t>
      </w:r>
      <w:r w:rsidRPr="00966063">
        <w:rPr>
          <w:szCs w:val="22"/>
          <w:lang w:val="sr-Latn-RS"/>
        </w:rPr>
        <w:t>eno cirozom jetre.</w:t>
      </w:r>
    </w:p>
    <w:p w14:paraId="3F3D67F0" w14:textId="77777777" w:rsidR="008A295A" w:rsidRPr="00966063" w:rsidRDefault="008A295A" w:rsidP="004C01A2">
      <w:pPr>
        <w:rPr>
          <w:szCs w:val="22"/>
          <w:lang w:val="sr-Latn-RS"/>
        </w:rPr>
      </w:pPr>
    </w:p>
    <w:p w14:paraId="31C92B65" w14:textId="72974772" w:rsidR="008A295A" w:rsidRPr="00966063" w:rsidRDefault="008A295A" w:rsidP="004C01A2">
      <w:pPr>
        <w:rPr>
          <w:szCs w:val="22"/>
          <w:lang w:val="sr-Latn-RS"/>
        </w:rPr>
      </w:pPr>
      <w:r w:rsidRPr="00966063">
        <w:rPr>
          <w:szCs w:val="22"/>
          <w:lang w:val="sr-Latn-RS"/>
        </w:rPr>
        <w:t>Ne sm</w:t>
      </w:r>
      <w:r w:rsidR="007C553E">
        <w:rPr>
          <w:szCs w:val="22"/>
          <w:lang w:val="sr-Latn-RS"/>
        </w:rPr>
        <w:t>ij</w:t>
      </w:r>
      <w:r w:rsidRPr="00966063">
        <w:rPr>
          <w:szCs w:val="22"/>
          <w:lang w:val="sr-Latn-RS"/>
        </w:rPr>
        <w:t>e se prekoračiti preporučena doza.</w:t>
      </w:r>
    </w:p>
    <w:p w14:paraId="0D9286EE" w14:textId="0BACF2CE"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Pacijentima se sav</w:t>
      </w:r>
      <w:r w:rsidR="007C553E">
        <w:rPr>
          <w:szCs w:val="22"/>
          <w:lang w:val="sr-Latn-RS"/>
        </w:rPr>
        <w:t>j</w:t>
      </w:r>
      <w:r w:rsidRPr="00966063">
        <w:rPr>
          <w:szCs w:val="22"/>
          <w:lang w:val="sr-Latn-RS"/>
        </w:rPr>
        <w:t>etuje da konsultuju l</w:t>
      </w:r>
      <w:r w:rsidR="007C553E">
        <w:rPr>
          <w:szCs w:val="22"/>
          <w:lang w:val="sr-Latn-RS"/>
        </w:rPr>
        <w:t>j</w:t>
      </w:r>
      <w:r w:rsidRPr="00966063">
        <w:rPr>
          <w:szCs w:val="22"/>
          <w:lang w:val="sr-Latn-RS"/>
        </w:rPr>
        <w:t>ekara ukoliko im glavobolje postanu uporne.</w:t>
      </w:r>
    </w:p>
    <w:p w14:paraId="494F05A4" w14:textId="5BE9D9C1"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Pacijentima se sav</w:t>
      </w:r>
      <w:r w:rsidR="007C553E">
        <w:rPr>
          <w:szCs w:val="22"/>
          <w:lang w:val="sr-Latn-RS"/>
        </w:rPr>
        <w:t>j</w:t>
      </w:r>
      <w:r w:rsidRPr="00966063">
        <w:rPr>
          <w:szCs w:val="22"/>
          <w:lang w:val="sr-Latn-RS"/>
        </w:rPr>
        <w:t>etuje da istovremeno ne uzimaju druge l</w:t>
      </w:r>
      <w:r w:rsidR="007C553E">
        <w:rPr>
          <w:szCs w:val="22"/>
          <w:lang w:val="sr-Latn-RS"/>
        </w:rPr>
        <w:t>j</w:t>
      </w:r>
      <w:r w:rsidRPr="00966063">
        <w:rPr>
          <w:szCs w:val="22"/>
          <w:lang w:val="sr-Latn-RS"/>
        </w:rPr>
        <w:t>ekove koji sadrže paracetamol.</w:t>
      </w:r>
    </w:p>
    <w:p w14:paraId="779852B8" w14:textId="2FCF831B"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Pacijentima se sav</w:t>
      </w:r>
      <w:r w:rsidR="007C553E">
        <w:rPr>
          <w:szCs w:val="22"/>
          <w:lang w:val="sr-Latn-RS"/>
        </w:rPr>
        <w:t>j</w:t>
      </w:r>
      <w:r w:rsidRPr="00966063">
        <w:rPr>
          <w:szCs w:val="22"/>
          <w:lang w:val="sr-Latn-RS"/>
        </w:rPr>
        <w:t>etuje da konsultuju l</w:t>
      </w:r>
      <w:r w:rsidR="007C553E">
        <w:rPr>
          <w:szCs w:val="22"/>
          <w:lang w:val="sr-Latn-RS"/>
        </w:rPr>
        <w:t>j</w:t>
      </w:r>
      <w:r w:rsidRPr="00966063">
        <w:rPr>
          <w:szCs w:val="22"/>
          <w:lang w:val="sr-Latn-RS"/>
        </w:rPr>
        <w:t>ekara ukoliko boluju od artritisa manje ozbiljnog karaktera i ako postoji potreba za svakodnevnim uzimanjem l</w:t>
      </w:r>
      <w:r w:rsidR="007C553E">
        <w:rPr>
          <w:szCs w:val="22"/>
          <w:lang w:val="sr-Latn-RS"/>
        </w:rPr>
        <w:t>j</w:t>
      </w:r>
      <w:r w:rsidRPr="00966063">
        <w:rPr>
          <w:szCs w:val="22"/>
          <w:lang w:val="sr-Latn-RS"/>
        </w:rPr>
        <w:t>ekova protiv bolova.</w:t>
      </w:r>
    </w:p>
    <w:p w14:paraId="29AA5D7F" w14:textId="63605942"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Ukoliko se simptomi i nakon prim</w:t>
      </w:r>
      <w:r w:rsidR="007C553E">
        <w:rPr>
          <w:szCs w:val="22"/>
          <w:lang w:val="sr-Latn-RS"/>
        </w:rPr>
        <w:t>j</w:t>
      </w:r>
      <w:r w:rsidRPr="00966063">
        <w:rPr>
          <w:szCs w:val="22"/>
          <w:lang w:val="sr-Latn-RS"/>
        </w:rPr>
        <w:t>ene l</w:t>
      </w:r>
      <w:r w:rsidR="007C553E">
        <w:rPr>
          <w:szCs w:val="22"/>
          <w:lang w:val="sr-Latn-RS"/>
        </w:rPr>
        <w:t>ij</w:t>
      </w:r>
      <w:r w:rsidRPr="00966063">
        <w:rPr>
          <w:szCs w:val="22"/>
          <w:lang w:val="sr-Latn-RS"/>
        </w:rPr>
        <w:t>eka ne povlače, javiti se l</w:t>
      </w:r>
      <w:r w:rsidR="007C553E">
        <w:rPr>
          <w:szCs w:val="22"/>
          <w:lang w:val="sr-Latn-RS"/>
        </w:rPr>
        <w:t>j</w:t>
      </w:r>
      <w:r w:rsidRPr="00966063">
        <w:rPr>
          <w:szCs w:val="22"/>
          <w:lang w:val="sr-Latn-RS"/>
        </w:rPr>
        <w:t>ekaru.</w:t>
      </w:r>
    </w:p>
    <w:p w14:paraId="07D1A655" w14:textId="024D14D8" w:rsidR="008A295A" w:rsidRPr="00966063" w:rsidRDefault="008A295A" w:rsidP="004C01A2">
      <w:pPr>
        <w:rPr>
          <w:bCs/>
          <w:szCs w:val="22"/>
          <w:lang w:val="sr-Latn-RS"/>
        </w:rPr>
      </w:pPr>
      <w:r w:rsidRPr="00966063">
        <w:rPr>
          <w:bCs/>
          <w:szCs w:val="22"/>
          <w:lang w:val="sr-Latn-RS"/>
        </w:rPr>
        <w:t>Čuvati van domašaja d</w:t>
      </w:r>
      <w:r w:rsidR="007C553E">
        <w:rPr>
          <w:bCs/>
          <w:szCs w:val="22"/>
          <w:lang w:val="sr-Latn-RS"/>
        </w:rPr>
        <w:t>j</w:t>
      </w:r>
      <w:r w:rsidRPr="00966063">
        <w:rPr>
          <w:bCs/>
          <w:szCs w:val="22"/>
          <w:lang w:val="sr-Latn-RS"/>
        </w:rPr>
        <w:t>ece.</w:t>
      </w:r>
    </w:p>
    <w:p w14:paraId="0618C270" w14:textId="77777777" w:rsidR="008A295A" w:rsidRPr="00966063" w:rsidRDefault="008A295A" w:rsidP="004C01A2">
      <w:pPr>
        <w:rPr>
          <w:b/>
          <w:bCs/>
          <w:szCs w:val="22"/>
          <w:lang w:val="sr-Latn-RS"/>
        </w:rPr>
      </w:pPr>
    </w:p>
    <w:p w14:paraId="7EE8018C" w14:textId="62254A1B" w:rsidR="008A295A" w:rsidRPr="00966063" w:rsidRDefault="008A295A" w:rsidP="004C01A2">
      <w:pPr>
        <w:rPr>
          <w:b/>
          <w:bCs/>
          <w:szCs w:val="22"/>
          <w:lang w:val="sr-Latn-RS"/>
        </w:rPr>
      </w:pPr>
      <w:r w:rsidRPr="00966063">
        <w:rPr>
          <w:b/>
          <w:bCs/>
          <w:szCs w:val="22"/>
          <w:lang w:val="sr-Latn-RS"/>
        </w:rPr>
        <w:t>4.5. Interakcije sa drugim l</w:t>
      </w:r>
      <w:r w:rsidR="007C553E">
        <w:rPr>
          <w:b/>
          <w:bCs/>
          <w:szCs w:val="22"/>
          <w:lang w:val="sr-Latn-RS"/>
        </w:rPr>
        <w:t>j</w:t>
      </w:r>
      <w:r w:rsidRPr="00966063">
        <w:rPr>
          <w:b/>
          <w:bCs/>
          <w:szCs w:val="22"/>
          <w:lang w:val="sr-Latn-RS"/>
        </w:rPr>
        <w:t>ekovima i druge vrste interakcija</w:t>
      </w:r>
    </w:p>
    <w:p w14:paraId="25906746" w14:textId="77777777" w:rsidR="008A295A" w:rsidRPr="00966063" w:rsidRDefault="008A295A" w:rsidP="004C01A2">
      <w:pPr>
        <w:tabs>
          <w:tab w:val="clear" w:pos="284"/>
        </w:tabs>
        <w:rPr>
          <w:iCs/>
          <w:color w:val="000000"/>
          <w:szCs w:val="22"/>
          <w:lang w:val="sr-Latn-RS"/>
        </w:rPr>
      </w:pPr>
    </w:p>
    <w:p w14:paraId="2FD6B562" w14:textId="14DBF197" w:rsidR="008A295A" w:rsidRPr="00966063" w:rsidRDefault="00552BF3" w:rsidP="004C01A2">
      <w:pPr>
        <w:tabs>
          <w:tab w:val="clear" w:pos="284"/>
        </w:tabs>
        <w:rPr>
          <w:iCs/>
          <w:color w:val="000000"/>
          <w:szCs w:val="22"/>
          <w:lang w:val="sr-Latn-RS"/>
        </w:rPr>
      </w:pPr>
      <w:r w:rsidRPr="00966063">
        <w:rPr>
          <w:szCs w:val="22"/>
          <w:lang w:val="sr-Latn-RS"/>
        </w:rPr>
        <w:t>Metoklopra</w:t>
      </w:r>
      <w:r w:rsidR="008A295A" w:rsidRPr="00966063">
        <w:rPr>
          <w:szCs w:val="22"/>
          <w:lang w:val="sr-Latn-RS"/>
        </w:rPr>
        <w:t>mid ili domperidon mogu pove</w:t>
      </w:r>
      <w:r w:rsidR="008A295A" w:rsidRPr="00966063">
        <w:rPr>
          <w:rFonts w:eastAsia="TimesNewRoman"/>
          <w:szCs w:val="22"/>
          <w:lang w:val="sr-Latn-RS"/>
        </w:rPr>
        <w:t>ć</w:t>
      </w:r>
      <w:r w:rsidR="008A295A" w:rsidRPr="00966063">
        <w:rPr>
          <w:szCs w:val="22"/>
          <w:lang w:val="sr-Latn-RS"/>
        </w:rPr>
        <w:t>ati brzinu resorpcije paracetamola, a holestiramin može smanjiti njegovu resorpciju. Antikoagulantno dejstvo varfarina i drugih kumarinskih derivata može biti poja</w:t>
      </w:r>
      <w:r w:rsidR="008A295A" w:rsidRPr="00966063">
        <w:rPr>
          <w:rFonts w:eastAsia="TimesNewRoman"/>
          <w:szCs w:val="22"/>
          <w:lang w:val="sr-Latn-RS"/>
        </w:rPr>
        <w:t>č</w:t>
      </w:r>
      <w:r w:rsidR="008A295A" w:rsidRPr="00966063">
        <w:rPr>
          <w:szCs w:val="22"/>
          <w:lang w:val="sr-Latn-RS"/>
        </w:rPr>
        <w:t xml:space="preserve">ano produženom redovnom </w:t>
      </w:r>
      <w:r w:rsidR="00A15821">
        <w:rPr>
          <w:szCs w:val="22"/>
          <w:lang w:val="sr-Latn-RS"/>
        </w:rPr>
        <w:t>prim</w:t>
      </w:r>
      <w:r w:rsidR="007C553E">
        <w:rPr>
          <w:szCs w:val="22"/>
          <w:lang w:val="sr-Latn-RS"/>
        </w:rPr>
        <w:t>j</w:t>
      </w:r>
      <w:r w:rsidR="00A15821">
        <w:rPr>
          <w:szCs w:val="22"/>
          <w:lang w:val="sr-Latn-RS"/>
        </w:rPr>
        <w:t>enom</w:t>
      </w:r>
      <w:r w:rsidR="00A15821" w:rsidRPr="00966063">
        <w:rPr>
          <w:szCs w:val="22"/>
          <w:lang w:val="sr-Latn-RS"/>
        </w:rPr>
        <w:t xml:space="preserve"> </w:t>
      </w:r>
      <w:r w:rsidR="008A295A" w:rsidRPr="00966063">
        <w:rPr>
          <w:szCs w:val="22"/>
          <w:lang w:val="sr-Latn-RS"/>
        </w:rPr>
        <w:t>paracetamola, dovode</w:t>
      </w:r>
      <w:r w:rsidR="008A295A" w:rsidRPr="00966063">
        <w:rPr>
          <w:rFonts w:eastAsia="TimesNewRoman"/>
          <w:szCs w:val="22"/>
          <w:lang w:val="sr-Latn-RS"/>
        </w:rPr>
        <w:t>ć</w:t>
      </w:r>
      <w:r w:rsidR="008A295A" w:rsidRPr="00966063">
        <w:rPr>
          <w:szCs w:val="22"/>
          <w:lang w:val="sr-Latn-RS"/>
        </w:rPr>
        <w:t>i do pove</w:t>
      </w:r>
      <w:r w:rsidR="008A295A" w:rsidRPr="00966063">
        <w:rPr>
          <w:rFonts w:eastAsia="TimesNewRoman"/>
          <w:szCs w:val="22"/>
          <w:lang w:val="sr-Latn-RS"/>
        </w:rPr>
        <w:t>ć</w:t>
      </w:r>
      <w:r w:rsidR="008A295A" w:rsidRPr="00966063">
        <w:rPr>
          <w:szCs w:val="22"/>
          <w:lang w:val="sr-Latn-RS"/>
        </w:rPr>
        <w:t>anog rizika od krvarenja. Povremeno uzimanje l</w:t>
      </w:r>
      <w:r w:rsidR="007C553E">
        <w:rPr>
          <w:szCs w:val="22"/>
          <w:lang w:val="sr-Latn-RS"/>
        </w:rPr>
        <w:t>ij</w:t>
      </w:r>
      <w:r w:rsidR="008A295A" w:rsidRPr="00966063">
        <w:rPr>
          <w:szCs w:val="22"/>
          <w:lang w:val="sr-Latn-RS"/>
        </w:rPr>
        <w:t>eka nema zna</w:t>
      </w:r>
      <w:r w:rsidR="008A295A" w:rsidRPr="00966063">
        <w:rPr>
          <w:rFonts w:eastAsia="TimesNewRoman"/>
          <w:szCs w:val="22"/>
          <w:lang w:val="sr-Latn-RS"/>
        </w:rPr>
        <w:t>č</w:t>
      </w:r>
      <w:r w:rsidR="008A295A" w:rsidRPr="00966063">
        <w:rPr>
          <w:szCs w:val="22"/>
          <w:lang w:val="sr-Latn-RS"/>
        </w:rPr>
        <w:t>ajnog efekta.</w:t>
      </w:r>
    </w:p>
    <w:p w14:paraId="5AF938FB" w14:textId="77777777" w:rsidR="008A295A" w:rsidRPr="00966063" w:rsidRDefault="008A295A" w:rsidP="004C01A2">
      <w:pPr>
        <w:tabs>
          <w:tab w:val="clear" w:pos="284"/>
        </w:tabs>
        <w:rPr>
          <w:iCs/>
          <w:color w:val="000000"/>
          <w:szCs w:val="22"/>
          <w:lang w:val="sr-Latn-RS"/>
        </w:rPr>
      </w:pPr>
    </w:p>
    <w:p w14:paraId="260BE0DC" w14:textId="77777777" w:rsidR="008A295A" w:rsidRPr="00966063" w:rsidRDefault="008A295A" w:rsidP="004C01A2">
      <w:pPr>
        <w:rPr>
          <w:b/>
          <w:bCs/>
          <w:szCs w:val="22"/>
          <w:lang w:val="sr-Latn-RS"/>
        </w:rPr>
      </w:pPr>
      <w:r w:rsidRPr="00966063">
        <w:rPr>
          <w:b/>
          <w:bCs/>
          <w:szCs w:val="22"/>
          <w:lang w:val="sr-Latn-RS"/>
        </w:rPr>
        <w:t>4.6. Plodnost, trudnoća i dojenje</w:t>
      </w:r>
    </w:p>
    <w:p w14:paraId="07B853DF" w14:textId="77777777" w:rsidR="000F73B3" w:rsidRPr="00DB5090" w:rsidRDefault="000F73B3" w:rsidP="007466D5">
      <w:pPr>
        <w:tabs>
          <w:tab w:val="left" w:pos="540"/>
          <w:tab w:val="left" w:pos="569"/>
        </w:tabs>
        <w:rPr>
          <w:szCs w:val="22"/>
          <w:u w:val="single"/>
          <w:lang w:val="sr-Latn-RS"/>
        </w:rPr>
      </w:pPr>
    </w:p>
    <w:p w14:paraId="1A6B9ED6" w14:textId="50DB4A25" w:rsidR="007466D5" w:rsidRPr="00DB5090" w:rsidRDefault="007466D5" w:rsidP="007466D5">
      <w:pPr>
        <w:tabs>
          <w:tab w:val="left" w:pos="540"/>
          <w:tab w:val="left" w:pos="569"/>
        </w:tabs>
        <w:rPr>
          <w:szCs w:val="22"/>
          <w:u w:val="single"/>
          <w:lang w:val="sr-Latn-RS"/>
        </w:rPr>
      </w:pPr>
      <w:r w:rsidRPr="00DB5090">
        <w:rPr>
          <w:szCs w:val="22"/>
          <w:u w:val="single"/>
          <w:lang w:val="sr-Latn-RS"/>
        </w:rPr>
        <w:t>Trudnoća</w:t>
      </w:r>
    </w:p>
    <w:p w14:paraId="30BE0C13" w14:textId="77777777" w:rsidR="008A295A" w:rsidRPr="00966063" w:rsidRDefault="008A295A" w:rsidP="004C01A2">
      <w:pPr>
        <w:rPr>
          <w:color w:val="0000FF"/>
          <w:szCs w:val="22"/>
          <w:lang w:val="sr-Latn-RS"/>
        </w:rPr>
      </w:pPr>
    </w:p>
    <w:p w14:paraId="7A544FDF" w14:textId="77777777" w:rsidR="007466D5" w:rsidRPr="00DB5090" w:rsidRDefault="008A295A" w:rsidP="007466D5">
      <w:pPr>
        <w:tabs>
          <w:tab w:val="left" w:pos="540"/>
          <w:tab w:val="left" w:pos="569"/>
        </w:tabs>
        <w:rPr>
          <w:szCs w:val="22"/>
          <w:u w:val="single"/>
          <w:lang w:val="sr-Latn-RS"/>
        </w:rPr>
      </w:pPr>
      <w:r w:rsidRPr="00966063">
        <w:rPr>
          <w:szCs w:val="22"/>
          <w:lang w:val="sr-Latn-RS"/>
        </w:rPr>
        <w:t>Epidemiološke studi</w:t>
      </w:r>
      <w:r w:rsidR="00552BF3" w:rsidRPr="00966063">
        <w:rPr>
          <w:szCs w:val="22"/>
          <w:lang w:val="sr-Latn-RS"/>
        </w:rPr>
        <w:t xml:space="preserve">je kod trudnica nisu pokazale </w:t>
      </w:r>
      <w:r w:rsidR="006611A1" w:rsidRPr="00966063">
        <w:rPr>
          <w:szCs w:val="22"/>
          <w:lang w:val="sr-Latn-RS"/>
        </w:rPr>
        <w:t>loša dejstva</w:t>
      </w:r>
      <w:r w:rsidRPr="00966063">
        <w:rPr>
          <w:szCs w:val="22"/>
          <w:lang w:val="sr-Latn-RS"/>
        </w:rPr>
        <w:t xml:space="preserve"> paracetamola kada se</w:t>
      </w:r>
      <w:r w:rsidR="00552BF3" w:rsidRPr="00966063">
        <w:rPr>
          <w:szCs w:val="22"/>
          <w:lang w:val="sr-Latn-RS"/>
        </w:rPr>
        <w:t xml:space="preserve"> </w:t>
      </w:r>
      <w:r w:rsidRPr="00966063">
        <w:rPr>
          <w:szCs w:val="22"/>
          <w:lang w:val="sr-Latn-RS"/>
        </w:rPr>
        <w:t>koristi u okviru preporu</w:t>
      </w:r>
      <w:r w:rsidRPr="00966063">
        <w:rPr>
          <w:rFonts w:eastAsia="TimesNewRoman"/>
          <w:szCs w:val="22"/>
          <w:lang w:val="sr-Latn-RS"/>
        </w:rPr>
        <w:t>č</w:t>
      </w:r>
      <w:r w:rsidR="006611A1" w:rsidRPr="00966063">
        <w:rPr>
          <w:szCs w:val="22"/>
          <w:lang w:val="sr-Latn-RS"/>
        </w:rPr>
        <w:t>ene doze, ali pacijenti treba da se pridržavaju sav</w:t>
      </w:r>
      <w:r w:rsidR="007C553E">
        <w:rPr>
          <w:szCs w:val="22"/>
          <w:lang w:val="sr-Latn-RS"/>
        </w:rPr>
        <w:t>j</w:t>
      </w:r>
      <w:r w:rsidR="006611A1" w:rsidRPr="00966063">
        <w:rPr>
          <w:szCs w:val="22"/>
          <w:lang w:val="sr-Latn-RS"/>
        </w:rPr>
        <w:t>eta svog l</w:t>
      </w:r>
      <w:r w:rsidR="007466D5">
        <w:rPr>
          <w:szCs w:val="22"/>
          <w:lang w:val="sr-Latn-RS"/>
        </w:rPr>
        <w:t>j</w:t>
      </w:r>
      <w:r w:rsidR="006611A1" w:rsidRPr="00966063">
        <w:rPr>
          <w:szCs w:val="22"/>
          <w:lang w:val="sr-Latn-RS"/>
        </w:rPr>
        <w:t>ekara u vezi upotrebe l</w:t>
      </w:r>
      <w:r w:rsidR="007466D5">
        <w:rPr>
          <w:szCs w:val="22"/>
          <w:lang w:val="sr-Latn-RS"/>
        </w:rPr>
        <w:t>ij</w:t>
      </w:r>
      <w:r w:rsidR="006611A1" w:rsidRPr="00966063">
        <w:rPr>
          <w:szCs w:val="22"/>
          <w:lang w:val="sr-Latn-RS"/>
        </w:rPr>
        <w:t>eka</w:t>
      </w:r>
      <w:r w:rsidR="007466D5" w:rsidRPr="00DB5090">
        <w:rPr>
          <w:szCs w:val="22"/>
          <w:u w:val="single"/>
          <w:lang w:val="sr-Latn-RS"/>
        </w:rPr>
        <w:t>.</w:t>
      </w:r>
    </w:p>
    <w:p w14:paraId="18F76590" w14:textId="77777777" w:rsidR="007466D5" w:rsidRPr="00DB5090" w:rsidRDefault="007466D5" w:rsidP="007466D5">
      <w:pPr>
        <w:tabs>
          <w:tab w:val="left" w:pos="540"/>
          <w:tab w:val="left" w:pos="569"/>
        </w:tabs>
        <w:rPr>
          <w:szCs w:val="22"/>
          <w:u w:val="single"/>
          <w:lang w:val="sr-Latn-RS"/>
        </w:rPr>
      </w:pPr>
    </w:p>
    <w:p w14:paraId="1864B238" w14:textId="0F891500" w:rsidR="007466D5" w:rsidRPr="00DB5090" w:rsidRDefault="007466D5" w:rsidP="007466D5">
      <w:pPr>
        <w:tabs>
          <w:tab w:val="left" w:pos="540"/>
          <w:tab w:val="left" w:pos="569"/>
        </w:tabs>
        <w:rPr>
          <w:b/>
          <w:bCs/>
          <w:szCs w:val="22"/>
          <w:lang w:val="sr-Latn-RS"/>
        </w:rPr>
      </w:pPr>
      <w:r w:rsidRPr="00DB5090">
        <w:rPr>
          <w:szCs w:val="22"/>
          <w:u w:val="single"/>
          <w:lang w:val="sr-Latn-RS"/>
        </w:rPr>
        <w:t xml:space="preserve">Dojenje </w:t>
      </w:r>
    </w:p>
    <w:p w14:paraId="05E1F891" w14:textId="292041BC" w:rsidR="008A295A" w:rsidRPr="00966063" w:rsidRDefault="008A295A" w:rsidP="004C01A2">
      <w:pPr>
        <w:tabs>
          <w:tab w:val="clear" w:pos="284"/>
        </w:tabs>
        <w:autoSpaceDE w:val="0"/>
        <w:autoSpaceDN w:val="0"/>
        <w:adjustRightInd w:val="0"/>
        <w:rPr>
          <w:szCs w:val="22"/>
          <w:lang w:val="sr-Latn-RS"/>
        </w:rPr>
      </w:pPr>
      <w:r w:rsidRPr="00966063">
        <w:rPr>
          <w:szCs w:val="22"/>
          <w:lang w:val="sr-Latn-RS"/>
        </w:rPr>
        <w:t>Paracetamol se izlu</w:t>
      </w:r>
      <w:r w:rsidRPr="00966063">
        <w:rPr>
          <w:rFonts w:eastAsia="TimesNewRoman"/>
          <w:szCs w:val="22"/>
          <w:lang w:val="sr-Latn-RS"/>
        </w:rPr>
        <w:t>č</w:t>
      </w:r>
      <w:r w:rsidRPr="00966063">
        <w:rPr>
          <w:szCs w:val="22"/>
          <w:lang w:val="sr-Latn-RS"/>
        </w:rPr>
        <w:t>uje u ml</w:t>
      </w:r>
      <w:r w:rsidR="007466D5">
        <w:rPr>
          <w:szCs w:val="22"/>
          <w:lang w:val="sr-Latn-RS"/>
        </w:rPr>
        <w:t>ij</w:t>
      </w:r>
      <w:r w:rsidRPr="00966063">
        <w:rPr>
          <w:szCs w:val="22"/>
          <w:lang w:val="sr-Latn-RS"/>
        </w:rPr>
        <w:t>eko, ali ne u klini</w:t>
      </w:r>
      <w:r w:rsidRPr="00966063">
        <w:rPr>
          <w:rFonts w:eastAsia="TimesNewRoman"/>
          <w:szCs w:val="22"/>
          <w:lang w:val="sr-Latn-RS"/>
        </w:rPr>
        <w:t>č</w:t>
      </w:r>
      <w:r w:rsidRPr="00966063">
        <w:rPr>
          <w:szCs w:val="22"/>
          <w:lang w:val="sr-Latn-RS"/>
        </w:rPr>
        <w:t>ki zna</w:t>
      </w:r>
      <w:r w:rsidRPr="00966063">
        <w:rPr>
          <w:rFonts w:eastAsia="TimesNewRoman"/>
          <w:szCs w:val="22"/>
          <w:lang w:val="sr-Latn-RS"/>
        </w:rPr>
        <w:t>č</w:t>
      </w:r>
      <w:r w:rsidRPr="00966063">
        <w:rPr>
          <w:szCs w:val="22"/>
          <w:lang w:val="sr-Latn-RS"/>
        </w:rPr>
        <w:t>ajnim koli</w:t>
      </w:r>
      <w:r w:rsidRPr="00966063">
        <w:rPr>
          <w:rFonts w:eastAsia="TimesNewRoman"/>
          <w:szCs w:val="22"/>
          <w:lang w:val="sr-Latn-RS"/>
        </w:rPr>
        <w:t>č</w:t>
      </w:r>
      <w:r w:rsidRPr="00966063">
        <w:rPr>
          <w:szCs w:val="22"/>
          <w:lang w:val="sr-Latn-RS"/>
        </w:rPr>
        <w:t>inama. Dostupni objavljeni podaci o paracetamolu ukazuju da ne postoje kontraindikacije za dojenje.</w:t>
      </w:r>
    </w:p>
    <w:p w14:paraId="490986FA" w14:textId="77777777" w:rsidR="008A295A" w:rsidRPr="00966063" w:rsidRDefault="008A295A" w:rsidP="004C01A2">
      <w:pPr>
        <w:pStyle w:val="NoSpacing"/>
        <w:jc w:val="both"/>
        <w:rPr>
          <w:rFonts w:ascii="Times New Roman" w:hAnsi="Times New Roman"/>
          <w:lang w:val="sr-Latn-RS"/>
        </w:rPr>
      </w:pPr>
    </w:p>
    <w:p w14:paraId="0D8BF66C" w14:textId="5A41C3F4" w:rsidR="008A295A" w:rsidRPr="00966063" w:rsidRDefault="008A295A" w:rsidP="004C01A2">
      <w:pPr>
        <w:rPr>
          <w:b/>
          <w:bCs/>
          <w:szCs w:val="22"/>
          <w:lang w:val="sr-Latn-RS"/>
        </w:rPr>
      </w:pPr>
      <w:r w:rsidRPr="00966063">
        <w:rPr>
          <w:b/>
          <w:bCs/>
          <w:szCs w:val="22"/>
          <w:lang w:val="sr-Latn-RS"/>
        </w:rPr>
        <w:t>4.7. Uticaj na sposobnost upravljanja vozilima i rukovanja mašinama</w:t>
      </w:r>
    </w:p>
    <w:p w14:paraId="4D79394B" w14:textId="77777777" w:rsidR="008A295A" w:rsidRPr="00966063" w:rsidRDefault="008A295A" w:rsidP="004C01A2">
      <w:pPr>
        <w:tabs>
          <w:tab w:val="clear" w:pos="284"/>
        </w:tabs>
        <w:autoSpaceDE w:val="0"/>
        <w:autoSpaceDN w:val="0"/>
        <w:adjustRightInd w:val="0"/>
        <w:rPr>
          <w:rFonts w:eastAsia="TimesNewRoman"/>
          <w:color w:val="0000FF"/>
          <w:szCs w:val="22"/>
          <w:lang w:val="sr-Latn-RS"/>
        </w:rPr>
      </w:pPr>
    </w:p>
    <w:p w14:paraId="3E97C498" w14:textId="777EF3DA" w:rsidR="008A295A" w:rsidRPr="00966063" w:rsidRDefault="008A295A" w:rsidP="004C01A2">
      <w:pPr>
        <w:tabs>
          <w:tab w:val="clear" w:pos="284"/>
        </w:tabs>
        <w:autoSpaceDE w:val="0"/>
        <w:autoSpaceDN w:val="0"/>
        <w:adjustRightInd w:val="0"/>
        <w:rPr>
          <w:rFonts w:eastAsia="TimesNewRoman"/>
          <w:color w:val="0000FF"/>
          <w:szCs w:val="22"/>
          <w:lang w:val="sr-Latn-RS"/>
        </w:rPr>
      </w:pPr>
      <w:r w:rsidRPr="00966063">
        <w:rPr>
          <w:szCs w:val="22"/>
          <w:lang w:val="sr-Latn-RS"/>
        </w:rPr>
        <w:t>Paracetamol ne utiče na sposobnost upravljanja vozilom i rukovanja mašinama.</w:t>
      </w:r>
    </w:p>
    <w:p w14:paraId="5F5DC698" w14:textId="77777777" w:rsidR="008A295A" w:rsidRPr="00966063" w:rsidRDefault="008A295A" w:rsidP="004C01A2">
      <w:pPr>
        <w:tabs>
          <w:tab w:val="clear" w:pos="284"/>
        </w:tabs>
        <w:autoSpaceDE w:val="0"/>
        <w:autoSpaceDN w:val="0"/>
        <w:adjustRightInd w:val="0"/>
        <w:rPr>
          <w:rFonts w:eastAsia="TimesNewRoman"/>
          <w:color w:val="0000FF"/>
          <w:szCs w:val="22"/>
          <w:lang w:val="sr-Latn-RS"/>
        </w:rPr>
      </w:pPr>
    </w:p>
    <w:p w14:paraId="2B98AB15" w14:textId="77777777" w:rsidR="008A295A" w:rsidRPr="00966063" w:rsidRDefault="008A295A" w:rsidP="004C01A2">
      <w:pPr>
        <w:rPr>
          <w:b/>
          <w:bCs/>
          <w:szCs w:val="22"/>
          <w:lang w:val="sr-Latn-RS"/>
        </w:rPr>
      </w:pPr>
      <w:r w:rsidRPr="00966063">
        <w:rPr>
          <w:b/>
          <w:bCs/>
          <w:szCs w:val="22"/>
          <w:lang w:val="sr-Latn-RS"/>
        </w:rPr>
        <w:t>4.8. Neželjena dejstva</w:t>
      </w:r>
    </w:p>
    <w:p w14:paraId="1AE813C1" w14:textId="77777777" w:rsidR="008A295A" w:rsidRPr="00966063" w:rsidRDefault="008A295A" w:rsidP="004C01A2">
      <w:pPr>
        <w:rPr>
          <w:noProof/>
          <w:szCs w:val="22"/>
          <w:u w:val="single"/>
          <w:lang w:val="sr-Latn-RS"/>
        </w:rPr>
      </w:pPr>
    </w:p>
    <w:p w14:paraId="544AA5C2" w14:textId="53C33B21" w:rsidR="00140544" w:rsidRPr="00966063" w:rsidRDefault="008A295A" w:rsidP="00140544">
      <w:pPr>
        <w:rPr>
          <w:szCs w:val="22"/>
          <w:lang w:val="sr-Latn-RS"/>
        </w:rPr>
      </w:pPr>
      <w:r w:rsidRPr="00966063">
        <w:rPr>
          <w:szCs w:val="22"/>
          <w:lang w:val="sr-Latn-RS"/>
        </w:rPr>
        <w:t>Neželjen</w:t>
      </w:r>
      <w:r w:rsidR="00904E0F">
        <w:rPr>
          <w:szCs w:val="22"/>
          <w:lang w:val="sr-Latn-RS"/>
        </w:rPr>
        <w:t>i</w:t>
      </w:r>
      <w:r w:rsidRPr="00966063">
        <w:rPr>
          <w:szCs w:val="22"/>
          <w:lang w:val="sr-Latn-RS"/>
        </w:rPr>
        <w:t xml:space="preserve"> d</w:t>
      </w:r>
      <w:r w:rsidR="00904E0F">
        <w:rPr>
          <w:szCs w:val="22"/>
          <w:lang w:val="sr-Latn-RS"/>
        </w:rPr>
        <w:t>ogađaji</w:t>
      </w:r>
      <w:r w:rsidRPr="00966063">
        <w:rPr>
          <w:szCs w:val="22"/>
          <w:lang w:val="sr-Latn-RS"/>
        </w:rPr>
        <w:t xml:space="preserve"> koj</w:t>
      </w:r>
      <w:r w:rsidR="00904E0F">
        <w:rPr>
          <w:szCs w:val="22"/>
          <w:lang w:val="sr-Latn-RS"/>
        </w:rPr>
        <w:t>i</w:t>
      </w:r>
      <w:r w:rsidRPr="00966063">
        <w:rPr>
          <w:szCs w:val="22"/>
          <w:lang w:val="sr-Latn-RS"/>
        </w:rPr>
        <w:t xml:space="preserve"> su zab</w:t>
      </w:r>
      <w:r w:rsidR="007466D5">
        <w:rPr>
          <w:szCs w:val="22"/>
          <w:lang w:val="sr-Latn-RS"/>
        </w:rPr>
        <w:t>i</w:t>
      </w:r>
      <w:r w:rsidRPr="00966063">
        <w:rPr>
          <w:szCs w:val="22"/>
          <w:lang w:val="sr-Latn-RS"/>
        </w:rPr>
        <w:t>l</w:t>
      </w:r>
      <w:r w:rsidR="007466D5">
        <w:rPr>
          <w:szCs w:val="22"/>
          <w:lang w:val="sr-Latn-RS"/>
        </w:rPr>
        <w:t>j</w:t>
      </w:r>
      <w:r w:rsidRPr="00966063">
        <w:rPr>
          <w:szCs w:val="22"/>
          <w:lang w:val="sr-Latn-RS"/>
        </w:rPr>
        <w:t>ežen</w:t>
      </w:r>
      <w:r w:rsidR="00904E0F">
        <w:rPr>
          <w:szCs w:val="22"/>
          <w:lang w:val="sr-Latn-RS"/>
        </w:rPr>
        <w:t>i</w:t>
      </w:r>
      <w:r w:rsidRPr="00966063">
        <w:rPr>
          <w:szCs w:val="22"/>
          <w:lang w:val="sr-Latn-RS"/>
        </w:rPr>
        <w:t xml:space="preserve"> u toku kliničkih studija </w:t>
      </w:r>
      <w:r w:rsidR="00C41CA9">
        <w:rPr>
          <w:szCs w:val="22"/>
          <w:lang w:val="sr-Latn-RS"/>
        </w:rPr>
        <w:t xml:space="preserve">sa paracetamolom </w:t>
      </w:r>
      <w:r w:rsidRPr="00966063">
        <w:rPr>
          <w:szCs w:val="22"/>
          <w:lang w:val="sr-Latn-RS"/>
        </w:rPr>
        <w:t>su r</w:t>
      </w:r>
      <w:r w:rsidR="007466D5">
        <w:rPr>
          <w:szCs w:val="22"/>
          <w:lang w:val="sr-Latn-RS"/>
        </w:rPr>
        <w:t>ij</w:t>
      </w:r>
      <w:r w:rsidRPr="00966063">
        <w:rPr>
          <w:szCs w:val="22"/>
          <w:lang w:val="sr-Latn-RS"/>
        </w:rPr>
        <w:t>etk</w:t>
      </w:r>
      <w:r w:rsidR="00904E0F">
        <w:rPr>
          <w:szCs w:val="22"/>
          <w:lang w:val="sr-Latn-RS"/>
        </w:rPr>
        <w:t>i</w:t>
      </w:r>
      <w:r w:rsidRPr="00966063">
        <w:rPr>
          <w:szCs w:val="22"/>
          <w:lang w:val="sr-Latn-RS"/>
        </w:rPr>
        <w:t>, a dobijen</w:t>
      </w:r>
      <w:r w:rsidR="00904E0F">
        <w:rPr>
          <w:szCs w:val="22"/>
          <w:lang w:val="sr-Latn-RS"/>
        </w:rPr>
        <w:t>i</w:t>
      </w:r>
      <w:r w:rsidRPr="00966063">
        <w:rPr>
          <w:szCs w:val="22"/>
          <w:lang w:val="sr-Latn-RS"/>
        </w:rPr>
        <w:t xml:space="preserve"> su</w:t>
      </w:r>
      <w:r w:rsidR="00DF6613" w:rsidRPr="00966063">
        <w:rPr>
          <w:szCs w:val="22"/>
          <w:lang w:val="sr-Latn-RS"/>
        </w:rPr>
        <w:t xml:space="preserve"> i na osnovu male izloženosti pacijenata.</w:t>
      </w:r>
      <w:r w:rsidRPr="00966063">
        <w:rPr>
          <w:szCs w:val="22"/>
          <w:lang w:val="sr-Latn-RS"/>
        </w:rPr>
        <w:t xml:space="preserve"> Iz tog razloga, </w:t>
      </w:r>
      <w:r w:rsidR="00EF7AA6" w:rsidRPr="00966063">
        <w:rPr>
          <w:szCs w:val="22"/>
          <w:lang w:val="sr-Latn-RS"/>
        </w:rPr>
        <w:t>prijavljen</w:t>
      </w:r>
      <w:r w:rsidR="00827FF3">
        <w:rPr>
          <w:szCs w:val="22"/>
          <w:lang w:val="sr-Latn-RS"/>
        </w:rPr>
        <w:t>a</w:t>
      </w:r>
      <w:r w:rsidR="00EF7AA6" w:rsidRPr="00966063">
        <w:rPr>
          <w:szCs w:val="22"/>
          <w:lang w:val="sr-Latn-RS"/>
        </w:rPr>
        <w:t xml:space="preserve"> neželjen</w:t>
      </w:r>
      <w:r w:rsidR="00827FF3">
        <w:rPr>
          <w:szCs w:val="22"/>
          <w:lang w:val="sr-Latn-RS"/>
        </w:rPr>
        <w:t>a dejstva</w:t>
      </w:r>
      <w:r w:rsidR="00EF7AA6" w:rsidRPr="00966063">
        <w:rPr>
          <w:szCs w:val="22"/>
          <w:lang w:val="sr-Latn-RS"/>
        </w:rPr>
        <w:t xml:space="preserve"> tokom</w:t>
      </w:r>
      <w:r w:rsidRPr="00966063">
        <w:rPr>
          <w:szCs w:val="22"/>
          <w:lang w:val="sr-Latn-RS"/>
        </w:rPr>
        <w:t xml:space="preserve"> ekstenzivnog postmarketinškog praćenja</w:t>
      </w:r>
      <w:r w:rsidR="00EF7AA6" w:rsidRPr="00966063">
        <w:rPr>
          <w:szCs w:val="22"/>
          <w:lang w:val="sr-Latn-RS"/>
        </w:rPr>
        <w:t>, povezan</w:t>
      </w:r>
      <w:r w:rsidR="00904E0F">
        <w:rPr>
          <w:szCs w:val="22"/>
          <w:lang w:val="sr-Latn-RS"/>
        </w:rPr>
        <w:t>a</w:t>
      </w:r>
      <w:r w:rsidR="00EF7AA6" w:rsidRPr="00966063">
        <w:rPr>
          <w:szCs w:val="22"/>
          <w:lang w:val="sr-Latn-RS"/>
        </w:rPr>
        <w:t xml:space="preserve"> sa prim</w:t>
      </w:r>
      <w:r w:rsidR="007466D5">
        <w:rPr>
          <w:szCs w:val="22"/>
          <w:lang w:val="sr-Latn-RS"/>
        </w:rPr>
        <w:t>j</w:t>
      </w:r>
      <w:r w:rsidR="00EF7AA6" w:rsidRPr="00966063">
        <w:rPr>
          <w:szCs w:val="22"/>
          <w:lang w:val="sr-Latn-RS"/>
        </w:rPr>
        <w:t>enom</w:t>
      </w:r>
      <w:r w:rsidRPr="00966063">
        <w:rPr>
          <w:szCs w:val="22"/>
          <w:lang w:val="sr-Latn-RS"/>
        </w:rPr>
        <w:t xml:space="preserve"> </w:t>
      </w:r>
      <w:r w:rsidR="00EF7AA6" w:rsidRPr="00966063">
        <w:rPr>
          <w:szCs w:val="22"/>
          <w:lang w:val="sr-Latn-RS"/>
        </w:rPr>
        <w:t>l</w:t>
      </w:r>
      <w:r w:rsidR="007466D5">
        <w:rPr>
          <w:szCs w:val="22"/>
          <w:lang w:val="sr-Latn-RS"/>
        </w:rPr>
        <w:t>ij</w:t>
      </w:r>
      <w:r w:rsidR="00EF7AA6" w:rsidRPr="00966063">
        <w:rPr>
          <w:szCs w:val="22"/>
          <w:lang w:val="sr-Latn-RS"/>
        </w:rPr>
        <w:t>eka u terapijskim/preporučenim</w:t>
      </w:r>
      <w:r w:rsidR="00DF6613" w:rsidRPr="00966063">
        <w:rPr>
          <w:szCs w:val="22"/>
          <w:lang w:val="sr-Latn-RS"/>
        </w:rPr>
        <w:t xml:space="preserve"> doz</w:t>
      </w:r>
      <w:r w:rsidR="00EF7AA6" w:rsidRPr="00966063">
        <w:rPr>
          <w:szCs w:val="22"/>
          <w:lang w:val="sr-Latn-RS"/>
        </w:rPr>
        <w:t>ama</w:t>
      </w:r>
      <w:r w:rsidR="00DF6613" w:rsidRPr="00966063">
        <w:rPr>
          <w:szCs w:val="22"/>
          <w:lang w:val="sr-Latn-RS"/>
        </w:rPr>
        <w:t>, prikazan</w:t>
      </w:r>
      <w:r w:rsidR="00904E0F">
        <w:rPr>
          <w:szCs w:val="22"/>
          <w:lang w:val="sr-Latn-RS"/>
        </w:rPr>
        <w:t>a</w:t>
      </w:r>
      <w:r w:rsidR="00DF6613" w:rsidRPr="00966063">
        <w:rPr>
          <w:szCs w:val="22"/>
          <w:lang w:val="sr-Latn-RS"/>
        </w:rPr>
        <w:t xml:space="preserve"> su u tabeli ispod prema klasi sistema organa (vid</w:t>
      </w:r>
      <w:r w:rsidR="007466D5">
        <w:rPr>
          <w:szCs w:val="22"/>
          <w:lang w:val="sr-Latn-RS"/>
        </w:rPr>
        <w:t>j</w:t>
      </w:r>
      <w:r w:rsidR="00DF6613" w:rsidRPr="00966063">
        <w:rPr>
          <w:szCs w:val="22"/>
          <w:lang w:val="sr-Latn-RS"/>
        </w:rPr>
        <w:t>eti tabelu</w:t>
      </w:r>
      <w:r w:rsidRPr="00966063">
        <w:rPr>
          <w:szCs w:val="22"/>
          <w:lang w:val="sr-Latn-RS"/>
        </w:rPr>
        <w:t xml:space="preserve"> 1). </w:t>
      </w:r>
      <w:r w:rsidR="00140544" w:rsidRPr="00966063">
        <w:rPr>
          <w:szCs w:val="22"/>
          <w:lang w:val="sr-Latn-RS"/>
        </w:rPr>
        <w:t>Zbog ograničenih podataka iz kliničk</w:t>
      </w:r>
      <w:r w:rsidR="00F27767" w:rsidRPr="00966063">
        <w:rPr>
          <w:szCs w:val="22"/>
          <w:lang w:val="sr-Latn-RS"/>
        </w:rPr>
        <w:t>i</w:t>
      </w:r>
      <w:r w:rsidR="00140544" w:rsidRPr="00966063">
        <w:rPr>
          <w:szCs w:val="22"/>
          <w:lang w:val="sr-Latn-RS"/>
        </w:rPr>
        <w:t>h</w:t>
      </w:r>
      <w:r w:rsidR="00F27767" w:rsidRPr="00966063">
        <w:rPr>
          <w:szCs w:val="22"/>
          <w:lang w:val="sr-Latn-RS"/>
        </w:rPr>
        <w:t xml:space="preserve"> studija</w:t>
      </w:r>
      <w:r w:rsidR="00140544" w:rsidRPr="00966063">
        <w:rPr>
          <w:szCs w:val="22"/>
          <w:lang w:val="sr-Latn-RS"/>
        </w:rPr>
        <w:t>, učestalost ovih neželjenih događaja nije poznata (ne može se proc</w:t>
      </w:r>
      <w:r w:rsidR="007466D5">
        <w:rPr>
          <w:szCs w:val="22"/>
          <w:lang w:val="sr-Latn-RS"/>
        </w:rPr>
        <w:t>ij</w:t>
      </w:r>
      <w:r w:rsidR="00140544" w:rsidRPr="00966063">
        <w:rPr>
          <w:szCs w:val="22"/>
          <w:lang w:val="sr-Latn-RS"/>
        </w:rPr>
        <w:t xml:space="preserve">eniti iz dostupnih podataka), ali </w:t>
      </w:r>
      <w:r w:rsidR="00F27767" w:rsidRPr="00966063">
        <w:rPr>
          <w:szCs w:val="22"/>
          <w:lang w:val="sr-Latn-RS"/>
        </w:rPr>
        <w:t xml:space="preserve">postmarketinško </w:t>
      </w:r>
      <w:r w:rsidR="00140544" w:rsidRPr="00966063">
        <w:rPr>
          <w:szCs w:val="22"/>
          <w:lang w:val="sr-Latn-RS"/>
        </w:rPr>
        <w:t>iskustvo pokazuje da su neželjen</w:t>
      </w:r>
      <w:r w:rsidR="00827FF3">
        <w:rPr>
          <w:szCs w:val="22"/>
          <w:lang w:val="sr-Latn-RS"/>
        </w:rPr>
        <w:t>a</w:t>
      </w:r>
      <w:r w:rsidR="00140544" w:rsidRPr="00966063">
        <w:rPr>
          <w:szCs w:val="22"/>
          <w:lang w:val="sr-Latn-RS"/>
        </w:rPr>
        <w:t xml:space="preserve"> </w:t>
      </w:r>
      <w:r w:rsidR="00827FF3">
        <w:rPr>
          <w:szCs w:val="22"/>
          <w:lang w:val="sr-Latn-RS"/>
        </w:rPr>
        <w:t>dejstva</w:t>
      </w:r>
      <w:r w:rsidR="00140544" w:rsidRPr="00966063">
        <w:rPr>
          <w:szCs w:val="22"/>
          <w:lang w:val="sr-Latn-RS"/>
        </w:rPr>
        <w:t xml:space="preserve"> na paracetamol r</w:t>
      </w:r>
      <w:r w:rsidR="007466D5">
        <w:rPr>
          <w:szCs w:val="22"/>
          <w:lang w:val="sr-Latn-RS"/>
        </w:rPr>
        <w:t>ij</w:t>
      </w:r>
      <w:r w:rsidR="00140544" w:rsidRPr="00966063">
        <w:rPr>
          <w:szCs w:val="22"/>
          <w:lang w:val="sr-Latn-RS"/>
        </w:rPr>
        <w:t>etk</w:t>
      </w:r>
      <w:r w:rsidR="00827FF3">
        <w:rPr>
          <w:szCs w:val="22"/>
          <w:lang w:val="sr-Latn-RS"/>
        </w:rPr>
        <w:t>a</w:t>
      </w:r>
      <w:r w:rsidR="00140544" w:rsidRPr="00966063">
        <w:rPr>
          <w:szCs w:val="22"/>
          <w:lang w:val="sr-Latn-RS"/>
        </w:rPr>
        <w:t>, dok su ozbiljn</w:t>
      </w:r>
      <w:r w:rsidR="00827FF3">
        <w:rPr>
          <w:szCs w:val="22"/>
          <w:lang w:val="sr-Latn-RS"/>
        </w:rPr>
        <w:t>a</w:t>
      </w:r>
      <w:r w:rsidR="00140544" w:rsidRPr="00966063">
        <w:rPr>
          <w:szCs w:val="22"/>
          <w:lang w:val="sr-Latn-RS"/>
        </w:rPr>
        <w:t xml:space="preserve"> neželjen</w:t>
      </w:r>
      <w:r w:rsidR="00827FF3">
        <w:rPr>
          <w:szCs w:val="22"/>
          <w:lang w:val="sr-Latn-RS"/>
        </w:rPr>
        <w:t>a</w:t>
      </w:r>
      <w:r w:rsidR="00140544" w:rsidRPr="00966063">
        <w:rPr>
          <w:szCs w:val="22"/>
          <w:lang w:val="sr-Latn-RS"/>
        </w:rPr>
        <w:t xml:space="preserve"> </w:t>
      </w:r>
      <w:r w:rsidR="00827FF3">
        <w:rPr>
          <w:szCs w:val="22"/>
          <w:lang w:val="sr-Latn-RS"/>
        </w:rPr>
        <w:t>dejstva</w:t>
      </w:r>
      <w:r w:rsidR="00140544" w:rsidRPr="00966063">
        <w:rPr>
          <w:szCs w:val="22"/>
          <w:lang w:val="sr-Latn-RS"/>
        </w:rPr>
        <w:t xml:space="preserve"> veoma r</w:t>
      </w:r>
      <w:r w:rsidR="007466D5">
        <w:rPr>
          <w:szCs w:val="22"/>
          <w:lang w:val="sr-Latn-RS"/>
        </w:rPr>
        <w:t>ij</w:t>
      </w:r>
      <w:r w:rsidR="00140544" w:rsidRPr="00966063">
        <w:rPr>
          <w:szCs w:val="22"/>
          <w:lang w:val="sr-Latn-RS"/>
        </w:rPr>
        <w:t>etk</w:t>
      </w:r>
      <w:r w:rsidR="00827FF3">
        <w:rPr>
          <w:szCs w:val="22"/>
          <w:lang w:val="sr-Latn-RS"/>
        </w:rPr>
        <w:t>a</w:t>
      </w:r>
      <w:r w:rsidR="00140544" w:rsidRPr="00966063">
        <w:rPr>
          <w:szCs w:val="22"/>
          <w:lang w:val="sr-Latn-RS"/>
        </w:rPr>
        <w:t>.</w:t>
      </w:r>
    </w:p>
    <w:p w14:paraId="4EC5EABA" w14:textId="77777777" w:rsidR="00DF6613" w:rsidRPr="00966063" w:rsidRDefault="00DF6613" w:rsidP="00797A96">
      <w:pPr>
        <w:tabs>
          <w:tab w:val="clear" w:pos="284"/>
        </w:tabs>
        <w:jc w:val="left"/>
        <w:rPr>
          <w:b/>
          <w:i/>
          <w:szCs w:val="22"/>
          <w:lang w:val="sr-Latn-RS"/>
        </w:rPr>
      </w:pPr>
    </w:p>
    <w:p w14:paraId="19CAC6F3" w14:textId="77777777" w:rsidR="008A295A" w:rsidRPr="00966063" w:rsidRDefault="008A295A" w:rsidP="00797A96">
      <w:pPr>
        <w:tabs>
          <w:tab w:val="clear" w:pos="284"/>
        </w:tabs>
        <w:jc w:val="left"/>
        <w:rPr>
          <w:szCs w:val="22"/>
          <w:lang w:val="sr-Latn-RS"/>
        </w:rPr>
      </w:pPr>
      <w:r w:rsidRPr="00966063">
        <w:rPr>
          <w:b/>
          <w:i/>
          <w:szCs w:val="22"/>
          <w:lang w:val="sr-Latn-RS"/>
        </w:rPr>
        <w:t>Postmarketinški podaci</w:t>
      </w:r>
    </w:p>
    <w:p w14:paraId="133F28E7" w14:textId="77777777" w:rsidR="008A295A" w:rsidRPr="00966063" w:rsidRDefault="008A295A" w:rsidP="00797A96">
      <w:pPr>
        <w:tabs>
          <w:tab w:val="clear" w:pos="284"/>
        </w:tabs>
        <w:jc w:val="left"/>
        <w:rPr>
          <w:szCs w:val="22"/>
          <w:lang w:val="sr-Latn-RS"/>
        </w:rPr>
      </w:pPr>
      <w:r w:rsidRPr="00966063">
        <w:rPr>
          <w:szCs w:val="22"/>
          <w:lang w:val="sr-Latn-RS"/>
        </w:rPr>
        <w:t xml:space="preserve">Tabela 1 </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5"/>
        <w:gridCol w:w="4507"/>
      </w:tblGrid>
      <w:tr w:rsidR="008A295A" w:rsidRPr="002C289E" w14:paraId="36A01D66" w14:textId="77777777" w:rsidTr="001447D1">
        <w:trPr>
          <w:trHeight w:val="254"/>
        </w:trPr>
        <w:tc>
          <w:tcPr>
            <w:tcW w:w="2670" w:type="pct"/>
          </w:tcPr>
          <w:p w14:paraId="7910EA79" w14:textId="77777777" w:rsidR="008A295A" w:rsidRPr="00966063" w:rsidRDefault="008A295A" w:rsidP="00797A96">
            <w:pPr>
              <w:tabs>
                <w:tab w:val="clear" w:pos="284"/>
              </w:tabs>
              <w:spacing w:before="100" w:beforeAutospacing="1" w:after="100" w:afterAutospacing="1"/>
              <w:jc w:val="left"/>
              <w:rPr>
                <w:lang w:val="sr-Latn-RS"/>
              </w:rPr>
            </w:pPr>
            <w:r w:rsidRPr="00966063">
              <w:rPr>
                <w:b/>
                <w:bCs/>
                <w:szCs w:val="22"/>
                <w:lang w:val="sr-Latn-RS"/>
              </w:rPr>
              <w:t>Sistem organa</w:t>
            </w:r>
          </w:p>
        </w:tc>
        <w:tc>
          <w:tcPr>
            <w:tcW w:w="2330" w:type="pct"/>
          </w:tcPr>
          <w:p w14:paraId="19002BE1" w14:textId="77777777" w:rsidR="008A295A" w:rsidRPr="00966063" w:rsidRDefault="008A295A" w:rsidP="00797A96">
            <w:pPr>
              <w:tabs>
                <w:tab w:val="clear" w:pos="284"/>
              </w:tabs>
              <w:spacing w:before="100" w:beforeAutospacing="1" w:after="100" w:afterAutospacing="1"/>
              <w:jc w:val="left"/>
              <w:rPr>
                <w:lang w:val="sr-Latn-RS"/>
              </w:rPr>
            </w:pPr>
            <w:r w:rsidRPr="00966063">
              <w:rPr>
                <w:b/>
                <w:bCs/>
                <w:szCs w:val="22"/>
                <w:lang w:val="sr-Latn-RS"/>
              </w:rPr>
              <w:t>Neželjeno dejstvo</w:t>
            </w:r>
          </w:p>
        </w:tc>
      </w:tr>
      <w:tr w:rsidR="008A295A" w:rsidRPr="002C289E" w14:paraId="48502510" w14:textId="77777777" w:rsidTr="001447D1">
        <w:trPr>
          <w:trHeight w:val="508"/>
        </w:trPr>
        <w:tc>
          <w:tcPr>
            <w:tcW w:w="2670" w:type="pct"/>
          </w:tcPr>
          <w:p w14:paraId="3794908C" w14:textId="77777777" w:rsidR="008A295A" w:rsidRPr="00966063" w:rsidRDefault="008A295A" w:rsidP="00797A96">
            <w:pPr>
              <w:tabs>
                <w:tab w:val="clear" w:pos="284"/>
              </w:tabs>
              <w:spacing w:before="100" w:beforeAutospacing="1" w:after="100" w:afterAutospacing="1"/>
              <w:jc w:val="left"/>
              <w:rPr>
                <w:lang w:val="sr-Latn-RS"/>
              </w:rPr>
            </w:pPr>
            <w:r w:rsidRPr="00966063">
              <w:rPr>
                <w:szCs w:val="22"/>
                <w:lang w:val="sr-Latn-RS"/>
              </w:rPr>
              <w:t>Poremećaji krvi i limfnog sistema</w:t>
            </w:r>
          </w:p>
        </w:tc>
        <w:tc>
          <w:tcPr>
            <w:tcW w:w="2330" w:type="pct"/>
          </w:tcPr>
          <w:p w14:paraId="597A1111" w14:textId="77777777" w:rsidR="008A295A" w:rsidRPr="00966063" w:rsidRDefault="008A295A" w:rsidP="00797A96">
            <w:pPr>
              <w:tabs>
                <w:tab w:val="clear" w:pos="284"/>
              </w:tabs>
              <w:jc w:val="left"/>
              <w:rPr>
                <w:lang w:val="sr-Latn-RS"/>
              </w:rPr>
            </w:pPr>
            <w:r w:rsidRPr="00966063">
              <w:rPr>
                <w:szCs w:val="22"/>
                <w:lang w:val="sr-Latn-RS"/>
              </w:rPr>
              <w:t xml:space="preserve">Trombocitopenija </w:t>
            </w:r>
          </w:p>
          <w:p w14:paraId="3AED9A95" w14:textId="77777777" w:rsidR="008A295A" w:rsidRPr="00966063" w:rsidRDefault="008A295A" w:rsidP="00797A96">
            <w:pPr>
              <w:tabs>
                <w:tab w:val="clear" w:pos="284"/>
              </w:tabs>
              <w:jc w:val="left"/>
              <w:rPr>
                <w:lang w:val="sr-Latn-RS"/>
              </w:rPr>
            </w:pPr>
            <w:r w:rsidRPr="00966063">
              <w:rPr>
                <w:szCs w:val="22"/>
                <w:lang w:val="sr-Latn-RS"/>
              </w:rPr>
              <w:t>Agranulocitoza</w:t>
            </w:r>
          </w:p>
        </w:tc>
      </w:tr>
      <w:tr w:rsidR="008A295A" w:rsidRPr="002C289E" w14:paraId="42FAB1F8" w14:textId="77777777" w:rsidTr="001447D1">
        <w:trPr>
          <w:trHeight w:val="1001"/>
        </w:trPr>
        <w:tc>
          <w:tcPr>
            <w:tcW w:w="2670" w:type="pct"/>
          </w:tcPr>
          <w:p w14:paraId="45AAB5F9" w14:textId="03C04000" w:rsidR="008A295A" w:rsidRPr="00966063" w:rsidRDefault="008A295A" w:rsidP="00797A96">
            <w:pPr>
              <w:tabs>
                <w:tab w:val="clear" w:pos="284"/>
              </w:tabs>
              <w:spacing w:before="100" w:beforeAutospacing="1" w:after="100" w:afterAutospacing="1"/>
              <w:jc w:val="left"/>
              <w:rPr>
                <w:lang w:val="sr-Latn-RS"/>
              </w:rPr>
            </w:pPr>
            <w:r w:rsidRPr="00966063">
              <w:rPr>
                <w:szCs w:val="22"/>
                <w:lang w:val="sr-Latn-RS"/>
              </w:rPr>
              <w:t>Poremećaji imunog sistema</w:t>
            </w:r>
          </w:p>
        </w:tc>
        <w:tc>
          <w:tcPr>
            <w:tcW w:w="2330" w:type="pct"/>
          </w:tcPr>
          <w:p w14:paraId="4113DF28" w14:textId="77777777" w:rsidR="008A295A" w:rsidRPr="00966063" w:rsidRDefault="008A295A" w:rsidP="00797A96">
            <w:pPr>
              <w:tabs>
                <w:tab w:val="clear" w:pos="284"/>
              </w:tabs>
              <w:jc w:val="left"/>
              <w:rPr>
                <w:lang w:val="sr-Latn-RS"/>
              </w:rPr>
            </w:pPr>
            <w:r w:rsidRPr="00966063">
              <w:rPr>
                <w:szCs w:val="22"/>
                <w:lang w:val="sr-Latn-RS"/>
              </w:rPr>
              <w:t>Anafilaksa</w:t>
            </w:r>
          </w:p>
          <w:p w14:paraId="3264E93C" w14:textId="76A97A58" w:rsidR="008A295A" w:rsidRPr="00966063" w:rsidRDefault="008A295A" w:rsidP="00797A96">
            <w:pPr>
              <w:tabs>
                <w:tab w:val="clear" w:pos="284"/>
              </w:tabs>
              <w:jc w:val="left"/>
              <w:rPr>
                <w:lang w:val="sr-Latn-RS"/>
              </w:rPr>
            </w:pPr>
            <w:r w:rsidRPr="00966063">
              <w:rPr>
                <w:szCs w:val="22"/>
                <w:lang w:val="sr-Latn-RS"/>
              </w:rPr>
              <w:t>Kožne reakcije preos</w:t>
            </w:r>
            <w:r w:rsidR="007466D5">
              <w:rPr>
                <w:szCs w:val="22"/>
                <w:lang w:val="sr-Latn-RS"/>
              </w:rPr>
              <w:t>j</w:t>
            </w:r>
            <w:r w:rsidRPr="00966063">
              <w:rPr>
                <w:szCs w:val="22"/>
                <w:lang w:val="sr-Latn-RS"/>
              </w:rPr>
              <w:t xml:space="preserve">etljivosti, uključujući osip, </w:t>
            </w:r>
          </w:p>
          <w:p w14:paraId="64546542" w14:textId="77777777" w:rsidR="008A295A" w:rsidRPr="00966063" w:rsidRDefault="008A295A" w:rsidP="00797A96">
            <w:pPr>
              <w:tabs>
                <w:tab w:val="clear" w:pos="284"/>
              </w:tabs>
              <w:jc w:val="left"/>
              <w:rPr>
                <w:lang w:val="sr-Latn-RS"/>
              </w:rPr>
            </w:pPr>
            <w:r w:rsidRPr="00966063">
              <w:rPr>
                <w:szCs w:val="22"/>
                <w:lang w:val="sr-Latn-RS"/>
              </w:rPr>
              <w:t>angioedem ili Stivens-Džonsonov sindrom /</w:t>
            </w:r>
          </w:p>
          <w:p w14:paraId="14BD733D" w14:textId="77777777" w:rsidR="008A295A" w:rsidRPr="00966063" w:rsidRDefault="004353B6" w:rsidP="00797A96">
            <w:pPr>
              <w:tabs>
                <w:tab w:val="clear" w:pos="284"/>
              </w:tabs>
              <w:jc w:val="left"/>
              <w:rPr>
                <w:lang w:val="sr-Latn-RS"/>
              </w:rPr>
            </w:pPr>
            <w:r w:rsidRPr="00966063">
              <w:rPr>
                <w:szCs w:val="22"/>
                <w:lang w:val="sr-Latn-RS"/>
              </w:rPr>
              <w:t>toksičnu epidermalnu nekrolizu</w:t>
            </w:r>
          </w:p>
        </w:tc>
      </w:tr>
      <w:tr w:rsidR="008A295A" w:rsidRPr="002C289E" w14:paraId="28438119" w14:textId="77777777" w:rsidTr="001447D1">
        <w:trPr>
          <w:trHeight w:val="254"/>
        </w:trPr>
        <w:tc>
          <w:tcPr>
            <w:tcW w:w="2670" w:type="pct"/>
          </w:tcPr>
          <w:p w14:paraId="268A4386" w14:textId="77777777" w:rsidR="008A295A" w:rsidRPr="00966063" w:rsidRDefault="008A295A" w:rsidP="004C01A2">
            <w:pPr>
              <w:rPr>
                <w:lang w:val="sr-Latn-RS"/>
              </w:rPr>
            </w:pPr>
            <w:r w:rsidRPr="00966063">
              <w:rPr>
                <w:szCs w:val="22"/>
                <w:lang w:val="sr-Latn-RS"/>
              </w:rPr>
              <w:lastRenderedPageBreak/>
              <w:t>Respiratorni, torakalni i medijastinalni poremećaji</w:t>
            </w:r>
          </w:p>
        </w:tc>
        <w:tc>
          <w:tcPr>
            <w:tcW w:w="2330" w:type="pct"/>
          </w:tcPr>
          <w:p w14:paraId="214D29A6" w14:textId="77777777" w:rsidR="008A295A" w:rsidRPr="00966063" w:rsidRDefault="008A295A" w:rsidP="00797A96">
            <w:pPr>
              <w:tabs>
                <w:tab w:val="clear" w:pos="284"/>
              </w:tabs>
              <w:jc w:val="left"/>
              <w:rPr>
                <w:lang w:val="sr-Latn-RS"/>
              </w:rPr>
            </w:pPr>
            <w:r w:rsidRPr="00966063">
              <w:rPr>
                <w:szCs w:val="22"/>
                <w:lang w:val="sr-Latn-RS"/>
              </w:rPr>
              <w:t xml:space="preserve">Bronhospazam* </w:t>
            </w:r>
          </w:p>
        </w:tc>
      </w:tr>
      <w:tr w:rsidR="008A295A" w:rsidRPr="002C289E" w14:paraId="30C99E04" w14:textId="77777777" w:rsidTr="001447D1">
        <w:trPr>
          <w:trHeight w:val="254"/>
        </w:trPr>
        <w:tc>
          <w:tcPr>
            <w:tcW w:w="2670" w:type="pct"/>
          </w:tcPr>
          <w:p w14:paraId="40BC73F9" w14:textId="77777777" w:rsidR="008A295A" w:rsidRPr="00966063" w:rsidRDefault="008A295A" w:rsidP="00797A96">
            <w:pPr>
              <w:tabs>
                <w:tab w:val="clear" w:pos="284"/>
              </w:tabs>
              <w:spacing w:before="100" w:beforeAutospacing="1" w:after="100" w:afterAutospacing="1"/>
              <w:jc w:val="left"/>
              <w:rPr>
                <w:lang w:val="sr-Latn-RS"/>
              </w:rPr>
            </w:pPr>
            <w:r w:rsidRPr="00966063">
              <w:rPr>
                <w:szCs w:val="22"/>
                <w:lang w:val="sr-Latn-RS"/>
              </w:rPr>
              <w:t>Hepatobilijarni poremećaji</w:t>
            </w:r>
          </w:p>
        </w:tc>
        <w:tc>
          <w:tcPr>
            <w:tcW w:w="2330" w:type="pct"/>
          </w:tcPr>
          <w:p w14:paraId="18B9F3C5" w14:textId="77777777" w:rsidR="008A295A" w:rsidRPr="00966063" w:rsidRDefault="008A295A" w:rsidP="00797A96">
            <w:pPr>
              <w:tabs>
                <w:tab w:val="clear" w:pos="284"/>
              </w:tabs>
              <w:jc w:val="left"/>
              <w:rPr>
                <w:lang w:val="sr-Latn-RS"/>
              </w:rPr>
            </w:pPr>
            <w:r w:rsidRPr="00966063">
              <w:rPr>
                <w:szCs w:val="22"/>
                <w:lang w:val="sr-Latn-RS"/>
              </w:rPr>
              <w:t>Poremećaj funkcije jetre</w:t>
            </w:r>
          </w:p>
        </w:tc>
      </w:tr>
    </w:tbl>
    <w:p w14:paraId="41BFC3F0" w14:textId="0163FFC5" w:rsidR="008A295A" w:rsidRPr="00966063" w:rsidRDefault="008A295A" w:rsidP="001447D1">
      <w:pPr>
        <w:tabs>
          <w:tab w:val="clear" w:pos="284"/>
        </w:tabs>
        <w:spacing w:after="120"/>
        <w:ind w:left="126" w:hanging="126"/>
        <w:rPr>
          <w:szCs w:val="22"/>
          <w:lang w:val="sr-Latn-RS"/>
        </w:rPr>
      </w:pPr>
      <w:r w:rsidRPr="00966063">
        <w:rPr>
          <w:szCs w:val="22"/>
          <w:lang w:val="sr-Latn-RS"/>
        </w:rPr>
        <w:t>*</w:t>
      </w:r>
      <w:r w:rsidR="00852D91">
        <w:rPr>
          <w:szCs w:val="22"/>
          <w:lang w:val="sr-Latn-RS"/>
        </w:rPr>
        <w:t>Zabilježeni</w:t>
      </w:r>
      <w:r w:rsidRPr="00966063">
        <w:rPr>
          <w:szCs w:val="22"/>
          <w:lang w:val="sr-Latn-RS"/>
        </w:rPr>
        <w:t xml:space="preserve"> su slučajevi bronhospazma nakon upotrebe paracetamola, al</w:t>
      </w:r>
      <w:r w:rsidR="001447D1" w:rsidRPr="00966063">
        <w:rPr>
          <w:szCs w:val="22"/>
          <w:lang w:val="sr-Latn-RS"/>
        </w:rPr>
        <w:t>i su v</w:t>
      </w:r>
      <w:r w:rsidR="007466D5">
        <w:rPr>
          <w:szCs w:val="22"/>
          <w:lang w:val="sr-Latn-RS"/>
        </w:rPr>
        <w:t>j</w:t>
      </w:r>
      <w:r w:rsidR="001447D1" w:rsidRPr="00966063">
        <w:rPr>
          <w:szCs w:val="22"/>
          <w:lang w:val="sr-Latn-RS"/>
        </w:rPr>
        <w:t xml:space="preserve">erovatniji kod asmatičara </w:t>
      </w:r>
      <w:r w:rsidRPr="00966063">
        <w:rPr>
          <w:szCs w:val="22"/>
          <w:lang w:val="sr-Latn-RS"/>
        </w:rPr>
        <w:t>os</w:t>
      </w:r>
      <w:r w:rsidR="007466D5">
        <w:rPr>
          <w:szCs w:val="22"/>
          <w:lang w:val="sr-Latn-RS"/>
        </w:rPr>
        <w:t>j</w:t>
      </w:r>
      <w:r w:rsidRPr="00966063">
        <w:rPr>
          <w:szCs w:val="22"/>
          <w:lang w:val="sr-Latn-RS"/>
        </w:rPr>
        <w:t>etljivih na aspirin ili NSAIL</w:t>
      </w:r>
      <w:r w:rsidR="00D001C9">
        <w:rPr>
          <w:szCs w:val="22"/>
          <w:lang w:val="sr-Latn-RS"/>
        </w:rPr>
        <w:t>.</w:t>
      </w:r>
    </w:p>
    <w:p w14:paraId="74CCA8C6" w14:textId="77777777" w:rsidR="008A295A" w:rsidRPr="00966063" w:rsidRDefault="008A295A" w:rsidP="004D1981">
      <w:pPr>
        <w:rPr>
          <w:noProof/>
          <w:szCs w:val="22"/>
          <w:u w:val="single"/>
          <w:lang w:val="sr-Latn-RS"/>
        </w:rPr>
      </w:pPr>
    </w:p>
    <w:p w14:paraId="6FD364F4" w14:textId="77777777" w:rsidR="007466D5" w:rsidRPr="007466D5" w:rsidRDefault="007466D5" w:rsidP="007466D5">
      <w:pPr>
        <w:spacing w:after="200" w:line="276" w:lineRule="auto"/>
        <w:rPr>
          <w:rFonts w:eastAsia="Calibri"/>
          <w:szCs w:val="22"/>
          <w:u w:val="single"/>
          <w:lang w:val="sr-Latn-RS"/>
        </w:rPr>
      </w:pPr>
      <w:r w:rsidRPr="007466D5">
        <w:rPr>
          <w:rFonts w:eastAsia="Calibri"/>
          <w:szCs w:val="22"/>
          <w:u w:val="single"/>
          <w:lang w:val="sr-Latn-RS"/>
        </w:rPr>
        <w:t>Prijavljivanje sumnji na neželjena dejstva</w:t>
      </w:r>
    </w:p>
    <w:p w14:paraId="1BD4DE07" w14:textId="77777777" w:rsidR="007466D5" w:rsidRPr="007466D5" w:rsidRDefault="007466D5" w:rsidP="007466D5">
      <w:pPr>
        <w:spacing w:after="200"/>
        <w:rPr>
          <w:rFonts w:eastAsia="Calibri"/>
          <w:szCs w:val="22"/>
          <w:lang w:val="sr-Latn-RS"/>
        </w:rPr>
      </w:pPr>
      <w:r w:rsidRPr="007466D5">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0567B73" w14:textId="77777777" w:rsidR="007466D5" w:rsidRPr="007466D5" w:rsidRDefault="007466D5" w:rsidP="007466D5">
      <w:pPr>
        <w:pStyle w:val="NoSpacing"/>
        <w:jc w:val="both"/>
        <w:rPr>
          <w:rFonts w:ascii="Times New Roman" w:eastAsia="Calibri" w:hAnsi="Times New Roman"/>
          <w:lang w:val="sr-Latn-RS"/>
        </w:rPr>
      </w:pPr>
      <w:r w:rsidRPr="007466D5">
        <w:rPr>
          <w:rFonts w:ascii="Times New Roman" w:eastAsia="Calibri" w:hAnsi="Times New Roman"/>
          <w:lang w:val="sr-Latn-RS"/>
        </w:rPr>
        <w:t xml:space="preserve">Institut za ljekove i medicinska sredstva </w:t>
      </w:r>
    </w:p>
    <w:p w14:paraId="20CABA81" w14:textId="77777777" w:rsidR="007466D5" w:rsidRPr="007466D5" w:rsidRDefault="007466D5" w:rsidP="007466D5">
      <w:pPr>
        <w:pStyle w:val="NoSpacing"/>
        <w:jc w:val="both"/>
        <w:rPr>
          <w:rFonts w:ascii="Times New Roman" w:eastAsia="Calibri" w:hAnsi="Times New Roman"/>
          <w:lang w:val="sr-Latn-RS"/>
        </w:rPr>
      </w:pPr>
      <w:r w:rsidRPr="007466D5">
        <w:rPr>
          <w:rFonts w:ascii="Times New Roman" w:eastAsia="Calibri" w:hAnsi="Times New Roman"/>
          <w:lang w:val="sr-Latn-RS"/>
        </w:rPr>
        <w:t>Odjeljenje za farmakovigilancu</w:t>
      </w:r>
    </w:p>
    <w:p w14:paraId="1C61A488" w14:textId="77777777" w:rsidR="007466D5" w:rsidRPr="007466D5" w:rsidRDefault="007466D5" w:rsidP="007466D5">
      <w:pPr>
        <w:pStyle w:val="NoSpacing"/>
        <w:jc w:val="both"/>
        <w:rPr>
          <w:rFonts w:ascii="Times New Roman" w:eastAsia="Calibri" w:hAnsi="Times New Roman"/>
          <w:lang w:val="sr-Latn-RS"/>
        </w:rPr>
      </w:pPr>
      <w:r w:rsidRPr="007466D5">
        <w:rPr>
          <w:rFonts w:ascii="Times New Roman" w:eastAsia="Calibri" w:hAnsi="Times New Roman"/>
          <w:lang w:val="sr-Latn-RS"/>
        </w:rPr>
        <w:t>Bulevar Ivana Crnojevića 64a, 81000 Podgorica</w:t>
      </w:r>
    </w:p>
    <w:p w14:paraId="68F1BBB0" w14:textId="77777777" w:rsidR="007466D5" w:rsidRPr="007466D5" w:rsidRDefault="007466D5" w:rsidP="007466D5">
      <w:pPr>
        <w:pStyle w:val="NoSpacing"/>
        <w:rPr>
          <w:rFonts w:ascii="Times New Roman" w:eastAsia="Calibri" w:hAnsi="Times New Roman"/>
          <w:lang w:val="sr-Latn-RS"/>
        </w:rPr>
      </w:pPr>
    </w:p>
    <w:p w14:paraId="1CBA3751" w14:textId="77777777" w:rsidR="007466D5" w:rsidRPr="007466D5" w:rsidRDefault="007466D5" w:rsidP="007466D5">
      <w:pPr>
        <w:pStyle w:val="NoSpacing"/>
        <w:jc w:val="both"/>
        <w:rPr>
          <w:rFonts w:ascii="Times New Roman" w:eastAsia="Calibri" w:hAnsi="Times New Roman"/>
          <w:lang w:val="sr-Latn-RS"/>
        </w:rPr>
      </w:pPr>
      <w:r w:rsidRPr="007466D5">
        <w:rPr>
          <w:rFonts w:ascii="Times New Roman" w:eastAsia="Calibri" w:hAnsi="Times New Roman"/>
          <w:lang w:val="sr-Latn-RS"/>
        </w:rPr>
        <w:t>tel: +382 (0) 20 310 280</w:t>
      </w:r>
    </w:p>
    <w:p w14:paraId="2EE8D2E1" w14:textId="77777777" w:rsidR="007466D5" w:rsidRPr="007466D5" w:rsidRDefault="007466D5" w:rsidP="007466D5">
      <w:pPr>
        <w:pStyle w:val="NoSpacing"/>
        <w:jc w:val="both"/>
        <w:rPr>
          <w:rFonts w:ascii="Times New Roman" w:eastAsia="Calibri" w:hAnsi="Times New Roman"/>
          <w:lang w:val="sr-Latn-RS"/>
        </w:rPr>
      </w:pPr>
      <w:r w:rsidRPr="007466D5">
        <w:rPr>
          <w:rFonts w:ascii="Times New Roman" w:eastAsia="Calibri" w:hAnsi="Times New Roman"/>
          <w:lang w:val="sr-Latn-RS"/>
        </w:rPr>
        <w:t>fax: +382 (0) 20 310 581</w:t>
      </w:r>
    </w:p>
    <w:p w14:paraId="34EEBAE9" w14:textId="77777777" w:rsidR="007466D5" w:rsidRPr="007466D5" w:rsidRDefault="00F76C37" w:rsidP="007466D5">
      <w:pPr>
        <w:pStyle w:val="NoSpacing"/>
        <w:jc w:val="both"/>
        <w:rPr>
          <w:rFonts w:ascii="Times New Roman" w:eastAsia="Calibri" w:hAnsi="Times New Roman"/>
          <w:lang w:val="sr-Latn-RS"/>
        </w:rPr>
      </w:pPr>
      <w:hyperlink r:id="rId7" w:history="1">
        <w:r w:rsidR="007466D5" w:rsidRPr="007466D5">
          <w:rPr>
            <w:rStyle w:val="Hyperlink"/>
            <w:rFonts w:ascii="Times New Roman" w:eastAsia="Calibri" w:hAnsi="Times New Roman"/>
            <w:lang w:val="sr-Latn-RS"/>
          </w:rPr>
          <w:t>www.cinmed.me</w:t>
        </w:r>
      </w:hyperlink>
    </w:p>
    <w:p w14:paraId="458546D3" w14:textId="77777777" w:rsidR="007466D5" w:rsidRPr="007466D5" w:rsidRDefault="00F76C37" w:rsidP="007466D5">
      <w:pPr>
        <w:pStyle w:val="NoSpacing"/>
        <w:jc w:val="both"/>
        <w:rPr>
          <w:rFonts w:ascii="Times New Roman" w:eastAsia="Calibri" w:hAnsi="Times New Roman"/>
          <w:color w:val="0000FF"/>
          <w:u w:val="single"/>
          <w:lang w:val="sr-Latn-RS"/>
        </w:rPr>
      </w:pPr>
      <w:hyperlink r:id="rId8" w:history="1">
        <w:r w:rsidR="007466D5" w:rsidRPr="007466D5">
          <w:rPr>
            <w:rStyle w:val="Hyperlink"/>
            <w:rFonts w:ascii="Times New Roman" w:eastAsia="Calibri" w:hAnsi="Times New Roman"/>
            <w:lang w:val="sr-Latn-RS"/>
          </w:rPr>
          <w:t>nezeljenadejstva@cinmed.me</w:t>
        </w:r>
      </w:hyperlink>
    </w:p>
    <w:p w14:paraId="24FADFC0" w14:textId="77777777" w:rsidR="007466D5" w:rsidRPr="007466D5" w:rsidRDefault="007466D5" w:rsidP="007466D5">
      <w:pPr>
        <w:pStyle w:val="NoSpacing"/>
        <w:jc w:val="both"/>
        <w:rPr>
          <w:rFonts w:ascii="Times New Roman" w:eastAsia="Calibri" w:hAnsi="Times New Roman"/>
          <w:lang w:val="sr-Latn-RS"/>
        </w:rPr>
      </w:pPr>
      <w:r w:rsidRPr="007466D5">
        <w:rPr>
          <w:rFonts w:ascii="Times New Roman" w:eastAsia="Calibri" w:hAnsi="Times New Roman"/>
          <w:lang w:val="sr-Latn-RS"/>
        </w:rPr>
        <w:t>putem IS zdravstvene zaštite</w:t>
      </w:r>
    </w:p>
    <w:p w14:paraId="610B7F60" w14:textId="77777777" w:rsidR="008A295A" w:rsidRPr="00966063" w:rsidRDefault="008A295A" w:rsidP="004C01A2">
      <w:pPr>
        <w:rPr>
          <w:szCs w:val="22"/>
          <w:lang w:val="sr-Latn-RS"/>
        </w:rPr>
      </w:pPr>
    </w:p>
    <w:p w14:paraId="11227D64" w14:textId="77777777" w:rsidR="008A295A" w:rsidRPr="00966063" w:rsidRDefault="008A295A" w:rsidP="004C01A2">
      <w:pPr>
        <w:rPr>
          <w:b/>
          <w:bCs/>
          <w:szCs w:val="22"/>
          <w:lang w:val="sr-Latn-RS"/>
        </w:rPr>
      </w:pPr>
      <w:r w:rsidRPr="00966063">
        <w:rPr>
          <w:b/>
          <w:bCs/>
          <w:szCs w:val="22"/>
          <w:lang w:val="sr-Latn-RS"/>
        </w:rPr>
        <w:t>4.9. Predoziranje</w:t>
      </w:r>
    </w:p>
    <w:p w14:paraId="73310DF0" w14:textId="77777777" w:rsidR="008A295A" w:rsidRPr="00966063" w:rsidRDefault="008A295A" w:rsidP="004C01A2">
      <w:pPr>
        <w:rPr>
          <w:szCs w:val="22"/>
          <w:lang w:val="sr-Latn-RS"/>
        </w:rPr>
      </w:pPr>
    </w:p>
    <w:p w14:paraId="3BF09B43" w14:textId="59232CA9" w:rsidR="008A295A" w:rsidRPr="00966063" w:rsidRDefault="008A295A" w:rsidP="004C01A2">
      <w:pPr>
        <w:spacing w:before="80" w:after="80"/>
        <w:rPr>
          <w:bCs/>
          <w:szCs w:val="22"/>
          <w:lang w:val="sr-Latn-RS"/>
        </w:rPr>
      </w:pPr>
      <w:r w:rsidRPr="00966063">
        <w:rPr>
          <w:bCs/>
          <w:szCs w:val="22"/>
          <w:lang w:val="sr-Latn-RS"/>
        </w:rPr>
        <w:t>Oštećenje jetre je moguće kod odraslih osoba ukoliko uzmu 10 g ili više paracetamola. Ingestija 5 g ili više paracetamola može dovesti do oštećenja jetre ukoliko pacijent ima neki od faktora rizika (vid</w:t>
      </w:r>
      <w:r w:rsidR="007466D5">
        <w:rPr>
          <w:bCs/>
          <w:szCs w:val="22"/>
          <w:lang w:val="sr-Latn-RS"/>
        </w:rPr>
        <w:t>j</w:t>
      </w:r>
      <w:r w:rsidRPr="00966063">
        <w:rPr>
          <w:bCs/>
          <w:szCs w:val="22"/>
          <w:lang w:val="sr-Latn-RS"/>
        </w:rPr>
        <w:t>eti ispod).</w:t>
      </w:r>
    </w:p>
    <w:p w14:paraId="1881228C" w14:textId="77777777" w:rsidR="008A295A" w:rsidRPr="00966063" w:rsidRDefault="008A295A" w:rsidP="004C01A2">
      <w:pPr>
        <w:rPr>
          <w:b/>
          <w:bCs/>
          <w:i/>
          <w:szCs w:val="22"/>
          <w:lang w:val="sr-Latn-RS"/>
        </w:rPr>
      </w:pPr>
      <w:r w:rsidRPr="00966063">
        <w:rPr>
          <w:b/>
          <w:bCs/>
          <w:i/>
          <w:szCs w:val="22"/>
          <w:lang w:val="sr-Latn-RS"/>
        </w:rPr>
        <w:t>Faktori rizika:</w:t>
      </w:r>
    </w:p>
    <w:p w14:paraId="2D171A18" w14:textId="35753FDD" w:rsidR="008A295A" w:rsidRPr="00966063" w:rsidRDefault="008A295A" w:rsidP="002717BC">
      <w:pPr>
        <w:ind w:left="270" w:hanging="270"/>
        <w:rPr>
          <w:bCs/>
          <w:szCs w:val="22"/>
          <w:lang w:val="sr-Latn-RS"/>
        </w:rPr>
      </w:pPr>
      <w:r w:rsidRPr="00966063">
        <w:rPr>
          <w:bCs/>
          <w:szCs w:val="22"/>
          <w:lang w:val="sr-Latn-RS"/>
        </w:rPr>
        <w:t>a) ako je pacijent na dugotrajnoj terapiji karbamazepinom, fenobarbitonom, fenitoinom, pirimidonom, rifampicinom, kantarionom ili nekim drugim l</w:t>
      </w:r>
      <w:r w:rsidR="007466D5">
        <w:rPr>
          <w:bCs/>
          <w:szCs w:val="22"/>
          <w:lang w:val="sr-Latn-RS"/>
        </w:rPr>
        <w:t>j</w:t>
      </w:r>
      <w:r w:rsidRPr="00966063">
        <w:rPr>
          <w:bCs/>
          <w:szCs w:val="22"/>
          <w:lang w:val="sr-Latn-RS"/>
        </w:rPr>
        <w:t>ekovima koji indukuju enzime jetre;</w:t>
      </w:r>
    </w:p>
    <w:p w14:paraId="6A50DE43" w14:textId="77777777" w:rsidR="008A295A" w:rsidRPr="00966063" w:rsidRDefault="008A295A" w:rsidP="004C01A2">
      <w:pPr>
        <w:rPr>
          <w:bCs/>
          <w:szCs w:val="22"/>
          <w:lang w:val="sr-Latn-RS"/>
        </w:rPr>
      </w:pPr>
      <w:r w:rsidRPr="00966063">
        <w:rPr>
          <w:bCs/>
          <w:szCs w:val="22"/>
          <w:lang w:val="sr-Latn-RS"/>
        </w:rPr>
        <w:t>b) ako pacijent redovno uzima etanol u količinama većim od dozvoljenih;</w:t>
      </w:r>
    </w:p>
    <w:p w14:paraId="3B6B9E7C" w14:textId="551823F6" w:rsidR="008A295A" w:rsidRPr="00966063" w:rsidRDefault="008A295A" w:rsidP="002717BC">
      <w:pPr>
        <w:ind w:left="234" w:hanging="234"/>
        <w:rPr>
          <w:bCs/>
          <w:szCs w:val="22"/>
          <w:lang w:val="sr-Latn-RS"/>
        </w:rPr>
      </w:pPr>
      <w:r w:rsidRPr="00966063">
        <w:rPr>
          <w:bCs/>
          <w:szCs w:val="22"/>
          <w:lang w:val="sr-Latn-RS"/>
        </w:rPr>
        <w:t>c) ako postoji v</w:t>
      </w:r>
      <w:r w:rsidR="007466D5">
        <w:rPr>
          <w:bCs/>
          <w:szCs w:val="22"/>
          <w:lang w:val="sr-Latn-RS"/>
        </w:rPr>
        <w:t>j</w:t>
      </w:r>
      <w:r w:rsidRPr="00966063">
        <w:rPr>
          <w:bCs/>
          <w:szCs w:val="22"/>
          <w:lang w:val="sr-Latn-RS"/>
        </w:rPr>
        <w:t>erovatnoća da pacijent ima manjak glutationa, na prim</w:t>
      </w:r>
      <w:r w:rsidR="007466D5">
        <w:rPr>
          <w:bCs/>
          <w:szCs w:val="22"/>
          <w:lang w:val="sr-Latn-RS"/>
        </w:rPr>
        <w:t>j</w:t>
      </w:r>
      <w:r w:rsidRPr="00966063">
        <w:rPr>
          <w:bCs/>
          <w:szCs w:val="22"/>
          <w:lang w:val="sr-Latn-RS"/>
        </w:rPr>
        <w:t>er zbog poremećaja ishrane, cistične fibroze, HIV infekcije, izgladnjavanja, kaheksije.</w:t>
      </w:r>
    </w:p>
    <w:p w14:paraId="2AABD556" w14:textId="77777777" w:rsidR="008A295A" w:rsidRPr="00966063" w:rsidRDefault="008A295A" w:rsidP="004C01A2">
      <w:pPr>
        <w:spacing w:before="120"/>
        <w:rPr>
          <w:b/>
          <w:bCs/>
          <w:szCs w:val="22"/>
          <w:lang w:val="sr-Latn-RS"/>
        </w:rPr>
      </w:pPr>
      <w:r w:rsidRPr="00966063">
        <w:rPr>
          <w:b/>
          <w:bCs/>
          <w:szCs w:val="22"/>
          <w:lang w:val="sr-Latn-RS"/>
        </w:rPr>
        <w:t>Simptomi</w:t>
      </w:r>
    </w:p>
    <w:p w14:paraId="1D24195D" w14:textId="7457CBC8" w:rsidR="008A295A" w:rsidRPr="00966063" w:rsidRDefault="008A295A" w:rsidP="004C01A2">
      <w:pPr>
        <w:rPr>
          <w:bCs/>
          <w:szCs w:val="22"/>
          <w:lang w:val="sr-Latn-RS"/>
        </w:rPr>
      </w:pPr>
      <w:r w:rsidRPr="00966063">
        <w:rPr>
          <w:bCs/>
          <w:szCs w:val="22"/>
          <w:lang w:val="sr-Latn-RS"/>
        </w:rPr>
        <w:t>Simptomi predoziranja paracetamolom u prva 24 časa su bl</w:t>
      </w:r>
      <w:r w:rsidR="007466D5">
        <w:rPr>
          <w:bCs/>
          <w:szCs w:val="22"/>
          <w:lang w:val="sr-Latn-RS"/>
        </w:rPr>
        <w:t>j</w:t>
      </w:r>
      <w:r w:rsidRPr="00966063">
        <w:rPr>
          <w:bCs/>
          <w:szCs w:val="22"/>
          <w:lang w:val="sr-Latn-RS"/>
        </w:rPr>
        <w:t>edilo, mučnina, povraćanje, anoreksija i bol u abdomenu. Oštećenje jetre može postati prim</w:t>
      </w:r>
      <w:r w:rsidR="007466D5">
        <w:rPr>
          <w:bCs/>
          <w:szCs w:val="22"/>
          <w:lang w:val="sr-Latn-RS"/>
        </w:rPr>
        <w:t>j</w:t>
      </w:r>
      <w:r w:rsidRPr="00966063">
        <w:rPr>
          <w:bCs/>
          <w:szCs w:val="22"/>
          <w:lang w:val="sr-Latn-RS"/>
        </w:rPr>
        <w:t>etn</w:t>
      </w:r>
      <w:r w:rsidR="002254FB" w:rsidRPr="00966063">
        <w:rPr>
          <w:bCs/>
          <w:szCs w:val="22"/>
          <w:lang w:val="sr-Latn-RS"/>
        </w:rPr>
        <w:t>o 12 do 48 časova nakon ingestije</w:t>
      </w:r>
      <w:r w:rsidRPr="00966063">
        <w:rPr>
          <w:bCs/>
          <w:szCs w:val="22"/>
          <w:lang w:val="sr-Latn-RS"/>
        </w:rPr>
        <w:t xml:space="preserve"> l</w:t>
      </w:r>
      <w:r w:rsidR="007466D5">
        <w:rPr>
          <w:bCs/>
          <w:szCs w:val="22"/>
          <w:lang w:val="sr-Latn-RS"/>
        </w:rPr>
        <w:t>ij</w:t>
      </w:r>
      <w:r w:rsidRPr="00966063">
        <w:rPr>
          <w:bCs/>
          <w:szCs w:val="22"/>
          <w:lang w:val="sr-Latn-RS"/>
        </w:rPr>
        <w:t>eka. Može doći do poremećaja metabolizma glukoze i metaboličke acidoze. Kod teških trovanja, insufici</w:t>
      </w:r>
      <w:r w:rsidR="002254FB" w:rsidRPr="00966063">
        <w:rPr>
          <w:bCs/>
          <w:szCs w:val="22"/>
          <w:lang w:val="sr-Latn-RS"/>
        </w:rPr>
        <w:t>jencija jetre može napredovati do encefalopatije, krvarenja, hipoglikemije, cerebralnog</w:t>
      </w:r>
      <w:r w:rsidRPr="00966063">
        <w:rPr>
          <w:bCs/>
          <w:szCs w:val="22"/>
          <w:lang w:val="sr-Latn-RS"/>
        </w:rPr>
        <w:t xml:space="preserve"> edem</w:t>
      </w:r>
      <w:r w:rsidR="002254FB" w:rsidRPr="00966063">
        <w:rPr>
          <w:bCs/>
          <w:szCs w:val="22"/>
          <w:lang w:val="sr-Latn-RS"/>
        </w:rPr>
        <w:t>a</w:t>
      </w:r>
      <w:r w:rsidRPr="00966063">
        <w:rPr>
          <w:bCs/>
          <w:szCs w:val="22"/>
          <w:lang w:val="sr-Latn-RS"/>
        </w:rPr>
        <w:t xml:space="preserve"> i smrt</w:t>
      </w:r>
      <w:r w:rsidR="002254FB" w:rsidRPr="00966063">
        <w:rPr>
          <w:bCs/>
          <w:szCs w:val="22"/>
          <w:lang w:val="sr-Latn-RS"/>
        </w:rPr>
        <w:t>i</w:t>
      </w:r>
      <w:r w:rsidRPr="00966063">
        <w:rPr>
          <w:bCs/>
          <w:szCs w:val="22"/>
          <w:lang w:val="sr-Latn-RS"/>
        </w:rPr>
        <w:t>. Akutna bubrežna insuficijencija sa akutnom tubu</w:t>
      </w:r>
      <w:r w:rsidR="00396823" w:rsidRPr="00966063">
        <w:rPr>
          <w:bCs/>
          <w:szCs w:val="22"/>
          <w:lang w:val="sr-Latn-RS"/>
        </w:rPr>
        <w:t>larnom nekrozom, na koju ukazuju</w:t>
      </w:r>
      <w:r w:rsidRPr="00966063">
        <w:rPr>
          <w:bCs/>
          <w:szCs w:val="22"/>
          <w:lang w:val="sr-Latn-RS"/>
        </w:rPr>
        <w:t xml:space="preserve"> s</w:t>
      </w:r>
      <w:r w:rsidR="00396823" w:rsidRPr="00966063">
        <w:rPr>
          <w:bCs/>
          <w:szCs w:val="22"/>
          <w:lang w:val="sr-Latn-RS"/>
        </w:rPr>
        <w:t>nažan bol u krstima, hematurija i</w:t>
      </w:r>
      <w:r w:rsidRPr="00966063">
        <w:rPr>
          <w:bCs/>
          <w:szCs w:val="22"/>
          <w:lang w:val="sr-Latn-RS"/>
        </w:rPr>
        <w:t xml:space="preserve"> proteinurija, može se razviti čak i ako ne dođe do ozbiljnog oštećenja jetre. Prijavljivani su i slučajevi srčanih aritmija i pankreatitisa.</w:t>
      </w:r>
    </w:p>
    <w:p w14:paraId="0CEDC574" w14:textId="77777777" w:rsidR="008A295A" w:rsidRPr="00966063" w:rsidRDefault="008A295A" w:rsidP="004C01A2">
      <w:pPr>
        <w:rPr>
          <w:szCs w:val="22"/>
          <w:lang w:val="sr-Latn-RS"/>
        </w:rPr>
      </w:pPr>
    </w:p>
    <w:p w14:paraId="18BC9D41" w14:textId="2FC30EB4" w:rsidR="008A295A" w:rsidRPr="00966063" w:rsidRDefault="008A295A" w:rsidP="004C01A2">
      <w:pPr>
        <w:rPr>
          <w:b/>
          <w:bCs/>
          <w:szCs w:val="22"/>
          <w:lang w:val="sr-Latn-RS"/>
        </w:rPr>
      </w:pPr>
      <w:r w:rsidRPr="00966063">
        <w:rPr>
          <w:b/>
          <w:bCs/>
          <w:szCs w:val="22"/>
          <w:lang w:val="sr-Latn-RS"/>
        </w:rPr>
        <w:t>L</w:t>
      </w:r>
      <w:r w:rsidR="007466D5">
        <w:rPr>
          <w:b/>
          <w:bCs/>
          <w:szCs w:val="22"/>
          <w:lang w:val="sr-Latn-RS"/>
        </w:rPr>
        <w:t>ij</w:t>
      </w:r>
      <w:r w:rsidRPr="00966063">
        <w:rPr>
          <w:b/>
          <w:bCs/>
          <w:szCs w:val="22"/>
          <w:lang w:val="sr-Latn-RS"/>
        </w:rPr>
        <w:t>ečenje</w:t>
      </w:r>
    </w:p>
    <w:p w14:paraId="16E97D3D" w14:textId="210909A6" w:rsidR="008A295A" w:rsidRPr="00966063" w:rsidRDefault="008A295A" w:rsidP="004C01A2">
      <w:pPr>
        <w:rPr>
          <w:bCs/>
          <w:szCs w:val="22"/>
          <w:lang w:val="sr-Latn-RS"/>
        </w:rPr>
      </w:pPr>
      <w:r w:rsidRPr="00966063">
        <w:rPr>
          <w:bCs/>
          <w:szCs w:val="22"/>
          <w:lang w:val="sr-Latn-RS"/>
        </w:rPr>
        <w:t>Trenutna prim</w:t>
      </w:r>
      <w:r w:rsidR="007466D5">
        <w:rPr>
          <w:bCs/>
          <w:szCs w:val="22"/>
          <w:lang w:val="sr-Latn-RS"/>
        </w:rPr>
        <w:t>j</w:t>
      </w:r>
      <w:r w:rsidRPr="00966063">
        <w:rPr>
          <w:bCs/>
          <w:szCs w:val="22"/>
          <w:lang w:val="sr-Latn-RS"/>
        </w:rPr>
        <w:t>ena terapije je nužna u l</w:t>
      </w:r>
      <w:r w:rsidR="007466D5">
        <w:rPr>
          <w:bCs/>
          <w:szCs w:val="22"/>
          <w:lang w:val="sr-Latn-RS"/>
        </w:rPr>
        <w:t>ij</w:t>
      </w:r>
      <w:r w:rsidRPr="00966063">
        <w:rPr>
          <w:bCs/>
          <w:szCs w:val="22"/>
          <w:lang w:val="sr-Latn-RS"/>
        </w:rPr>
        <w:t>ečenju predoziranja paracetamolom. Uprkos tome što nema značajnih ranih simptoma, pacijente treba hitno odvesti u bolnicu radi trenutnog l</w:t>
      </w:r>
      <w:r w:rsidR="007466D5">
        <w:rPr>
          <w:bCs/>
          <w:szCs w:val="22"/>
          <w:lang w:val="sr-Latn-RS"/>
        </w:rPr>
        <w:t>ij</w:t>
      </w:r>
      <w:r w:rsidRPr="00966063">
        <w:rPr>
          <w:bCs/>
          <w:szCs w:val="22"/>
          <w:lang w:val="sr-Latn-RS"/>
        </w:rPr>
        <w:t>ečenja. Simptomi mogu biti ograničeni na mučninu i</w:t>
      </w:r>
      <w:r w:rsidR="003664CC" w:rsidRPr="00966063">
        <w:rPr>
          <w:bCs/>
          <w:szCs w:val="22"/>
          <w:lang w:val="sr-Latn-RS"/>
        </w:rPr>
        <w:t xml:space="preserve"> povraćanje, tako da ne odražavaju </w:t>
      </w:r>
      <w:r w:rsidRPr="00966063">
        <w:rPr>
          <w:bCs/>
          <w:szCs w:val="22"/>
          <w:lang w:val="sr-Latn-RS"/>
        </w:rPr>
        <w:t xml:space="preserve">ozbiljnost predoziranja ili </w:t>
      </w:r>
      <w:r w:rsidR="003664CC" w:rsidRPr="00966063">
        <w:rPr>
          <w:bCs/>
          <w:szCs w:val="22"/>
          <w:lang w:val="sr-Latn-RS"/>
        </w:rPr>
        <w:t xml:space="preserve">ne ukazuju </w:t>
      </w:r>
      <w:r w:rsidRPr="00966063">
        <w:rPr>
          <w:bCs/>
          <w:szCs w:val="22"/>
          <w:lang w:val="sr-Latn-RS"/>
        </w:rPr>
        <w:t>na rizik od oštećenja organa. L</w:t>
      </w:r>
      <w:r w:rsidR="007466D5">
        <w:rPr>
          <w:bCs/>
          <w:szCs w:val="22"/>
          <w:lang w:val="sr-Latn-RS"/>
        </w:rPr>
        <w:t>ij</w:t>
      </w:r>
      <w:r w:rsidRPr="00966063">
        <w:rPr>
          <w:bCs/>
          <w:szCs w:val="22"/>
          <w:lang w:val="sr-Latn-RS"/>
        </w:rPr>
        <w:t>ečenje treba da je u skladu sa utvrđenim sm</w:t>
      </w:r>
      <w:r w:rsidR="007466D5">
        <w:rPr>
          <w:bCs/>
          <w:szCs w:val="22"/>
          <w:lang w:val="sr-Latn-RS"/>
        </w:rPr>
        <w:t>j</w:t>
      </w:r>
      <w:r w:rsidRPr="00966063">
        <w:rPr>
          <w:bCs/>
          <w:szCs w:val="22"/>
          <w:lang w:val="sr-Latn-RS"/>
        </w:rPr>
        <w:t>ernicama za terapiju predoziranja.</w:t>
      </w:r>
    </w:p>
    <w:p w14:paraId="16765099" w14:textId="77777777" w:rsidR="008A295A" w:rsidRPr="00966063" w:rsidRDefault="008A295A" w:rsidP="004C01A2">
      <w:pPr>
        <w:rPr>
          <w:bCs/>
          <w:szCs w:val="22"/>
          <w:lang w:val="sr-Latn-RS"/>
        </w:rPr>
      </w:pPr>
    </w:p>
    <w:p w14:paraId="53FEC357" w14:textId="01506BE4" w:rsidR="008A295A" w:rsidRDefault="008A295A" w:rsidP="004C01A2">
      <w:pPr>
        <w:rPr>
          <w:bCs/>
          <w:szCs w:val="22"/>
          <w:lang w:val="sr-Latn-RS"/>
        </w:rPr>
      </w:pPr>
      <w:r w:rsidRPr="00966063">
        <w:rPr>
          <w:bCs/>
          <w:szCs w:val="22"/>
          <w:lang w:val="sr-Latn-RS"/>
        </w:rPr>
        <w:t>Treba razmotriti i terapiju aktivnim ugljem, ukoliko je od predoziranja prošlo najviše jedan sat. Koncentracije paracetamola u plazmi treba izm</w:t>
      </w:r>
      <w:r w:rsidR="007466D5">
        <w:rPr>
          <w:bCs/>
          <w:szCs w:val="22"/>
          <w:lang w:val="sr-Latn-RS"/>
        </w:rPr>
        <w:t>j</w:t>
      </w:r>
      <w:r w:rsidRPr="00966063">
        <w:rPr>
          <w:bCs/>
          <w:szCs w:val="22"/>
          <w:lang w:val="sr-Latn-RS"/>
        </w:rPr>
        <w:t>eriti 4 ili više sati nakon upotrebe l</w:t>
      </w:r>
      <w:r w:rsidR="007466D5">
        <w:rPr>
          <w:bCs/>
          <w:szCs w:val="22"/>
          <w:lang w:val="sr-Latn-RS"/>
        </w:rPr>
        <w:t>ij</w:t>
      </w:r>
      <w:r w:rsidRPr="00966063">
        <w:rPr>
          <w:bCs/>
          <w:szCs w:val="22"/>
          <w:lang w:val="sr-Latn-RS"/>
        </w:rPr>
        <w:t>eka (koncentracije izm</w:t>
      </w:r>
      <w:r w:rsidR="007466D5">
        <w:rPr>
          <w:bCs/>
          <w:szCs w:val="22"/>
          <w:lang w:val="sr-Latn-RS"/>
        </w:rPr>
        <w:t>j</w:t>
      </w:r>
      <w:r w:rsidRPr="00966063">
        <w:rPr>
          <w:bCs/>
          <w:szCs w:val="22"/>
          <w:lang w:val="sr-Latn-RS"/>
        </w:rPr>
        <w:t>erene ranije su nepouzdane). Terapija N-acetilcisteinom može se pri</w:t>
      </w:r>
      <w:r w:rsidR="003664CC" w:rsidRPr="00966063">
        <w:rPr>
          <w:bCs/>
          <w:szCs w:val="22"/>
          <w:lang w:val="sr-Latn-RS"/>
        </w:rPr>
        <w:t>m</w:t>
      </w:r>
      <w:r w:rsidR="007466D5">
        <w:rPr>
          <w:bCs/>
          <w:szCs w:val="22"/>
          <w:lang w:val="sr-Latn-RS"/>
        </w:rPr>
        <w:t>ij</w:t>
      </w:r>
      <w:r w:rsidR="003664CC" w:rsidRPr="00966063">
        <w:rPr>
          <w:bCs/>
          <w:szCs w:val="22"/>
          <w:lang w:val="sr-Latn-RS"/>
        </w:rPr>
        <w:t>eniti do 24 časa nakon ingestije</w:t>
      </w:r>
      <w:r w:rsidRPr="00966063">
        <w:rPr>
          <w:bCs/>
          <w:szCs w:val="22"/>
          <w:lang w:val="sr-Latn-RS"/>
        </w:rPr>
        <w:t xml:space="preserve"> paracetamola, ali se maksimalni zaštitni efekat postiže do 8 časova nakon ingestij</w:t>
      </w:r>
      <w:r w:rsidR="003664CC" w:rsidRPr="00966063">
        <w:rPr>
          <w:bCs/>
          <w:szCs w:val="22"/>
          <w:lang w:val="sr-Latn-RS"/>
        </w:rPr>
        <w:t>e l</w:t>
      </w:r>
      <w:r w:rsidR="007466D5">
        <w:rPr>
          <w:bCs/>
          <w:szCs w:val="22"/>
          <w:lang w:val="sr-Latn-RS"/>
        </w:rPr>
        <w:t>ij</w:t>
      </w:r>
      <w:r w:rsidR="003664CC" w:rsidRPr="00966063">
        <w:rPr>
          <w:bCs/>
          <w:szCs w:val="22"/>
          <w:lang w:val="sr-Latn-RS"/>
        </w:rPr>
        <w:t>eka. Efektivnost antidota</w:t>
      </w:r>
      <w:r w:rsidRPr="00966063">
        <w:rPr>
          <w:bCs/>
          <w:szCs w:val="22"/>
          <w:lang w:val="sr-Latn-RS"/>
        </w:rPr>
        <w:t xml:space="preserve"> naglo opada nakon ovog perioda. Ukoliko je potrebno, pacijentu treba intravenski dati N-acetilcistein, u skladu sa utvrđenim rasporedom doza. Ukoliko pacijent ne povraća, za m</w:t>
      </w:r>
      <w:r w:rsidR="007466D5">
        <w:rPr>
          <w:bCs/>
          <w:szCs w:val="22"/>
          <w:lang w:val="sr-Latn-RS"/>
        </w:rPr>
        <w:t>j</w:t>
      </w:r>
      <w:r w:rsidRPr="00966063">
        <w:rPr>
          <w:bCs/>
          <w:szCs w:val="22"/>
          <w:lang w:val="sr-Latn-RS"/>
        </w:rPr>
        <w:t>esta udaljena od bolnica, odgovarajuća zam</w:t>
      </w:r>
      <w:r w:rsidR="007466D5">
        <w:rPr>
          <w:bCs/>
          <w:szCs w:val="22"/>
          <w:lang w:val="sr-Latn-RS"/>
        </w:rPr>
        <w:t>j</w:t>
      </w:r>
      <w:r w:rsidRPr="00966063">
        <w:rPr>
          <w:bCs/>
          <w:szCs w:val="22"/>
          <w:lang w:val="sr-Latn-RS"/>
        </w:rPr>
        <w:t>ena može biti oralna prim</w:t>
      </w:r>
      <w:r w:rsidR="007466D5">
        <w:rPr>
          <w:bCs/>
          <w:szCs w:val="22"/>
          <w:lang w:val="sr-Latn-RS"/>
        </w:rPr>
        <w:t>j</w:t>
      </w:r>
      <w:r w:rsidRPr="00966063">
        <w:rPr>
          <w:bCs/>
          <w:szCs w:val="22"/>
          <w:lang w:val="sr-Latn-RS"/>
        </w:rPr>
        <w:t>ena metionina. L</w:t>
      </w:r>
      <w:r w:rsidR="007466D5">
        <w:rPr>
          <w:bCs/>
          <w:szCs w:val="22"/>
          <w:lang w:val="sr-Latn-RS"/>
        </w:rPr>
        <w:t>ij</w:t>
      </w:r>
      <w:r w:rsidRPr="00966063">
        <w:rPr>
          <w:bCs/>
          <w:szCs w:val="22"/>
          <w:lang w:val="sr-Latn-RS"/>
        </w:rPr>
        <w:t xml:space="preserve">ečenje pacijenata sa ozbiljnom disfunkcijom jetre, kod kojih je prošlo više </w:t>
      </w:r>
      <w:r w:rsidRPr="00966063">
        <w:rPr>
          <w:bCs/>
          <w:szCs w:val="22"/>
          <w:lang w:val="sr-Latn-RS"/>
        </w:rPr>
        <w:lastRenderedPageBreak/>
        <w:t>od 24 časa nakon upotrebe paracetamol</w:t>
      </w:r>
      <w:r w:rsidR="003664CC" w:rsidRPr="00966063">
        <w:rPr>
          <w:bCs/>
          <w:szCs w:val="22"/>
          <w:lang w:val="sr-Latn-RS"/>
        </w:rPr>
        <w:t>a, treba sprovesti u Nacionaln</w:t>
      </w:r>
      <w:r w:rsidR="00CE4952">
        <w:rPr>
          <w:bCs/>
          <w:szCs w:val="22"/>
          <w:lang w:val="sr-Latn-RS"/>
        </w:rPr>
        <w:t>om</w:t>
      </w:r>
      <w:r w:rsidR="003664CC" w:rsidRPr="00966063">
        <w:rPr>
          <w:bCs/>
          <w:szCs w:val="22"/>
          <w:lang w:val="sr-Latn-RS"/>
        </w:rPr>
        <w:t xml:space="preserve"> cent</w:t>
      </w:r>
      <w:r w:rsidR="00CE4952">
        <w:rPr>
          <w:bCs/>
          <w:szCs w:val="22"/>
          <w:lang w:val="sr-Latn-RS"/>
        </w:rPr>
        <w:t>ru</w:t>
      </w:r>
      <w:r w:rsidRPr="00966063">
        <w:rPr>
          <w:bCs/>
          <w:szCs w:val="22"/>
          <w:lang w:val="sr-Latn-RS"/>
        </w:rPr>
        <w:t xml:space="preserve"> za</w:t>
      </w:r>
      <w:r w:rsidR="003664CC" w:rsidRPr="00966063">
        <w:rPr>
          <w:bCs/>
          <w:szCs w:val="22"/>
          <w:lang w:val="sr-Latn-RS"/>
        </w:rPr>
        <w:t xml:space="preserve"> kontrolu trovanja ili na od</w:t>
      </w:r>
      <w:r w:rsidR="007466D5">
        <w:rPr>
          <w:bCs/>
          <w:szCs w:val="22"/>
          <w:lang w:val="sr-Latn-RS"/>
        </w:rPr>
        <w:t>j</w:t>
      </w:r>
      <w:r w:rsidR="003664CC" w:rsidRPr="00966063">
        <w:rPr>
          <w:bCs/>
          <w:szCs w:val="22"/>
          <w:lang w:val="sr-Latn-RS"/>
        </w:rPr>
        <w:t>eljenj</w:t>
      </w:r>
      <w:r w:rsidR="00CE4952">
        <w:rPr>
          <w:bCs/>
          <w:szCs w:val="22"/>
          <w:lang w:val="sr-Latn-RS"/>
        </w:rPr>
        <w:t>u</w:t>
      </w:r>
      <w:r w:rsidRPr="00966063">
        <w:rPr>
          <w:bCs/>
          <w:szCs w:val="22"/>
          <w:lang w:val="sr-Latn-RS"/>
        </w:rPr>
        <w:t xml:space="preserve"> za hepatologiju.</w:t>
      </w:r>
    </w:p>
    <w:p w14:paraId="0547B165" w14:textId="77777777" w:rsidR="00FE1656" w:rsidRPr="00966063" w:rsidRDefault="00FE1656" w:rsidP="004C01A2">
      <w:pPr>
        <w:rPr>
          <w:szCs w:val="22"/>
          <w:lang w:val="sr-Latn-RS"/>
        </w:rPr>
      </w:pPr>
    </w:p>
    <w:p w14:paraId="6F98BE90" w14:textId="77777777" w:rsidR="008A295A" w:rsidRPr="00966063" w:rsidRDefault="008A295A" w:rsidP="004C01A2">
      <w:pPr>
        <w:pStyle w:val="NASLOV123"/>
        <w:jc w:val="both"/>
        <w:rPr>
          <w:lang w:val="sr-Latn-RS"/>
        </w:rPr>
      </w:pPr>
      <w:r w:rsidRPr="00966063">
        <w:rPr>
          <w:lang w:val="sr-Latn-RS"/>
        </w:rPr>
        <w:t>5. FARMAKOLOŠKI PODACI</w:t>
      </w:r>
    </w:p>
    <w:p w14:paraId="51D391F9" w14:textId="77777777" w:rsidR="008A295A" w:rsidRPr="00966063" w:rsidRDefault="008A295A" w:rsidP="004D1981">
      <w:pPr>
        <w:rPr>
          <w:b/>
          <w:bCs/>
          <w:szCs w:val="22"/>
          <w:lang w:val="sr-Latn-RS"/>
        </w:rPr>
      </w:pPr>
      <w:r w:rsidRPr="00966063">
        <w:rPr>
          <w:b/>
          <w:bCs/>
          <w:szCs w:val="22"/>
          <w:lang w:val="sr-Latn-RS"/>
        </w:rPr>
        <w:t>5.1. Farmakodinamski podaci</w:t>
      </w:r>
    </w:p>
    <w:p w14:paraId="3C93DA72" w14:textId="77777777" w:rsidR="008A295A" w:rsidRPr="00966063" w:rsidRDefault="008A295A" w:rsidP="00797A96">
      <w:pPr>
        <w:jc w:val="left"/>
        <w:rPr>
          <w:szCs w:val="22"/>
          <w:lang w:val="sr-Latn-RS"/>
        </w:rPr>
      </w:pPr>
      <w:r w:rsidRPr="00966063">
        <w:rPr>
          <w:szCs w:val="22"/>
          <w:lang w:val="sr-Latn-RS"/>
        </w:rPr>
        <w:tab/>
      </w:r>
      <w:r w:rsidRPr="00966063">
        <w:rPr>
          <w:szCs w:val="22"/>
          <w:lang w:val="sr-Latn-RS"/>
        </w:rPr>
        <w:tab/>
      </w:r>
      <w:r w:rsidRPr="00966063">
        <w:rPr>
          <w:szCs w:val="22"/>
          <w:lang w:val="sr-Latn-RS"/>
        </w:rPr>
        <w:tab/>
      </w:r>
      <w:r w:rsidRPr="00966063">
        <w:rPr>
          <w:szCs w:val="22"/>
          <w:lang w:val="sr-Latn-RS"/>
        </w:rPr>
        <w:tab/>
      </w:r>
      <w:r w:rsidRPr="00966063">
        <w:rPr>
          <w:szCs w:val="22"/>
          <w:lang w:val="sr-Latn-RS"/>
        </w:rPr>
        <w:tab/>
      </w:r>
      <w:r w:rsidRPr="00966063">
        <w:rPr>
          <w:szCs w:val="22"/>
          <w:lang w:val="sr-Latn-RS"/>
        </w:rPr>
        <w:tab/>
      </w:r>
      <w:r w:rsidRPr="00966063">
        <w:rPr>
          <w:szCs w:val="22"/>
          <w:lang w:val="sr-Latn-RS"/>
        </w:rPr>
        <w:tab/>
      </w:r>
      <w:r w:rsidRPr="00966063">
        <w:rPr>
          <w:szCs w:val="22"/>
          <w:lang w:val="sr-Latn-RS"/>
        </w:rPr>
        <w:tab/>
        <w:t>ANALGETICI</w:t>
      </w:r>
    </w:p>
    <w:p w14:paraId="0F300ADA" w14:textId="77777777" w:rsidR="008A295A" w:rsidRPr="00966063" w:rsidRDefault="008A295A" w:rsidP="00797A96">
      <w:pPr>
        <w:tabs>
          <w:tab w:val="clear" w:pos="284"/>
        </w:tabs>
        <w:autoSpaceDE w:val="0"/>
        <w:autoSpaceDN w:val="0"/>
        <w:adjustRightInd w:val="0"/>
        <w:jc w:val="left"/>
        <w:rPr>
          <w:rFonts w:eastAsia="TimesNewRoman"/>
          <w:szCs w:val="22"/>
          <w:lang w:val="sr-Latn-RS"/>
        </w:rPr>
      </w:pPr>
      <w:r w:rsidRPr="007466D5">
        <w:rPr>
          <w:szCs w:val="22"/>
          <w:lang w:val="sr-Latn-RS"/>
        </w:rPr>
        <w:t>Farmakoterapijska grupa:</w:t>
      </w:r>
      <w:r w:rsidRPr="00966063">
        <w:rPr>
          <w:szCs w:val="22"/>
          <w:lang w:val="sr-Latn-RS"/>
        </w:rPr>
        <w:tab/>
      </w:r>
      <w:r w:rsidRPr="00966063">
        <w:rPr>
          <w:szCs w:val="22"/>
          <w:lang w:val="sr-Latn-RS"/>
        </w:rPr>
        <w:tab/>
      </w:r>
      <w:r w:rsidRPr="00966063">
        <w:rPr>
          <w:szCs w:val="22"/>
          <w:lang w:val="sr-Latn-RS"/>
        </w:rPr>
        <w:tab/>
      </w:r>
      <w:r w:rsidRPr="00966063">
        <w:rPr>
          <w:szCs w:val="22"/>
          <w:lang w:val="sr-Latn-RS"/>
        </w:rPr>
        <w:tab/>
        <w:t>ostali anelgetici i antipiretici, anilidi</w:t>
      </w:r>
    </w:p>
    <w:p w14:paraId="411D12F4" w14:textId="77777777" w:rsidR="008A295A" w:rsidRPr="00966063" w:rsidRDefault="008A295A" w:rsidP="004D1981">
      <w:pPr>
        <w:rPr>
          <w:b/>
          <w:bCs/>
          <w:szCs w:val="22"/>
          <w:lang w:val="sr-Latn-RS"/>
        </w:rPr>
      </w:pPr>
    </w:p>
    <w:p w14:paraId="136CF89B" w14:textId="00AC0F9F" w:rsidR="008A295A" w:rsidRPr="00966063" w:rsidRDefault="008A295A" w:rsidP="004D1981">
      <w:pPr>
        <w:rPr>
          <w:szCs w:val="22"/>
          <w:lang w:val="sr-Latn-RS"/>
        </w:rPr>
      </w:pPr>
      <w:r w:rsidRPr="007466D5">
        <w:rPr>
          <w:szCs w:val="22"/>
          <w:lang w:val="sr-Latn-RS"/>
        </w:rPr>
        <w:t xml:space="preserve">ATC </w:t>
      </w:r>
      <w:r w:rsidR="007466D5">
        <w:rPr>
          <w:szCs w:val="22"/>
          <w:lang w:val="sr-Latn-RS"/>
        </w:rPr>
        <w:t>kod</w:t>
      </w:r>
      <w:r w:rsidRPr="007466D5">
        <w:rPr>
          <w:szCs w:val="22"/>
          <w:lang w:val="sr-Latn-RS"/>
        </w:rPr>
        <w:t>:</w:t>
      </w:r>
      <w:r w:rsidR="00CE4952">
        <w:rPr>
          <w:b/>
          <w:bCs/>
          <w:szCs w:val="22"/>
          <w:lang w:val="sr-Latn-RS"/>
        </w:rPr>
        <w:t xml:space="preserve"> </w:t>
      </w:r>
      <w:r w:rsidRPr="00966063">
        <w:rPr>
          <w:szCs w:val="22"/>
          <w:lang w:val="sr-Latn-RS"/>
        </w:rPr>
        <w:t>N02BE01</w:t>
      </w:r>
    </w:p>
    <w:p w14:paraId="5689FD3E" w14:textId="77777777" w:rsidR="008A295A" w:rsidRPr="00966063" w:rsidRDefault="008A295A" w:rsidP="004D1981">
      <w:pPr>
        <w:tabs>
          <w:tab w:val="clear" w:pos="284"/>
        </w:tabs>
        <w:autoSpaceDE w:val="0"/>
        <w:autoSpaceDN w:val="0"/>
        <w:adjustRightInd w:val="0"/>
        <w:rPr>
          <w:rFonts w:eastAsia="TimesNewRoman"/>
          <w:i/>
          <w:szCs w:val="22"/>
          <w:lang w:val="sr-Latn-RS"/>
        </w:rPr>
      </w:pPr>
    </w:p>
    <w:p w14:paraId="06C51070" w14:textId="06E3C804" w:rsidR="008A295A" w:rsidRPr="00966063" w:rsidRDefault="008A295A" w:rsidP="004C01A2">
      <w:pPr>
        <w:rPr>
          <w:szCs w:val="22"/>
          <w:lang w:val="sr-Latn-RS"/>
        </w:rPr>
      </w:pPr>
      <w:r w:rsidRPr="00966063">
        <w:rPr>
          <w:szCs w:val="22"/>
          <w:lang w:val="sr-Latn-RS"/>
        </w:rPr>
        <w:t>Paracetamol ima analgetsko i antipiretičko dejstvo.</w:t>
      </w:r>
      <w:r w:rsidR="006A7A14">
        <w:rPr>
          <w:szCs w:val="22"/>
          <w:lang w:val="sr-Latn-RS"/>
        </w:rPr>
        <w:t xml:space="preserve"> </w:t>
      </w:r>
      <w:r w:rsidRPr="00966063">
        <w:rPr>
          <w:szCs w:val="22"/>
          <w:lang w:val="sr-Latn-RS"/>
        </w:rPr>
        <w:t>Mehanizam dejstva paracetamola je v</w:t>
      </w:r>
      <w:r w:rsidR="007466D5">
        <w:rPr>
          <w:szCs w:val="22"/>
          <w:lang w:val="sr-Latn-RS"/>
        </w:rPr>
        <w:t>j</w:t>
      </w:r>
      <w:r w:rsidRPr="00966063">
        <w:rPr>
          <w:szCs w:val="22"/>
          <w:lang w:val="sr-Latn-RS"/>
        </w:rPr>
        <w:t>erovatno sličan dejstvu aspirina i zasniva se</w:t>
      </w:r>
      <w:r w:rsidR="008722C9" w:rsidRPr="00966063">
        <w:rPr>
          <w:szCs w:val="22"/>
          <w:lang w:val="sr-Latn-RS"/>
        </w:rPr>
        <w:t xml:space="preserve"> </w:t>
      </w:r>
      <w:r w:rsidRPr="00966063">
        <w:rPr>
          <w:szCs w:val="22"/>
          <w:lang w:val="sr-Latn-RS"/>
        </w:rPr>
        <w:t>na inhibiciji sinteze prostaglandina. Ova inhibicija je izgleda na selektivnoj bazi.</w:t>
      </w:r>
    </w:p>
    <w:p w14:paraId="51145527" w14:textId="77777777" w:rsidR="008A295A" w:rsidRPr="00966063" w:rsidRDefault="008A295A" w:rsidP="004C01A2">
      <w:pPr>
        <w:rPr>
          <w:szCs w:val="22"/>
          <w:lang w:val="sr-Latn-RS"/>
        </w:rPr>
      </w:pPr>
    </w:p>
    <w:p w14:paraId="1413A96A" w14:textId="77777777" w:rsidR="008A295A" w:rsidRPr="00966063" w:rsidRDefault="008A295A" w:rsidP="004C01A2">
      <w:pPr>
        <w:rPr>
          <w:b/>
          <w:bCs/>
          <w:szCs w:val="22"/>
          <w:lang w:val="sr-Latn-RS"/>
        </w:rPr>
      </w:pPr>
      <w:r w:rsidRPr="00966063">
        <w:rPr>
          <w:b/>
          <w:bCs/>
          <w:szCs w:val="22"/>
          <w:lang w:val="sr-Latn-RS"/>
        </w:rPr>
        <w:t>5.2. Farmakokinetički podaci</w:t>
      </w:r>
    </w:p>
    <w:p w14:paraId="5156FEBB" w14:textId="77777777" w:rsidR="008A295A" w:rsidRPr="00966063" w:rsidRDefault="008A295A" w:rsidP="004C01A2">
      <w:pPr>
        <w:rPr>
          <w:szCs w:val="22"/>
          <w:u w:val="single"/>
          <w:lang w:val="sr-Latn-RS"/>
        </w:rPr>
      </w:pPr>
    </w:p>
    <w:p w14:paraId="117720C1" w14:textId="67319FBB" w:rsidR="008A295A" w:rsidRPr="00966063" w:rsidRDefault="008A295A" w:rsidP="004C01A2">
      <w:pPr>
        <w:rPr>
          <w:szCs w:val="22"/>
          <w:lang w:val="sr-Latn-RS"/>
        </w:rPr>
      </w:pPr>
      <w:r w:rsidRPr="00966063">
        <w:rPr>
          <w:szCs w:val="22"/>
          <w:lang w:val="sr-Latn-RS"/>
        </w:rPr>
        <w:t>Paracetamol se brzo i gotovo potpuno</w:t>
      </w:r>
      <w:r w:rsidR="008722C9" w:rsidRPr="00966063">
        <w:rPr>
          <w:szCs w:val="22"/>
          <w:lang w:val="sr-Latn-RS"/>
        </w:rPr>
        <w:t xml:space="preserve"> </w:t>
      </w:r>
      <w:r w:rsidRPr="00966063">
        <w:rPr>
          <w:szCs w:val="22"/>
          <w:lang w:val="sr-Latn-RS"/>
        </w:rPr>
        <w:t>resorbuje</w:t>
      </w:r>
      <w:r w:rsidR="008722C9" w:rsidRPr="00966063">
        <w:rPr>
          <w:szCs w:val="22"/>
          <w:lang w:val="sr-Latn-RS"/>
        </w:rPr>
        <w:t xml:space="preserve"> </w:t>
      </w:r>
      <w:r w:rsidRPr="00966063">
        <w:rPr>
          <w:szCs w:val="22"/>
          <w:lang w:val="sr-Latn-RS"/>
        </w:rPr>
        <w:t>iz digestivnog trakta.</w:t>
      </w:r>
      <w:r w:rsidR="008722C9" w:rsidRPr="00966063">
        <w:rPr>
          <w:szCs w:val="22"/>
          <w:lang w:val="sr-Latn-RS"/>
        </w:rPr>
        <w:t xml:space="preserve"> </w:t>
      </w:r>
      <w:r w:rsidRPr="00966063">
        <w:rPr>
          <w:szCs w:val="22"/>
          <w:lang w:val="sr-Latn-RS"/>
        </w:rPr>
        <w:t>Maksimalna koncentracija u plazmi se postiže u intervalu od 30</w:t>
      </w:r>
      <w:r w:rsidR="008722C9" w:rsidRPr="00966063">
        <w:rPr>
          <w:szCs w:val="22"/>
          <w:lang w:val="sr-Latn-RS"/>
        </w:rPr>
        <w:t xml:space="preserve"> </w:t>
      </w:r>
      <w:r w:rsidRPr="00966063">
        <w:rPr>
          <w:szCs w:val="22"/>
          <w:lang w:val="sr-Latn-RS"/>
        </w:rPr>
        <w:t>-</w:t>
      </w:r>
      <w:r w:rsidR="008722C9" w:rsidRPr="00966063">
        <w:rPr>
          <w:szCs w:val="22"/>
          <w:lang w:val="sr-Latn-RS"/>
        </w:rPr>
        <w:t xml:space="preserve"> </w:t>
      </w:r>
      <w:r w:rsidRPr="00966063">
        <w:rPr>
          <w:szCs w:val="22"/>
          <w:lang w:val="sr-Latn-RS"/>
        </w:rPr>
        <w:t>60 minuta, a poluvr</w:t>
      </w:r>
      <w:r w:rsidR="007466D5">
        <w:rPr>
          <w:szCs w:val="22"/>
          <w:lang w:val="sr-Latn-RS"/>
        </w:rPr>
        <w:t>ij</w:t>
      </w:r>
      <w:r w:rsidRPr="00966063">
        <w:rPr>
          <w:szCs w:val="22"/>
          <w:lang w:val="sr-Latn-RS"/>
        </w:rPr>
        <w:t>eme eliminacije iz plazme je 1</w:t>
      </w:r>
      <w:r w:rsidR="008722C9" w:rsidRPr="00966063">
        <w:rPr>
          <w:szCs w:val="22"/>
          <w:lang w:val="sr-Latn-RS"/>
        </w:rPr>
        <w:t xml:space="preserve"> </w:t>
      </w:r>
      <w:r w:rsidRPr="00966063">
        <w:rPr>
          <w:szCs w:val="22"/>
          <w:lang w:val="sr-Latn-RS"/>
        </w:rPr>
        <w:t>- 4</w:t>
      </w:r>
      <w:r w:rsidR="008722C9" w:rsidRPr="00966063">
        <w:rPr>
          <w:szCs w:val="22"/>
          <w:lang w:val="sr-Latn-RS"/>
        </w:rPr>
        <w:t xml:space="preserve"> </w:t>
      </w:r>
      <w:r w:rsidRPr="00966063">
        <w:rPr>
          <w:szCs w:val="22"/>
          <w:lang w:val="sr-Latn-RS"/>
        </w:rPr>
        <w:t>sata nakon terapijskih doza.</w:t>
      </w:r>
      <w:r w:rsidR="008722C9" w:rsidRPr="00966063">
        <w:rPr>
          <w:szCs w:val="22"/>
          <w:lang w:val="sr-Latn-RS"/>
        </w:rPr>
        <w:t xml:space="preserve"> </w:t>
      </w:r>
      <w:r w:rsidRPr="00966063">
        <w:rPr>
          <w:szCs w:val="22"/>
          <w:lang w:val="sr-Latn-RS"/>
        </w:rPr>
        <w:t>Paracetamol se približno podjednako raspod</w:t>
      </w:r>
      <w:r w:rsidR="007466D5">
        <w:rPr>
          <w:szCs w:val="22"/>
          <w:lang w:val="sr-Latn-RS"/>
        </w:rPr>
        <w:t>j</w:t>
      </w:r>
      <w:r w:rsidRPr="00966063">
        <w:rPr>
          <w:szCs w:val="22"/>
          <w:lang w:val="sr-Latn-RS"/>
        </w:rPr>
        <w:t>eljuje u većini t</w:t>
      </w:r>
      <w:r w:rsidR="007466D5">
        <w:rPr>
          <w:szCs w:val="22"/>
          <w:lang w:val="sr-Latn-RS"/>
        </w:rPr>
        <w:t>j</w:t>
      </w:r>
      <w:r w:rsidRPr="00966063">
        <w:rPr>
          <w:szCs w:val="22"/>
          <w:lang w:val="sr-Latn-RS"/>
        </w:rPr>
        <w:t>elesnih tečnosti.</w:t>
      </w:r>
      <w:r w:rsidR="008722C9" w:rsidRPr="00966063">
        <w:rPr>
          <w:szCs w:val="22"/>
          <w:lang w:val="sr-Latn-RS"/>
        </w:rPr>
        <w:t xml:space="preserve"> </w:t>
      </w:r>
      <w:r w:rsidRPr="00966063">
        <w:rPr>
          <w:szCs w:val="22"/>
          <w:lang w:val="sr-Latn-RS"/>
        </w:rPr>
        <w:t>Vezivanje l</w:t>
      </w:r>
      <w:r w:rsidR="007466D5">
        <w:rPr>
          <w:szCs w:val="22"/>
          <w:lang w:val="sr-Latn-RS"/>
        </w:rPr>
        <w:t>ij</w:t>
      </w:r>
      <w:r w:rsidRPr="00966063">
        <w:rPr>
          <w:szCs w:val="22"/>
          <w:lang w:val="sr-Latn-RS"/>
        </w:rPr>
        <w:t>eka za proteine plazme je varijabilno: 20 - 30%</w:t>
      </w:r>
      <w:r w:rsidR="008722C9" w:rsidRPr="00966063">
        <w:rPr>
          <w:szCs w:val="22"/>
          <w:lang w:val="sr-Latn-RS"/>
        </w:rPr>
        <w:t xml:space="preserve"> </w:t>
      </w:r>
      <w:r w:rsidRPr="00966063">
        <w:rPr>
          <w:szCs w:val="22"/>
          <w:lang w:val="sr-Latn-RS"/>
        </w:rPr>
        <w:t>l</w:t>
      </w:r>
      <w:r w:rsidR="007466D5">
        <w:rPr>
          <w:szCs w:val="22"/>
          <w:lang w:val="sr-Latn-RS"/>
        </w:rPr>
        <w:t>ij</w:t>
      </w:r>
      <w:r w:rsidRPr="00966063">
        <w:rPr>
          <w:szCs w:val="22"/>
          <w:lang w:val="sr-Latn-RS"/>
        </w:rPr>
        <w:t>eka može biti vezano pri koncentracijama koje se dostižu</w:t>
      </w:r>
      <w:r w:rsidR="008722C9" w:rsidRPr="00966063">
        <w:rPr>
          <w:szCs w:val="22"/>
          <w:lang w:val="sr-Latn-RS"/>
        </w:rPr>
        <w:t xml:space="preserve"> </w:t>
      </w:r>
      <w:r w:rsidRPr="00966063">
        <w:rPr>
          <w:szCs w:val="22"/>
          <w:lang w:val="sr-Latn-RS"/>
        </w:rPr>
        <w:t>pri akutnoj intoksikaciji.</w:t>
      </w:r>
      <w:r w:rsidR="008722C9" w:rsidRPr="00966063">
        <w:rPr>
          <w:szCs w:val="22"/>
          <w:lang w:val="sr-Latn-RS"/>
        </w:rPr>
        <w:t xml:space="preserve"> </w:t>
      </w:r>
      <w:r w:rsidRPr="00966063">
        <w:rPr>
          <w:szCs w:val="22"/>
          <w:lang w:val="sr-Latn-RS"/>
        </w:rPr>
        <w:t>Pri terapijskim dozama, 90 - 100% l</w:t>
      </w:r>
      <w:r w:rsidR="007466D5">
        <w:rPr>
          <w:szCs w:val="22"/>
          <w:lang w:val="sr-Latn-RS"/>
        </w:rPr>
        <w:t>ij</w:t>
      </w:r>
      <w:r w:rsidRPr="00966063">
        <w:rPr>
          <w:szCs w:val="22"/>
          <w:lang w:val="sr-Latn-RS"/>
        </w:rPr>
        <w:t>eka se može naći u urinu prvog dana. Međutim, paracetamol se praktično ne izlučuje neprom</w:t>
      </w:r>
      <w:r w:rsidR="007466D5">
        <w:rPr>
          <w:szCs w:val="22"/>
          <w:lang w:val="sr-Latn-RS"/>
        </w:rPr>
        <w:t>ij</w:t>
      </w:r>
      <w:r w:rsidRPr="00966063">
        <w:rPr>
          <w:szCs w:val="22"/>
          <w:lang w:val="sr-Latn-RS"/>
        </w:rPr>
        <w:t>enjen i većina l</w:t>
      </w:r>
      <w:r w:rsidR="007466D5">
        <w:rPr>
          <w:szCs w:val="22"/>
          <w:lang w:val="sr-Latn-RS"/>
        </w:rPr>
        <w:t>ij</w:t>
      </w:r>
      <w:r w:rsidRPr="00966063">
        <w:rPr>
          <w:szCs w:val="22"/>
          <w:lang w:val="sr-Latn-RS"/>
        </w:rPr>
        <w:t>eka se izlučuje nakon konjugacije u jetri.</w:t>
      </w:r>
    </w:p>
    <w:p w14:paraId="22305745" w14:textId="77777777" w:rsidR="008A295A" w:rsidRPr="00966063" w:rsidRDefault="008A295A" w:rsidP="004C01A2">
      <w:pPr>
        <w:tabs>
          <w:tab w:val="clear" w:pos="284"/>
        </w:tabs>
        <w:autoSpaceDE w:val="0"/>
        <w:autoSpaceDN w:val="0"/>
        <w:adjustRightInd w:val="0"/>
        <w:rPr>
          <w:rFonts w:eastAsia="TimesNewRoman"/>
          <w:i/>
          <w:color w:val="0000FF"/>
          <w:szCs w:val="22"/>
          <w:lang w:val="sr-Latn-RS"/>
        </w:rPr>
      </w:pPr>
    </w:p>
    <w:p w14:paraId="3390ACA9" w14:textId="1158AF2A" w:rsidR="008A295A" w:rsidRPr="00966063" w:rsidRDefault="008A295A" w:rsidP="004C01A2">
      <w:pPr>
        <w:rPr>
          <w:szCs w:val="22"/>
          <w:lang w:val="sr-Latn-RS"/>
        </w:rPr>
      </w:pPr>
      <w:r w:rsidRPr="00966063">
        <w:rPr>
          <w:b/>
          <w:bCs/>
          <w:szCs w:val="22"/>
          <w:lang w:val="sr-Latn-RS"/>
        </w:rPr>
        <w:t>5.3. Pretklinički podaci o bezb</w:t>
      </w:r>
      <w:r w:rsidR="007466D5">
        <w:rPr>
          <w:b/>
          <w:bCs/>
          <w:szCs w:val="22"/>
          <w:lang w:val="sr-Latn-RS"/>
        </w:rPr>
        <w:t>j</w:t>
      </w:r>
      <w:r w:rsidRPr="00966063">
        <w:rPr>
          <w:b/>
          <w:bCs/>
          <w:szCs w:val="22"/>
          <w:lang w:val="sr-Latn-RS"/>
        </w:rPr>
        <w:t>ednosti</w:t>
      </w:r>
    </w:p>
    <w:p w14:paraId="503CAAE2" w14:textId="77777777" w:rsidR="008A295A" w:rsidRPr="00966063" w:rsidRDefault="008A295A" w:rsidP="004C01A2">
      <w:pPr>
        <w:tabs>
          <w:tab w:val="clear" w:pos="284"/>
        </w:tabs>
        <w:rPr>
          <w:color w:val="0000FF"/>
          <w:szCs w:val="22"/>
          <w:lang w:val="sr-Latn-RS"/>
        </w:rPr>
      </w:pPr>
    </w:p>
    <w:p w14:paraId="427471A0" w14:textId="597ED2BA" w:rsidR="008A295A" w:rsidRDefault="008A295A" w:rsidP="004C01A2">
      <w:pPr>
        <w:tabs>
          <w:tab w:val="clear" w:pos="284"/>
        </w:tabs>
        <w:rPr>
          <w:bCs/>
          <w:szCs w:val="22"/>
          <w:lang w:val="sr-Latn-RS"/>
        </w:rPr>
      </w:pPr>
      <w:r w:rsidRPr="00966063">
        <w:rPr>
          <w:bCs/>
          <w:szCs w:val="22"/>
          <w:lang w:val="sr-Latn-RS"/>
        </w:rPr>
        <w:t>Nema pretkliničkih podataka</w:t>
      </w:r>
      <w:r w:rsidR="008722C9" w:rsidRPr="00966063">
        <w:rPr>
          <w:bCs/>
          <w:szCs w:val="22"/>
          <w:lang w:val="sr-Latn-RS"/>
        </w:rPr>
        <w:t xml:space="preserve"> </w:t>
      </w:r>
      <w:r w:rsidRPr="00966063">
        <w:rPr>
          <w:bCs/>
          <w:szCs w:val="22"/>
          <w:lang w:val="sr-Latn-RS"/>
        </w:rPr>
        <w:t>u vezi sa paracetamolom</w:t>
      </w:r>
      <w:r w:rsidR="008722C9" w:rsidRPr="00966063">
        <w:rPr>
          <w:bCs/>
          <w:szCs w:val="22"/>
          <w:lang w:val="sr-Latn-RS"/>
        </w:rPr>
        <w:t xml:space="preserve"> </w:t>
      </w:r>
      <w:r w:rsidRPr="00966063">
        <w:rPr>
          <w:bCs/>
          <w:szCs w:val="22"/>
          <w:lang w:val="sr-Latn-RS"/>
        </w:rPr>
        <w:t>koji su od značaja</w:t>
      </w:r>
      <w:r w:rsidR="008722C9" w:rsidRPr="00966063">
        <w:rPr>
          <w:bCs/>
          <w:szCs w:val="22"/>
          <w:lang w:val="sr-Latn-RS"/>
        </w:rPr>
        <w:t xml:space="preserve"> </w:t>
      </w:r>
      <w:r w:rsidRPr="00966063">
        <w:rPr>
          <w:bCs/>
          <w:szCs w:val="22"/>
          <w:lang w:val="sr-Latn-RS"/>
        </w:rPr>
        <w:t>za l</w:t>
      </w:r>
      <w:r w:rsidR="007466D5">
        <w:rPr>
          <w:bCs/>
          <w:szCs w:val="22"/>
          <w:lang w:val="sr-Latn-RS"/>
        </w:rPr>
        <w:t>j</w:t>
      </w:r>
      <w:r w:rsidRPr="00966063">
        <w:rPr>
          <w:bCs/>
          <w:szCs w:val="22"/>
          <w:lang w:val="sr-Latn-RS"/>
        </w:rPr>
        <w:t>ekare, a da nisu prethodno navedeni u ostalim od</w:t>
      </w:r>
      <w:r w:rsidR="007466D5">
        <w:rPr>
          <w:bCs/>
          <w:szCs w:val="22"/>
          <w:lang w:val="sr-Latn-RS"/>
        </w:rPr>
        <w:t>j</w:t>
      </w:r>
      <w:r w:rsidRPr="00966063">
        <w:rPr>
          <w:bCs/>
          <w:szCs w:val="22"/>
          <w:lang w:val="sr-Latn-RS"/>
        </w:rPr>
        <w:t>eljcima Sažetka karakteristika l</w:t>
      </w:r>
      <w:r w:rsidR="007466D5">
        <w:rPr>
          <w:bCs/>
          <w:szCs w:val="22"/>
          <w:lang w:val="sr-Latn-RS"/>
        </w:rPr>
        <w:t>ij</w:t>
      </w:r>
      <w:r w:rsidRPr="00966063">
        <w:rPr>
          <w:bCs/>
          <w:szCs w:val="22"/>
          <w:lang w:val="sr-Latn-RS"/>
        </w:rPr>
        <w:t>eka.</w:t>
      </w:r>
    </w:p>
    <w:p w14:paraId="716702BB" w14:textId="77777777" w:rsidR="00FE1656" w:rsidRPr="00966063" w:rsidRDefault="00FE1656" w:rsidP="004C01A2">
      <w:pPr>
        <w:tabs>
          <w:tab w:val="clear" w:pos="284"/>
        </w:tabs>
        <w:rPr>
          <w:color w:val="0000FF"/>
          <w:szCs w:val="22"/>
          <w:lang w:val="sr-Latn-RS"/>
        </w:rPr>
      </w:pPr>
    </w:p>
    <w:p w14:paraId="0837D295" w14:textId="77777777" w:rsidR="008A295A" w:rsidRPr="00966063" w:rsidRDefault="008A295A" w:rsidP="004C01A2">
      <w:pPr>
        <w:pStyle w:val="NASLOV123"/>
        <w:jc w:val="both"/>
        <w:rPr>
          <w:lang w:val="sr-Latn-RS"/>
        </w:rPr>
      </w:pPr>
      <w:r w:rsidRPr="00966063">
        <w:rPr>
          <w:lang w:val="sr-Latn-RS"/>
        </w:rPr>
        <w:t>6. FARMACEUTSKI PODACI</w:t>
      </w:r>
    </w:p>
    <w:p w14:paraId="60964E3B" w14:textId="0F7FBE52" w:rsidR="008A295A" w:rsidRPr="00966063" w:rsidRDefault="008A295A" w:rsidP="004C01A2">
      <w:pPr>
        <w:rPr>
          <w:b/>
          <w:bCs/>
          <w:szCs w:val="22"/>
          <w:lang w:val="sr-Latn-RS"/>
        </w:rPr>
      </w:pPr>
      <w:r w:rsidRPr="00966063">
        <w:rPr>
          <w:b/>
          <w:bCs/>
          <w:szCs w:val="22"/>
          <w:lang w:val="sr-Latn-RS"/>
        </w:rPr>
        <w:t xml:space="preserve">6.1. Lista pomoćnih </w:t>
      </w:r>
      <w:r w:rsidR="007466D5" w:rsidRPr="00786071">
        <w:rPr>
          <w:b/>
          <w:bCs/>
          <w:szCs w:val="22"/>
        </w:rPr>
        <w:t>supstanci (ekscipijenasa)</w:t>
      </w:r>
    </w:p>
    <w:p w14:paraId="01441ECE" w14:textId="77777777" w:rsidR="008A295A" w:rsidRPr="00966063" w:rsidRDefault="008A295A" w:rsidP="004C01A2">
      <w:pPr>
        <w:rPr>
          <w:b/>
          <w:bCs/>
          <w:szCs w:val="22"/>
          <w:lang w:val="sr-Latn-RS"/>
        </w:rPr>
      </w:pPr>
    </w:p>
    <w:p w14:paraId="2D5E717F" w14:textId="77777777" w:rsidR="008A295A" w:rsidRPr="00966063" w:rsidRDefault="008A295A" w:rsidP="00080DBB">
      <w:pPr>
        <w:pStyle w:val="Header"/>
        <w:tabs>
          <w:tab w:val="clear" w:pos="4536"/>
          <w:tab w:val="clear" w:pos="9072"/>
          <w:tab w:val="left" w:pos="284"/>
        </w:tabs>
        <w:jc w:val="left"/>
        <w:rPr>
          <w:rFonts w:ascii="Times New Roman" w:hAnsi="Times New Roman" w:cs="Arial"/>
          <w:sz w:val="22"/>
          <w:lang w:val="sr-Latn-RS"/>
        </w:rPr>
      </w:pPr>
      <w:r w:rsidRPr="00966063">
        <w:rPr>
          <w:rFonts w:ascii="Times New Roman" w:hAnsi="Times New Roman" w:cs="Arial"/>
          <w:sz w:val="22"/>
          <w:lang w:val="sr-Latn-RS"/>
        </w:rPr>
        <w:t xml:space="preserve">Celuloza, mikrokristalna; </w:t>
      </w:r>
    </w:p>
    <w:p w14:paraId="1B34D282" w14:textId="2F148423" w:rsidR="008A295A" w:rsidRPr="00966063" w:rsidRDefault="007466D5" w:rsidP="00080DBB">
      <w:pPr>
        <w:pStyle w:val="Header"/>
        <w:tabs>
          <w:tab w:val="clear" w:pos="4536"/>
          <w:tab w:val="clear" w:pos="9072"/>
          <w:tab w:val="left" w:pos="284"/>
        </w:tabs>
        <w:jc w:val="left"/>
        <w:rPr>
          <w:rFonts w:ascii="Times New Roman" w:hAnsi="Times New Roman" w:cs="Arial"/>
          <w:sz w:val="22"/>
          <w:lang w:val="sr-Latn-RS"/>
        </w:rPr>
      </w:pPr>
      <w:r>
        <w:rPr>
          <w:rFonts w:ascii="Times New Roman" w:hAnsi="Times New Roman" w:cs="Arial"/>
          <w:sz w:val="22"/>
          <w:lang w:val="sr-Latn-RS"/>
        </w:rPr>
        <w:t>k</w:t>
      </w:r>
      <w:r w:rsidR="008A295A" w:rsidRPr="00966063">
        <w:rPr>
          <w:rFonts w:ascii="Times New Roman" w:hAnsi="Times New Roman" w:cs="Arial"/>
          <w:sz w:val="22"/>
          <w:lang w:val="sr-Latn-RS"/>
        </w:rPr>
        <w:t>roskarmeloza</w:t>
      </w:r>
      <w:r>
        <w:rPr>
          <w:rFonts w:ascii="Times New Roman" w:hAnsi="Times New Roman" w:cs="Arial"/>
          <w:sz w:val="22"/>
          <w:lang w:val="sr-Latn-RS"/>
        </w:rPr>
        <w:t xml:space="preserve"> </w:t>
      </w:r>
      <w:r w:rsidR="008A295A" w:rsidRPr="00966063">
        <w:rPr>
          <w:rFonts w:ascii="Times New Roman" w:hAnsi="Times New Roman" w:cs="Arial"/>
          <w:sz w:val="22"/>
          <w:lang w:val="sr-Latn-RS"/>
        </w:rPr>
        <w:t xml:space="preserve">natrijum; </w:t>
      </w:r>
    </w:p>
    <w:p w14:paraId="547C7B23" w14:textId="77777777" w:rsidR="008A295A" w:rsidRPr="00966063" w:rsidRDefault="008A295A" w:rsidP="00080DBB">
      <w:pPr>
        <w:pStyle w:val="Header"/>
        <w:tabs>
          <w:tab w:val="clear" w:pos="4536"/>
          <w:tab w:val="clear" w:pos="9072"/>
          <w:tab w:val="left" w:pos="284"/>
        </w:tabs>
        <w:jc w:val="left"/>
        <w:rPr>
          <w:rFonts w:ascii="Times New Roman" w:hAnsi="Times New Roman" w:cs="Arial"/>
          <w:sz w:val="22"/>
          <w:lang w:val="sr-Latn-RS"/>
        </w:rPr>
      </w:pPr>
      <w:r w:rsidRPr="00966063">
        <w:rPr>
          <w:rFonts w:ascii="Times New Roman" w:hAnsi="Times New Roman" w:cs="Arial"/>
          <w:sz w:val="22"/>
          <w:lang w:val="sr-Latn-RS"/>
        </w:rPr>
        <w:t>povidon K-30;</w:t>
      </w:r>
    </w:p>
    <w:p w14:paraId="468CCEDC" w14:textId="3952EF91" w:rsidR="008A295A" w:rsidRPr="00966063" w:rsidRDefault="008A295A" w:rsidP="00080DBB">
      <w:pPr>
        <w:pStyle w:val="Header"/>
        <w:tabs>
          <w:tab w:val="clear" w:pos="4536"/>
          <w:tab w:val="clear" w:pos="9072"/>
          <w:tab w:val="left" w:pos="284"/>
        </w:tabs>
        <w:jc w:val="left"/>
        <w:rPr>
          <w:rFonts w:ascii="Times New Roman" w:hAnsi="Times New Roman" w:cs="Arial"/>
          <w:sz w:val="22"/>
          <w:lang w:val="sr-Latn-RS"/>
        </w:rPr>
      </w:pPr>
      <w:r w:rsidRPr="00966063">
        <w:rPr>
          <w:rFonts w:ascii="Times New Roman" w:hAnsi="Times New Roman" w:cs="Arial"/>
          <w:sz w:val="22"/>
          <w:lang w:val="sr-Latn-RS"/>
        </w:rPr>
        <w:t>silicijum</w:t>
      </w:r>
      <w:r w:rsidR="007466D5">
        <w:rPr>
          <w:rFonts w:ascii="Times New Roman" w:hAnsi="Times New Roman" w:cs="Arial"/>
          <w:sz w:val="22"/>
          <w:lang w:val="sr-Latn-RS"/>
        </w:rPr>
        <w:t xml:space="preserve"> </w:t>
      </w:r>
      <w:r w:rsidRPr="00966063">
        <w:rPr>
          <w:rFonts w:ascii="Times New Roman" w:hAnsi="Times New Roman" w:cs="Arial"/>
          <w:sz w:val="22"/>
          <w:lang w:val="sr-Latn-RS"/>
        </w:rPr>
        <w:t>dioksid, koloidni;</w:t>
      </w:r>
    </w:p>
    <w:p w14:paraId="22E8A7B0" w14:textId="27BA334C" w:rsidR="008A295A" w:rsidRPr="00966063" w:rsidRDefault="008A295A" w:rsidP="004C01A2">
      <w:pPr>
        <w:rPr>
          <w:rFonts w:cs="Arial"/>
          <w:lang w:val="sr-Latn-RS"/>
        </w:rPr>
      </w:pPr>
      <w:r w:rsidRPr="00966063">
        <w:rPr>
          <w:rFonts w:cs="Arial"/>
          <w:lang w:val="sr-Latn-RS"/>
        </w:rPr>
        <w:t>magnezijum</w:t>
      </w:r>
      <w:r w:rsidR="007466D5">
        <w:rPr>
          <w:rFonts w:cs="Arial"/>
          <w:lang w:val="sr-Latn-RS"/>
        </w:rPr>
        <w:t xml:space="preserve"> </w:t>
      </w:r>
      <w:r w:rsidRPr="00966063">
        <w:rPr>
          <w:rFonts w:cs="Arial"/>
          <w:lang w:val="sr-Latn-RS"/>
        </w:rPr>
        <w:t>stearat</w:t>
      </w:r>
    </w:p>
    <w:p w14:paraId="5275D5A4" w14:textId="77777777" w:rsidR="008A295A" w:rsidRPr="00966063" w:rsidRDefault="008A295A" w:rsidP="004C01A2">
      <w:pPr>
        <w:rPr>
          <w:szCs w:val="22"/>
          <w:lang w:val="sr-Latn-RS"/>
        </w:rPr>
      </w:pPr>
    </w:p>
    <w:p w14:paraId="0D91D218" w14:textId="4F26B1A4" w:rsidR="008A295A" w:rsidRPr="00966063" w:rsidRDefault="008A295A" w:rsidP="004C01A2">
      <w:pPr>
        <w:rPr>
          <w:b/>
          <w:bCs/>
          <w:szCs w:val="22"/>
          <w:lang w:val="sr-Latn-RS"/>
        </w:rPr>
      </w:pPr>
      <w:r w:rsidRPr="00966063">
        <w:rPr>
          <w:b/>
          <w:bCs/>
          <w:szCs w:val="22"/>
          <w:lang w:val="sr-Latn-RS"/>
        </w:rPr>
        <w:t>6.2. Inkompatibilnost</w:t>
      </w:r>
      <w:r w:rsidR="003B76C9">
        <w:rPr>
          <w:b/>
          <w:bCs/>
          <w:szCs w:val="22"/>
          <w:lang w:val="sr-Latn-RS"/>
        </w:rPr>
        <w:t>i</w:t>
      </w:r>
    </w:p>
    <w:p w14:paraId="2E358A35" w14:textId="1A79C19D" w:rsidR="008A295A" w:rsidRPr="00966063" w:rsidRDefault="008A295A" w:rsidP="004D1981">
      <w:pPr>
        <w:rPr>
          <w:szCs w:val="22"/>
          <w:lang w:val="sr-Latn-RS"/>
        </w:rPr>
      </w:pPr>
      <w:r w:rsidRPr="00966063">
        <w:rPr>
          <w:lang w:val="sr-Latn-RS"/>
        </w:rPr>
        <w:t>Nije prim</w:t>
      </w:r>
      <w:r w:rsidR="003B76C9">
        <w:rPr>
          <w:lang w:val="sr-Latn-RS"/>
        </w:rPr>
        <w:t>j</w:t>
      </w:r>
      <w:r w:rsidRPr="00966063">
        <w:rPr>
          <w:lang w:val="sr-Latn-RS"/>
        </w:rPr>
        <w:t>enljivo.</w:t>
      </w:r>
    </w:p>
    <w:p w14:paraId="379732C1" w14:textId="77777777" w:rsidR="00CE4952" w:rsidRDefault="00CE4952" w:rsidP="004D1981">
      <w:pPr>
        <w:rPr>
          <w:b/>
          <w:bCs/>
          <w:szCs w:val="22"/>
          <w:lang w:val="sr-Latn-RS"/>
        </w:rPr>
      </w:pPr>
    </w:p>
    <w:p w14:paraId="5703E287" w14:textId="1B3ABDFC" w:rsidR="008A295A" w:rsidRPr="00966063" w:rsidRDefault="008A295A" w:rsidP="004D1981">
      <w:pPr>
        <w:rPr>
          <w:b/>
          <w:bCs/>
          <w:szCs w:val="22"/>
          <w:lang w:val="sr-Latn-RS"/>
        </w:rPr>
      </w:pPr>
      <w:r w:rsidRPr="00966063">
        <w:rPr>
          <w:b/>
          <w:bCs/>
          <w:szCs w:val="22"/>
          <w:lang w:val="sr-Latn-RS"/>
        </w:rPr>
        <w:t>6.3. Rok upotrebe</w:t>
      </w:r>
    </w:p>
    <w:p w14:paraId="4B1635A0" w14:textId="77777777" w:rsidR="008A295A" w:rsidRPr="00966063" w:rsidRDefault="008A295A" w:rsidP="00080DBB">
      <w:pPr>
        <w:pStyle w:val="Header"/>
        <w:tabs>
          <w:tab w:val="clear" w:pos="4536"/>
          <w:tab w:val="clear" w:pos="9072"/>
          <w:tab w:val="left" w:pos="284"/>
        </w:tabs>
        <w:jc w:val="left"/>
        <w:rPr>
          <w:rFonts w:ascii="Times New Roman" w:hAnsi="Times New Roman" w:cs="Arial"/>
          <w:sz w:val="22"/>
          <w:lang w:val="sr-Latn-RS"/>
        </w:rPr>
      </w:pPr>
      <w:r w:rsidRPr="00966063">
        <w:rPr>
          <w:rFonts w:ascii="Times New Roman" w:hAnsi="Times New Roman" w:cs="Arial"/>
          <w:sz w:val="22"/>
          <w:lang w:val="sr-Latn-RS"/>
        </w:rPr>
        <w:t>3 godine</w:t>
      </w:r>
    </w:p>
    <w:p w14:paraId="2E141A23" w14:textId="6E8C3B85" w:rsidR="008A295A" w:rsidRPr="00966063" w:rsidRDefault="008A295A" w:rsidP="004D1981">
      <w:pPr>
        <w:rPr>
          <w:szCs w:val="22"/>
          <w:lang w:val="sr-Latn-RS"/>
        </w:rPr>
      </w:pPr>
      <w:r w:rsidRPr="00966063">
        <w:rPr>
          <w:rFonts w:cs="Arial"/>
          <w:lang w:val="sr-Latn-RS"/>
        </w:rPr>
        <w:t>L</w:t>
      </w:r>
      <w:r w:rsidR="003B76C9">
        <w:rPr>
          <w:rFonts w:cs="Arial"/>
          <w:lang w:val="sr-Latn-RS"/>
        </w:rPr>
        <w:t>ij</w:t>
      </w:r>
      <w:r w:rsidRPr="00966063">
        <w:rPr>
          <w:rFonts w:cs="Arial"/>
          <w:lang w:val="sr-Latn-RS"/>
        </w:rPr>
        <w:t>ek se ne sm</w:t>
      </w:r>
      <w:r w:rsidR="003B76C9">
        <w:rPr>
          <w:rFonts w:cs="Arial"/>
          <w:lang w:val="sr-Latn-RS"/>
        </w:rPr>
        <w:t>ij</w:t>
      </w:r>
      <w:r w:rsidRPr="00966063">
        <w:rPr>
          <w:rFonts w:cs="Arial"/>
          <w:lang w:val="sr-Latn-RS"/>
        </w:rPr>
        <w:t>e koristiti posl</w:t>
      </w:r>
      <w:r w:rsidR="003B76C9">
        <w:rPr>
          <w:rFonts w:cs="Arial"/>
          <w:lang w:val="sr-Latn-RS"/>
        </w:rPr>
        <w:t>ij</w:t>
      </w:r>
      <w:r w:rsidRPr="00966063">
        <w:rPr>
          <w:rFonts w:cs="Arial"/>
          <w:lang w:val="sr-Latn-RS"/>
        </w:rPr>
        <w:t>e isteka roka upotrebe označenog na pakovanju.</w:t>
      </w:r>
    </w:p>
    <w:p w14:paraId="415E8840" w14:textId="77777777" w:rsidR="00CE4952" w:rsidRDefault="00CE4952" w:rsidP="004D1981">
      <w:pPr>
        <w:rPr>
          <w:b/>
          <w:bCs/>
          <w:szCs w:val="22"/>
          <w:lang w:val="sr-Latn-RS"/>
        </w:rPr>
      </w:pPr>
    </w:p>
    <w:p w14:paraId="543B707A" w14:textId="14D455CE" w:rsidR="008A295A" w:rsidRPr="00966063" w:rsidRDefault="008A295A" w:rsidP="004D1981">
      <w:pPr>
        <w:rPr>
          <w:szCs w:val="22"/>
          <w:lang w:val="sr-Latn-RS"/>
        </w:rPr>
      </w:pPr>
      <w:r w:rsidRPr="00966063">
        <w:rPr>
          <w:b/>
          <w:bCs/>
          <w:szCs w:val="22"/>
          <w:lang w:val="sr-Latn-RS"/>
        </w:rPr>
        <w:t>6.4. Posebne m</w:t>
      </w:r>
      <w:r w:rsidR="003B76C9">
        <w:rPr>
          <w:b/>
          <w:bCs/>
          <w:szCs w:val="22"/>
          <w:lang w:val="sr-Latn-RS"/>
        </w:rPr>
        <w:t>j</w:t>
      </w:r>
      <w:r w:rsidRPr="00966063">
        <w:rPr>
          <w:b/>
          <w:bCs/>
          <w:szCs w:val="22"/>
          <w:lang w:val="sr-Latn-RS"/>
        </w:rPr>
        <w:t>ere opreza pri čuvanju</w:t>
      </w:r>
    </w:p>
    <w:p w14:paraId="0756E844" w14:textId="5C5DFCBC" w:rsidR="008A295A" w:rsidRPr="00966063" w:rsidRDefault="008A295A" w:rsidP="004D1981">
      <w:pPr>
        <w:rPr>
          <w:szCs w:val="22"/>
          <w:lang w:val="sr-Latn-RS"/>
        </w:rPr>
      </w:pPr>
      <w:r w:rsidRPr="00966063">
        <w:rPr>
          <w:lang w:val="sr-Latn-RS"/>
        </w:rPr>
        <w:t>Čuvati na temperaturi do 25°C, u originalnom pakovanju</w:t>
      </w:r>
      <w:r w:rsidR="00C8140C">
        <w:rPr>
          <w:lang w:val="sr-Latn-RS"/>
        </w:rPr>
        <w:t>.</w:t>
      </w:r>
    </w:p>
    <w:p w14:paraId="5D6A2FD8" w14:textId="77777777" w:rsidR="00CE4952" w:rsidRDefault="00CE4952" w:rsidP="004D1981">
      <w:pPr>
        <w:rPr>
          <w:b/>
          <w:bCs/>
          <w:szCs w:val="22"/>
          <w:lang w:val="sr-Latn-RS"/>
        </w:rPr>
      </w:pPr>
    </w:p>
    <w:p w14:paraId="2C193A6B" w14:textId="02E9589C" w:rsidR="008A295A" w:rsidRPr="00966063" w:rsidRDefault="008A295A" w:rsidP="004D1981">
      <w:pPr>
        <w:rPr>
          <w:b/>
          <w:bCs/>
          <w:szCs w:val="22"/>
          <w:lang w:val="sr-Latn-RS"/>
        </w:rPr>
      </w:pPr>
      <w:r w:rsidRPr="00966063">
        <w:rPr>
          <w:b/>
          <w:bCs/>
          <w:szCs w:val="22"/>
          <w:lang w:val="sr-Latn-RS"/>
        </w:rPr>
        <w:t xml:space="preserve">6.5. </w:t>
      </w:r>
      <w:r w:rsidR="003B76C9">
        <w:rPr>
          <w:b/>
          <w:bCs/>
          <w:szCs w:val="22"/>
          <w:lang w:val="sr-Latn-RS"/>
        </w:rPr>
        <w:t>Vrsta</w:t>
      </w:r>
      <w:r w:rsidRPr="00966063">
        <w:rPr>
          <w:b/>
          <w:bCs/>
          <w:szCs w:val="22"/>
          <w:lang w:val="sr-Latn-RS"/>
        </w:rPr>
        <w:t xml:space="preserve"> i sadržaj pakovanja </w:t>
      </w:r>
    </w:p>
    <w:p w14:paraId="3FCACA38" w14:textId="20236E38" w:rsidR="00C8140C" w:rsidRDefault="00C8140C" w:rsidP="004D1981">
      <w:pPr>
        <w:rPr>
          <w:szCs w:val="22"/>
          <w:lang w:val="sr-Latn-RS"/>
        </w:rPr>
      </w:pPr>
      <w:r>
        <w:rPr>
          <w:szCs w:val="22"/>
          <w:lang w:val="sr-Latn-RS"/>
        </w:rPr>
        <w:t xml:space="preserve">Unutrašnje pakovanje je </w:t>
      </w:r>
      <w:r w:rsidR="008A295A" w:rsidRPr="00966063">
        <w:rPr>
          <w:szCs w:val="22"/>
          <w:lang w:val="sr-Latn-RS"/>
        </w:rPr>
        <w:t xml:space="preserve">blister od Alu/PVC trake i PVC/PVdC trake </w:t>
      </w:r>
      <w:r>
        <w:rPr>
          <w:szCs w:val="22"/>
          <w:lang w:val="sr-Latn-RS"/>
        </w:rPr>
        <w:t xml:space="preserve">u kojem se nalazi </w:t>
      </w:r>
      <w:r w:rsidR="008A295A" w:rsidRPr="00966063">
        <w:rPr>
          <w:szCs w:val="22"/>
          <w:lang w:val="sr-Latn-RS"/>
        </w:rPr>
        <w:t>10 tableta.</w:t>
      </w:r>
    </w:p>
    <w:p w14:paraId="61BC8F06" w14:textId="75C9B9D9" w:rsidR="00C8140C" w:rsidRDefault="00C8140C" w:rsidP="004D1981">
      <w:pPr>
        <w:rPr>
          <w:szCs w:val="22"/>
          <w:lang w:val="sr-Latn-RS"/>
        </w:rPr>
      </w:pPr>
      <w:r>
        <w:rPr>
          <w:szCs w:val="22"/>
          <w:lang w:val="sr-Latn-RS"/>
        </w:rPr>
        <w:t>Spoljnje pakovanje je složiva kartonska kutija u kojoj se nalaze 2 blistera (ukupno 20 tableta) i Uputstvo za l</w:t>
      </w:r>
      <w:r w:rsidR="003B76C9">
        <w:rPr>
          <w:szCs w:val="22"/>
          <w:lang w:val="sr-Latn-RS"/>
        </w:rPr>
        <w:t>ij</w:t>
      </w:r>
      <w:r>
        <w:rPr>
          <w:szCs w:val="22"/>
          <w:lang w:val="sr-Latn-RS"/>
        </w:rPr>
        <w:t>ek.</w:t>
      </w:r>
    </w:p>
    <w:p w14:paraId="19C7BA5D" w14:textId="3437D834" w:rsidR="00C8140C" w:rsidRDefault="00C8140C" w:rsidP="004D1981">
      <w:pPr>
        <w:rPr>
          <w:szCs w:val="22"/>
          <w:lang w:val="sr-Latn-RS"/>
        </w:rPr>
      </w:pPr>
    </w:p>
    <w:p w14:paraId="5D6E128A" w14:textId="77777777" w:rsidR="001A42EC" w:rsidRDefault="001A42EC" w:rsidP="004D1981">
      <w:pPr>
        <w:rPr>
          <w:szCs w:val="22"/>
          <w:lang w:val="sr-Latn-RS"/>
        </w:rPr>
      </w:pPr>
    </w:p>
    <w:p w14:paraId="1E454BD1" w14:textId="18AF9A3A" w:rsidR="008A295A" w:rsidRPr="00DB5090" w:rsidRDefault="008A295A" w:rsidP="003B76C9">
      <w:pPr>
        <w:tabs>
          <w:tab w:val="left" w:pos="540"/>
          <w:tab w:val="left" w:pos="569"/>
        </w:tabs>
        <w:rPr>
          <w:b/>
          <w:bCs/>
          <w:szCs w:val="22"/>
          <w:lang w:val="sr-Latn-RS"/>
        </w:rPr>
      </w:pPr>
      <w:r w:rsidRPr="00966063">
        <w:rPr>
          <w:b/>
          <w:bCs/>
          <w:szCs w:val="22"/>
          <w:lang w:val="sr-Latn-RS"/>
        </w:rPr>
        <w:lastRenderedPageBreak/>
        <w:t xml:space="preserve">6.6. </w:t>
      </w:r>
      <w:r w:rsidR="003B76C9" w:rsidRPr="00DB5090">
        <w:rPr>
          <w:b/>
          <w:bCs/>
          <w:color w:val="000000"/>
          <w:szCs w:val="22"/>
          <w:lang w:val="sr-Latn-RS"/>
        </w:rPr>
        <w:t>Posebne mjere opreza pri odlaganju materijala koji treba odbaciti nakon primjene lijeka</w:t>
      </w:r>
      <w:r w:rsidR="003B76C9" w:rsidRPr="00DB5090">
        <w:rPr>
          <w:b/>
          <w:bCs/>
          <w:szCs w:val="22"/>
          <w:lang w:val="sr-Latn-RS"/>
        </w:rPr>
        <w:t xml:space="preserve"> (i druga uputstva za rukovanje lijekom) </w:t>
      </w:r>
    </w:p>
    <w:p w14:paraId="38BEEBC5" w14:textId="33739E09" w:rsidR="00FE1656" w:rsidRDefault="00C8140C">
      <w:pPr>
        <w:pStyle w:val="NASLOV123"/>
        <w:jc w:val="both"/>
        <w:rPr>
          <w:rFonts w:cs="Arial"/>
          <w:b w:val="0"/>
          <w:lang w:val="sr-Latn-RS"/>
        </w:rPr>
      </w:pPr>
      <w:r w:rsidRPr="00C8140C">
        <w:rPr>
          <w:rFonts w:cs="Arial"/>
          <w:b w:val="0"/>
          <w:szCs w:val="24"/>
          <w:lang w:val="sr-Latn-RS"/>
        </w:rPr>
        <w:t>Svu neiskorišćenu količinu l</w:t>
      </w:r>
      <w:r w:rsidR="003B76C9">
        <w:rPr>
          <w:rFonts w:cs="Arial"/>
          <w:b w:val="0"/>
          <w:szCs w:val="24"/>
          <w:lang w:val="sr-Latn-RS"/>
        </w:rPr>
        <w:t>ij</w:t>
      </w:r>
      <w:r w:rsidRPr="00C8140C">
        <w:rPr>
          <w:rFonts w:cs="Arial"/>
          <w:b w:val="0"/>
          <w:szCs w:val="24"/>
          <w:lang w:val="sr-Latn-RS"/>
        </w:rPr>
        <w:t xml:space="preserve">eka ili otpadnog materijala nakon njegove upotrebe treba ukloniti, u skladu sa </w:t>
      </w:r>
      <w:r w:rsidRPr="00E71EFF">
        <w:rPr>
          <w:rFonts w:cs="Arial"/>
          <w:b w:val="0"/>
          <w:lang w:val="sr-Latn-RS"/>
        </w:rPr>
        <w:t>važećim propisima.</w:t>
      </w:r>
    </w:p>
    <w:p w14:paraId="75828BFE" w14:textId="77777777" w:rsidR="001A42EC" w:rsidRPr="00E71EFF" w:rsidRDefault="001A42EC" w:rsidP="00DB5090">
      <w:pPr>
        <w:pStyle w:val="NASLOV123"/>
        <w:spacing w:before="0" w:after="0"/>
        <w:jc w:val="both"/>
        <w:rPr>
          <w:rFonts w:cs="Arial"/>
          <w:b w:val="0"/>
          <w:lang w:val="sr-Latn-RS"/>
        </w:rPr>
      </w:pPr>
    </w:p>
    <w:p w14:paraId="6A16EAF0" w14:textId="77777777" w:rsidR="008A295A" w:rsidRPr="00E71EFF" w:rsidRDefault="008A295A">
      <w:pPr>
        <w:pStyle w:val="NASLOV123"/>
        <w:jc w:val="both"/>
        <w:rPr>
          <w:lang w:val="sr-Latn-RS"/>
        </w:rPr>
      </w:pPr>
      <w:r w:rsidRPr="00E71EFF">
        <w:rPr>
          <w:lang w:val="sr-Latn-RS"/>
        </w:rPr>
        <w:t xml:space="preserve">7. NOSILAC DOZVOLE </w:t>
      </w:r>
    </w:p>
    <w:p w14:paraId="3CE5A1AF" w14:textId="789C0D13" w:rsidR="00CE4952" w:rsidRDefault="00E71EFF" w:rsidP="00E71EFF">
      <w:pPr>
        <w:rPr>
          <w:szCs w:val="22"/>
          <w:lang w:val="sr-Latn-CS"/>
        </w:rPr>
      </w:pPr>
      <w:r w:rsidRPr="00E71EFF">
        <w:rPr>
          <w:bCs/>
          <w:szCs w:val="22"/>
          <w:lang w:val="sr-Latn-CS"/>
        </w:rPr>
        <w:t>G</w:t>
      </w:r>
      <w:r w:rsidR="003B76C9">
        <w:rPr>
          <w:bCs/>
          <w:szCs w:val="22"/>
          <w:lang w:val="sr-Latn-CS"/>
        </w:rPr>
        <w:t>LK pharma d.o.o.</w:t>
      </w:r>
    </w:p>
    <w:p w14:paraId="094DD581" w14:textId="373F5E62" w:rsidR="00E71EFF" w:rsidRDefault="00314746" w:rsidP="00E71EFF">
      <w:pPr>
        <w:rPr>
          <w:szCs w:val="22"/>
          <w:lang w:val="sr-Latn-CS"/>
        </w:rPr>
      </w:pPr>
      <w:r>
        <w:rPr>
          <w:szCs w:val="22"/>
          <w:lang w:val="sr-Latn-CS"/>
        </w:rPr>
        <w:t>Svetozara Markovića</w:t>
      </w:r>
      <w:bookmarkStart w:id="0" w:name="_GoBack"/>
      <w:bookmarkEnd w:id="0"/>
      <w:r w:rsidR="003B76C9">
        <w:rPr>
          <w:szCs w:val="22"/>
          <w:lang w:val="sr-Latn-CS"/>
        </w:rPr>
        <w:t xml:space="preserve"> br.</w:t>
      </w:r>
      <w:r w:rsidR="001A42EC">
        <w:rPr>
          <w:szCs w:val="22"/>
          <w:lang w:val="sr-Latn-CS"/>
        </w:rPr>
        <w:t xml:space="preserve"> </w:t>
      </w:r>
      <w:r w:rsidR="003B76C9">
        <w:rPr>
          <w:szCs w:val="22"/>
          <w:lang w:val="sr-Latn-CS"/>
        </w:rPr>
        <w:t>46, Podgorica, Crna Gora</w:t>
      </w:r>
    </w:p>
    <w:p w14:paraId="51461B32" w14:textId="77777777" w:rsidR="00FE1656" w:rsidRPr="00E71EFF" w:rsidRDefault="00FE1656" w:rsidP="00E71EFF">
      <w:pPr>
        <w:rPr>
          <w:szCs w:val="22"/>
          <w:lang w:val="sr-Latn-CS"/>
        </w:rPr>
      </w:pPr>
    </w:p>
    <w:p w14:paraId="2306FCB6" w14:textId="128077D5" w:rsidR="008A295A" w:rsidRDefault="008A295A">
      <w:pPr>
        <w:pStyle w:val="NASLOV123"/>
        <w:jc w:val="both"/>
        <w:rPr>
          <w:lang w:val="sr-Latn-RS"/>
        </w:rPr>
      </w:pPr>
      <w:r w:rsidRPr="00E71EFF">
        <w:rPr>
          <w:lang w:val="sr-Latn-RS"/>
        </w:rPr>
        <w:t>8. BROJ DOZVOLE ZA STAVLJANJE L</w:t>
      </w:r>
      <w:r w:rsidR="003B76C9">
        <w:rPr>
          <w:lang w:val="sr-Latn-RS"/>
        </w:rPr>
        <w:t>IJ</w:t>
      </w:r>
      <w:r w:rsidRPr="00E71EFF">
        <w:rPr>
          <w:lang w:val="sr-Latn-RS"/>
        </w:rPr>
        <w:t>EKA U PROMET</w:t>
      </w:r>
    </w:p>
    <w:p w14:paraId="6581D56F" w14:textId="388F8E6F" w:rsidR="003B76C9" w:rsidRDefault="001A42EC">
      <w:pPr>
        <w:pStyle w:val="NASLOV123"/>
        <w:jc w:val="both"/>
        <w:rPr>
          <w:b w:val="0"/>
          <w:lang w:val="sr-Latn-RS"/>
        </w:rPr>
      </w:pPr>
      <w:r w:rsidRPr="00DB5090">
        <w:rPr>
          <w:b w:val="0"/>
          <w:lang w:val="sr-Latn-RS"/>
        </w:rPr>
        <w:t>Paracetamol Galenika, tableta</w:t>
      </w:r>
      <w:r>
        <w:rPr>
          <w:b w:val="0"/>
          <w:lang w:val="sr-Latn-RS"/>
        </w:rPr>
        <w:t xml:space="preserve">, </w:t>
      </w:r>
      <w:r w:rsidRPr="00EB3B52">
        <w:rPr>
          <w:b w:val="0"/>
          <w:lang w:val="sr-Latn-RS"/>
        </w:rPr>
        <w:t>500 mg,</w:t>
      </w:r>
      <w:r>
        <w:rPr>
          <w:b w:val="0"/>
          <w:lang w:val="sr-Latn-RS"/>
        </w:rPr>
        <w:t xml:space="preserve"> blister, 20 (2x10) tableta:</w:t>
      </w:r>
      <w:r w:rsidR="009801DA">
        <w:rPr>
          <w:b w:val="0"/>
          <w:lang w:val="sr-Latn-RS"/>
        </w:rPr>
        <w:t xml:space="preserve"> </w:t>
      </w:r>
      <w:r w:rsidR="009801DA" w:rsidRPr="009801DA">
        <w:rPr>
          <w:b w:val="0"/>
          <w:lang w:val="sr-Latn-RS"/>
        </w:rPr>
        <w:t>2030/21/1084 - 2968</w:t>
      </w:r>
    </w:p>
    <w:p w14:paraId="1CA8D19F" w14:textId="77777777" w:rsidR="001A42EC" w:rsidRPr="00DB5090" w:rsidRDefault="001A42EC">
      <w:pPr>
        <w:pStyle w:val="NASLOV123"/>
        <w:jc w:val="both"/>
        <w:rPr>
          <w:b w:val="0"/>
          <w:lang w:val="sr-Latn-RS"/>
        </w:rPr>
      </w:pPr>
    </w:p>
    <w:p w14:paraId="210B9C20" w14:textId="67CCA4B8" w:rsidR="008A295A" w:rsidRDefault="008A295A">
      <w:pPr>
        <w:pStyle w:val="NASLOV123"/>
        <w:jc w:val="both"/>
        <w:rPr>
          <w:lang w:val="sr-Latn-RS"/>
        </w:rPr>
      </w:pPr>
      <w:r w:rsidRPr="00E71EFF">
        <w:rPr>
          <w:lang w:val="sr-Latn-RS"/>
        </w:rPr>
        <w:t>9. DATUM PRVE DOZVOLE</w:t>
      </w:r>
      <w:r w:rsidR="003B76C9">
        <w:rPr>
          <w:lang w:val="sr-Latn-RS"/>
        </w:rPr>
        <w:t>/</w:t>
      </w:r>
      <w:r w:rsidRPr="00E71EFF">
        <w:rPr>
          <w:lang w:val="sr-Latn-RS"/>
        </w:rPr>
        <w:t>OBNOVE DOZVOLE ZA STAVLJANJE L</w:t>
      </w:r>
      <w:r w:rsidR="003B76C9">
        <w:rPr>
          <w:lang w:val="sr-Latn-RS"/>
        </w:rPr>
        <w:t>IJ</w:t>
      </w:r>
      <w:r w:rsidRPr="00E71EFF">
        <w:rPr>
          <w:lang w:val="sr-Latn-RS"/>
        </w:rPr>
        <w:t>EKA U PROMET</w:t>
      </w:r>
    </w:p>
    <w:p w14:paraId="655A6609" w14:textId="25870574" w:rsidR="001A42EC" w:rsidRDefault="001A42EC" w:rsidP="001A42EC">
      <w:pPr>
        <w:pStyle w:val="NASLOV123"/>
        <w:jc w:val="both"/>
        <w:rPr>
          <w:b w:val="0"/>
          <w:lang w:val="sr-Latn-RS"/>
        </w:rPr>
      </w:pPr>
      <w:r w:rsidRPr="00EB3B52">
        <w:rPr>
          <w:b w:val="0"/>
          <w:lang w:val="sr-Latn-RS"/>
        </w:rPr>
        <w:t>Paracetamol Galenika, tableta</w:t>
      </w:r>
      <w:r>
        <w:rPr>
          <w:b w:val="0"/>
          <w:lang w:val="sr-Latn-RS"/>
        </w:rPr>
        <w:t xml:space="preserve">, </w:t>
      </w:r>
      <w:r w:rsidRPr="00EB3B52">
        <w:rPr>
          <w:b w:val="0"/>
          <w:lang w:val="sr-Latn-RS"/>
        </w:rPr>
        <w:t>500 mg,</w:t>
      </w:r>
      <w:r>
        <w:rPr>
          <w:b w:val="0"/>
          <w:lang w:val="sr-Latn-RS"/>
        </w:rPr>
        <w:t xml:space="preserve"> blister, 20 (2x10) tableta:</w:t>
      </w:r>
      <w:r w:rsidR="009801DA">
        <w:rPr>
          <w:b w:val="0"/>
          <w:lang w:val="sr-Latn-RS"/>
        </w:rPr>
        <w:t xml:space="preserve"> </w:t>
      </w:r>
      <w:r w:rsidR="009801DA" w:rsidRPr="009801DA">
        <w:rPr>
          <w:b w:val="0"/>
          <w:lang w:val="sr-Latn-RS"/>
        </w:rPr>
        <w:t>22.10.2021. godine</w:t>
      </w:r>
    </w:p>
    <w:p w14:paraId="30D80D46" w14:textId="77777777" w:rsidR="003B76C9" w:rsidRPr="00966063" w:rsidRDefault="003B76C9">
      <w:pPr>
        <w:pStyle w:val="NASLOV123"/>
        <w:jc w:val="both"/>
        <w:rPr>
          <w:lang w:val="sr-Latn-RS"/>
        </w:rPr>
      </w:pPr>
    </w:p>
    <w:p w14:paraId="55712AE0" w14:textId="77777777" w:rsidR="008A295A" w:rsidRPr="00966063" w:rsidRDefault="008A295A" w:rsidP="004D1981">
      <w:pPr>
        <w:pStyle w:val="NASLOV123"/>
        <w:jc w:val="both"/>
        <w:rPr>
          <w:lang w:val="sr-Latn-RS"/>
        </w:rPr>
      </w:pPr>
      <w:r w:rsidRPr="00966063">
        <w:rPr>
          <w:lang w:val="sr-Latn-RS"/>
        </w:rPr>
        <w:t>10. DATUM REVIZIJE TEKSTA</w:t>
      </w:r>
    </w:p>
    <w:p w14:paraId="1A8C73C1" w14:textId="345B6606" w:rsidR="008A295A" w:rsidRPr="00966063" w:rsidRDefault="009801DA">
      <w:pPr>
        <w:rPr>
          <w:szCs w:val="22"/>
          <w:lang w:val="sr-Latn-RS"/>
        </w:rPr>
      </w:pPr>
      <w:r>
        <w:rPr>
          <w:szCs w:val="22"/>
          <w:lang w:val="sr-Latn-RS"/>
        </w:rPr>
        <w:t>Oktobar, 2021. godine</w:t>
      </w:r>
    </w:p>
    <w:sectPr w:rsidR="008A295A" w:rsidRPr="00966063" w:rsidSect="00DB5090">
      <w:footerReference w:type="even" r:id="rId9"/>
      <w:footerReference w:type="default" r:id="rId10"/>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0B33" w14:textId="77777777" w:rsidR="00F76C37" w:rsidRDefault="00F76C37">
      <w:r>
        <w:separator/>
      </w:r>
    </w:p>
  </w:endnote>
  <w:endnote w:type="continuationSeparator" w:id="0">
    <w:p w14:paraId="43D84468" w14:textId="77777777" w:rsidR="00F76C37" w:rsidRDefault="00F7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1090" w14:textId="77777777" w:rsidR="008A295A" w:rsidRDefault="008A295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23024" w14:textId="77777777" w:rsidR="008A295A" w:rsidRDefault="008A2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CAF1" w14:textId="1F477069" w:rsidR="008A295A" w:rsidRPr="00DB5090" w:rsidRDefault="008A295A" w:rsidP="00CE09F3">
    <w:pPr>
      <w:pStyle w:val="Footer"/>
      <w:tabs>
        <w:tab w:val="left" w:pos="5448"/>
      </w:tabs>
      <w:spacing w:before="360"/>
      <w:jc w:val="center"/>
      <w:rPr>
        <w:sz w:val="20"/>
        <w:szCs w:val="20"/>
      </w:rPr>
    </w:pPr>
    <w:r w:rsidRPr="00DB5090">
      <w:rPr>
        <w:sz w:val="20"/>
        <w:szCs w:val="20"/>
      </w:rPr>
      <w:fldChar w:fldCharType="begin"/>
    </w:r>
    <w:r w:rsidRPr="00DB5090">
      <w:rPr>
        <w:sz w:val="20"/>
        <w:szCs w:val="20"/>
      </w:rPr>
      <w:instrText xml:space="preserve"> PAGE </w:instrText>
    </w:r>
    <w:r w:rsidRPr="00DB5090">
      <w:rPr>
        <w:sz w:val="20"/>
        <w:szCs w:val="20"/>
      </w:rPr>
      <w:fldChar w:fldCharType="separate"/>
    </w:r>
    <w:r w:rsidR="00314746">
      <w:rPr>
        <w:noProof/>
        <w:sz w:val="20"/>
        <w:szCs w:val="20"/>
      </w:rPr>
      <w:t>5</w:t>
    </w:r>
    <w:r w:rsidRPr="00DB5090">
      <w:rPr>
        <w:sz w:val="20"/>
        <w:szCs w:val="20"/>
      </w:rPr>
      <w:fldChar w:fldCharType="end"/>
    </w:r>
    <w:r w:rsidRPr="00DB5090">
      <w:rPr>
        <w:sz w:val="20"/>
        <w:szCs w:val="20"/>
      </w:rPr>
      <w:t xml:space="preserve"> </w:t>
    </w:r>
    <w:r w:rsidR="00FE1656" w:rsidRPr="00DB5090">
      <w:rPr>
        <w:sz w:val="20"/>
        <w:szCs w:val="20"/>
      </w:rPr>
      <w:t>/</w:t>
    </w:r>
    <w:r w:rsidRPr="00DB5090">
      <w:rPr>
        <w:sz w:val="20"/>
        <w:szCs w:val="20"/>
      </w:rPr>
      <w:t xml:space="preserve"> </w:t>
    </w:r>
    <w:r w:rsidRPr="00DB5090">
      <w:rPr>
        <w:sz w:val="20"/>
        <w:szCs w:val="20"/>
      </w:rPr>
      <w:fldChar w:fldCharType="begin"/>
    </w:r>
    <w:r w:rsidRPr="00DB5090">
      <w:rPr>
        <w:sz w:val="20"/>
        <w:szCs w:val="20"/>
      </w:rPr>
      <w:instrText xml:space="preserve"> NUMPAGES  </w:instrText>
    </w:r>
    <w:r w:rsidRPr="00DB5090">
      <w:rPr>
        <w:sz w:val="20"/>
        <w:szCs w:val="20"/>
      </w:rPr>
      <w:fldChar w:fldCharType="separate"/>
    </w:r>
    <w:r w:rsidR="00314746">
      <w:rPr>
        <w:noProof/>
        <w:sz w:val="20"/>
        <w:szCs w:val="20"/>
      </w:rPr>
      <w:t>5</w:t>
    </w:r>
    <w:r w:rsidRPr="00DB5090">
      <w:rPr>
        <w:sz w:val="20"/>
        <w:szCs w:val="20"/>
      </w:rPr>
      <w:fldChar w:fldCharType="end"/>
    </w:r>
  </w:p>
  <w:p w14:paraId="2ABD5499" w14:textId="77777777" w:rsidR="008A295A" w:rsidRPr="00C536C2" w:rsidRDefault="008A295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DE68F" w14:textId="77777777" w:rsidR="00F76C37" w:rsidRDefault="00F76C37">
      <w:r>
        <w:separator/>
      </w:r>
    </w:p>
  </w:footnote>
  <w:footnote w:type="continuationSeparator" w:id="0">
    <w:p w14:paraId="30A8EC28" w14:textId="77777777" w:rsidR="00F76C37" w:rsidRDefault="00F76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396C"/>
    <w:multiLevelType w:val="hybridMultilevel"/>
    <w:tmpl w:val="8966B278"/>
    <w:lvl w:ilvl="0" w:tplc="520C1F7E">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81"/>
    <w:rsid w:val="00023762"/>
    <w:rsid w:val="00042766"/>
    <w:rsid w:val="000576A7"/>
    <w:rsid w:val="0005798D"/>
    <w:rsid w:val="00066104"/>
    <w:rsid w:val="000737D3"/>
    <w:rsid w:val="00080DBB"/>
    <w:rsid w:val="000A2418"/>
    <w:rsid w:val="000D24C2"/>
    <w:rsid w:val="000E217C"/>
    <w:rsid w:val="000F73B3"/>
    <w:rsid w:val="001345E4"/>
    <w:rsid w:val="001376FC"/>
    <w:rsid w:val="00140165"/>
    <w:rsid w:val="00140544"/>
    <w:rsid w:val="00142BC6"/>
    <w:rsid w:val="001447D1"/>
    <w:rsid w:val="001A42EC"/>
    <w:rsid w:val="001B1534"/>
    <w:rsid w:val="001C000E"/>
    <w:rsid w:val="001C1717"/>
    <w:rsid w:val="002254FB"/>
    <w:rsid w:val="00231A80"/>
    <w:rsid w:val="002477B3"/>
    <w:rsid w:val="00253F27"/>
    <w:rsid w:val="002625D7"/>
    <w:rsid w:val="002717BC"/>
    <w:rsid w:val="00275070"/>
    <w:rsid w:val="00285E6E"/>
    <w:rsid w:val="00294ED4"/>
    <w:rsid w:val="002C289E"/>
    <w:rsid w:val="002C7797"/>
    <w:rsid w:val="002D5004"/>
    <w:rsid w:val="002E43C9"/>
    <w:rsid w:val="002F4B14"/>
    <w:rsid w:val="00314746"/>
    <w:rsid w:val="00322151"/>
    <w:rsid w:val="00344693"/>
    <w:rsid w:val="00346EAF"/>
    <w:rsid w:val="00355087"/>
    <w:rsid w:val="003664CC"/>
    <w:rsid w:val="0037044F"/>
    <w:rsid w:val="00396823"/>
    <w:rsid w:val="003A2AAC"/>
    <w:rsid w:val="003B76C9"/>
    <w:rsid w:val="003C0E2D"/>
    <w:rsid w:val="003C4202"/>
    <w:rsid w:val="003D7E4A"/>
    <w:rsid w:val="0043054D"/>
    <w:rsid w:val="004353B6"/>
    <w:rsid w:val="00441ECD"/>
    <w:rsid w:val="00447BD8"/>
    <w:rsid w:val="004600CA"/>
    <w:rsid w:val="00473B8D"/>
    <w:rsid w:val="00476407"/>
    <w:rsid w:val="004A1E04"/>
    <w:rsid w:val="004C01A2"/>
    <w:rsid w:val="004D1981"/>
    <w:rsid w:val="00503776"/>
    <w:rsid w:val="00512CFC"/>
    <w:rsid w:val="00552BF3"/>
    <w:rsid w:val="005552FF"/>
    <w:rsid w:val="0056120B"/>
    <w:rsid w:val="00562275"/>
    <w:rsid w:val="005640D0"/>
    <w:rsid w:val="00587374"/>
    <w:rsid w:val="005A4234"/>
    <w:rsid w:val="005D3063"/>
    <w:rsid w:val="005D79F4"/>
    <w:rsid w:val="005F06B7"/>
    <w:rsid w:val="0060563A"/>
    <w:rsid w:val="00641E10"/>
    <w:rsid w:val="00644F16"/>
    <w:rsid w:val="0065188C"/>
    <w:rsid w:val="006611A1"/>
    <w:rsid w:val="00662121"/>
    <w:rsid w:val="00665283"/>
    <w:rsid w:val="00674B35"/>
    <w:rsid w:val="00675CE3"/>
    <w:rsid w:val="006A7A14"/>
    <w:rsid w:val="006C1F1F"/>
    <w:rsid w:val="006C3E99"/>
    <w:rsid w:val="006E0B0A"/>
    <w:rsid w:val="006E1FF9"/>
    <w:rsid w:val="007218E8"/>
    <w:rsid w:val="00742579"/>
    <w:rsid w:val="00742EDD"/>
    <w:rsid w:val="007466D5"/>
    <w:rsid w:val="00785427"/>
    <w:rsid w:val="00786B68"/>
    <w:rsid w:val="00797A96"/>
    <w:rsid w:val="007B31CA"/>
    <w:rsid w:val="007C553E"/>
    <w:rsid w:val="008030B2"/>
    <w:rsid w:val="00816FEC"/>
    <w:rsid w:val="00824F83"/>
    <w:rsid w:val="00827FF3"/>
    <w:rsid w:val="00852D91"/>
    <w:rsid w:val="008543CC"/>
    <w:rsid w:val="008722C9"/>
    <w:rsid w:val="008761A0"/>
    <w:rsid w:val="00884607"/>
    <w:rsid w:val="00885C49"/>
    <w:rsid w:val="008A295A"/>
    <w:rsid w:val="008A662B"/>
    <w:rsid w:val="008B6290"/>
    <w:rsid w:val="008C560D"/>
    <w:rsid w:val="008D12F4"/>
    <w:rsid w:val="00904E0F"/>
    <w:rsid w:val="00915E2C"/>
    <w:rsid w:val="0093452D"/>
    <w:rsid w:val="00936C43"/>
    <w:rsid w:val="009419E8"/>
    <w:rsid w:val="00966063"/>
    <w:rsid w:val="00970BDA"/>
    <w:rsid w:val="009801DA"/>
    <w:rsid w:val="009B0E28"/>
    <w:rsid w:val="009B7935"/>
    <w:rsid w:val="009D4785"/>
    <w:rsid w:val="009F08DC"/>
    <w:rsid w:val="009F69F1"/>
    <w:rsid w:val="00A15821"/>
    <w:rsid w:val="00A15C07"/>
    <w:rsid w:val="00A16C12"/>
    <w:rsid w:val="00A34E8B"/>
    <w:rsid w:val="00A4516F"/>
    <w:rsid w:val="00A52E98"/>
    <w:rsid w:val="00A6524D"/>
    <w:rsid w:val="00A96389"/>
    <w:rsid w:val="00AA1B92"/>
    <w:rsid w:val="00AC4DA2"/>
    <w:rsid w:val="00AD318C"/>
    <w:rsid w:val="00B02285"/>
    <w:rsid w:val="00B049A2"/>
    <w:rsid w:val="00B15B0A"/>
    <w:rsid w:val="00B35CF7"/>
    <w:rsid w:val="00B50BE2"/>
    <w:rsid w:val="00B54006"/>
    <w:rsid w:val="00B82493"/>
    <w:rsid w:val="00B96F04"/>
    <w:rsid w:val="00BB4DE8"/>
    <w:rsid w:val="00BC2B24"/>
    <w:rsid w:val="00BD7B0B"/>
    <w:rsid w:val="00BE568D"/>
    <w:rsid w:val="00BF2723"/>
    <w:rsid w:val="00C22C31"/>
    <w:rsid w:val="00C41CA9"/>
    <w:rsid w:val="00C536C2"/>
    <w:rsid w:val="00C8140C"/>
    <w:rsid w:val="00C850ED"/>
    <w:rsid w:val="00CD470F"/>
    <w:rsid w:val="00CE09F3"/>
    <w:rsid w:val="00CE4952"/>
    <w:rsid w:val="00CE4A3E"/>
    <w:rsid w:val="00CF178E"/>
    <w:rsid w:val="00D001C9"/>
    <w:rsid w:val="00D67C29"/>
    <w:rsid w:val="00D705E7"/>
    <w:rsid w:val="00D95849"/>
    <w:rsid w:val="00DB0404"/>
    <w:rsid w:val="00DB5090"/>
    <w:rsid w:val="00DC6496"/>
    <w:rsid w:val="00DC6544"/>
    <w:rsid w:val="00DC7AD6"/>
    <w:rsid w:val="00DD2A82"/>
    <w:rsid w:val="00DF6613"/>
    <w:rsid w:val="00E036BD"/>
    <w:rsid w:val="00E17265"/>
    <w:rsid w:val="00E32A9C"/>
    <w:rsid w:val="00E71EFF"/>
    <w:rsid w:val="00E7205B"/>
    <w:rsid w:val="00EA16F5"/>
    <w:rsid w:val="00EA4A4E"/>
    <w:rsid w:val="00EC7655"/>
    <w:rsid w:val="00ED5340"/>
    <w:rsid w:val="00EF7AA6"/>
    <w:rsid w:val="00F15BDA"/>
    <w:rsid w:val="00F225DC"/>
    <w:rsid w:val="00F27767"/>
    <w:rsid w:val="00F4769B"/>
    <w:rsid w:val="00F76C37"/>
    <w:rsid w:val="00FE1656"/>
    <w:rsid w:val="00FF4058"/>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BADB9"/>
  <w15:docId w15:val="{94688920-BF55-4EEA-A071-A8F95897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81"/>
    <w:pPr>
      <w:tabs>
        <w:tab w:val="left" w:pos="284"/>
      </w:tabs>
      <w:jc w:val="both"/>
    </w:pPr>
    <w:rPr>
      <w:rFonts w:ascii="Times New Roman" w:eastAsia="Times New Roman" w:hAnsi="Times New Roman"/>
      <w:sz w:val="22"/>
      <w:szCs w:val="24"/>
    </w:rPr>
  </w:style>
  <w:style w:type="paragraph" w:styleId="Heading5">
    <w:name w:val="heading 5"/>
    <w:basedOn w:val="Normal"/>
    <w:next w:val="Normal"/>
    <w:link w:val="Heading5Char"/>
    <w:uiPriority w:val="99"/>
    <w:qFormat/>
    <w:rsid w:val="00797A96"/>
    <w:pPr>
      <w:keepNext/>
      <w:spacing w:after="40"/>
      <w:jc w:val="center"/>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locked/>
    <w:rsid w:val="00797A96"/>
    <w:rPr>
      <w:rFonts w:ascii="Times New Roman" w:hAnsi="Times New Roman" w:cs="Arial"/>
      <w:b/>
      <w:bCs/>
      <w:sz w:val="24"/>
      <w:szCs w:val="24"/>
    </w:rPr>
  </w:style>
  <w:style w:type="paragraph" w:styleId="Footer">
    <w:name w:val="footer"/>
    <w:basedOn w:val="Normal"/>
    <w:link w:val="FooterChar"/>
    <w:uiPriority w:val="99"/>
    <w:rsid w:val="004D1981"/>
    <w:pPr>
      <w:tabs>
        <w:tab w:val="clear" w:pos="284"/>
        <w:tab w:val="center" w:pos="4536"/>
        <w:tab w:val="right" w:pos="9072"/>
      </w:tabs>
    </w:pPr>
  </w:style>
  <w:style w:type="character" w:customStyle="1" w:styleId="FooterChar">
    <w:name w:val="Footer Char"/>
    <w:link w:val="Footer"/>
    <w:uiPriority w:val="99"/>
    <w:locked/>
    <w:rsid w:val="004D1981"/>
    <w:rPr>
      <w:rFonts w:ascii="Times New Roman" w:hAnsi="Times New Roman" w:cs="Times New Roman"/>
      <w:sz w:val="24"/>
      <w:szCs w:val="24"/>
    </w:rPr>
  </w:style>
  <w:style w:type="character" w:styleId="PageNumber">
    <w:name w:val="page number"/>
    <w:uiPriority w:val="99"/>
    <w:rsid w:val="004D1981"/>
    <w:rPr>
      <w:rFonts w:cs="Times New Roman"/>
    </w:rPr>
  </w:style>
  <w:style w:type="paragraph" w:customStyle="1" w:styleId="NASLOV123">
    <w:name w:val="NASLOV 123"/>
    <w:basedOn w:val="Normal"/>
    <w:uiPriority w:val="99"/>
    <w:rsid w:val="004D1981"/>
    <w:pPr>
      <w:spacing w:before="200" w:after="200"/>
      <w:jc w:val="left"/>
    </w:pPr>
    <w:rPr>
      <w:b/>
      <w:szCs w:val="22"/>
    </w:rPr>
  </w:style>
  <w:style w:type="paragraph" w:styleId="NormalWeb">
    <w:name w:val="Normal (Web)"/>
    <w:basedOn w:val="Normal"/>
    <w:uiPriority w:val="99"/>
    <w:rsid w:val="004D1981"/>
    <w:pPr>
      <w:tabs>
        <w:tab w:val="clear" w:pos="284"/>
      </w:tabs>
      <w:spacing w:before="100" w:beforeAutospacing="1" w:after="75"/>
      <w:jc w:val="left"/>
    </w:pPr>
    <w:rPr>
      <w:color w:val="000000"/>
      <w:sz w:val="24"/>
    </w:rPr>
  </w:style>
  <w:style w:type="paragraph" w:styleId="NoSpacing">
    <w:name w:val="No Spacing"/>
    <w:uiPriority w:val="1"/>
    <w:qFormat/>
    <w:rsid w:val="004D1981"/>
    <w:rPr>
      <w:rFonts w:eastAsia="Times New Roman"/>
      <w:sz w:val="22"/>
      <w:szCs w:val="22"/>
    </w:rPr>
  </w:style>
  <w:style w:type="paragraph" w:styleId="BalloonText">
    <w:name w:val="Balloon Text"/>
    <w:basedOn w:val="Normal"/>
    <w:link w:val="BalloonTextChar"/>
    <w:uiPriority w:val="99"/>
    <w:semiHidden/>
    <w:rsid w:val="004A1E04"/>
    <w:rPr>
      <w:rFonts w:ascii="Tahoma" w:hAnsi="Tahoma" w:cs="Tahoma"/>
      <w:sz w:val="16"/>
      <w:szCs w:val="16"/>
    </w:rPr>
  </w:style>
  <w:style w:type="character" w:customStyle="1" w:styleId="BalloonTextChar">
    <w:name w:val="Balloon Text Char"/>
    <w:link w:val="BalloonText"/>
    <w:uiPriority w:val="99"/>
    <w:semiHidden/>
    <w:locked/>
    <w:rsid w:val="004A1E04"/>
    <w:rPr>
      <w:rFonts w:ascii="Tahoma" w:hAnsi="Tahoma" w:cs="Tahoma"/>
      <w:sz w:val="16"/>
      <w:szCs w:val="16"/>
    </w:rPr>
  </w:style>
  <w:style w:type="paragraph" w:styleId="Revision">
    <w:name w:val="Revision"/>
    <w:hidden/>
    <w:uiPriority w:val="99"/>
    <w:semiHidden/>
    <w:rsid w:val="00785427"/>
    <w:rPr>
      <w:rFonts w:ascii="Times New Roman" w:eastAsia="Times New Roman" w:hAnsi="Times New Roman"/>
      <w:sz w:val="22"/>
      <w:szCs w:val="24"/>
    </w:rPr>
  </w:style>
  <w:style w:type="paragraph" w:styleId="ListParagraph">
    <w:name w:val="List Paragraph"/>
    <w:basedOn w:val="Normal"/>
    <w:uiPriority w:val="99"/>
    <w:qFormat/>
    <w:rsid w:val="00B82493"/>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2"/>
    <w:uiPriority w:val="99"/>
    <w:rsid w:val="00080DBB"/>
    <w:pPr>
      <w:tabs>
        <w:tab w:val="clear" w:pos="284"/>
        <w:tab w:val="center" w:pos="4536"/>
        <w:tab w:val="right" w:pos="9072"/>
      </w:tabs>
    </w:pPr>
    <w:rPr>
      <w:rFonts w:ascii="Humanist777" w:eastAsia="Calibri" w:hAnsi="Humanist777"/>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uiPriority w:val="99"/>
    <w:semiHidden/>
    <w:locked/>
    <w:rsid w:val="002477B3"/>
    <w:rPr>
      <w:rFonts w:ascii="Times New Roman" w:hAnsi="Times New Roman" w:cs="Times New Roman"/>
      <w:sz w:val="24"/>
      <w:szCs w:val="24"/>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locked/>
    <w:rsid w:val="00080DBB"/>
    <w:rPr>
      <w:rFonts w:ascii="Humanist777" w:hAnsi="Humanist777" w:cs="Times New Roman"/>
      <w:sz w:val="24"/>
      <w:szCs w:val="24"/>
      <w:lang w:val="en-US" w:eastAsia="en-US" w:bidi="ar-SA"/>
    </w:rPr>
  </w:style>
  <w:style w:type="character" w:styleId="CommentReference">
    <w:name w:val="annotation reference"/>
    <w:uiPriority w:val="99"/>
    <w:semiHidden/>
    <w:rsid w:val="00080DBB"/>
    <w:rPr>
      <w:rFonts w:cs="Times New Roman"/>
      <w:sz w:val="16"/>
      <w:szCs w:val="16"/>
    </w:rPr>
  </w:style>
  <w:style w:type="character" w:customStyle="1" w:styleId="CharChar4">
    <w:name w:val="Char Char4"/>
    <w:uiPriority w:val="99"/>
    <w:semiHidden/>
    <w:locked/>
    <w:rsid w:val="00ED5340"/>
    <w:rPr>
      <w:rFonts w:cs="Times New Roman"/>
      <w:sz w:val="24"/>
      <w:szCs w:val="24"/>
    </w:rPr>
  </w:style>
  <w:style w:type="paragraph" w:styleId="CommentText">
    <w:name w:val="annotation text"/>
    <w:basedOn w:val="Normal"/>
    <w:link w:val="CommentTextChar"/>
    <w:uiPriority w:val="99"/>
    <w:semiHidden/>
    <w:unhideWhenUsed/>
    <w:rsid w:val="00C8140C"/>
    <w:rPr>
      <w:sz w:val="20"/>
      <w:szCs w:val="20"/>
    </w:rPr>
  </w:style>
  <w:style w:type="character" w:customStyle="1" w:styleId="CommentTextChar">
    <w:name w:val="Comment Text Char"/>
    <w:link w:val="CommentText"/>
    <w:uiPriority w:val="99"/>
    <w:semiHidden/>
    <w:rsid w:val="00C8140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8140C"/>
    <w:rPr>
      <w:b/>
      <w:bCs/>
    </w:rPr>
  </w:style>
  <w:style w:type="character" w:customStyle="1" w:styleId="CommentSubjectChar">
    <w:name w:val="Comment Subject Char"/>
    <w:link w:val="CommentSubject"/>
    <w:uiPriority w:val="99"/>
    <w:semiHidden/>
    <w:rsid w:val="00C8140C"/>
    <w:rPr>
      <w:rFonts w:ascii="Times New Roman" w:eastAsia="Times New Roman" w:hAnsi="Times New Roman"/>
      <w:b/>
      <w:bCs/>
    </w:rPr>
  </w:style>
  <w:style w:type="character" w:styleId="Hyperlink">
    <w:name w:val="Hyperlink"/>
    <w:basedOn w:val="DefaultParagraphFont"/>
    <w:rsid w:val="00746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Panic</dc:creator>
  <cp:keywords/>
  <dc:description/>
  <cp:lastModifiedBy>Tijana Mićović</cp:lastModifiedBy>
  <cp:revision>12</cp:revision>
  <cp:lastPrinted>2021-10-14T08:16:00Z</cp:lastPrinted>
  <dcterms:created xsi:type="dcterms:W3CDTF">2021-10-20T10:35:00Z</dcterms:created>
  <dcterms:modified xsi:type="dcterms:W3CDTF">2021-10-22T11:32:00Z</dcterms:modified>
</cp:coreProperties>
</file>