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0A5" w:rsidRPr="0056436C" w:rsidRDefault="002510A5" w:rsidP="0056436C">
      <w:pPr>
        <w:jc w:val="center"/>
        <w:rPr>
          <w:b/>
          <w:bCs/>
          <w:iCs/>
          <w:sz w:val="22"/>
          <w:szCs w:val="22"/>
          <w:u w:val="single"/>
          <w:lang w:val="sr-Latn-ME"/>
        </w:rPr>
      </w:pPr>
      <w:r w:rsidRPr="0056436C">
        <w:rPr>
          <w:b/>
          <w:bCs/>
          <w:iCs/>
          <w:sz w:val="22"/>
          <w:szCs w:val="22"/>
          <w:u w:val="single"/>
          <w:lang w:val="sr-Latn-ME"/>
        </w:rPr>
        <w:t>SAŽETAK KARAKTERISTIKA LIJEKA</w:t>
      </w:r>
    </w:p>
    <w:p w:rsidR="003C17AB" w:rsidRPr="0056436C" w:rsidRDefault="003C17AB" w:rsidP="0056436C">
      <w:pPr>
        <w:tabs>
          <w:tab w:val="left" w:pos="540"/>
          <w:tab w:val="left" w:pos="569"/>
        </w:tabs>
        <w:rPr>
          <w:noProof/>
          <w:sz w:val="22"/>
          <w:szCs w:val="22"/>
          <w:lang w:val="sr-Latn-ME"/>
        </w:rPr>
      </w:pPr>
    </w:p>
    <w:p w:rsidR="00C37FD7" w:rsidRPr="0056436C" w:rsidRDefault="00C37FD7" w:rsidP="0056436C">
      <w:pPr>
        <w:tabs>
          <w:tab w:val="left" w:pos="540"/>
          <w:tab w:val="left" w:pos="569"/>
        </w:tabs>
        <w:rPr>
          <w:bCs/>
          <w:sz w:val="22"/>
          <w:szCs w:val="22"/>
          <w:lang w:val="sr-Latn-ME"/>
        </w:rPr>
      </w:pPr>
    </w:p>
    <w:p w:rsidR="00411B4B" w:rsidRPr="0056436C" w:rsidRDefault="00411B4B" w:rsidP="0056436C">
      <w:pPr>
        <w:tabs>
          <w:tab w:val="left" w:pos="540"/>
          <w:tab w:val="left" w:pos="569"/>
        </w:tabs>
        <w:rPr>
          <w:b/>
          <w:bCs/>
          <w:sz w:val="22"/>
          <w:szCs w:val="22"/>
          <w:lang w:val="sr-Latn-ME"/>
        </w:rPr>
      </w:pPr>
      <w:r w:rsidRPr="0056436C">
        <w:rPr>
          <w:b/>
          <w:bCs/>
          <w:sz w:val="22"/>
          <w:szCs w:val="22"/>
          <w:lang w:val="sr-Latn-ME"/>
        </w:rPr>
        <w:t>1.</w:t>
      </w:r>
      <w:r w:rsidR="00F5167F" w:rsidRPr="0056436C">
        <w:rPr>
          <w:b/>
          <w:bCs/>
          <w:sz w:val="22"/>
          <w:szCs w:val="22"/>
          <w:lang w:val="sr-Latn-ME"/>
        </w:rPr>
        <w:tab/>
      </w:r>
      <w:r w:rsidR="002846DB" w:rsidRPr="0056436C">
        <w:rPr>
          <w:b/>
          <w:bCs/>
          <w:sz w:val="22"/>
          <w:szCs w:val="22"/>
          <w:lang w:val="sr-Latn-ME"/>
        </w:rPr>
        <w:t xml:space="preserve">NAZIV </w:t>
      </w:r>
      <w:r w:rsidRPr="0056436C">
        <w:rPr>
          <w:b/>
          <w:bCs/>
          <w:sz w:val="22"/>
          <w:szCs w:val="22"/>
          <w:lang w:val="sr-Latn-ME"/>
        </w:rPr>
        <w:t>LIJEKA</w:t>
      </w:r>
    </w:p>
    <w:p w:rsidR="00EC2532" w:rsidRPr="0056436C" w:rsidRDefault="00EC2532" w:rsidP="0056436C">
      <w:pPr>
        <w:rPr>
          <w:sz w:val="22"/>
          <w:szCs w:val="22"/>
          <w:lang w:val="sr-Latn-ME"/>
        </w:rPr>
      </w:pPr>
    </w:p>
    <w:p w:rsidR="007F6CA7" w:rsidRPr="0056436C" w:rsidRDefault="003714E8" w:rsidP="0056436C">
      <w:pPr>
        <w:rPr>
          <w:sz w:val="22"/>
          <w:szCs w:val="22"/>
          <w:lang w:val="sr-Latn-ME"/>
        </w:rPr>
      </w:pPr>
      <w:r w:rsidRPr="0056436C">
        <w:rPr>
          <w:sz w:val="22"/>
          <w:szCs w:val="22"/>
          <w:lang w:val="sr-Latn-ME"/>
        </w:rPr>
        <w:t>Sitagliptin Teva</w:t>
      </w:r>
      <w:r w:rsidR="007F6CA7" w:rsidRPr="0056436C">
        <w:rPr>
          <w:sz w:val="22"/>
          <w:szCs w:val="22"/>
          <w:lang w:val="sr-Latn-ME"/>
        </w:rPr>
        <w:t>,</w:t>
      </w:r>
      <w:r w:rsidR="007F6CA7" w:rsidRPr="0056436C">
        <w:rPr>
          <w:i/>
          <w:iCs/>
          <w:color w:val="808080"/>
          <w:sz w:val="22"/>
          <w:szCs w:val="22"/>
          <w:lang w:val="sr-Latn-ME"/>
        </w:rPr>
        <w:t xml:space="preserve"> </w:t>
      </w:r>
      <w:r w:rsidR="007F6CA7" w:rsidRPr="0056436C">
        <w:rPr>
          <w:sz w:val="22"/>
          <w:szCs w:val="22"/>
          <w:lang w:val="sr-Latn-ME"/>
        </w:rPr>
        <w:t>25 mg, film tableta</w:t>
      </w:r>
    </w:p>
    <w:p w:rsidR="007F6CA7" w:rsidRPr="0056436C" w:rsidRDefault="003714E8" w:rsidP="0056436C">
      <w:pPr>
        <w:rPr>
          <w:sz w:val="22"/>
          <w:szCs w:val="22"/>
          <w:lang w:val="sr-Latn-ME"/>
        </w:rPr>
      </w:pPr>
      <w:r w:rsidRPr="0056436C">
        <w:rPr>
          <w:sz w:val="22"/>
          <w:szCs w:val="22"/>
          <w:lang w:val="sr-Latn-ME"/>
        </w:rPr>
        <w:t>Sitagliptin Teva</w:t>
      </w:r>
      <w:r w:rsidR="007F6CA7" w:rsidRPr="0056436C">
        <w:rPr>
          <w:sz w:val="22"/>
          <w:szCs w:val="22"/>
          <w:lang w:val="sr-Latn-ME"/>
        </w:rPr>
        <w:t>, 50 mg, film tableta</w:t>
      </w:r>
    </w:p>
    <w:p w:rsidR="007F6CA7" w:rsidRPr="0056436C" w:rsidRDefault="003714E8" w:rsidP="0056436C">
      <w:pPr>
        <w:rPr>
          <w:sz w:val="22"/>
          <w:szCs w:val="22"/>
          <w:lang w:val="sr-Latn-ME"/>
        </w:rPr>
      </w:pPr>
      <w:r w:rsidRPr="0056436C">
        <w:rPr>
          <w:sz w:val="22"/>
          <w:szCs w:val="22"/>
          <w:lang w:val="sr-Latn-ME"/>
        </w:rPr>
        <w:t>Sitagliptin Teva</w:t>
      </w:r>
      <w:r w:rsidR="007F6CA7" w:rsidRPr="0056436C">
        <w:rPr>
          <w:sz w:val="22"/>
          <w:szCs w:val="22"/>
          <w:lang w:val="sr-Latn-ME"/>
        </w:rPr>
        <w:t>, 100 mg, film tableta</w:t>
      </w:r>
    </w:p>
    <w:p w:rsidR="000D425A" w:rsidRPr="0056436C" w:rsidRDefault="000D425A" w:rsidP="0056436C">
      <w:pPr>
        <w:rPr>
          <w:bCs/>
          <w:sz w:val="22"/>
          <w:szCs w:val="22"/>
          <w:lang w:val="sr-Latn-ME"/>
        </w:rPr>
      </w:pPr>
    </w:p>
    <w:p w:rsidR="006D20A5" w:rsidRPr="0056436C" w:rsidRDefault="006D20A5" w:rsidP="0056436C">
      <w:pPr>
        <w:rPr>
          <w:sz w:val="22"/>
          <w:szCs w:val="22"/>
          <w:lang w:val="sr-Latn-ME"/>
        </w:rPr>
      </w:pPr>
      <w:r w:rsidRPr="0056436C">
        <w:rPr>
          <w:sz w:val="22"/>
          <w:szCs w:val="22"/>
          <w:lang w:val="sr-Latn-ME"/>
        </w:rPr>
        <w:t>INN:</w:t>
      </w:r>
      <w:r w:rsidR="007F6CA7" w:rsidRPr="0056436C">
        <w:rPr>
          <w:sz w:val="22"/>
          <w:szCs w:val="22"/>
          <w:lang w:val="sr-Latn-ME"/>
        </w:rPr>
        <w:t xml:space="preserve"> sitagliptin</w:t>
      </w:r>
    </w:p>
    <w:p w:rsidR="006D20A5" w:rsidRPr="0056436C" w:rsidRDefault="006D20A5" w:rsidP="0056436C">
      <w:pPr>
        <w:rPr>
          <w:bCs/>
          <w:sz w:val="22"/>
          <w:szCs w:val="22"/>
          <w:lang w:val="sr-Latn-ME"/>
        </w:rPr>
      </w:pPr>
    </w:p>
    <w:p w:rsidR="00530BD7" w:rsidRPr="0056436C" w:rsidRDefault="00530BD7" w:rsidP="0056436C">
      <w:pPr>
        <w:rPr>
          <w:bCs/>
          <w:sz w:val="22"/>
          <w:szCs w:val="22"/>
          <w:lang w:val="sr-Latn-ME"/>
        </w:rPr>
      </w:pPr>
    </w:p>
    <w:p w:rsidR="00411B4B" w:rsidRPr="0056436C" w:rsidRDefault="00411B4B" w:rsidP="0056436C">
      <w:pPr>
        <w:tabs>
          <w:tab w:val="left" w:pos="540"/>
          <w:tab w:val="left" w:pos="569"/>
        </w:tabs>
        <w:rPr>
          <w:b/>
          <w:bCs/>
          <w:sz w:val="22"/>
          <w:szCs w:val="22"/>
          <w:lang w:val="sr-Latn-ME"/>
        </w:rPr>
      </w:pPr>
      <w:r w:rsidRPr="0056436C">
        <w:rPr>
          <w:b/>
          <w:bCs/>
          <w:sz w:val="22"/>
          <w:szCs w:val="22"/>
          <w:lang w:val="sr-Latn-ME"/>
        </w:rPr>
        <w:t xml:space="preserve">2. </w:t>
      </w:r>
      <w:r w:rsidR="00F5167F" w:rsidRPr="0056436C">
        <w:rPr>
          <w:b/>
          <w:bCs/>
          <w:sz w:val="22"/>
          <w:szCs w:val="22"/>
          <w:lang w:val="sr-Latn-ME"/>
        </w:rPr>
        <w:tab/>
      </w:r>
      <w:r w:rsidRPr="0056436C">
        <w:rPr>
          <w:b/>
          <w:bCs/>
          <w:sz w:val="22"/>
          <w:szCs w:val="22"/>
          <w:lang w:val="sr-Latn-ME"/>
        </w:rPr>
        <w:t>KVALITATIVNI I KVANTITATIVNI SASTAV</w:t>
      </w:r>
    </w:p>
    <w:p w:rsidR="005A0B2E" w:rsidRPr="0056436C" w:rsidRDefault="005A0B2E" w:rsidP="0056436C">
      <w:pPr>
        <w:rPr>
          <w:sz w:val="22"/>
          <w:szCs w:val="22"/>
          <w:lang w:val="sr-Latn-ME"/>
        </w:rPr>
      </w:pPr>
    </w:p>
    <w:p w:rsidR="007F6CA7" w:rsidRPr="0056436C" w:rsidRDefault="007F6CA7" w:rsidP="0056436C">
      <w:pPr>
        <w:rPr>
          <w:sz w:val="22"/>
          <w:szCs w:val="22"/>
          <w:lang w:val="sr-Latn-ME"/>
        </w:rPr>
      </w:pPr>
      <w:r w:rsidRPr="0056436C">
        <w:rPr>
          <w:sz w:val="22"/>
          <w:szCs w:val="22"/>
          <w:lang w:val="sr-Latn-ME"/>
        </w:rPr>
        <w:t xml:space="preserve">Jedna tableta sadrži 25 mg sitagliptina u obliku sitagliptin maleata. </w:t>
      </w:r>
    </w:p>
    <w:p w:rsidR="007F6CA7" w:rsidRPr="0056436C" w:rsidRDefault="007F6CA7" w:rsidP="0056436C">
      <w:pPr>
        <w:rPr>
          <w:sz w:val="22"/>
          <w:szCs w:val="22"/>
          <w:lang w:val="sr-Latn-ME"/>
        </w:rPr>
      </w:pPr>
      <w:r w:rsidRPr="0056436C">
        <w:rPr>
          <w:sz w:val="22"/>
          <w:szCs w:val="22"/>
          <w:lang w:val="sr-Latn-ME"/>
        </w:rPr>
        <w:t xml:space="preserve">Jedna tableta sadrži 50 mg sitagliptina u obliku sitagliptin maleata. </w:t>
      </w:r>
    </w:p>
    <w:p w:rsidR="007F6CA7" w:rsidRPr="0056436C" w:rsidRDefault="007F6CA7" w:rsidP="0056436C">
      <w:pPr>
        <w:rPr>
          <w:sz w:val="22"/>
          <w:szCs w:val="22"/>
          <w:lang w:val="sr-Latn-ME"/>
        </w:rPr>
      </w:pPr>
      <w:r w:rsidRPr="0056436C">
        <w:rPr>
          <w:sz w:val="22"/>
          <w:szCs w:val="22"/>
          <w:lang w:val="sr-Latn-ME"/>
        </w:rPr>
        <w:t>Jedna tableta sadrži 100 mg sitagliptina u obliku sitagliptin maleata</w:t>
      </w:r>
    </w:p>
    <w:p w:rsidR="007F6CA7" w:rsidRPr="0056436C" w:rsidRDefault="007F6CA7" w:rsidP="0056436C">
      <w:pPr>
        <w:rPr>
          <w:sz w:val="22"/>
          <w:szCs w:val="22"/>
          <w:lang w:val="sr-Latn-ME"/>
        </w:rPr>
      </w:pPr>
    </w:p>
    <w:p w:rsidR="0003793F" w:rsidRPr="0056436C" w:rsidRDefault="0003793F" w:rsidP="0056436C">
      <w:pPr>
        <w:rPr>
          <w:sz w:val="22"/>
          <w:szCs w:val="22"/>
          <w:lang w:val="sr-Latn-ME"/>
        </w:rPr>
      </w:pPr>
      <w:r w:rsidRPr="0056436C">
        <w:rPr>
          <w:sz w:val="22"/>
          <w:szCs w:val="22"/>
          <w:lang w:val="sr-Latn-ME"/>
        </w:rPr>
        <w:t>Za spisak svih ekscipijenasa, pogledati dio 6.1.</w:t>
      </w:r>
    </w:p>
    <w:p w:rsidR="0003793F" w:rsidRPr="0056436C" w:rsidRDefault="0003793F" w:rsidP="0056436C">
      <w:pPr>
        <w:rPr>
          <w:sz w:val="22"/>
          <w:szCs w:val="22"/>
          <w:lang w:val="sr-Latn-ME"/>
        </w:rPr>
      </w:pPr>
    </w:p>
    <w:p w:rsidR="00C37FD7" w:rsidRPr="0056436C" w:rsidRDefault="00C37FD7" w:rsidP="0056436C">
      <w:pPr>
        <w:rPr>
          <w:sz w:val="22"/>
          <w:szCs w:val="22"/>
          <w:lang w:val="sr-Latn-ME"/>
        </w:rPr>
      </w:pPr>
    </w:p>
    <w:p w:rsidR="00411B4B" w:rsidRPr="0056436C" w:rsidRDefault="00411B4B" w:rsidP="0056436C">
      <w:pPr>
        <w:tabs>
          <w:tab w:val="left" w:pos="540"/>
          <w:tab w:val="left" w:pos="569"/>
        </w:tabs>
        <w:rPr>
          <w:b/>
          <w:bCs/>
          <w:sz w:val="22"/>
          <w:szCs w:val="22"/>
          <w:lang w:val="sr-Latn-ME"/>
        </w:rPr>
      </w:pPr>
      <w:r w:rsidRPr="0056436C">
        <w:rPr>
          <w:b/>
          <w:bCs/>
          <w:sz w:val="22"/>
          <w:szCs w:val="22"/>
          <w:lang w:val="sr-Latn-ME"/>
        </w:rPr>
        <w:t xml:space="preserve">3. </w:t>
      </w:r>
      <w:r w:rsidR="00F5167F" w:rsidRPr="0056436C">
        <w:rPr>
          <w:b/>
          <w:bCs/>
          <w:sz w:val="22"/>
          <w:szCs w:val="22"/>
          <w:lang w:val="sr-Latn-ME"/>
        </w:rPr>
        <w:tab/>
      </w:r>
      <w:r w:rsidRPr="0056436C">
        <w:rPr>
          <w:b/>
          <w:bCs/>
          <w:sz w:val="22"/>
          <w:szCs w:val="22"/>
          <w:lang w:val="sr-Latn-ME"/>
        </w:rPr>
        <w:t>FARMACEUTSKI OBLIK</w:t>
      </w:r>
      <w:r w:rsidR="009F2D23" w:rsidRPr="0056436C">
        <w:rPr>
          <w:b/>
          <w:bCs/>
          <w:sz w:val="22"/>
          <w:szCs w:val="22"/>
          <w:lang w:val="sr-Latn-ME"/>
        </w:rPr>
        <w:t xml:space="preserve"> </w:t>
      </w:r>
    </w:p>
    <w:p w:rsidR="0041649C" w:rsidRPr="0056436C" w:rsidRDefault="0041649C" w:rsidP="0056436C">
      <w:pPr>
        <w:rPr>
          <w:bCs/>
          <w:sz w:val="22"/>
          <w:szCs w:val="22"/>
          <w:lang w:val="sr-Latn-ME"/>
        </w:rPr>
      </w:pPr>
    </w:p>
    <w:p w:rsidR="0041649C" w:rsidRPr="0056436C" w:rsidRDefault="0041649C" w:rsidP="0056436C">
      <w:pPr>
        <w:rPr>
          <w:bCs/>
          <w:sz w:val="22"/>
          <w:szCs w:val="22"/>
          <w:lang w:val="sr-Latn-ME"/>
        </w:rPr>
      </w:pPr>
      <w:r w:rsidRPr="0056436C">
        <w:rPr>
          <w:bCs/>
          <w:sz w:val="22"/>
          <w:szCs w:val="22"/>
          <w:lang w:val="sr-Latn-ME"/>
        </w:rPr>
        <w:t>Film tableta.</w:t>
      </w:r>
    </w:p>
    <w:p w:rsidR="00E35F1F" w:rsidRPr="0056436C" w:rsidRDefault="00E35F1F" w:rsidP="0056436C">
      <w:pPr>
        <w:rPr>
          <w:bCs/>
          <w:sz w:val="22"/>
          <w:szCs w:val="22"/>
          <w:lang w:val="sr-Latn-ME"/>
        </w:rPr>
      </w:pPr>
    </w:p>
    <w:p w:rsidR="0041649C" w:rsidRPr="0056436C" w:rsidRDefault="00E35F1F" w:rsidP="00B43006">
      <w:pPr>
        <w:jc w:val="both"/>
        <w:rPr>
          <w:bCs/>
          <w:sz w:val="22"/>
          <w:szCs w:val="22"/>
          <w:u w:val="single"/>
          <w:lang w:val="sr-Latn-ME"/>
        </w:rPr>
      </w:pPr>
      <w:r w:rsidRPr="0056436C">
        <w:rPr>
          <w:bCs/>
          <w:sz w:val="22"/>
          <w:szCs w:val="22"/>
          <w:u w:val="single"/>
          <w:lang w:val="sr-Latn-ME"/>
        </w:rPr>
        <w:t>Sitagliptin Teva,</w:t>
      </w:r>
      <w:r w:rsidRPr="0056436C">
        <w:rPr>
          <w:bCs/>
          <w:i/>
          <w:iCs/>
          <w:sz w:val="22"/>
          <w:szCs w:val="22"/>
          <w:u w:val="single"/>
          <w:lang w:val="sr-Latn-ME"/>
        </w:rPr>
        <w:t xml:space="preserve"> </w:t>
      </w:r>
      <w:r w:rsidRPr="0056436C">
        <w:rPr>
          <w:bCs/>
          <w:sz w:val="22"/>
          <w:szCs w:val="22"/>
          <w:u w:val="single"/>
          <w:lang w:val="sr-Latn-ME"/>
        </w:rPr>
        <w:t>25 mg, film tableta</w:t>
      </w:r>
    </w:p>
    <w:p w:rsidR="0041649C" w:rsidRPr="0056436C" w:rsidRDefault="0041649C" w:rsidP="00B43006">
      <w:pPr>
        <w:jc w:val="both"/>
        <w:rPr>
          <w:bCs/>
          <w:sz w:val="22"/>
          <w:szCs w:val="22"/>
          <w:lang w:val="sr-Latn-ME"/>
        </w:rPr>
      </w:pPr>
      <w:r w:rsidRPr="0056436C">
        <w:rPr>
          <w:bCs/>
          <w:sz w:val="22"/>
          <w:szCs w:val="22"/>
          <w:lang w:val="sr-Latn-ME"/>
        </w:rPr>
        <w:t>Bež do ružičasta, okrugla film tableta. S</w:t>
      </w:r>
      <w:r w:rsidR="00194188" w:rsidRPr="0056436C">
        <w:rPr>
          <w:bCs/>
          <w:sz w:val="22"/>
          <w:szCs w:val="22"/>
          <w:lang w:val="sr-Latn-ME"/>
        </w:rPr>
        <w:t>a</w:t>
      </w:r>
      <w:r w:rsidRPr="0056436C">
        <w:rPr>
          <w:bCs/>
          <w:sz w:val="22"/>
          <w:szCs w:val="22"/>
          <w:lang w:val="sr-Latn-ME"/>
        </w:rPr>
        <w:t xml:space="preserve"> jedne strane je utisnuta oznaka "S25", dok je druga strana bez oznake. Dimenzije: </w:t>
      </w:r>
      <w:r w:rsidR="00F725BA" w:rsidRPr="0056436C">
        <w:rPr>
          <w:bCs/>
          <w:sz w:val="22"/>
          <w:szCs w:val="22"/>
          <w:lang w:val="sr-Latn-ME"/>
        </w:rPr>
        <w:t xml:space="preserve">prečnik </w:t>
      </w:r>
      <w:r w:rsidRPr="0056436C">
        <w:rPr>
          <w:bCs/>
          <w:sz w:val="22"/>
          <w:szCs w:val="22"/>
          <w:lang w:val="sr-Latn-ME"/>
        </w:rPr>
        <w:t xml:space="preserve">približno 5,7 mm. </w:t>
      </w:r>
    </w:p>
    <w:p w:rsidR="00E35F1F" w:rsidRPr="0056436C" w:rsidRDefault="00E35F1F" w:rsidP="00B43006">
      <w:pPr>
        <w:jc w:val="both"/>
        <w:rPr>
          <w:bCs/>
          <w:sz w:val="22"/>
          <w:szCs w:val="22"/>
          <w:lang w:val="sr-Latn-ME"/>
        </w:rPr>
      </w:pPr>
    </w:p>
    <w:p w:rsidR="00E35F1F" w:rsidRPr="0056436C" w:rsidRDefault="00E35F1F" w:rsidP="00B43006">
      <w:pPr>
        <w:jc w:val="both"/>
        <w:rPr>
          <w:bCs/>
          <w:sz w:val="22"/>
          <w:szCs w:val="22"/>
          <w:u w:val="single"/>
          <w:lang w:val="sr-Latn-ME"/>
        </w:rPr>
      </w:pPr>
      <w:r w:rsidRPr="0056436C">
        <w:rPr>
          <w:bCs/>
          <w:sz w:val="22"/>
          <w:szCs w:val="22"/>
          <w:u w:val="single"/>
          <w:lang w:val="sr-Latn-ME"/>
        </w:rPr>
        <w:t>Sitagliptin Teva,</w:t>
      </w:r>
      <w:r w:rsidRPr="0056436C">
        <w:rPr>
          <w:bCs/>
          <w:i/>
          <w:iCs/>
          <w:sz w:val="22"/>
          <w:szCs w:val="22"/>
          <w:u w:val="single"/>
          <w:lang w:val="sr-Latn-ME"/>
        </w:rPr>
        <w:t xml:space="preserve"> </w:t>
      </w:r>
      <w:r w:rsidRPr="0056436C">
        <w:rPr>
          <w:bCs/>
          <w:sz w:val="22"/>
          <w:szCs w:val="22"/>
          <w:u w:val="single"/>
          <w:lang w:val="sr-Latn-ME"/>
        </w:rPr>
        <w:t>50 mg, film tableta</w:t>
      </w:r>
    </w:p>
    <w:p w:rsidR="0041649C" w:rsidRPr="0056436C" w:rsidRDefault="0041649C" w:rsidP="00B43006">
      <w:pPr>
        <w:jc w:val="both"/>
        <w:rPr>
          <w:bCs/>
          <w:sz w:val="22"/>
          <w:szCs w:val="22"/>
          <w:lang w:val="sr-Latn-ME"/>
        </w:rPr>
      </w:pPr>
      <w:r w:rsidRPr="0056436C">
        <w:rPr>
          <w:bCs/>
          <w:sz w:val="22"/>
          <w:szCs w:val="22"/>
          <w:lang w:val="sr-Latn-ME"/>
        </w:rPr>
        <w:t>Bež do boje breskve, okrugla film tableta. S</w:t>
      </w:r>
      <w:r w:rsidR="00194188" w:rsidRPr="0056436C">
        <w:rPr>
          <w:bCs/>
          <w:sz w:val="22"/>
          <w:szCs w:val="22"/>
          <w:lang w:val="sr-Latn-ME"/>
        </w:rPr>
        <w:t>a</w:t>
      </w:r>
      <w:r w:rsidRPr="0056436C">
        <w:rPr>
          <w:bCs/>
          <w:sz w:val="22"/>
          <w:szCs w:val="22"/>
          <w:lang w:val="sr-Latn-ME"/>
        </w:rPr>
        <w:t xml:space="preserve"> jedne strane je podiona crta </w:t>
      </w:r>
      <w:r w:rsidR="00194188" w:rsidRPr="0056436C">
        <w:rPr>
          <w:bCs/>
          <w:sz w:val="22"/>
          <w:szCs w:val="22"/>
          <w:lang w:val="sr-Latn-ME"/>
        </w:rPr>
        <w:t xml:space="preserve">i </w:t>
      </w:r>
      <w:r w:rsidRPr="0056436C">
        <w:rPr>
          <w:bCs/>
          <w:sz w:val="22"/>
          <w:szCs w:val="22"/>
          <w:lang w:val="sr-Latn-ME"/>
        </w:rPr>
        <w:t xml:space="preserve">utisnuta oznaka "S|50". Na drugoj strani je podiona crta. </w:t>
      </w:r>
    </w:p>
    <w:p w:rsidR="0041649C" w:rsidRPr="0056436C" w:rsidRDefault="0041649C" w:rsidP="00B43006">
      <w:pPr>
        <w:jc w:val="both"/>
        <w:rPr>
          <w:bCs/>
          <w:sz w:val="22"/>
          <w:szCs w:val="22"/>
          <w:lang w:val="sr-Latn-ME"/>
        </w:rPr>
      </w:pPr>
      <w:r w:rsidRPr="0056436C">
        <w:rPr>
          <w:bCs/>
          <w:sz w:val="22"/>
          <w:szCs w:val="22"/>
          <w:lang w:val="sr-Latn-ME"/>
        </w:rPr>
        <w:t xml:space="preserve">Dimenzije: </w:t>
      </w:r>
      <w:r w:rsidR="00F725BA" w:rsidRPr="0056436C">
        <w:rPr>
          <w:bCs/>
          <w:sz w:val="22"/>
          <w:szCs w:val="22"/>
          <w:lang w:val="sr-Latn-ME"/>
        </w:rPr>
        <w:t xml:space="preserve">prečnik </w:t>
      </w:r>
      <w:r w:rsidRPr="0056436C">
        <w:rPr>
          <w:bCs/>
          <w:sz w:val="22"/>
          <w:szCs w:val="22"/>
          <w:lang w:val="sr-Latn-ME"/>
        </w:rPr>
        <w:t xml:space="preserve">približno 8,2 mm. </w:t>
      </w:r>
    </w:p>
    <w:p w:rsidR="00E35F1F" w:rsidRPr="0056436C" w:rsidRDefault="00E35F1F" w:rsidP="00B43006">
      <w:pPr>
        <w:jc w:val="both"/>
        <w:rPr>
          <w:bCs/>
          <w:sz w:val="22"/>
          <w:szCs w:val="22"/>
          <w:lang w:val="sr-Latn-ME"/>
        </w:rPr>
      </w:pPr>
    </w:p>
    <w:p w:rsidR="00E35F1F" w:rsidRPr="0056436C" w:rsidRDefault="00E35F1F" w:rsidP="00B43006">
      <w:pPr>
        <w:jc w:val="both"/>
        <w:rPr>
          <w:bCs/>
          <w:sz w:val="22"/>
          <w:szCs w:val="22"/>
          <w:u w:val="single"/>
          <w:lang w:val="sr-Latn-ME"/>
        </w:rPr>
      </w:pPr>
      <w:r w:rsidRPr="0056436C">
        <w:rPr>
          <w:bCs/>
          <w:sz w:val="22"/>
          <w:szCs w:val="22"/>
          <w:u w:val="single"/>
          <w:lang w:val="sr-Latn-ME"/>
        </w:rPr>
        <w:t>Sitagliptin Teva,</w:t>
      </w:r>
      <w:r w:rsidRPr="0056436C">
        <w:rPr>
          <w:bCs/>
          <w:i/>
          <w:iCs/>
          <w:sz w:val="22"/>
          <w:szCs w:val="22"/>
          <w:u w:val="single"/>
          <w:lang w:val="sr-Latn-ME"/>
        </w:rPr>
        <w:t xml:space="preserve"> </w:t>
      </w:r>
      <w:r w:rsidRPr="0056436C">
        <w:rPr>
          <w:bCs/>
          <w:sz w:val="22"/>
          <w:szCs w:val="22"/>
          <w:u w:val="single"/>
          <w:lang w:val="sr-Latn-ME"/>
        </w:rPr>
        <w:t>100 mg, film tableta</w:t>
      </w:r>
    </w:p>
    <w:p w:rsidR="0041649C" w:rsidRPr="0056436C" w:rsidRDefault="0041649C" w:rsidP="00B43006">
      <w:pPr>
        <w:jc w:val="both"/>
        <w:rPr>
          <w:bCs/>
          <w:sz w:val="22"/>
          <w:szCs w:val="22"/>
          <w:lang w:val="sr-Latn-ME"/>
        </w:rPr>
      </w:pPr>
      <w:r w:rsidRPr="0056436C">
        <w:rPr>
          <w:bCs/>
          <w:sz w:val="22"/>
          <w:szCs w:val="22"/>
          <w:lang w:val="sr-Latn-ME"/>
        </w:rPr>
        <w:t>Smeđa do narandžasta, okrugla film tableta. S</w:t>
      </w:r>
      <w:r w:rsidR="00194188" w:rsidRPr="0056436C">
        <w:rPr>
          <w:bCs/>
          <w:sz w:val="22"/>
          <w:szCs w:val="22"/>
          <w:lang w:val="sr-Latn-ME"/>
        </w:rPr>
        <w:t>a</w:t>
      </w:r>
      <w:r w:rsidRPr="0056436C">
        <w:rPr>
          <w:bCs/>
          <w:sz w:val="22"/>
          <w:szCs w:val="22"/>
          <w:lang w:val="sr-Latn-ME"/>
        </w:rPr>
        <w:t xml:space="preserve"> jedne strane je podiona crta</w:t>
      </w:r>
      <w:r w:rsidR="00194188" w:rsidRPr="0056436C">
        <w:rPr>
          <w:bCs/>
          <w:sz w:val="22"/>
          <w:szCs w:val="22"/>
          <w:lang w:val="sr-Latn-ME"/>
        </w:rPr>
        <w:t xml:space="preserve"> </w:t>
      </w:r>
      <w:r w:rsidRPr="0056436C">
        <w:rPr>
          <w:bCs/>
          <w:sz w:val="22"/>
          <w:szCs w:val="22"/>
          <w:lang w:val="sr-Latn-ME"/>
        </w:rPr>
        <w:t xml:space="preserve">i utisnuta oznaka "S|100". Na drugoj strani je podiona crta. </w:t>
      </w:r>
    </w:p>
    <w:p w:rsidR="003714E8" w:rsidRPr="0056436C" w:rsidRDefault="0041649C" w:rsidP="00B43006">
      <w:pPr>
        <w:jc w:val="both"/>
        <w:rPr>
          <w:bCs/>
          <w:sz w:val="22"/>
          <w:szCs w:val="22"/>
          <w:lang w:val="sr-Latn-ME"/>
        </w:rPr>
      </w:pPr>
      <w:r w:rsidRPr="0056436C">
        <w:rPr>
          <w:bCs/>
          <w:sz w:val="22"/>
          <w:szCs w:val="22"/>
          <w:lang w:val="sr-Latn-ME"/>
        </w:rPr>
        <w:t xml:space="preserve">Dimenzije: </w:t>
      </w:r>
      <w:r w:rsidR="00F725BA" w:rsidRPr="0056436C">
        <w:rPr>
          <w:bCs/>
          <w:sz w:val="22"/>
          <w:szCs w:val="22"/>
          <w:lang w:val="sr-Latn-ME"/>
        </w:rPr>
        <w:t xml:space="preserve">prečnik </w:t>
      </w:r>
      <w:r w:rsidRPr="0056436C">
        <w:rPr>
          <w:bCs/>
          <w:sz w:val="22"/>
          <w:szCs w:val="22"/>
          <w:lang w:val="sr-Latn-ME"/>
        </w:rPr>
        <w:t xml:space="preserve">približno 9,7 mm. </w:t>
      </w:r>
    </w:p>
    <w:p w:rsidR="00E35F1F" w:rsidRPr="0056436C" w:rsidRDefault="00E35F1F" w:rsidP="00B43006">
      <w:pPr>
        <w:jc w:val="both"/>
        <w:rPr>
          <w:bCs/>
          <w:sz w:val="22"/>
          <w:szCs w:val="22"/>
          <w:lang w:val="sr-Latn-ME"/>
        </w:rPr>
      </w:pPr>
    </w:p>
    <w:p w:rsidR="0041649C" w:rsidRPr="0056436C" w:rsidRDefault="0041649C" w:rsidP="00B43006">
      <w:pPr>
        <w:jc w:val="both"/>
        <w:rPr>
          <w:bCs/>
          <w:sz w:val="22"/>
          <w:szCs w:val="22"/>
          <w:lang w:val="sr-Latn-ME"/>
        </w:rPr>
      </w:pPr>
      <w:r w:rsidRPr="0056436C">
        <w:rPr>
          <w:bCs/>
          <w:sz w:val="22"/>
          <w:szCs w:val="22"/>
          <w:lang w:val="sr-Latn-ME"/>
        </w:rPr>
        <w:t>50 mg i 100 mg: Tableta se može podijeliti na jednake doze.</w:t>
      </w:r>
    </w:p>
    <w:p w:rsidR="00411B4B" w:rsidRPr="0056436C" w:rsidRDefault="00411B4B" w:rsidP="0056436C">
      <w:pPr>
        <w:rPr>
          <w:bCs/>
          <w:sz w:val="22"/>
          <w:szCs w:val="22"/>
          <w:lang w:val="sr-Latn-ME"/>
        </w:rPr>
      </w:pPr>
    </w:p>
    <w:p w:rsidR="00EC2532" w:rsidRPr="0056436C" w:rsidRDefault="00EC2532" w:rsidP="0056436C">
      <w:pPr>
        <w:rPr>
          <w:bCs/>
          <w:sz w:val="22"/>
          <w:szCs w:val="22"/>
          <w:lang w:val="sr-Latn-ME"/>
        </w:rPr>
      </w:pPr>
    </w:p>
    <w:p w:rsidR="00411B4B" w:rsidRPr="0056436C" w:rsidRDefault="00411B4B" w:rsidP="0056436C">
      <w:pPr>
        <w:tabs>
          <w:tab w:val="left" w:pos="540"/>
          <w:tab w:val="left" w:pos="569"/>
        </w:tabs>
        <w:rPr>
          <w:b/>
          <w:bCs/>
          <w:sz w:val="22"/>
          <w:szCs w:val="22"/>
          <w:lang w:val="sr-Latn-ME"/>
        </w:rPr>
      </w:pPr>
      <w:r w:rsidRPr="0056436C">
        <w:rPr>
          <w:b/>
          <w:bCs/>
          <w:sz w:val="22"/>
          <w:szCs w:val="22"/>
          <w:lang w:val="sr-Latn-ME"/>
        </w:rPr>
        <w:t xml:space="preserve">4. </w:t>
      </w:r>
      <w:r w:rsidR="00480FB1" w:rsidRPr="0056436C">
        <w:rPr>
          <w:b/>
          <w:bCs/>
          <w:sz w:val="22"/>
          <w:szCs w:val="22"/>
          <w:lang w:val="sr-Latn-ME"/>
        </w:rPr>
        <w:tab/>
      </w:r>
      <w:r w:rsidRPr="0056436C">
        <w:rPr>
          <w:b/>
          <w:bCs/>
          <w:sz w:val="22"/>
          <w:szCs w:val="22"/>
          <w:lang w:val="sr-Latn-ME"/>
        </w:rPr>
        <w:t>KLINIČKI PODACI</w:t>
      </w:r>
    </w:p>
    <w:p w:rsidR="00CD6F02" w:rsidRPr="0056436C" w:rsidRDefault="00CD6F02" w:rsidP="0056436C">
      <w:pPr>
        <w:tabs>
          <w:tab w:val="left" w:pos="540"/>
          <w:tab w:val="left" w:pos="569"/>
        </w:tabs>
        <w:rPr>
          <w:bCs/>
          <w:sz w:val="22"/>
          <w:szCs w:val="22"/>
          <w:lang w:val="sr-Latn-ME"/>
        </w:rPr>
      </w:pPr>
    </w:p>
    <w:p w:rsidR="00411B4B" w:rsidRPr="0056436C" w:rsidRDefault="00411B4B" w:rsidP="0056436C">
      <w:pPr>
        <w:tabs>
          <w:tab w:val="left" w:pos="540"/>
          <w:tab w:val="left" w:pos="569"/>
        </w:tabs>
        <w:rPr>
          <w:b/>
          <w:bCs/>
          <w:sz w:val="22"/>
          <w:szCs w:val="22"/>
          <w:lang w:val="sr-Latn-ME"/>
        </w:rPr>
      </w:pPr>
      <w:r w:rsidRPr="0056436C">
        <w:rPr>
          <w:b/>
          <w:bCs/>
          <w:sz w:val="22"/>
          <w:szCs w:val="22"/>
          <w:lang w:val="sr-Latn-ME"/>
        </w:rPr>
        <w:t xml:space="preserve">4.1. </w:t>
      </w:r>
      <w:r w:rsidR="00480FB1" w:rsidRPr="0056436C">
        <w:rPr>
          <w:b/>
          <w:bCs/>
          <w:sz w:val="22"/>
          <w:szCs w:val="22"/>
          <w:lang w:val="sr-Latn-ME"/>
        </w:rPr>
        <w:tab/>
      </w:r>
      <w:r w:rsidRPr="0056436C">
        <w:rPr>
          <w:b/>
          <w:bCs/>
          <w:sz w:val="22"/>
          <w:szCs w:val="22"/>
          <w:lang w:val="sr-Latn-ME"/>
        </w:rPr>
        <w:t>Terapijske indikacije</w:t>
      </w:r>
    </w:p>
    <w:p w:rsidR="00411B4B" w:rsidRPr="0056436C" w:rsidRDefault="00411B4B" w:rsidP="0056436C">
      <w:pPr>
        <w:tabs>
          <w:tab w:val="left" w:pos="540"/>
          <w:tab w:val="left" w:pos="569"/>
        </w:tabs>
        <w:rPr>
          <w:bCs/>
          <w:sz w:val="22"/>
          <w:szCs w:val="22"/>
          <w:lang w:val="sr-Latn-ME"/>
        </w:rPr>
      </w:pPr>
    </w:p>
    <w:p w:rsidR="001D5CD7" w:rsidRPr="0056436C" w:rsidRDefault="001D5CD7" w:rsidP="0056436C">
      <w:pPr>
        <w:tabs>
          <w:tab w:val="left" w:pos="540"/>
          <w:tab w:val="left" w:pos="569"/>
        </w:tabs>
        <w:jc w:val="both"/>
        <w:rPr>
          <w:bCs/>
          <w:sz w:val="22"/>
          <w:szCs w:val="22"/>
          <w:lang w:val="sr-Latn-ME"/>
        </w:rPr>
      </w:pPr>
      <w:r w:rsidRPr="0056436C">
        <w:rPr>
          <w:bCs/>
          <w:sz w:val="22"/>
          <w:szCs w:val="22"/>
          <w:lang w:val="sr-Latn-ME"/>
        </w:rPr>
        <w:t xml:space="preserve">Lijek </w:t>
      </w:r>
      <w:r w:rsidR="003714E8" w:rsidRPr="0056436C">
        <w:rPr>
          <w:bCs/>
          <w:sz w:val="22"/>
          <w:szCs w:val="22"/>
          <w:lang w:val="sr-Latn-ME"/>
        </w:rPr>
        <w:t>Sitagliptin Teva</w:t>
      </w:r>
      <w:r w:rsidRPr="0056436C">
        <w:rPr>
          <w:bCs/>
          <w:sz w:val="22"/>
          <w:szCs w:val="22"/>
          <w:lang w:val="sr-Latn-ME"/>
        </w:rPr>
        <w:t xml:space="preserve"> je indikovan za poboljšanje kontrole glikemije kod odraslih pacijenata sa dijabetes melitusom tip 2:</w:t>
      </w:r>
    </w:p>
    <w:p w:rsidR="001D5CD7" w:rsidRPr="0056436C" w:rsidRDefault="001D5CD7" w:rsidP="0056436C">
      <w:pPr>
        <w:tabs>
          <w:tab w:val="left" w:pos="540"/>
          <w:tab w:val="left" w:pos="569"/>
        </w:tabs>
        <w:jc w:val="both"/>
        <w:rPr>
          <w:bCs/>
          <w:sz w:val="22"/>
          <w:szCs w:val="22"/>
          <w:lang w:val="sr-Latn-ME"/>
        </w:rPr>
      </w:pPr>
    </w:p>
    <w:p w:rsidR="001D5CD7" w:rsidRPr="0056436C" w:rsidRDefault="001D5CD7" w:rsidP="0056436C">
      <w:pPr>
        <w:tabs>
          <w:tab w:val="left" w:pos="540"/>
          <w:tab w:val="left" w:pos="569"/>
        </w:tabs>
        <w:jc w:val="both"/>
        <w:rPr>
          <w:bCs/>
          <w:sz w:val="22"/>
          <w:szCs w:val="22"/>
          <w:lang w:val="sr-Latn-ME"/>
        </w:rPr>
      </w:pPr>
      <w:r w:rsidRPr="0056436C">
        <w:rPr>
          <w:bCs/>
          <w:sz w:val="22"/>
          <w:szCs w:val="22"/>
          <w:lang w:val="sr-Latn-ME"/>
        </w:rPr>
        <w:t>kao monoterapija:</w:t>
      </w:r>
    </w:p>
    <w:p w:rsidR="001D5CD7" w:rsidRPr="0056436C" w:rsidRDefault="001D5CD7" w:rsidP="0056436C">
      <w:pPr>
        <w:tabs>
          <w:tab w:val="left" w:pos="540"/>
          <w:tab w:val="left" w:pos="569"/>
        </w:tabs>
        <w:jc w:val="both"/>
        <w:rPr>
          <w:bCs/>
          <w:sz w:val="22"/>
          <w:szCs w:val="22"/>
          <w:lang w:val="sr-Latn-ME"/>
        </w:rPr>
      </w:pPr>
    </w:p>
    <w:p w:rsidR="001D5CD7" w:rsidRPr="0056436C" w:rsidRDefault="001D5CD7" w:rsidP="0056436C">
      <w:pPr>
        <w:numPr>
          <w:ilvl w:val="2"/>
          <w:numId w:val="12"/>
        </w:numPr>
        <w:tabs>
          <w:tab w:val="left" w:pos="540"/>
          <w:tab w:val="left" w:pos="569"/>
        </w:tabs>
        <w:jc w:val="both"/>
        <w:rPr>
          <w:bCs/>
          <w:sz w:val="22"/>
          <w:szCs w:val="22"/>
          <w:lang w:val="sr-Latn-ME"/>
        </w:rPr>
      </w:pPr>
      <w:r w:rsidRPr="0056436C">
        <w:rPr>
          <w:bCs/>
          <w:sz w:val="22"/>
          <w:szCs w:val="22"/>
          <w:lang w:val="sr-Latn-ME"/>
        </w:rPr>
        <w:t>kod pacijenata kod kojih adekvatna kontrola glikemije ne može da se postigne primjenom samo dijete i fizičkih vježbi, a kod kojih je primjena metformina neodgovarajuća zbog kontraindikacija ili nepodnošenja lijeka.</w:t>
      </w:r>
    </w:p>
    <w:p w:rsidR="001D5CD7" w:rsidRPr="0056436C" w:rsidRDefault="001D5CD7" w:rsidP="0056436C">
      <w:pPr>
        <w:tabs>
          <w:tab w:val="left" w:pos="540"/>
          <w:tab w:val="left" w:pos="569"/>
        </w:tabs>
        <w:jc w:val="both"/>
        <w:rPr>
          <w:bCs/>
          <w:sz w:val="22"/>
          <w:szCs w:val="22"/>
          <w:lang w:val="sr-Latn-ME"/>
        </w:rPr>
      </w:pPr>
    </w:p>
    <w:p w:rsidR="001D5CD7" w:rsidRPr="0056436C" w:rsidRDefault="001D5CD7" w:rsidP="0056436C">
      <w:pPr>
        <w:tabs>
          <w:tab w:val="left" w:pos="540"/>
          <w:tab w:val="left" w:pos="569"/>
        </w:tabs>
        <w:jc w:val="both"/>
        <w:rPr>
          <w:bCs/>
          <w:sz w:val="22"/>
          <w:szCs w:val="22"/>
          <w:lang w:val="sr-Latn-ME"/>
        </w:rPr>
      </w:pPr>
      <w:r w:rsidRPr="0056436C">
        <w:rPr>
          <w:bCs/>
          <w:sz w:val="22"/>
          <w:szCs w:val="22"/>
          <w:lang w:val="sr-Latn-ME"/>
        </w:rPr>
        <w:t>kao dvostruka oralna terapija u kombinaciji sa:</w:t>
      </w:r>
    </w:p>
    <w:p w:rsidR="001D5CD7" w:rsidRPr="0056436C" w:rsidRDefault="001D5CD7" w:rsidP="0056436C">
      <w:pPr>
        <w:tabs>
          <w:tab w:val="left" w:pos="540"/>
          <w:tab w:val="left" w:pos="569"/>
        </w:tabs>
        <w:jc w:val="both"/>
        <w:rPr>
          <w:bCs/>
          <w:sz w:val="22"/>
          <w:szCs w:val="22"/>
          <w:lang w:val="sr-Latn-ME"/>
        </w:rPr>
      </w:pPr>
    </w:p>
    <w:p w:rsidR="001D5CD7" w:rsidRPr="0056436C" w:rsidRDefault="001D5CD7" w:rsidP="0056436C">
      <w:pPr>
        <w:numPr>
          <w:ilvl w:val="2"/>
          <w:numId w:val="12"/>
        </w:numPr>
        <w:tabs>
          <w:tab w:val="left" w:pos="540"/>
          <w:tab w:val="left" w:pos="569"/>
        </w:tabs>
        <w:jc w:val="both"/>
        <w:rPr>
          <w:bCs/>
          <w:sz w:val="22"/>
          <w:szCs w:val="22"/>
          <w:lang w:val="sr-Latn-ME"/>
        </w:rPr>
      </w:pPr>
      <w:r w:rsidRPr="0056436C">
        <w:rPr>
          <w:bCs/>
          <w:sz w:val="22"/>
          <w:szCs w:val="22"/>
          <w:lang w:val="sr-Latn-ME"/>
        </w:rPr>
        <w:lastRenderedPageBreak/>
        <w:t>metforminom, kada adekvatna kontrola glikemije ne može da se postigne primjenom samo dijete i fizičkih vježbi i metformina.</w:t>
      </w:r>
    </w:p>
    <w:p w:rsidR="001D5CD7" w:rsidRPr="0056436C" w:rsidRDefault="001D5CD7" w:rsidP="0056436C">
      <w:pPr>
        <w:tabs>
          <w:tab w:val="left" w:pos="540"/>
          <w:tab w:val="left" w:pos="569"/>
        </w:tabs>
        <w:jc w:val="both"/>
        <w:rPr>
          <w:b/>
          <w:bCs/>
          <w:sz w:val="22"/>
          <w:szCs w:val="22"/>
          <w:lang w:val="sr-Latn-ME"/>
        </w:rPr>
      </w:pPr>
    </w:p>
    <w:p w:rsidR="001D5CD7" w:rsidRPr="0056436C" w:rsidRDefault="001D5CD7" w:rsidP="0056436C">
      <w:pPr>
        <w:numPr>
          <w:ilvl w:val="2"/>
          <w:numId w:val="12"/>
        </w:numPr>
        <w:tabs>
          <w:tab w:val="left" w:pos="540"/>
          <w:tab w:val="left" w:pos="569"/>
        </w:tabs>
        <w:jc w:val="both"/>
        <w:rPr>
          <w:bCs/>
          <w:sz w:val="22"/>
          <w:szCs w:val="22"/>
          <w:lang w:val="sr-Latn-ME"/>
        </w:rPr>
      </w:pPr>
      <w:r w:rsidRPr="0056436C">
        <w:rPr>
          <w:bCs/>
          <w:sz w:val="22"/>
          <w:szCs w:val="22"/>
          <w:lang w:val="sr-Latn-ME"/>
        </w:rPr>
        <w:t>sulfonilureom, kada adekvatna kontrola glikemije ne može da se postigne primjenom samo dijete i fizičkih vježbi i maksimalne podnošljive doze sulfoniluree, i kada je primjena metformina neodgovarajuća zbog kontraindikacija ili nepodnošenja lijeka.</w:t>
      </w:r>
    </w:p>
    <w:p w:rsidR="001D5CD7" w:rsidRPr="0056436C" w:rsidRDefault="001D5CD7" w:rsidP="0056436C">
      <w:pPr>
        <w:tabs>
          <w:tab w:val="left" w:pos="540"/>
          <w:tab w:val="left" w:pos="569"/>
        </w:tabs>
        <w:jc w:val="both"/>
        <w:rPr>
          <w:bCs/>
          <w:sz w:val="22"/>
          <w:szCs w:val="22"/>
          <w:lang w:val="sr-Latn-ME"/>
        </w:rPr>
      </w:pPr>
    </w:p>
    <w:p w:rsidR="001D5CD7" w:rsidRPr="0056436C" w:rsidRDefault="001D5CD7" w:rsidP="0056436C">
      <w:pPr>
        <w:numPr>
          <w:ilvl w:val="2"/>
          <w:numId w:val="12"/>
        </w:numPr>
        <w:tabs>
          <w:tab w:val="left" w:pos="540"/>
          <w:tab w:val="left" w:pos="569"/>
        </w:tabs>
        <w:jc w:val="both"/>
        <w:rPr>
          <w:bCs/>
          <w:sz w:val="22"/>
          <w:szCs w:val="22"/>
          <w:lang w:val="sr-Latn-ME"/>
        </w:rPr>
      </w:pPr>
      <w:r w:rsidRPr="0056436C">
        <w:rPr>
          <w:bCs/>
          <w:sz w:val="22"/>
          <w:szCs w:val="22"/>
          <w:lang w:val="sr-Latn-ME"/>
        </w:rPr>
        <w:t>agonistima peroksizom proliferator-aktiviranih γ receptora (</w:t>
      </w:r>
      <w:r w:rsidR="00E45AB6" w:rsidRPr="0056436C">
        <w:rPr>
          <w:bCs/>
          <w:sz w:val="22"/>
          <w:szCs w:val="22"/>
          <w:lang w:val="sr-Latn-ME"/>
        </w:rPr>
        <w:t xml:space="preserve">engl. </w:t>
      </w:r>
      <w:r w:rsidR="00E45AB6" w:rsidRPr="0056436C">
        <w:rPr>
          <w:bCs/>
          <w:i/>
          <w:sz w:val="22"/>
          <w:szCs w:val="22"/>
          <w:lang w:val="sr-Latn-ME"/>
        </w:rPr>
        <w:t>peroxisome proliferator-</w:t>
      </w:r>
      <w:r w:rsidR="00E45AB6" w:rsidRPr="0056436C">
        <w:rPr>
          <w:bCs/>
          <w:i/>
          <w:sz w:val="22"/>
          <w:szCs w:val="22"/>
          <w:lang w:val="sr-Latn-ME"/>
        </w:rPr>
        <w:br/>
        <w:t>activated receptor gamma</w:t>
      </w:r>
      <w:r w:rsidR="00E45AB6" w:rsidRPr="0056436C">
        <w:rPr>
          <w:bCs/>
          <w:sz w:val="22"/>
          <w:szCs w:val="22"/>
          <w:lang w:val="sr-Latn-ME"/>
        </w:rPr>
        <w:t xml:space="preserve">, </w:t>
      </w:r>
      <w:r w:rsidRPr="0056436C">
        <w:rPr>
          <w:bCs/>
          <w:sz w:val="22"/>
          <w:szCs w:val="22"/>
          <w:lang w:val="sr-Latn-ME"/>
        </w:rPr>
        <w:t>PPARγ) (na primjer: tiazolidindion), kada je primjena PPARγ agonista odgovarajuća i kada adekvatna kontrola glikemije ne može da se postigne primjenom samo dijete i fizičkih vježbi i PPARγ agonista.</w:t>
      </w:r>
    </w:p>
    <w:p w:rsidR="001D5CD7" w:rsidRPr="0056436C" w:rsidRDefault="001D5CD7" w:rsidP="0056436C">
      <w:pPr>
        <w:tabs>
          <w:tab w:val="left" w:pos="540"/>
          <w:tab w:val="left" w:pos="569"/>
        </w:tabs>
        <w:jc w:val="both"/>
        <w:rPr>
          <w:bCs/>
          <w:sz w:val="22"/>
          <w:szCs w:val="22"/>
          <w:lang w:val="sr-Latn-ME"/>
        </w:rPr>
      </w:pPr>
    </w:p>
    <w:p w:rsidR="001D5CD7" w:rsidRPr="0056436C" w:rsidRDefault="001D5CD7" w:rsidP="0056436C">
      <w:pPr>
        <w:tabs>
          <w:tab w:val="left" w:pos="540"/>
          <w:tab w:val="left" w:pos="569"/>
        </w:tabs>
        <w:jc w:val="both"/>
        <w:rPr>
          <w:bCs/>
          <w:sz w:val="22"/>
          <w:szCs w:val="22"/>
          <w:lang w:val="sr-Latn-ME"/>
        </w:rPr>
      </w:pPr>
      <w:r w:rsidRPr="0056436C">
        <w:rPr>
          <w:bCs/>
          <w:sz w:val="22"/>
          <w:szCs w:val="22"/>
          <w:lang w:val="sr-Latn-ME"/>
        </w:rPr>
        <w:t>kao trostruka oralna terapija u kombinaciji sa:</w:t>
      </w:r>
    </w:p>
    <w:p w:rsidR="001D5CD7" w:rsidRPr="0056436C" w:rsidRDefault="001D5CD7" w:rsidP="0056436C">
      <w:pPr>
        <w:tabs>
          <w:tab w:val="left" w:pos="540"/>
          <w:tab w:val="left" w:pos="569"/>
        </w:tabs>
        <w:jc w:val="both"/>
        <w:rPr>
          <w:bCs/>
          <w:sz w:val="22"/>
          <w:szCs w:val="22"/>
          <w:lang w:val="sr-Latn-ME"/>
        </w:rPr>
      </w:pPr>
    </w:p>
    <w:p w:rsidR="001D5CD7" w:rsidRPr="0056436C" w:rsidRDefault="001D5CD7" w:rsidP="0056436C">
      <w:pPr>
        <w:numPr>
          <w:ilvl w:val="2"/>
          <w:numId w:val="12"/>
        </w:numPr>
        <w:tabs>
          <w:tab w:val="left" w:pos="540"/>
          <w:tab w:val="left" w:pos="569"/>
        </w:tabs>
        <w:jc w:val="both"/>
        <w:rPr>
          <w:bCs/>
          <w:sz w:val="22"/>
          <w:szCs w:val="22"/>
          <w:lang w:val="sr-Latn-ME"/>
        </w:rPr>
      </w:pPr>
      <w:r w:rsidRPr="0056436C">
        <w:rPr>
          <w:bCs/>
          <w:sz w:val="22"/>
          <w:szCs w:val="22"/>
          <w:lang w:val="sr-Latn-ME"/>
        </w:rPr>
        <w:t>sulfonilureom i metforminom, kada adekvatna kontrola glikemije ne može da se postigne primjenom samo dijete i fizičkih vježbi i dvostruke terapije ovim ljekovima.</w:t>
      </w:r>
    </w:p>
    <w:p w:rsidR="001D5CD7" w:rsidRPr="0056436C" w:rsidRDefault="001D5CD7" w:rsidP="0056436C">
      <w:pPr>
        <w:tabs>
          <w:tab w:val="left" w:pos="540"/>
          <w:tab w:val="left" w:pos="569"/>
        </w:tabs>
        <w:jc w:val="both"/>
        <w:rPr>
          <w:b/>
          <w:bCs/>
          <w:sz w:val="22"/>
          <w:szCs w:val="22"/>
          <w:lang w:val="sr-Latn-ME"/>
        </w:rPr>
      </w:pPr>
    </w:p>
    <w:p w:rsidR="001D5CD7" w:rsidRPr="0056436C" w:rsidRDefault="001D5CD7" w:rsidP="0056436C">
      <w:pPr>
        <w:numPr>
          <w:ilvl w:val="2"/>
          <w:numId w:val="12"/>
        </w:numPr>
        <w:tabs>
          <w:tab w:val="left" w:pos="540"/>
          <w:tab w:val="left" w:pos="569"/>
        </w:tabs>
        <w:jc w:val="both"/>
        <w:rPr>
          <w:bCs/>
          <w:sz w:val="22"/>
          <w:szCs w:val="22"/>
          <w:lang w:val="sr-Latn-ME"/>
        </w:rPr>
      </w:pPr>
      <w:r w:rsidRPr="0056436C">
        <w:rPr>
          <w:bCs/>
          <w:sz w:val="22"/>
          <w:szCs w:val="22"/>
          <w:lang w:val="sr-Latn-ME"/>
        </w:rPr>
        <w:t>PPARγ agonistom i metforminom, kada je primjena agonista PPARγ odgovarajuća i kada adekvatna kontrola glikemije ne može da se postigne primjenom samo dijete i fizičkih vježbi i dvostruk</w:t>
      </w:r>
      <w:r w:rsidR="00E45AB6" w:rsidRPr="0056436C">
        <w:rPr>
          <w:bCs/>
          <w:sz w:val="22"/>
          <w:szCs w:val="22"/>
          <w:lang w:val="sr-Latn-ME"/>
        </w:rPr>
        <w:t>e</w:t>
      </w:r>
      <w:r w:rsidRPr="0056436C">
        <w:rPr>
          <w:bCs/>
          <w:sz w:val="22"/>
          <w:szCs w:val="22"/>
          <w:lang w:val="sr-Latn-ME"/>
        </w:rPr>
        <w:t xml:space="preserve"> terapij</w:t>
      </w:r>
      <w:r w:rsidR="00E45AB6" w:rsidRPr="0056436C">
        <w:rPr>
          <w:bCs/>
          <w:sz w:val="22"/>
          <w:szCs w:val="22"/>
          <w:lang w:val="sr-Latn-ME"/>
        </w:rPr>
        <w:t>e</w:t>
      </w:r>
      <w:r w:rsidRPr="0056436C">
        <w:rPr>
          <w:bCs/>
          <w:sz w:val="22"/>
          <w:szCs w:val="22"/>
          <w:lang w:val="sr-Latn-ME"/>
        </w:rPr>
        <w:t xml:space="preserve"> ov</w:t>
      </w:r>
      <w:r w:rsidR="00E45AB6" w:rsidRPr="0056436C">
        <w:rPr>
          <w:bCs/>
          <w:sz w:val="22"/>
          <w:szCs w:val="22"/>
          <w:lang w:val="sr-Latn-ME"/>
        </w:rPr>
        <w:t>im</w:t>
      </w:r>
      <w:r w:rsidRPr="0056436C">
        <w:rPr>
          <w:bCs/>
          <w:sz w:val="22"/>
          <w:szCs w:val="22"/>
          <w:lang w:val="sr-Latn-ME"/>
        </w:rPr>
        <w:t xml:space="preserve"> ljek</w:t>
      </w:r>
      <w:r w:rsidR="00E45AB6" w:rsidRPr="0056436C">
        <w:rPr>
          <w:bCs/>
          <w:sz w:val="22"/>
          <w:szCs w:val="22"/>
          <w:lang w:val="sr-Latn-ME"/>
        </w:rPr>
        <w:t>ovim</w:t>
      </w:r>
      <w:r w:rsidRPr="0056436C">
        <w:rPr>
          <w:bCs/>
          <w:sz w:val="22"/>
          <w:szCs w:val="22"/>
          <w:lang w:val="sr-Latn-ME"/>
        </w:rPr>
        <w:t>a.</w:t>
      </w:r>
    </w:p>
    <w:p w:rsidR="001D5CD7" w:rsidRPr="0056436C" w:rsidRDefault="001D5CD7" w:rsidP="0056436C">
      <w:pPr>
        <w:tabs>
          <w:tab w:val="left" w:pos="540"/>
          <w:tab w:val="left" w:pos="569"/>
        </w:tabs>
        <w:jc w:val="both"/>
        <w:rPr>
          <w:bCs/>
          <w:sz w:val="22"/>
          <w:szCs w:val="22"/>
          <w:lang w:val="sr-Latn-ME"/>
        </w:rPr>
      </w:pPr>
    </w:p>
    <w:p w:rsidR="001D5CD7" w:rsidRPr="0056436C" w:rsidRDefault="001D5CD7" w:rsidP="0056436C">
      <w:pPr>
        <w:tabs>
          <w:tab w:val="left" w:pos="540"/>
          <w:tab w:val="left" w:pos="569"/>
        </w:tabs>
        <w:jc w:val="both"/>
        <w:rPr>
          <w:bCs/>
          <w:sz w:val="22"/>
          <w:szCs w:val="22"/>
          <w:lang w:val="sr-Latn-ME"/>
        </w:rPr>
      </w:pPr>
      <w:r w:rsidRPr="0056436C">
        <w:rPr>
          <w:bCs/>
          <w:sz w:val="22"/>
          <w:szCs w:val="22"/>
          <w:lang w:val="sr-Latn-ME"/>
        </w:rPr>
        <w:t xml:space="preserve">Lijek </w:t>
      </w:r>
      <w:r w:rsidR="003714E8" w:rsidRPr="0056436C">
        <w:rPr>
          <w:bCs/>
          <w:sz w:val="22"/>
          <w:szCs w:val="22"/>
          <w:lang w:val="sr-Latn-ME"/>
        </w:rPr>
        <w:t>Sitagliptin Teva</w:t>
      </w:r>
      <w:r w:rsidRPr="0056436C">
        <w:rPr>
          <w:bCs/>
          <w:sz w:val="22"/>
          <w:szCs w:val="22"/>
          <w:lang w:val="sr-Latn-ME"/>
        </w:rPr>
        <w:t xml:space="preserve"> je takođe indikovan kao dodatna terapija insulinu (sa </w:t>
      </w:r>
      <w:r w:rsidR="00E45AB6" w:rsidRPr="0056436C">
        <w:rPr>
          <w:bCs/>
          <w:sz w:val="22"/>
          <w:szCs w:val="22"/>
          <w:lang w:val="sr-Latn-ME"/>
        </w:rPr>
        <w:t xml:space="preserve">metforminom </w:t>
      </w:r>
      <w:r w:rsidRPr="0056436C">
        <w:rPr>
          <w:bCs/>
          <w:sz w:val="22"/>
          <w:szCs w:val="22"/>
          <w:lang w:val="sr-Latn-ME"/>
        </w:rPr>
        <w:t>ili bez</w:t>
      </w:r>
      <w:r w:rsidR="00E45AB6" w:rsidRPr="0056436C">
        <w:rPr>
          <w:bCs/>
          <w:sz w:val="22"/>
          <w:szCs w:val="22"/>
          <w:lang w:val="sr-Latn-ME"/>
        </w:rPr>
        <w:t xml:space="preserve"> njega</w:t>
      </w:r>
      <w:r w:rsidRPr="0056436C">
        <w:rPr>
          <w:bCs/>
          <w:sz w:val="22"/>
          <w:szCs w:val="22"/>
          <w:lang w:val="sr-Latn-ME"/>
        </w:rPr>
        <w:t>) kada adekvatna kontrola glikemije ne može da se postigne primjenom samo dijete i fizičkih vježbi i stabilne doze insulina.</w:t>
      </w:r>
    </w:p>
    <w:p w:rsidR="001D5CD7" w:rsidRPr="0056436C" w:rsidRDefault="001D5CD7" w:rsidP="0056436C">
      <w:pPr>
        <w:tabs>
          <w:tab w:val="left" w:pos="540"/>
          <w:tab w:val="left" w:pos="569"/>
        </w:tabs>
        <w:rPr>
          <w:bCs/>
          <w:sz w:val="22"/>
          <w:szCs w:val="22"/>
          <w:lang w:val="sr-Latn-ME"/>
        </w:rPr>
      </w:pPr>
    </w:p>
    <w:p w:rsidR="00411B4B" w:rsidRPr="0056436C" w:rsidRDefault="00411B4B" w:rsidP="0056436C">
      <w:pPr>
        <w:tabs>
          <w:tab w:val="left" w:pos="540"/>
          <w:tab w:val="left" w:pos="569"/>
        </w:tabs>
        <w:rPr>
          <w:b/>
          <w:bCs/>
          <w:sz w:val="22"/>
          <w:szCs w:val="22"/>
          <w:lang w:val="sr-Latn-ME"/>
        </w:rPr>
      </w:pPr>
      <w:r w:rsidRPr="0056436C">
        <w:rPr>
          <w:b/>
          <w:bCs/>
          <w:sz w:val="22"/>
          <w:szCs w:val="22"/>
          <w:lang w:val="sr-Latn-ME"/>
        </w:rPr>
        <w:t xml:space="preserve">4.2. </w:t>
      </w:r>
      <w:r w:rsidR="00480FB1" w:rsidRPr="0056436C">
        <w:rPr>
          <w:b/>
          <w:bCs/>
          <w:sz w:val="22"/>
          <w:szCs w:val="22"/>
          <w:lang w:val="sr-Latn-ME"/>
        </w:rPr>
        <w:tab/>
      </w:r>
      <w:r w:rsidRPr="0056436C">
        <w:rPr>
          <w:b/>
          <w:bCs/>
          <w:sz w:val="22"/>
          <w:szCs w:val="22"/>
          <w:lang w:val="sr-Latn-ME"/>
        </w:rPr>
        <w:t>Doziranje i način primjene</w:t>
      </w:r>
    </w:p>
    <w:p w:rsidR="0072020E" w:rsidRPr="0056436C" w:rsidRDefault="0072020E" w:rsidP="0056436C">
      <w:pPr>
        <w:tabs>
          <w:tab w:val="left" w:pos="540"/>
          <w:tab w:val="left" w:pos="569"/>
        </w:tabs>
        <w:rPr>
          <w:bCs/>
          <w:sz w:val="22"/>
          <w:szCs w:val="22"/>
          <w:lang w:val="sr-Latn-ME"/>
        </w:rPr>
      </w:pPr>
    </w:p>
    <w:p w:rsidR="00452E9D" w:rsidRPr="0056436C" w:rsidRDefault="00452E9D" w:rsidP="0056436C">
      <w:pPr>
        <w:tabs>
          <w:tab w:val="left" w:pos="540"/>
          <w:tab w:val="left" w:pos="569"/>
        </w:tabs>
        <w:jc w:val="both"/>
        <w:rPr>
          <w:bCs/>
          <w:sz w:val="22"/>
          <w:szCs w:val="22"/>
          <w:u w:val="single"/>
          <w:lang w:val="sr-Latn-ME"/>
        </w:rPr>
      </w:pPr>
      <w:r w:rsidRPr="0056436C">
        <w:rPr>
          <w:bCs/>
          <w:sz w:val="22"/>
          <w:szCs w:val="22"/>
          <w:u w:val="single"/>
          <w:lang w:val="sr-Latn-ME"/>
        </w:rPr>
        <w:t>Doziranje</w:t>
      </w:r>
    </w:p>
    <w:p w:rsidR="00452E9D" w:rsidRPr="0056436C" w:rsidRDefault="00452E9D" w:rsidP="0056436C">
      <w:pPr>
        <w:tabs>
          <w:tab w:val="left" w:pos="540"/>
          <w:tab w:val="left" w:pos="569"/>
        </w:tabs>
        <w:jc w:val="both"/>
        <w:rPr>
          <w:bCs/>
          <w:sz w:val="22"/>
          <w:szCs w:val="22"/>
          <w:u w:val="single"/>
          <w:lang w:val="sr-Latn-ME"/>
        </w:rPr>
      </w:pPr>
    </w:p>
    <w:p w:rsidR="00BE6913" w:rsidRPr="0056436C" w:rsidRDefault="00BE6913" w:rsidP="0056436C">
      <w:pPr>
        <w:tabs>
          <w:tab w:val="left" w:pos="540"/>
          <w:tab w:val="left" w:pos="569"/>
        </w:tabs>
        <w:jc w:val="both"/>
        <w:rPr>
          <w:bCs/>
          <w:sz w:val="22"/>
          <w:szCs w:val="22"/>
          <w:lang w:val="sr-Latn-ME"/>
        </w:rPr>
      </w:pPr>
      <w:r w:rsidRPr="0056436C">
        <w:rPr>
          <w:bCs/>
          <w:sz w:val="22"/>
          <w:szCs w:val="22"/>
          <w:lang w:val="sr-Latn-ME"/>
        </w:rPr>
        <w:t xml:space="preserve">Doza je 100 mg sitagliptina jednom dnevno. Kada se lijek </w:t>
      </w:r>
      <w:r w:rsidR="003714E8" w:rsidRPr="0056436C">
        <w:rPr>
          <w:bCs/>
          <w:sz w:val="22"/>
          <w:szCs w:val="22"/>
          <w:lang w:val="sr-Latn-ME"/>
        </w:rPr>
        <w:t>Sitagliptin Teva</w:t>
      </w:r>
      <w:r w:rsidRPr="0056436C">
        <w:rPr>
          <w:bCs/>
          <w:sz w:val="22"/>
          <w:szCs w:val="22"/>
          <w:lang w:val="sr-Latn-ME"/>
        </w:rPr>
        <w:t xml:space="preserve"> primjenjuje u kombinaciji sa metforminom i/ili PPARγ agonistom, doza metformina i/ili PPARγ agoniste treba da ostane ista, uz istovremenu primjenu lijeka </w:t>
      </w:r>
      <w:r w:rsidR="003714E8" w:rsidRPr="0056436C">
        <w:rPr>
          <w:bCs/>
          <w:sz w:val="22"/>
          <w:szCs w:val="22"/>
          <w:lang w:val="sr-Latn-ME"/>
        </w:rPr>
        <w:t xml:space="preserve">Sitagliptin </w:t>
      </w:r>
      <w:r w:rsidR="00E45AB6" w:rsidRPr="0056436C">
        <w:rPr>
          <w:bCs/>
          <w:sz w:val="22"/>
          <w:szCs w:val="22"/>
          <w:lang w:val="sr-Latn-ME"/>
        </w:rPr>
        <w:t>T</w:t>
      </w:r>
      <w:r w:rsidR="003714E8" w:rsidRPr="0056436C">
        <w:rPr>
          <w:bCs/>
          <w:sz w:val="22"/>
          <w:szCs w:val="22"/>
          <w:lang w:val="sr-Latn-ME"/>
        </w:rPr>
        <w:t>eva</w:t>
      </w:r>
      <w:r w:rsidRPr="0056436C">
        <w:rPr>
          <w:bCs/>
          <w:sz w:val="22"/>
          <w:szCs w:val="22"/>
          <w:lang w:val="sr-Latn-ME"/>
        </w:rPr>
        <w:t>.</w:t>
      </w:r>
    </w:p>
    <w:p w:rsidR="00BE6913" w:rsidRPr="0056436C" w:rsidRDefault="00BE6913" w:rsidP="0056436C">
      <w:pPr>
        <w:tabs>
          <w:tab w:val="left" w:pos="540"/>
          <w:tab w:val="left" w:pos="569"/>
        </w:tabs>
        <w:jc w:val="both"/>
        <w:rPr>
          <w:bCs/>
          <w:sz w:val="22"/>
          <w:szCs w:val="22"/>
          <w:lang w:val="sr-Latn-ME"/>
        </w:rPr>
      </w:pPr>
    </w:p>
    <w:p w:rsidR="00BE6913" w:rsidRPr="0056436C" w:rsidRDefault="00BE6913" w:rsidP="0056436C">
      <w:pPr>
        <w:tabs>
          <w:tab w:val="left" w:pos="540"/>
          <w:tab w:val="left" w:pos="569"/>
        </w:tabs>
        <w:jc w:val="both"/>
        <w:rPr>
          <w:bCs/>
          <w:sz w:val="22"/>
          <w:szCs w:val="22"/>
          <w:lang w:val="sr-Latn-ME"/>
        </w:rPr>
      </w:pPr>
      <w:r w:rsidRPr="0056436C">
        <w:rPr>
          <w:bCs/>
          <w:sz w:val="22"/>
          <w:szCs w:val="22"/>
          <w:lang w:val="sr-Latn-ME"/>
        </w:rPr>
        <w:t xml:space="preserve">Kada se lijek </w:t>
      </w:r>
      <w:r w:rsidR="003714E8" w:rsidRPr="0056436C">
        <w:rPr>
          <w:bCs/>
          <w:sz w:val="22"/>
          <w:szCs w:val="22"/>
          <w:lang w:val="sr-Latn-ME"/>
        </w:rPr>
        <w:t>Sitagliptin Teva</w:t>
      </w:r>
      <w:r w:rsidRPr="0056436C">
        <w:rPr>
          <w:bCs/>
          <w:sz w:val="22"/>
          <w:szCs w:val="22"/>
          <w:lang w:val="sr-Latn-ME"/>
        </w:rPr>
        <w:t xml:space="preserve"> daje u kombinaciji sa sulfonilureom ili insulinom, trebalo bi razmotriti primjenu niže doze sulfoniluree ili insulina da bi se smanjio rizik za nastanak hipoglikemije (vidjeti dio 4.4).</w:t>
      </w:r>
    </w:p>
    <w:p w:rsidR="00BE6913" w:rsidRPr="0056436C" w:rsidRDefault="00BE6913" w:rsidP="0056436C">
      <w:pPr>
        <w:tabs>
          <w:tab w:val="left" w:pos="540"/>
          <w:tab w:val="left" w:pos="569"/>
        </w:tabs>
        <w:jc w:val="both"/>
        <w:rPr>
          <w:bCs/>
          <w:sz w:val="22"/>
          <w:szCs w:val="22"/>
          <w:lang w:val="sr-Latn-ME"/>
        </w:rPr>
      </w:pPr>
    </w:p>
    <w:p w:rsidR="00BE6913" w:rsidRPr="0056436C" w:rsidRDefault="00BE6913" w:rsidP="0056436C">
      <w:pPr>
        <w:tabs>
          <w:tab w:val="left" w:pos="540"/>
          <w:tab w:val="left" w:pos="569"/>
        </w:tabs>
        <w:jc w:val="both"/>
        <w:rPr>
          <w:bCs/>
          <w:sz w:val="22"/>
          <w:szCs w:val="22"/>
          <w:lang w:val="sr-Latn-ME"/>
        </w:rPr>
      </w:pPr>
      <w:r w:rsidRPr="0056436C">
        <w:rPr>
          <w:bCs/>
          <w:sz w:val="22"/>
          <w:szCs w:val="22"/>
          <w:lang w:val="sr-Latn-ME"/>
        </w:rPr>
        <w:t xml:space="preserve">Ako pacijent propusti dozu lijeka </w:t>
      </w:r>
      <w:r w:rsidR="003714E8" w:rsidRPr="0056436C">
        <w:rPr>
          <w:bCs/>
          <w:sz w:val="22"/>
          <w:szCs w:val="22"/>
          <w:lang w:val="sr-Latn-ME"/>
        </w:rPr>
        <w:t>Sitagliptin Teva</w:t>
      </w:r>
      <w:r w:rsidRPr="0056436C">
        <w:rPr>
          <w:bCs/>
          <w:sz w:val="22"/>
          <w:szCs w:val="22"/>
          <w:lang w:val="sr-Latn-ME"/>
        </w:rPr>
        <w:t>, treba da je uzme čim se sjeti. U jednom istom danu ne smije da se uzima dvostruka doza lijeka.</w:t>
      </w:r>
    </w:p>
    <w:p w:rsidR="00BE6913" w:rsidRPr="0056436C" w:rsidRDefault="00BE6913" w:rsidP="0056436C">
      <w:pPr>
        <w:tabs>
          <w:tab w:val="left" w:pos="540"/>
          <w:tab w:val="left" w:pos="569"/>
        </w:tabs>
        <w:jc w:val="both"/>
        <w:rPr>
          <w:bCs/>
          <w:sz w:val="22"/>
          <w:szCs w:val="22"/>
          <w:lang w:val="sr-Latn-ME"/>
        </w:rPr>
      </w:pPr>
    </w:p>
    <w:p w:rsidR="00BE6913" w:rsidRPr="0056436C" w:rsidRDefault="00BE6913" w:rsidP="0056436C">
      <w:pPr>
        <w:tabs>
          <w:tab w:val="left" w:pos="540"/>
          <w:tab w:val="left" w:pos="569"/>
        </w:tabs>
        <w:jc w:val="both"/>
        <w:rPr>
          <w:b/>
          <w:bCs/>
          <w:sz w:val="22"/>
          <w:szCs w:val="22"/>
          <w:lang w:val="sr-Latn-ME"/>
        </w:rPr>
      </w:pPr>
      <w:r w:rsidRPr="0056436C">
        <w:rPr>
          <w:b/>
          <w:bCs/>
          <w:sz w:val="22"/>
          <w:szCs w:val="22"/>
          <w:lang w:val="sr-Latn-ME"/>
        </w:rPr>
        <w:t>Posebne populacije</w:t>
      </w:r>
    </w:p>
    <w:p w:rsidR="00BE6913" w:rsidRPr="0056436C" w:rsidRDefault="00BE6913" w:rsidP="0056436C">
      <w:pPr>
        <w:tabs>
          <w:tab w:val="left" w:pos="540"/>
          <w:tab w:val="left" w:pos="569"/>
        </w:tabs>
        <w:jc w:val="both"/>
        <w:rPr>
          <w:bCs/>
          <w:sz w:val="22"/>
          <w:szCs w:val="22"/>
          <w:lang w:val="sr-Latn-ME"/>
        </w:rPr>
      </w:pPr>
    </w:p>
    <w:p w:rsidR="00BE6913" w:rsidRPr="0056436C" w:rsidRDefault="00BE6913" w:rsidP="0056436C">
      <w:pPr>
        <w:tabs>
          <w:tab w:val="left" w:pos="540"/>
          <w:tab w:val="left" w:pos="569"/>
        </w:tabs>
        <w:jc w:val="both"/>
        <w:rPr>
          <w:bCs/>
          <w:i/>
          <w:sz w:val="22"/>
          <w:szCs w:val="22"/>
          <w:lang w:val="sr-Latn-ME"/>
        </w:rPr>
      </w:pPr>
      <w:r w:rsidRPr="0056436C">
        <w:rPr>
          <w:bCs/>
          <w:i/>
          <w:sz w:val="22"/>
          <w:szCs w:val="22"/>
          <w:lang w:val="sr-Latn-ME"/>
        </w:rPr>
        <w:t>Pacijenti sa oštećenjem funkcije bubrega</w:t>
      </w:r>
    </w:p>
    <w:p w:rsidR="00BE6913" w:rsidRPr="0056436C" w:rsidRDefault="00BE6913" w:rsidP="0056436C">
      <w:pPr>
        <w:tabs>
          <w:tab w:val="left" w:pos="540"/>
          <w:tab w:val="left" w:pos="569"/>
        </w:tabs>
        <w:jc w:val="both"/>
        <w:rPr>
          <w:bCs/>
          <w:sz w:val="22"/>
          <w:szCs w:val="22"/>
          <w:lang w:val="sr-Latn-ME"/>
        </w:rPr>
      </w:pPr>
      <w:r w:rsidRPr="0056436C">
        <w:rPr>
          <w:bCs/>
          <w:sz w:val="22"/>
          <w:szCs w:val="22"/>
          <w:lang w:val="sr-Latn-ME"/>
        </w:rPr>
        <w:t>Prilikom razmatranja primjene sitagliptina u kombinaciji sa nekim drugim antidijabetikom, potrebno je da se provjere uslovi za primjenu ovih ljekova kod pacijenata sa oštećenjem funkcije bubrega.</w:t>
      </w:r>
    </w:p>
    <w:p w:rsidR="00BE6913" w:rsidRPr="0056436C" w:rsidRDefault="00BE6913" w:rsidP="0056436C">
      <w:pPr>
        <w:tabs>
          <w:tab w:val="left" w:pos="540"/>
          <w:tab w:val="left" w:pos="569"/>
        </w:tabs>
        <w:jc w:val="both"/>
        <w:rPr>
          <w:bCs/>
          <w:sz w:val="22"/>
          <w:szCs w:val="22"/>
          <w:lang w:val="sr-Latn-ME"/>
        </w:rPr>
      </w:pPr>
    </w:p>
    <w:p w:rsidR="00BE6913" w:rsidRPr="0056436C" w:rsidRDefault="00BE6913" w:rsidP="0056436C">
      <w:pPr>
        <w:tabs>
          <w:tab w:val="left" w:pos="540"/>
          <w:tab w:val="left" w:pos="569"/>
        </w:tabs>
        <w:jc w:val="both"/>
        <w:rPr>
          <w:bCs/>
          <w:sz w:val="22"/>
          <w:szCs w:val="22"/>
          <w:lang w:val="sr-Latn-ME"/>
        </w:rPr>
      </w:pPr>
      <w:r w:rsidRPr="0056436C">
        <w:rPr>
          <w:bCs/>
          <w:sz w:val="22"/>
          <w:szCs w:val="22"/>
          <w:lang w:val="sr-Latn-ME"/>
        </w:rPr>
        <w:t>Kod pacijenata sa blagim oštećenjem funkcije bubrega (brzina glomerularne filtracije [GFR] ≥</w:t>
      </w:r>
      <w:r w:rsidR="00E45AB6" w:rsidRPr="0056436C">
        <w:rPr>
          <w:bCs/>
          <w:sz w:val="22"/>
          <w:szCs w:val="22"/>
          <w:lang w:val="sr-Latn-ME"/>
        </w:rPr>
        <w:t xml:space="preserve"> </w:t>
      </w:r>
      <w:r w:rsidRPr="0056436C">
        <w:rPr>
          <w:bCs/>
          <w:sz w:val="22"/>
          <w:szCs w:val="22"/>
          <w:lang w:val="sr-Latn-ME"/>
        </w:rPr>
        <w:t>60 do &lt;</w:t>
      </w:r>
      <w:r w:rsidR="00E45AB6" w:rsidRPr="0056436C">
        <w:rPr>
          <w:bCs/>
          <w:sz w:val="22"/>
          <w:szCs w:val="22"/>
          <w:lang w:val="sr-Latn-ME"/>
        </w:rPr>
        <w:t xml:space="preserve"> </w:t>
      </w:r>
      <w:r w:rsidRPr="0056436C">
        <w:rPr>
          <w:bCs/>
          <w:sz w:val="22"/>
          <w:szCs w:val="22"/>
          <w:lang w:val="sr-Latn-ME"/>
        </w:rPr>
        <w:t xml:space="preserve">90 </w:t>
      </w:r>
      <w:r w:rsidR="00F725BA" w:rsidRPr="0056436C">
        <w:rPr>
          <w:bCs/>
          <w:sz w:val="22"/>
          <w:szCs w:val="22"/>
          <w:lang w:val="sr-Latn-ME"/>
        </w:rPr>
        <w:t>ml</w:t>
      </w:r>
      <w:r w:rsidRPr="0056436C">
        <w:rPr>
          <w:bCs/>
          <w:sz w:val="22"/>
          <w:szCs w:val="22"/>
          <w:lang w:val="sr-Latn-ME"/>
        </w:rPr>
        <w:t>/min) nije potrebno prilagođavati dozu.</w:t>
      </w:r>
    </w:p>
    <w:p w:rsidR="00BE6913" w:rsidRPr="0056436C" w:rsidRDefault="00BE6913" w:rsidP="0056436C">
      <w:pPr>
        <w:tabs>
          <w:tab w:val="left" w:pos="540"/>
          <w:tab w:val="left" w:pos="569"/>
        </w:tabs>
        <w:jc w:val="both"/>
        <w:rPr>
          <w:bCs/>
          <w:sz w:val="22"/>
          <w:szCs w:val="22"/>
          <w:lang w:val="sr-Latn-ME"/>
        </w:rPr>
      </w:pPr>
    </w:p>
    <w:p w:rsidR="00BE6913" w:rsidRPr="0056436C" w:rsidRDefault="00BE6913" w:rsidP="0056436C">
      <w:pPr>
        <w:tabs>
          <w:tab w:val="left" w:pos="540"/>
          <w:tab w:val="left" w:pos="569"/>
        </w:tabs>
        <w:jc w:val="both"/>
        <w:rPr>
          <w:bCs/>
          <w:sz w:val="22"/>
          <w:szCs w:val="22"/>
          <w:lang w:val="sr-Latn-ME"/>
        </w:rPr>
      </w:pPr>
      <w:r w:rsidRPr="0056436C">
        <w:rPr>
          <w:bCs/>
          <w:sz w:val="22"/>
          <w:szCs w:val="22"/>
          <w:lang w:val="sr-Latn-ME"/>
        </w:rPr>
        <w:t xml:space="preserve">Kod pacijenata sa umjerenim oštećenjem funkcije bubrega (GFR ≥ 45 do &lt; 60 </w:t>
      </w:r>
      <w:r w:rsidR="00F725BA" w:rsidRPr="0056436C">
        <w:rPr>
          <w:bCs/>
          <w:sz w:val="22"/>
          <w:szCs w:val="22"/>
          <w:lang w:val="sr-Latn-ME"/>
        </w:rPr>
        <w:t>ml</w:t>
      </w:r>
      <w:r w:rsidRPr="0056436C">
        <w:rPr>
          <w:bCs/>
          <w:sz w:val="22"/>
          <w:szCs w:val="22"/>
          <w:lang w:val="sr-Latn-ME"/>
        </w:rPr>
        <w:t>/min) nije potrebno prilagođavati dozu.</w:t>
      </w:r>
    </w:p>
    <w:p w:rsidR="00BE6913" w:rsidRPr="0056436C" w:rsidRDefault="00BE6913" w:rsidP="0056436C">
      <w:pPr>
        <w:tabs>
          <w:tab w:val="left" w:pos="540"/>
          <w:tab w:val="left" w:pos="569"/>
        </w:tabs>
        <w:jc w:val="both"/>
        <w:rPr>
          <w:bCs/>
          <w:sz w:val="22"/>
          <w:szCs w:val="22"/>
          <w:lang w:val="sr-Latn-ME"/>
        </w:rPr>
      </w:pPr>
    </w:p>
    <w:p w:rsidR="00BE6913" w:rsidRPr="0056436C" w:rsidRDefault="00BE6913" w:rsidP="0056436C">
      <w:pPr>
        <w:tabs>
          <w:tab w:val="left" w:pos="540"/>
          <w:tab w:val="left" w:pos="569"/>
        </w:tabs>
        <w:jc w:val="both"/>
        <w:rPr>
          <w:bCs/>
          <w:sz w:val="22"/>
          <w:szCs w:val="22"/>
          <w:lang w:val="sr-Latn-ME"/>
        </w:rPr>
      </w:pPr>
      <w:r w:rsidRPr="0056436C">
        <w:rPr>
          <w:bCs/>
          <w:sz w:val="22"/>
          <w:szCs w:val="22"/>
          <w:lang w:val="sr-Latn-ME"/>
        </w:rPr>
        <w:t xml:space="preserve">Doza lijeka </w:t>
      </w:r>
      <w:r w:rsidR="003714E8" w:rsidRPr="0056436C">
        <w:rPr>
          <w:bCs/>
          <w:sz w:val="22"/>
          <w:szCs w:val="22"/>
          <w:lang w:val="sr-Latn-ME"/>
        </w:rPr>
        <w:t>Sitagliptin Teva</w:t>
      </w:r>
      <w:r w:rsidRPr="0056436C">
        <w:rPr>
          <w:bCs/>
          <w:sz w:val="22"/>
          <w:szCs w:val="22"/>
          <w:lang w:val="sr-Latn-ME"/>
        </w:rPr>
        <w:t xml:space="preserve"> kod pacijenata sa umjerenim oštećenjem funkcije bubrega (GFR ≥ 30 do &lt; 45 </w:t>
      </w:r>
      <w:r w:rsidR="00F725BA" w:rsidRPr="0056436C">
        <w:rPr>
          <w:bCs/>
          <w:sz w:val="22"/>
          <w:szCs w:val="22"/>
          <w:lang w:val="sr-Latn-ME"/>
        </w:rPr>
        <w:t>ml</w:t>
      </w:r>
      <w:r w:rsidRPr="0056436C">
        <w:rPr>
          <w:bCs/>
          <w:sz w:val="22"/>
          <w:szCs w:val="22"/>
          <w:lang w:val="sr-Latn-ME"/>
        </w:rPr>
        <w:t>/min) je 50 mg, jednom dnevno.</w:t>
      </w:r>
    </w:p>
    <w:p w:rsidR="00BE6913" w:rsidRPr="0056436C" w:rsidRDefault="00BE6913" w:rsidP="0056436C">
      <w:pPr>
        <w:tabs>
          <w:tab w:val="left" w:pos="540"/>
          <w:tab w:val="left" w:pos="569"/>
        </w:tabs>
        <w:jc w:val="both"/>
        <w:rPr>
          <w:bCs/>
          <w:sz w:val="22"/>
          <w:szCs w:val="22"/>
          <w:lang w:val="sr-Latn-ME"/>
        </w:rPr>
      </w:pPr>
    </w:p>
    <w:p w:rsidR="00BE6913" w:rsidRPr="0056436C" w:rsidRDefault="00BE6913" w:rsidP="0056436C">
      <w:pPr>
        <w:tabs>
          <w:tab w:val="left" w:pos="540"/>
          <w:tab w:val="left" w:pos="569"/>
        </w:tabs>
        <w:jc w:val="both"/>
        <w:rPr>
          <w:bCs/>
          <w:sz w:val="22"/>
          <w:szCs w:val="22"/>
          <w:lang w:val="sr-Latn-ME"/>
        </w:rPr>
      </w:pPr>
      <w:r w:rsidRPr="0056436C">
        <w:rPr>
          <w:bCs/>
          <w:sz w:val="22"/>
          <w:szCs w:val="22"/>
          <w:lang w:val="sr-Latn-ME"/>
        </w:rPr>
        <w:t xml:space="preserve">Doza lijeka </w:t>
      </w:r>
      <w:r w:rsidR="003714E8" w:rsidRPr="0056436C">
        <w:rPr>
          <w:bCs/>
          <w:sz w:val="22"/>
          <w:szCs w:val="22"/>
          <w:lang w:val="sr-Latn-ME"/>
        </w:rPr>
        <w:t>Sitagliptin Teva</w:t>
      </w:r>
      <w:r w:rsidRPr="0056436C">
        <w:rPr>
          <w:bCs/>
          <w:sz w:val="22"/>
          <w:szCs w:val="22"/>
          <w:lang w:val="sr-Latn-ME"/>
        </w:rPr>
        <w:t xml:space="preserve"> kod pacijenata sa teškim oštećenjem funkcije bubrega (GFR</w:t>
      </w:r>
      <w:r w:rsidR="00E45AB6" w:rsidRPr="0056436C">
        <w:rPr>
          <w:bCs/>
          <w:sz w:val="22"/>
          <w:szCs w:val="22"/>
          <w:lang w:val="sr-Latn-ME"/>
        </w:rPr>
        <w:t xml:space="preserve"> ≥ </w:t>
      </w:r>
      <w:r w:rsidRPr="0056436C">
        <w:rPr>
          <w:bCs/>
          <w:sz w:val="22"/>
          <w:szCs w:val="22"/>
          <w:lang w:val="sr-Latn-ME"/>
        </w:rPr>
        <w:t xml:space="preserve">15 do &lt; 30 </w:t>
      </w:r>
      <w:r w:rsidR="00F725BA" w:rsidRPr="0056436C">
        <w:rPr>
          <w:bCs/>
          <w:sz w:val="22"/>
          <w:szCs w:val="22"/>
          <w:lang w:val="sr-Latn-ME"/>
        </w:rPr>
        <w:t>ml</w:t>
      </w:r>
      <w:r w:rsidRPr="0056436C">
        <w:rPr>
          <w:bCs/>
          <w:sz w:val="22"/>
          <w:szCs w:val="22"/>
          <w:lang w:val="sr-Latn-ME"/>
        </w:rPr>
        <w:t xml:space="preserve">/min) ili kod pacijenata u terminalnoj fazi bubrežne bolesti (GFR &lt; 15 </w:t>
      </w:r>
      <w:r w:rsidR="00F725BA" w:rsidRPr="0056436C">
        <w:rPr>
          <w:bCs/>
          <w:sz w:val="22"/>
          <w:szCs w:val="22"/>
          <w:lang w:val="sr-Latn-ME"/>
        </w:rPr>
        <w:t>ml</w:t>
      </w:r>
      <w:r w:rsidRPr="0056436C">
        <w:rPr>
          <w:bCs/>
          <w:sz w:val="22"/>
          <w:szCs w:val="22"/>
          <w:lang w:val="sr-Latn-ME"/>
        </w:rPr>
        <w:t xml:space="preserve">/min) uključujući pacijente </w:t>
      </w:r>
      <w:r w:rsidRPr="0056436C">
        <w:rPr>
          <w:bCs/>
          <w:sz w:val="22"/>
          <w:szCs w:val="22"/>
          <w:lang w:val="sr-Latn-ME"/>
        </w:rPr>
        <w:lastRenderedPageBreak/>
        <w:t xml:space="preserve">koji su na hemodijalizi ili na peritonealnoj dijalizi, </w:t>
      </w:r>
      <w:r w:rsidR="00E45AB6" w:rsidRPr="0056436C">
        <w:rPr>
          <w:bCs/>
          <w:sz w:val="22"/>
          <w:szCs w:val="22"/>
          <w:lang w:val="sr-Latn-ME"/>
        </w:rPr>
        <w:t>iznosi</w:t>
      </w:r>
      <w:r w:rsidRPr="0056436C">
        <w:rPr>
          <w:bCs/>
          <w:sz w:val="22"/>
          <w:szCs w:val="22"/>
          <w:lang w:val="sr-Latn-ME"/>
        </w:rPr>
        <w:t xml:space="preserve"> 25 mg jednom dnevno. Terapija može da se daje bez obzira na vremenski raspored dijalize.</w:t>
      </w:r>
    </w:p>
    <w:p w:rsidR="00BE6913" w:rsidRPr="0056436C" w:rsidRDefault="00BE6913" w:rsidP="0056436C">
      <w:pPr>
        <w:tabs>
          <w:tab w:val="left" w:pos="540"/>
          <w:tab w:val="left" w:pos="569"/>
        </w:tabs>
        <w:jc w:val="both"/>
        <w:rPr>
          <w:bCs/>
          <w:sz w:val="22"/>
          <w:szCs w:val="22"/>
          <w:lang w:val="sr-Latn-ME"/>
        </w:rPr>
      </w:pPr>
    </w:p>
    <w:p w:rsidR="00BE6913" w:rsidRPr="0056436C" w:rsidRDefault="00BE6913" w:rsidP="0056436C">
      <w:pPr>
        <w:tabs>
          <w:tab w:val="left" w:pos="540"/>
          <w:tab w:val="left" w:pos="569"/>
        </w:tabs>
        <w:jc w:val="both"/>
        <w:rPr>
          <w:bCs/>
          <w:sz w:val="22"/>
          <w:szCs w:val="22"/>
          <w:lang w:val="sr-Latn-ME"/>
        </w:rPr>
      </w:pPr>
      <w:r w:rsidRPr="0056436C">
        <w:rPr>
          <w:bCs/>
          <w:sz w:val="22"/>
          <w:szCs w:val="22"/>
          <w:lang w:val="sr-Latn-ME"/>
        </w:rPr>
        <w:t xml:space="preserve">Budući da se doza lijeka prilagođava </w:t>
      </w:r>
      <w:r w:rsidR="00E45AB6" w:rsidRPr="0056436C">
        <w:rPr>
          <w:bCs/>
          <w:sz w:val="22"/>
          <w:szCs w:val="22"/>
          <w:lang w:val="sr-Latn-ME"/>
        </w:rPr>
        <w:t xml:space="preserve">na osnovu </w:t>
      </w:r>
      <w:r w:rsidRPr="0056436C">
        <w:rPr>
          <w:bCs/>
          <w:sz w:val="22"/>
          <w:szCs w:val="22"/>
          <w:lang w:val="sr-Latn-ME"/>
        </w:rPr>
        <w:t>stanj</w:t>
      </w:r>
      <w:r w:rsidR="00E45AB6" w:rsidRPr="0056436C">
        <w:rPr>
          <w:bCs/>
          <w:sz w:val="22"/>
          <w:szCs w:val="22"/>
          <w:lang w:val="sr-Latn-ME"/>
        </w:rPr>
        <w:t>a</w:t>
      </w:r>
      <w:r w:rsidRPr="0056436C">
        <w:rPr>
          <w:bCs/>
          <w:sz w:val="22"/>
          <w:szCs w:val="22"/>
          <w:lang w:val="sr-Latn-ME"/>
        </w:rPr>
        <w:t xml:space="preserve"> bubrežne funkcije, preporučuje se da se, prije početka terapije lijekom </w:t>
      </w:r>
      <w:r w:rsidR="003714E8" w:rsidRPr="0056436C">
        <w:rPr>
          <w:bCs/>
          <w:sz w:val="22"/>
          <w:szCs w:val="22"/>
          <w:lang w:val="sr-Latn-ME"/>
        </w:rPr>
        <w:t>Sitagliptin Teva</w:t>
      </w:r>
      <w:r w:rsidRPr="0056436C">
        <w:rPr>
          <w:bCs/>
          <w:sz w:val="22"/>
          <w:szCs w:val="22"/>
          <w:lang w:val="sr-Latn-ME"/>
        </w:rPr>
        <w:t>, kao i u redovnim razmacima nakon toga, uradi procjena bubrežne funkcije pacijenta.</w:t>
      </w:r>
    </w:p>
    <w:p w:rsidR="00BE6913" w:rsidRPr="0056436C" w:rsidRDefault="00BE6913" w:rsidP="0056436C">
      <w:pPr>
        <w:tabs>
          <w:tab w:val="left" w:pos="540"/>
          <w:tab w:val="left" w:pos="569"/>
        </w:tabs>
        <w:jc w:val="both"/>
        <w:rPr>
          <w:bCs/>
          <w:sz w:val="22"/>
          <w:szCs w:val="22"/>
          <w:lang w:val="sr-Latn-ME"/>
        </w:rPr>
      </w:pPr>
    </w:p>
    <w:p w:rsidR="00BE6913" w:rsidRPr="0056436C" w:rsidRDefault="00BE6913" w:rsidP="0056436C">
      <w:pPr>
        <w:tabs>
          <w:tab w:val="left" w:pos="540"/>
          <w:tab w:val="left" w:pos="569"/>
        </w:tabs>
        <w:jc w:val="both"/>
        <w:rPr>
          <w:bCs/>
          <w:i/>
          <w:sz w:val="22"/>
          <w:szCs w:val="22"/>
          <w:lang w:val="sr-Latn-ME"/>
        </w:rPr>
      </w:pPr>
      <w:r w:rsidRPr="0056436C">
        <w:rPr>
          <w:bCs/>
          <w:i/>
          <w:sz w:val="22"/>
          <w:szCs w:val="22"/>
          <w:lang w:val="sr-Latn-ME"/>
        </w:rPr>
        <w:t>Pacijenti sa oštećenjem funkcije jetre</w:t>
      </w:r>
    </w:p>
    <w:p w:rsidR="00BE6913" w:rsidRPr="0056436C" w:rsidRDefault="00BE6913" w:rsidP="0056436C">
      <w:pPr>
        <w:tabs>
          <w:tab w:val="left" w:pos="540"/>
          <w:tab w:val="left" w:pos="569"/>
        </w:tabs>
        <w:jc w:val="both"/>
        <w:rPr>
          <w:bCs/>
          <w:sz w:val="22"/>
          <w:szCs w:val="22"/>
          <w:lang w:val="sr-Latn-ME"/>
        </w:rPr>
      </w:pPr>
      <w:r w:rsidRPr="0056436C">
        <w:rPr>
          <w:bCs/>
          <w:sz w:val="22"/>
          <w:szCs w:val="22"/>
          <w:lang w:val="sr-Latn-ME"/>
        </w:rPr>
        <w:t xml:space="preserve">Kod pacijenata sa blagim do umjerenim oštećenjem funkcije jetre nije potrebno prilagođavati dozu lijeka. Lijek </w:t>
      </w:r>
      <w:r w:rsidR="003714E8" w:rsidRPr="0056436C">
        <w:rPr>
          <w:bCs/>
          <w:sz w:val="22"/>
          <w:szCs w:val="22"/>
          <w:lang w:val="sr-Latn-ME"/>
        </w:rPr>
        <w:t>Sitagliptin Teva</w:t>
      </w:r>
      <w:r w:rsidRPr="0056436C">
        <w:rPr>
          <w:bCs/>
          <w:sz w:val="22"/>
          <w:szCs w:val="22"/>
          <w:lang w:val="sr-Latn-ME"/>
        </w:rPr>
        <w:t xml:space="preserve"> nije ispitivan kod pacijenata sa teškim oštećenjem funkcije jetre, pa se savjetuje oprez (vidjeti dio 5.2).</w:t>
      </w:r>
    </w:p>
    <w:p w:rsidR="00BE6913" w:rsidRPr="0056436C" w:rsidRDefault="00BE6913" w:rsidP="0056436C">
      <w:pPr>
        <w:tabs>
          <w:tab w:val="left" w:pos="540"/>
          <w:tab w:val="left" w:pos="569"/>
        </w:tabs>
        <w:jc w:val="both"/>
        <w:rPr>
          <w:bCs/>
          <w:sz w:val="22"/>
          <w:szCs w:val="22"/>
          <w:lang w:val="sr-Latn-ME"/>
        </w:rPr>
      </w:pPr>
    </w:p>
    <w:p w:rsidR="00BE6913" w:rsidRPr="0056436C" w:rsidRDefault="00BE6913" w:rsidP="0056436C">
      <w:pPr>
        <w:tabs>
          <w:tab w:val="left" w:pos="540"/>
          <w:tab w:val="left" w:pos="569"/>
        </w:tabs>
        <w:jc w:val="both"/>
        <w:rPr>
          <w:bCs/>
          <w:sz w:val="22"/>
          <w:szCs w:val="22"/>
          <w:lang w:val="sr-Latn-ME"/>
        </w:rPr>
      </w:pPr>
      <w:r w:rsidRPr="0056436C">
        <w:rPr>
          <w:bCs/>
          <w:sz w:val="22"/>
          <w:szCs w:val="22"/>
          <w:lang w:val="sr-Latn-ME"/>
        </w:rPr>
        <w:t xml:space="preserve">Međutim, pošto se sitagliptin izlučuje primarno preko bubrega, ne očekuje se da će teško oštećenje </w:t>
      </w:r>
      <w:r w:rsidR="00E45AB6" w:rsidRPr="0056436C">
        <w:rPr>
          <w:bCs/>
          <w:sz w:val="22"/>
          <w:szCs w:val="22"/>
          <w:lang w:val="sr-Latn-ME"/>
        </w:rPr>
        <w:t xml:space="preserve">funkcije </w:t>
      </w:r>
      <w:r w:rsidRPr="0056436C">
        <w:rPr>
          <w:bCs/>
          <w:sz w:val="22"/>
          <w:szCs w:val="22"/>
          <w:lang w:val="sr-Latn-ME"/>
        </w:rPr>
        <w:t>jetre uticati na farmakokinetiku sitagliptina.</w:t>
      </w:r>
    </w:p>
    <w:p w:rsidR="00BE6913" w:rsidRPr="0056436C" w:rsidRDefault="00BE6913" w:rsidP="0056436C">
      <w:pPr>
        <w:tabs>
          <w:tab w:val="left" w:pos="540"/>
          <w:tab w:val="left" w:pos="569"/>
        </w:tabs>
        <w:jc w:val="both"/>
        <w:rPr>
          <w:bCs/>
          <w:sz w:val="22"/>
          <w:szCs w:val="22"/>
          <w:lang w:val="sr-Latn-ME"/>
        </w:rPr>
      </w:pPr>
    </w:p>
    <w:p w:rsidR="00BE6913" w:rsidRPr="0056436C" w:rsidRDefault="00E45AB6" w:rsidP="0056436C">
      <w:pPr>
        <w:tabs>
          <w:tab w:val="left" w:pos="540"/>
          <w:tab w:val="left" w:pos="569"/>
        </w:tabs>
        <w:jc w:val="both"/>
        <w:rPr>
          <w:bCs/>
          <w:i/>
          <w:sz w:val="22"/>
          <w:szCs w:val="22"/>
          <w:lang w:val="sr-Latn-ME"/>
        </w:rPr>
      </w:pPr>
      <w:r w:rsidRPr="0056436C">
        <w:rPr>
          <w:bCs/>
          <w:i/>
          <w:sz w:val="22"/>
          <w:szCs w:val="22"/>
          <w:lang w:val="sr-Latn-ME"/>
        </w:rPr>
        <w:t>S</w:t>
      </w:r>
      <w:r w:rsidR="00BE6913" w:rsidRPr="0056436C">
        <w:rPr>
          <w:bCs/>
          <w:i/>
          <w:sz w:val="22"/>
          <w:szCs w:val="22"/>
          <w:lang w:val="sr-Latn-ME"/>
        </w:rPr>
        <w:t>tariji pacijent</w:t>
      </w:r>
      <w:r w:rsidRPr="0056436C">
        <w:rPr>
          <w:bCs/>
          <w:i/>
          <w:sz w:val="22"/>
          <w:szCs w:val="22"/>
          <w:lang w:val="sr-Latn-ME"/>
        </w:rPr>
        <w:t>i</w:t>
      </w:r>
    </w:p>
    <w:p w:rsidR="00BE6913" w:rsidRPr="0056436C" w:rsidRDefault="00BE6913" w:rsidP="0056436C">
      <w:pPr>
        <w:tabs>
          <w:tab w:val="left" w:pos="540"/>
          <w:tab w:val="left" w:pos="569"/>
        </w:tabs>
        <w:jc w:val="both"/>
        <w:rPr>
          <w:bCs/>
          <w:sz w:val="22"/>
          <w:szCs w:val="22"/>
          <w:lang w:val="sr-Latn-ME"/>
        </w:rPr>
      </w:pPr>
      <w:r w:rsidRPr="0056436C">
        <w:rPr>
          <w:bCs/>
          <w:sz w:val="22"/>
          <w:szCs w:val="22"/>
          <w:lang w:val="sr-Latn-ME"/>
        </w:rPr>
        <w:t xml:space="preserve">Nije potrebno prilagođavati dozu lijeka </w:t>
      </w:r>
      <w:r w:rsidR="00E45AB6" w:rsidRPr="0056436C">
        <w:rPr>
          <w:bCs/>
          <w:sz w:val="22"/>
          <w:szCs w:val="22"/>
          <w:lang w:val="sr-Latn-ME"/>
        </w:rPr>
        <w:t xml:space="preserve">na osnovu </w:t>
      </w:r>
      <w:r w:rsidRPr="0056436C">
        <w:rPr>
          <w:bCs/>
          <w:sz w:val="22"/>
          <w:szCs w:val="22"/>
          <w:lang w:val="sr-Latn-ME"/>
        </w:rPr>
        <w:t>godina starosti pacijenta.</w:t>
      </w:r>
    </w:p>
    <w:p w:rsidR="00BE6913" w:rsidRPr="0056436C" w:rsidRDefault="00BE6913" w:rsidP="0056436C">
      <w:pPr>
        <w:tabs>
          <w:tab w:val="left" w:pos="540"/>
          <w:tab w:val="left" w:pos="569"/>
        </w:tabs>
        <w:jc w:val="both"/>
        <w:rPr>
          <w:bCs/>
          <w:i/>
          <w:sz w:val="22"/>
          <w:szCs w:val="22"/>
          <w:u w:val="single"/>
          <w:lang w:val="sr-Latn-ME"/>
        </w:rPr>
      </w:pPr>
    </w:p>
    <w:p w:rsidR="00BE6913" w:rsidRPr="0056436C" w:rsidRDefault="00E45AB6" w:rsidP="0056436C">
      <w:pPr>
        <w:tabs>
          <w:tab w:val="left" w:pos="540"/>
          <w:tab w:val="left" w:pos="569"/>
        </w:tabs>
        <w:jc w:val="both"/>
        <w:rPr>
          <w:bCs/>
          <w:i/>
          <w:sz w:val="22"/>
          <w:szCs w:val="22"/>
          <w:lang w:val="sr-Latn-ME"/>
        </w:rPr>
      </w:pPr>
      <w:r w:rsidRPr="0056436C">
        <w:rPr>
          <w:bCs/>
          <w:i/>
          <w:sz w:val="22"/>
          <w:szCs w:val="22"/>
          <w:lang w:val="sr-Latn-ME"/>
        </w:rPr>
        <w:t>P</w:t>
      </w:r>
      <w:r w:rsidR="00BE6913" w:rsidRPr="0056436C">
        <w:rPr>
          <w:bCs/>
          <w:i/>
          <w:sz w:val="22"/>
          <w:szCs w:val="22"/>
          <w:lang w:val="sr-Latn-ME"/>
        </w:rPr>
        <w:t>edijatrijski pacijent</w:t>
      </w:r>
      <w:r w:rsidRPr="0056436C">
        <w:rPr>
          <w:bCs/>
          <w:i/>
          <w:sz w:val="22"/>
          <w:szCs w:val="22"/>
          <w:lang w:val="sr-Latn-ME"/>
        </w:rPr>
        <w:t>i</w:t>
      </w:r>
    </w:p>
    <w:p w:rsidR="003714E8" w:rsidRPr="0056436C" w:rsidRDefault="003714E8" w:rsidP="0056436C">
      <w:pPr>
        <w:tabs>
          <w:tab w:val="left" w:pos="540"/>
          <w:tab w:val="left" w:pos="569"/>
        </w:tabs>
        <w:jc w:val="both"/>
        <w:rPr>
          <w:bCs/>
          <w:sz w:val="22"/>
          <w:szCs w:val="22"/>
          <w:lang w:val="sr-Latn-ME"/>
        </w:rPr>
      </w:pPr>
      <w:r w:rsidRPr="0056436C">
        <w:rPr>
          <w:bCs/>
          <w:sz w:val="22"/>
          <w:szCs w:val="22"/>
          <w:lang w:val="sr-Latn-ME"/>
        </w:rPr>
        <w:t>Lijek Sitagliptin Teva</w:t>
      </w:r>
      <w:r w:rsidR="00E1305E" w:rsidRPr="0056436C">
        <w:rPr>
          <w:bCs/>
          <w:sz w:val="22"/>
          <w:szCs w:val="22"/>
          <w:lang w:val="sr-Latn-ME"/>
        </w:rPr>
        <w:t xml:space="preserve"> se zbog nedovoljne efikasnosti</w:t>
      </w:r>
      <w:r w:rsidRPr="0056436C">
        <w:rPr>
          <w:bCs/>
          <w:sz w:val="22"/>
          <w:szCs w:val="22"/>
          <w:lang w:val="sr-Latn-ME"/>
        </w:rPr>
        <w:t xml:space="preserve"> ne smije primjenjivati kod djece i adolescenata uzrast</w:t>
      </w:r>
      <w:r w:rsidR="00E45AB6" w:rsidRPr="0056436C">
        <w:rPr>
          <w:bCs/>
          <w:sz w:val="22"/>
          <w:szCs w:val="22"/>
          <w:lang w:val="sr-Latn-ME"/>
        </w:rPr>
        <w:t>a</w:t>
      </w:r>
      <w:r w:rsidRPr="0056436C">
        <w:rPr>
          <w:bCs/>
          <w:sz w:val="22"/>
          <w:szCs w:val="22"/>
          <w:lang w:val="sr-Latn-ME"/>
        </w:rPr>
        <w:t xml:space="preserve"> od 10 do 17 godina. Trenutno dostupni podaci opisani su u djelovima 4.8, 5.1</w:t>
      </w:r>
      <w:r w:rsidR="00E45AB6" w:rsidRPr="0056436C">
        <w:rPr>
          <w:bCs/>
          <w:sz w:val="22"/>
          <w:szCs w:val="22"/>
          <w:lang w:val="sr-Latn-ME"/>
        </w:rPr>
        <w:t>.</w:t>
      </w:r>
      <w:r w:rsidRPr="0056436C">
        <w:rPr>
          <w:bCs/>
          <w:sz w:val="22"/>
          <w:szCs w:val="22"/>
          <w:lang w:val="sr-Latn-ME"/>
        </w:rPr>
        <w:t xml:space="preserve"> i 5.2. Lijek Sitagliptin Teva nije ispitiva</w:t>
      </w:r>
      <w:r w:rsidR="00E45AB6" w:rsidRPr="0056436C">
        <w:rPr>
          <w:bCs/>
          <w:sz w:val="22"/>
          <w:szCs w:val="22"/>
          <w:lang w:val="sr-Latn-ME"/>
        </w:rPr>
        <w:t>n</w:t>
      </w:r>
      <w:r w:rsidRPr="0056436C">
        <w:rPr>
          <w:bCs/>
          <w:sz w:val="22"/>
          <w:szCs w:val="22"/>
          <w:lang w:val="sr-Latn-ME"/>
        </w:rPr>
        <w:t xml:space="preserve"> kod pedijatrijskih pacijenata </w:t>
      </w:r>
      <w:r w:rsidR="00F725BA" w:rsidRPr="0056436C">
        <w:rPr>
          <w:bCs/>
          <w:sz w:val="22"/>
          <w:szCs w:val="22"/>
          <w:lang w:val="sr-Latn-ME"/>
        </w:rPr>
        <w:t>ml</w:t>
      </w:r>
      <w:r w:rsidRPr="0056436C">
        <w:rPr>
          <w:bCs/>
          <w:sz w:val="22"/>
          <w:szCs w:val="22"/>
          <w:lang w:val="sr-Latn-ME"/>
        </w:rPr>
        <w:t>ađih od 10 godina</w:t>
      </w:r>
      <w:r w:rsidR="00283515" w:rsidRPr="0056436C">
        <w:rPr>
          <w:bCs/>
          <w:sz w:val="22"/>
          <w:szCs w:val="22"/>
          <w:lang w:val="sr-Latn-ME"/>
        </w:rPr>
        <w:t>.</w:t>
      </w:r>
    </w:p>
    <w:p w:rsidR="00BE6913" w:rsidRPr="0056436C" w:rsidRDefault="00BE6913" w:rsidP="0056436C">
      <w:pPr>
        <w:tabs>
          <w:tab w:val="left" w:pos="540"/>
          <w:tab w:val="left" w:pos="569"/>
        </w:tabs>
        <w:jc w:val="both"/>
        <w:rPr>
          <w:bCs/>
          <w:sz w:val="22"/>
          <w:szCs w:val="22"/>
          <w:u w:val="single"/>
          <w:lang w:val="sr-Latn-ME"/>
        </w:rPr>
      </w:pPr>
    </w:p>
    <w:p w:rsidR="008444D8" w:rsidRPr="0056436C" w:rsidRDefault="00452E9D" w:rsidP="0056436C">
      <w:pPr>
        <w:tabs>
          <w:tab w:val="left" w:pos="540"/>
          <w:tab w:val="left" w:pos="569"/>
        </w:tabs>
        <w:jc w:val="both"/>
        <w:rPr>
          <w:bCs/>
          <w:sz w:val="22"/>
          <w:szCs w:val="22"/>
          <w:u w:val="single"/>
          <w:lang w:val="sr-Latn-ME"/>
        </w:rPr>
      </w:pPr>
      <w:r w:rsidRPr="0056436C">
        <w:rPr>
          <w:bCs/>
          <w:sz w:val="22"/>
          <w:szCs w:val="22"/>
          <w:u w:val="single"/>
          <w:lang w:val="sr-Latn-ME"/>
        </w:rPr>
        <w:t>Način primjene</w:t>
      </w:r>
    </w:p>
    <w:p w:rsidR="008444D8" w:rsidRPr="0056436C" w:rsidRDefault="008444D8" w:rsidP="0056436C">
      <w:pPr>
        <w:tabs>
          <w:tab w:val="left" w:pos="540"/>
          <w:tab w:val="left" w:pos="569"/>
        </w:tabs>
        <w:jc w:val="both"/>
        <w:rPr>
          <w:bCs/>
          <w:sz w:val="22"/>
          <w:szCs w:val="22"/>
          <w:u w:val="single"/>
          <w:lang w:val="sr-Latn-ME"/>
        </w:rPr>
      </w:pPr>
    </w:p>
    <w:p w:rsidR="008444D8" w:rsidRPr="0056436C" w:rsidRDefault="008444D8" w:rsidP="0056436C">
      <w:pPr>
        <w:tabs>
          <w:tab w:val="left" w:pos="540"/>
          <w:tab w:val="left" w:pos="569"/>
        </w:tabs>
        <w:jc w:val="both"/>
        <w:rPr>
          <w:bCs/>
          <w:sz w:val="22"/>
          <w:szCs w:val="22"/>
          <w:u w:val="single"/>
          <w:lang w:val="sr-Latn-ME"/>
        </w:rPr>
      </w:pPr>
      <w:r w:rsidRPr="0056436C">
        <w:rPr>
          <w:bCs/>
          <w:sz w:val="22"/>
          <w:szCs w:val="22"/>
          <w:lang w:val="sr-Latn-ME"/>
        </w:rPr>
        <w:t xml:space="preserve">Lijek </w:t>
      </w:r>
      <w:r w:rsidR="003714E8" w:rsidRPr="0056436C">
        <w:rPr>
          <w:bCs/>
          <w:sz w:val="22"/>
          <w:szCs w:val="22"/>
          <w:lang w:val="sr-Latn-ME"/>
        </w:rPr>
        <w:t>Sitagliptin Teva</w:t>
      </w:r>
      <w:r w:rsidRPr="0056436C">
        <w:rPr>
          <w:bCs/>
          <w:sz w:val="22"/>
          <w:szCs w:val="22"/>
          <w:lang w:val="sr-Latn-ME"/>
        </w:rPr>
        <w:t xml:space="preserve"> može da se uzima sa hranom ili bez nje.</w:t>
      </w:r>
    </w:p>
    <w:p w:rsidR="00452E9D" w:rsidRPr="0056436C" w:rsidRDefault="00452E9D" w:rsidP="0056436C">
      <w:pPr>
        <w:tabs>
          <w:tab w:val="left" w:pos="540"/>
          <w:tab w:val="left" w:pos="569"/>
        </w:tabs>
        <w:rPr>
          <w:bCs/>
          <w:sz w:val="22"/>
          <w:szCs w:val="22"/>
          <w:lang w:val="sr-Latn-ME"/>
        </w:rPr>
      </w:pPr>
    </w:p>
    <w:p w:rsidR="00411B4B" w:rsidRPr="0056436C" w:rsidRDefault="00411B4B" w:rsidP="0056436C">
      <w:pPr>
        <w:tabs>
          <w:tab w:val="left" w:pos="540"/>
          <w:tab w:val="left" w:pos="569"/>
        </w:tabs>
        <w:rPr>
          <w:b/>
          <w:bCs/>
          <w:sz w:val="22"/>
          <w:szCs w:val="22"/>
          <w:lang w:val="sr-Latn-ME"/>
        </w:rPr>
      </w:pPr>
      <w:r w:rsidRPr="0056436C">
        <w:rPr>
          <w:b/>
          <w:bCs/>
          <w:sz w:val="22"/>
          <w:szCs w:val="22"/>
          <w:lang w:val="sr-Latn-ME"/>
        </w:rPr>
        <w:t xml:space="preserve">4.3. </w:t>
      </w:r>
      <w:r w:rsidR="00480FB1" w:rsidRPr="0056436C">
        <w:rPr>
          <w:b/>
          <w:bCs/>
          <w:sz w:val="22"/>
          <w:szCs w:val="22"/>
          <w:lang w:val="sr-Latn-ME"/>
        </w:rPr>
        <w:tab/>
      </w:r>
      <w:r w:rsidRPr="0056436C">
        <w:rPr>
          <w:b/>
          <w:bCs/>
          <w:sz w:val="22"/>
          <w:szCs w:val="22"/>
          <w:lang w:val="sr-Latn-ME"/>
        </w:rPr>
        <w:t>Kontraindikacije</w:t>
      </w:r>
    </w:p>
    <w:p w:rsidR="00433E9D" w:rsidRPr="0056436C" w:rsidRDefault="00433E9D" w:rsidP="0056436C">
      <w:pPr>
        <w:tabs>
          <w:tab w:val="left" w:pos="540"/>
          <w:tab w:val="left" w:pos="569"/>
        </w:tabs>
        <w:rPr>
          <w:b/>
          <w:bCs/>
          <w:sz w:val="22"/>
          <w:szCs w:val="22"/>
          <w:lang w:val="sr-Latn-ME"/>
        </w:rPr>
      </w:pPr>
    </w:p>
    <w:p w:rsidR="00433E9D" w:rsidRPr="0056436C" w:rsidRDefault="00433E9D" w:rsidP="0056436C">
      <w:pPr>
        <w:tabs>
          <w:tab w:val="left" w:pos="540"/>
          <w:tab w:val="left" w:pos="569"/>
        </w:tabs>
        <w:jc w:val="both"/>
        <w:rPr>
          <w:bCs/>
          <w:sz w:val="22"/>
          <w:szCs w:val="22"/>
          <w:lang w:val="sr-Latn-ME"/>
        </w:rPr>
      </w:pPr>
      <w:r w:rsidRPr="0056436C">
        <w:rPr>
          <w:bCs/>
          <w:sz w:val="22"/>
          <w:szCs w:val="22"/>
          <w:lang w:val="sr-Latn-ME"/>
        </w:rPr>
        <w:t xml:space="preserve">Preosjetljivost na aktivnu supstancu sitagliptin ili na bilo koju od pomoćnih supstanci navedenih u </w:t>
      </w:r>
      <w:r w:rsidR="00E45AB6" w:rsidRPr="0056436C">
        <w:rPr>
          <w:bCs/>
          <w:sz w:val="22"/>
          <w:szCs w:val="22"/>
          <w:lang w:val="sr-Latn-ME"/>
        </w:rPr>
        <w:t xml:space="preserve">dijelu </w:t>
      </w:r>
      <w:r w:rsidRPr="0056436C">
        <w:rPr>
          <w:bCs/>
          <w:sz w:val="22"/>
          <w:szCs w:val="22"/>
          <w:lang w:val="sr-Latn-ME"/>
        </w:rPr>
        <w:t>6.1. (vidjeti djelove 4.4</w:t>
      </w:r>
      <w:r w:rsidR="00E45AB6" w:rsidRPr="0056436C">
        <w:rPr>
          <w:bCs/>
          <w:sz w:val="22"/>
          <w:szCs w:val="22"/>
          <w:lang w:val="sr-Latn-ME"/>
        </w:rPr>
        <w:t>.</w:t>
      </w:r>
      <w:r w:rsidRPr="0056436C">
        <w:rPr>
          <w:bCs/>
          <w:sz w:val="22"/>
          <w:szCs w:val="22"/>
          <w:lang w:val="sr-Latn-ME"/>
        </w:rPr>
        <w:t xml:space="preserve"> i 4.8).</w:t>
      </w:r>
    </w:p>
    <w:p w:rsidR="0072020E" w:rsidRPr="0056436C" w:rsidRDefault="0072020E" w:rsidP="0056436C">
      <w:pPr>
        <w:tabs>
          <w:tab w:val="left" w:pos="540"/>
          <w:tab w:val="left" w:pos="569"/>
        </w:tabs>
        <w:rPr>
          <w:bCs/>
          <w:sz w:val="22"/>
          <w:szCs w:val="22"/>
          <w:lang w:val="sr-Latn-ME"/>
        </w:rPr>
      </w:pPr>
    </w:p>
    <w:p w:rsidR="00411B4B" w:rsidRPr="0056436C" w:rsidRDefault="00411B4B" w:rsidP="0056436C">
      <w:pPr>
        <w:tabs>
          <w:tab w:val="left" w:pos="540"/>
          <w:tab w:val="left" w:pos="569"/>
        </w:tabs>
        <w:rPr>
          <w:b/>
          <w:bCs/>
          <w:sz w:val="22"/>
          <w:szCs w:val="22"/>
          <w:lang w:val="sr-Latn-ME"/>
        </w:rPr>
      </w:pPr>
      <w:r w:rsidRPr="0056436C">
        <w:rPr>
          <w:b/>
          <w:bCs/>
          <w:sz w:val="22"/>
          <w:szCs w:val="22"/>
          <w:lang w:val="sr-Latn-ME"/>
        </w:rPr>
        <w:t xml:space="preserve">4.4. </w:t>
      </w:r>
      <w:r w:rsidR="00480FB1" w:rsidRPr="0056436C">
        <w:rPr>
          <w:b/>
          <w:bCs/>
          <w:sz w:val="22"/>
          <w:szCs w:val="22"/>
          <w:lang w:val="sr-Latn-ME"/>
        </w:rPr>
        <w:tab/>
      </w:r>
      <w:r w:rsidRPr="0056436C">
        <w:rPr>
          <w:b/>
          <w:bCs/>
          <w:sz w:val="22"/>
          <w:szCs w:val="22"/>
          <w:lang w:val="sr-Latn-ME"/>
        </w:rPr>
        <w:t>Posebna upozorenja i mjere opreza pri upotrebi lijeka</w:t>
      </w:r>
    </w:p>
    <w:p w:rsidR="00E1305E" w:rsidRPr="0056436C" w:rsidRDefault="00E1305E" w:rsidP="0056436C">
      <w:pPr>
        <w:tabs>
          <w:tab w:val="left" w:pos="540"/>
          <w:tab w:val="left" w:pos="569"/>
        </w:tabs>
        <w:rPr>
          <w:b/>
          <w:bCs/>
          <w:sz w:val="22"/>
          <w:szCs w:val="22"/>
          <w:lang w:val="sr-Latn-ME"/>
        </w:rPr>
      </w:pPr>
    </w:p>
    <w:p w:rsidR="007E74EB" w:rsidRPr="0056436C" w:rsidRDefault="007E74EB" w:rsidP="0056436C">
      <w:pPr>
        <w:tabs>
          <w:tab w:val="left" w:pos="540"/>
          <w:tab w:val="left" w:pos="569"/>
        </w:tabs>
        <w:jc w:val="both"/>
        <w:rPr>
          <w:sz w:val="22"/>
          <w:szCs w:val="22"/>
          <w:u w:val="single"/>
          <w:lang w:val="sr-Latn-ME"/>
        </w:rPr>
      </w:pPr>
      <w:r w:rsidRPr="0056436C">
        <w:rPr>
          <w:sz w:val="22"/>
          <w:szCs w:val="22"/>
          <w:u w:val="single"/>
          <w:lang w:val="sr-Latn-ME"/>
        </w:rPr>
        <w:t>Opšta upozorenja</w:t>
      </w:r>
    </w:p>
    <w:p w:rsidR="007E74EB" w:rsidRPr="0056436C" w:rsidRDefault="007E74EB" w:rsidP="0056436C">
      <w:pPr>
        <w:tabs>
          <w:tab w:val="left" w:pos="540"/>
          <w:tab w:val="left" w:pos="569"/>
        </w:tabs>
        <w:jc w:val="both"/>
        <w:rPr>
          <w:sz w:val="22"/>
          <w:szCs w:val="22"/>
          <w:lang w:val="sr-Latn-ME"/>
        </w:rPr>
      </w:pPr>
      <w:r w:rsidRPr="0056436C">
        <w:rPr>
          <w:sz w:val="22"/>
          <w:szCs w:val="22"/>
          <w:lang w:val="sr-Latn-ME"/>
        </w:rPr>
        <w:t xml:space="preserve">Lijek </w:t>
      </w:r>
      <w:r w:rsidR="003714E8" w:rsidRPr="0056436C">
        <w:rPr>
          <w:sz w:val="22"/>
          <w:szCs w:val="22"/>
          <w:lang w:val="sr-Latn-ME"/>
        </w:rPr>
        <w:t>Sitagliptin Teva</w:t>
      </w:r>
      <w:r w:rsidRPr="0056436C">
        <w:rPr>
          <w:sz w:val="22"/>
          <w:szCs w:val="22"/>
          <w:lang w:val="sr-Latn-ME"/>
        </w:rPr>
        <w:t xml:space="preserve"> ne treba da se daje pacijentima sa dijabetesom tip 1 niti treba da se primjenjuje za liječenje dijabetičke ketoacidoze.</w:t>
      </w:r>
    </w:p>
    <w:p w:rsidR="007E74EB" w:rsidRPr="0056436C" w:rsidRDefault="007E74EB" w:rsidP="0056436C">
      <w:pPr>
        <w:tabs>
          <w:tab w:val="left" w:pos="540"/>
          <w:tab w:val="left" w:pos="569"/>
        </w:tabs>
        <w:jc w:val="both"/>
        <w:rPr>
          <w:sz w:val="22"/>
          <w:szCs w:val="22"/>
          <w:lang w:val="sr-Latn-ME"/>
        </w:rPr>
      </w:pPr>
    </w:p>
    <w:p w:rsidR="007E74EB" w:rsidRPr="0056436C" w:rsidRDefault="007E74EB" w:rsidP="0056436C">
      <w:pPr>
        <w:tabs>
          <w:tab w:val="left" w:pos="540"/>
          <w:tab w:val="left" w:pos="569"/>
        </w:tabs>
        <w:jc w:val="both"/>
        <w:rPr>
          <w:sz w:val="22"/>
          <w:szCs w:val="22"/>
          <w:u w:val="single"/>
          <w:lang w:val="sr-Latn-ME"/>
        </w:rPr>
      </w:pPr>
      <w:r w:rsidRPr="0056436C">
        <w:rPr>
          <w:sz w:val="22"/>
          <w:szCs w:val="22"/>
          <w:u w:val="single"/>
          <w:lang w:val="sr-Latn-ME"/>
        </w:rPr>
        <w:t>Akutni pankreatitis</w:t>
      </w:r>
    </w:p>
    <w:p w:rsidR="007E74EB" w:rsidRPr="0056436C" w:rsidRDefault="007E74EB" w:rsidP="0056436C">
      <w:pPr>
        <w:tabs>
          <w:tab w:val="left" w:pos="540"/>
          <w:tab w:val="left" w:pos="569"/>
        </w:tabs>
        <w:jc w:val="both"/>
        <w:rPr>
          <w:sz w:val="22"/>
          <w:szCs w:val="22"/>
          <w:lang w:val="sr-Latn-ME"/>
        </w:rPr>
      </w:pPr>
      <w:r w:rsidRPr="0056436C">
        <w:rPr>
          <w:sz w:val="22"/>
          <w:szCs w:val="22"/>
          <w:lang w:val="sr-Latn-ME"/>
        </w:rPr>
        <w:t>Upotreba DDP-4 inhibitora se dovodi u vezu sa rizikom od razvoja akutnog pankreatitisa. Pacijente treba upoznati sa karakterističnim simptomom akutnog pankreatitisa, a to je perzistentan i jak abdominalni bol. Uočeno je da se pankreatitis povlači nakon prestanka uzimanja sitagliptina (sa</w:t>
      </w:r>
      <w:r w:rsidR="00502A11" w:rsidRPr="0056436C">
        <w:rPr>
          <w:sz w:val="22"/>
          <w:szCs w:val="22"/>
          <w:lang w:val="sr-Latn-ME"/>
        </w:rPr>
        <w:t xml:space="preserve"> suportivnom terapijom</w:t>
      </w:r>
      <w:r w:rsidRPr="0056436C">
        <w:rPr>
          <w:sz w:val="22"/>
          <w:szCs w:val="22"/>
          <w:lang w:val="sr-Latn-ME"/>
        </w:rPr>
        <w:t xml:space="preserve"> ili bez</w:t>
      </w:r>
      <w:r w:rsidR="00502A11" w:rsidRPr="0056436C">
        <w:rPr>
          <w:sz w:val="22"/>
          <w:szCs w:val="22"/>
          <w:lang w:val="sr-Latn-ME"/>
        </w:rPr>
        <w:t xml:space="preserve"> nje</w:t>
      </w:r>
      <w:r w:rsidRPr="0056436C">
        <w:rPr>
          <w:sz w:val="22"/>
          <w:szCs w:val="22"/>
          <w:lang w:val="sr-Latn-ME"/>
        </w:rPr>
        <w:t xml:space="preserve">), ali su ipak zabilježeni veoma rijetki slučajevi nekrotizirajućeg ili hemoragijskog pankreatitisa i/ili smrtnog ishoda. Ako se sumnja na postojanje pankreatitisa, treba prekinuti primjenu lijeka </w:t>
      </w:r>
      <w:r w:rsidR="003714E8" w:rsidRPr="0056436C">
        <w:rPr>
          <w:sz w:val="22"/>
          <w:szCs w:val="22"/>
          <w:lang w:val="sr-Latn-ME"/>
        </w:rPr>
        <w:t>Sitagliptin Teva</w:t>
      </w:r>
      <w:r w:rsidRPr="0056436C">
        <w:rPr>
          <w:sz w:val="22"/>
          <w:szCs w:val="22"/>
          <w:lang w:val="sr-Latn-ME"/>
        </w:rPr>
        <w:t>, kao i primjenu svih drugih potencijalno sumnjivih ljekova. Ukoliko se akutni pankreatitis dijagnostikuje, terapij</w:t>
      </w:r>
      <w:r w:rsidR="00502A11" w:rsidRPr="0056436C">
        <w:rPr>
          <w:sz w:val="22"/>
          <w:szCs w:val="22"/>
          <w:lang w:val="sr-Latn-ME"/>
        </w:rPr>
        <w:t>u</w:t>
      </w:r>
      <w:r w:rsidRPr="0056436C">
        <w:rPr>
          <w:sz w:val="22"/>
          <w:szCs w:val="22"/>
          <w:lang w:val="sr-Latn-ME"/>
        </w:rPr>
        <w:t xml:space="preserve"> lijekom </w:t>
      </w:r>
      <w:r w:rsidR="003714E8" w:rsidRPr="0056436C">
        <w:rPr>
          <w:sz w:val="22"/>
          <w:szCs w:val="22"/>
          <w:lang w:val="sr-Latn-ME"/>
        </w:rPr>
        <w:t>Sitagliptin Teva</w:t>
      </w:r>
      <w:r w:rsidRPr="0056436C">
        <w:rPr>
          <w:sz w:val="22"/>
          <w:szCs w:val="22"/>
          <w:lang w:val="sr-Latn-ME"/>
        </w:rPr>
        <w:t xml:space="preserve"> ne treba ponovo uv</w:t>
      </w:r>
      <w:r w:rsidR="00502A11" w:rsidRPr="0056436C">
        <w:rPr>
          <w:sz w:val="22"/>
          <w:szCs w:val="22"/>
          <w:lang w:val="sr-Latn-ME"/>
        </w:rPr>
        <w:t>oditi</w:t>
      </w:r>
      <w:r w:rsidRPr="0056436C">
        <w:rPr>
          <w:sz w:val="22"/>
          <w:szCs w:val="22"/>
          <w:lang w:val="sr-Latn-ME"/>
        </w:rPr>
        <w:t>. Posebnu pažnju je potrebno obratiti na pacijente koji su bolovali od pankreatitisa.</w:t>
      </w:r>
    </w:p>
    <w:p w:rsidR="007E74EB" w:rsidRPr="0056436C" w:rsidRDefault="007E74EB" w:rsidP="0056436C">
      <w:pPr>
        <w:tabs>
          <w:tab w:val="left" w:pos="540"/>
          <w:tab w:val="left" w:pos="569"/>
        </w:tabs>
        <w:jc w:val="both"/>
        <w:rPr>
          <w:sz w:val="22"/>
          <w:szCs w:val="22"/>
          <w:u w:val="single"/>
          <w:lang w:val="sr-Latn-ME"/>
        </w:rPr>
      </w:pPr>
    </w:p>
    <w:p w:rsidR="007E74EB" w:rsidRPr="0056436C" w:rsidRDefault="007E74EB" w:rsidP="0056436C">
      <w:pPr>
        <w:tabs>
          <w:tab w:val="left" w:pos="540"/>
          <w:tab w:val="left" w:pos="569"/>
        </w:tabs>
        <w:jc w:val="both"/>
        <w:rPr>
          <w:sz w:val="22"/>
          <w:szCs w:val="22"/>
          <w:u w:val="single"/>
          <w:lang w:val="sr-Latn-ME"/>
        </w:rPr>
      </w:pPr>
      <w:r w:rsidRPr="0056436C">
        <w:rPr>
          <w:sz w:val="22"/>
          <w:szCs w:val="22"/>
          <w:u w:val="single"/>
          <w:lang w:val="sr-Latn-ME"/>
        </w:rPr>
        <w:t>Hipoglikemija pri kombinovanoj terapiji sa drugim antihiperglikemijskim ljekovima</w:t>
      </w:r>
    </w:p>
    <w:p w:rsidR="007E74EB" w:rsidRPr="0056436C" w:rsidRDefault="007E74EB" w:rsidP="0056436C">
      <w:pPr>
        <w:tabs>
          <w:tab w:val="left" w:pos="540"/>
          <w:tab w:val="left" w:pos="569"/>
        </w:tabs>
        <w:jc w:val="both"/>
        <w:rPr>
          <w:sz w:val="22"/>
          <w:szCs w:val="22"/>
          <w:lang w:val="sr-Latn-ME"/>
        </w:rPr>
      </w:pPr>
      <w:r w:rsidRPr="0056436C">
        <w:rPr>
          <w:sz w:val="22"/>
          <w:szCs w:val="22"/>
          <w:lang w:val="sr-Latn-ME"/>
        </w:rPr>
        <w:t>U kliničkim ispitivanjima u kojima je l</w:t>
      </w:r>
      <w:r w:rsidR="00502A11" w:rsidRPr="0056436C">
        <w:rPr>
          <w:sz w:val="22"/>
          <w:szCs w:val="22"/>
          <w:lang w:val="sr-Latn-ME"/>
        </w:rPr>
        <w:t>ij</w:t>
      </w:r>
      <w:r w:rsidRPr="0056436C">
        <w:rPr>
          <w:sz w:val="22"/>
          <w:szCs w:val="22"/>
          <w:lang w:val="sr-Latn-ME"/>
        </w:rPr>
        <w:t xml:space="preserve">ek </w:t>
      </w:r>
      <w:r w:rsidR="003714E8" w:rsidRPr="0056436C">
        <w:rPr>
          <w:sz w:val="22"/>
          <w:szCs w:val="22"/>
          <w:lang w:val="sr-Latn-ME"/>
        </w:rPr>
        <w:t>Sitagliptin Teva</w:t>
      </w:r>
      <w:r w:rsidRPr="0056436C">
        <w:rPr>
          <w:sz w:val="22"/>
          <w:szCs w:val="22"/>
          <w:lang w:val="sr-Latn-ME"/>
        </w:rPr>
        <w:t xml:space="preserve"> primjenjivan </w:t>
      </w:r>
      <w:r w:rsidR="00502A11" w:rsidRPr="0056436C">
        <w:rPr>
          <w:sz w:val="22"/>
          <w:szCs w:val="22"/>
          <w:lang w:val="sr-Latn-ME"/>
        </w:rPr>
        <w:t>kao</w:t>
      </w:r>
      <w:r w:rsidRPr="0056436C">
        <w:rPr>
          <w:sz w:val="22"/>
          <w:szCs w:val="22"/>
          <w:lang w:val="sr-Latn-ME"/>
        </w:rPr>
        <w:t xml:space="preserve"> monoterapij</w:t>
      </w:r>
      <w:r w:rsidR="00502A11" w:rsidRPr="0056436C">
        <w:rPr>
          <w:sz w:val="22"/>
          <w:szCs w:val="22"/>
          <w:lang w:val="sr-Latn-ME"/>
        </w:rPr>
        <w:t>a</w:t>
      </w:r>
      <w:r w:rsidRPr="0056436C">
        <w:rPr>
          <w:sz w:val="22"/>
          <w:szCs w:val="22"/>
          <w:lang w:val="sr-Latn-ME"/>
        </w:rPr>
        <w:t xml:space="preserve"> i u kombinovanoj terapiji sa ljekovima za koje se zna da ne dovode do pojave hipoglikemije (na prim</w:t>
      </w:r>
      <w:r w:rsidR="00502A11" w:rsidRPr="0056436C">
        <w:rPr>
          <w:sz w:val="22"/>
          <w:szCs w:val="22"/>
          <w:lang w:val="sr-Latn-ME"/>
        </w:rPr>
        <w:t>j</w:t>
      </w:r>
      <w:r w:rsidRPr="0056436C">
        <w:rPr>
          <w:sz w:val="22"/>
          <w:szCs w:val="22"/>
          <w:lang w:val="sr-Latn-ME"/>
        </w:rPr>
        <w:t xml:space="preserve">er: metformin i/ili PPARγ agonist), učestalost hipoglikemije zabilježene kod primjene sitagliptina bile su slične onim uočenim kod pacijenata koji su dobijali placebo. Hipoglikemija je zabilježena prilikom kombinovane primjene sitagliptina sa insulinom ili sulfonilureom. Stoga, da bi se smanjio rizik za pojavu hipoglikemije, treba razmotriti primjenu </w:t>
      </w:r>
      <w:r w:rsidR="00502A11" w:rsidRPr="0056436C">
        <w:rPr>
          <w:sz w:val="22"/>
          <w:szCs w:val="22"/>
          <w:lang w:val="sr-Latn-ME"/>
        </w:rPr>
        <w:t xml:space="preserve">niže </w:t>
      </w:r>
      <w:r w:rsidRPr="0056436C">
        <w:rPr>
          <w:sz w:val="22"/>
          <w:szCs w:val="22"/>
          <w:lang w:val="sr-Latn-ME"/>
        </w:rPr>
        <w:t>doze sulfoniluree ili insulina (vidjeti dio 4.2).</w:t>
      </w:r>
    </w:p>
    <w:p w:rsidR="007E74EB" w:rsidRPr="0056436C" w:rsidRDefault="007E74EB" w:rsidP="0056436C">
      <w:pPr>
        <w:tabs>
          <w:tab w:val="left" w:pos="540"/>
          <w:tab w:val="left" w:pos="569"/>
        </w:tabs>
        <w:jc w:val="both"/>
        <w:rPr>
          <w:sz w:val="22"/>
          <w:szCs w:val="22"/>
          <w:u w:val="single"/>
          <w:lang w:val="sr-Latn-ME"/>
        </w:rPr>
      </w:pPr>
    </w:p>
    <w:p w:rsidR="00B43006" w:rsidRDefault="00B43006" w:rsidP="0056436C">
      <w:pPr>
        <w:tabs>
          <w:tab w:val="left" w:pos="540"/>
          <w:tab w:val="left" w:pos="569"/>
        </w:tabs>
        <w:jc w:val="both"/>
        <w:rPr>
          <w:sz w:val="22"/>
          <w:szCs w:val="22"/>
          <w:u w:val="single"/>
          <w:lang w:val="sr-Latn-ME"/>
        </w:rPr>
      </w:pPr>
    </w:p>
    <w:p w:rsidR="007E74EB" w:rsidRPr="0056436C" w:rsidRDefault="007E74EB" w:rsidP="0056436C">
      <w:pPr>
        <w:tabs>
          <w:tab w:val="left" w:pos="540"/>
          <w:tab w:val="left" w:pos="569"/>
        </w:tabs>
        <w:jc w:val="both"/>
        <w:rPr>
          <w:sz w:val="22"/>
          <w:szCs w:val="22"/>
          <w:u w:val="single"/>
          <w:lang w:val="sr-Latn-ME"/>
        </w:rPr>
      </w:pPr>
      <w:r w:rsidRPr="0056436C">
        <w:rPr>
          <w:sz w:val="22"/>
          <w:szCs w:val="22"/>
          <w:u w:val="single"/>
          <w:lang w:val="sr-Latn-ME"/>
        </w:rPr>
        <w:lastRenderedPageBreak/>
        <w:t>Oštećenje funkcije bubrega</w:t>
      </w:r>
    </w:p>
    <w:p w:rsidR="007E74EB" w:rsidRPr="0056436C" w:rsidRDefault="007E74EB" w:rsidP="0056436C">
      <w:pPr>
        <w:tabs>
          <w:tab w:val="left" w:pos="540"/>
          <w:tab w:val="left" w:pos="569"/>
        </w:tabs>
        <w:jc w:val="both"/>
        <w:rPr>
          <w:sz w:val="22"/>
          <w:szCs w:val="22"/>
          <w:lang w:val="sr-Latn-ME"/>
        </w:rPr>
      </w:pPr>
      <w:r w:rsidRPr="0056436C">
        <w:rPr>
          <w:sz w:val="22"/>
          <w:szCs w:val="22"/>
          <w:lang w:val="sr-Latn-ME"/>
        </w:rPr>
        <w:t xml:space="preserve">Sitagliptin se izlučuje preko bubrega. U cilju postizanja koncentracija sitagliptina u plazmi koje su slične koncentracijama kod pacijenata sa normalnom bubrežnom funkcijom, preporučuje se primjena </w:t>
      </w:r>
      <w:r w:rsidR="00502A11" w:rsidRPr="0056436C">
        <w:rPr>
          <w:sz w:val="22"/>
          <w:szCs w:val="22"/>
          <w:lang w:val="sr-Latn-ME"/>
        </w:rPr>
        <w:t xml:space="preserve">nižih </w:t>
      </w:r>
      <w:r w:rsidRPr="0056436C">
        <w:rPr>
          <w:sz w:val="22"/>
          <w:szCs w:val="22"/>
          <w:lang w:val="sr-Latn-ME"/>
        </w:rPr>
        <w:t xml:space="preserve">doza lijeka kod pacijenata sa GFR &lt; 45 </w:t>
      </w:r>
      <w:r w:rsidR="00F725BA" w:rsidRPr="0056436C">
        <w:rPr>
          <w:sz w:val="22"/>
          <w:szCs w:val="22"/>
          <w:lang w:val="sr-Latn-ME"/>
        </w:rPr>
        <w:t>ml</w:t>
      </w:r>
      <w:r w:rsidRPr="0056436C">
        <w:rPr>
          <w:sz w:val="22"/>
          <w:szCs w:val="22"/>
          <w:lang w:val="sr-Latn-ME"/>
        </w:rPr>
        <w:t xml:space="preserve">/min, kao i kod pacijenata u terminalnoj fazi </w:t>
      </w:r>
      <w:r w:rsidR="00502A11" w:rsidRPr="0056436C">
        <w:rPr>
          <w:sz w:val="22"/>
          <w:szCs w:val="22"/>
          <w:lang w:val="sr-Latn-ME"/>
        </w:rPr>
        <w:t xml:space="preserve">bubrežne </w:t>
      </w:r>
      <w:r w:rsidRPr="0056436C">
        <w:rPr>
          <w:sz w:val="22"/>
          <w:szCs w:val="22"/>
          <w:lang w:val="sr-Latn-ME"/>
        </w:rPr>
        <w:t>bolesti koji su na hemodijalizi ili na peritonealnoj dijalizi (vidjeti djelove 4.2</w:t>
      </w:r>
      <w:r w:rsidR="00502A11" w:rsidRPr="0056436C">
        <w:rPr>
          <w:sz w:val="22"/>
          <w:szCs w:val="22"/>
          <w:lang w:val="sr-Latn-ME"/>
        </w:rPr>
        <w:t>.</w:t>
      </w:r>
      <w:r w:rsidRPr="0056436C">
        <w:rPr>
          <w:sz w:val="22"/>
          <w:szCs w:val="22"/>
          <w:lang w:val="sr-Latn-ME"/>
        </w:rPr>
        <w:t xml:space="preserve"> i 5.2).</w:t>
      </w:r>
    </w:p>
    <w:p w:rsidR="007E74EB" w:rsidRPr="0056436C" w:rsidRDefault="007E74EB" w:rsidP="0056436C">
      <w:pPr>
        <w:tabs>
          <w:tab w:val="left" w:pos="540"/>
          <w:tab w:val="left" w:pos="569"/>
        </w:tabs>
        <w:jc w:val="both"/>
        <w:rPr>
          <w:sz w:val="22"/>
          <w:szCs w:val="22"/>
          <w:lang w:val="sr-Latn-ME"/>
        </w:rPr>
      </w:pPr>
    </w:p>
    <w:p w:rsidR="007E74EB" w:rsidRPr="0056436C" w:rsidRDefault="007E74EB" w:rsidP="0056436C">
      <w:pPr>
        <w:tabs>
          <w:tab w:val="left" w:pos="540"/>
          <w:tab w:val="left" w:pos="569"/>
        </w:tabs>
        <w:jc w:val="both"/>
        <w:rPr>
          <w:sz w:val="22"/>
          <w:szCs w:val="22"/>
          <w:lang w:val="sr-Latn-ME"/>
        </w:rPr>
      </w:pPr>
      <w:r w:rsidRPr="0056436C">
        <w:rPr>
          <w:sz w:val="22"/>
          <w:szCs w:val="22"/>
          <w:lang w:val="sr-Latn-ME"/>
        </w:rPr>
        <w:t>Ako se planira primjena sitagliptina u kombinaciji sa drugim antidijabeticima</w:t>
      </w:r>
      <w:r w:rsidR="00502A11" w:rsidRPr="0056436C">
        <w:rPr>
          <w:sz w:val="22"/>
          <w:szCs w:val="22"/>
          <w:lang w:val="sr-Latn-ME"/>
        </w:rPr>
        <w:t xml:space="preserve"> kod</w:t>
      </w:r>
      <w:r w:rsidRPr="0056436C">
        <w:rPr>
          <w:sz w:val="22"/>
          <w:szCs w:val="22"/>
          <w:lang w:val="sr-Latn-ME"/>
        </w:rPr>
        <w:t xml:space="preserve"> pacijen</w:t>
      </w:r>
      <w:r w:rsidR="00502A11" w:rsidRPr="0056436C">
        <w:rPr>
          <w:sz w:val="22"/>
          <w:szCs w:val="22"/>
          <w:lang w:val="sr-Latn-ME"/>
        </w:rPr>
        <w:t>a</w:t>
      </w:r>
      <w:r w:rsidRPr="0056436C">
        <w:rPr>
          <w:sz w:val="22"/>
          <w:szCs w:val="22"/>
          <w:lang w:val="sr-Latn-ME"/>
        </w:rPr>
        <w:t>ta sa oštećenom funkcijom bubrega, potrebno je da se pr</w:t>
      </w:r>
      <w:r w:rsidR="00502A11" w:rsidRPr="0056436C">
        <w:rPr>
          <w:sz w:val="22"/>
          <w:szCs w:val="22"/>
          <w:lang w:val="sr-Latn-ME"/>
        </w:rPr>
        <w:t>ij</w:t>
      </w:r>
      <w:r w:rsidRPr="0056436C">
        <w:rPr>
          <w:sz w:val="22"/>
          <w:szCs w:val="22"/>
          <w:lang w:val="sr-Latn-ME"/>
        </w:rPr>
        <w:t>e toga uradi prov</w:t>
      </w:r>
      <w:r w:rsidR="00502A11" w:rsidRPr="0056436C">
        <w:rPr>
          <w:sz w:val="22"/>
          <w:szCs w:val="22"/>
          <w:lang w:val="sr-Latn-ME"/>
        </w:rPr>
        <w:t>j</w:t>
      </w:r>
      <w:r w:rsidRPr="0056436C">
        <w:rPr>
          <w:sz w:val="22"/>
          <w:szCs w:val="22"/>
          <w:lang w:val="sr-Latn-ME"/>
        </w:rPr>
        <w:t>era uslova za korišćenje ovih l</w:t>
      </w:r>
      <w:r w:rsidR="00502A11" w:rsidRPr="0056436C">
        <w:rPr>
          <w:sz w:val="22"/>
          <w:szCs w:val="22"/>
          <w:lang w:val="sr-Latn-ME"/>
        </w:rPr>
        <w:t>j</w:t>
      </w:r>
      <w:r w:rsidRPr="0056436C">
        <w:rPr>
          <w:sz w:val="22"/>
          <w:szCs w:val="22"/>
          <w:lang w:val="sr-Latn-ME"/>
        </w:rPr>
        <w:t>ekova kod tih pacijenata.</w:t>
      </w:r>
    </w:p>
    <w:p w:rsidR="007E74EB" w:rsidRPr="0056436C" w:rsidRDefault="007E74EB" w:rsidP="0056436C">
      <w:pPr>
        <w:tabs>
          <w:tab w:val="left" w:pos="540"/>
          <w:tab w:val="left" w:pos="569"/>
        </w:tabs>
        <w:jc w:val="both"/>
        <w:rPr>
          <w:sz w:val="22"/>
          <w:szCs w:val="22"/>
          <w:u w:val="single"/>
          <w:lang w:val="sr-Latn-ME"/>
        </w:rPr>
      </w:pPr>
    </w:p>
    <w:p w:rsidR="007E74EB" w:rsidRPr="0056436C" w:rsidRDefault="007E74EB" w:rsidP="0056436C">
      <w:pPr>
        <w:tabs>
          <w:tab w:val="left" w:pos="540"/>
          <w:tab w:val="left" w:pos="569"/>
        </w:tabs>
        <w:jc w:val="both"/>
        <w:rPr>
          <w:sz w:val="22"/>
          <w:szCs w:val="22"/>
          <w:u w:val="single"/>
          <w:lang w:val="sr-Latn-ME"/>
        </w:rPr>
      </w:pPr>
      <w:r w:rsidRPr="0056436C">
        <w:rPr>
          <w:sz w:val="22"/>
          <w:szCs w:val="22"/>
          <w:u w:val="single"/>
          <w:lang w:val="sr-Latn-ME"/>
        </w:rPr>
        <w:t>Reakcije preosjetljivosti</w:t>
      </w:r>
    </w:p>
    <w:p w:rsidR="007E74EB" w:rsidRPr="0056436C" w:rsidRDefault="007E74EB" w:rsidP="0056436C">
      <w:pPr>
        <w:tabs>
          <w:tab w:val="left" w:pos="540"/>
          <w:tab w:val="left" w:pos="569"/>
        </w:tabs>
        <w:jc w:val="both"/>
        <w:rPr>
          <w:sz w:val="22"/>
          <w:szCs w:val="22"/>
          <w:lang w:val="sr-Latn-ME"/>
        </w:rPr>
      </w:pPr>
      <w:r w:rsidRPr="0056436C">
        <w:rPr>
          <w:sz w:val="22"/>
          <w:szCs w:val="22"/>
          <w:lang w:val="sr-Latn-ME"/>
        </w:rPr>
        <w:t>Nakon stavljanja lijeka u promet, zabilježene su ozbiljne reakcije preosjetljivosti kod pacijenata koji su uzimali sitagliptin. Ove reakcije uključ</w:t>
      </w:r>
      <w:r w:rsidR="000C391E" w:rsidRPr="0056436C">
        <w:rPr>
          <w:sz w:val="22"/>
          <w:szCs w:val="22"/>
          <w:lang w:val="sr-Latn-ME"/>
        </w:rPr>
        <w:t>uju</w:t>
      </w:r>
      <w:r w:rsidRPr="0056436C">
        <w:rPr>
          <w:sz w:val="22"/>
          <w:szCs w:val="22"/>
          <w:lang w:val="sr-Latn-ME"/>
        </w:rPr>
        <w:t xml:space="preserve"> anafilaksu, angioedem i eksfolijativne promjene na koži, uključujući Stivens-Džonsonov sindrom. Ove reakcije su se pojavljivale u vremenu od prva 3 mjeseca nakon početka terapije, a neki slučajevi su čak prijavljeni odmah nakon uzimanja prve doze lijeka. Ukoliko se sumnja na postojanje reakcije preosjetljivosti, treba prekinuti uzimanje lijeka </w:t>
      </w:r>
      <w:r w:rsidR="003714E8" w:rsidRPr="0056436C">
        <w:rPr>
          <w:sz w:val="22"/>
          <w:szCs w:val="22"/>
          <w:lang w:val="sr-Latn-ME"/>
        </w:rPr>
        <w:t>Sitagliptin Teva</w:t>
      </w:r>
      <w:r w:rsidRPr="0056436C">
        <w:rPr>
          <w:sz w:val="22"/>
          <w:szCs w:val="22"/>
          <w:lang w:val="sr-Latn-ME"/>
        </w:rPr>
        <w:t>, uraditi procjenu drugih mogućih uzroka za pojavu date reakcije, i uvesti alternativnu terapiju za dijabetes.</w:t>
      </w:r>
    </w:p>
    <w:p w:rsidR="007E74EB" w:rsidRPr="0056436C" w:rsidRDefault="007E74EB" w:rsidP="0056436C">
      <w:pPr>
        <w:tabs>
          <w:tab w:val="left" w:pos="540"/>
          <w:tab w:val="left" w:pos="569"/>
        </w:tabs>
        <w:jc w:val="both"/>
        <w:rPr>
          <w:sz w:val="22"/>
          <w:szCs w:val="22"/>
          <w:u w:val="single"/>
          <w:lang w:val="sr-Latn-ME"/>
        </w:rPr>
      </w:pPr>
    </w:p>
    <w:p w:rsidR="007E74EB" w:rsidRPr="0056436C" w:rsidRDefault="007E74EB" w:rsidP="0056436C">
      <w:pPr>
        <w:tabs>
          <w:tab w:val="left" w:pos="540"/>
          <w:tab w:val="left" w:pos="569"/>
        </w:tabs>
        <w:jc w:val="both"/>
        <w:rPr>
          <w:sz w:val="22"/>
          <w:szCs w:val="22"/>
          <w:u w:val="single"/>
          <w:lang w:val="sr-Latn-ME"/>
        </w:rPr>
      </w:pPr>
      <w:r w:rsidRPr="0056436C">
        <w:rPr>
          <w:sz w:val="22"/>
          <w:szCs w:val="22"/>
          <w:u w:val="single"/>
          <w:lang w:val="sr-Latn-ME"/>
        </w:rPr>
        <w:t>Bulozni pemfigoid</w:t>
      </w:r>
    </w:p>
    <w:p w:rsidR="007E74EB" w:rsidRPr="0056436C" w:rsidRDefault="000C391E" w:rsidP="0056436C">
      <w:pPr>
        <w:tabs>
          <w:tab w:val="left" w:pos="540"/>
          <w:tab w:val="left" w:pos="569"/>
        </w:tabs>
        <w:jc w:val="both"/>
        <w:rPr>
          <w:sz w:val="22"/>
          <w:szCs w:val="22"/>
          <w:lang w:val="sr-Latn-ME"/>
        </w:rPr>
      </w:pPr>
      <w:r w:rsidRPr="0056436C">
        <w:rPr>
          <w:sz w:val="22"/>
          <w:szCs w:val="22"/>
          <w:lang w:val="sr-Latn-ME"/>
        </w:rPr>
        <w:t>Nakon stavljanja lijeka u promet, zabilježen je</w:t>
      </w:r>
      <w:r w:rsidR="007E74EB" w:rsidRPr="0056436C">
        <w:rPr>
          <w:sz w:val="22"/>
          <w:szCs w:val="22"/>
          <w:lang w:val="sr-Latn-ME"/>
        </w:rPr>
        <w:t xml:space="preserve"> bulozn</w:t>
      </w:r>
      <w:r w:rsidRPr="0056436C">
        <w:rPr>
          <w:sz w:val="22"/>
          <w:szCs w:val="22"/>
          <w:lang w:val="sr-Latn-ME"/>
        </w:rPr>
        <w:t>i</w:t>
      </w:r>
      <w:r w:rsidR="007E74EB" w:rsidRPr="0056436C">
        <w:rPr>
          <w:sz w:val="22"/>
          <w:szCs w:val="22"/>
          <w:lang w:val="sr-Latn-ME"/>
        </w:rPr>
        <w:t xml:space="preserve"> pemfigoid kod pacijenata koji uzimaju </w:t>
      </w:r>
      <w:r w:rsidRPr="0056436C">
        <w:rPr>
          <w:sz w:val="22"/>
          <w:szCs w:val="22"/>
          <w:lang w:val="sr-Latn-ME"/>
        </w:rPr>
        <w:t xml:space="preserve">DPP-4 </w:t>
      </w:r>
      <w:r w:rsidR="007E74EB" w:rsidRPr="0056436C">
        <w:rPr>
          <w:sz w:val="22"/>
          <w:szCs w:val="22"/>
          <w:lang w:val="sr-Latn-ME"/>
        </w:rPr>
        <w:t>inhibitore</w:t>
      </w:r>
      <w:r w:rsidRPr="0056436C">
        <w:rPr>
          <w:sz w:val="22"/>
          <w:szCs w:val="22"/>
          <w:lang w:val="sr-Latn-ME"/>
        </w:rPr>
        <w:t>,</w:t>
      </w:r>
      <w:r w:rsidR="007E74EB" w:rsidRPr="0056436C">
        <w:rPr>
          <w:sz w:val="22"/>
          <w:szCs w:val="22"/>
          <w:lang w:val="sr-Latn-ME"/>
        </w:rPr>
        <w:t xml:space="preserve"> uključujući sitagliptin. Ukoliko se sumnja na bulozni pemfigoid, treba prekinuti sa primjenom lijeka </w:t>
      </w:r>
      <w:r w:rsidR="003714E8" w:rsidRPr="0056436C">
        <w:rPr>
          <w:sz w:val="22"/>
          <w:szCs w:val="22"/>
          <w:lang w:val="sr-Latn-ME"/>
        </w:rPr>
        <w:t>Sitagliptin Teva</w:t>
      </w:r>
      <w:r w:rsidR="007E74EB" w:rsidRPr="0056436C">
        <w:rPr>
          <w:sz w:val="22"/>
          <w:szCs w:val="22"/>
          <w:lang w:val="sr-Latn-ME"/>
        </w:rPr>
        <w:t>.</w:t>
      </w:r>
    </w:p>
    <w:p w:rsidR="00AC6A46" w:rsidRPr="0056436C" w:rsidRDefault="00AC6A46" w:rsidP="0056436C">
      <w:pPr>
        <w:tabs>
          <w:tab w:val="left" w:pos="540"/>
          <w:tab w:val="left" w:pos="569"/>
        </w:tabs>
        <w:jc w:val="both"/>
        <w:rPr>
          <w:sz w:val="22"/>
          <w:szCs w:val="22"/>
          <w:u w:val="single"/>
          <w:lang w:val="sr-Latn-ME"/>
        </w:rPr>
      </w:pPr>
    </w:p>
    <w:p w:rsidR="003714E8" w:rsidRPr="0056436C" w:rsidRDefault="003714E8" w:rsidP="0056436C">
      <w:pPr>
        <w:tabs>
          <w:tab w:val="left" w:pos="540"/>
          <w:tab w:val="left" w:pos="569"/>
        </w:tabs>
        <w:jc w:val="both"/>
        <w:rPr>
          <w:sz w:val="22"/>
          <w:szCs w:val="22"/>
          <w:u w:val="single"/>
          <w:lang w:val="sr-Latn-ME"/>
        </w:rPr>
      </w:pPr>
      <w:r w:rsidRPr="0056436C">
        <w:rPr>
          <w:sz w:val="22"/>
          <w:szCs w:val="22"/>
          <w:u w:val="single"/>
          <w:lang w:val="sr-Latn-ME"/>
        </w:rPr>
        <w:t>Pomoćne supstance</w:t>
      </w:r>
    </w:p>
    <w:p w:rsidR="003714E8" w:rsidRPr="0056436C" w:rsidRDefault="003714E8" w:rsidP="0056436C">
      <w:pPr>
        <w:tabs>
          <w:tab w:val="left" w:pos="540"/>
          <w:tab w:val="left" w:pos="569"/>
        </w:tabs>
        <w:jc w:val="both"/>
        <w:rPr>
          <w:sz w:val="22"/>
          <w:szCs w:val="22"/>
          <w:lang w:val="sr-Latn-ME"/>
        </w:rPr>
      </w:pPr>
      <w:r w:rsidRPr="0056436C">
        <w:rPr>
          <w:sz w:val="22"/>
          <w:szCs w:val="22"/>
          <w:lang w:val="sr-Latn-ME"/>
        </w:rPr>
        <w:t>Natrijum</w:t>
      </w:r>
    </w:p>
    <w:p w:rsidR="003714E8" w:rsidRPr="0056436C" w:rsidRDefault="003714E8" w:rsidP="0056436C">
      <w:pPr>
        <w:tabs>
          <w:tab w:val="left" w:pos="540"/>
          <w:tab w:val="left" w:pos="569"/>
        </w:tabs>
        <w:jc w:val="both"/>
        <w:rPr>
          <w:sz w:val="22"/>
          <w:szCs w:val="22"/>
          <w:lang w:val="sr-Latn-ME"/>
        </w:rPr>
      </w:pPr>
      <w:r w:rsidRPr="0056436C">
        <w:rPr>
          <w:sz w:val="22"/>
          <w:szCs w:val="22"/>
          <w:lang w:val="sr-Latn-ME"/>
        </w:rPr>
        <w:t>Ovaj lijek sadrži manje od 1 mmol (23 mg) natrijuma po tableti, tj. zanemarljive količine natrijuma</w:t>
      </w:r>
    </w:p>
    <w:p w:rsidR="003714E8" w:rsidRPr="0056436C" w:rsidRDefault="003714E8" w:rsidP="0056436C">
      <w:pPr>
        <w:tabs>
          <w:tab w:val="left" w:pos="540"/>
          <w:tab w:val="left" w:pos="569"/>
        </w:tabs>
        <w:rPr>
          <w:sz w:val="22"/>
          <w:szCs w:val="22"/>
          <w:u w:val="single"/>
          <w:lang w:val="sr-Latn-ME"/>
        </w:rPr>
      </w:pPr>
    </w:p>
    <w:p w:rsidR="00411B4B" w:rsidRPr="0056436C" w:rsidRDefault="00411B4B" w:rsidP="0056436C">
      <w:pPr>
        <w:tabs>
          <w:tab w:val="left" w:pos="540"/>
          <w:tab w:val="left" w:pos="569"/>
        </w:tabs>
        <w:rPr>
          <w:b/>
          <w:bCs/>
          <w:sz w:val="22"/>
          <w:szCs w:val="22"/>
          <w:lang w:val="sr-Latn-ME"/>
        </w:rPr>
      </w:pPr>
      <w:r w:rsidRPr="0056436C">
        <w:rPr>
          <w:b/>
          <w:bCs/>
          <w:sz w:val="22"/>
          <w:szCs w:val="22"/>
          <w:lang w:val="sr-Latn-ME"/>
        </w:rPr>
        <w:t>4.5.</w:t>
      </w:r>
      <w:r w:rsidR="00E21D56" w:rsidRPr="0056436C">
        <w:rPr>
          <w:b/>
          <w:bCs/>
          <w:sz w:val="22"/>
          <w:szCs w:val="22"/>
          <w:lang w:val="sr-Latn-ME"/>
        </w:rPr>
        <w:tab/>
        <w:t>I</w:t>
      </w:r>
      <w:r w:rsidRPr="0056436C">
        <w:rPr>
          <w:b/>
          <w:bCs/>
          <w:sz w:val="22"/>
          <w:szCs w:val="22"/>
          <w:lang w:val="sr-Latn-ME"/>
        </w:rPr>
        <w:t>nterakcije sa drugim ljekovima i druge vrste interakcija</w:t>
      </w:r>
    </w:p>
    <w:p w:rsidR="00A65AFD" w:rsidRPr="0056436C" w:rsidRDefault="00A65AFD" w:rsidP="0056436C">
      <w:pPr>
        <w:tabs>
          <w:tab w:val="left" w:pos="540"/>
          <w:tab w:val="left" w:pos="569"/>
        </w:tabs>
        <w:rPr>
          <w:bCs/>
          <w:i/>
          <w:sz w:val="22"/>
          <w:szCs w:val="22"/>
          <w:u w:val="single"/>
          <w:lang w:val="sr-Latn-ME"/>
        </w:rPr>
      </w:pPr>
    </w:p>
    <w:p w:rsidR="00A65AFD" w:rsidRPr="0056436C" w:rsidRDefault="00A65AFD" w:rsidP="0056436C">
      <w:pPr>
        <w:tabs>
          <w:tab w:val="left" w:pos="540"/>
          <w:tab w:val="left" w:pos="569"/>
        </w:tabs>
        <w:jc w:val="both"/>
        <w:rPr>
          <w:bCs/>
          <w:i/>
          <w:sz w:val="22"/>
          <w:szCs w:val="22"/>
          <w:lang w:val="sr-Latn-ME"/>
        </w:rPr>
      </w:pPr>
      <w:r w:rsidRPr="0056436C">
        <w:rPr>
          <w:bCs/>
          <w:i/>
          <w:sz w:val="22"/>
          <w:szCs w:val="22"/>
          <w:u w:val="single"/>
          <w:lang w:val="sr-Latn-ME"/>
        </w:rPr>
        <w:t>Efekat drugih ljekova na sitagliptin</w:t>
      </w:r>
    </w:p>
    <w:p w:rsidR="00A65AFD" w:rsidRPr="0056436C" w:rsidRDefault="00A65AFD" w:rsidP="0056436C">
      <w:pPr>
        <w:tabs>
          <w:tab w:val="left" w:pos="540"/>
          <w:tab w:val="left" w:pos="569"/>
        </w:tabs>
        <w:jc w:val="both"/>
        <w:rPr>
          <w:bCs/>
          <w:i/>
          <w:sz w:val="22"/>
          <w:szCs w:val="22"/>
          <w:lang w:val="sr-Latn-ME"/>
        </w:rPr>
      </w:pPr>
    </w:p>
    <w:p w:rsidR="00A65AFD" w:rsidRPr="0056436C" w:rsidRDefault="00A65AFD" w:rsidP="0056436C">
      <w:pPr>
        <w:tabs>
          <w:tab w:val="left" w:pos="540"/>
          <w:tab w:val="left" w:pos="569"/>
        </w:tabs>
        <w:jc w:val="both"/>
        <w:rPr>
          <w:bCs/>
          <w:sz w:val="22"/>
          <w:szCs w:val="22"/>
          <w:lang w:val="sr-Latn-ME"/>
        </w:rPr>
      </w:pPr>
      <w:r w:rsidRPr="0056436C">
        <w:rPr>
          <w:bCs/>
          <w:sz w:val="22"/>
          <w:szCs w:val="22"/>
          <w:lang w:val="sr-Latn-ME"/>
        </w:rPr>
        <w:t>Dolje navedeni klinički podaci ukazuju na to da postoji mali rizik za pojavu klinički značajnih interakcija sa drugim istovremeno prim</w:t>
      </w:r>
      <w:r w:rsidR="000C391E" w:rsidRPr="0056436C">
        <w:rPr>
          <w:bCs/>
          <w:sz w:val="22"/>
          <w:szCs w:val="22"/>
          <w:lang w:val="sr-Latn-ME"/>
        </w:rPr>
        <w:t>i</w:t>
      </w:r>
      <w:r w:rsidRPr="0056436C">
        <w:rPr>
          <w:bCs/>
          <w:sz w:val="22"/>
          <w:szCs w:val="22"/>
          <w:lang w:val="sr-Latn-ME"/>
        </w:rPr>
        <w:t>jenjenim ljekovima.</w:t>
      </w:r>
    </w:p>
    <w:p w:rsidR="00A65AFD" w:rsidRPr="0056436C" w:rsidRDefault="00A65AFD" w:rsidP="0056436C">
      <w:pPr>
        <w:tabs>
          <w:tab w:val="left" w:pos="540"/>
          <w:tab w:val="left" w:pos="569"/>
        </w:tabs>
        <w:jc w:val="both"/>
        <w:rPr>
          <w:bCs/>
          <w:sz w:val="22"/>
          <w:szCs w:val="22"/>
          <w:lang w:val="sr-Latn-ME"/>
        </w:rPr>
      </w:pPr>
    </w:p>
    <w:p w:rsidR="00A65AFD" w:rsidRPr="0056436C" w:rsidRDefault="00A65AFD" w:rsidP="0056436C">
      <w:pPr>
        <w:tabs>
          <w:tab w:val="left" w:pos="540"/>
          <w:tab w:val="left" w:pos="569"/>
        </w:tabs>
        <w:jc w:val="both"/>
        <w:rPr>
          <w:bCs/>
          <w:sz w:val="22"/>
          <w:szCs w:val="22"/>
          <w:lang w:val="sr-Latn-ME"/>
        </w:rPr>
      </w:pPr>
      <w:r w:rsidRPr="0056436C">
        <w:rPr>
          <w:bCs/>
          <w:i/>
          <w:sz w:val="22"/>
          <w:szCs w:val="22"/>
          <w:lang w:val="sr-Latn-ME"/>
        </w:rPr>
        <w:t xml:space="preserve">In vitro </w:t>
      </w:r>
      <w:r w:rsidRPr="0056436C">
        <w:rPr>
          <w:bCs/>
          <w:sz w:val="22"/>
          <w:szCs w:val="22"/>
          <w:lang w:val="sr-Latn-ME"/>
        </w:rPr>
        <w:t>studije ukazuju na to da je CYP3A4 enzim koji je najviše odgovoran za ograničeni metabolizam sitagliptina, uz doprinos enzima CYP2C8. Kod pacijenata sa normalnom funkcijom</w:t>
      </w:r>
      <w:r w:rsidR="000C391E" w:rsidRPr="0056436C">
        <w:rPr>
          <w:bCs/>
          <w:sz w:val="22"/>
          <w:szCs w:val="22"/>
          <w:lang w:val="sr-Latn-ME"/>
        </w:rPr>
        <w:t xml:space="preserve"> bubrega</w:t>
      </w:r>
      <w:r w:rsidRPr="0056436C">
        <w:rPr>
          <w:bCs/>
          <w:sz w:val="22"/>
          <w:szCs w:val="22"/>
          <w:lang w:val="sr-Latn-ME"/>
        </w:rPr>
        <w:t xml:space="preserve">, metabolizam, uključujući i onaj koji se odvija preko CYP3A4, ima veoma malu ulogu u </w:t>
      </w:r>
      <w:r w:rsidR="00EA1BAC" w:rsidRPr="0056436C">
        <w:rPr>
          <w:bCs/>
          <w:sz w:val="22"/>
          <w:szCs w:val="22"/>
          <w:lang w:val="sr-Latn-ME"/>
        </w:rPr>
        <w:t xml:space="preserve">klirensu </w:t>
      </w:r>
      <w:r w:rsidRPr="0056436C">
        <w:rPr>
          <w:bCs/>
          <w:sz w:val="22"/>
          <w:szCs w:val="22"/>
          <w:lang w:val="sr-Latn-ME"/>
        </w:rPr>
        <w:t xml:space="preserve">sitagliptina. Metabolizam može da ima značajniju ulogu u eliminaciji sitagliptina kod pacijenata sa teškim oštećenjem funkcije bubrega ili kod terminalne bubrežne bolesti. Iz ovog razloga, </w:t>
      </w:r>
      <w:r w:rsidR="00EA1BAC" w:rsidRPr="0056436C">
        <w:rPr>
          <w:bCs/>
          <w:sz w:val="22"/>
          <w:szCs w:val="22"/>
          <w:lang w:val="sr-Latn-ME"/>
        </w:rPr>
        <w:t xml:space="preserve">postoji </w:t>
      </w:r>
      <w:r w:rsidRPr="0056436C">
        <w:rPr>
          <w:bCs/>
          <w:sz w:val="22"/>
          <w:szCs w:val="22"/>
          <w:lang w:val="sr-Latn-ME"/>
        </w:rPr>
        <w:t>moguć</w:t>
      </w:r>
      <w:r w:rsidR="00EA1BAC" w:rsidRPr="0056436C">
        <w:rPr>
          <w:bCs/>
          <w:sz w:val="22"/>
          <w:szCs w:val="22"/>
          <w:lang w:val="sr-Latn-ME"/>
        </w:rPr>
        <w:t>nost</w:t>
      </w:r>
      <w:r w:rsidRPr="0056436C">
        <w:rPr>
          <w:bCs/>
          <w:sz w:val="22"/>
          <w:szCs w:val="22"/>
          <w:lang w:val="sr-Latn-ME"/>
        </w:rPr>
        <w:t xml:space="preserve"> da snažni inhibitori CYP3A4 (n</w:t>
      </w:r>
      <w:r w:rsidR="00EA1BAC" w:rsidRPr="0056436C">
        <w:rPr>
          <w:bCs/>
          <w:sz w:val="22"/>
          <w:szCs w:val="22"/>
          <w:lang w:val="sr-Latn-ME"/>
        </w:rPr>
        <w:t>pr.</w:t>
      </w:r>
      <w:r w:rsidRPr="0056436C">
        <w:rPr>
          <w:bCs/>
          <w:sz w:val="22"/>
          <w:szCs w:val="22"/>
          <w:lang w:val="sr-Latn-ME"/>
        </w:rPr>
        <w:t xml:space="preserve"> ketokonazol, itrakonazol, ritonavir, klaritromicin) mogu da prom</w:t>
      </w:r>
      <w:r w:rsidR="00EA1BAC" w:rsidRPr="0056436C">
        <w:rPr>
          <w:bCs/>
          <w:sz w:val="22"/>
          <w:szCs w:val="22"/>
          <w:lang w:val="sr-Latn-ME"/>
        </w:rPr>
        <w:t>i</w:t>
      </w:r>
      <w:r w:rsidRPr="0056436C">
        <w:rPr>
          <w:bCs/>
          <w:sz w:val="22"/>
          <w:szCs w:val="22"/>
          <w:lang w:val="sr-Latn-ME"/>
        </w:rPr>
        <w:t xml:space="preserve">jene farmakokinetiku sitagliptina kod pacijenata sa teškim oštećenjem funkcije bubrega ili kod pacijenata u terminalnoj fazi </w:t>
      </w:r>
      <w:r w:rsidR="00EA1BAC" w:rsidRPr="0056436C">
        <w:rPr>
          <w:bCs/>
          <w:sz w:val="22"/>
          <w:szCs w:val="22"/>
          <w:lang w:val="sr-Latn-ME"/>
        </w:rPr>
        <w:t xml:space="preserve">bubrežne </w:t>
      </w:r>
      <w:r w:rsidRPr="0056436C">
        <w:rPr>
          <w:bCs/>
          <w:sz w:val="22"/>
          <w:szCs w:val="22"/>
          <w:lang w:val="sr-Latn-ME"/>
        </w:rPr>
        <w:t>bolesti. U kliničkim studijama ni</w:t>
      </w:r>
      <w:r w:rsidR="00EA1BAC" w:rsidRPr="0056436C">
        <w:rPr>
          <w:bCs/>
          <w:sz w:val="22"/>
          <w:szCs w:val="22"/>
          <w:lang w:val="sr-Latn-ME"/>
        </w:rPr>
        <w:t>je</w:t>
      </w:r>
      <w:r w:rsidRPr="0056436C">
        <w:rPr>
          <w:bCs/>
          <w:sz w:val="22"/>
          <w:szCs w:val="22"/>
          <w:lang w:val="sr-Latn-ME"/>
        </w:rPr>
        <w:t>su ispitivani efekti snažnih inhibitora CYP3A4 kod pacijenata sa oštećenom funkcijom bubrega.</w:t>
      </w:r>
    </w:p>
    <w:p w:rsidR="00A65AFD" w:rsidRPr="0056436C" w:rsidRDefault="00A65AFD" w:rsidP="0056436C">
      <w:pPr>
        <w:tabs>
          <w:tab w:val="left" w:pos="540"/>
          <w:tab w:val="left" w:pos="569"/>
        </w:tabs>
        <w:jc w:val="both"/>
        <w:rPr>
          <w:bCs/>
          <w:sz w:val="22"/>
          <w:szCs w:val="22"/>
          <w:lang w:val="sr-Latn-ME"/>
        </w:rPr>
      </w:pPr>
    </w:p>
    <w:p w:rsidR="00A65AFD" w:rsidRPr="0056436C" w:rsidRDefault="00A65AFD" w:rsidP="0056436C">
      <w:pPr>
        <w:tabs>
          <w:tab w:val="left" w:pos="540"/>
          <w:tab w:val="left" w:pos="569"/>
        </w:tabs>
        <w:jc w:val="both"/>
        <w:rPr>
          <w:bCs/>
          <w:sz w:val="22"/>
          <w:szCs w:val="22"/>
          <w:lang w:val="sr-Latn-ME"/>
        </w:rPr>
      </w:pPr>
      <w:r w:rsidRPr="0056436C">
        <w:rPr>
          <w:bCs/>
          <w:i/>
          <w:sz w:val="22"/>
          <w:szCs w:val="22"/>
          <w:lang w:val="sr-Latn-ME"/>
        </w:rPr>
        <w:t xml:space="preserve">In vitro </w:t>
      </w:r>
      <w:r w:rsidRPr="0056436C">
        <w:rPr>
          <w:bCs/>
          <w:sz w:val="22"/>
          <w:szCs w:val="22"/>
          <w:lang w:val="sr-Latn-ME"/>
        </w:rPr>
        <w:t xml:space="preserve">ispitivanja transportnih procesa pokazala su da je sitagliptin supstrat p-glikoproteina i transportera organskih anjona-3 (OAT3). Probenecid je </w:t>
      </w:r>
      <w:r w:rsidRPr="0056436C">
        <w:rPr>
          <w:bCs/>
          <w:i/>
          <w:sz w:val="22"/>
          <w:szCs w:val="22"/>
          <w:lang w:val="sr-Latn-ME"/>
        </w:rPr>
        <w:t xml:space="preserve">in vitro </w:t>
      </w:r>
      <w:r w:rsidRPr="0056436C">
        <w:rPr>
          <w:bCs/>
          <w:sz w:val="22"/>
          <w:szCs w:val="22"/>
          <w:lang w:val="sr-Latn-ME"/>
        </w:rPr>
        <w:t xml:space="preserve">inhibirao transport sitagliptina preko OAT3, mada se smatra da je rizik za pojavu klinički značajnih interakcija </w:t>
      </w:r>
      <w:r w:rsidR="00822AE6" w:rsidRPr="0056436C">
        <w:rPr>
          <w:bCs/>
          <w:sz w:val="22"/>
          <w:szCs w:val="22"/>
          <w:lang w:val="sr-Latn-ME"/>
        </w:rPr>
        <w:t>mali</w:t>
      </w:r>
      <w:r w:rsidRPr="0056436C">
        <w:rPr>
          <w:bCs/>
          <w:sz w:val="22"/>
          <w:szCs w:val="22"/>
          <w:lang w:val="sr-Latn-ME"/>
        </w:rPr>
        <w:t xml:space="preserve">. Nije </w:t>
      </w:r>
      <w:r w:rsidR="00822AE6" w:rsidRPr="0056436C">
        <w:rPr>
          <w:bCs/>
          <w:sz w:val="22"/>
          <w:szCs w:val="22"/>
          <w:lang w:val="sr-Latn-ME"/>
        </w:rPr>
        <w:t xml:space="preserve">sprovođeno </w:t>
      </w:r>
      <w:r w:rsidRPr="0056436C">
        <w:rPr>
          <w:bCs/>
          <w:i/>
          <w:sz w:val="22"/>
          <w:szCs w:val="22"/>
          <w:lang w:val="sr-Latn-ME"/>
        </w:rPr>
        <w:t xml:space="preserve">in vivo </w:t>
      </w:r>
      <w:r w:rsidRPr="0056436C">
        <w:rPr>
          <w:bCs/>
          <w:sz w:val="22"/>
          <w:szCs w:val="22"/>
          <w:lang w:val="sr-Latn-ME"/>
        </w:rPr>
        <w:t>ispitivanje istovremene primjene sa inhibitorima OAT3.</w:t>
      </w:r>
    </w:p>
    <w:p w:rsidR="00A65AFD" w:rsidRPr="0056436C" w:rsidRDefault="00A65AFD" w:rsidP="0056436C">
      <w:pPr>
        <w:tabs>
          <w:tab w:val="left" w:pos="540"/>
          <w:tab w:val="left" w:pos="569"/>
        </w:tabs>
        <w:jc w:val="both"/>
        <w:rPr>
          <w:bCs/>
          <w:sz w:val="22"/>
          <w:szCs w:val="22"/>
          <w:lang w:val="sr-Latn-ME"/>
        </w:rPr>
      </w:pPr>
    </w:p>
    <w:p w:rsidR="00A65AFD" w:rsidRPr="0056436C" w:rsidRDefault="00A65AFD" w:rsidP="0056436C">
      <w:pPr>
        <w:tabs>
          <w:tab w:val="left" w:pos="540"/>
          <w:tab w:val="left" w:pos="569"/>
        </w:tabs>
        <w:jc w:val="both"/>
        <w:rPr>
          <w:bCs/>
          <w:sz w:val="22"/>
          <w:szCs w:val="22"/>
          <w:lang w:val="sr-Latn-ME"/>
        </w:rPr>
      </w:pPr>
      <w:r w:rsidRPr="0056436C">
        <w:rPr>
          <w:bCs/>
          <w:i/>
          <w:sz w:val="22"/>
          <w:szCs w:val="22"/>
          <w:lang w:val="sr-Latn-ME"/>
        </w:rPr>
        <w:t>Metformin</w:t>
      </w:r>
      <w:r w:rsidRPr="0056436C">
        <w:rPr>
          <w:bCs/>
          <w:sz w:val="22"/>
          <w:szCs w:val="22"/>
          <w:lang w:val="sr-Latn-ME"/>
        </w:rPr>
        <w:t>: Istovremena primjena višestrukih doza metformina od 1000 mg, dva puta dnevno, i sitagliptina u dozi od 50 mg nije dovela do značajnih promjena u farmakokinetici sitagliptina kod pacijenata sa dijabetesom tip 2.</w:t>
      </w:r>
    </w:p>
    <w:p w:rsidR="00A65AFD" w:rsidRPr="0056436C" w:rsidRDefault="00A65AFD" w:rsidP="0056436C">
      <w:pPr>
        <w:tabs>
          <w:tab w:val="left" w:pos="540"/>
          <w:tab w:val="left" w:pos="569"/>
        </w:tabs>
        <w:jc w:val="both"/>
        <w:rPr>
          <w:bCs/>
          <w:sz w:val="22"/>
          <w:szCs w:val="22"/>
          <w:lang w:val="sr-Latn-ME"/>
        </w:rPr>
      </w:pPr>
    </w:p>
    <w:p w:rsidR="00A65AFD" w:rsidRPr="0056436C" w:rsidRDefault="00A65AFD" w:rsidP="0056436C">
      <w:pPr>
        <w:tabs>
          <w:tab w:val="left" w:pos="540"/>
          <w:tab w:val="left" w:pos="569"/>
        </w:tabs>
        <w:jc w:val="both"/>
        <w:rPr>
          <w:bCs/>
          <w:sz w:val="22"/>
          <w:szCs w:val="22"/>
          <w:lang w:val="sr-Latn-ME"/>
        </w:rPr>
      </w:pPr>
      <w:r w:rsidRPr="0056436C">
        <w:rPr>
          <w:bCs/>
          <w:i/>
          <w:sz w:val="22"/>
          <w:szCs w:val="22"/>
          <w:lang w:val="sr-Latn-ME"/>
        </w:rPr>
        <w:t>Ciklosporin</w:t>
      </w:r>
      <w:r w:rsidRPr="0056436C">
        <w:rPr>
          <w:bCs/>
          <w:sz w:val="22"/>
          <w:szCs w:val="22"/>
          <w:lang w:val="sr-Latn-ME"/>
        </w:rPr>
        <w:t xml:space="preserve">: Sprovedena je jedna studija u cilju procjene efekta ciklosporina, snažnog inhibitora p- glikoproteina, na farmakokinetiku sitagliptina. Istovremena primjena pojedinačne oralne doze sitagliptina od 100 mg i pojedinačne oralne doze ciklosporina od 600 mg dovela je do povećanja </w:t>
      </w:r>
      <w:r w:rsidRPr="0056436C">
        <w:rPr>
          <w:bCs/>
          <w:sz w:val="22"/>
          <w:szCs w:val="22"/>
          <w:lang w:val="sr-Latn-ME"/>
        </w:rPr>
        <w:lastRenderedPageBreak/>
        <w:t>površine ispod krive (PIK) sitagliptina za oko 29% i C</w:t>
      </w:r>
      <w:r w:rsidRPr="0056436C">
        <w:rPr>
          <w:bCs/>
          <w:sz w:val="22"/>
          <w:szCs w:val="22"/>
          <w:vertAlign w:val="subscript"/>
          <w:lang w:val="sr-Latn-ME"/>
        </w:rPr>
        <w:t>max</w:t>
      </w:r>
      <w:r w:rsidRPr="0056436C">
        <w:rPr>
          <w:bCs/>
          <w:sz w:val="22"/>
          <w:szCs w:val="22"/>
          <w:lang w:val="sr-Latn-ME"/>
        </w:rPr>
        <w:t xml:space="preserve"> za oko 68%. Ne smatra se da su ove promjene u farmakokinetici sitagliptina klinički značajne. Nije došlo do značajne promjene u bubrežnom klirensu sitagliptina. Stoga se i ne očekuju značajne interakcije ni sa drugim inhibitorima p-glikoproteina.</w:t>
      </w:r>
    </w:p>
    <w:p w:rsidR="00A65AFD" w:rsidRPr="0056436C" w:rsidRDefault="00A65AFD" w:rsidP="0056436C">
      <w:pPr>
        <w:tabs>
          <w:tab w:val="left" w:pos="540"/>
          <w:tab w:val="left" w:pos="569"/>
        </w:tabs>
        <w:jc w:val="both"/>
        <w:rPr>
          <w:bCs/>
          <w:sz w:val="22"/>
          <w:szCs w:val="22"/>
          <w:lang w:val="sr-Latn-ME"/>
        </w:rPr>
      </w:pPr>
    </w:p>
    <w:p w:rsidR="00A65AFD" w:rsidRPr="0056436C" w:rsidRDefault="00A65AFD" w:rsidP="0056436C">
      <w:pPr>
        <w:tabs>
          <w:tab w:val="left" w:pos="540"/>
          <w:tab w:val="left" w:pos="569"/>
        </w:tabs>
        <w:jc w:val="both"/>
        <w:rPr>
          <w:bCs/>
          <w:i/>
          <w:sz w:val="22"/>
          <w:szCs w:val="22"/>
          <w:lang w:val="sr-Latn-ME"/>
        </w:rPr>
      </w:pPr>
      <w:r w:rsidRPr="0056436C">
        <w:rPr>
          <w:bCs/>
          <w:i/>
          <w:sz w:val="22"/>
          <w:szCs w:val="22"/>
          <w:u w:val="single"/>
          <w:lang w:val="sr-Latn-ME"/>
        </w:rPr>
        <w:t>Efekat sitagliptina na druge ljekove</w:t>
      </w:r>
    </w:p>
    <w:p w:rsidR="00A65AFD" w:rsidRPr="0056436C" w:rsidRDefault="00A65AFD" w:rsidP="0056436C">
      <w:pPr>
        <w:tabs>
          <w:tab w:val="left" w:pos="540"/>
          <w:tab w:val="left" w:pos="569"/>
        </w:tabs>
        <w:jc w:val="both"/>
        <w:rPr>
          <w:bCs/>
          <w:i/>
          <w:sz w:val="22"/>
          <w:szCs w:val="22"/>
          <w:lang w:val="sr-Latn-ME"/>
        </w:rPr>
      </w:pPr>
    </w:p>
    <w:p w:rsidR="00A65AFD" w:rsidRPr="0056436C" w:rsidRDefault="00A65AFD" w:rsidP="0056436C">
      <w:pPr>
        <w:tabs>
          <w:tab w:val="left" w:pos="540"/>
          <w:tab w:val="left" w:pos="569"/>
        </w:tabs>
        <w:jc w:val="both"/>
        <w:rPr>
          <w:bCs/>
          <w:sz w:val="22"/>
          <w:szCs w:val="22"/>
          <w:lang w:val="sr-Latn-ME"/>
        </w:rPr>
      </w:pPr>
      <w:r w:rsidRPr="0056436C">
        <w:rPr>
          <w:bCs/>
          <w:i/>
          <w:sz w:val="22"/>
          <w:szCs w:val="22"/>
          <w:lang w:val="sr-Latn-ME"/>
        </w:rPr>
        <w:t>Digoksin</w:t>
      </w:r>
      <w:r w:rsidRPr="0056436C">
        <w:rPr>
          <w:bCs/>
          <w:sz w:val="22"/>
          <w:szCs w:val="22"/>
          <w:lang w:val="sr-Latn-ME"/>
        </w:rPr>
        <w:t xml:space="preserve">: Sitagliptin je ispoljio mali uticaj na koncentracije digoksina u plazmi. Nakon primjene digoksina u dozi od 0,25 mg istovremeno sa sitagliptinom u dozi od 100 mg dnevno tokom 10 dana, </w:t>
      </w:r>
      <w:r w:rsidR="007B4CB4" w:rsidRPr="0056436C">
        <w:rPr>
          <w:bCs/>
          <w:sz w:val="22"/>
          <w:szCs w:val="22"/>
          <w:lang w:val="sr-Latn-ME"/>
        </w:rPr>
        <w:t>PIK</w:t>
      </w:r>
      <w:r w:rsidR="007B4CB4" w:rsidRPr="0056436C" w:rsidDel="007B4CB4">
        <w:rPr>
          <w:bCs/>
          <w:sz w:val="22"/>
          <w:szCs w:val="22"/>
          <w:lang w:val="sr-Latn-ME"/>
        </w:rPr>
        <w:t xml:space="preserve"> </w:t>
      </w:r>
      <w:r w:rsidRPr="0056436C">
        <w:rPr>
          <w:bCs/>
          <w:sz w:val="22"/>
          <w:szCs w:val="22"/>
          <w:lang w:val="sr-Latn-ME"/>
        </w:rPr>
        <w:t>digoksina u plazmi poveća</w:t>
      </w:r>
      <w:r w:rsidR="001F1AD6" w:rsidRPr="0056436C">
        <w:rPr>
          <w:bCs/>
          <w:sz w:val="22"/>
          <w:szCs w:val="22"/>
          <w:lang w:val="sr-Latn-ME"/>
        </w:rPr>
        <w:t>o</w:t>
      </w:r>
      <w:r w:rsidRPr="0056436C">
        <w:rPr>
          <w:bCs/>
          <w:sz w:val="22"/>
          <w:szCs w:val="22"/>
          <w:lang w:val="sr-Latn-ME"/>
        </w:rPr>
        <w:t xml:space="preserve"> se prosječno za 11%, a vr</w:t>
      </w:r>
      <w:r w:rsidR="007B4CB4" w:rsidRPr="0056436C">
        <w:rPr>
          <w:bCs/>
          <w:sz w:val="22"/>
          <w:szCs w:val="22"/>
          <w:lang w:val="sr-Latn-ME"/>
        </w:rPr>
        <w:t>ij</w:t>
      </w:r>
      <w:r w:rsidRPr="0056436C">
        <w:rPr>
          <w:bCs/>
          <w:sz w:val="22"/>
          <w:szCs w:val="22"/>
          <w:lang w:val="sr-Latn-ME"/>
        </w:rPr>
        <w:t>ednosti C</w:t>
      </w:r>
      <w:r w:rsidRPr="0056436C">
        <w:rPr>
          <w:bCs/>
          <w:sz w:val="22"/>
          <w:szCs w:val="22"/>
          <w:vertAlign w:val="subscript"/>
          <w:lang w:val="sr-Latn-ME"/>
        </w:rPr>
        <w:t>max</w:t>
      </w:r>
      <w:r w:rsidRPr="0056436C">
        <w:rPr>
          <w:bCs/>
          <w:sz w:val="22"/>
          <w:szCs w:val="22"/>
          <w:lang w:val="sr-Latn-ME"/>
        </w:rPr>
        <w:t xml:space="preserve"> u plazmi za prosječno 18%. Ne preporučuje se prilagođavanje doze digoksina. Međutim, potrebno je da se prate pacijenti kod kojih postoji rizik </w:t>
      </w:r>
      <w:r w:rsidR="007B4CB4" w:rsidRPr="0056436C">
        <w:rPr>
          <w:bCs/>
          <w:sz w:val="22"/>
          <w:szCs w:val="22"/>
          <w:lang w:val="sr-Latn-ME"/>
        </w:rPr>
        <w:t>od</w:t>
      </w:r>
      <w:r w:rsidRPr="0056436C">
        <w:rPr>
          <w:bCs/>
          <w:sz w:val="22"/>
          <w:szCs w:val="22"/>
          <w:lang w:val="sr-Latn-ME"/>
        </w:rPr>
        <w:t xml:space="preserve"> pojav</w:t>
      </w:r>
      <w:r w:rsidR="007B4CB4" w:rsidRPr="0056436C">
        <w:rPr>
          <w:bCs/>
          <w:sz w:val="22"/>
          <w:szCs w:val="22"/>
          <w:lang w:val="sr-Latn-ME"/>
        </w:rPr>
        <w:t>e</w:t>
      </w:r>
      <w:r w:rsidRPr="0056436C">
        <w:rPr>
          <w:bCs/>
          <w:sz w:val="22"/>
          <w:szCs w:val="22"/>
          <w:lang w:val="sr-Latn-ME"/>
        </w:rPr>
        <w:t xml:space="preserve"> toksičnosti digoksina kada se digoksin i sitagliptin primjenjuju istovremeno.</w:t>
      </w:r>
    </w:p>
    <w:p w:rsidR="00A65AFD" w:rsidRPr="0056436C" w:rsidRDefault="00A65AFD" w:rsidP="0056436C">
      <w:pPr>
        <w:tabs>
          <w:tab w:val="left" w:pos="540"/>
          <w:tab w:val="left" w:pos="569"/>
        </w:tabs>
        <w:jc w:val="both"/>
        <w:rPr>
          <w:bCs/>
          <w:sz w:val="22"/>
          <w:szCs w:val="22"/>
          <w:lang w:val="sr-Latn-ME"/>
        </w:rPr>
      </w:pPr>
    </w:p>
    <w:p w:rsidR="00A65AFD" w:rsidRPr="0056436C" w:rsidRDefault="00A65AFD" w:rsidP="0056436C">
      <w:pPr>
        <w:tabs>
          <w:tab w:val="left" w:pos="540"/>
          <w:tab w:val="left" w:pos="569"/>
        </w:tabs>
        <w:jc w:val="both"/>
        <w:rPr>
          <w:bCs/>
          <w:sz w:val="22"/>
          <w:szCs w:val="22"/>
          <w:lang w:val="sr-Latn-ME"/>
        </w:rPr>
      </w:pPr>
      <w:r w:rsidRPr="0056436C">
        <w:rPr>
          <w:bCs/>
          <w:i/>
          <w:sz w:val="22"/>
          <w:szCs w:val="22"/>
          <w:lang w:val="sr-Latn-ME"/>
        </w:rPr>
        <w:t xml:space="preserve">In vitro </w:t>
      </w:r>
      <w:r w:rsidRPr="0056436C">
        <w:rPr>
          <w:bCs/>
          <w:sz w:val="22"/>
          <w:szCs w:val="22"/>
          <w:lang w:val="sr-Latn-ME"/>
        </w:rPr>
        <w:t>podaci ukazuju na to da sitagliptin ne inhibira i ne indukuje CYP450 izoenzime. U kliničkim studijama, sitagliptin nije značajno prom</w:t>
      </w:r>
      <w:r w:rsidR="007B4CB4" w:rsidRPr="0056436C">
        <w:rPr>
          <w:bCs/>
          <w:sz w:val="22"/>
          <w:szCs w:val="22"/>
          <w:lang w:val="sr-Latn-ME"/>
        </w:rPr>
        <w:t>i</w:t>
      </w:r>
      <w:r w:rsidRPr="0056436C">
        <w:rPr>
          <w:bCs/>
          <w:sz w:val="22"/>
          <w:szCs w:val="22"/>
          <w:lang w:val="sr-Latn-ME"/>
        </w:rPr>
        <w:t xml:space="preserve">jenio farmakokinetiku metformina, gliburida, simvastatina, roziglitazona, varfarina </w:t>
      </w:r>
      <w:r w:rsidR="007B4CB4" w:rsidRPr="0056436C">
        <w:rPr>
          <w:bCs/>
          <w:sz w:val="22"/>
          <w:szCs w:val="22"/>
          <w:lang w:val="sr-Latn-ME"/>
        </w:rPr>
        <w:t xml:space="preserve">niti </w:t>
      </w:r>
      <w:r w:rsidRPr="0056436C">
        <w:rPr>
          <w:bCs/>
          <w:sz w:val="22"/>
          <w:szCs w:val="22"/>
          <w:lang w:val="sr-Latn-ME"/>
        </w:rPr>
        <w:t xml:space="preserve">oralnih kontraceptiva, što je i </w:t>
      </w:r>
      <w:r w:rsidRPr="0056436C">
        <w:rPr>
          <w:bCs/>
          <w:i/>
          <w:sz w:val="22"/>
          <w:szCs w:val="22"/>
          <w:lang w:val="sr-Latn-ME"/>
        </w:rPr>
        <w:t xml:space="preserve">in vivo </w:t>
      </w:r>
      <w:r w:rsidRPr="0056436C">
        <w:rPr>
          <w:bCs/>
          <w:sz w:val="22"/>
          <w:szCs w:val="22"/>
          <w:lang w:val="sr-Latn-ME"/>
        </w:rPr>
        <w:t>dokaz da postoji veoma mala sklonost za izazivanje interakcija sa supstratima CYP3A4, CYP2C8, CYP2C9 i transporterima organskih katjona (OCT).</w:t>
      </w:r>
      <w:r w:rsidR="00410637" w:rsidRPr="0056436C">
        <w:rPr>
          <w:bCs/>
          <w:sz w:val="22"/>
          <w:szCs w:val="22"/>
          <w:lang w:val="sr-Latn-ME"/>
        </w:rPr>
        <w:t xml:space="preserve"> </w:t>
      </w:r>
      <w:r w:rsidRPr="0056436C">
        <w:rPr>
          <w:bCs/>
          <w:sz w:val="22"/>
          <w:szCs w:val="22"/>
          <w:lang w:val="sr-Latn-ME"/>
        </w:rPr>
        <w:t xml:space="preserve">Sitagliptin može da bude slab inhibitor p-glikoproteina </w:t>
      </w:r>
      <w:r w:rsidRPr="0056436C">
        <w:rPr>
          <w:bCs/>
          <w:i/>
          <w:sz w:val="22"/>
          <w:szCs w:val="22"/>
          <w:lang w:val="sr-Latn-ME"/>
        </w:rPr>
        <w:t>in vivo</w:t>
      </w:r>
      <w:r w:rsidRPr="0056436C">
        <w:rPr>
          <w:bCs/>
          <w:sz w:val="22"/>
          <w:szCs w:val="22"/>
          <w:lang w:val="sr-Latn-ME"/>
        </w:rPr>
        <w:t>.</w:t>
      </w:r>
    </w:p>
    <w:p w:rsidR="0072020E" w:rsidRPr="0056436C" w:rsidRDefault="0072020E" w:rsidP="0056436C">
      <w:pPr>
        <w:tabs>
          <w:tab w:val="left" w:pos="540"/>
          <w:tab w:val="left" w:pos="569"/>
        </w:tabs>
        <w:rPr>
          <w:bCs/>
          <w:sz w:val="22"/>
          <w:szCs w:val="22"/>
          <w:lang w:val="sr-Latn-ME"/>
        </w:rPr>
      </w:pPr>
    </w:p>
    <w:p w:rsidR="0072020E" w:rsidRPr="0056436C" w:rsidRDefault="0072020E" w:rsidP="0056436C">
      <w:pPr>
        <w:tabs>
          <w:tab w:val="left" w:pos="540"/>
          <w:tab w:val="left" w:pos="569"/>
        </w:tabs>
        <w:rPr>
          <w:b/>
          <w:sz w:val="22"/>
          <w:szCs w:val="22"/>
          <w:lang w:val="sr-Latn-ME"/>
        </w:rPr>
      </w:pPr>
      <w:r w:rsidRPr="0056436C">
        <w:rPr>
          <w:b/>
          <w:bCs/>
          <w:sz w:val="22"/>
          <w:szCs w:val="22"/>
          <w:lang w:val="sr-Latn-ME"/>
        </w:rPr>
        <w:t xml:space="preserve">4.6. </w:t>
      </w:r>
      <w:r w:rsidR="00480FB1" w:rsidRPr="0056436C">
        <w:rPr>
          <w:b/>
          <w:bCs/>
          <w:sz w:val="22"/>
          <w:szCs w:val="22"/>
          <w:lang w:val="sr-Latn-ME"/>
        </w:rPr>
        <w:tab/>
      </w:r>
      <w:r w:rsidR="006D20A5" w:rsidRPr="0056436C">
        <w:rPr>
          <w:b/>
          <w:sz w:val="22"/>
          <w:szCs w:val="22"/>
          <w:lang w:val="sr-Latn-ME"/>
        </w:rPr>
        <w:t>Plodnost, trudnoća i dojenje</w:t>
      </w:r>
    </w:p>
    <w:p w:rsidR="002031B3" w:rsidRPr="0056436C" w:rsidRDefault="002031B3" w:rsidP="0056436C">
      <w:pPr>
        <w:tabs>
          <w:tab w:val="left" w:pos="540"/>
          <w:tab w:val="left" w:pos="569"/>
        </w:tabs>
        <w:rPr>
          <w:sz w:val="22"/>
          <w:szCs w:val="22"/>
          <w:u w:val="single"/>
          <w:lang w:val="sr-Latn-ME"/>
        </w:rPr>
      </w:pPr>
    </w:p>
    <w:p w:rsidR="002031B3" w:rsidRPr="0056436C" w:rsidRDefault="002031B3" w:rsidP="0056436C">
      <w:pPr>
        <w:tabs>
          <w:tab w:val="left" w:pos="540"/>
          <w:tab w:val="left" w:pos="569"/>
        </w:tabs>
        <w:jc w:val="both"/>
        <w:rPr>
          <w:sz w:val="22"/>
          <w:szCs w:val="22"/>
          <w:u w:val="single"/>
          <w:lang w:val="sr-Latn-ME"/>
        </w:rPr>
      </w:pPr>
      <w:r w:rsidRPr="0056436C">
        <w:rPr>
          <w:sz w:val="22"/>
          <w:szCs w:val="22"/>
          <w:u w:val="single"/>
          <w:lang w:val="sr-Latn-ME"/>
        </w:rPr>
        <w:t>Plodnost</w:t>
      </w:r>
    </w:p>
    <w:p w:rsidR="00D46657" w:rsidRPr="0056436C" w:rsidRDefault="00D46657" w:rsidP="0056436C">
      <w:pPr>
        <w:tabs>
          <w:tab w:val="left" w:pos="540"/>
          <w:tab w:val="left" w:pos="569"/>
        </w:tabs>
        <w:jc w:val="both"/>
        <w:rPr>
          <w:sz w:val="22"/>
          <w:szCs w:val="22"/>
          <w:lang w:val="sr-Latn-ME"/>
        </w:rPr>
      </w:pPr>
      <w:r w:rsidRPr="0056436C">
        <w:rPr>
          <w:sz w:val="22"/>
          <w:szCs w:val="22"/>
          <w:lang w:val="sr-Latn-ME"/>
        </w:rPr>
        <w:t>Podaci iz ispitivanja na životinjama ne ukazuju na postojanje uticaja terapije sitagliptinom na plodnost kod mužjaka i ženki. Nema podataka za ljude.</w:t>
      </w:r>
    </w:p>
    <w:p w:rsidR="002031B3" w:rsidRPr="0056436C" w:rsidRDefault="002031B3" w:rsidP="0056436C">
      <w:pPr>
        <w:tabs>
          <w:tab w:val="left" w:pos="540"/>
          <w:tab w:val="left" w:pos="569"/>
        </w:tabs>
        <w:jc w:val="both"/>
        <w:rPr>
          <w:sz w:val="22"/>
          <w:szCs w:val="22"/>
          <w:u w:val="single"/>
          <w:lang w:val="sr-Latn-ME"/>
        </w:rPr>
      </w:pPr>
    </w:p>
    <w:p w:rsidR="007A3ECB" w:rsidRPr="0056436C" w:rsidRDefault="007A3ECB" w:rsidP="0056436C">
      <w:pPr>
        <w:tabs>
          <w:tab w:val="left" w:pos="540"/>
          <w:tab w:val="left" w:pos="569"/>
        </w:tabs>
        <w:jc w:val="both"/>
        <w:rPr>
          <w:sz w:val="22"/>
          <w:szCs w:val="22"/>
          <w:u w:val="single"/>
          <w:lang w:val="sr-Latn-ME"/>
        </w:rPr>
      </w:pPr>
      <w:r w:rsidRPr="0056436C">
        <w:rPr>
          <w:sz w:val="22"/>
          <w:szCs w:val="22"/>
          <w:u w:val="single"/>
          <w:lang w:val="sr-Latn-ME"/>
        </w:rPr>
        <w:t>Trudnoća</w:t>
      </w:r>
    </w:p>
    <w:p w:rsidR="00D46657" w:rsidRPr="0056436C" w:rsidRDefault="00D46657" w:rsidP="0056436C">
      <w:pPr>
        <w:tabs>
          <w:tab w:val="left" w:pos="540"/>
          <w:tab w:val="left" w:pos="569"/>
        </w:tabs>
        <w:jc w:val="both"/>
        <w:rPr>
          <w:sz w:val="22"/>
          <w:szCs w:val="22"/>
          <w:lang w:val="sr-Latn-ME"/>
        </w:rPr>
      </w:pPr>
      <w:r w:rsidRPr="0056436C">
        <w:rPr>
          <w:sz w:val="22"/>
          <w:szCs w:val="22"/>
          <w:lang w:val="sr-Latn-ME"/>
        </w:rPr>
        <w:t xml:space="preserve">Na raspolaganju nema odgovarajućih podataka o primjeni sitagliptina kod trudnica. Ispitivanja na životinjama su pokazala postojanje reproduktivne toksičnosti pri primjeni </w:t>
      </w:r>
      <w:r w:rsidR="00410637" w:rsidRPr="0056436C">
        <w:rPr>
          <w:sz w:val="22"/>
          <w:szCs w:val="22"/>
          <w:lang w:val="sr-Latn-ME"/>
        </w:rPr>
        <w:t xml:space="preserve">visokih </w:t>
      </w:r>
      <w:r w:rsidRPr="0056436C">
        <w:rPr>
          <w:sz w:val="22"/>
          <w:szCs w:val="22"/>
          <w:lang w:val="sr-Latn-ME"/>
        </w:rPr>
        <w:t>doza (vidjeti dio 5.3). Mogući rizik za ljude nije poznat. Usl</w:t>
      </w:r>
      <w:r w:rsidR="00410637" w:rsidRPr="0056436C">
        <w:rPr>
          <w:sz w:val="22"/>
          <w:szCs w:val="22"/>
          <w:lang w:val="sr-Latn-ME"/>
        </w:rPr>
        <w:t>j</w:t>
      </w:r>
      <w:r w:rsidRPr="0056436C">
        <w:rPr>
          <w:sz w:val="22"/>
          <w:szCs w:val="22"/>
          <w:lang w:val="sr-Latn-ME"/>
        </w:rPr>
        <w:t xml:space="preserve">ed nedostatka podataka o primjeni kod ljudi, lijek </w:t>
      </w:r>
      <w:r w:rsidR="003714E8" w:rsidRPr="0056436C">
        <w:rPr>
          <w:sz w:val="22"/>
          <w:szCs w:val="22"/>
          <w:lang w:val="sr-Latn-ME"/>
        </w:rPr>
        <w:t>Sitagliptin Teva</w:t>
      </w:r>
      <w:r w:rsidRPr="0056436C">
        <w:rPr>
          <w:sz w:val="22"/>
          <w:szCs w:val="22"/>
          <w:lang w:val="sr-Latn-ME"/>
        </w:rPr>
        <w:t xml:space="preserve"> </w:t>
      </w:r>
      <w:r w:rsidR="00E1350E" w:rsidRPr="0056436C">
        <w:rPr>
          <w:sz w:val="22"/>
          <w:szCs w:val="22"/>
          <w:lang w:val="sr-Latn-ME"/>
        </w:rPr>
        <w:t xml:space="preserve">se ne smije uzimati </w:t>
      </w:r>
      <w:r w:rsidRPr="0056436C">
        <w:rPr>
          <w:sz w:val="22"/>
          <w:szCs w:val="22"/>
          <w:lang w:val="sr-Latn-ME"/>
        </w:rPr>
        <w:t>u trudnoći.</w:t>
      </w:r>
    </w:p>
    <w:p w:rsidR="002031B3" w:rsidRPr="0056436C" w:rsidRDefault="002031B3" w:rsidP="0056436C">
      <w:pPr>
        <w:tabs>
          <w:tab w:val="left" w:pos="540"/>
          <w:tab w:val="left" w:pos="569"/>
        </w:tabs>
        <w:jc w:val="both"/>
        <w:rPr>
          <w:sz w:val="22"/>
          <w:szCs w:val="22"/>
          <w:u w:val="single"/>
          <w:lang w:val="sr-Latn-ME"/>
        </w:rPr>
      </w:pPr>
    </w:p>
    <w:p w:rsidR="0072020E" w:rsidRPr="0056436C" w:rsidRDefault="007A3ECB" w:rsidP="0056436C">
      <w:pPr>
        <w:tabs>
          <w:tab w:val="left" w:pos="540"/>
          <w:tab w:val="left" w:pos="569"/>
        </w:tabs>
        <w:jc w:val="both"/>
        <w:rPr>
          <w:sz w:val="22"/>
          <w:szCs w:val="22"/>
          <w:u w:val="single"/>
          <w:lang w:val="sr-Latn-ME"/>
        </w:rPr>
      </w:pPr>
      <w:r w:rsidRPr="0056436C">
        <w:rPr>
          <w:sz w:val="22"/>
          <w:szCs w:val="22"/>
          <w:u w:val="single"/>
          <w:lang w:val="sr-Latn-ME"/>
        </w:rPr>
        <w:t xml:space="preserve">Dojenje </w:t>
      </w:r>
    </w:p>
    <w:p w:rsidR="00D46657" w:rsidRPr="0056436C" w:rsidRDefault="00D46657" w:rsidP="0056436C">
      <w:pPr>
        <w:tabs>
          <w:tab w:val="left" w:pos="540"/>
          <w:tab w:val="left" w:pos="569"/>
        </w:tabs>
        <w:jc w:val="both"/>
        <w:rPr>
          <w:bCs/>
          <w:sz w:val="22"/>
          <w:szCs w:val="22"/>
          <w:lang w:val="sr-Latn-ME"/>
        </w:rPr>
      </w:pPr>
      <w:r w:rsidRPr="0056436C">
        <w:rPr>
          <w:bCs/>
          <w:sz w:val="22"/>
          <w:szCs w:val="22"/>
          <w:lang w:val="sr-Latn-ME"/>
        </w:rPr>
        <w:t xml:space="preserve">Nije poznato da li se sitagliptin izlučuje u majčino </w:t>
      </w:r>
      <w:r w:rsidR="00F725BA" w:rsidRPr="0056436C">
        <w:rPr>
          <w:bCs/>
          <w:sz w:val="22"/>
          <w:szCs w:val="22"/>
          <w:lang w:val="sr-Latn-ME"/>
        </w:rPr>
        <w:t>ml</w:t>
      </w:r>
      <w:r w:rsidRPr="0056436C">
        <w:rPr>
          <w:bCs/>
          <w:sz w:val="22"/>
          <w:szCs w:val="22"/>
          <w:lang w:val="sr-Latn-ME"/>
        </w:rPr>
        <w:t>ijek</w:t>
      </w:r>
      <w:r w:rsidR="00410637" w:rsidRPr="0056436C">
        <w:rPr>
          <w:bCs/>
          <w:sz w:val="22"/>
          <w:szCs w:val="22"/>
          <w:lang w:val="sr-Latn-ME"/>
        </w:rPr>
        <w:t>o</w:t>
      </w:r>
      <w:r w:rsidRPr="0056436C">
        <w:rPr>
          <w:bCs/>
          <w:sz w:val="22"/>
          <w:szCs w:val="22"/>
          <w:lang w:val="sr-Latn-ME"/>
        </w:rPr>
        <w:t xml:space="preserve"> kod ljudi. Ispitivanja na životinjama su pokazala da se sitagliptin izlučuje u </w:t>
      </w:r>
      <w:r w:rsidR="00F725BA" w:rsidRPr="0056436C">
        <w:rPr>
          <w:bCs/>
          <w:sz w:val="22"/>
          <w:szCs w:val="22"/>
          <w:lang w:val="sr-Latn-ME"/>
        </w:rPr>
        <w:t>ml</w:t>
      </w:r>
      <w:r w:rsidRPr="0056436C">
        <w:rPr>
          <w:bCs/>
          <w:sz w:val="22"/>
          <w:szCs w:val="22"/>
          <w:lang w:val="sr-Latn-ME"/>
        </w:rPr>
        <w:t>ijek</w:t>
      </w:r>
      <w:r w:rsidR="00410637" w:rsidRPr="0056436C">
        <w:rPr>
          <w:bCs/>
          <w:sz w:val="22"/>
          <w:szCs w:val="22"/>
          <w:lang w:val="sr-Latn-ME"/>
        </w:rPr>
        <w:t>o</w:t>
      </w:r>
      <w:r w:rsidRPr="0056436C">
        <w:rPr>
          <w:bCs/>
          <w:sz w:val="22"/>
          <w:szCs w:val="22"/>
          <w:lang w:val="sr-Latn-ME"/>
        </w:rPr>
        <w:t xml:space="preserve"> ženki. Lijek </w:t>
      </w:r>
      <w:r w:rsidR="003714E8" w:rsidRPr="0056436C">
        <w:rPr>
          <w:bCs/>
          <w:sz w:val="22"/>
          <w:szCs w:val="22"/>
          <w:lang w:val="sr-Latn-ME"/>
        </w:rPr>
        <w:t>Sitagliptin Teva</w:t>
      </w:r>
      <w:r w:rsidRPr="0056436C">
        <w:rPr>
          <w:bCs/>
          <w:sz w:val="22"/>
          <w:szCs w:val="22"/>
          <w:lang w:val="sr-Latn-ME"/>
        </w:rPr>
        <w:t xml:space="preserve"> </w:t>
      </w:r>
      <w:r w:rsidR="00E1350E" w:rsidRPr="0056436C">
        <w:rPr>
          <w:bCs/>
          <w:sz w:val="22"/>
          <w:szCs w:val="22"/>
          <w:lang w:val="sr-Latn-ME"/>
        </w:rPr>
        <w:t>se ne smije uzimati</w:t>
      </w:r>
      <w:r w:rsidRPr="0056436C">
        <w:rPr>
          <w:bCs/>
          <w:sz w:val="22"/>
          <w:szCs w:val="22"/>
          <w:lang w:val="sr-Latn-ME"/>
        </w:rPr>
        <w:t xml:space="preserve"> tokom perioda dojenja.</w:t>
      </w:r>
    </w:p>
    <w:p w:rsidR="00227BDB" w:rsidRPr="0056436C" w:rsidRDefault="00227BDB" w:rsidP="0056436C">
      <w:pPr>
        <w:tabs>
          <w:tab w:val="left" w:pos="540"/>
          <w:tab w:val="left" w:pos="569"/>
        </w:tabs>
        <w:ind w:left="540" w:hanging="540"/>
        <w:rPr>
          <w:b/>
          <w:bCs/>
          <w:sz w:val="22"/>
          <w:szCs w:val="22"/>
          <w:lang w:val="sr-Latn-ME"/>
        </w:rPr>
      </w:pPr>
    </w:p>
    <w:p w:rsidR="0072020E" w:rsidRPr="0056436C" w:rsidRDefault="0072020E" w:rsidP="0056436C">
      <w:pPr>
        <w:tabs>
          <w:tab w:val="left" w:pos="540"/>
          <w:tab w:val="left" w:pos="569"/>
        </w:tabs>
        <w:ind w:left="540" w:hanging="540"/>
        <w:rPr>
          <w:b/>
          <w:bCs/>
          <w:sz w:val="22"/>
          <w:szCs w:val="22"/>
          <w:lang w:val="sr-Latn-ME"/>
        </w:rPr>
      </w:pPr>
      <w:r w:rsidRPr="0056436C">
        <w:rPr>
          <w:b/>
          <w:bCs/>
          <w:sz w:val="22"/>
          <w:szCs w:val="22"/>
          <w:lang w:val="sr-Latn-ME"/>
        </w:rPr>
        <w:t xml:space="preserve">4.7. </w:t>
      </w:r>
      <w:r w:rsidR="00480FB1" w:rsidRPr="0056436C">
        <w:rPr>
          <w:b/>
          <w:bCs/>
          <w:sz w:val="22"/>
          <w:szCs w:val="22"/>
          <w:lang w:val="sr-Latn-ME"/>
        </w:rPr>
        <w:tab/>
      </w:r>
      <w:r w:rsidRPr="0056436C">
        <w:rPr>
          <w:b/>
          <w:bCs/>
          <w:sz w:val="22"/>
          <w:szCs w:val="22"/>
          <w:lang w:val="sr-Latn-ME"/>
        </w:rPr>
        <w:t xml:space="preserve">Uticaj na </w:t>
      </w:r>
      <w:r w:rsidR="002031B3" w:rsidRPr="0056436C">
        <w:rPr>
          <w:b/>
          <w:bCs/>
          <w:sz w:val="22"/>
          <w:szCs w:val="22"/>
          <w:lang w:val="sr-Latn-ME"/>
        </w:rPr>
        <w:t xml:space="preserve">sposobnost </w:t>
      </w:r>
      <w:r w:rsidR="00F34554" w:rsidRPr="0056436C">
        <w:rPr>
          <w:b/>
          <w:bCs/>
          <w:sz w:val="22"/>
          <w:szCs w:val="22"/>
          <w:lang w:val="sr-Latn-ME"/>
        </w:rPr>
        <w:t>upravljanja vozili</w:t>
      </w:r>
      <w:r w:rsidRPr="0056436C">
        <w:rPr>
          <w:b/>
          <w:bCs/>
          <w:sz w:val="22"/>
          <w:szCs w:val="22"/>
          <w:lang w:val="sr-Latn-ME"/>
        </w:rPr>
        <w:t>m</w:t>
      </w:r>
      <w:r w:rsidR="00F34554" w:rsidRPr="0056436C">
        <w:rPr>
          <w:b/>
          <w:bCs/>
          <w:sz w:val="22"/>
          <w:szCs w:val="22"/>
          <w:lang w:val="sr-Latn-ME"/>
        </w:rPr>
        <w:t>a</w:t>
      </w:r>
      <w:r w:rsidRPr="0056436C">
        <w:rPr>
          <w:b/>
          <w:bCs/>
          <w:sz w:val="22"/>
          <w:szCs w:val="22"/>
          <w:lang w:val="sr-Latn-ME"/>
        </w:rPr>
        <w:t xml:space="preserve"> i </w:t>
      </w:r>
      <w:r w:rsidR="000D3449" w:rsidRPr="0056436C">
        <w:rPr>
          <w:b/>
          <w:bCs/>
          <w:sz w:val="22"/>
          <w:szCs w:val="22"/>
          <w:lang w:val="sr-Latn-ME"/>
        </w:rPr>
        <w:t xml:space="preserve">rukovanje </w:t>
      </w:r>
      <w:r w:rsidRPr="0056436C">
        <w:rPr>
          <w:b/>
          <w:bCs/>
          <w:sz w:val="22"/>
          <w:szCs w:val="22"/>
          <w:lang w:val="sr-Latn-ME"/>
        </w:rPr>
        <w:t>mašinama</w:t>
      </w:r>
    </w:p>
    <w:p w:rsidR="006629F2" w:rsidRPr="0056436C" w:rsidRDefault="006629F2" w:rsidP="0056436C">
      <w:pPr>
        <w:widowControl w:val="0"/>
        <w:autoSpaceDE w:val="0"/>
        <w:autoSpaceDN w:val="0"/>
        <w:ind w:right="231"/>
        <w:jc w:val="both"/>
        <w:rPr>
          <w:sz w:val="22"/>
          <w:szCs w:val="22"/>
          <w:lang w:val="sr-Latn-ME"/>
        </w:rPr>
      </w:pPr>
    </w:p>
    <w:p w:rsidR="006629F2" w:rsidRPr="0056436C" w:rsidRDefault="006629F2" w:rsidP="0056436C">
      <w:pPr>
        <w:widowControl w:val="0"/>
        <w:autoSpaceDE w:val="0"/>
        <w:autoSpaceDN w:val="0"/>
        <w:ind w:right="231"/>
        <w:jc w:val="both"/>
        <w:rPr>
          <w:sz w:val="22"/>
          <w:szCs w:val="22"/>
          <w:lang w:val="sr-Latn-ME"/>
        </w:rPr>
      </w:pPr>
      <w:r w:rsidRPr="0056436C">
        <w:rPr>
          <w:sz w:val="22"/>
          <w:szCs w:val="22"/>
          <w:lang w:val="sr-Latn-ME"/>
        </w:rPr>
        <w:t xml:space="preserve">Lijek </w:t>
      </w:r>
      <w:r w:rsidR="003714E8" w:rsidRPr="0056436C">
        <w:rPr>
          <w:sz w:val="22"/>
          <w:szCs w:val="22"/>
          <w:lang w:val="sr-Latn-ME"/>
        </w:rPr>
        <w:t>Sitagliptin Teva</w:t>
      </w:r>
      <w:r w:rsidRPr="0056436C">
        <w:rPr>
          <w:sz w:val="22"/>
          <w:szCs w:val="22"/>
          <w:lang w:val="sr-Latn-ME"/>
        </w:rPr>
        <w:t xml:space="preserve"> nema ili ima zanemarljiv uticaj na sposobnost upravljanja vozilima i rukovanja mašinama. Međutim, prilikom upravljanja vozilima i rukovanja mašinama, treba uzeti u obzir da su zabilježeni slučajevi vrtoglavice i pospanosti.</w:t>
      </w:r>
    </w:p>
    <w:p w:rsidR="006629F2" w:rsidRPr="0056436C" w:rsidRDefault="006629F2" w:rsidP="0056436C">
      <w:pPr>
        <w:widowControl w:val="0"/>
        <w:autoSpaceDE w:val="0"/>
        <w:autoSpaceDN w:val="0"/>
        <w:ind w:right="242"/>
        <w:jc w:val="both"/>
        <w:rPr>
          <w:sz w:val="22"/>
          <w:szCs w:val="22"/>
          <w:lang w:val="sr-Latn-ME"/>
        </w:rPr>
      </w:pPr>
    </w:p>
    <w:p w:rsidR="006629F2" w:rsidRPr="0056436C" w:rsidRDefault="006629F2" w:rsidP="0056436C">
      <w:pPr>
        <w:widowControl w:val="0"/>
        <w:autoSpaceDE w:val="0"/>
        <w:autoSpaceDN w:val="0"/>
        <w:ind w:right="242"/>
        <w:jc w:val="both"/>
        <w:rPr>
          <w:sz w:val="22"/>
          <w:szCs w:val="22"/>
          <w:lang w:val="sr-Latn-ME"/>
        </w:rPr>
      </w:pPr>
      <w:r w:rsidRPr="0056436C">
        <w:rPr>
          <w:sz w:val="22"/>
          <w:szCs w:val="22"/>
          <w:lang w:val="sr-Latn-ME"/>
        </w:rPr>
        <w:t xml:space="preserve">Pored toga, pacijente treba upozoriti da postoji rizik </w:t>
      </w:r>
      <w:r w:rsidR="00410637" w:rsidRPr="0056436C">
        <w:rPr>
          <w:sz w:val="22"/>
          <w:szCs w:val="22"/>
          <w:lang w:val="sr-Latn-ME"/>
        </w:rPr>
        <w:t>od</w:t>
      </w:r>
      <w:r w:rsidRPr="0056436C">
        <w:rPr>
          <w:sz w:val="22"/>
          <w:szCs w:val="22"/>
          <w:lang w:val="sr-Latn-ME"/>
        </w:rPr>
        <w:t xml:space="preserve"> pojav</w:t>
      </w:r>
      <w:r w:rsidR="00410637" w:rsidRPr="0056436C">
        <w:rPr>
          <w:sz w:val="22"/>
          <w:szCs w:val="22"/>
          <w:lang w:val="sr-Latn-ME"/>
        </w:rPr>
        <w:t>e</w:t>
      </w:r>
      <w:r w:rsidRPr="0056436C">
        <w:rPr>
          <w:sz w:val="22"/>
          <w:szCs w:val="22"/>
          <w:lang w:val="sr-Latn-ME"/>
        </w:rPr>
        <w:t xml:space="preserve"> hipoglikemije kada se lijek </w:t>
      </w:r>
      <w:r w:rsidR="003714E8" w:rsidRPr="0056436C">
        <w:rPr>
          <w:sz w:val="22"/>
          <w:szCs w:val="22"/>
          <w:lang w:val="sr-Latn-ME"/>
        </w:rPr>
        <w:t>Sitagliptin Teva</w:t>
      </w:r>
      <w:r w:rsidRPr="0056436C">
        <w:rPr>
          <w:sz w:val="22"/>
          <w:szCs w:val="22"/>
          <w:lang w:val="sr-Latn-ME"/>
        </w:rPr>
        <w:t xml:space="preserve"> uzima istovremeno sa sulfonilureom ili insulinom.</w:t>
      </w:r>
    </w:p>
    <w:p w:rsidR="0072020E" w:rsidRPr="0056436C" w:rsidRDefault="0072020E" w:rsidP="0056436C">
      <w:pPr>
        <w:tabs>
          <w:tab w:val="left" w:pos="540"/>
          <w:tab w:val="left" w:pos="569"/>
        </w:tabs>
        <w:rPr>
          <w:b/>
          <w:bCs/>
          <w:sz w:val="22"/>
          <w:szCs w:val="22"/>
          <w:lang w:val="sr-Latn-ME"/>
        </w:rPr>
      </w:pPr>
    </w:p>
    <w:p w:rsidR="0072020E" w:rsidRPr="0056436C" w:rsidRDefault="0072020E" w:rsidP="0056436C">
      <w:pPr>
        <w:tabs>
          <w:tab w:val="left" w:pos="540"/>
          <w:tab w:val="left" w:pos="569"/>
        </w:tabs>
        <w:rPr>
          <w:b/>
          <w:bCs/>
          <w:sz w:val="22"/>
          <w:szCs w:val="22"/>
          <w:lang w:val="sr-Latn-ME"/>
        </w:rPr>
      </w:pPr>
      <w:r w:rsidRPr="0056436C">
        <w:rPr>
          <w:b/>
          <w:bCs/>
          <w:sz w:val="22"/>
          <w:szCs w:val="22"/>
          <w:lang w:val="sr-Latn-ME"/>
        </w:rPr>
        <w:t xml:space="preserve">4.8. </w:t>
      </w:r>
      <w:r w:rsidR="00480FB1" w:rsidRPr="0056436C">
        <w:rPr>
          <w:b/>
          <w:bCs/>
          <w:sz w:val="22"/>
          <w:szCs w:val="22"/>
          <w:lang w:val="sr-Latn-ME"/>
        </w:rPr>
        <w:tab/>
      </w:r>
      <w:r w:rsidRPr="0056436C">
        <w:rPr>
          <w:b/>
          <w:bCs/>
          <w:sz w:val="22"/>
          <w:szCs w:val="22"/>
          <w:lang w:val="sr-Latn-ME"/>
        </w:rPr>
        <w:t>Neželjena dejstva</w:t>
      </w:r>
    </w:p>
    <w:p w:rsidR="006629F2" w:rsidRPr="0056436C" w:rsidRDefault="006629F2" w:rsidP="0056436C">
      <w:pPr>
        <w:tabs>
          <w:tab w:val="left" w:pos="540"/>
          <w:tab w:val="left" w:pos="569"/>
        </w:tabs>
        <w:rPr>
          <w:b/>
          <w:bCs/>
          <w:sz w:val="22"/>
          <w:szCs w:val="22"/>
          <w:lang w:val="sr-Latn-ME"/>
        </w:rPr>
      </w:pPr>
    </w:p>
    <w:p w:rsidR="008B1BD7" w:rsidRPr="0056436C" w:rsidRDefault="008B1BD7" w:rsidP="0056436C">
      <w:pPr>
        <w:tabs>
          <w:tab w:val="left" w:pos="540"/>
          <w:tab w:val="left" w:pos="569"/>
        </w:tabs>
        <w:jc w:val="both"/>
        <w:rPr>
          <w:bCs/>
          <w:sz w:val="22"/>
          <w:szCs w:val="22"/>
          <w:lang w:val="sr-Latn-ME"/>
        </w:rPr>
      </w:pPr>
      <w:r w:rsidRPr="0056436C">
        <w:rPr>
          <w:bCs/>
          <w:sz w:val="22"/>
          <w:szCs w:val="22"/>
          <w:u w:val="single"/>
          <w:lang w:val="sr-Latn-ME"/>
        </w:rPr>
        <w:t>Sažetak bezb</w:t>
      </w:r>
      <w:r w:rsidR="00E1350E" w:rsidRPr="0056436C">
        <w:rPr>
          <w:bCs/>
          <w:sz w:val="22"/>
          <w:szCs w:val="22"/>
          <w:u w:val="single"/>
          <w:lang w:val="sr-Latn-ME"/>
        </w:rPr>
        <w:t>j</w:t>
      </w:r>
      <w:r w:rsidRPr="0056436C">
        <w:rPr>
          <w:bCs/>
          <w:sz w:val="22"/>
          <w:szCs w:val="22"/>
          <w:u w:val="single"/>
          <w:lang w:val="sr-Latn-ME"/>
        </w:rPr>
        <w:t>ednosnog profila</w:t>
      </w:r>
    </w:p>
    <w:p w:rsidR="008B1BD7" w:rsidRPr="0056436C" w:rsidRDefault="008B1BD7" w:rsidP="0056436C">
      <w:pPr>
        <w:tabs>
          <w:tab w:val="left" w:pos="540"/>
          <w:tab w:val="left" w:pos="569"/>
        </w:tabs>
        <w:jc w:val="both"/>
        <w:rPr>
          <w:bCs/>
          <w:sz w:val="22"/>
          <w:szCs w:val="22"/>
          <w:lang w:val="sr-Latn-ME"/>
        </w:rPr>
      </w:pPr>
      <w:r w:rsidRPr="0056436C">
        <w:rPr>
          <w:bCs/>
          <w:sz w:val="22"/>
          <w:szCs w:val="22"/>
          <w:lang w:val="sr-Latn-ME"/>
        </w:rPr>
        <w:t>Zabilježene su ozbiljne neželjene reakcije, uključujući pankreatitis i reakcije preosjetljivosti. Zabilježeni su slučajevi hipoglikemije kada se lijek davao u kombinaciji sa sulfonilureom (4,7% - 13,8%) i insulinom (9,6%). (vidjeti dio 4.4).</w:t>
      </w:r>
    </w:p>
    <w:p w:rsidR="008B1BD7" w:rsidRPr="0056436C" w:rsidRDefault="008B1BD7" w:rsidP="0056436C">
      <w:pPr>
        <w:tabs>
          <w:tab w:val="left" w:pos="540"/>
          <w:tab w:val="left" w:pos="569"/>
        </w:tabs>
        <w:jc w:val="both"/>
        <w:rPr>
          <w:bCs/>
          <w:sz w:val="22"/>
          <w:szCs w:val="22"/>
          <w:lang w:val="sr-Latn-ME"/>
        </w:rPr>
      </w:pPr>
    </w:p>
    <w:p w:rsidR="008B1BD7" w:rsidRPr="0056436C" w:rsidRDefault="008B1BD7" w:rsidP="0056436C">
      <w:pPr>
        <w:tabs>
          <w:tab w:val="left" w:pos="540"/>
          <w:tab w:val="left" w:pos="569"/>
        </w:tabs>
        <w:jc w:val="both"/>
        <w:rPr>
          <w:bCs/>
          <w:sz w:val="22"/>
          <w:szCs w:val="22"/>
          <w:lang w:val="sr-Latn-ME"/>
        </w:rPr>
      </w:pPr>
      <w:r w:rsidRPr="0056436C">
        <w:rPr>
          <w:bCs/>
          <w:sz w:val="22"/>
          <w:szCs w:val="22"/>
          <w:u w:val="single"/>
          <w:lang w:val="sr-Latn-ME"/>
        </w:rPr>
        <w:t>Tabelarni prikaz neželjenih reakcija</w:t>
      </w:r>
    </w:p>
    <w:p w:rsidR="008B1BD7" w:rsidRPr="0056436C" w:rsidRDefault="008B1BD7" w:rsidP="0056436C">
      <w:pPr>
        <w:tabs>
          <w:tab w:val="left" w:pos="540"/>
          <w:tab w:val="left" w:pos="569"/>
        </w:tabs>
        <w:jc w:val="both"/>
        <w:rPr>
          <w:bCs/>
          <w:sz w:val="22"/>
          <w:szCs w:val="22"/>
          <w:lang w:val="sr-Latn-ME"/>
        </w:rPr>
      </w:pPr>
      <w:r w:rsidRPr="0056436C">
        <w:rPr>
          <w:bCs/>
          <w:sz w:val="22"/>
          <w:szCs w:val="22"/>
          <w:lang w:val="sr-Latn-ME"/>
        </w:rPr>
        <w:t>Neželjene reakcije su navedene u donjem tekstu (Tabela 1), a na osnovu klase sistema organa i učestalosti. Učestalost neželjenih reakcija definiš</w:t>
      </w:r>
      <w:r w:rsidR="006B13F2" w:rsidRPr="0056436C">
        <w:rPr>
          <w:bCs/>
          <w:sz w:val="22"/>
          <w:szCs w:val="22"/>
          <w:lang w:val="sr-Latn-ME"/>
        </w:rPr>
        <w:t>e</w:t>
      </w:r>
      <w:r w:rsidRPr="0056436C">
        <w:rPr>
          <w:bCs/>
          <w:sz w:val="22"/>
          <w:szCs w:val="22"/>
          <w:lang w:val="sr-Latn-ME"/>
        </w:rPr>
        <w:t xml:space="preserve"> se kao: veoma čest</w:t>
      </w:r>
      <w:r w:rsidR="006B13F2" w:rsidRPr="0056436C">
        <w:rPr>
          <w:bCs/>
          <w:sz w:val="22"/>
          <w:szCs w:val="22"/>
          <w:lang w:val="sr-Latn-ME"/>
        </w:rPr>
        <w:t>o</w:t>
      </w:r>
      <w:r w:rsidRPr="0056436C">
        <w:rPr>
          <w:bCs/>
          <w:sz w:val="22"/>
          <w:szCs w:val="22"/>
          <w:lang w:val="sr-Latn-ME"/>
        </w:rPr>
        <w:t xml:space="preserve"> </w:t>
      </w:r>
      <w:r w:rsidR="00E1350E" w:rsidRPr="0056436C">
        <w:rPr>
          <w:sz w:val="22"/>
          <w:szCs w:val="22"/>
          <w:lang w:val="sr-Latn-ME"/>
        </w:rPr>
        <w:t xml:space="preserve">(≥ </w:t>
      </w:r>
      <w:r w:rsidRPr="0056436C">
        <w:rPr>
          <w:bCs/>
          <w:sz w:val="22"/>
          <w:szCs w:val="22"/>
          <w:lang w:val="sr-Latn-ME"/>
        </w:rPr>
        <w:t>1/10); čest</w:t>
      </w:r>
      <w:r w:rsidR="006B13F2" w:rsidRPr="0056436C">
        <w:rPr>
          <w:bCs/>
          <w:sz w:val="22"/>
          <w:szCs w:val="22"/>
          <w:lang w:val="sr-Latn-ME"/>
        </w:rPr>
        <w:t>o</w:t>
      </w:r>
      <w:r w:rsidRPr="0056436C">
        <w:rPr>
          <w:bCs/>
          <w:sz w:val="22"/>
          <w:szCs w:val="22"/>
          <w:lang w:val="sr-Latn-ME"/>
        </w:rPr>
        <w:t xml:space="preserve"> </w:t>
      </w:r>
      <w:r w:rsidR="00E1350E" w:rsidRPr="0056436C">
        <w:rPr>
          <w:sz w:val="22"/>
          <w:szCs w:val="22"/>
          <w:lang w:val="sr-Latn-ME"/>
        </w:rPr>
        <w:t xml:space="preserve">(≥ </w:t>
      </w:r>
      <w:r w:rsidRPr="0056436C">
        <w:rPr>
          <w:bCs/>
          <w:sz w:val="22"/>
          <w:szCs w:val="22"/>
          <w:lang w:val="sr-Latn-ME"/>
        </w:rPr>
        <w:t xml:space="preserve">1/100 do </w:t>
      </w:r>
      <w:r w:rsidR="00E1350E" w:rsidRPr="0056436C">
        <w:rPr>
          <w:bCs/>
          <w:sz w:val="22"/>
          <w:szCs w:val="22"/>
          <w:lang w:val="sr-Latn-ME"/>
        </w:rPr>
        <w:t>&lt;</w:t>
      </w:r>
      <w:r w:rsidRPr="0056436C">
        <w:rPr>
          <w:bCs/>
          <w:sz w:val="22"/>
          <w:szCs w:val="22"/>
          <w:lang w:val="sr-Latn-ME"/>
        </w:rPr>
        <w:t>1/10); povremen</w:t>
      </w:r>
      <w:r w:rsidR="006B13F2" w:rsidRPr="0056436C">
        <w:rPr>
          <w:bCs/>
          <w:sz w:val="22"/>
          <w:szCs w:val="22"/>
          <w:lang w:val="sr-Latn-ME"/>
        </w:rPr>
        <w:t>o</w:t>
      </w:r>
      <w:r w:rsidRPr="0056436C">
        <w:rPr>
          <w:bCs/>
          <w:sz w:val="22"/>
          <w:szCs w:val="22"/>
          <w:lang w:val="sr-Latn-ME"/>
        </w:rPr>
        <w:t xml:space="preserve"> </w:t>
      </w:r>
      <w:r w:rsidR="00E1350E" w:rsidRPr="0056436C">
        <w:rPr>
          <w:sz w:val="22"/>
          <w:szCs w:val="22"/>
          <w:lang w:val="sr-Latn-ME"/>
        </w:rPr>
        <w:t xml:space="preserve">(≥ </w:t>
      </w:r>
      <w:r w:rsidRPr="0056436C">
        <w:rPr>
          <w:bCs/>
          <w:sz w:val="22"/>
          <w:szCs w:val="22"/>
          <w:lang w:val="sr-Latn-ME"/>
        </w:rPr>
        <w:t xml:space="preserve">1/1000 do </w:t>
      </w:r>
      <w:r w:rsidR="00E1350E" w:rsidRPr="0056436C">
        <w:rPr>
          <w:bCs/>
          <w:sz w:val="22"/>
          <w:szCs w:val="22"/>
          <w:lang w:val="sr-Latn-ME"/>
        </w:rPr>
        <w:t>&lt;</w:t>
      </w:r>
      <w:r w:rsidRPr="0056436C">
        <w:rPr>
          <w:bCs/>
          <w:sz w:val="22"/>
          <w:szCs w:val="22"/>
          <w:lang w:val="sr-Latn-ME"/>
        </w:rPr>
        <w:t>1/100); rijetk</w:t>
      </w:r>
      <w:r w:rsidR="006B13F2" w:rsidRPr="0056436C">
        <w:rPr>
          <w:bCs/>
          <w:sz w:val="22"/>
          <w:szCs w:val="22"/>
          <w:lang w:val="sr-Latn-ME"/>
        </w:rPr>
        <w:t>o</w:t>
      </w:r>
      <w:r w:rsidRPr="0056436C">
        <w:rPr>
          <w:bCs/>
          <w:sz w:val="22"/>
          <w:szCs w:val="22"/>
          <w:lang w:val="sr-Latn-ME"/>
        </w:rPr>
        <w:t xml:space="preserve"> </w:t>
      </w:r>
      <w:r w:rsidR="00E1350E" w:rsidRPr="0056436C">
        <w:rPr>
          <w:sz w:val="22"/>
          <w:szCs w:val="22"/>
          <w:lang w:val="sr-Latn-ME"/>
        </w:rPr>
        <w:t xml:space="preserve">(≥ </w:t>
      </w:r>
      <w:r w:rsidRPr="0056436C">
        <w:rPr>
          <w:bCs/>
          <w:sz w:val="22"/>
          <w:szCs w:val="22"/>
          <w:lang w:val="sr-Latn-ME"/>
        </w:rPr>
        <w:t xml:space="preserve">1/10.000 do </w:t>
      </w:r>
      <w:r w:rsidR="00E1350E" w:rsidRPr="0056436C">
        <w:rPr>
          <w:bCs/>
          <w:sz w:val="22"/>
          <w:szCs w:val="22"/>
          <w:lang w:val="sr-Latn-ME"/>
        </w:rPr>
        <w:t>&lt;</w:t>
      </w:r>
      <w:r w:rsidRPr="0056436C">
        <w:rPr>
          <w:bCs/>
          <w:sz w:val="22"/>
          <w:szCs w:val="22"/>
          <w:lang w:val="sr-Latn-ME"/>
        </w:rPr>
        <w:t>1/1.000); veoma rijetk</w:t>
      </w:r>
      <w:r w:rsidR="006B13F2" w:rsidRPr="0056436C">
        <w:rPr>
          <w:bCs/>
          <w:sz w:val="22"/>
          <w:szCs w:val="22"/>
          <w:lang w:val="sr-Latn-ME"/>
        </w:rPr>
        <w:t>o</w:t>
      </w:r>
      <w:r w:rsidRPr="0056436C">
        <w:rPr>
          <w:bCs/>
          <w:sz w:val="22"/>
          <w:szCs w:val="22"/>
          <w:lang w:val="sr-Latn-ME"/>
        </w:rPr>
        <w:t xml:space="preserve"> (</w:t>
      </w:r>
      <w:r w:rsidR="00E1350E" w:rsidRPr="0056436C">
        <w:rPr>
          <w:bCs/>
          <w:sz w:val="22"/>
          <w:szCs w:val="22"/>
          <w:lang w:val="sr-Latn-ME"/>
        </w:rPr>
        <w:t>&lt;</w:t>
      </w:r>
      <w:r w:rsidRPr="0056436C">
        <w:rPr>
          <w:bCs/>
          <w:sz w:val="22"/>
          <w:szCs w:val="22"/>
          <w:lang w:val="sr-Latn-ME"/>
        </w:rPr>
        <w:t>1/10.000) i nepoznato</w:t>
      </w:r>
      <w:r w:rsidR="005F3E76" w:rsidRPr="0056436C">
        <w:rPr>
          <w:bCs/>
          <w:sz w:val="22"/>
          <w:szCs w:val="22"/>
          <w:lang w:val="sr-Latn-ME"/>
        </w:rPr>
        <w:t xml:space="preserve"> (</w:t>
      </w:r>
      <w:r w:rsidRPr="0056436C">
        <w:rPr>
          <w:bCs/>
          <w:sz w:val="22"/>
          <w:szCs w:val="22"/>
          <w:lang w:val="sr-Latn-ME"/>
        </w:rPr>
        <w:t>ne može da se procijeni na osnovu dostupnih podataka).</w:t>
      </w:r>
    </w:p>
    <w:p w:rsidR="008B1BD7" w:rsidRPr="0056436C" w:rsidRDefault="008B1BD7" w:rsidP="0056436C">
      <w:pPr>
        <w:tabs>
          <w:tab w:val="left" w:pos="540"/>
          <w:tab w:val="left" w:pos="569"/>
        </w:tabs>
        <w:rPr>
          <w:b/>
          <w:bCs/>
          <w:sz w:val="22"/>
          <w:szCs w:val="22"/>
          <w:lang w:val="sr-Latn-ME"/>
        </w:rPr>
      </w:pPr>
    </w:p>
    <w:p w:rsidR="008B1BD7" w:rsidRPr="0056436C" w:rsidRDefault="008B1BD7" w:rsidP="0056436C">
      <w:pPr>
        <w:tabs>
          <w:tab w:val="left" w:pos="540"/>
          <w:tab w:val="left" w:pos="569"/>
        </w:tabs>
        <w:rPr>
          <w:b/>
          <w:bCs/>
          <w:sz w:val="22"/>
          <w:szCs w:val="22"/>
          <w:lang w:val="sr-Latn-ME"/>
        </w:rPr>
      </w:pPr>
      <w:r w:rsidRPr="0056436C">
        <w:rPr>
          <w:b/>
          <w:bCs/>
          <w:sz w:val="22"/>
          <w:szCs w:val="22"/>
          <w:lang w:val="sr-Latn-ME"/>
        </w:rPr>
        <w:lastRenderedPageBreak/>
        <w:t>Tabela 1: Učestalost neželjenih reakcija utvrđena u placebo</w:t>
      </w:r>
      <w:r w:rsidR="00A26935" w:rsidRPr="0056436C">
        <w:rPr>
          <w:b/>
          <w:bCs/>
          <w:sz w:val="22"/>
          <w:szCs w:val="22"/>
          <w:lang w:val="sr-Latn-ME"/>
        </w:rPr>
        <w:t xml:space="preserve">m </w:t>
      </w:r>
      <w:r w:rsidRPr="0056436C">
        <w:rPr>
          <w:b/>
          <w:bCs/>
          <w:sz w:val="22"/>
          <w:szCs w:val="22"/>
          <w:lang w:val="sr-Latn-ME"/>
        </w:rPr>
        <w:t>kontrolisanim kliničkim ispitivanjima sitagliptina kao monoterapije i iskustava nakon stavljanja lijeka u promet.</w:t>
      </w:r>
    </w:p>
    <w:p w:rsidR="002B3A12" w:rsidRPr="0056436C" w:rsidRDefault="002B3A12" w:rsidP="0056436C">
      <w:pPr>
        <w:tabs>
          <w:tab w:val="left" w:pos="540"/>
          <w:tab w:val="left" w:pos="569"/>
        </w:tabs>
        <w:rPr>
          <w:b/>
          <w:bCs/>
          <w:sz w:val="22"/>
          <w:szCs w:val="22"/>
          <w:lang w:val="sr-Latn-ME"/>
        </w:rPr>
      </w:pPr>
    </w:p>
    <w:p w:rsidR="00FB3895" w:rsidRPr="0056436C" w:rsidRDefault="00FB3895" w:rsidP="0056436C">
      <w:pPr>
        <w:tabs>
          <w:tab w:val="left" w:pos="3225"/>
        </w:tabs>
        <w:rPr>
          <w:sz w:val="22"/>
          <w:szCs w:val="22"/>
          <w:lang w:val="sr-Latn-ME"/>
        </w:rPr>
      </w:pPr>
    </w:p>
    <w:tbl>
      <w:tblPr>
        <w:tblW w:w="5000" w:type="pct"/>
        <w:tblBorders>
          <w:top w:val="outset" w:sz="6" w:space="0" w:color="7B7B7B"/>
          <w:left w:val="outset" w:sz="6" w:space="0" w:color="7B7B7B"/>
          <w:bottom w:val="outset" w:sz="6" w:space="0" w:color="7B7B7B"/>
          <w:right w:val="outset" w:sz="6" w:space="0" w:color="7B7B7B"/>
        </w:tblBorders>
        <w:shd w:val="clear" w:color="auto" w:fill="FFFFFF"/>
        <w:tblCellMar>
          <w:top w:w="30" w:type="dxa"/>
          <w:left w:w="30" w:type="dxa"/>
          <w:bottom w:w="30" w:type="dxa"/>
          <w:right w:w="30" w:type="dxa"/>
        </w:tblCellMar>
        <w:tblLook w:val="04A0" w:firstRow="1" w:lastRow="0" w:firstColumn="1" w:lastColumn="0" w:noHBand="0" w:noVBand="1"/>
      </w:tblPr>
      <w:tblGrid>
        <w:gridCol w:w="4534"/>
        <w:gridCol w:w="4535"/>
      </w:tblGrid>
      <w:tr w:rsidR="00FB3895" w:rsidRPr="0056436C" w:rsidTr="00A26F6D">
        <w:tc>
          <w:tcPr>
            <w:tcW w:w="2500" w:type="pct"/>
            <w:tcBorders>
              <w:top w:val="outset" w:sz="6" w:space="0" w:color="7B7B7B"/>
              <w:left w:val="outset" w:sz="6" w:space="0" w:color="7B7B7B"/>
              <w:bottom w:val="outset" w:sz="6" w:space="0" w:color="7B7B7B"/>
              <w:right w:val="outset" w:sz="6" w:space="0" w:color="7B7B7B"/>
            </w:tcBorders>
            <w:shd w:val="clear" w:color="auto" w:fill="FFFFFF"/>
            <w:hideMark/>
          </w:tcPr>
          <w:p w:rsidR="00FB3895" w:rsidRPr="0056436C" w:rsidRDefault="00A26F6D" w:rsidP="0056436C">
            <w:pPr>
              <w:pStyle w:val="NormalWeb"/>
              <w:spacing w:before="0" w:beforeAutospacing="0" w:after="0" w:afterAutospacing="0"/>
              <w:rPr>
                <w:color w:val="000000"/>
                <w:sz w:val="22"/>
                <w:szCs w:val="22"/>
                <w:lang w:val="sr-Latn-ME"/>
              </w:rPr>
            </w:pPr>
            <w:r w:rsidRPr="0056436C">
              <w:rPr>
                <w:b/>
                <w:bCs/>
                <w:color w:val="000000"/>
                <w:sz w:val="22"/>
                <w:szCs w:val="22"/>
                <w:lang w:val="sr-Latn-ME"/>
              </w:rPr>
              <w:t>Neželjeno dejstvo</w:t>
            </w:r>
          </w:p>
        </w:tc>
        <w:tc>
          <w:tcPr>
            <w:tcW w:w="2500" w:type="pct"/>
            <w:tcBorders>
              <w:top w:val="outset" w:sz="6" w:space="0" w:color="7B7B7B"/>
              <w:left w:val="outset" w:sz="6" w:space="0" w:color="7B7B7B"/>
              <w:bottom w:val="outset" w:sz="6" w:space="0" w:color="7B7B7B"/>
              <w:right w:val="outset" w:sz="6" w:space="0" w:color="7B7B7B"/>
            </w:tcBorders>
            <w:shd w:val="clear" w:color="auto" w:fill="FFFFFF"/>
          </w:tcPr>
          <w:p w:rsidR="00FB3895" w:rsidRPr="0056436C" w:rsidRDefault="00A26F6D" w:rsidP="0056436C">
            <w:pPr>
              <w:pStyle w:val="NormalWeb"/>
              <w:spacing w:before="0" w:beforeAutospacing="0" w:after="0" w:afterAutospacing="0"/>
              <w:jc w:val="center"/>
              <w:rPr>
                <w:b/>
                <w:color w:val="000000"/>
                <w:sz w:val="22"/>
                <w:szCs w:val="22"/>
                <w:lang w:val="sr-Latn-ME"/>
              </w:rPr>
            </w:pPr>
            <w:r w:rsidRPr="0056436C">
              <w:rPr>
                <w:b/>
                <w:color w:val="000000"/>
                <w:sz w:val="22"/>
                <w:szCs w:val="22"/>
                <w:lang w:val="sr-Latn-ME"/>
              </w:rPr>
              <w:t>Učestalost neželjenog dejstva</w:t>
            </w:r>
          </w:p>
        </w:tc>
      </w:tr>
      <w:tr w:rsidR="00FB3895" w:rsidRPr="0056436C" w:rsidTr="00531D5C">
        <w:tc>
          <w:tcPr>
            <w:tcW w:w="5000" w:type="pct"/>
            <w:gridSpan w:val="2"/>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0953A4" w:rsidP="0056436C">
            <w:pPr>
              <w:pStyle w:val="NormalWeb"/>
              <w:spacing w:before="0" w:beforeAutospacing="0" w:after="0" w:afterAutospacing="0"/>
              <w:rPr>
                <w:color w:val="000000"/>
                <w:sz w:val="22"/>
                <w:szCs w:val="22"/>
                <w:lang w:val="sr-Latn-ME"/>
              </w:rPr>
            </w:pPr>
            <w:r w:rsidRPr="0056436C">
              <w:rPr>
                <w:b/>
                <w:bCs/>
                <w:color w:val="000000"/>
                <w:sz w:val="22"/>
                <w:szCs w:val="22"/>
                <w:lang w:val="sr-Latn-ME"/>
              </w:rPr>
              <w:t xml:space="preserve">Poremećaji krvi </w:t>
            </w:r>
            <w:r w:rsidR="00E77B26" w:rsidRPr="0056436C">
              <w:rPr>
                <w:b/>
                <w:bCs/>
                <w:color w:val="000000"/>
                <w:sz w:val="22"/>
                <w:szCs w:val="22"/>
                <w:lang w:val="sr-Latn-ME"/>
              </w:rPr>
              <w:t>i</w:t>
            </w:r>
            <w:r w:rsidRPr="0056436C">
              <w:rPr>
                <w:b/>
                <w:bCs/>
                <w:color w:val="000000"/>
                <w:sz w:val="22"/>
                <w:szCs w:val="22"/>
                <w:lang w:val="sr-Latn-ME"/>
              </w:rPr>
              <w:t xml:space="preserve"> limfnog sistema</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A36773" w:rsidP="0056436C">
            <w:pPr>
              <w:pStyle w:val="NormalWeb"/>
              <w:spacing w:before="0" w:beforeAutospacing="0" w:after="0" w:afterAutospacing="0"/>
              <w:rPr>
                <w:color w:val="000000"/>
                <w:sz w:val="22"/>
                <w:szCs w:val="22"/>
                <w:lang w:val="sr-Latn-ME"/>
              </w:rPr>
            </w:pPr>
            <w:r w:rsidRPr="0056436C">
              <w:rPr>
                <w:color w:val="000000"/>
                <w:sz w:val="22"/>
                <w:szCs w:val="22"/>
                <w:lang w:val="sr-Latn-ME"/>
              </w:rPr>
              <w:t>tromboci</w:t>
            </w:r>
            <w:r w:rsidR="00FB3895" w:rsidRPr="0056436C">
              <w:rPr>
                <w:color w:val="000000"/>
                <w:sz w:val="22"/>
                <w:szCs w:val="22"/>
                <w:lang w:val="sr-Latn-ME"/>
              </w:rPr>
              <w:t>topeni</w:t>
            </w:r>
            <w:r w:rsidRPr="0056436C">
              <w:rPr>
                <w:color w:val="000000"/>
                <w:sz w:val="22"/>
                <w:szCs w:val="22"/>
                <w:lang w:val="sr-Latn-ME"/>
              </w:rPr>
              <w:t>j</w:t>
            </w:r>
            <w:r w:rsidR="00FB3895" w:rsidRPr="0056436C">
              <w:rPr>
                <w:color w:val="000000"/>
                <w:sz w:val="22"/>
                <w:szCs w:val="22"/>
                <w:lang w:val="sr-Latn-ME"/>
              </w:rPr>
              <w:t>a</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877452"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Rijetk</w:t>
            </w:r>
            <w:r w:rsidR="006B13F2" w:rsidRPr="0056436C">
              <w:rPr>
                <w:color w:val="000000"/>
                <w:sz w:val="22"/>
                <w:szCs w:val="22"/>
                <w:lang w:val="sr-Latn-ME"/>
              </w:rPr>
              <w:t>o</w:t>
            </w:r>
          </w:p>
        </w:tc>
      </w:tr>
      <w:tr w:rsidR="00FB3895" w:rsidRPr="0056436C" w:rsidTr="00531D5C">
        <w:tc>
          <w:tcPr>
            <w:tcW w:w="5000" w:type="pct"/>
            <w:gridSpan w:val="2"/>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C00310" w:rsidP="0056436C">
            <w:pPr>
              <w:pStyle w:val="NormalWeb"/>
              <w:spacing w:before="0" w:beforeAutospacing="0" w:after="0" w:afterAutospacing="0"/>
              <w:rPr>
                <w:color w:val="000000"/>
                <w:sz w:val="22"/>
                <w:szCs w:val="22"/>
                <w:lang w:val="sr-Latn-ME"/>
              </w:rPr>
            </w:pPr>
            <w:r w:rsidRPr="0056436C">
              <w:rPr>
                <w:b/>
                <w:bCs/>
                <w:color w:val="000000"/>
                <w:sz w:val="22"/>
                <w:szCs w:val="22"/>
                <w:lang w:val="sr-Latn-ME"/>
              </w:rPr>
              <w:t>Poremećaji imunog</w:t>
            </w:r>
            <w:r w:rsidR="00B96135" w:rsidRPr="0056436C">
              <w:rPr>
                <w:b/>
                <w:bCs/>
                <w:color w:val="000000"/>
                <w:sz w:val="22"/>
                <w:szCs w:val="22"/>
                <w:lang w:val="sr-Latn-ME"/>
              </w:rPr>
              <w:t xml:space="preserve"> sistema</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DD3AE6" w:rsidP="0056436C">
            <w:pPr>
              <w:pStyle w:val="Default"/>
              <w:rPr>
                <w:sz w:val="22"/>
                <w:szCs w:val="22"/>
                <w:lang w:val="sr-Latn-ME"/>
              </w:rPr>
            </w:pPr>
            <w:r w:rsidRPr="0056436C">
              <w:rPr>
                <w:sz w:val="22"/>
                <w:szCs w:val="22"/>
                <w:lang w:val="sr-Latn-ME"/>
              </w:rPr>
              <w:t xml:space="preserve">reakcije preosjetljivosti uključujući anafilaktičke odgovore *,† </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6B008C"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Nepoznata učestalost</w:t>
            </w:r>
          </w:p>
        </w:tc>
      </w:tr>
      <w:tr w:rsidR="00FB3895" w:rsidRPr="0056436C" w:rsidTr="00531D5C">
        <w:tc>
          <w:tcPr>
            <w:tcW w:w="5000" w:type="pct"/>
            <w:gridSpan w:val="2"/>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37639E" w:rsidP="0056436C">
            <w:pPr>
              <w:pStyle w:val="NormalWeb"/>
              <w:spacing w:before="0" w:beforeAutospacing="0" w:after="0" w:afterAutospacing="0"/>
              <w:rPr>
                <w:color w:val="000000"/>
                <w:sz w:val="22"/>
                <w:szCs w:val="22"/>
                <w:lang w:val="sr-Latn-ME"/>
              </w:rPr>
            </w:pPr>
            <w:r w:rsidRPr="0056436C">
              <w:rPr>
                <w:b/>
                <w:bCs/>
                <w:color w:val="000000"/>
                <w:sz w:val="22"/>
                <w:szCs w:val="22"/>
                <w:lang w:val="sr-Latn-ME"/>
              </w:rPr>
              <w:t>Poremećaji metabolizma i ishrane</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37639E" w:rsidP="0056436C">
            <w:pPr>
              <w:pStyle w:val="NormalWeb"/>
              <w:spacing w:before="0" w:beforeAutospacing="0" w:after="0" w:afterAutospacing="0"/>
              <w:rPr>
                <w:color w:val="000000"/>
                <w:sz w:val="22"/>
                <w:szCs w:val="22"/>
                <w:lang w:val="sr-Latn-ME"/>
              </w:rPr>
            </w:pPr>
            <w:r w:rsidRPr="0056436C">
              <w:rPr>
                <w:color w:val="000000"/>
                <w:sz w:val="22"/>
                <w:szCs w:val="22"/>
                <w:lang w:val="sr-Latn-ME"/>
              </w:rPr>
              <w:t>hipoglike</w:t>
            </w:r>
            <w:r w:rsidR="00FB3895" w:rsidRPr="0056436C">
              <w:rPr>
                <w:color w:val="000000"/>
                <w:sz w:val="22"/>
                <w:szCs w:val="22"/>
                <w:lang w:val="sr-Latn-ME"/>
              </w:rPr>
              <w:t>mi</w:t>
            </w:r>
            <w:r w:rsidRPr="0056436C">
              <w:rPr>
                <w:color w:val="000000"/>
                <w:sz w:val="22"/>
                <w:szCs w:val="22"/>
                <w:lang w:val="sr-Latn-ME"/>
              </w:rPr>
              <w:t>j</w:t>
            </w:r>
            <w:r w:rsidR="00FB3895" w:rsidRPr="0056436C">
              <w:rPr>
                <w:color w:val="000000"/>
                <w:sz w:val="22"/>
                <w:szCs w:val="22"/>
                <w:lang w:val="sr-Latn-ME"/>
              </w:rPr>
              <w:t>a</w:t>
            </w:r>
            <w:r w:rsidR="00FB3895" w:rsidRPr="0056436C">
              <w:rPr>
                <w:color w:val="000000"/>
                <w:sz w:val="22"/>
                <w:szCs w:val="22"/>
                <w:vertAlign w:val="superscript"/>
                <w:lang w:val="sr-Latn-ME"/>
              </w:rPr>
              <w:t>†</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C2439C"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Čest</w:t>
            </w:r>
            <w:r w:rsidR="006B13F2" w:rsidRPr="0056436C">
              <w:rPr>
                <w:color w:val="000000"/>
                <w:sz w:val="22"/>
                <w:szCs w:val="22"/>
                <w:lang w:val="sr-Latn-ME"/>
              </w:rPr>
              <w:t>o</w:t>
            </w:r>
          </w:p>
        </w:tc>
      </w:tr>
      <w:tr w:rsidR="00FB3895" w:rsidRPr="0056436C" w:rsidTr="00531D5C">
        <w:tc>
          <w:tcPr>
            <w:tcW w:w="5000" w:type="pct"/>
            <w:gridSpan w:val="2"/>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8F047B" w:rsidP="0056436C">
            <w:pPr>
              <w:pStyle w:val="NormalWeb"/>
              <w:spacing w:before="0" w:beforeAutospacing="0" w:after="0" w:afterAutospacing="0"/>
              <w:rPr>
                <w:color w:val="000000"/>
                <w:sz w:val="22"/>
                <w:szCs w:val="22"/>
                <w:lang w:val="sr-Latn-ME"/>
              </w:rPr>
            </w:pPr>
            <w:r w:rsidRPr="0056436C">
              <w:rPr>
                <w:b/>
                <w:bCs/>
                <w:color w:val="000000"/>
                <w:sz w:val="22"/>
                <w:szCs w:val="22"/>
                <w:lang w:val="sr-Latn-ME"/>
              </w:rPr>
              <w:t>Poremećaji nervnog sistema</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987C82" w:rsidP="0056436C">
            <w:pPr>
              <w:pStyle w:val="NormalWeb"/>
              <w:spacing w:before="0" w:beforeAutospacing="0" w:after="0" w:afterAutospacing="0"/>
              <w:rPr>
                <w:color w:val="000000"/>
                <w:sz w:val="22"/>
                <w:szCs w:val="22"/>
                <w:lang w:val="sr-Latn-ME"/>
              </w:rPr>
            </w:pPr>
            <w:r w:rsidRPr="0056436C">
              <w:rPr>
                <w:color w:val="000000"/>
                <w:sz w:val="22"/>
                <w:szCs w:val="22"/>
                <w:lang w:val="sr-Latn-ME"/>
              </w:rPr>
              <w:t>glavobolja</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C2439C"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Čest</w:t>
            </w:r>
            <w:r w:rsidR="006B13F2" w:rsidRPr="0056436C">
              <w:rPr>
                <w:color w:val="000000"/>
                <w:sz w:val="22"/>
                <w:szCs w:val="22"/>
                <w:lang w:val="sr-Latn-ME"/>
              </w:rPr>
              <w:t>o</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987C82" w:rsidP="0056436C">
            <w:pPr>
              <w:pStyle w:val="NormalWeb"/>
              <w:spacing w:before="0" w:beforeAutospacing="0" w:after="0" w:afterAutospacing="0"/>
              <w:rPr>
                <w:color w:val="000000"/>
                <w:sz w:val="22"/>
                <w:szCs w:val="22"/>
                <w:lang w:val="sr-Latn-ME"/>
              </w:rPr>
            </w:pPr>
            <w:r w:rsidRPr="0056436C">
              <w:rPr>
                <w:color w:val="000000"/>
                <w:sz w:val="22"/>
                <w:szCs w:val="22"/>
                <w:lang w:val="sr-Latn-ME"/>
              </w:rPr>
              <w:t>vrtoglavica</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EF1CF5"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Povremen</w:t>
            </w:r>
            <w:r w:rsidR="006B13F2" w:rsidRPr="0056436C">
              <w:rPr>
                <w:color w:val="000000"/>
                <w:sz w:val="22"/>
                <w:szCs w:val="22"/>
                <w:lang w:val="sr-Latn-ME"/>
              </w:rPr>
              <w:t>o</w:t>
            </w:r>
          </w:p>
        </w:tc>
      </w:tr>
      <w:tr w:rsidR="00FB3895" w:rsidRPr="0056436C" w:rsidTr="00531D5C">
        <w:tc>
          <w:tcPr>
            <w:tcW w:w="5000" w:type="pct"/>
            <w:gridSpan w:val="2"/>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59347C" w:rsidP="0056436C">
            <w:pPr>
              <w:pStyle w:val="NormalWeb"/>
              <w:spacing w:before="0" w:beforeAutospacing="0" w:after="0" w:afterAutospacing="0"/>
              <w:rPr>
                <w:color w:val="000000"/>
                <w:sz w:val="22"/>
                <w:szCs w:val="22"/>
                <w:lang w:val="sr-Latn-ME"/>
              </w:rPr>
            </w:pPr>
            <w:r w:rsidRPr="0056436C">
              <w:rPr>
                <w:b/>
                <w:bCs/>
                <w:color w:val="000000"/>
                <w:sz w:val="22"/>
                <w:szCs w:val="22"/>
                <w:lang w:val="sr-Latn-ME"/>
              </w:rPr>
              <w:t xml:space="preserve">Respiratorni, torakalni </w:t>
            </w:r>
            <w:r w:rsidR="00F932B9" w:rsidRPr="0056436C">
              <w:rPr>
                <w:b/>
                <w:bCs/>
                <w:color w:val="000000"/>
                <w:sz w:val="22"/>
                <w:szCs w:val="22"/>
                <w:lang w:val="sr-Latn-ME"/>
              </w:rPr>
              <w:t>i</w:t>
            </w:r>
            <w:r w:rsidRPr="0056436C">
              <w:rPr>
                <w:b/>
                <w:bCs/>
                <w:color w:val="000000"/>
                <w:sz w:val="22"/>
                <w:szCs w:val="22"/>
                <w:lang w:val="sr-Latn-ME"/>
              </w:rPr>
              <w:t xml:space="preserve"> medijastinalni poremećaji</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F932B9" w:rsidP="0056436C">
            <w:pPr>
              <w:pStyle w:val="NormalWeb"/>
              <w:spacing w:before="0" w:beforeAutospacing="0" w:after="0" w:afterAutospacing="0"/>
              <w:rPr>
                <w:color w:val="000000"/>
                <w:sz w:val="22"/>
                <w:szCs w:val="22"/>
                <w:lang w:val="sr-Latn-ME"/>
              </w:rPr>
            </w:pPr>
            <w:r w:rsidRPr="0056436C">
              <w:rPr>
                <w:color w:val="000000"/>
                <w:sz w:val="22"/>
                <w:szCs w:val="22"/>
                <w:lang w:val="sr-Latn-ME"/>
              </w:rPr>
              <w:t>Intersticijalna bolest pluća</w:t>
            </w:r>
            <w:r w:rsidR="00FB3895" w:rsidRPr="0056436C">
              <w:rPr>
                <w:color w:val="000000"/>
                <w:sz w:val="22"/>
                <w:szCs w:val="22"/>
                <w:vertAlign w:val="superscript"/>
                <w:lang w:val="sr-Latn-ME"/>
              </w:rPr>
              <w:t>*</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6B008C"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Nepoznata učestalost</w:t>
            </w:r>
          </w:p>
        </w:tc>
      </w:tr>
      <w:tr w:rsidR="00FB3895" w:rsidRPr="0056436C" w:rsidTr="00531D5C">
        <w:tc>
          <w:tcPr>
            <w:tcW w:w="5000" w:type="pct"/>
            <w:gridSpan w:val="2"/>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FB3895" w:rsidP="0056436C">
            <w:pPr>
              <w:pStyle w:val="NormalWeb"/>
              <w:spacing w:before="0" w:beforeAutospacing="0" w:after="0" w:afterAutospacing="0"/>
              <w:rPr>
                <w:color w:val="000000"/>
                <w:sz w:val="22"/>
                <w:szCs w:val="22"/>
                <w:lang w:val="sr-Latn-ME"/>
              </w:rPr>
            </w:pPr>
            <w:r w:rsidRPr="0056436C">
              <w:rPr>
                <w:b/>
                <w:bCs/>
                <w:color w:val="000000"/>
                <w:sz w:val="22"/>
                <w:szCs w:val="22"/>
                <w:lang w:val="sr-Latn-ME"/>
              </w:rPr>
              <w:t>Gastrointestinal</w:t>
            </w:r>
            <w:r w:rsidR="00E66FC7" w:rsidRPr="0056436C">
              <w:rPr>
                <w:b/>
                <w:bCs/>
                <w:color w:val="000000"/>
                <w:sz w:val="22"/>
                <w:szCs w:val="22"/>
                <w:lang w:val="sr-Latn-ME"/>
              </w:rPr>
              <w:t>ni poremećaji</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9F1D64" w:rsidP="0056436C">
            <w:pPr>
              <w:pStyle w:val="NormalWeb"/>
              <w:spacing w:before="0" w:beforeAutospacing="0" w:after="0" w:afterAutospacing="0"/>
              <w:rPr>
                <w:color w:val="000000"/>
                <w:sz w:val="22"/>
                <w:szCs w:val="22"/>
                <w:lang w:val="sr-Latn-ME"/>
              </w:rPr>
            </w:pPr>
            <w:r w:rsidRPr="0056436C">
              <w:rPr>
                <w:color w:val="000000"/>
                <w:sz w:val="22"/>
                <w:szCs w:val="22"/>
                <w:lang w:val="sr-Latn-ME"/>
              </w:rPr>
              <w:t>konstipacija</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EF1CF5"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Povremena</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9F1D64" w:rsidP="0056436C">
            <w:pPr>
              <w:pStyle w:val="NormalWeb"/>
              <w:spacing w:before="0" w:beforeAutospacing="0" w:after="0" w:afterAutospacing="0"/>
              <w:rPr>
                <w:color w:val="000000"/>
                <w:sz w:val="22"/>
                <w:szCs w:val="22"/>
                <w:lang w:val="sr-Latn-ME"/>
              </w:rPr>
            </w:pPr>
            <w:r w:rsidRPr="0056436C">
              <w:rPr>
                <w:color w:val="000000"/>
                <w:sz w:val="22"/>
                <w:szCs w:val="22"/>
                <w:lang w:val="sr-Latn-ME"/>
              </w:rPr>
              <w:t>povraćanje</w:t>
            </w:r>
            <w:r w:rsidR="00FB3895" w:rsidRPr="0056436C">
              <w:rPr>
                <w:color w:val="000000"/>
                <w:sz w:val="22"/>
                <w:szCs w:val="22"/>
                <w:vertAlign w:val="superscript"/>
                <w:lang w:val="sr-Latn-ME"/>
              </w:rPr>
              <w:t>*</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6B008C"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Nepoznata učestalost</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D70F2B" w:rsidP="0056436C">
            <w:pPr>
              <w:pStyle w:val="NormalWeb"/>
              <w:spacing w:before="0" w:beforeAutospacing="0" w:after="0" w:afterAutospacing="0"/>
              <w:rPr>
                <w:color w:val="000000"/>
                <w:sz w:val="22"/>
                <w:szCs w:val="22"/>
                <w:lang w:val="sr-Latn-ME"/>
              </w:rPr>
            </w:pPr>
            <w:r w:rsidRPr="0056436C">
              <w:rPr>
                <w:color w:val="000000"/>
                <w:sz w:val="22"/>
                <w:szCs w:val="22"/>
                <w:lang w:val="sr-Latn-ME"/>
              </w:rPr>
              <w:t>akutni pank</w:t>
            </w:r>
            <w:r w:rsidR="00FB3895" w:rsidRPr="0056436C">
              <w:rPr>
                <w:color w:val="000000"/>
                <w:sz w:val="22"/>
                <w:szCs w:val="22"/>
                <w:lang w:val="sr-Latn-ME"/>
              </w:rPr>
              <w:t>reatitis</w:t>
            </w:r>
            <w:r w:rsidR="00FB3895" w:rsidRPr="0056436C">
              <w:rPr>
                <w:color w:val="000000"/>
                <w:sz w:val="22"/>
                <w:szCs w:val="22"/>
                <w:vertAlign w:val="superscript"/>
                <w:lang w:val="sr-Latn-ME"/>
              </w:rPr>
              <w:t>*,†,‡</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6B008C"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Nepoznata učestalost</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9B752A" w:rsidP="0056436C">
            <w:pPr>
              <w:pStyle w:val="NormalWeb"/>
              <w:spacing w:before="0" w:beforeAutospacing="0" w:after="0" w:afterAutospacing="0"/>
              <w:rPr>
                <w:color w:val="000000"/>
                <w:sz w:val="22"/>
                <w:szCs w:val="22"/>
                <w:lang w:val="sr-Latn-ME"/>
              </w:rPr>
            </w:pPr>
            <w:r w:rsidRPr="0056436C">
              <w:rPr>
                <w:sz w:val="22"/>
                <w:szCs w:val="22"/>
                <w:lang w:val="sr-Latn-ME"/>
              </w:rPr>
              <w:t>hemoragijski i nekrotizirajući pankreatitis sa ili bez smrtnog ishoda</w:t>
            </w:r>
            <w:r w:rsidRPr="0056436C">
              <w:rPr>
                <w:color w:val="000000"/>
                <w:sz w:val="22"/>
                <w:szCs w:val="22"/>
                <w:vertAlign w:val="superscript"/>
                <w:lang w:val="sr-Latn-ME"/>
              </w:rPr>
              <w:t xml:space="preserve"> </w:t>
            </w:r>
            <w:r w:rsidR="00FB3895" w:rsidRPr="0056436C">
              <w:rPr>
                <w:color w:val="000000"/>
                <w:sz w:val="22"/>
                <w:szCs w:val="22"/>
                <w:vertAlign w:val="superscript"/>
                <w:lang w:val="sr-Latn-ME"/>
              </w:rPr>
              <w:t>*,†</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6B008C"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Nepoznata učestalost</w:t>
            </w:r>
          </w:p>
        </w:tc>
      </w:tr>
      <w:tr w:rsidR="00FB3895" w:rsidRPr="0056436C" w:rsidTr="00531D5C">
        <w:tc>
          <w:tcPr>
            <w:tcW w:w="5000" w:type="pct"/>
            <w:gridSpan w:val="2"/>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981757" w:rsidP="0056436C">
            <w:pPr>
              <w:pStyle w:val="NormalWeb"/>
              <w:spacing w:before="0" w:beforeAutospacing="0" w:after="0" w:afterAutospacing="0"/>
              <w:rPr>
                <w:color w:val="000000"/>
                <w:sz w:val="22"/>
                <w:szCs w:val="22"/>
                <w:lang w:val="sr-Latn-ME"/>
              </w:rPr>
            </w:pPr>
            <w:r w:rsidRPr="0056436C">
              <w:rPr>
                <w:b/>
                <w:bCs/>
                <w:color w:val="000000"/>
                <w:sz w:val="22"/>
                <w:szCs w:val="22"/>
                <w:lang w:val="sr-Latn-ME"/>
              </w:rPr>
              <w:t xml:space="preserve">Poremećaji na nivou kože </w:t>
            </w:r>
            <w:r w:rsidR="00242EAF" w:rsidRPr="0056436C">
              <w:rPr>
                <w:b/>
                <w:bCs/>
                <w:color w:val="000000"/>
                <w:sz w:val="22"/>
                <w:szCs w:val="22"/>
                <w:lang w:val="sr-Latn-ME"/>
              </w:rPr>
              <w:t>i</w:t>
            </w:r>
            <w:r w:rsidRPr="0056436C">
              <w:rPr>
                <w:b/>
                <w:bCs/>
                <w:color w:val="000000"/>
                <w:sz w:val="22"/>
                <w:szCs w:val="22"/>
                <w:lang w:val="sr-Latn-ME"/>
              </w:rPr>
              <w:t xml:space="preserve"> potkožnog tkiva</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FB3895" w:rsidP="0056436C">
            <w:pPr>
              <w:pStyle w:val="NormalWeb"/>
              <w:spacing w:before="0" w:beforeAutospacing="0" w:after="0" w:afterAutospacing="0"/>
              <w:rPr>
                <w:color w:val="000000"/>
                <w:sz w:val="22"/>
                <w:szCs w:val="22"/>
                <w:lang w:val="sr-Latn-ME"/>
              </w:rPr>
            </w:pPr>
            <w:r w:rsidRPr="0056436C">
              <w:rPr>
                <w:color w:val="000000"/>
                <w:sz w:val="22"/>
                <w:szCs w:val="22"/>
                <w:lang w:val="sr-Latn-ME"/>
              </w:rPr>
              <w:t>pruritus</w:t>
            </w:r>
            <w:r w:rsidRPr="0056436C">
              <w:rPr>
                <w:color w:val="000000"/>
                <w:sz w:val="22"/>
                <w:szCs w:val="22"/>
                <w:vertAlign w:val="superscript"/>
                <w:lang w:val="sr-Latn-ME"/>
              </w:rPr>
              <w:t>*</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EF1CF5"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Povremen</w:t>
            </w:r>
            <w:r w:rsidR="006B13F2" w:rsidRPr="0056436C">
              <w:rPr>
                <w:color w:val="000000"/>
                <w:sz w:val="22"/>
                <w:szCs w:val="22"/>
                <w:lang w:val="sr-Latn-ME"/>
              </w:rPr>
              <w:t>o</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FB3895" w:rsidP="0056436C">
            <w:pPr>
              <w:pStyle w:val="NormalWeb"/>
              <w:spacing w:before="0" w:beforeAutospacing="0" w:after="0" w:afterAutospacing="0"/>
              <w:rPr>
                <w:color w:val="000000"/>
                <w:sz w:val="22"/>
                <w:szCs w:val="22"/>
                <w:lang w:val="sr-Latn-ME"/>
              </w:rPr>
            </w:pPr>
            <w:r w:rsidRPr="0056436C">
              <w:rPr>
                <w:color w:val="000000"/>
                <w:sz w:val="22"/>
                <w:szCs w:val="22"/>
                <w:lang w:val="sr-Latn-ME"/>
              </w:rPr>
              <w:t>angioedem</w:t>
            </w:r>
            <w:r w:rsidRPr="0056436C">
              <w:rPr>
                <w:color w:val="000000"/>
                <w:sz w:val="22"/>
                <w:szCs w:val="22"/>
                <w:vertAlign w:val="superscript"/>
                <w:lang w:val="sr-Latn-ME"/>
              </w:rPr>
              <w:t>*,†</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6B008C"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Nepoznata učestalost</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66531B" w:rsidP="0056436C">
            <w:pPr>
              <w:pStyle w:val="NormalWeb"/>
              <w:spacing w:before="0" w:beforeAutospacing="0" w:after="0" w:afterAutospacing="0"/>
              <w:rPr>
                <w:color w:val="000000"/>
                <w:sz w:val="22"/>
                <w:szCs w:val="22"/>
                <w:lang w:val="sr-Latn-ME"/>
              </w:rPr>
            </w:pPr>
            <w:r w:rsidRPr="0056436C">
              <w:rPr>
                <w:color w:val="000000"/>
                <w:sz w:val="22"/>
                <w:szCs w:val="22"/>
                <w:lang w:val="sr-Latn-ME"/>
              </w:rPr>
              <w:t>osip</w:t>
            </w:r>
            <w:r w:rsidR="00FB3895" w:rsidRPr="0056436C">
              <w:rPr>
                <w:color w:val="000000"/>
                <w:sz w:val="22"/>
                <w:szCs w:val="22"/>
                <w:vertAlign w:val="superscript"/>
                <w:lang w:val="sr-Latn-ME"/>
              </w:rPr>
              <w:t>*,†</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6B008C"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Nepoznata učestalost</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66531B" w:rsidP="0056436C">
            <w:pPr>
              <w:pStyle w:val="NormalWeb"/>
              <w:spacing w:before="0" w:beforeAutospacing="0" w:after="0" w:afterAutospacing="0"/>
              <w:rPr>
                <w:color w:val="000000"/>
                <w:sz w:val="22"/>
                <w:szCs w:val="22"/>
                <w:lang w:val="sr-Latn-ME"/>
              </w:rPr>
            </w:pPr>
            <w:r w:rsidRPr="0056436C">
              <w:rPr>
                <w:color w:val="000000"/>
                <w:sz w:val="22"/>
                <w:szCs w:val="22"/>
                <w:lang w:val="sr-Latn-ME"/>
              </w:rPr>
              <w:t>urtik</w:t>
            </w:r>
            <w:r w:rsidR="00FB3895" w:rsidRPr="0056436C">
              <w:rPr>
                <w:color w:val="000000"/>
                <w:sz w:val="22"/>
                <w:szCs w:val="22"/>
                <w:lang w:val="sr-Latn-ME"/>
              </w:rPr>
              <w:t>ari</w:t>
            </w:r>
            <w:r w:rsidRPr="0056436C">
              <w:rPr>
                <w:color w:val="000000"/>
                <w:sz w:val="22"/>
                <w:szCs w:val="22"/>
                <w:lang w:val="sr-Latn-ME"/>
              </w:rPr>
              <w:t>j</w:t>
            </w:r>
            <w:r w:rsidR="00FB3895" w:rsidRPr="0056436C">
              <w:rPr>
                <w:color w:val="000000"/>
                <w:sz w:val="22"/>
                <w:szCs w:val="22"/>
                <w:lang w:val="sr-Latn-ME"/>
              </w:rPr>
              <w:t>a</w:t>
            </w:r>
            <w:r w:rsidR="00FB3895" w:rsidRPr="0056436C">
              <w:rPr>
                <w:color w:val="000000"/>
                <w:sz w:val="22"/>
                <w:szCs w:val="22"/>
                <w:vertAlign w:val="superscript"/>
                <w:lang w:val="sr-Latn-ME"/>
              </w:rPr>
              <w:t>*,†</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6B008C"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Nepoznata učestalost</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E23C05" w:rsidP="0056436C">
            <w:pPr>
              <w:pStyle w:val="NormalWeb"/>
              <w:spacing w:before="0" w:beforeAutospacing="0" w:after="0" w:afterAutospacing="0"/>
              <w:rPr>
                <w:color w:val="000000"/>
                <w:sz w:val="22"/>
                <w:szCs w:val="22"/>
                <w:lang w:val="sr-Latn-ME"/>
              </w:rPr>
            </w:pPr>
            <w:r w:rsidRPr="0056436C">
              <w:rPr>
                <w:color w:val="000000"/>
                <w:sz w:val="22"/>
                <w:szCs w:val="22"/>
                <w:lang w:val="sr-Latn-ME"/>
              </w:rPr>
              <w:t>kožni vask</w:t>
            </w:r>
            <w:r w:rsidR="00FB3895" w:rsidRPr="0056436C">
              <w:rPr>
                <w:color w:val="000000"/>
                <w:sz w:val="22"/>
                <w:szCs w:val="22"/>
                <w:lang w:val="sr-Latn-ME"/>
              </w:rPr>
              <w:t>ulitis</w:t>
            </w:r>
            <w:r w:rsidR="00FB3895" w:rsidRPr="0056436C">
              <w:rPr>
                <w:color w:val="000000"/>
                <w:sz w:val="22"/>
                <w:szCs w:val="22"/>
                <w:vertAlign w:val="superscript"/>
                <w:lang w:val="sr-Latn-ME"/>
              </w:rPr>
              <w:t>*,†</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6B008C"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Nepoznata učestalost</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DE7C38" w:rsidP="0056436C">
            <w:pPr>
              <w:pStyle w:val="NormalWeb"/>
              <w:spacing w:before="0" w:beforeAutospacing="0" w:after="0" w:afterAutospacing="0"/>
              <w:rPr>
                <w:color w:val="000000"/>
                <w:sz w:val="22"/>
                <w:szCs w:val="22"/>
                <w:lang w:val="sr-Latn-ME"/>
              </w:rPr>
            </w:pPr>
            <w:r w:rsidRPr="0056436C">
              <w:rPr>
                <w:sz w:val="22"/>
                <w:szCs w:val="22"/>
                <w:lang w:val="sr-Latn-ME"/>
              </w:rPr>
              <w:t>eksfolijativna stanja kože uključujući Stevens-Johnsonov sindrom</w:t>
            </w:r>
            <w:r w:rsidRPr="0056436C">
              <w:rPr>
                <w:color w:val="000000"/>
                <w:sz w:val="22"/>
                <w:szCs w:val="22"/>
                <w:vertAlign w:val="superscript"/>
                <w:lang w:val="sr-Latn-ME"/>
              </w:rPr>
              <w:t xml:space="preserve"> </w:t>
            </w:r>
            <w:r w:rsidR="00FB3895" w:rsidRPr="0056436C">
              <w:rPr>
                <w:color w:val="000000"/>
                <w:sz w:val="22"/>
                <w:szCs w:val="22"/>
                <w:vertAlign w:val="superscript"/>
                <w:lang w:val="sr-Latn-ME"/>
              </w:rPr>
              <w:t>*,†</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6B008C"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Nepoznata učestalost</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AA6A10" w:rsidP="0056436C">
            <w:pPr>
              <w:pStyle w:val="NormalWeb"/>
              <w:spacing w:before="0" w:beforeAutospacing="0" w:after="0" w:afterAutospacing="0"/>
              <w:rPr>
                <w:color w:val="000000"/>
                <w:sz w:val="22"/>
                <w:szCs w:val="22"/>
                <w:lang w:val="sr-Latn-ME"/>
              </w:rPr>
            </w:pPr>
            <w:r w:rsidRPr="0056436C">
              <w:rPr>
                <w:color w:val="000000"/>
                <w:sz w:val="22"/>
                <w:szCs w:val="22"/>
                <w:lang w:val="sr-Latn-ME"/>
              </w:rPr>
              <w:t>bulozni</w:t>
            </w:r>
            <w:r w:rsidR="00CB1338" w:rsidRPr="0056436C">
              <w:rPr>
                <w:color w:val="000000"/>
                <w:sz w:val="22"/>
                <w:szCs w:val="22"/>
                <w:lang w:val="sr-Latn-ME"/>
              </w:rPr>
              <w:t xml:space="preserve"> pemf</w:t>
            </w:r>
            <w:r w:rsidR="00FB3895" w:rsidRPr="0056436C">
              <w:rPr>
                <w:color w:val="000000"/>
                <w:sz w:val="22"/>
                <w:szCs w:val="22"/>
                <w:lang w:val="sr-Latn-ME"/>
              </w:rPr>
              <w:t>igoid</w:t>
            </w:r>
            <w:r w:rsidR="00FB3895" w:rsidRPr="0056436C">
              <w:rPr>
                <w:color w:val="000000"/>
                <w:sz w:val="22"/>
                <w:szCs w:val="22"/>
                <w:vertAlign w:val="superscript"/>
                <w:lang w:val="sr-Latn-ME"/>
              </w:rPr>
              <w:t>*</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6B008C"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Nepoznata učestalost</w:t>
            </w:r>
          </w:p>
        </w:tc>
      </w:tr>
      <w:tr w:rsidR="00FB3895" w:rsidRPr="0056436C" w:rsidTr="00531D5C">
        <w:tc>
          <w:tcPr>
            <w:tcW w:w="5000" w:type="pct"/>
            <w:gridSpan w:val="2"/>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DD3AE6" w:rsidP="0056436C">
            <w:pPr>
              <w:pStyle w:val="NormalWeb"/>
              <w:spacing w:before="0" w:beforeAutospacing="0" w:after="0" w:afterAutospacing="0"/>
              <w:rPr>
                <w:color w:val="000000"/>
                <w:sz w:val="22"/>
                <w:szCs w:val="22"/>
                <w:lang w:val="sr-Latn-ME"/>
              </w:rPr>
            </w:pPr>
            <w:r w:rsidRPr="0056436C">
              <w:rPr>
                <w:b/>
                <w:bCs/>
                <w:color w:val="000000"/>
                <w:sz w:val="22"/>
                <w:szCs w:val="22"/>
                <w:lang w:val="sr-Latn-ME"/>
              </w:rPr>
              <w:t>Poremećaji mišićno-skeletnog sistema i vezivnog tkiva</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3A6412" w:rsidP="0056436C">
            <w:pPr>
              <w:pStyle w:val="NormalWeb"/>
              <w:spacing w:before="0" w:beforeAutospacing="0" w:after="0" w:afterAutospacing="0"/>
              <w:rPr>
                <w:color w:val="000000"/>
                <w:sz w:val="22"/>
                <w:szCs w:val="22"/>
                <w:lang w:val="sr-Latn-ME"/>
              </w:rPr>
            </w:pPr>
            <w:r w:rsidRPr="0056436C">
              <w:rPr>
                <w:color w:val="000000"/>
                <w:sz w:val="22"/>
                <w:szCs w:val="22"/>
                <w:lang w:val="sr-Latn-ME"/>
              </w:rPr>
              <w:t>art</w:t>
            </w:r>
            <w:r w:rsidR="00FB3895" w:rsidRPr="0056436C">
              <w:rPr>
                <w:color w:val="000000"/>
                <w:sz w:val="22"/>
                <w:szCs w:val="22"/>
                <w:lang w:val="sr-Latn-ME"/>
              </w:rPr>
              <w:t>ralgi</w:t>
            </w:r>
            <w:r w:rsidRPr="0056436C">
              <w:rPr>
                <w:color w:val="000000"/>
                <w:sz w:val="22"/>
                <w:szCs w:val="22"/>
                <w:lang w:val="sr-Latn-ME"/>
              </w:rPr>
              <w:t>j</w:t>
            </w:r>
            <w:r w:rsidR="00FB3895" w:rsidRPr="0056436C">
              <w:rPr>
                <w:color w:val="000000"/>
                <w:sz w:val="22"/>
                <w:szCs w:val="22"/>
                <w:lang w:val="sr-Latn-ME"/>
              </w:rPr>
              <w:t>a</w:t>
            </w:r>
            <w:r w:rsidR="00FB3895" w:rsidRPr="0056436C">
              <w:rPr>
                <w:color w:val="000000"/>
                <w:sz w:val="22"/>
                <w:szCs w:val="22"/>
                <w:vertAlign w:val="superscript"/>
                <w:lang w:val="sr-Latn-ME"/>
              </w:rPr>
              <w:t>*</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6B008C"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Nepoznata učestalost</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3A6412" w:rsidP="0056436C">
            <w:pPr>
              <w:pStyle w:val="NormalWeb"/>
              <w:spacing w:before="0" w:beforeAutospacing="0" w:after="0" w:afterAutospacing="0"/>
              <w:rPr>
                <w:color w:val="000000"/>
                <w:sz w:val="22"/>
                <w:szCs w:val="22"/>
                <w:lang w:val="sr-Latn-ME"/>
              </w:rPr>
            </w:pPr>
            <w:r w:rsidRPr="0056436C">
              <w:rPr>
                <w:color w:val="000000"/>
                <w:sz w:val="22"/>
                <w:szCs w:val="22"/>
                <w:lang w:val="sr-Latn-ME"/>
              </w:rPr>
              <w:t>mi</w:t>
            </w:r>
            <w:r w:rsidR="00FB3895" w:rsidRPr="0056436C">
              <w:rPr>
                <w:color w:val="000000"/>
                <w:sz w:val="22"/>
                <w:szCs w:val="22"/>
                <w:lang w:val="sr-Latn-ME"/>
              </w:rPr>
              <w:t>algi</w:t>
            </w:r>
            <w:r w:rsidRPr="0056436C">
              <w:rPr>
                <w:color w:val="000000"/>
                <w:sz w:val="22"/>
                <w:szCs w:val="22"/>
                <w:lang w:val="sr-Latn-ME"/>
              </w:rPr>
              <w:t>j</w:t>
            </w:r>
            <w:r w:rsidR="00FB3895" w:rsidRPr="0056436C">
              <w:rPr>
                <w:color w:val="000000"/>
                <w:sz w:val="22"/>
                <w:szCs w:val="22"/>
                <w:lang w:val="sr-Latn-ME"/>
              </w:rPr>
              <w:t>a</w:t>
            </w:r>
            <w:r w:rsidR="00FB3895" w:rsidRPr="0056436C">
              <w:rPr>
                <w:color w:val="000000"/>
                <w:sz w:val="22"/>
                <w:szCs w:val="22"/>
                <w:vertAlign w:val="superscript"/>
                <w:lang w:val="sr-Latn-ME"/>
              </w:rPr>
              <w:t>*</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6B008C"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Nepoznata učestalost</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3E6DE0" w:rsidP="0056436C">
            <w:pPr>
              <w:pStyle w:val="NormalWeb"/>
              <w:spacing w:before="0" w:beforeAutospacing="0" w:after="0" w:afterAutospacing="0"/>
              <w:rPr>
                <w:color w:val="000000"/>
                <w:sz w:val="22"/>
                <w:szCs w:val="22"/>
                <w:lang w:val="sr-Latn-ME"/>
              </w:rPr>
            </w:pPr>
            <w:r w:rsidRPr="0056436C">
              <w:rPr>
                <w:color w:val="000000"/>
                <w:sz w:val="22"/>
                <w:szCs w:val="22"/>
                <w:lang w:val="sr-Latn-ME"/>
              </w:rPr>
              <w:t>b</w:t>
            </w:r>
            <w:r w:rsidR="003A6412" w:rsidRPr="0056436C">
              <w:rPr>
                <w:color w:val="000000"/>
                <w:sz w:val="22"/>
                <w:szCs w:val="22"/>
                <w:lang w:val="sr-Latn-ME"/>
              </w:rPr>
              <w:t>ol u leđima</w:t>
            </w:r>
            <w:r w:rsidR="00FB3895" w:rsidRPr="0056436C">
              <w:rPr>
                <w:color w:val="000000"/>
                <w:sz w:val="22"/>
                <w:szCs w:val="22"/>
                <w:vertAlign w:val="superscript"/>
                <w:lang w:val="sr-Latn-ME"/>
              </w:rPr>
              <w:t>*</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6B008C"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Nepoznata učestalost</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281AC1" w:rsidP="0056436C">
            <w:pPr>
              <w:pStyle w:val="NormalWeb"/>
              <w:spacing w:before="0" w:beforeAutospacing="0" w:after="0" w:afterAutospacing="0"/>
              <w:rPr>
                <w:color w:val="000000"/>
                <w:sz w:val="22"/>
                <w:szCs w:val="22"/>
                <w:lang w:val="sr-Latn-ME"/>
              </w:rPr>
            </w:pPr>
            <w:r w:rsidRPr="0056436C">
              <w:rPr>
                <w:color w:val="000000"/>
                <w:sz w:val="22"/>
                <w:szCs w:val="22"/>
                <w:lang w:val="sr-Latn-ME"/>
              </w:rPr>
              <w:t>artropatija</w:t>
            </w:r>
            <w:r w:rsidR="00FB3895" w:rsidRPr="0056436C">
              <w:rPr>
                <w:color w:val="000000"/>
                <w:sz w:val="22"/>
                <w:szCs w:val="22"/>
                <w:vertAlign w:val="superscript"/>
                <w:lang w:val="sr-Latn-ME"/>
              </w:rPr>
              <w:t>*</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6B008C"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Nepoznata učestalost</w:t>
            </w:r>
          </w:p>
        </w:tc>
      </w:tr>
      <w:tr w:rsidR="00FB3895" w:rsidRPr="0056436C" w:rsidTr="00531D5C">
        <w:tc>
          <w:tcPr>
            <w:tcW w:w="5000" w:type="pct"/>
            <w:gridSpan w:val="2"/>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DD3AE6" w:rsidP="0056436C">
            <w:pPr>
              <w:pStyle w:val="NormalWeb"/>
              <w:spacing w:before="0" w:beforeAutospacing="0" w:after="0" w:afterAutospacing="0"/>
              <w:rPr>
                <w:color w:val="000000"/>
                <w:sz w:val="22"/>
                <w:szCs w:val="22"/>
                <w:lang w:val="sr-Latn-ME"/>
              </w:rPr>
            </w:pPr>
            <w:r w:rsidRPr="0056436C">
              <w:rPr>
                <w:b/>
                <w:bCs/>
                <w:color w:val="000000"/>
                <w:sz w:val="22"/>
                <w:szCs w:val="22"/>
                <w:lang w:val="sr-Latn-ME"/>
              </w:rPr>
              <w:t>Poremećaji bubrega i urinarnog trakta</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4632EA" w:rsidP="0056436C">
            <w:pPr>
              <w:pStyle w:val="NormalWeb"/>
              <w:spacing w:before="0" w:beforeAutospacing="0" w:after="0" w:afterAutospacing="0"/>
              <w:rPr>
                <w:color w:val="000000"/>
                <w:sz w:val="22"/>
                <w:szCs w:val="22"/>
                <w:lang w:val="sr-Latn-ME"/>
              </w:rPr>
            </w:pPr>
            <w:r w:rsidRPr="0056436C">
              <w:rPr>
                <w:color w:val="000000"/>
                <w:sz w:val="22"/>
                <w:szCs w:val="22"/>
                <w:lang w:val="sr-Latn-ME"/>
              </w:rPr>
              <w:t>o</w:t>
            </w:r>
            <w:r w:rsidR="005F5FCB" w:rsidRPr="0056436C">
              <w:rPr>
                <w:color w:val="000000"/>
                <w:sz w:val="22"/>
                <w:szCs w:val="22"/>
                <w:lang w:val="sr-Latn-ME"/>
              </w:rPr>
              <w:t>štećen</w:t>
            </w:r>
            <w:r w:rsidRPr="0056436C">
              <w:rPr>
                <w:color w:val="000000"/>
                <w:sz w:val="22"/>
                <w:szCs w:val="22"/>
                <w:lang w:val="sr-Latn-ME"/>
              </w:rPr>
              <w:t>j</w:t>
            </w:r>
            <w:r w:rsidR="005F5FCB" w:rsidRPr="0056436C">
              <w:rPr>
                <w:color w:val="000000"/>
                <w:sz w:val="22"/>
                <w:szCs w:val="22"/>
                <w:lang w:val="sr-Latn-ME"/>
              </w:rPr>
              <w:t>e funkcije bubrega</w:t>
            </w:r>
            <w:r w:rsidR="00FB3895" w:rsidRPr="0056436C">
              <w:rPr>
                <w:color w:val="000000"/>
                <w:sz w:val="22"/>
                <w:szCs w:val="22"/>
                <w:vertAlign w:val="superscript"/>
                <w:lang w:val="sr-Latn-ME"/>
              </w:rPr>
              <w:t>*</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6B008C"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Nepoznata učestalost</w:t>
            </w:r>
          </w:p>
        </w:tc>
      </w:tr>
      <w:tr w:rsidR="00FB3895" w:rsidRPr="0056436C" w:rsidTr="00531D5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2617F6" w:rsidP="0056436C">
            <w:pPr>
              <w:pStyle w:val="NormalWeb"/>
              <w:spacing w:before="0" w:beforeAutospacing="0" w:after="0" w:afterAutospacing="0"/>
              <w:rPr>
                <w:color w:val="000000"/>
                <w:sz w:val="22"/>
                <w:szCs w:val="22"/>
                <w:lang w:val="sr-Latn-ME"/>
              </w:rPr>
            </w:pPr>
            <w:r w:rsidRPr="0056436C">
              <w:rPr>
                <w:color w:val="000000"/>
                <w:sz w:val="22"/>
                <w:szCs w:val="22"/>
                <w:lang w:val="sr-Latn-ME"/>
              </w:rPr>
              <w:t>a</w:t>
            </w:r>
            <w:r w:rsidR="00175AB8" w:rsidRPr="0056436C">
              <w:rPr>
                <w:color w:val="000000"/>
                <w:sz w:val="22"/>
                <w:szCs w:val="22"/>
                <w:lang w:val="sr-Latn-ME"/>
              </w:rPr>
              <w:t>kutna bubrežna insuficijencija</w:t>
            </w:r>
            <w:r w:rsidR="00FB3895" w:rsidRPr="0056436C">
              <w:rPr>
                <w:color w:val="000000"/>
                <w:sz w:val="22"/>
                <w:szCs w:val="22"/>
                <w:vertAlign w:val="superscript"/>
                <w:lang w:val="sr-Latn-ME"/>
              </w:rPr>
              <w:t>*</w:t>
            </w:r>
          </w:p>
        </w:tc>
        <w:tc>
          <w:tcPr>
            <w:tcW w:w="250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FB3895" w:rsidRPr="0056436C" w:rsidRDefault="006B008C" w:rsidP="0056436C">
            <w:pPr>
              <w:pStyle w:val="NormalWeb"/>
              <w:spacing w:before="0" w:beforeAutospacing="0" w:after="0" w:afterAutospacing="0"/>
              <w:jc w:val="center"/>
              <w:rPr>
                <w:color w:val="000000"/>
                <w:sz w:val="22"/>
                <w:szCs w:val="22"/>
                <w:lang w:val="sr-Latn-ME"/>
              </w:rPr>
            </w:pPr>
            <w:r w:rsidRPr="0056436C">
              <w:rPr>
                <w:color w:val="000000"/>
                <w:sz w:val="22"/>
                <w:szCs w:val="22"/>
                <w:lang w:val="sr-Latn-ME"/>
              </w:rPr>
              <w:t>Nepoznata učestalost</w:t>
            </w:r>
          </w:p>
        </w:tc>
      </w:tr>
    </w:tbl>
    <w:p w:rsidR="00DD3AE6" w:rsidRPr="0056436C" w:rsidRDefault="00DD3AE6" w:rsidP="0056436C">
      <w:pPr>
        <w:tabs>
          <w:tab w:val="left" w:pos="3225"/>
        </w:tabs>
        <w:rPr>
          <w:sz w:val="22"/>
          <w:szCs w:val="22"/>
          <w:lang w:val="sr-Latn-ME"/>
        </w:rPr>
      </w:pPr>
    </w:p>
    <w:p w:rsidR="00DD3AE6" w:rsidRPr="0056436C" w:rsidRDefault="00DD3AE6" w:rsidP="0056436C">
      <w:pPr>
        <w:tabs>
          <w:tab w:val="left" w:pos="540"/>
          <w:tab w:val="left" w:pos="569"/>
        </w:tabs>
        <w:rPr>
          <w:bCs/>
          <w:sz w:val="22"/>
          <w:szCs w:val="22"/>
          <w:lang w:val="sr-Latn-ME"/>
        </w:rPr>
      </w:pPr>
      <w:r w:rsidRPr="0056436C">
        <w:rPr>
          <w:bCs/>
          <w:sz w:val="22"/>
          <w:szCs w:val="22"/>
          <w:lang w:val="sr-Latn-ME"/>
        </w:rPr>
        <w:t>*Neželjena dejstva koja su zabilježena nakon stavljanja lijeka u promet.</w:t>
      </w:r>
    </w:p>
    <w:p w:rsidR="00DD3AE6" w:rsidRPr="0056436C" w:rsidRDefault="00DD3AE6" w:rsidP="0056436C">
      <w:pPr>
        <w:tabs>
          <w:tab w:val="left" w:pos="540"/>
          <w:tab w:val="left" w:pos="569"/>
        </w:tabs>
        <w:rPr>
          <w:bCs/>
          <w:sz w:val="22"/>
          <w:szCs w:val="22"/>
          <w:lang w:val="sr-Latn-ME"/>
        </w:rPr>
      </w:pPr>
      <w:r w:rsidRPr="0056436C">
        <w:rPr>
          <w:bCs/>
          <w:sz w:val="22"/>
          <w:szCs w:val="22"/>
          <w:lang w:val="sr-Latn-ME"/>
        </w:rPr>
        <w:t>† Vidjeti dio 4.4.</w:t>
      </w:r>
    </w:p>
    <w:p w:rsidR="00DD3AE6" w:rsidRPr="0056436C" w:rsidRDefault="00DD3AE6" w:rsidP="0056436C">
      <w:pPr>
        <w:tabs>
          <w:tab w:val="left" w:pos="540"/>
          <w:tab w:val="left" w:pos="569"/>
        </w:tabs>
        <w:rPr>
          <w:bCs/>
          <w:sz w:val="22"/>
          <w:szCs w:val="22"/>
          <w:lang w:val="sr-Latn-ME"/>
        </w:rPr>
      </w:pPr>
      <w:r w:rsidRPr="0056436C">
        <w:rPr>
          <w:bCs/>
          <w:sz w:val="22"/>
          <w:szCs w:val="22"/>
          <w:lang w:val="sr-Latn-ME"/>
        </w:rPr>
        <w:t>‡Vidjeti u daljem tekstu rezultate TECOS kardiovaskularne studije bezbjednosti</w:t>
      </w:r>
    </w:p>
    <w:p w:rsidR="00E21D56" w:rsidRPr="0056436C" w:rsidRDefault="00E21D56" w:rsidP="0056436C">
      <w:pPr>
        <w:tabs>
          <w:tab w:val="left" w:pos="540"/>
          <w:tab w:val="left" w:pos="569"/>
        </w:tabs>
        <w:rPr>
          <w:bCs/>
          <w:sz w:val="22"/>
          <w:szCs w:val="22"/>
          <w:u w:val="single"/>
          <w:lang w:val="sr-Latn-ME"/>
        </w:rPr>
      </w:pPr>
    </w:p>
    <w:p w:rsidR="00B43006" w:rsidRDefault="00B43006" w:rsidP="0056436C">
      <w:pPr>
        <w:tabs>
          <w:tab w:val="left" w:pos="540"/>
          <w:tab w:val="left" w:pos="569"/>
        </w:tabs>
        <w:jc w:val="both"/>
        <w:rPr>
          <w:bCs/>
          <w:sz w:val="22"/>
          <w:szCs w:val="22"/>
          <w:u w:val="single"/>
          <w:lang w:val="sr-Latn-ME"/>
        </w:rPr>
      </w:pPr>
    </w:p>
    <w:p w:rsidR="00B43006" w:rsidRDefault="00B43006" w:rsidP="0056436C">
      <w:pPr>
        <w:tabs>
          <w:tab w:val="left" w:pos="540"/>
          <w:tab w:val="left" w:pos="569"/>
        </w:tabs>
        <w:jc w:val="both"/>
        <w:rPr>
          <w:bCs/>
          <w:sz w:val="22"/>
          <w:szCs w:val="22"/>
          <w:u w:val="single"/>
          <w:lang w:val="sr-Latn-ME"/>
        </w:rPr>
      </w:pPr>
    </w:p>
    <w:p w:rsidR="00DC4F40" w:rsidRPr="0056436C" w:rsidRDefault="00DC4F40" w:rsidP="0056436C">
      <w:pPr>
        <w:tabs>
          <w:tab w:val="left" w:pos="540"/>
          <w:tab w:val="left" w:pos="569"/>
        </w:tabs>
        <w:jc w:val="both"/>
        <w:rPr>
          <w:bCs/>
          <w:sz w:val="22"/>
          <w:szCs w:val="22"/>
          <w:lang w:val="sr-Latn-ME"/>
        </w:rPr>
      </w:pPr>
      <w:r w:rsidRPr="0056436C">
        <w:rPr>
          <w:bCs/>
          <w:sz w:val="22"/>
          <w:szCs w:val="22"/>
          <w:u w:val="single"/>
          <w:lang w:val="sr-Latn-ME"/>
        </w:rPr>
        <w:lastRenderedPageBreak/>
        <w:t>Opis odabranih neželjenih reakcija</w:t>
      </w:r>
    </w:p>
    <w:p w:rsidR="00DC4F40" w:rsidRPr="0056436C" w:rsidRDefault="00DC4F40" w:rsidP="0056436C">
      <w:pPr>
        <w:tabs>
          <w:tab w:val="left" w:pos="540"/>
          <w:tab w:val="left" w:pos="569"/>
        </w:tabs>
        <w:jc w:val="both"/>
        <w:rPr>
          <w:bCs/>
          <w:sz w:val="22"/>
          <w:szCs w:val="22"/>
          <w:lang w:val="sr-Latn-ME"/>
        </w:rPr>
      </w:pPr>
      <w:r w:rsidRPr="0056436C">
        <w:rPr>
          <w:bCs/>
          <w:sz w:val="22"/>
          <w:szCs w:val="22"/>
          <w:lang w:val="sr-Latn-ME"/>
        </w:rPr>
        <w:t>Kao dodatak gore opisanim neželjenim reakcijama povezanim sa uzimanjem lijeka, neželjene reakcije prijavljene bez obzira na uzročno-posl</w:t>
      </w:r>
      <w:r w:rsidR="001F14E4" w:rsidRPr="0056436C">
        <w:rPr>
          <w:bCs/>
          <w:sz w:val="22"/>
          <w:szCs w:val="22"/>
          <w:lang w:val="sr-Latn-ME"/>
        </w:rPr>
        <w:t>j</w:t>
      </w:r>
      <w:r w:rsidRPr="0056436C">
        <w:rPr>
          <w:bCs/>
          <w:sz w:val="22"/>
          <w:szCs w:val="22"/>
          <w:lang w:val="sr-Latn-ME"/>
        </w:rPr>
        <w:t>edičnu povezanost sa terapijom i koje se javljaju kod bar 5% pacijenata i češće kod pacijenata na terapiji sitagliptinom uključivale su infekciju gornjeg dijela respiratornog trakta i nazofaringitis.</w:t>
      </w:r>
    </w:p>
    <w:p w:rsidR="00DC4F40" w:rsidRPr="0056436C" w:rsidRDefault="00DC4F40" w:rsidP="0056436C">
      <w:pPr>
        <w:tabs>
          <w:tab w:val="left" w:pos="540"/>
          <w:tab w:val="left" w:pos="569"/>
        </w:tabs>
        <w:jc w:val="both"/>
        <w:rPr>
          <w:bCs/>
          <w:sz w:val="22"/>
          <w:szCs w:val="22"/>
          <w:lang w:val="sr-Latn-ME"/>
        </w:rPr>
      </w:pPr>
      <w:r w:rsidRPr="0056436C">
        <w:rPr>
          <w:bCs/>
          <w:sz w:val="22"/>
          <w:szCs w:val="22"/>
          <w:lang w:val="sr-Latn-ME"/>
        </w:rPr>
        <w:t>Dodatne neželjene reakcije prijavljene bez obzira na uzročno-posl</w:t>
      </w:r>
      <w:r w:rsidR="00492CEC" w:rsidRPr="0056436C">
        <w:rPr>
          <w:bCs/>
          <w:sz w:val="22"/>
          <w:szCs w:val="22"/>
          <w:lang w:val="sr-Latn-ME"/>
        </w:rPr>
        <w:t>j</w:t>
      </w:r>
      <w:r w:rsidRPr="0056436C">
        <w:rPr>
          <w:bCs/>
          <w:sz w:val="22"/>
          <w:szCs w:val="22"/>
          <w:lang w:val="sr-Latn-ME"/>
        </w:rPr>
        <w:t>edičnu povezanost sa terapijom koje su se javljale češće kod pacijenata na terapiji sitagliptinom (nisu dostigle nivo od 5%, ali su se pojavljivale sa incidencom za &gt; 0,5% višom kod pacijenata na terapiji sitagliptinom od one koju je imala kontrolna grupa) uključivale su osteoartritis i bol u ekstremitetima.</w:t>
      </w:r>
    </w:p>
    <w:p w:rsidR="00DC4F40" w:rsidRPr="0056436C" w:rsidRDefault="00DC4F40" w:rsidP="0056436C">
      <w:pPr>
        <w:tabs>
          <w:tab w:val="left" w:pos="540"/>
          <w:tab w:val="left" w:pos="569"/>
        </w:tabs>
        <w:jc w:val="both"/>
        <w:rPr>
          <w:bCs/>
          <w:sz w:val="22"/>
          <w:szCs w:val="22"/>
          <w:lang w:val="sr-Latn-ME"/>
        </w:rPr>
      </w:pPr>
    </w:p>
    <w:p w:rsidR="00DC4F40" w:rsidRPr="0056436C" w:rsidRDefault="00DC4F40" w:rsidP="0056436C">
      <w:pPr>
        <w:tabs>
          <w:tab w:val="left" w:pos="540"/>
          <w:tab w:val="left" w:pos="569"/>
        </w:tabs>
        <w:jc w:val="both"/>
        <w:rPr>
          <w:bCs/>
          <w:sz w:val="22"/>
          <w:szCs w:val="22"/>
          <w:lang w:val="sr-Latn-ME"/>
        </w:rPr>
      </w:pPr>
      <w:r w:rsidRPr="0056436C">
        <w:rPr>
          <w:bCs/>
          <w:sz w:val="22"/>
          <w:szCs w:val="22"/>
          <w:lang w:val="sr-Latn-ME"/>
        </w:rPr>
        <w:t>Neke neželjene reakcije su zabilježene češće u ispitivanjima kombinovane primjene sitagliptina sa drugim ljekovima za l</w:t>
      </w:r>
      <w:r w:rsidR="003A42CC" w:rsidRPr="0056436C">
        <w:rPr>
          <w:bCs/>
          <w:sz w:val="22"/>
          <w:szCs w:val="22"/>
          <w:lang w:val="sr-Latn-ME"/>
        </w:rPr>
        <w:t>ij</w:t>
      </w:r>
      <w:r w:rsidRPr="0056436C">
        <w:rPr>
          <w:bCs/>
          <w:sz w:val="22"/>
          <w:szCs w:val="22"/>
          <w:lang w:val="sr-Latn-ME"/>
        </w:rPr>
        <w:t>ečenje dijabetesa nego u ispitivanjima monoterapije sitagliptinom. To je uključivalo hipoglikemiju (učestalost veoma česta sa kombinacijom sulfoniluree i metformina), influencu (česta sa insulinom (sa ili bez metformina)), mučninu i povraćanje (česta sa metforminom), flatulenciju (česta sa metforminom ili pioglitazonom), konstipaciju (česta sa kombinacijom sulfoniluree i metformina), periferni edem (česta sa pioglitazonom ili kombinacijom pioglitazona i metformina), somnolenciju i dijareju (povremena sa metforminom) i suvoću usta (povremena sa insulinom (sa ili bez metformina)).</w:t>
      </w:r>
    </w:p>
    <w:p w:rsidR="001F203A" w:rsidRPr="0056436C" w:rsidRDefault="001F203A" w:rsidP="0056436C">
      <w:pPr>
        <w:tabs>
          <w:tab w:val="left" w:pos="540"/>
          <w:tab w:val="left" w:pos="569"/>
        </w:tabs>
        <w:rPr>
          <w:bCs/>
          <w:sz w:val="22"/>
          <w:szCs w:val="22"/>
          <w:lang w:val="sr-Latn-ME"/>
        </w:rPr>
      </w:pPr>
    </w:p>
    <w:p w:rsidR="001F203A" w:rsidRPr="0056436C" w:rsidRDefault="001F203A" w:rsidP="0056436C">
      <w:pPr>
        <w:tabs>
          <w:tab w:val="left" w:pos="540"/>
          <w:tab w:val="left" w:pos="569"/>
        </w:tabs>
        <w:jc w:val="both"/>
        <w:rPr>
          <w:bCs/>
          <w:sz w:val="22"/>
          <w:szCs w:val="22"/>
          <w:lang w:val="sr-Latn-ME"/>
        </w:rPr>
      </w:pPr>
      <w:r w:rsidRPr="0056436C">
        <w:rPr>
          <w:bCs/>
          <w:sz w:val="22"/>
          <w:szCs w:val="22"/>
          <w:lang w:val="sr-Latn-ME"/>
        </w:rPr>
        <w:t>Pedijatrijska populacija</w:t>
      </w:r>
    </w:p>
    <w:p w:rsidR="001F203A" w:rsidRPr="0056436C" w:rsidRDefault="001F203A" w:rsidP="0056436C">
      <w:pPr>
        <w:tabs>
          <w:tab w:val="left" w:pos="540"/>
          <w:tab w:val="left" w:pos="569"/>
        </w:tabs>
        <w:jc w:val="both"/>
        <w:rPr>
          <w:bCs/>
          <w:sz w:val="22"/>
          <w:szCs w:val="22"/>
          <w:lang w:val="sr-Latn-ME"/>
        </w:rPr>
      </w:pPr>
      <w:r w:rsidRPr="0056436C">
        <w:rPr>
          <w:bCs/>
          <w:sz w:val="22"/>
          <w:szCs w:val="22"/>
          <w:lang w:val="sr-Latn-ME"/>
        </w:rPr>
        <w:t>U kliničkim ispitivanjima sitagliptina kod pedijatrijskih pacijenata s dijabetesom mellitus tipa 2 u uzrastu od 10 do 17 godina profil neželjenih dejstava bio je uporediv s</w:t>
      </w:r>
      <w:r w:rsidR="00DD3AE6" w:rsidRPr="0056436C">
        <w:rPr>
          <w:bCs/>
          <w:sz w:val="22"/>
          <w:szCs w:val="22"/>
          <w:lang w:val="sr-Latn-ME"/>
        </w:rPr>
        <w:t>a</w:t>
      </w:r>
      <w:r w:rsidRPr="0056436C">
        <w:rPr>
          <w:bCs/>
          <w:sz w:val="22"/>
          <w:szCs w:val="22"/>
          <w:lang w:val="sr-Latn-ME"/>
        </w:rPr>
        <w:t xml:space="preserve"> onim </w:t>
      </w:r>
      <w:r w:rsidR="00193152" w:rsidRPr="0056436C">
        <w:rPr>
          <w:bCs/>
          <w:sz w:val="22"/>
          <w:szCs w:val="22"/>
          <w:lang w:val="sr-Latn-ME"/>
        </w:rPr>
        <w:t>zabilježenim</w:t>
      </w:r>
      <w:r w:rsidRPr="0056436C">
        <w:rPr>
          <w:bCs/>
          <w:sz w:val="22"/>
          <w:szCs w:val="22"/>
          <w:lang w:val="sr-Latn-ME"/>
        </w:rPr>
        <w:t xml:space="preserve"> kod odraslih.</w:t>
      </w:r>
    </w:p>
    <w:p w:rsidR="00DC4F40" w:rsidRPr="0056436C" w:rsidRDefault="00DC4F40" w:rsidP="0056436C">
      <w:pPr>
        <w:tabs>
          <w:tab w:val="left" w:pos="540"/>
          <w:tab w:val="left" w:pos="569"/>
        </w:tabs>
        <w:jc w:val="both"/>
        <w:rPr>
          <w:b/>
          <w:bCs/>
          <w:sz w:val="22"/>
          <w:szCs w:val="22"/>
          <w:lang w:val="sr-Latn-ME"/>
        </w:rPr>
      </w:pPr>
    </w:p>
    <w:p w:rsidR="00DC4F40" w:rsidRPr="0056436C" w:rsidRDefault="00DC4F40" w:rsidP="0056436C">
      <w:pPr>
        <w:tabs>
          <w:tab w:val="left" w:pos="540"/>
          <w:tab w:val="left" w:pos="569"/>
        </w:tabs>
        <w:jc w:val="both"/>
        <w:rPr>
          <w:bCs/>
          <w:i/>
          <w:sz w:val="22"/>
          <w:szCs w:val="22"/>
          <w:lang w:val="sr-Latn-ME"/>
        </w:rPr>
      </w:pPr>
      <w:r w:rsidRPr="0056436C">
        <w:rPr>
          <w:bCs/>
          <w:i/>
          <w:sz w:val="22"/>
          <w:szCs w:val="22"/>
          <w:lang w:val="sr-Latn-ME"/>
        </w:rPr>
        <w:t>TECOS kardiovaskularna studija bezbjednosti</w:t>
      </w:r>
    </w:p>
    <w:p w:rsidR="00DC4F40" w:rsidRPr="0056436C" w:rsidRDefault="00DC4F40" w:rsidP="0056436C">
      <w:pPr>
        <w:tabs>
          <w:tab w:val="left" w:pos="540"/>
          <w:tab w:val="left" w:pos="569"/>
        </w:tabs>
        <w:jc w:val="both"/>
        <w:rPr>
          <w:bCs/>
          <w:sz w:val="22"/>
          <w:szCs w:val="22"/>
          <w:lang w:val="sr-Latn-ME"/>
        </w:rPr>
      </w:pPr>
      <w:r w:rsidRPr="0056436C">
        <w:rPr>
          <w:bCs/>
          <w:sz w:val="22"/>
          <w:szCs w:val="22"/>
          <w:lang w:val="sr-Latn-ME"/>
        </w:rPr>
        <w:t xml:space="preserve">Studija ispitivanja kardiovaskularnih ishoda kod primjene sitagliptina (engl. </w:t>
      </w:r>
      <w:r w:rsidRPr="0056436C">
        <w:rPr>
          <w:bCs/>
          <w:i/>
          <w:sz w:val="22"/>
          <w:szCs w:val="22"/>
          <w:lang w:val="sr-Latn-ME"/>
        </w:rPr>
        <w:t>Trial Evaluating Cardiovascular Outcomes with Sitagliptin</w:t>
      </w:r>
      <w:r w:rsidRPr="0056436C">
        <w:rPr>
          <w:bCs/>
          <w:sz w:val="22"/>
          <w:szCs w:val="22"/>
          <w:lang w:val="sr-Latn-ME"/>
        </w:rPr>
        <w:t>, TECOS) uključivala je 7332 pacijenata liječenih sitagliptinom u dozi od 100 mg</w:t>
      </w:r>
      <w:r w:rsidRPr="0056436C">
        <w:rPr>
          <w:sz w:val="22"/>
          <w:szCs w:val="22"/>
          <w:lang w:val="sr-Latn-ME"/>
        </w:rPr>
        <w:t xml:space="preserve"> </w:t>
      </w:r>
      <w:r w:rsidRPr="0056436C">
        <w:rPr>
          <w:bCs/>
          <w:sz w:val="22"/>
          <w:szCs w:val="22"/>
          <w:lang w:val="sr-Latn-ME"/>
        </w:rPr>
        <w:t xml:space="preserve">dnevno (ili 50 mg dnevno ako je početni eGFR bio ≥ 30 i &lt; 50 </w:t>
      </w:r>
      <w:r w:rsidR="00F725BA" w:rsidRPr="0056436C">
        <w:rPr>
          <w:bCs/>
          <w:sz w:val="22"/>
          <w:szCs w:val="22"/>
          <w:lang w:val="sr-Latn-ME"/>
        </w:rPr>
        <w:t>ml</w:t>
      </w:r>
      <w:r w:rsidRPr="0056436C">
        <w:rPr>
          <w:bCs/>
          <w:sz w:val="22"/>
          <w:szCs w:val="22"/>
          <w:lang w:val="sr-Latn-ME"/>
        </w:rPr>
        <w:t>/min/1,73 m</w:t>
      </w:r>
      <w:r w:rsidRPr="0056436C">
        <w:rPr>
          <w:bCs/>
          <w:sz w:val="22"/>
          <w:szCs w:val="22"/>
          <w:vertAlign w:val="superscript"/>
          <w:lang w:val="sr-Latn-ME"/>
        </w:rPr>
        <w:t>2</w:t>
      </w:r>
      <w:r w:rsidRPr="0056436C">
        <w:rPr>
          <w:bCs/>
          <w:sz w:val="22"/>
          <w:szCs w:val="22"/>
          <w:lang w:val="sr-Latn-ME"/>
        </w:rPr>
        <w:t>) i 7339 pacijenata koji su primali placebo u populaciji pacijenata predviđenoj za liječenje. Obje terapije su bile dodatak standardnoj terapiji u cilju postizanja regionalnih standardnih vrijednosti HbA</w:t>
      </w:r>
      <w:r w:rsidRPr="0056436C">
        <w:rPr>
          <w:bCs/>
          <w:sz w:val="22"/>
          <w:szCs w:val="22"/>
          <w:vertAlign w:val="subscript"/>
          <w:lang w:val="sr-Latn-ME"/>
        </w:rPr>
        <w:t>1c</w:t>
      </w:r>
      <w:r w:rsidRPr="0056436C">
        <w:rPr>
          <w:bCs/>
          <w:sz w:val="22"/>
          <w:szCs w:val="22"/>
          <w:lang w:val="sr-Latn-ME"/>
        </w:rPr>
        <w:t xml:space="preserve"> i faktora kardiovaskularnog (KV) rizika. Ukupna incidenca ozbiljnih neželjenih </w:t>
      </w:r>
      <w:r w:rsidR="00492CEC" w:rsidRPr="0056436C">
        <w:rPr>
          <w:bCs/>
          <w:sz w:val="22"/>
          <w:szCs w:val="22"/>
          <w:lang w:val="sr-Latn-ME"/>
        </w:rPr>
        <w:t>reakcija</w:t>
      </w:r>
      <w:r w:rsidRPr="0056436C">
        <w:rPr>
          <w:bCs/>
          <w:sz w:val="22"/>
          <w:szCs w:val="22"/>
          <w:lang w:val="sr-Latn-ME"/>
        </w:rPr>
        <w:t xml:space="preserve"> kod pacijenata liječenih sitagliptinom bila je slična kao kod pacijenata koji su primali placebo.</w:t>
      </w:r>
    </w:p>
    <w:p w:rsidR="00DC4F40" w:rsidRPr="0056436C" w:rsidRDefault="00DC4F40" w:rsidP="0056436C">
      <w:pPr>
        <w:tabs>
          <w:tab w:val="left" w:pos="540"/>
          <w:tab w:val="left" w:pos="569"/>
        </w:tabs>
        <w:rPr>
          <w:bCs/>
          <w:sz w:val="22"/>
          <w:szCs w:val="22"/>
          <w:lang w:val="sr-Latn-ME"/>
        </w:rPr>
      </w:pPr>
    </w:p>
    <w:p w:rsidR="00DC4F40" w:rsidRPr="0056436C" w:rsidRDefault="00DC4F40" w:rsidP="0056436C">
      <w:pPr>
        <w:tabs>
          <w:tab w:val="left" w:pos="540"/>
          <w:tab w:val="left" w:pos="569"/>
        </w:tabs>
        <w:jc w:val="both"/>
        <w:rPr>
          <w:bCs/>
          <w:sz w:val="22"/>
          <w:szCs w:val="22"/>
          <w:lang w:val="sr-Latn-ME"/>
        </w:rPr>
      </w:pPr>
      <w:r w:rsidRPr="0056436C">
        <w:rPr>
          <w:bCs/>
          <w:sz w:val="22"/>
          <w:szCs w:val="22"/>
          <w:lang w:val="sr-Latn-ME"/>
        </w:rPr>
        <w:t>U populaciji pacijenata predviđenoj za liječenje, incidenca teške hipoglikemije kod pacijenata koji su na početku ispitivanja primjenjivali insulin i/ili sulfonilureu iznosila je 2,7% kod pacijenata liječenih sitagliptinom i 2</w:t>
      </w:r>
      <w:r w:rsidR="00492CEC" w:rsidRPr="0056436C">
        <w:rPr>
          <w:bCs/>
          <w:sz w:val="22"/>
          <w:szCs w:val="22"/>
          <w:lang w:val="sr-Latn-ME"/>
        </w:rPr>
        <w:t>,</w:t>
      </w:r>
      <w:r w:rsidRPr="0056436C">
        <w:rPr>
          <w:bCs/>
          <w:sz w:val="22"/>
          <w:szCs w:val="22"/>
          <w:lang w:val="sr-Latn-ME"/>
        </w:rPr>
        <w:t>5% kod pacijenata koji su primali placebo; incidenca teške hipoglikemije kod pacijenata koji nisu primjenjivali insulin i/ili sulfonilureu na početku ispitivanja iznosila je 1,0% kod pacijenata liječenih sitagliptinom i 0,7% kod pacijenata koji su primali placebo. Incidenca nezavisno potvrđenih događaja pankreatitisa iznosila je 0,3% kod pacijenata liječenih sitagliptinom i 0,2% kod pacijenata koji su primali placebo.</w:t>
      </w:r>
    </w:p>
    <w:p w:rsidR="008B1BD7" w:rsidRPr="0056436C" w:rsidRDefault="008B1BD7" w:rsidP="0056436C">
      <w:pPr>
        <w:tabs>
          <w:tab w:val="left" w:pos="540"/>
          <w:tab w:val="left" w:pos="569"/>
        </w:tabs>
        <w:rPr>
          <w:b/>
          <w:bCs/>
          <w:sz w:val="22"/>
          <w:szCs w:val="22"/>
          <w:lang w:val="sr-Latn-ME"/>
        </w:rPr>
      </w:pPr>
    </w:p>
    <w:p w:rsidR="00193152" w:rsidRPr="0056436C" w:rsidRDefault="00193152" w:rsidP="0056436C">
      <w:pPr>
        <w:spacing w:after="200"/>
        <w:rPr>
          <w:rFonts w:eastAsia="Calibri"/>
          <w:sz w:val="22"/>
          <w:szCs w:val="22"/>
          <w:u w:val="single"/>
          <w:lang w:val="sr-Latn-ME"/>
        </w:rPr>
      </w:pPr>
      <w:r w:rsidRPr="0056436C">
        <w:rPr>
          <w:rFonts w:eastAsia="Calibri"/>
          <w:sz w:val="22"/>
          <w:szCs w:val="22"/>
          <w:u w:val="single"/>
          <w:lang w:val="sr-Latn-ME"/>
        </w:rPr>
        <w:t>Prijavljivanje sumnji na neželjena dejstva</w:t>
      </w:r>
    </w:p>
    <w:p w:rsidR="00193152" w:rsidRPr="0056436C" w:rsidRDefault="00193152" w:rsidP="0056436C">
      <w:pPr>
        <w:spacing w:after="200"/>
        <w:jc w:val="both"/>
        <w:rPr>
          <w:rFonts w:eastAsia="Calibri"/>
          <w:sz w:val="22"/>
          <w:szCs w:val="22"/>
          <w:lang w:val="sr-Latn-ME"/>
        </w:rPr>
      </w:pPr>
      <w:r w:rsidRPr="0056436C">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193152" w:rsidRPr="0056436C" w:rsidRDefault="00193152" w:rsidP="0056436C">
      <w:pPr>
        <w:pStyle w:val="NoSpacing"/>
        <w:jc w:val="both"/>
        <w:rPr>
          <w:rFonts w:eastAsia="Calibri"/>
          <w:sz w:val="22"/>
          <w:szCs w:val="22"/>
          <w:lang w:val="sr-Latn-ME"/>
        </w:rPr>
      </w:pPr>
      <w:r w:rsidRPr="0056436C">
        <w:rPr>
          <w:rFonts w:eastAsia="Calibri"/>
          <w:sz w:val="22"/>
          <w:szCs w:val="22"/>
          <w:lang w:val="sr-Latn-ME"/>
        </w:rPr>
        <w:t xml:space="preserve">Institut za ljekove i medicinska sredstva </w:t>
      </w:r>
    </w:p>
    <w:p w:rsidR="00193152" w:rsidRPr="0056436C" w:rsidRDefault="00193152" w:rsidP="0056436C">
      <w:pPr>
        <w:pStyle w:val="NoSpacing"/>
        <w:jc w:val="both"/>
        <w:rPr>
          <w:rFonts w:eastAsia="Calibri"/>
          <w:sz w:val="22"/>
          <w:szCs w:val="22"/>
          <w:lang w:val="sr-Latn-ME"/>
        </w:rPr>
      </w:pPr>
      <w:r w:rsidRPr="0056436C">
        <w:rPr>
          <w:rFonts w:eastAsia="Calibri"/>
          <w:sz w:val="22"/>
          <w:szCs w:val="22"/>
          <w:lang w:val="sr-Latn-ME"/>
        </w:rPr>
        <w:t>Odjeljenje za farmakovigilancu</w:t>
      </w:r>
    </w:p>
    <w:p w:rsidR="00193152" w:rsidRPr="0056436C" w:rsidRDefault="00193152" w:rsidP="0056436C">
      <w:pPr>
        <w:pStyle w:val="NoSpacing"/>
        <w:jc w:val="both"/>
        <w:rPr>
          <w:rFonts w:eastAsia="Calibri"/>
          <w:sz w:val="22"/>
          <w:szCs w:val="22"/>
          <w:lang w:val="sr-Latn-ME"/>
        </w:rPr>
      </w:pPr>
      <w:r w:rsidRPr="0056436C">
        <w:rPr>
          <w:rFonts w:eastAsia="Calibri"/>
          <w:sz w:val="22"/>
          <w:szCs w:val="22"/>
          <w:lang w:val="sr-Latn-ME"/>
        </w:rPr>
        <w:t>Bulevar Ivana Crnojevića 64a, 81000 Podgorica</w:t>
      </w:r>
    </w:p>
    <w:p w:rsidR="00193152" w:rsidRPr="0056436C" w:rsidRDefault="00193152" w:rsidP="0056436C">
      <w:pPr>
        <w:pStyle w:val="NoSpacing"/>
        <w:rPr>
          <w:rFonts w:eastAsia="Calibri"/>
          <w:sz w:val="22"/>
          <w:szCs w:val="22"/>
          <w:lang w:val="sr-Latn-ME"/>
        </w:rPr>
      </w:pPr>
    </w:p>
    <w:p w:rsidR="00193152" w:rsidRPr="0056436C" w:rsidRDefault="00193152" w:rsidP="0056436C">
      <w:pPr>
        <w:pStyle w:val="NoSpacing"/>
        <w:jc w:val="both"/>
        <w:rPr>
          <w:rFonts w:eastAsia="Calibri"/>
          <w:sz w:val="22"/>
          <w:szCs w:val="22"/>
          <w:lang w:val="sr-Latn-ME"/>
        </w:rPr>
      </w:pPr>
      <w:r w:rsidRPr="0056436C">
        <w:rPr>
          <w:rFonts w:eastAsia="Calibri"/>
          <w:sz w:val="22"/>
          <w:szCs w:val="22"/>
          <w:lang w:val="sr-Latn-ME"/>
        </w:rPr>
        <w:t>tel: +382 (0) 20 310 280</w:t>
      </w:r>
    </w:p>
    <w:p w:rsidR="00193152" w:rsidRPr="0056436C" w:rsidRDefault="00193152" w:rsidP="0056436C">
      <w:pPr>
        <w:pStyle w:val="NoSpacing"/>
        <w:jc w:val="both"/>
        <w:rPr>
          <w:rFonts w:eastAsia="Calibri"/>
          <w:sz w:val="22"/>
          <w:szCs w:val="22"/>
          <w:lang w:val="sr-Latn-ME"/>
        </w:rPr>
      </w:pPr>
      <w:r w:rsidRPr="0056436C">
        <w:rPr>
          <w:rFonts w:eastAsia="Calibri"/>
          <w:sz w:val="22"/>
          <w:szCs w:val="22"/>
          <w:lang w:val="sr-Latn-ME"/>
        </w:rPr>
        <w:t>fax: +382 (0) 20 310 581</w:t>
      </w:r>
    </w:p>
    <w:p w:rsidR="00193152" w:rsidRPr="0056436C" w:rsidRDefault="000A0B3F" w:rsidP="0056436C">
      <w:pPr>
        <w:pStyle w:val="NoSpacing"/>
        <w:jc w:val="both"/>
        <w:rPr>
          <w:rFonts w:eastAsia="Calibri"/>
          <w:sz w:val="22"/>
          <w:szCs w:val="22"/>
          <w:lang w:val="sr-Latn-ME"/>
        </w:rPr>
      </w:pPr>
      <w:hyperlink r:id="rId8" w:history="1">
        <w:r w:rsidR="00193152" w:rsidRPr="0056436C">
          <w:rPr>
            <w:rStyle w:val="Hyperlink"/>
            <w:rFonts w:eastAsia="Calibri"/>
            <w:sz w:val="22"/>
            <w:szCs w:val="22"/>
            <w:lang w:val="sr-Latn-ME"/>
          </w:rPr>
          <w:t>www.cinmed.me</w:t>
        </w:r>
      </w:hyperlink>
    </w:p>
    <w:p w:rsidR="00193152" w:rsidRPr="0056436C" w:rsidRDefault="000A0B3F" w:rsidP="0056436C">
      <w:pPr>
        <w:pStyle w:val="NoSpacing"/>
        <w:jc w:val="both"/>
        <w:rPr>
          <w:rFonts w:eastAsia="Calibri"/>
          <w:color w:val="0000FF"/>
          <w:sz w:val="22"/>
          <w:szCs w:val="22"/>
          <w:u w:val="single"/>
          <w:lang w:val="sr-Latn-ME"/>
        </w:rPr>
      </w:pPr>
      <w:hyperlink r:id="rId9" w:history="1">
        <w:r w:rsidR="00193152" w:rsidRPr="0056436C">
          <w:rPr>
            <w:rStyle w:val="Hyperlink"/>
            <w:rFonts w:eastAsia="Calibri"/>
            <w:sz w:val="22"/>
            <w:szCs w:val="22"/>
            <w:lang w:val="sr-Latn-ME"/>
          </w:rPr>
          <w:t>nezeljenadejstva@cinmed.me</w:t>
        </w:r>
      </w:hyperlink>
    </w:p>
    <w:p w:rsidR="00193152" w:rsidRPr="0056436C" w:rsidRDefault="00193152" w:rsidP="0056436C">
      <w:pPr>
        <w:pStyle w:val="NoSpacing"/>
        <w:jc w:val="both"/>
        <w:rPr>
          <w:rFonts w:eastAsia="Calibri"/>
          <w:sz w:val="22"/>
          <w:szCs w:val="22"/>
          <w:lang w:val="sr-Latn-ME"/>
        </w:rPr>
      </w:pPr>
      <w:r w:rsidRPr="0056436C">
        <w:rPr>
          <w:rFonts w:eastAsia="Calibri"/>
          <w:sz w:val="22"/>
          <w:szCs w:val="22"/>
          <w:lang w:val="sr-Latn-ME"/>
        </w:rPr>
        <w:t>putem IS zdravstvene zaštite</w:t>
      </w:r>
    </w:p>
    <w:p w:rsidR="00836B35" w:rsidRPr="0056436C" w:rsidRDefault="00836B35" w:rsidP="0056436C">
      <w:pPr>
        <w:tabs>
          <w:tab w:val="left" w:pos="540"/>
          <w:tab w:val="left" w:pos="569"/>
        </w:tabs>
        <w:rPr>
          <w:b/>
          <w:bCs/>
          <w:sz w:val="22"/>
          <w:szCs w:val="22"/>
          <w:lang w:val="sr-Latn-ME"/>
        </w:rPr>
      </w:pPr>
    </w:p>
    <w:p w:rsidR="00B43006" w:rsidRDefault="00B43006" w:rsidP="0056436C">
      <w:pPr>
        <w:tabs>
          <w:tab w:val="left" w:pos="540"/>
          <w:tab w:val="left" w:pos="569"/>
        </w:tabs>
        <w:rPr>
          <w:b/>
          <w:bCs/>
          <w:sz w:val="22"/>
          <w:szCs w:val="22"/>
          <w:lang w:val="sr-Latn-ME"/>
        </w:rPr>
      </w:pPr>
    </w:p>
    <w:p w:rsidR="00CD6F02" w:rsidRPr="0056436C" w:rsidRDefault="0072020E" w:rsidP="0056436C">
      <w:pPr>
        <w:tabs>
          <w:tab w:val="left" w:pos="540"/>
          <w:tab w:val="left" w:pos="569"/>
        </w:tabs>
        <w:rPr>
          <w:b/>
          <w:bCs/>
          <w:sz w:val="22"/>
          <w:szCs w:val="22"/>
          <w:lang w:val="sr-Latn-ME"/>
        </w:rPr>
      </w:pPr>
      <w:r w:rsidRPr="0056436C">
        <w:rPr>
          <w:b/>
          <w:bCs/>
          <w:sz w:val="22"/>
          <w:szCs w:val="22"/>
          <w:lang w:val="sr-Latn-ME"/>
        </w:rPr>
        <w:lastRenderedPageBreak/>
        <w:t xml:space="preserve">4.9. </w:t>
      </w:r>
      <w:r w:rsidR="00480FB1" w:rsidRPr="0056436C">
        <w:rPr>
          <w:b/>
          <w:bCs/>
          <w:sz w:val="22"/>
          <w:szCs w:val="22"/>
          <w:lang w:val="sr-Latn-ME"/>
        </w:rPr>
        <w:tab/>
      </w:r>
      <w:r w:rsidRPr="0056436C">
        <w:rPr>
          <w:b/>
          <w:bCs/>
          <w:sz w:val="22"/>
          <w:szCs w:val="22"/>
          <w:lang w:val="sr-Latn-ME"/>
        </w:rPr>
        <w:t>Predoziranje</w:t>
      </w:r>
      <w:r w:rsidR="002846DB" w:rsidRPr="0056436C">
        <w:rPr>
          <w:b/>
          <w:bCs/>
          <w:sz w:val="22"/>
          <w:szCs w:val="22"/>
          <w:lang w:val="sr-Latn-ME"/>
        </w:rPr>
        <w:t xml:space="preserve"> </w:t>
      </w:r>
    </w:p>
    <w:p w:rsidR="00CB2DE8" w:rsidRPr="0056436C" w:rsidRDefault="00CB2DE8" w:rsidP="0056436C">
      <w:pPr>
        <w:tabs>
          <w:tab w:val="left" w:pos="540"/>
          <w:tab w:val="left" w:pos="569"/>
        </w:tabs>
        <w:rPr>
          <w:bCs/>
          <w:sz w:val="22"/>
          <w:szCs w:val="22"/>
          <w:lang w:val="sr-Latn-ME"/>
        </w:rPr>
      </w:pPr>
    </w:p>
    <w:p w:rsidR="00435D3A" w:rsidRPr="0056436C" w:rsidRDefault="00435D3A" w:rsidP="0056436C">
      <w:pPr>
        <w:tabs>
          <w:tab w:val="left" w:pos="540"/>
          <w:tab w:val="left" w:pos="569"/>
        </w:tabs>
        <w:jc w:val="both"/>
        <w:rPr>
          <w:bCs/>
          <w:sz w:val="22"/>
          <w:szCs w:val="22"/>
          <w:lang w:val="sr-Latn-ME"/>
        </w:rPr>
      </w:pPr>
      <w:r w:rsidRPr="0056436C">
        <w:rPr>
          <w:bCs/>
          <w:sz w:val="22"/>
          <w:szCs w:val="22"/>
          <w:lang w:val="sr-Latn-ME"/>
        </w:rPr>
        <w:t xml:space="preserve">U kontrolisanim kliničkim ispitivanjima na zdravim dobrovoljcima, korišćene su pojedinačne doze sitagliptina do 800 mg. U jednoj studiji, u kojoj je primjenjivana doza sitagliptina od 800 mg, uočeno je minimalno povećanje QTc intervala, </w:t>
      </w:r>
      <w:r w:rsidR="00410637" w:rsidRPr="0056436C">
        <w:rPr>
          <w:bCs/>
          <w:sz w:val="22"/>
          <w:szCs w:val="22"/>
          <w:lang w:val="sr-Latn-ME"/>
        </w:rPr>
        <w:t>koje</w:t>
      </w:r>
      <w:r w:rsidRPr="0056436C">
        <w:rPr>
          <w:bCs/>
          <w:sz w:val="22"/>
          <w:szCs w:val="22"/>
          <w:lang w:val="sr-Latn-ME"/>
        </w:rPr>
        <w:t xml:space="preserve"> se</w:t>
      </w:r>
      <w:r w:rsidR="00410637" w:rsidRPr="0056436C">
        <w:rPr>
          <w:bCs/>
          <w:sz w:val="22"/>
          <w:szCs w:val="22"/>
          <w:lang w:val="sr-Latn-ME"/>
        </w:rPr>
        <w:t xml:space="preserve"> ne</w:t>
      </w:r>
      <w:r w:rsidRPr="0056436C">
        <w:rPr>
          <w:bCs/>
          <w:sz w:val="22"/>
          <w:szCs w:val="22"/>
          <w:lang w:val="sr-Latn-ME"/>
        </w:rPr>
        <w:t xml:space="preserve"> smatra klinički značajnim. Ne postoji iskustvo iz kliničkih studija sa dozama iznad 800 mg. U studijama </w:t>
      </w:r>
      <w:r w:rsidR="00410637" w:rsidRPr="0056436C">
        <w:rPr>
          <w:bCs/>
          <w:sz w:val="22"/>
          <w:szCs w:val="22"/>
          <w:lang w:val="sr-Latn-ME"/>
        </w:rPr>
        <w:t>f</w:t>
      </w:r>
      <w:r w:rsidRPr="0056436C">
        <w:rPr>
          <w:bCs/>
          <w:sz w:val="22"/>
          <w:szCs w:val="22"/>
          <w:lang w:val="sr-Latn-ME"/>
        </w:rPr>
        <w:t>aze I, u kojima su primjenjivane višestruke doze lijeka, ni</w:t>
      </w:r>
      <w:r w:rsidR="00410637" w:rsidRPr="0056436C">
        <w:rPr>
          <w:bCs/>
          <w:sz w:val="22"/>
          <w:szCs w:val="22"/>
          <w:lang w:val="sr-Latn-ME"/>
        </w:rPr>
        <w:t>je</w:t>
      </w:r>
      <w:r w:rsidRPr="0056436C">
        <w:rPr>
          <w:bCs/>
          <w:sz w:val="22"/>
          <w:szCs w:val="22"/>
          <w:lang w:val="sr-Latn-ME"/>
        </w:rPr>
        <w:t>su uočene kliničk</w:t>
      </w:r>
      <w:r w:rsidR="001450C1" w:rsidRPr="0056436C">
        <w:rPr>
          <w:bCs/>
          <w:sz w:val="22"/>
          <w:szCs w:val="22"/>
          <w:lang w:val="sr-Latn-ME"/>
        </w:rPr>
        <w:t>i značajne</w:t>
      </w:r>
      <w:r w:rsidRPr="0056436C">
        <w:rPr>
          <w:bCs/>
          <w:sz w:val="22"/>
          <w:szCs w:val="22"/>
          <w:lang w:val="sr-Latn-ME"/>
        </w:rPr>
        <w:t xml:space="preserve"> neželjene reakcije povezane sa dozom sitagliptina kada je lijek primjenjivan u dozama do 600 mg dnevno, tokom 10 dana, i u dozama od 400 mg dnevno, tokom </w:t>
      </w:r>
      <w:r w:rsidR="001450C1" w:rsidRPr="0056436C">
        <w:rPr>
          <w:bCs/>
          <w:sz w:val="22"/>
          <w:szCs w:val="22"/>
          <w:lang w:val="sr-Latn-ME"/>
        </w:rPr>
        <w:t xml:space="preserve">najviše </w:t>
      </w:r>
      <w:r w:rsidRPr="0056436C">
        <w:rPr>
          <w:bCs/>
          <w:sz w:val="22"/>
          <w:szCs w:val="22"/>
          <w:lang w:val="sr-Latn-ME"/>
        </w:rPr>
        <w:t>28 dana.</w:t>
      </w:r>
    </w:p>
    <w:p w:rsidR="00435D3A" w:rsidRPr="0056436C" w:rsidRDefault="00435D3A" w:rsidP="0056436C">
      <w:pPr>
        <w:tabs>
          <w:tab w:val="left" w:pos="540"/>
          <w:tab w:val="left" w:pos="569"/>
        </w:tabs>
        <w:jc w:val="both"/>
        <w:rPr>
          <w:bCs/>
          <w:sz w:val="22"/>
          <w:szCs w:val="22"/>
          <w:lang w:val="sr-Latn-ME"/>
        </w:rPr>
      </w:pPr>
    </w:p>
    <w:p w:rsidR="00435D3A" w:rsidRPr="0056436C" w:rsidRDefault="00435D3A" w:rsidP="0056436C">
      <w:pPr>
        <w:tabs>
          <w:tab w:val="left" w:pos="540"/>
          <w:tab w:val="left" w:pos="569"/>
        </w:tabs>
        <w:jc w:val="both"/>
        <w:rPr>
          <w:bCs/>
          <w:sz w:val="22"/>
          <w:szCs w:val="22"/>
          <w:lang w:val="sr-Latn-ME"/>
        </w:rPr>
      </w:pPr>
      <w:r w:rsidRPr="0056436C">
        <w:rPr>
          <w:bCs/>
          <w:sz w:val="22"/>
          <w:szCs w:val="22"/>
          <w:lang w:val="sr-Latn-ME"/>
        </w:rPr>
        <w:t>U slučaju predoziranja treba prim</w:t>
      </w:r>
      <w:r w:rsidR="001450C1" w:rsidRPr="0056436C">
        <w:rPr>
          <w:bCs/>
          <w:sz w:val="22"/>
          <w:szCs w:val="22"/>
          <w:lang w:val="sr-Latn-ME"/>
        </w:rPr>
        <w:t>i</w:t>
      </w:r>
      <w:r w:rsidRPr="0056436C">
        <w:rPr>
          <w:bCs/>
          <w:sz w:val="22"/>
          <w:szCs w:val="22"/>
          <w:lang w:val="sr-Latn-ME"/>
        </w:rPr>
        <w:t>jeniti uobičajene suportivne m</w:t>
      </w:r>
      <w:r w:rsidR="00193152" w:rsidRPr="0056436C">
        <w:rPr>
          <w:bCs/>
          <w:sz w:val="22"/>
          <w:szCs w:val="22"/>
          <w:lang w:val="sr-Latn-ME"/>
        </w:rPr>
        <w:t>j</w:t>
      </w:r>
      <w:r w:rsidRPr="0056436C">
        <w:rPr>
          <w:bCs/>
          <w:sz w:val="22"/>
          <w:szCs w:val="22"/>
          <w:lang w:val="sr-Latn-ME"/>
        </w:rPr>
        <w:t xml:space="preserve">ere, na primjer: uklanjanje neapsorbovanog lijeka iz gastrointestinalnog trakta, uključivanje kliničkog monitoringa (uključujući i elektrokardiogramski nalaz), i uvođenje </w:t>
      </w:r>
      <w:r w:rsidR="001450C1" w:rsidRPr="0056436C">
        <w:rPr>
          <w:bCs/>
          <w:sz w:val="22"/>
          <w:szCs w:val="22"/>
          <w:lang w:val="sr-Latn-ME"/>
        </w:rPr>
        <w:t xml:space="preserve">suportivne </w:t>
      </w:r>
      <w:r w:rsidRPr="0056436C">
        <w:rPr>
          <w:bCs/>
          <w:sz w:val="22"/>
          <w:szCs w:val="22"/>
          <w:lang w:val="sr-Latn-ME"/>
        </w:rPr>
        <w:t>terapije, ukoliko je potrebno.</w:t>
      </w:r>
    </w:p>
    <w:p w:rsidR="00435D3A" w:rsidRPr="0056436C" w:rsidRDefault="00435D3A" w:rsidP="0056436C">
      <w:pPr>
        <w:tabs>
          <w:tab w:val="left" w:pos="540"/>
          <w:tab w:val="left" w:pos="569"/>
        </w:tabs>
        <w:jc w:val="both"/>
        <w:rPr>
          <w:bCs/>
          <w:sz w:val="22"/>
          <w:szCs w:val="22"/>
          <w:lang w:val="sr-Latn-ME"/>
        </w:rPr>
      </w:pPr>
    </w:p>
    <w:p w:rsidR="00435D3A" w:rsidRPr="0056436C" w:rsidRDefault="00435D3A" w:rsidP="0056436C">
      <w:pPr>
        <w:tabs>
          <w:tab w:val="left" w:pos="540"/>
          <w:tab w:val="left" w:pos="569"/>
        </w:tabs>
        <w:jc w:val="both"/>
        <w:rPr>
          <w:bCs/>
          <w:sz w:val="22"/>
          <w:szCs w:val="22"/>
          <w:lang w:val="sr-Latn-ME"/>
        </w:rPr>
      </w:pPr>
      <w:r w:rsidRPr="0056436C">
        <w:rPr>
          <w:bCs/>
          <w:sz w:val="22"/>
          <w:szCs w:val="22"/>
          <w:lang w:val="sr-Latn-ME"/>
        </w:rPr>
        <w:t>Sitagliptin</w:t>
      </w:r>
      <w:r w:rsidR="001450C1" w:rsidRPr="0056436C">
        <w:rPr>
          <w:bCs/>
          <w:sz w:val="22"/>
          <w:szCs w:val="22"/>
          <w:lang w:val="sr-Latn-ME"/>
        </w:rPr>
        <w:t xml:space="preserve"> se</w:t>
      </w:r>
      <w:r w:rsidRPr="0056436C">
        <w:rPr>
          <w:bCs/>
          <w:sz w:val="22"/>
          <w:szCs w:val="22"/>
          <w:lang w:val="sr-Latn-ME"/>
        </w:rPr>
        <w:t xml:space="preserve"> može u </w:t>
      </w:r>
      <w:r w:rsidR="001450C1" w:rsidRPr="0056436C">
        <w:rPr>
          <w:bCs/>
          <w:sz w:val="22"/>
          <w:szCs w:val="22"/>
          <w:lang w:val="sr-Latn-ME"/>
        </w:rPr>
        <w:t xml:space="preserve">maloj </w:t>
      </w:r>
      <w:r w:rsidRPr="0056436C">
        <w:rPr>
          <w:bCs/>
          <w:sz w:val="22"/>
          <w:szCs w:val="22"/>
          <w:lang w:val="sr-Latn-ME"/>
        </w:rPr>
        <w:t>mjeri ukloni</w:t>
      </w:r>
      <w:r w:rsidR="001450C1" w:rsidRPr="0056436C">
        <w:rPr>
          <w:bCs/>
          <w:sz w:val="22"/>
          <w:szCs w:val="22"/>
          <w:lang w:val="sr-Latn-ME"/>
        </w:rPr>
        <w:t>ti</w:t>
      </w:r>
      <w:r w:rsidRPr="0056436C">
        <w:rPr>
          <w:bCs/>
          <w:sz w:val="22"/>
          <w:szCs w:val="22"/>
          <w:lang w:val="sr-Latn-ME"/>
        </w:rPr>
        <w:t xml:space="preserve"> iz organizma dijalizom. U kliničkim studijama, oko 13,5% unijete doze lijeka uklonjeno je iz organizma hemodijalizom u trajanju od 3 do 4 sata. Ukoliko je to klinički </w:t>
      </w:r>
      <w:r w:rsidR="00193152" w:rsidRPr="0056436C">
        <w:rPr>
          <w:bCs/>
          <w:sz w:val="22"/>
          <w:szCs w:val="22"/>
          <w:lang w:val="sr-Latn-ME"/>
        </w:rPr>
        <w:t>opravdano</w:t>
      </w:r>
      <w:r w:rsidRPr="0056436C">
        <w:rPr>
          <w:bCs/>
          <w:sz w:val="22"/>
          <w:szCs w:val="22"/>
          <w:lang w:val="sr-Latn-ME"/>
        </w:rPr>
        <w:t>, može da se razmotri produženje hemodijalize. Nije poznato da li sitagliptin može da se ukloni iz organizma peritonealnom dijalizom.</w:t>
      </w:r>
    </w:p>
    <w:p w:rsidR="00CD6F02" w:rsidRPr="0056436C" w:rsidRDefault="00CD6F02" w:rsidP="0056436C">
      <w:pPr>
        <w:tabs>
          <w:tab w:val="left" w:pos="540"/>
          <w:tab w:val="left" w:pos="569"/>
        </w:tabs>
        <w:rPr>
          <w:b/>
          <w:bCs/>
          <w:sz w:val="22"/>
          <w:szCs w:val="22"/>
          <w:lang w:val="sr-Latn-ME"/>
        </w:rPr>
      </w:pPr>
    </w:p>
    <w:p w:rsidR="00227BDB" w:rsidRPr="0056436C" w:rsidRDefault="00227BDB" w:rsidP="0056436C">
      <w:pPr>
        <w:tabs>
          <w:tab w:val="left" w:pos="540"/>
          <w:tab w:val="left" w:pos="569"/>
        </w:tabs>
        <w:rPr>
          <w:b/>
          <w:bCs/>
          <w:sz w:val="22"/>
          <w:szCs w:val="22"/>
          <w:lang w:val="sr-Latn-ME"/>
        </w:rPr>
      </w:pPr>
    </w:p>
    <w:p w:rsidR="0072020E" w:rsidRPr="0056436C" w:rsidRDefault="0072020E" w:rsidP="0056436C">
      <w:pPr>
        <w:tabs>
          <w:tab w:val="left" w:pos="540"/>
          <w:tab w:val="left" w:pos="569"/>
        </w:tabs>
        <w:rPr>
          <w:b/>
          <w:bCs/>
          <w:sz w:val="22"/>
          <w:szCs w:val="22"/>
          <w:lang w:val="sr-Latn-ME"/>
        </w:rPr>
      </w:pPr>
      <w:r w:rsidRPr="0056436C">
        <w:rPr>
          <w:b/>
          <w:bCs/>
          <w:sz w:val="22"/>
          <w:szCs w:val="22"/>
          <w:lang w:val="sr-Latn-ME"/>
        </w:rPr>
        <w:t xml:space="preserve">5. </w:t>
      </w:r>
      <w:r w:rsidR="00480FB1" w:rsidRPr="0056436C">
        <w:rPr>
          <w:b/>
          <w:bCs/>
          <w:sz w:val="22"/>
          <w:szCs w:val="22"/>
          <w:lang w:val="sr-Latn-ME"/>
        </w:rPr>
        <w:tab/>
      </w:r>
      <w:r w:rsidRPr="0056436C">
        <w:rPr>
          <w:b/>
          <w:bCs/>
          <w:sz w:val="22"/>
          <w:szCs w:val="22"/>
          <w:lang w:val="sr-Latn-ME"/>
        </w:rPr>
        <w:t>FARMAKOLOŠK</w:t>
      </w:r>
      <w:r w:rsidR="000D425A" w:rsidRPr="0056436C">
        <w:rPr>
          <w:b/>
          <w:bCs/>
          <w:sz w:val="22"/>
          <w:szCs w:val="22"/>
          <w:lang w:val="sr-Latn-ME"/>
        </w:rPr>
        <w:t>I</w:t>
      </w:r>
      <w:r w:rsidRPr="0056436C">
        <w:rPr>
          <w:b/>
          <w:bCs/>
          <w:sz w:val="22"/>
          <w:szCs w:val="22"/>
          <w:lang w:val="sr-Latn-ME"/>
        </w:rPr>
        <w:t xml:space="preserve"> PODACI</w:t>
      </w:r>
    </w:p>
    <w:p w:rsidR="0072020E" w:rsidRPr="0056436C" w:rsidRDefault="0072020E" w:rsidP="0056436C">
      <w:pPr>
        <w:tabs>
          <w:tab w:val="left" w:pos="540"/>
          <w:tab w:val="left" w:pos="569"/>
        </w:tabs>
        <w:rPr>
          <w:b/>
          <w:bCs/>
          <w:sz w:val="22"/>
          <w:szCs w:val="22"/>
          <w:lang w:val="sr-Latn-ME"/>
        </w:rPr>
      </w:pPr>
    </w:p>
    <w:p w:rsidR="0072020E" w:rsidRPr="0056436C" w:rsidRDefault="0072020E" w:rsidP="0056436C">
      <w:pPr>
        <w:tabs>
          <w:tab w:val="left" w:pos="540"/>
          <w:tab w:val="left" w:pos="569"/>
        </w:tabs>
        <w:rPr>
          <w:b/>
          <w:bCs/>
          <w:sz w:val="22"/>
          <w:szCs w:val="22"/>
          <w:lang w:val="sr-Latn-ME"/>
        </w:rPr>
      </w:pPr>
      <w:r w:rsidRPr="0056436C">
        <w:rPr>
          <w:b/>
          <w:bCs/>
          <w:sz w:val="22"/>
          <w:szCs w:val="22"/>
          <w:lang w:val="sr-Latn-ME"/>
        </w:rPr>
        <w:t xml:space="preserve">5.1. </w:t>
      </w:r>
      <w:r w:rsidR="00480FB1" w:rsidRPr="0056436C">
        <w:rPr>
          <w:b/>
          <w:bCs/>
          <w:sz w:val="22"/>
          <w:szCs w:val="22"/>
          <w:lang w:val="sr-Latn-ME"/>
        </w:rPr>
        <w:tab/>
      </w:r>
      <w:r w:rsidRPr="0056436C">
        <w:rPr>
          <w:b/>
          <w:bCs/>
          <w:sz w:val="22"/>
          <w:szCs w:val="22"/>
          <w:lang w:val="sr-Latn-ME"/>
        </w:rPr>
        <w:t>Farmakodinamski podaci</w:t>
      </w:r>
      <w:r w:rsidR="003A7059" w:rsidRPr="0056436C">
        <w:rPr>
          <w:b/>
          <w:bCs/>
          <w:sz w:val="22"/>
          <w:szCs w:val="22"/>
          <w:lang w:val="sr-Latn-ME"/>
        </w:rPr>
        <w:t xml:space="preserve"> </w:t>
      </w:r>
    </w:p>
    <w:p w:rsidR="00F45F77" w:rsidRPr="0056436C" w:rsidRDefault="00F45F77" w:rsidP="0056436C">
      <w:pPr>
        <w:tabs>
          <w:tab w:val="left" w:pos="540"/>
          <w:tab w:val="left" w:pos="569"/>
        </w:tabs>
        <w:rPr>
          <w:b/>
          <w:bCs/>
          <w:sz w:val="22"/>
          <w:szCs w:val="22"/>
          <w:lang w:val="sr-Latn-ME"/>
        </w:rPr>
      </w:pPr>
    </w:p>
    <w:p w:rsidR="0072020E" w:rsidRPr="0056436C" w:rsidRDefault="0072020E" w:rsidP="0056436C">
      <w:pPr>
        <w:pStyle w:val="BodyText"/>
        <w:jc w:val="both"/>
        <w:rPr>
          <w:sz w:val="22"/>
          <w:szCs w:val="22"/>
          <w:lang w:val="sr-Latn-ME"/>
        </w:rPr>
      </w:pPr>
      <w:r w:rsidRPr="0056436C">
        <w:rPr>
          <w:bCs/>
          <w:sz w:val="22"/>
          <w:szCs w:val="22"/>
          <w:lang w:val="sr-Latn-ME"/>
        </w:rPr>
        <w:t>Farmakoterapijska grupa:</w:t>
      </w:r>
      <w:r w:rsidR="00B7667C" w:rsidRPr="0056436C">
        <w:rPr>
          <w:sz w:val="22"/>
          <w:szCs w:val="22"/>
          <w:lang w:val="sr-Latn-ME"/>
        </w:rPr>
        <w:t xml:space="preserve"> </w:t>
      </w:r>
      <w:r w:rsidR="001450C1" w:rsidRPr="0056436C">
        <w:rPr>
          <w:sz w:val="22"/>
          <w:szCs w:val="22"/>
          <w:lang w:val="sr-Latn-ME"/>
        </w:rPr>
        <w:t>l</w:t>
      </w:r>
      <w:r w:rsidR="00B7667C" w:rsidRPr="0056436C">
        <w:rPr>
          <w:sz w:val="22"/>
          <w:szCs w:val="22"/>
          <w:lang w:val="sr-Latn-ME"/>
        </w:rPr>
        <w:t>jekovi koji se upotrebljavaju u dijabetesu (</w:t>
      </w:r>
      <w:r w:rsidR="001450C1" w:rsidRPr="0056436C">
        <w:rPr>
          <w:sz w:val="22"/>
          <w:szCs w:val="22"/>
          <w:lang w:val="sr-Latn-ME"/>
        </w:rPr>
        <w:t>a</w:t>
      </w:r>
      <w:r w:rsidR="00B7667C" w:rsidRPr="0056436C">
        <w:rPr>
          <w:sz w:val="22"/>
          <w:szCs w:val="22"/>
          <w:lang w:val="sr-Latn-ME"/>
        </w:rPr>
        <w:t xml:space="preserve">ntidijabetici); </w:t>
      </w:r>
      <w:r w:rsidR="001450C1" w:rsidRPr="0056436C">
        <w:rPr>
          <w:sz w:val="22"/>
          <w:szCs w:val="22"/>
          <w:lang w:val="sr-Latn-ME"/>
        </w:rPr>
        <w:t>i</w:t>
      </w:r>
      <w:r w:rsidR="00B7667C" w:rsidRPr="0056436C">
        <w:rPr>
          <w:sz w:val="22"/>
          <w:szCs w:val="22"/>
          <w:lang w:val="sr-Latn-ME"/>
        </w:rPr>
        <w:t xml:space="preserve">nhibitori    </w:t>
      </w:r>
      <w:r w:rsidR="005F3E76" w:rsidRPr="0056436C">
        <w:rPr>
          <w:sz w:val="22"/>
          <w:szCs w:val="22"/>
          <w:lang w:val="sr-Latn-ME"/>
        </w:rPr>
        <w:t xml:space="preserve">   </w:t>
      </w:r>
      <w:r w:rsidR="00B7667C" w:rsidRPr="0056436C">
        <w:rPr>
          <w:sz w:val="22"/>
          <w:szCs w:val="22"/>
          <w:lang w:val="sr-Latn-ME"/>
        </w:rPr>
        <w:t>dipeptidil peptidaze 4 (</w:t>
      </w:r>
      <w:r w:rsidR="009C6EEA" w:rsidRPr="0056436C">
        <w:rPr>
          <w:sz w:val="22"/>
          <w:szCs w:val="22"/>
          <w:lang w:val="sr-Latn-ME"/>
        </w:rPr>
        <w:t>DPP-4)</w:t>
      </w:r>
    </w:p>
    <w:p w:rsidR="0072020E" w:rsidRPr="0056436C" w:rsidRDefault="0072020E" w:rsidP="0056436C">
      <w:pPr>
        <w:tabs>
          <w:tab w:val="left" w:pos="540"/>
          <w:tab w:val="left" w:pos="569"/>
        </w:tabs>
        <w:jc w:val="both"/>
        <w:rPr>
          <w:sz w:val="22"/>
          <w:szCs w:val="22"/>
          <w:lang w:val="sr-Latn-ME"/>
        </w:rPr>
      </w:pPr>
      <w:r w:rsidRPr="0056436C">
        <w:rPr>
          <w:bCs/>
          <w:sz w:val="22"/>
          <w:szCs w:val="22"/>
          <w:lang w:val="sr-Latn-ME"/>
        </w:rPr>
        <w:t>ATC kod:</w:t>
      </w:r>
      <w:r w:rsidR="00B7667C" w:rsidRPr="0056436C">
        <w:rPr>
          <w:sz w:val="22"/>
          <w:szCs w:val="22"/>
          <w:lang w:val="sr-Latn-ME"/>
        </w:rPr>
        <w:t xml:space="preserve"> A10BH01</w:t>
      </w:r>
    </w:p>
    <w:p w:rsidR="00F66DF9" w:rsidRPr="0056436C" w:rsidRDefault="00F66DF9" w:rsidP="0056436C">
      <w:pPr>
        <w:tabs>
          <w:tab w:val="left" w:pos="540"/>
          <w:tab w:val="left" w:pos="569"/>
        </w:tabs>
        <w:jc w:val="both"/>
        <w:rPr>
          <w:bCs/>
          <w:sz w:val="22"/>
          <w:szCs w:val="22"/>
          <w:u w:val="single"/>
          <w:lang w:val="sr-Latn-ME"/>
        </w:rPr>
      </w:pPr>
    </w:p>
    <w:p w:rsidR="00B7667C" w:rsidRPr="0056436C" w:rsidRDefault="00B7667C" w:rsidP="0056436C">
      <w:pPr>
        <w:tabs>
          <w:tab w:val="left" w:pos="540"/>
          <w:tab w:val="left" w:pos="569"/>
        </w:tabs>
        <w:jc w:val="both"/>
        <w:rPr>
          <w:bCs/>
          <w:sz w:val="22"/>
          <w:szCs w:val="22"/>
          <w:u w:val="single"/>
          <w:lang w:val="sr-Latn-ME"/>
        </w:rPr>
      </w:pPr>
      <w:r w:rsidRPr="0056436C">
        <w:rPr>
          <w:bCs/>
          <w:sz w:val="22"/>
          <w:szCs w:val="22"/>
          <w:u w:val="single"/>
          <w:lang w:val="sr-Latn-ME"/>
        </w:rPr>
        <w:t>Mehanizam dejstva</w:t>
      </w:r>
    </w:p>
    <w:p w:rsidR="00B7667C" w:rsidRPr="0056436C" w:rsidRDefault="00B7667C" w:rsidP="0056436C">
      <w:pPr>
        <w:tabs>
          <w:tab w:val="left" w:pos="540"/>
          <w:tab w:val="left" w:pos="569"/>
        </w:tabs>
        <w:jc w:val="both"/>
        <w:rPr>
          <w:bCs/>
          <w:sz w:val="22"/>
          <w:szCs w:val="22"/>
          <w:lang w:val="sr-Latn-ME"/>
        </w:rPr>
      </w:pPr>
    </w:p>
    <w:p w:rsidR="00B7667C" w:rsidRPr="0056436C" w:rsidRDefault="00B7667C" w:rsidP="0056436C">
      <w:pPr>
        <w:tabs>
          <w:tab w:val="left" w:pos="540"/>
          <w:tab w:val="left" w:pos="569"/>
        </w:tabs>
        <w:jc w:val="both"/>
        <w:rPr>
          <w:bCs/>
          <w:sz w:val="22"/>
          <w:szCs w:val="22"/>
          <w:lang w:val="sr-Latn-ME"/>
        </w:rPr>
      </w:pPr>
      <w:r w:rsidRPr="0056436C">
        <w:rPr>
          <w:bCs/>
          <w:sz w:val="22"/>
          <w:szCs w:val="22"/>
          <w:lang w:val="sr-Latn-ME"/>
        </w:rPr>
        <w:t xml:space="preserve">Lijek </w:t>
      </w:r>
      <w:r w:rsidR="003714E8" w:rsidRPr="0056436C">
        <w:rPr>
          <w:bCs/>
          <w:sz w:val="22"/>
          <w:szCs w:val="22"/>
          <w:lang w:val="sr-Latn-ME"/>
        </w:rPr>
        <w:t>Sitagliptin Teva</w:t>
      </w:r>
      <w:r w:rsidRPr="0056436C">
        <w:rPr>
          <w:bCs/>
          <w:sz w:val="22"/>
          <w:szCs w:val="22"/>
          <w:lang w:val="sr-Latn-ME"/>
        </w:rPr>
        <w:t xml:space="preserve"> pripada grupi oralnih antihiperglikemijskih ljekova koji se nazivaju inhibitori dipeptidilpeptidaze 4 (DPP-4). Poboljšanje kontrole glikemije uočeno kod primjene ovog l</w:t>
      </w:r>
      <w:r w:rsidR="001450C1" w:rsidRPr="0056436C">
        <w:rPr>
          <w:bCs/>
          <w:sz w:val="22"/>
          <w:szCs w:val="22"/>
          <w:lang w:val="sr-Latn-ME"/>
        </w:rPr>
        <w:t>i</w:t>
      </w:r>
      <w:r w:rsidRPr="0056436C">
        <w:rPr>
          <w:bCs/>
          <w:sz w:val="22"/>
          <w:szCs w:val="22"/>
          <w:lang w:val="sr-Latn-ME"/>
        </w:rPr>
        <w:t>jeka vjerovatno se postiže preko povećanja vrijednosti aktivnih hormona inkretina. Inkretini, uključujući glukagonu sličan peptid</w:t>
      </w:r>
      <w:r w:rsidR="001450C1" w:rsidRPr="0056436C">
        <w:rPr>
          <w:bCs/>
          <w:sz w:val="22"/>
          <w:szCs w:val="22"/>
          <w:lang w:val="sr-Latn-ME"/>
        </w:rPr>
        <w:t>-</w:t>
      </w:r>
      <w:r w:rsidRPr="0056436C">
        <w:rPr>
          <w:bCs/>
          <w:sz w:val="22"/>
          <w:szCs w:val="22"/>
          <w:lang w:val="sr-Latn-ME"/>
        </w:rPr>
        <w:t xml:space="preserve">1 (GLP-1) i glukozno-zavisni insulinotropni polipeptid (GIP), oslobađaju </w:t>
      </w:r>
      <w:r w:rsidR="001450C1" w:rsidRPr="0056436C">
        <w:rPr>
          <w:bCs/>
          <w:sz w:val="22"/>
          <w:szCs w:val="22"/>
          <w:lang w:val="sr-Latn-ME"/>
        </w:rPr>
        <w:t xml:space="preserve">se </w:t>
      </w:r>
      <w:r w:rsidRPr="0056436C">
        <w:rPr>
          <w:bCs/>
          <w:sz w:val="22"/>
          <w:szCs w:val="22"/>
          <w:lang w:val="sr-Latn-ME"/>
        </w:rPr>
        <w:t>iz crijeva tokom dana, a njihove vrijednosti se povećavaju kao odgovor na unošenje hrane. Inkretini su dio endogenog sistema koji je uključen u fiziološku kontrolu homeostaze glukoz</w:t>
      </w:r>
      <w:r w:rsidR="001B7FE8" w:rsidRPr="0056436C">
        <w:rPr>
          <w:bCs/>
          <w:sz w:val="22"/>
          <w:szCs w:val="22"/>
          <w:lang w:val="sr-Latn-ME"/>
        </w:rPr>
        <w:t xml:space="preserve">e. Kada je </w:t>
      </w:r>
      <w:r w:rsidRPr="0056436C">
        <w:rPr>
          <w:bCs/>
          <w:sz w:val="22"/>
          <w:szCs w:val="22"/>
          <w:lang w:val="sr-Latn-ME"/>
        </w:rPr>
        <w:t>koncentacija glukoze u krvi normalna ili povišena, GLP- 1 i GIP povećavaju sintezu insulina i njegovo lučenje iz beta ćelija pankreasa preko intracelularnih signalnih</w:t>
      </w:r>
      <w:r w:rsidR="001B7FE8" w:rsidRPr="0056436C">
        <w:rPr>
          <w:bCs/>
          <w:sz w:val="22"/>
          <w:szCs w:val="22"/>
          <w:lang w:val="sr-Latn-ME"/>
        </w:rPr>
        <w:t xml:space="preserve"> </w:t>
      </w:r>
      <w:r w:rsidRPr="0056436C">
        <w:rPr>
          <w:bCs/>
          <w:sz w:val="22"/>
          <w:szCs w:val="22"/>
          <w:lang w:val="sr-Latn-ME"/>
        </w:rPr>
        <w:t>puteva, uz učešće cikličnog AMP. Kada su životinjama sa dijabetesom tip 2 davani GLP-1 ili inhibitor</w:t>
      </w:r>
      <w:r w:rsidR="001B7FE8" w:rsidRPr="0056436C">
        <w:rPr>
          <w:bCs/>
          <w:sz w:val="22"/>
          <w:szCs w:val="22"/>
          <w:lang w:val="sr-Latn-ME"/>
        </w:rPr>
        <w:t xml:space="preserve">i DPP-4, uočeno je poboljšanje </w:t>
      </w:r>
      <w:r w:rsidRPr="0056436C">
        <w:rPr>
          <w:bCs/>
          <w:sz w:val="22"/>
          <w:szCs w:val="22"/>
          <w:lang w:val="sr-Latn-ME"/>
        </w:rPr>
        <w:t>odgovora beta ćelija na glukozu i stimulacija biosinteze i lučenja insulina. Kada su vrijednosti insulina povećane, povećava se i preuzimanje glukoze u tkivu. Pored toga, GLP-1 smanjuje sekreciju glukagona iz alfa ćelija pankreasa. Smanjene vrijednosti glukagona, uz povećane vrijednosti insulina, dovode do smanjene produkcije glukoze u jetri, što za rezultat ima smanjenje koncentracije glukoze u krvi.</w:t>
      </w:r>
    </w:p>
    <w:p w:rsidR="00B7667C" w:rsidRPr="0056436C" w:rsidRDefault="00B7667C" w:rsidP="0056436C">
      <w:pPr>
        <w:tabs>
          <w:tab w:val="left" w:pos="540"/>
          <w:tab w:val="left" w:pos="569"/>
        </w:tabs>
        <w:jc w:val="both"/>
        <w:rPr>
          <w:bCs/>
          <w:sz w:val="22"/>
          <w:szCs w:val="22"/>
          <w:lang w:val="sr-Latn-ME"/>
        </w:rPr>
      </w:pPr>
      <w:r w:rsidRPr="0056436C">
        <w:rPr>
          <w:bCs/>
          <w:sz w:val="22"/>
          <w:szCs w:val="22"/>
          <w:lang w:val="sr-Latn-ME"/>
        </w:rPr>
        <w:t xml:space="preserve">Efekti GLP-1 i GIP su zavisni od glukoze tako da, kada su koncentracije glukoze u krvi niske, GLP-1 ne dovodi do stimulacije </w:t>
      </w:r>
      <w:r w:rsidR="00E05E2E" w:rsidRPr="0056436C">
        <w:rPr>
          <w:bCs/>
          <w:sz w:val="22"/>
          <w:szCs w:val="22"/>
          <w:lang w:val="sr-Latn-ME"/>
        </w:rPr>
        <w:t xml:space="preserve">oslobađanja </w:t>
      </w:r>
      <w:r w:rsidRPr="0056436C">
        <w:rPr>
          <w:bCs/>
          <w:sz w:val="22"/>
          <w:szCs w:val="22"/>
          <w:lang w:val="sr-Latn-ME"/>
        </w:rPr>
        <w:t xml:space="preserve">insulina i supresije </w:t>
      </w:r>
      <w:r w:rsidR="00E05E2E" w:rsidRPr="0056436C">
        <w:rPr>
          <w:bCs/>
          <w:sz w:val="22"/>
          <w:szCs w:val="22"/>
          <w:lang w:val="sr-Latn-ME"/>
        </w:rPr>
        <w:t xml:space="preserve">lučenja </w:t>
      </w:r>
      <w:r w:rsidRPr="0056436C">
        <w:rPr>
          <w:bCs/>
          <w:sz w:val="22"/>
          <w:szCs w:val="22"/>
          <w:lang w:val="sr-Latn-ME"/>
        </w:rPr>
        <w:t xml:space="preserve">glukagona. I GLP-1, i GIP povećavaju stimulaciju </w:t>
      </w:r>
      <w:r w:rsidR="00E05E2E" w:rsidRPr="0056436C">
        <w:rPr>
          <w:bCs/>
          <w:sz w:val="22"/>
          <w:szCs w:val="22"/>
          <w:lang w:val="sr-Latn-ME"/>
        </w:rPr>
        <w:t xml:space="preserve">oslobađanja </w:t>
      </w:r>
      <w:r w:rsidRPr="0056436C">
        <w:rPr>
          <w:bCs/>
          <w:sz w:val="22"/>
          <w:szCs w:val="22"/>
          <w:lang w:val="sr-Latn-ME"/>
        </w:rPr>
        <w:t>insulina kada se koncentracije glukoze povećaju iznad normalnih koncentracija. Pored toga, GLP-1 ne remeti normalan odgovor glukagona na</w:t>
      </w:r>
      <w:r w:rsidRPr="0056436C">
        <w:rPr>
          <w:b/>
          <w:bCs/>
          <w:sz w:val="22"/>
          <w:szCs w:val="22"/>
          <w:lang w:val="sr-Latn-ME"/>
        </w:rPr>
        <w:t xml:space="preserve"> </w:t>
      </w:r>
      <w:r w:rsidRPr="0056436C">
        <w:rPr>
          <w:bCs/>
          <w:sz w:val="22"/>
          <w:szCs w:val="22"/>
          <w:lang w:val="sr-Latn-ME"/>
        </w:rPr>
        <w:t xml:space="preserve">hipoglikemiju. </w:t>
      </w:r>
      <w:r w:rsidR="00F162CA" w:rsidRPr="0056436C">
        <w:rPr>
          <w:bCs/>
          <w:sz w:val="22"/>
          <w:szCs w:val="22"/>
          <w:lang w:val="sr-Latn-ME"/>
        </w:rPr>
        <w:t xml:space="preserve">Aktivnost GLP-1 i GIP ograničava </w:t>
      </w:r>
      <w:r w:rsidRPr="0056436C">
        <w:rPr>
          <w:bCs/>
          <w:sz w:val="22"/>
          <w:szCs w:val="22"/>
          <w:lang w:val="sr-Latn-ME"/>
        </w:rPr>
        <w:t>DPP-4 enzim</w:t>
      </w:r>
      <w:r w:rsidR="00F162CA" w:rsidRPr="0056436C">
        <w:rPr>
          <w:bCs/>
          <w:sz w:val="22"/>
          <w:szCs w:val="22"/>
          <w:lang w:val="sr-Latn-ME"/>
        </w:rPr>
        <w:t>, koji</w:t>
      </w:r>
      <w:r w:rsidRPr="0056436C">
        <w:rPr>
          <w:bCs/>
          <w:sz w:val="22"/>
          <w:szCs w:val="22"/>
          <w:lang w:val="sr-Latn-ME"/>
        </w:rPr>
        <w:t xml:space="preserve"> brzo hidroli</w:t>
      </w:r>
      <w:r w:rsidR="00F162CA" w:rsidRPr="0056436C">
        <w:rPr>
          <w:bCs/>
          <w:sz w:val="22"/>
          <w:szCs w:val="22"/>
          <w:lang w:val="sr-Latn-ME"/>
        </w:rPr>
        <w:t>zuje</w:t>
      </w:r>
      <w:r w:rsidRPr="0056436C">
        <w:rPr>
          <w:bCs/>
          <w:sz w:val="22"/>
          <w:szCs w:val="22"/>
          <w:lang w:val="sr-Latn-ME"/>
        </w:rPr>
        <w:t xml:space="preserve"> inkretinske hormone i dovodi do nastanka neaktivnih produkata. Sitagliptin sprečava hidrolizu inkretinskih hormona od strane DPP-4 i, na taj način, povećava koncentracije aktivnih oblika GLP-1 i GIP u plazmi. Ovakvim povećanjem vrijednosti aktivnih inkretina, sitagliptin povećava lučenje insulina i snižava nivoe glukagona u zavisnosti od koncentracije glukoze u krvi. Kod pacijenata sa dijabetesom tip 2 sa hiperglikemijom, ove promjene u koncentracijama insulina i glukagona dovode do smanjenja vrijednosti hemoglobina A</w:t>
      </w:r>
      <w:r w:rsidRPr="0056436C">
        <w:rPr>
          <w:bCs/>
          <w:sz w:val="22"/>
          <w:szCs w:val="22"/>
          <w:vertAlign w:val="subscript"/>
          <w:lang w:val="sr-Latn-ME"/>
        </w:rPr>
        <w:t>1c</w:t>
      </w:r>
      <w:r w:rsidRPr="0056436C">
        <w:rPr>
          <w:bCs/>
          <w:sz w:val="22"/>
          <w:szCs w:val="22"/>
          <w:lang w:val="sr-Latn-ME"/>
        </w:rPr>
        <w:t xml:space="preserve"> (HbA</w:t>
      </w:r>
      <w:r w:rsidRPr="0056436C">
        <w:rPr>
          <w:bCs/>
          <w:sz w:val="22"/>
          <w:szCs w:val="22"/>
          <w:vertAlign w:val="subscript"/>
          <w:lang w:val="sr-Latn-ME"/>
        </w:rPr>
        <w:t>1c</w:t>
      </w:r>
      <w:r w:rsidRPr="0056436C">
        <w:rPr>
          <w:bCs/>
          <w:sz w:val="22"/>
          <w:szCs w:val="22"/>
          <w:lang w:val="sr-Latn-ME"/>
        </w:rPr>
        <w:t xml:space="preserve">) i sniženja postprandijalnih koncentracija glukoze i koncentracije glukoze </w:t>
      </w:r>
      <w:r w:rsidR="00F162CA" w:rsidRPr="0056436C">
        <w:rPr>
          <w:bCs/>
          <w:sz w:val="22"/>
          <w:szCs w:val="22"/>
          <w:lang w:val="sr-Latn-ME"/>
        </w:rPr>
        <w:t>natašte</w:t>
      </w:r>
      <w:r w:rsidRPr="0056436C">
        <w:rPr>
          <w:bCs/>
          <w:sz w:val="22"/>
          <w:szCs w:val="22"/>
          <w:lang w:val="sr-Latn-ME"/>
        </w:rPr>
        <w:t>. Glukozno-zavisni mehanizam dejstva sitagliptina razlikuje se od mehanizma dejstva derivata sulfoniluree</w:t>
      </w:r>
      <w:r w:rsidR="00F162CA" w:rsidRPr="0056436C">
        <w:rPr>
          <w:bCs/>
          <w:sz w:val="22"/>
          <w:szCs w:val="22"/>
          <w:lang w:val="sr-Latn-ME"/>
        </w:rPr>
        <w:t>,</w:t>
      </w:r>
      <w:r w:rsidRPr="0056436C">
        <w:rPr>
          <w:bCs/>
          <w:sz w:val="22"/>
          <w:szCs w:val="22"/>
          <w:lang w:val="sr-Latn-ME"/>
        </w:rPr>
        <w:t xml:space="preserve"> koji povećavaju insulinsku sekreciju čak i kada su koncentracije glukoze niske</w:t>
      </w:r>
      <w:r w:rsidR="00F162CA" w:rsidRPr="0056436C">
        <w:rPr>
          <w:bCs/>
          <w:sz w:val="22"/>
          <w:szCs w:val="22"/>
          <w:lang w:val="sr-Latn-ME"/>
        </w:rPr>
        <w:t>,</w:t>
      </w:r>
      <w:r w:rsidRPr="0056436C">
        <w:rPr>
          <w:bCs/>
          <w:sz w:val="22"/>
          <w:szCs w:val="22"/>
          <w:lang w:val="sr-Latn-ME"/>
        </w:rPr>
        <w:t xml:space="preserve"> što može da dovede do pojave hipoglikemije kod pacijenata sa dijabetesom tip 2, kao i kod zdravih osoba. Sitagliptin je snažan i visoko selektivni inhibitor </w:t>
      </w:r>
      <w:r w:rsidRPr="0056436C">
        <w:rPr>
          <w:bCs/>
          <w:sz w:val="22"/>
          <w:szCs w:val="22"/>
          <w:lang w:val="sr-Latn-ME"/>
        </w:rPr>
        <w:lastRenderedPageBreak/>
        <w:t xml:space="preserve">enzima DPP-4 i, pri terapijskim koncentracijama, ne inhibiše njemu </w:t>
      </w:r>
      <w:r w:rsidR="00F162CA" w:rsidRPr="0056436C">
        <w:rPr>
          <w:bCs/>
          <w:sz w:val="22"/>
          <w:szCs w:val="22"/>
          <w:lang w:val="sr-Latn-ME"/>
        </w:rPr>
        <w:t xml:space="preserve">vrlo </w:t>
      </w:r>
      <w:r w:rsidRPr="0056436C">
        <w:rPr>
          <w:bCs/>
          <w:sz w:val="22"/>
          <w:szCs w:val="22"/>
          <w:lang w:val="sr-Latn-ME"/>
        </w:rPr>
        <w:t>srodne enzime DPP-8 ili DPP-9.</w:t>
      </w:r>
    </w:p>
    <w:p w:rsidR="00B7667C" w:rsidRPr="0056436C" w:rsidRDefault="00B7667C" w:rsidP="0056436C">
      <w:pPr>
        <w:tabs>
          <w:tab w:val="left" w:pos="540"/>
          <w:tab w:val="left" w:pos="569"/>
        </w:tabs>
        <w:jc w:val="both"/>
        <w:rPr>
          <w:bCs/>
          <w:sz w:val="22"/>
          <w:szCs w:val="22"/>
          <w:lang w:val="sr-Latn-ME"/>
        </w:rPr>
      </w:pPr>
    </w:p>
    <w:p w:rsidR="00B7667C" w:rsidRPr="0056436C" w:rsidRDefault="00B7667C" w:rsidP="0056436C">
      <w:pPr>
        <w:tabs>
          <w:tab w:val="left" w:pos="540"/>
          <w:tab w:val="left" w:pos="569"/>
        </w:tabs>
        <w:jc w:val="both"/>
        <w:rPr>
          <w:bCs/>
          <w:sz w:val="22"/>
          <w:szCs w:val="22"/>
          <w:lang w:val="sr-Latn-ME"/>
        </w:rPr>
      </w:pPr>
      <w:r w:rsidRPr="0056436C">
        <w:rPr>
          <w:bCs/>
          <w:sz w:val="22"/>
          <w:szCs w:val="22"/>
          <w:lang w:val="sr-Latn-ME"/>
        </w:rPr>
        <w:t xml:space="preserve">U jednoj dvodnevnoj studiji na zdravim dobrovoljcima, sitagliptin, kada je primjenjivan kao monoterapija, doveo </w:t>
      </w:r>
      <w:r w:rsidR="00F162CA" w:rsidRPr="0056436C">
        <w:rPr>
          <w:bCs/>
          <w:sz w:val="22"/>
          <w:szCs w:val="22"/>
          <w:lang w:val="sr-Latn-ME"/>
        </w:rPr>
        <w:t xml:space="preserve">je </w:t>
      </w:r>
      <w:r w:rsidRPr="0056436C">
        <w:rPr>
          <w:bCs/>
          <w:sz w:val="22"/>
          <w:szCs w:val="22"/>
          <w:lang w:val="sr-Latn-ME"/>
        </w:rPr>
        <w:t>do povećanja koncentracija aktivnog GLP-1, a monoterapija metforminom je dovela do sličnog povećanja koncentracija aktivnog i ukupnog GLP-1. Istovremena primjena sitagliptina i metformina je ispoljila aditivan efekat na koncentracije aktivnog GLP-1. Sitagliptin je doveo do povećanja koncentracije aktivnog GIP, dok to nije bio slučaj sa metforminom.</w:t>
      </w:r>
    </w:p>
    <w:p w:rsidR="00B7667C" w:rsidRPr="0056436C" w:rsidRDefault="00B7667C" w:rsidP="0056436C">
      <w:pPr>
        <w:tabs>
          <w:tab w:val="left" w:pos="540"/>
          <w:tab w:val="left" w:pos="569"/>
        </w:tabs>
        <w:jc w:val="both"/>
        <w:rPr>
          <w:bCs/>
          <w:sz w:val="22"/>
          <w:szCs w:val="22"/>
          <w:lang w:val="sr-Latn-ME"/>
        </w:rPr>
      </w:pPr>
    </w:p>
    <w:p w:rsidR="00B7667C" w:rsidRPr="0056436C" w:rsidRDefault="00B7667C" w:rsidP="0056436C">
      <w:pPr>
        <w:tabs>
          <w:tab w:val="left" w:pos="540"/>
          <w:tab w:val="left" w:pos="569"/>
        </w:tabs>
        <w:jc w:val="both"/>
        <w:rPr>
          <w:bCs/>
          <w:sz w:val="22"/>
          <w:szCs w:val="22"/>
          <w:lang w:val="sr-Latn-ME"/>
        </w:rPr>
      </w:pPr>
      <w:r w:rsidRPr="0056436C">
        <w:rPr>
          <w:bCs/>
          <w:sz w:val="22"/>
          <w:szCs w:val="22"/>
          <w:u w:val="single"/>
          <w:lang w:val="sr-Latn-ME"/>
        </w:rPr>
        <w:t>Klinička efikasnost i bezbjednost</w:t>
      </w:r>
    </w:p>
    <w:p w:rsidR="00B7667C" w:rsidRPr="0056436C" w:rsidRDefault="00B7667C" w:rsidP="0056436C">
      <w:pPr>
        <w:tabs>
          <w:tab w:val="left" w:pos="540"/>
          <w:tab w:val="left" w:pos="569"/>
        </w:tabs>
        <w:jc w:val="both"/>
        <w:rPr>
          <w:bCs/>
          <w:sz w:val="22"/>
          <w:szCs w:val="22"/>
          <w:lang w:val="sr-Latn-ME"/>
        </w:rPr>
      </w:pPr>
    </w:p>
    <w:p w:rsidR="00B7667C" w:rsidRPr="0056436C" w:rsidRDefault="00B7667C" w:rsidP="0056436C">
      <w:pPr>
        <w:tabs>
          <w:tab w:val="left" w:pos="540"/>
          <w:tab w:val="left" w:pos="569"/>
        </w:tabs>
        <w:jc w:val="both"/>
        <w:rPr>
          <w:bCs/>
          <w:sz w:val="22"/>
          <w:szCs w:val="22"/>
          <w:lang w:val="sr-Latn-ME"/>
        </w:rPr>
      </w:pPr>
      <w:r w:rsidRPr="0056436C">
        <w:rPr>
          <w:bCs/>
          <w:sz w:val="22"/>
          <w:szCs w:val="22"/>
          <w:lang w:val="sr-Latn-ME"/>
        </w:rPr>
        <w:t xml:space="preserve">Sveukupno, sitagliptin je doveo do poboljšanja kontrole glikemije </w:t>
      </w:r>
      <w:r w:rsidR="00F162CA" w:rsidRPr="0056436C">
        <w:rPr>
          <w:bCs/>
          <w:sz w:val="22"/>
          <w:szCs w:val="22"/>
          <w:lang w:val="sr-Latn-ME"/>
        </w:rPr>
        <w:t xml:space="preserve">kod odraslih pacijenata sa dijabetesom tip 2 </w:t>
      </w:r>
      <w:r w:rsidRPr="0056436C">
        <w:rPr>
          <w:bCs/>
          <w:sz w:val="22"/>
          <w:szCs w:val="22"/>
          <w:lang w:val="sr-Latn-ME"/>
        </w:rPr>
        <w:t>kada je primjenjivan kao monoterapija ili u kombinaciji sa drugim ljekovima (vidjeti Tabelu 2).</w:t>
      </w:r>
    </w:p>
    <w:p w:rsidR="00B7667C" w:rsidRPr="0056436C" w:rsidRDefault="00B7667C" w:rsidP="0056436C">
      <w:pPr>
        <w:tabs>
          <w:tab w:val="left" w:pos="540"/>
          <w:tab w:val="left" w:pos="569"/>
        </w:tabs>
        <w:jc w:val="both"/>
        <w:rPr>
          <w:bCs/>
          <w:sz w:val="22"/>
          <w:szCs w:val="22"/>
          <w:lang w:val="sr-Latn-ME"/>
        </w:rPr>
      </w:pPr>
    </w:p>
    <w:p w:rsidR="00B7667C" w:rsidRPr="0056436C" w:rsidRDefault="00B7667C" w:rsidP="0056436C">
      <w:pPr>
        <w:tabs>
          <w:tab w:val="left" w:pos="540"/>
          <w:tab w:val="left" w:pos="569"/>
        </w:tabs>
        <w:jc w:val="both"/>
        <w:rPr>
          <w:bCs/>
          <w:i/>
          <w:sz w:val="22"/>
          <w:szCs w:val="22"/>
          <w:lang w:val="sr-Latn-ME"/>
        </w:rPr>
      </w:pPr>
      <w:r w:rsidRPr="0056436C">
        <w:rPr>
          <w:bCs/>
          <w:sz w:val="22"/>
          <w:szCs w:val="22"/>
          <w:lang w:val="sr-Latn-ME"/>
        </w:rPr>
        <w:t>Sprovedene su dvije studije za procjenu efikasnosti i bezbjednosti monoterapije sitagliptinom. U poređenju sa placebom, monoterapija sitagliptinom u dozi od 100 mg jednom dnevno dovela je do značajnog poboljšanja vrijednosti HbA</w:t>
      </w:r>
      <w:r w:rsidRPr="0056436C">
        <w:rPr>
          <w:bCs/>
          <w:sz w:val="22"/>
          <w:szCs w:val="22"/>
          <w:vertAlign w:val="subscript"/>
          <w:lang w:val="sr-Latn-ME"/>
        </w:rPr>
        <w:t>1c</w:t>
      </w:r>
      <w:r w:rsidRPr="0056436C">
        <w:rPr>
          <w:bCs/>
          <w:sz w:val="22"/>
          <w:szCs w:val="22"/>
          <w:lang w:val="sr-Latn-ME"/>
        </w:rPr>
        <w:t>, koncentracije glukoze na</w:t>
      </w:r>
      <w:r w:rsidR="00565447" w:rsidRPr="0056436C">
        <w:rPr>
          <w:bCs/>
          <w:sz w:val="22"/>
          <w:szCs w:val="22"/>
          <w:lang w:val="sr-Latn-ME"/>
        </w:rPr>
        <w:t>tašte</w:t>
      </w:r>
      <w:r w:rsidRPr="0056436C">
        <w:rPr>
          <w:bCs/>
          <w:sz w:val="22"/>
          <w:szCs w:val="22"/>
          <w:lang w:val="sr-Latn-ME"/>
        </w:rPr>
        <w:t xml:space="preserve"> (</w:t>
      </w:r>
      <w:r w:rsidR="00565447" w:rsidRPr="0056436C">
        <w:rPr>
          <w:bCs/>
          <w:sz w:val="22"/>
          <w:szCs w:val="22"/>
          <w:lang w:val="sr-Latn-ME"/>
        </w:rPr>
        <w:t xml:space="preserve">engl. </w:t>
      </w:r>
      <w:r w:rsidR="00565447" w:rsidRPr="0056436C">
        <w:rPr>
          <w:bCs/>
          <w:i/>
          <w:sz w:val="22"/>
          <w:szCs w:val="22"/>
          <w:lang w:val="sr-Latn-ME"/>
        </w:rPr>
        <w:t>fasting plasma glucose</w:t>
      </w:r>
      <w:r w:rsidR="00565447" w:rsidRPr="0056436C">
        <w:rPr>
          <w:bCs/>
          <w:sz w:val="22"/>
          <w:szCs w:val="22"/>
          <w:lang w:val="sr-Latn-ME"/>
        </w:rPr>
        <w:t xml:space="preserve">, </w:t>
      </w:r>
      <w:r w:rsidRPr="0056436C">
        <w:rPr>
          <w:bCs/>
          <w:sz w:val="22"/>
          <w:szCs w:val="22"/>
          <w:lang w:val="sr-Latn-ME"/>
        </w:rPr>
        <w:t xml:space="preserve">FPG) i koncentracije postprandijalne glukoze dva sata nakon jela, u dvije kliničke studije, od kojih je jedna trajala 18 nedjelja, a druga 24 nedjelje. Uočeno je poboljšanje surogat markera funkcije beta ćelija, uključujući </w:t>
      </w:r>
      <w:r w:rsidR="00565447" w:rsidRPr="0056436C">
        <w:rPr>
          <w:bCs/>
          <w:sz w:val="22"/>
          <w:szCs w:val="22"/>
          <w:lang w:val="sr-Latn-ME"/>
        </w:rPr>
        <w:t xml:space="preserve">procjenu modela homeostaze beta ćelija </w:t>
      </w:r>
      <w:r w:rsidRPr="0056436C">
        <w:rPr>
          <w:bCs/>
          <w:sz w:val="22"/>
          <w:szCs w:val="22"/>
          <w:lang w:val="sr-Latn-ME"/>
        </w:rPr>
        <w:t>(</w:t>
      </w:r>
      <w:r w:rsidR="00565447" w:rsidRPr="0056436C">
        <w:rPr>
          <w:bCs/>
          <w:sz w:val="22"/>
          <w:szCs w:val="22"/>
          <w:lang w:val="sr-Latn-ME"/>
        </w:rPr>
        <w:t xml:space="preserve">engl. </w:t>
      </w:r>
      <w:r w:rsidR="00565447" w:rsidRPr="0056436C">
        <w:rPr>
          <w:bCs/>
          <w:i/>
          <w:sz w:val="22"/>
          <w:szCs w:val="22"/>
          <w:lang w:val="sr-Latn-ME"/>
        </w:rPr>
        <w:t>Homeostasis Model Assessment-β</w:t>
      </w:r>
      <w:r w:rsidR="00565447" w:rsidRPr="0056436C">
        <w:rPr>
          <w:bCs/>
          <w:sz w:val="22"/>
          <w:szCs w:val="22"/>
          <w:lang w:val="sr-Latn-ME"/>
        </w:rPr>
        <w:t>,</w:t>
      </w:r>
      <w:r w:rsidR="00565447" w:rsidRPr="0056436C" w:rsidDel="00565447">
        <w:rPr>
          <w:bCs/>
          <w:sz w:val="22"/>
          <w:szCs w:val="22"/>
          <w:lang w:val="sr-Latn-ME"/>
        </w:rPr>
        <w:t xml:space="preserve"> </w:t>
      </w:r>
      <w:r w:rsidR="00565447" w:rsidRPr="0056436C">
        <w:rPr>
          <w:bCs/>
          <w:sz w:val="22"/>
          <w:szCs w:val="22"/>
          <w:lang w:val="sr-Latn-ME"/>
        </w:rPr>
        <w:t>HOMA–β</w:t>
      </w:r>
      <w:r w:rsidRPr="0056436C">
        <w:rPr>
          <w:bCs/>
          <w:sz w:val="22"/>
          <w:szCs w:val="22"/>
          <w:lang w:val="sr-Latn-ME"/>
        </w:rPr>
        <w:t xml:space="preserve">), odnos proinsulina i insulina, i </w:t>
      </w:r>
      <w:r w:rsidR="00565447" w:rsidRPr="0056436C">
        <w:rPr>
          <w:bCs/>
          <w:sz w:val="22"/>
          <w:szCs w:val="22"/>
          <w:lang w:val="sr-Latn-ME"/>
        </w:rPr>
        <w:t xml:space="preserve">mjere </w:t>
      </w:r>
      <w:r w:rsidRPr="0056436C">
        <w:rPr>
          <w:bCs/>
          <w:sz w:val="22"/>
          <w:szCs w:val="22"/>
          <w:lang w:val="sr-Latn-ME"/>
        </w:rPr>
        <w:t xml:space="preserve">odgovora beta ćelija na osnovu testa </w:t>
      </w:r>
      <w:r w:rsidR="00565447" w:rsidRPr="0056436C">
        <w:rPr>
          <w:bCs/>
          <w:sz w:val="22"/>
          <w:szCs w:val="22"/>
          <w:lang w:val="sr-Latn-ME"/>
        </w:rPr>
        <w:t>podnošljivosti često uzorkovanih obroka</w:t>
      </w:r>
      <w:r w:rsidRPr="0056436C">
        <w:rPr>
          <w:bCs/>
          <w:sz w:val="22"/>
          <w:szCs w:val="22"/>
          <w:lang w:val="sr-Latn-ME"/>
        </w:rPr>
        <w:t>. Uočena učestalost hipoglikemije kod pacijenata koji su primali sitagliptin bila je slična onoj kod ispitanika koji su dobijali placebo. Nije došlo do porasta tjelesne mase u odnosu na vrijednost na početku ispitivanja kod pacijenata koji su primali sitagliptin u obe studije, u poređenju sa malim smanjenjem tjelesne mase u grupi koja je dobijala placebo.</w:t>
      </w:r>
    </w:p>
    <w:p w:rsidR="00B7667C" w:rsidRPr="0056436C" w:rsidRDefault="00B7667C" w:rsidP="0056436C">
      <w:pPr>
        <w:tabs>
          <w:tab w:val="left" w:pos="540"/>
          <w:tab w:val="left" w:pos="569"/>
        </w:tabs>
        <w:jc w:val="both"/>
        <w:rPr>
          <w:bCs/>
          <w:sz w:val="22"/>
          <w:szCs w:val="22"/>
          <w:lang w:val="sr-Latn-ME"/>
        </w:rPr>
      </w:pPr>
    </w:p>
    <w:p w:rsidR="00B7667C" w:rsidRPr="0056436C" w:rsidRDefault="00B7667C" w:rsidP="0056436C">
      <w:pPr>
        <w:tabs>
          <w:tab w:val="left" w:pos="540"/>
          <w:tab w:val="left" w:pos="569"/>
        </w:tabs>
        <w:jc w:val="both"/>
        <w:rPr>
          <w:bCs/>
          <w:sz w:val="22"/>
          <w:szCs w:val="22"/>
          <w:lang w:val="sr-Latn-ME"/>
        </w:rPr>
      </w:pPr>
      <w:r w:rsidRPr="0056436C">
        <w:rPr>
          <w:bCs/>
          <w:sz w:val="22"/>
          <w:szCs w:val="22"/>
          <w:lang w:val="sr-Latn-ME"/>
        </w:rPr>
        <w:t>U dvije 24-nedjeljne studije u kojima je sitagliptin primjenjivan kao dodatna terapija – u jednoj studiji u kombinaciji sa metforminom, a u drugoj u kombinaciji sa pioglitazonom</w:t>
      </w:r>
      <w:r w:rsidR="00565447" w:rsidRPr="0056436C">
        <w:rPr>
          <w:bCs/>
          <w:sz w:val="22"/>
          <w:szCs w:val="22"/>
          <w:lang w:val="sr-Latn-ME"/>
        </w:rPr>
        <w:t>,</w:t>
      </w:r>
      <w:r w:rsidRPr="0056436C">
        <w:rPr>
          <w:bCs/>
          <w:sz w:val="22"/>
          <w:szCs w:val="22"/>
          <w:lang w:val="sr-Latn-ME"/>
        </w:rPr>
        <w:t xml:space="preserve"> terapija sitagliptinom u dozi od 100 mg jednom dnevno dovela je do značajnog poboljšanja glikemijskih parametara u poređenju sa placebom. Promjena u tjelesnoj masi u odnosu na vrijednost na početku ispitivanja bila je slična kod pacijenata koji su primali sitagliptin i kod onih koji su dobijali placebo. U ovim studijama zabilježena je slična učestalost hipoglikemije kod pacijenata koji su primali sitagliptin i u grupi koja je dobijala placebo.</w:t>
      </w:r>
    </w:p>
    <w:p w:rsidR="00B7667C" w:rsidRPr="0056436C" w:rsidRDefault="00B7667C" w:rsidP="0056436C">
      <w:pPr>
        <w:tabs>
          <w:tab w:val="left" w:pos="540"/>
          <w:tab w:val="left" w:pos="569"/>
        </w:tabs>
        <w:jc w:val="both"/>
        <w:rPr>
          <w:bCs/>
          <w:sz w:val="22"/>
          <w:szCs w:val="22"/>
          <w:lang w:val="sr-Latn-ME"/>
        </w:rPr>
      </w:pPr>
    </w:p>
    <w:p w:rsidR="00B7667C" w:rsidRPr="0056436C" w:rsidRDefault="00B7667C" w:rsidP="0056436C">
      <w:pPr>
        <w:tabs>
          <w:tab w:val="left" w:pos="540"/>
          <w:tab w:val="left" w:pos="569"/>
        </w:tabs>
        <w:jc w:val="both"/>
        <w:rPr>
          <w:bCs/>
          <w:sz w:val="22"/>
          <w:szCs w:val="22"/>
          <w:lang w:val="sr-Latn-ME"/>
        </w:rPr>
      </w:pPr>
      <w:r w:rsidRPr="0056436C">
        <w:rPr>
          <w:bCs/>
          <w:sz w:val="22"/>
          <w:szCs w:val="22"/>
          <w:lang w:val="sr-Latn-ME"/>
        </w:rPr>
        <w:t>24-nedjeljno, placebo</w:t>
      </w:r>
      <w:r w:rsidR="001E3FCA" w:rsidRPr="0056436C">
        <w:rPr>
          <w:bCs/>
          <w:sz w:val="22"/>
          <w:szCs w:val="22"/>
          <w:lang w:val="sr-Latn-ME"/>
        </w:rPr>
        <w:t xml:space="preserve">m </w:t>
      </w:r>
      <w:r w:rsidRPr="0056436C">
        <w:rPr>
          <w:bCs/>
          <w:sz w:val="22"/>
          <w:szCs w:val="22"/>
          <w:lang w:val="sr-Latn-ME"/>
        </w:rPr>
        <w:t xml:space="preserve">kontrolisano ispitivanje je dizajnirano da </w:t>
      </w:r>
      <w:r w:rsidR="001E3FCA" w:rsidRPr="0056436C">
        <w:rPr>
          <w:bCs/>
          <w:sz w:val="22"/>
          <w:szCs w:val="22"/>
          <w:lang w:val="sr-Latn-ME"/>
        </w:rPr>
        <w:t xml:space="preserve">bi se </w:t>
      </w:r>
      <w:r w:rsidRPr="0056436C">
        <w:rPr>
          <w:bCs/>
          <w:sz w:val="22"/>
          <w:szCs w:val="22"/>
          <w:lang w:val="sr-Latn-ME"/>
        </w:rPr>
        <w:t>procijeni</w:t>
      </w:r>
      <w:r w:rsidR="001E3FCA" w:rsidRPr="0056436C">
        <w:rPr>
          <w:bCs/>
          <w:sz w:val="22"/>
          <w:szCs w:val="22"/>
          <w:lang w:val="sr-Latn-ME"/>
        </w:rPr>
        <w:t>le</w:t>
      </w:r>
      <w:r w:rsidRPr="0056436C">
        <w:rPr>
          <w:bCs/>
          <w:sz w:val="22"/>
          <w:szCs w:val="22"/>
          <w:lang w:val="sr-Latn-ME"/>
        </w:rPr>
        <w:t xml:space="preserve"> efikasnost i bezbjednost sitagliptina (u dozi od 100 mg jednom dnevno)</w:t>
      </w:r>
      <w:r w:rsidR="001E3FCA" w:rsidRPr="0056436C">
        <w:rPr>
          <w:bCs/>
          <w:sz w:val="22"/>
          <w:szCs w:val="22"/>
          <w:lang w:val="sr-Latn-ME"/>
        </w:rPr>
        <w:t>,</w:t>
      </w:r>
      <w:r w:rsidRPr="0056436C">
        <w:rPr>
          <w:bCs/>
          <w:sz w:val="22"/>
          <w:szCs w:val="22"/>
          <w:lang w:val="sr-Latn-ME"/>
        </w:rPr>
        <w:t xml:space="preserve"> koji je primjenjivan kao dodatna terapija monoterapiji glimepiridom ili kombinovanoj terapiji glimepiridom i metforminom. Dodavanje sitagliptina i monoterapiji glimepiridom i kombinovanoj terapiji glimepiridom i metforminom dovelo je do značajnog poboljšanja u glikemijskim parametrima. Kod pacijenata koji su primali sitagliptin zabilježeno je malo povećanje tjelesne mase u poređenju sa ispitanicima koji su dobijali placebo.</w:t>
      </w:r>
    </w:p>
    <w:p w:rsidR="00B7667C" w:rsidRPr="0056436C" w:rsidRDefault="00B7667C" w:rsidP="0056436C">
      <w:pPr>
        <w:tabs>
          <w:tab w:val="left" w:pos="540"/>
          <w:tab w:val="left" w:pos="569"/>
        </w:tabs>
        <w:jc w:val="both"/>
        <w:rPr>
          <w:bCs/>
          <w:sz w:val="22"/>
          <w:szCs w:val="22"/>
          <w:lang w:val="sr-Latn-ME"/>
        </w:rPr>
      </w:pPr>
    </w:p>
    <w:p w:rsidR="00B7667C" w:rsidRPr="0056436C" w:rsidRDefault="00B7667C" w:rsidP="0056436C">
      <w:pPr>
        <w:tabs>
          <w:tab w:val="left" w:pos="540"/>
          <w:tab w:val="left" w:pos="569"/>
        </w:tabs>
        <w:jc w:val="both"/>
        <w:rPr>
          <w:bCs/>
          <w:sz w:val="22"/>
          <w:szCs w:val="22"/>
          <w:lang w:val="sr-Latn-ME"/>
        </w:rPr>
      </w:pPr>
      <w:r w:rsidRPr="0056436C">
        <w:rPr>
          <w:bCs/>
          <w:sz w:val="22"/>
          <w:szCs w:val="22"/>
          <w:lang w:val="sr-Latn-ME"/>
        </w:rPr>
        <w:t>26-nedjeljno, placebo</w:t>
      </w:r>
      <w:r w:rsidR="001E3FCA" w:rsidRPr="0056436C">
        <w:rPr>
          <w:bCs/>
          <w:sz w:val="22"/>
          <w:szCs w:val="22"/>
          <w:lang w:val="sr-Latn-ME"/>
        </w:rPr>
        <w:t xml:space="preserve">m </w:t>
      </w:r>
      <w:r w:rsidRPr="0056436C">
        <w:rPr>
          <w:bCs/>
          <w:sz w:val="22"/>
          <w:szCs w:val="22"/>
          <w:lang w:val="sr-Latn-ME"/>
        </w:rPr>
        <w:t xml:space="preserve">kontrolisano ispitivanje dizajnirano je da </w:t>
      </w:r>
      <w:r w:rsidR="001E3FCA" w:rsidRPr="0056436C">
        <w:rPr>
          <w:bCs/>
          <w:sz w:val="22"/>
          <w:szCs w:val="22"/>
          <w:lang w:val="sr-Latn-ME"/>
        </w:rPr>
        <w:t xml:space="preserve">bi se </w:t>
      </w:r>
      <w:r w:rsidRPr="0056436C">
        <w:rPr>
          <w:bCs/>
          <w:sz w:val="22"/>
          <w:szCs w:val="22"/>
          <w:lang w:val="sr-Latn-ME"/>
        </w:rPr>
        <w:t>procijeni</w:t>
      </w:r>
      <w:r w:rsidR="001E3FCA" w:rsidRPr="0056436C">
        <w:rPr>
          <w:bCs/>
          <w:sz w:val="22"/>
          <w:szCs w:val="22"/>
          <w:lang w:val="sr-Latn-ME"/>
        </w:rPr>
        <w:t>le</w:t>
      </w:r>
      <w:r w:rsidRPr="0056436C">
        <w:rPr>
          <w:bCs/>
          <w:sz w:val="22"/>
          <w:szCs w:val="22"/>
          <w:lang w:val="sr-Latn-ME"/>
        </w:rPr>
        <w:t xml:space="preserve"> efikasnost i bezbjednost sitagliptina (u dozi od 100 mg jednom dnevno)</w:t>
      </w:r>
      <w:r w:rsidR="001E3FCA" w:rsidRPr="0056436C">
        <w:rPr>
          <w:bCs/>
          <w:sz w:val="22"/>
          <w:szCs w:val="22"/>
          <w:lang w:val="sr-Latn-ME"/>
        </w:rPr>
        <w:t>,</w:t>
      </w:r>
      <w:r w:rsidRPr="0056436C">
        <w:rPr>
          <w:bCs/>
          <w:sz w:val="22"/>
          <w:szCs w:val="22"/>
          <w:lang w:val="sr-Latn-ME"/>
        </w:rPr>
        <w:t xml:space="preserve"> koji je primjenjivan kao dodatna terapija kombinovanoj terapiji pioglitazonom i metforminom. Dodavanje sitagliptina pioglitazonu i metforminu dovelo je do značajnog poboljšanja u glikemijskim parametrima. Promjena u tjelesnoj masi u odnosu na vrijednost na početku ispitivanja bila je slična kod pacijenata koji su primali sitagliptin i kod onih koji su dobijali placebo. Takođe, učestalost pojave hipoglikemije bila je slična kod pacijenata koji su primali sitagliptin i onih koji su primali placebo.</w:t>
      </w:r>
    </w:p>
    <w:p w:rsidR="00B7667C" w:rsidRPr="0056436C" w:rsidRDefault="00B7667C" w:rsidP="0056436C">
      <w:pPr>
        <w:tabs>
          <w:tab w:val="left" w:pos="540"/>
          <w:tab w:val="left" w:pos="569"/>
        </w:tabs>
        <w:jc w:val="both"/>
        <w:rPr>
          <w:bCs/>
          <w:sz w:val="22"/>
          <w:szCs w:val="22"/>
          <w:lang w:val="sr-Latn-ME"/>
        </w:rPr>
      </w:pPr>
    </w:p>
    <w:p w:rsidR="00B7667C" w:rsidRPr="0056436C" w:rsidRDefault="00B7667C" w:rsidP="0056436C">
      <w:pPr>
        <w:tabs>
          <w:tab w:val="left" w:pos="540"/>
          <w:tab w:val="left" w:pos="569"/>
        </w:tabs>
        <w:jc w:val="both"/>
        <w:rPr>
          <w:bCs/>
          <w:sz w:val="22"/>
          <w:szCs w:val="22"/>
          <w:lang w:val="sr-Latn-ME"/>
        </w:rPr>
      </w:pPr>
      <w:r w:rsidRPr="0056436C">
        <w:rPr>
          <w:bCs/>
          <w:sz w:val="22"/>
          <w:szCs w:val="22"/>
          <w:lang w:val="sr-Latn-ME"/>
        </w:rPr>
        <w:t>24-nedjeljno, placebo</w:t>
      </w:r>
      <w:r w:rsidR="001E3FCA" w:rsidRPr="0056436C">
        <w:rPr>
          <w:bCs/>
          <w:sz w:val="22"/>
          <w:szCs w:val="22"/>
          <w:lang w:val="sr-Latn-ME"/>
        </w:rPr>
        <w:t xml:space="preserve">m </w:t>
      </w:r>
      <w:r w:rsidRPr="0056436C">
        <w:rPr>
          <w:bCs/>
          <w:sz w:val="22"/>
          <w:szCs w:val="22"/>
          <w:lang w:val="sr-Latn-ME"/>
        </w:rPr>
        <w:t xml:space="preserve">kontrolisano ispitivanje je dizajnirano da </w:t>
      </w:r>
      <w:r w:rsidR="001E3FCA" w:rsidRPr="0056436C">
        <w:rPr>
          <w:bCs/>
          <w:sz w:val="22"/>
          <w:szCs w:val="22"/>
          <w:lang w:val="sr-Latn-ME"/>
        </w:rPr>
        <w:t xml:space="preserve">bi se </w:t>
      </w:r>
      <w:r w:rsidRPr="0056436C">
        <w:rPr>
          <w:bCs/>
          <w:sz w:val="22"/>
          <w:szCs w:val="22"/>
          <w:lang w:val="sr-Latn-ME"/>
        </w:rPr>
        <w:t>procijeni</w:t>
      </w:r>
      <w:r w:rsidR="001E3FCA" w:rsidRPr="0056436C">
        <w:rPr>
          <w:bCs/>
          <w:sz w:val="22"/>
          <w:szCs w:val="22"/>
          <w:lang w:val="sr-Latn-ME"/>
        </w:rPr>
        <w:t>le</w:t>
      </w:r>
      <w:r w:rsidRPr="0056436C">
        <w:rPr>
          <w:bCs/>
          <w:sz w:val="22"/>
          <w:szCs w:val="22"/>
          <w:lang w:val="sr-Latn-ME"/>
        </w:rPr>
        <w:t xml:space="preserve"> efikasnost i bezbjednost sitagliptina (u dozi od 100 mg jednom dnevno), koji je primjenjivan kao dodatna terapija insulinu (u stabilnoj dozi tokom najmanje 10 nedjelja), sa </w:t>
      </w:r>
      <w:r w:rsidR="001E3FCA" w:rsidRPr="0056436C">
        <w:rPr>
          <w:bCs/>
          <w:sz w:val="22"/>
          <w:szCs w:val="22"/>
          <w:lang w:val="sr-Latn-ME"/>
        </w:rPr>
        <w:t xml:space="preserve">metforminom </w:t>
      </w:r>
      <w:r w:rsidRPr="0056436C">
        <w:rPr>
          <w:bCs/>
          <w:sz w:val="22"/>
          <w:szCs w:val="22"/>
          <w:lang w:val="sr-Latn-ME"/>
        </w:rPr>
        <w:t>ili bez</w:t>
      </w:r>
      <w:r w:rsidR="001E3FCA" w:rsidRPr="0056436C">
        <w:rPr>
          <w:bCs/>
          <w:sz w:val="22"/>
          <w:szCs w:val="22"/>
          <w:lang w:val="sr-Latn-ME"/>
        </w:rPr>
        <w:t xml:space="preserve"> njega</w:t>
      </w:r>
      <w:r w:rsidRPr="0056436C">
        <w:rPr>
          <w:bCs/>
          <w:sz w:val="22"/>
          <w:szCs w:val="22"/>
          <w:lang w:val="sr-Latn-ME"/>
        </w:rPr>
        <w:t xml:space="preserve"> (u dozi od najmanje 1500 mg). Kod pacijenata koji su primali fiksnu mješavinu insulina („</w:t>
      </w:r>
      <w:r w:rsidRPr="0056436C">
        <w:rPr>
          <w:bCs/>
          <w:i/>
          <w:sz w:val="22"/>
          <w:szCs w:val="22"/>
          <w:lang w:val="sr-Latn-ME"/>
        </w:rPr>
        <w:t>pre-mixed</w:t>
      </w:r>
      <w:r w:rsidRPr="0056436C">
        <w:rPr>
          <w:bCs/>
          <w:sz w:val="22"/>
          <w:szCs w:val="22"/>
          <w:lang w:val="sr-Latn-ME"/>
        </w:rPr>
        <w:t>“), srednja dnevna doza je bila 70,9 i.j./dan. Kod pacijenata koji ni</w:t>
      </w:r>
      <w:r w:rsidR="001E3FCA" w:rsidRPr="0056436C">
        <w:rPr>
          <w:bCs/>
          <w:sz w:val="22"/>
          <w:szCs w:val="22"/>
          <w:lang w:val="sr-Latn-ME"/>
        </w:rPr>
        <w:t>je</w:t>
      </w:r>
      <w:r w:rsidRPr="0056436C">
        <w:rPr>
          <w:bCs/>
          <w:sz w:val="22"/>
          <w:szCs w:val="22"/>
          <w:lang w:val="sr-Latn-ME"/>
        </w:rPr>
        <w:t xml:space="preserve">su primali fiksnu mješavinu insulina (primali su srednjedjelujući ili dugodjelujući insulin), srednja dnevna doza je bila 44,3 i.j./dan. Dodavanje </w:t>
      </w:r>
      <w:r w:rsidRPr="0056436C">
        <w:rPr>
          <w:bCs/>
          <w:sz w:val="22"/>
          <w:szCs w:val="22"/>
          <w:lang w:val="sr-Latn-ME"/>
        </w:rPr>
        <w:lastRenderedPageBreak/>
        <w:t>sitagliptina insulinu ostvarilo je značajno poboljšanje u glikemijskim parametrima. Promjena u tjelesnoj masi u odnosu na vrijednost na početku ispitivanja u obje grupe nije bila značajna.</w:t>
      </w:r>
    </w:p>
    <w:p w:rsidR="00B7667C" w:rsidRPr="0056436C" w:rsidRDefault="00B7667C" w:rsidP="0056436C">
      <w:pPr>
        <w:tabs>
          <w:tab w:val="left" w:pos="540"/>
          <w:tab w:val="left" w:pos="569"/>
        </w:tabs>
        <w:jc w:val="both"/>
        <w:rPr>
          <w:bCs/>
          <w:sz w:val="22"/>
          <w:szCs w:val="22"/>
          <w:lang w:val="sr-Latn-ME"/>
        </w:rPr>
      </w:pPr>
    </w:p>
    <w:p w:rsidR="00B7667C" w:rsidRPr="0056436C" w:rsidRDefault="00B7667C" w:rsidP="0056436C">
      <w:pPr>
        <w:tabs>
          <w:tab w:val="left" w:pos="540"/>
          <w:tab w:val="left" w:pos="569"/>
        </w:tabs>
        <w:jc w:val="both"/>
        <w:rPr>
          <w:bCs/>
          <w:sz w:val="22"/>
          <w:szCs w:val="22"/>
          <w:lang w:val="sr-Latn-ME"/>
        </w:rPr>
      </w:pPr>
      <w:r w:rsidRPr="0056436C">
        <w:rPr>
          <w:bCs/>
          <w:sz w:val="22"/>
          <w:szCs w:val="22"/>
          <w:lang w:val="sr-Latn-ME"/>
        </w:rPr>
        <w:t>U 24-nedjeljnom, placebom</w:t>
      </w:r>
      <w:r w:rsidR="001E3FCA" w:rsidRPr="0056436C">
        <w:rPr>
          <w:bCs/>
          <w:sz w:val="22"/>
          <w:szCs w:val="22"/>
          <w:lang w:val="sr-Latn-ME"/>
        </w:rPr>
        <w:t xml:space="preserve"> </w:t>
      </w:r>
      <w:r w:rsidRPr="0056436C">
        <w:rPr>
          <w:bCs/>
          <w:sz w:val="22"/>
          <w:szCs w:val="22"/>
          <w:lang w:val="sr-Latn-ME"/>
        </w:rPr>
        <w:t xml:space="preserve">kontrolisanom, faktorijalnom ispitivanju inicijalne terapije, sitagliptin je primjenjivan u dozi od 50 mg dva puta dnevno u kombinaciji sa metforminom (500 mg ili 1000 mg dva puta dnevno). Uočeno je značajno poboljšanje u glikemijskim parametrima u odnosu na monoterapiju </w:t>
      </w:r>
      <w:r w:rsidR="001E3FCA" w:rsidRPr="0056436C">
        <w:rPr>
          <w:bCs/>
          <w:sz w:val="22"/>
          <w:szCs w:val="22"/>
          <w:lang w:val="sr-Latn-ME"/>
        </w:rPr>
        <w:t>ovim</w:t>
      </w:r>
      <w:r w:rsidRPr="0056436C">
        <w:rPr>
          <w:bCs/>
          <w:sz w:val="22"/>
          <w:szCs w:val="22"/>
          <w:lang w:val="sr-Latn-ME"/>
        </w:rPr>
        <w:t xml:space="preserve"> ljek</w:t>
      </w:r>
      <w:r w:rsidR="001E3FCA" w:rsidRPr="0056436C">
        <w:rPr>
          <w:bCs/>
          <w:sz w:val="22"/>
          <w:szCs w:val="22"/>
          <w:lang w:val="sr-Latn-ME"/>
        </w:rPr>
        <w:t>ovim</w:t>
      </w:r>
      <w:r w:rsidRPr="0056436C">
        <w:rPr>
          <w:bCs/>
          <w:sz w:val="22"/>
          <w:szCs w:val="22"/>
          <w:lang w:val="sr-Latn-ME"/>
        </w:rPr>
        <w:t>a. Smanjenje tjelesne mase kod pacijenata koji su primali kombinaciju sitagliptina i metformina bilo je slično kao i kod onih koji su primali samo metformin ili placebo. Ni</w:t>
      </w:r>
      <w:r w:rsidR="001E3FCA" w:rsidRPr="0056436C">
        <w:rPr>
          <w:bCs/>
          <w:sz w:val="22"/>
          <w:szCs w:val="22"/>
          <w:lang w:val="sr-Latn-ME"/>
        </w:rPr>
        <w:t>je</w:t>
      </w:r>
      <w:r w:rsidRPr="0056436C">
        <w:rPr>
          <w:bCs/>
          <w:sz w:val="22"/>
          <w:szCs w:val="22"/>
          <w:lang w:val="sr-Latn-ME"/>
        </w:rPr>
        <w:t>su uočene promjene u odnosu na vrijednost na početku ispitivanja kod pacijenata koji su primali samo sitagliptin. Učestalost hipoglikemije bila je slična u svim terapijskim grupama.</w:t>
      </w:r>
    </w:p>
    <w:p w:rsidR="00B7667C" w:rsidRPr="0056436C" w:rsidRDefault="00B7667C" w:rsidP="0056436C">
      <w:pPr>
        <w:tabs>
          <w:tab w:val="left" w:pos="540"/>
          <w:tab w:val="left" w:pos="569"/>
        </w:tabs>
        <w:rPr>
          <w:bCs/>
          <w:sz w:val="22"/>
          <w:szCs w:val="22"/>
          <w:lang w:val="sr-Latn-ME"/>
        </w:rPr>
      </w:pPr>
    </w:p>
    <w:p w:rsidR="00B7667C" w:rsidRPr="0056436C" w:rsidRDefault="00B7667C" w:rsidP="0056436C">
      <w:pPr>
        <w:tabs>
          <w:tab w:val="left" w:pos="540"/>
          <w:tab w:val="left" w:pos="569"/>
        </w:tabs>
        <w:rPr>
          <w:b/>
          <w:bCs/>
          <w:sz w:val="22"/>
          <w:szCs w:val="22"/>
          <w:lang w:val="sr-Latn-ME"/>
        </w:rPr>
      </w:pPr>
      <w:r w:rsidRPr="0056436C">
        <w:rPr>
          <w:b/>
          <w:bCs/>
          <w:sz w:val="22"/>
          <w:szCs w:val="22"/>
          <w:lang w:val="sr-Latn-ME"/>
        </w:rPr>
        <w:t>Tabela 2. Vrijednosti HbA</w:t>
      </w:r>
      <w:r w:rsidRPr="0056436C">
        <w:rPr>
          <w:b/>
          <w:bCs/>
          <w:sz w:val="22"/>
          <w:szCs w:val="22"/>
          <w:vertAlign w:val="subscript"/>
          <w:lang w:val="sr-Latn-ME"/>
        </w:rPr>
        <w:t>1c</w:t>
      </w:r>
      <w:r w:rsidRPr="0056436C">
        <w:rPr>
          <w:b/>
          <w:bCs/>
          <w:sz w:val="22"/>
          <w:szCs w:val="22"/>
          <w:lang w:val="sr-Latn-ME"/>
        </w:rPr>
        <w:t xml:space="preserve"> u placebom</w:t>
      </w:r>
      <w:r w:rsidR="003E2CA7" w:rsidRPr="0056436C">
        <w:rPr>
          <w:b/>
          <w:bCs/>
          <w:sz w:val="22"/>
          <w:szCs w:val="22"/>
          <w:lang w:val="sr-Latn-ME"/>
        </w:rPr>
        <w:t xml:space="preserve"> </w:t>
      </w:r>
      <w:r w:rsidRPr="0056436C">
        <w:rPr>
          <w:b/>
          <w:bCs/>
          <w:sz w:val="22"/>
          <w:szCs w:val="22"/>
          <w:lang w:val="sr-Latn-ME"/>
        </w:rPr>
        <w:t>kontrolisanim studijama monoterapije i kombinovane terapije*</w:t>
      </w:r>
    </w:p>
    <w:p w:rsidR="001F1914" w:rsidRPr="0056436C" w:rsidRDefault="001F1914" w:rsidP="0056436C">
      <w:pPr>
        <w:tabs>
          <w:tab w:val="left" w:pos="540"/>
          <w:tab w:val="left" w:pos="569"/>
        </w:tabs>
        <w:rPr>
          <w:b/>
          <w:bCs/>
          <w:sz w:val="22"/>
          <w:szCs w:val="22"/>
          <w:lang w:val="sr-Latn-ME"/>
        </w:rPr>
      </w:pPr>
    </w:p>
    <w:tbl>
      <w:tblPr>
        <w:tblW w:w="5000" w:type="pct"/>
        <w:jc w:val="center"/>
        <w:tblBorders>
          <w:top w:val="outset" w:sz="6" w:space="0" w:color="7B7B7B"/>
          <w:left w:val="outset" w:sz="6" w:space="0" w:color="7B7B7B"/>
          <w:bottom w:val="outset" w:sz="6" w:space="0" w:color="7B7B7B"/>
          <w:right w:val="outset" w:sz="6" w:space="0" w:color="7B7B7B"/>
        </w:tblBorders>
        <w:shd w:val="clear" w:color="auto" w:fill="FFFFFF"/>
        <w:tblCellMar>
          <w:top w:w="30" w:type="dxa"/>
          <w:left w:w="30" w:type="dxa"/>
          <w:bottom w:w="30" w:type="dxa"/>
          <w:right w:w="30" w:type="dxa"/>
        </w:tblCellMar>
        <w:tblLook w:val="04A0" w:firstRow="1" w:lastRow="0" w:firstColumn="1" w:lastColumn="0" w:noHBand="0" w:noVBand="1"/>
      </w:tblPr>
      <w:tblGrid>
        <w:gridCol w:w="2773"/>
        <w:gridCol w:w="1464"/>
        <w:gridCol w:w="2625"/>
        <w:gridCol w:w="2207"/>
      </w:tblGrid>
      <w:tr w:rsidR="00874368" w:rsidRPr="0056436C" w:rsidTr="00835A5D">
        <w:trPr>
          <w:jc w:val="center"/>
        </w:trPr>
        <w:tc>
          <w:tcPr>
            <w:tcW w:w="1529"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rPr>
                <w:sz w:val="22"/>
                <w:szCs w:val="22"/>
                <w:lang w:val="sr-Latn-ME"/>
              </w:rPr>
            </w:pPr>
            <w:r w:rsidRPr="0056436C">
              <w:rPr>
                <w:b/>
                <w:bCs/>
                <w:sz w:val="22"/>
                <w:szCs w:val="22"/>
                <w:lang w:val="sr-Latn-ME"/>
              </w:rPr>
              <w:t>Studija</w:t>
            </w:r>
          </w:p>
        </w:tc>
        <w:tc>
          <w:tcPr>
            <w:tcW w:w="80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b/>
                <w:bCs/>
                <w:sz w:val="22"/>
                <w:szCs w:val="22"/>
                <w:lang w:val="sr-Latn-ME"/>
              </w:rPr>
              <w:t>Srednja vrijednost HbA</w:t>
            </w:r>
            <w:r w:rsidRPr="0056436C">
              <w:rPr>
                <w:b/>
                <w:bCs/>
                <w:sz w:val="22"/>
                <w:szCs w:val="22"/>
                <w:vertAlign w:val="subscript"/>
                <w:lang w:val="sr-Latn-ME"/>
              </w:rPr>
              <w:t>1c</w:t>
            </w:r>
            <w:r w:rsidRPr="0056436C">
              <w:rPr>
                <w:b/>
                <w:bCs/>
                <w:sz w:val="22"/>
                <w:szCs w:val="22"/>
                <w:lang w:val="sr-Latn-ME"/>
              </w:rPr>
              <w:t> (%)</w:t>
            </w:r>
          </w:p>
        </w:tc>
        <w:tc>
          <w:tcPr>
            <w:tcW w:w="144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b/>
                <w:bCs/>
                <w:sz w:val="22"/>
                <w:szCs w:val="22"/>
                <w:lang w:val="sr-Latn-ME"/>
              </w:rPr>
              <w:t>Srednja vrijednosti promjene HbA</w:t>
            </w:r>
            <w:r w:rsidRPr="0056436C">
              <w:rPr>
                <w:b/>
                <w:bCs/>
                <w:sz w:val="22"/>
                <w:szCs w:val="22"/>
                <w:vertAlign w:val="subscript"/>
                <w:lang w:val="sr-Latn-ME"/>
              </w:rPr>
              <w:t>1c</w:t>
            </w:r>
            <w:r w:rsidRPr="0056436C">
              <w:rPr>
                <w:b/>
                <w:bCs/>
                <w:sz w:val="22"/>
                <w:szCs w:val="22"/>
                <w:lang w:val="sr-Latn-ME"/>
              </w:rPr>
              <w:t> (%)</w:t>
            </w:r>
            <w:r w:rsidRPr="0056436C">
              <w:rPr>
                <w:sz w:val="22"/>
                <w:szCs w:val="22"/>
                <w:vertAlign w:val="superscript"/>
                <w:lang w:val="sr-Latn-ME"/>
              </w:rPr>
              <w:t>†</w:t>
            </w:r>
            <w:r w:rsidRPr="0056436C">
              <w:rPr>
                <w:b/>
                <w:sz w:val="22"/>
                <w:szCs w:val="22"/>
                <w:vertAlign w:val="superscript"/>
                <w:lang w:val="sr-Latn-ME"/>
              </w:rPr>
              <w:t xml:space="preserve"> </w:t>
            </w:r>
            <w:r w:rsidRPr="0056436C">
              <w:rPr>
                <w:b/>
                <w:sz w:val="22"/>
                <w:szCs w:val="22"/>
                <w:lang w:val="sr-Latn-ME"/>
              </w:rPr>
              <w:t>u odnosu na vrijednost na početku studije</w:t>
            </w:r>
          </w:p>
        </w:tc>
        <w:tc>
          <w:tcPr>
            <w:tcW w:w="121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3E2CA7" w:rsidP="0056436C">
            <w:pPr>
              <w:jc w:val="center"/>
              <w:rPr>
                <w:sz w:val="22"/>
                <w:szCs w:val="22"/>
                <w:lang w:val="sr-Latn-ME"/>
              </w:rPr>
            </w:pPr>
            <w:r w:rsidRPr="0056436C">
              <w:rPr>
                <w:b/>
                <w:bCs/>
                <w:sz w:val="22"/>
                <w:szCs w:val="22"/>
                <w:lang w:val="sr-Latn-ME"/>
              </w:rPr>
              <w:t>S</w:t>
            </w:r>
            <w:r w:rsidR="00874368" w:rsidRPr="0056436C">
              <w:rPr>
                <w:b/>
                <w:bCs/>
                <w:sz w:val="22"/>
                <w:szCs w:val="22"/>
                <w:lang w:val="sr-Latn-ME"/>
              </w:rPr>
              <w:t>rednja vrijednost promjene HbA</w:t>
            </w:r>
            <w:r w:rsidR="00874368" w:rsidRPr="0056436C">
              <w:rPr>
                <w:b/>
                <w:bCs/>
                <w:sz w:val="22"/>
                <w:szCs w:val="22"/>
                <w:vertAlign w:val="subscript"/>
                <w:lang w:val="sr-Latn-ME"/>
              </w:rPr>
              <w:t>1c</w:t>
            </w:r>
            <w:r w:rsidR="00874368" w:rsidRPr="0056436C">
              <w:rPr>
                <w:b/>
                <w:bCs/>
                <w:sz w:val="22"/>
                <w:szCs w:val="22"/>
                <w:lang w:val="sr-Latn-ME"/>
              </w:rPr>
              <w:t> (%)</w:t>
            </w:r>
            <w:r w:rsidR="00874368" w:rsidRPr="0056436C">
              <w:rPr>
                <w:sz w:val="22"/>
                <w:szCs w:val="22"/>
                <w:vertAlign w:val="superscript"/>
                <w:lang w:val="sr-Latn-ME"/>
              </w:rPr>
              <w:t>†</w:t>
            </w:r>
          </w:p>
          <w:p w:rsidR="003E2CA7" w:rsidRPr="0056436C" w:rsidRDefault="003E2CA7" w:rsidP="0056436C">
            <w:pPr>
              <w:jc w:val="center"/>
              <w:rPr>
                <w:b/>
                <w:bCs/>
                <w:sz w:val="22"/>
                <w:szCs w:val="22"/>
                <w:lang w:val="sr-Latn-ME"/>
              </w:rPr>
            </w:pPr>
            <w:r w:rsidRPr="0056436C">
              <w:rPr>
                <w:b/>
                <w:bCs/>
                <w:sz w:val="22"/>
                <w:szCs w:val="22"/>
                <w:lang w:val="sr-Latn-ME"/>
              </w:rPr>
              <w:t>nakon korekcije u odnosu na placebo</w:t>
            </w:r>
          </w:p>
          <w:p w:rsidR="00874368" w:rsidRPr="0056436C" w:rsidRDefault="00874368" w:rsidP="0056436C">
            <w:pPr>
              <w:jc w:val="center"/>
              <w:rPr>
                <w:sz w:val="22"/>
                <w:szCs w:val="22"/>
                <w:lang w:val="sr-Latn-ME"/>
              </w:rPr>
            </w:pPr>
            <w:r w:rsidRPr="0056436C">
              <w:rPr>
                <w:b/>
                <w:bCs/>
                <w:sz w:val="22"/>
                <w:szCs w:val="22"/>
                <w:lang w:val="sr-Latn-ME"/>
              </w:rPr>
              <w:t>(95 % CI)</w:t>
            </w:r>
          </w:p>
        </w:tc>
      </w:tr>
      <w:tr w:rsidR="00874368" w:rsidRPr="0056436C" w:rsidTr="00835A5D">
        <w:trPr>
          <w:jc w:val="center"/>
        </w:trPr>
        <w:tc>
          <w:tcPr>
            <w:tcW w:w="5000" w:type="pct"/>
            <w:gridSpan w:val="4"/>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rPr>
                <w:sz w:val="22"/>
                <w:szCs w:val="22"/>
                <w:lang w:val="sr-Latn-ME"/>
              </w:rPr>
            </w:pPr>
            <w:r w:rsidRPr="0056436C">
              <w:rPr>
                <w:b/>
                <w:bCs/>
                <w:sz w:val="22"/>
                <w:szCs w:val="22"/>
                <w:lang w:val="sr-Latn-ME"/>
              </w:rPr>
              <w:t>Ispitivanja monoterapije</w:t>
            </w:r>
          </w:p>
        </w:tc>
      </w:tr>
      <w:tr w:rsidR="00874368" w:rsidRPr="0056436C" w:rsidTr="00835A5D">
        <w:trPr>
          <w:jc w:val="center"/>
        </w:trPr>
        <w:tc>
          <w:tcPr>
            <w:tcW w:w="1529" w:type="pct"/>
            <w:tcBorders>
              <w:top w:val="outset" w:sz="6" w:space="0" w:color="7B7B7B"/>
              <w:left w:val="outset" w:sz="6" w:space="0" w:color="7B7B7B"/>
              <w:bottom w:val="outset" w:sz="6" w:space="0" w:color="7B7B7B"/>
              <w:right w:val="outset" w:sz="6" w:space="0" w:color="7B7B7B"/>
            </w:tcBorders>
            <w:shd w:val="clear" w:color="auto" w:fill="FFFFFF"/>
          </w:tcPr>
          <w:p w:rsidR="00874368" w:rsidRPr="0056436C" w:rsidRDefault="00874368" w:rsidP="0056436C">
            <w:pPr>
              <w:pStyle w:val="TableParagraph"/>
              <w:rPr>
                <w:lang w:val="sr-Latn-ME"/>
              </w:rPr>
            </w:pPr>
            <w:r w:rsidRPr="0056436C">
              <w:rPr>
                <w:lang w:val="sr-Latn-ME"/>
              </w:rPr>
              <w:t>Sitagliptin 100 mg</w:t>
            </w:r>
          </w:p>
          <w:p w:rsidR="003E2CA7" w:rsidRPr="0056436C" w:rsidRDefault="00874368" w:rsidP="0056436C">
            <w:pPr>
              <w:rPr>
                <w:sz w:val="22"/>
                <w:szCs w:val="22"/>
                <w:lang w:val="sr-Latn-ME"/>
              </w:rPr>
            </w:pPr>
            <w:r w:rsidRPr="0056436C">
              <w:rPr>
                <w:sz w:val="22"/>
                <w:szCs w:val="22"/>
                <w:lang w:val="sr-Latn-ME"/>
              </w:rPr>
              <w:t>jednom dnevno</w:t>
            </w:r>
            <w:r w:rsidRPr="0056436C">
              <w:rPr>
                <w:sz w:val="22"/>
                <w:szCs w:val="22"/>
                <w:vertAlign w:val="superscript"/>
                <w:lang w:val="sr-Latn-ME"/>
              </w:rPr>
              <w:t>§</w:t>
            </w:r>
          </w:p>
          <w:p w:rsidR="00874368" w:rsidRPr="0056436C" w:rsidRDefault="00874368" w:rsidP="0056436C">
            <w:pPr>
              <w:rPr>
                <w:sz w:val="22"/>
                <w:szCs w:val="22"/>
                <w:lang w:val="sr-Latn-ME"/>
              </w:rPr>
            </w:pPr>
            <w:r w:rsidRPr="0056436C">
              <w:rPr>
                <w:sz w:val="22"/>
                <w:szCs w:val="22"/>
                <w:lang w:val="sr-Latn-ME"/>
              </w:rPr>
              <w:t>(N=193)</w:t>
            </w:r>
          </w:p>
        </w:tc>
        <w:tc>
          <w:tcPr>
            <w:tcW w:w="80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8.0</w:t>
            </w:r>
          </w:p>
        </w:tc>
        <w:tc>
          <w:tcPr>
            <w:tcW w:w="144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-0.5</w:t>
            </w:r>
          </w:p>
        </w:tc>
        <w:tc>
          <w:tcPr>
            <w:tcW w:w="121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-0.6</w:t>
            </w:r>
            <w:r w:rsidRPr="0056436C">
              <w:rPr>
                <w:sz w:val="22"/>
                <w:szCs w:val="22"/>
                <w:vertAlign w:val="superscript"/>
                <w:lang w:val="sr-Latn-ME"/>
              </w:rPr>
              <w:t>‡</w:t>
            </w:r>
          </w:p>
          <w:p w:rsidR="00874368" w:rsidRPr="0056436C" w:rsidRDefault="00874368" w:rsidP="0056436C">
            <w:pPr>
              <w:jc w:val="center"/>
              <w:rPr>
                <w:sz w:val="22"/>
                <w:szCs w:val="22"/>
                <w:lang w:val="sr-Latn-ME"/>
              </w:rPr>
            </w:pPr>
            <w:r w:rsidRPr="0056436C">
              <w:rPr>
                <w:sz w:val="22"/>
                <w:szCs w:val="22"/>
                <w:lang w:val="sr-Latn-ME"/>
              </w:rPr>
              <w:t>(-0.8, -0.4)</w:t>
            </w:r>
          </w:p>
        </w:tc>
      </w:tr>
      <w:tr w:rsidR="00874368" w:rsidRPr="0056436C" w:rsidTr="00835A5D">
        <w:trPr>
          <w:jc w:val="center"/>
        </w:trPr>
        <w:tc>
          <w:tcPr>
            <w:tcW w:w="1529" w:type="pct"/>
            <w:tcBorders>
              <w:top w:val="outset" w:sz="6" w:space="0" w:color="7B7B7B"/>
              <w:left w:val="outset" w:sz="6" w:space="0" w:color="7B7B7B"/>
              <w:bottom w:val="outset" w:sz="6" w:space="0" w:color="7B7B7B"/>
              <w:right w:val="outset" w:sz="6" w:space="0" w:color="7B7B7B"/>
            </w:tcBorders>
            <w:shd w:val="clear" w:color="auto" w:fill="FFFFFF"/>
          </w:tcPr>
          <w:p w:rsidR="00874368" w:rsidRPr="0056436C" w:rsidRDefault="00874368" w:rsidP="0056436C">
            <w:pPr>
              <w:pStyle w:val="TableParagraph"/>
              <w:spacing w:before="7"/>
              <w:rPr>
                <w:lang w:val="sr-Latn-ME"/>
              </w:rPr>
            </w:pPr>
            <w:r w:rsidRPr="0056436C">
              <w:rPr>
                <w:lang w:val="sr-Latn-ME"/>
              </w:rPr>
              <w:t>Sitagliptin 100 mg jednom dnevno</w:t>
            </w:r>
            <w:r w:rsidR="002A6706" w:rsidRPr="0056436C">
              <w:rPr>
                <w:vertAlign w:val="superscript"/>
                <w:lang w:val="sr-Latn-ME"/>
              </w:rPr>
              <w:t>II</w:t>
            </w:r>
          </w:p>
          <w:p w:rsidR="00874368" w:rsidRPr="0056436C" w:rsidRDefault="00874368" w:rsidP="0056436C">
            <w:pPr>
              <w:pStyle w:val="TableParagraph"/>
              <w:spacing w:before="7"/>
              <w:rPr>
                <w:lang w:val="sr-Latn-ME"/>
              </w:rPr>
            </w:pPr>
            <w:r w:rsidRPr="0056436C">
              <w:rPr>
                <w:lang w:val="sr-Latn-ME"/>
              </w:rPr>
              <w:t>(N=229)</w:t>
            </w:r>
          </w:p>
        </w:tc>
        <w:tc>
          <w:tcPr>
            <w:tcW w:w="80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8.0</w:t>
            </w:r>
          </w:p>
        </w:tc>
        <w:tc>
          <w:tcPr>
            <w:tcW w:w="144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-0.6</w:t>
            </w:r>
          </w:p>
        </w:tc>
        <w:tc>
          <w:tcPr>
            <w:tcW w:w="121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-0.8</w:t>
            </w:r>
            <w:r w:rsidRPr="0056436C">
              <w:rPr>
                <w:sz w:val="22"/>
                <w:szCs w:val="22"/>
                <w:vertAlign w:val="superscript"/>
                <w:lang w:val="sr-Latn-ME"/>
              </w:rPr>
              <w:t>‡</w:t>
            </w:r>
          </w:p>
          <w:p w:rsidR="00874368" w:rsidRPr="0056436C" w:rsidRDefault="00874368" w:rsidP="0056436C">
            <w:pPr>
              <w:jc w:val="center"/>
              <w:rPr>
                <w:sz w:val="22"/>
                <w:szCs w:val="22"/>
                <w:lang w:val="sr-Latn-ME"/>
              </w:rPr>
            </w:pPr>
            <w:r w:rsidRPr="0056436C">
              <w:rPr>
                <w:sz w:val="22"/>
                <w:szCs w:val="22"/>
                <w:lang w:val="sr-Latn-ME"/>
              </w:rPr>
              <w:t>(-1.0, -0.6)</w:t>
            </w:r>
          </w:p>
        </w:tc>
      </w:tr>
      <w:tr w:rsidR="00874368" w:rsidRPr="0056436C" w:rsidTr="00835A5D">
        <w:trPr>
          <w:jc w:val="center"/>
        </w:trPr>
        <w:tc>
          <w:tcPr>
            <w:tcW w:w="5000" w:type="pct"/>
            <w:gridSpan w:val="4"/>
          </w:tcPr>
          <w:p w:rsidR="00874368" w:rsidRPr="0056436C" w:rsidRDefault="00874368" w:rsidP="0056436C">
            <w:pPr>
              <w:pStyle w:val="TableParagraph"/>
              <w:rPr>
                <w:b/>
                <w:lang w:val="sr-Latn-ME"/>
              </w:rPr>
            </w:pPr>
            <w:r w:rsidRPr="0056436C">
              <w:rPr>
                <w:b/>
                <w:lang w:val="sr-Latn-ME"/>
              </w:rPr>
              <w:t>Ispitivanja kombinovane terapije</w:t>
            </w:r>
          </w:p>
        </w:tc>
      </w:tr>
      <w:tr w:rsidR="00874368" w:rsidRPr="0056436C" w:rsidTr="00080014">
        <w:trPr>
          <w:jc w:val="center"/>
        </w:trPr>
        <w:tc>
          <w:tcPr>
            <w:tcW w:w="1529" w:type="pct"/>
            <w:tcBorders>
              <w:top w:val="outset" w:sz="6" w:space="0" w:color="7B7B7B"/>
              <w:left w:val="outset" w:sz="6" w:space="0" w:color="7B7B7B"/>
              <w:bottom w:val="outset" w:sz="6" w:space="0" w:color="7B7B7B"/>
              <w:right w:val="outset" w:sz="6" w:space="0" w:color="7B7B7B"/>
            </w:tcBorders>
            <w:shd w:val="clear" w:color="auto" w:fill="FFFFFF"/>
            <w:hideMark/>
          </w:tcPr>
          <w:p w:rsidR="00874368" w:rsidRPr="0056436C" w:rsidRDefault="00874368" w:rsidP="0056436C">
            <w:pPr>
              <w:rPr>
                <w:sz w:val="22"/>
                <w:szCs w:val="22"/>
                <w:lang w:val="sr-Latn-ME"/>
              </w:rPr>
            </w:pPr>
            <w:r w:rsidRPr="0056436C">
              <w:rPr>
                <w:sz w:val="22"/>
                <w:szCs w:val="22"/>
                <w:lang w:val="sr-Latn-ME"/>
              </w:rPr>
              <w:t>Sitagliptin 100 mg jednom dnevno kao dodatak postojećoj terapiji metforminom</w:t>
            </w:r>
            <w:r w:rsidR="002A6706" w:rsidRPr="0056436C">
              <w:rPr>
                <w:sz w:val="22"/>
                <w:szCs w:val="22"/>
                <w:vertAlign w:val="superscript"/>
                <w:lang w:val="sr-Latn-ME"/>
              </w:rPr>
              <w:t>II</w:t>
            </w:r>
          </w:p>
          <w:p w:rsidR="00874368" w:rsidRPr="0056436C" w:rsidRDefault="00874368" w:rsidP="0056436C">
            <w:pPr>
              <w:rPr>
                <w:sz w:val="22"/>
                <w:szCs w:val="22"/>
                <w:lang w:val="sr-Latn-ME"/>
              </w:rPr>
            </w:pPr>
            <w:r w:rsidRPr="0056436C">
              <w:rPr>
                <w:sz w:val="22"/>
                <w:szCs w:val="22"/>
                <w:lang w:val="sr-Latn-ME"/>
              </w:rPr>
              <w:t>(N=453)</w:t>
            </w:r>
          </w:p>
        </w:tc>
        <w:tc>
          <w:tcPr>
            <w:tcW w:w="80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8.0</w:t>
            </w:r>
          </w:p>
        </w:tc>
        <w:tc>
          <w:tcPr>
            <w:tcW w:w="144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-0.7</w:t>
            </w:r>
          </w:p>
        </w:tc>
        <w:tc>
          <w:tcPr>
            <w:tcW w:w="121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-0.7</w:t>
            </w:r>
            <w:r w:rsidRPr="0056436C">
              <w:rPr>
                <w:sz w:val="22"/>
                <w:szCs w:val="22"/>
                <w:vertAlign w:val="superscript"/>
                <w:lang w:val="sr-Latn-ME"/>
              </w:rPr>
              <w:t>‡</w:t>
            </w:r>
          </w:p>
          <w:p w:rsidR="00874368" w:rsidRPr="0056436C" w:rsidRDefault="00874368" w:rsidP="0056436C">
            <w:pPr>
              <w:jc w:val="center"/>
              <w:rPr>
                <w:sz w:val="22"/>
                <w:szCs w:val="22"/>
                <w:lang w:val="sr-Latn-ME"/>
              </w:rPr>
            </w:pPr>
            <w:r w:rsidRPr="0056436C">
              <w:rPr>
                <w:sz w:val="22"/>
                <w:szCs w:val="22"/>
                <w:lang w:val="sr-Latn-ME"/>
              </w:rPr>
              <w:t>(-0.8, -0.5)</w:t>
            </w:r>
          </w:p>
        </w:tc>
      </w:tr>
      <w:tr w:rsidR="00874368" w:rsidRPr="0056436C" w:rsidTr="00080014">
        <w:trPr>
          <w:jc w:val="center"/>
        </w:trPr>
        <w:tc>
          <w:tcPr>
            <w:tcW w:w="1529" w:type="pct"/>
            <w:tcBorders>
              <w:top w:val="outset" w:sz="6" w:space="0" w:color="7B7B7B"/>
              <w:left w:val="outset" w:sz="6" w:space="0" w:color="7B7B7B"/>
              <w:bottom w:val="outset" w:sz="6" w:space="0" w:color="7B7B7B"/>
              <w:right w:val="outset" w:sz="6" w:space="0" w:color="7B7B7B"/>
            </w:tcBorders>
            <w:shd w:val="clear" w:color="auto" w:fill="FFFFFF"/>
            <w:hideMark/>
          </w:tcPr>
          <w:p w:rsidR="00874368" w:rsidRPr="0056436C" w:rsidRDefault="00874368" w:rsidP="0056436C">
            <w:pPr>
              <w:rPr>
                <w:sz w:val="22"/>
                <w:szCs w:val="22"/>
                <w:lang w:val="sr-Latn-ME"/>
              </w:rPr>
            </w:pPr>
            <w:r w:rsidRPr="0056436C">
              <w:rPr>
                <w:sz w:val="22"/>
                <w:szCs w:val="22"/>
                <w:lang w:val="sr-Latn-ME"/>
              </w:rPr>
              <w:t>Sitagliptin 100 mg jednom dnevno kao</w:t>
            </w:r>
          </w:p>
          <w:p w:rsidR="00874368" w:rsidRPr="0056436C" w:rsidRDefault="00874368" w:rsidP="0056436C">
            <w:pPr>
              <w:rPr>
                <w:sz w:val="22"/>
                <w:szCs w:val="22"/>
                <w:lang w:val="sr-Latn-ME"/>
              </w:rPr>
            </w:pPr>
            <w:r w:rsidRPr="0056436C">
              <w:rPr>
                <w:sz w:val="22"/>
                <w:szCs w:val="22"/>
                <w:lang w:val="sr-Latn-ME"/>
              </w:rPr>
              <w:t>dodatak postojećoj</w:t>
            </w:r>
          </w:p>
          <w:p w:rsidR="00874368" w:rsidRPr="0056436C" w:rsidRDefault="00874368" w:rsidP="0056436C">
            <w:pPr>
              <w:rPr>
                <w:sz w:val="22"/>
                <w:szCs w:val="22"/>
                <w:lang w:val="sr-Latn-ME"/>
              </w:rPr>
            </w:pPr>
            <w:r w:rsidRPr="0056436C">
              <w:rPr>
                <w:sz w:val="22"/>
                <w:szCs w:val="22"/>
                <w:lang w:val="sr-Latn-ME"/>
              </w:rPr>
              <w:t>terapiji pioglitazonom</w:t>
            </w:r>
            <w:r w:rsidR="002A6706" w:rsidRPr="0056436C">
              <w:rPr>
                <w:sz w:val="22"/>
                <w:szCs w:val="22"/>
                <w:vertAlign w:val="superscript"/>
                <w:lang w:val="sr-Latn-ME"/>
              </w:rPr>
              <w:t>II</w:t>
            </w:r>
            <w:r w:rsidRPr="0056436C">
              <w:rPr>
                <w:sz w:val="22"/>
                <w:szCs w:val="22"/>
                <w:lang w:val="sr-Latn-ME"/>
              </w:rPr>
              <w:t xml:space="preserve"> (N=163)</w:t>
            </w:r>
          </w:p>
        </w:tc>
        <w:tc>
          <w:tcPr>
            <w:tcW w:w="80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8.1</w:t>
            </w:r>
          </w:p>
        </w:tc>
        <w:tc>
          <w:tcPr>
            <w:tcW w:w="144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-0.9</w:t>
            </w:r>
          </w:p>
        </w:tc>
        <w:tc>
          <w:tcPr>
            <w:tcW w:w="121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-0.7</w:t>
            </w:r>
            <w:r w:rsidRPr="0056436C">
              <w:rPr>
                <w:sz w:val="22"/>
                <w:szCs w:val="22"/>
                <w:vertAlign w:val="superscript"/>
                <w:lang w:val="sr-Latn-ME"/>
              </w:rPr>
              <w:t>‡</w:t>
            </w:r>
          </w:p>
          <w:p w:rsidR="00874368" w:rsidRPr="0056436C" w:rsidRDefault="00874368" w:rsidP="0056436C">
            <w:pPr>
              <w:jc w:val="center"/>
              <w:rPr>
                <w:sz w:val="22"/>
                <w:szCs w:val="22"/>
                <w:lang w:val="sr-Latn-ME"/>
              </w:rPr>
            </w:pPr>
            <w:r w:rsidRPr="0056436C">
              <w:rPr>
                <w:sz w:val="22"/>
                <w:szCs w:val="22"/>
                <w:lang w:val="sr-Latn-ME"/>
              </w:rPr>
              <w:t>(-0.9, -0.5)</w:t>
            </w:r>
          </w:p>
        </w:tc>
      </w:tr>
      <w:tr w:rsidR="00874368" w:rsidRPr="0056436C" w:rsidTr="00080014">
        <w:trPr>
          <w:jc w:val="center"/>
        </w:trPr>
        <w:tc>
          <w:tcPr>
            <w:tcW w:w="1529" w:type="pct"/>
            <w:tcBorders>
              <w:top w:val="outset" w:sz="6" w:space="0" w:color="7B7B7B"/>
              <w:left w:val="outset" w:sz="6" w:space="0" w:color="7B7B7B"/>
              <w:bottom w:val="outset" w:sz="6" w:space="0" w:color="7B7B7B"/>
              <w:right w:val="outset" w:sz="6" w:space="0" w:color="7B7B7B"/>
            </w:tcBorders>
            <w:shd w:val="clear" w:color="auto" w:fill="FFFFFF"/>
            <w:hideMark/>
          </w:tcPr>
          <w:p w:rsidR="00874368" w:rsidRPr="0056436C" w:rsidRDefault="00874368" w:rsidP="0056436C">
            <w:pPr>
              <w:rPr>
                <w:sz w:val="22"/>
                <w:szCs w:val="22"/>
                <w:lang w:val="sr-Latn-ME"/>
              </w:rPr>
            </w:pPr>
            <w:r w:rsidRPr="0056436C">
              <w:rPr>
                <w:sz w:val="22"/>
                <w:szCs w:val="22"/>
                <w:lang w:val="sr-Latn-ME"/>
              </w:rPr>
              <w:t>Sitagliptin 100 mg</w:t>
            </w:r>
          </w:p>
          <w:p w:rsidR="00874368" w:rsidRPr="0056436C" w:rsidRDefault="00874368" w:rsidP="0056436C">
            <w:pPr>
              <w:rPr>
                <w:sz w:val="22"/>
                <w:szCs w:val="22"/>
                <w:lang w:val="sr-Latn-ME"/>
              </w:rPr>
            </w:pPr>
            <w:r w:rsidRPr="0056436C">
              <w:rPr>
                <w:sz w:val="22"/>
                <w:szCs w:val="22"/>
                <w:lang w:val="sr-Latn-ME"/>
              </w:rPr>
              <w:t>jednom dnevno kao dodatak postojećoj terapiji glimepiridom</w:t>
            </w:r>
            <w:r w:rsidR="002A6706" w:rsidRPr="0056436C">
              <w:rPr>
                <w:sz w:val="22"/>
                <w:szCs w:val="22"/>
                <w:vertAlign w:val="superscript"/>
                <w:lang w:val="sr-Latn-ME"/>
              </w:rPr>
              <w:t>II</w:t>
            </w:r>
          </w:p>
          <w:p w:rsidR="00874368" w:rsidRPr="0056436C" w:rsidRDefault="00874368" w:rsidP="0056436C">
            <w:pPr>
              <w:rPr>
                <w:sz w:val="22"/>
                <w:szCs w:val="22"/>
                <w:lang w:val="sr-Latn-ME"/>
              </w:rPr>
            </w:pPr>
            <w:r w:rsidRPr="0056436C">
              <w:rPr>
                <w:sz w:val="22"/>
                <w:szCs w:val="22"/>
                <w:lang w:val="sr-Latn-ME"/>
              </w:rPr>
              <w:t>(N=102)</w:t>
            </w:r>
          </w:p>
        </w:tc>
        <w:tc>
          <w:tcPr>
            <w:tcW w:w="80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8.4</w:t>
            </w:r>
          </w:p>
        </w:tc>
        <w:tc>
          <w:tcPr>
            <w:tcW w:w="144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-0.3</w:t>
            </w:r>
          </w:p>
        </w:tc>
        <w:tc>
          <w:tcPr>
            <w:tcW w:w="121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-0.6</w:t>
            </w:r>
            <w:r w:rsidRPr="0056436C">
              <w:rPr>
                <w:sz w:val="22"/>
                <w:szCs w:val="22"/>
                <w:vertAlign w:val="superscript"/>
                <w:lang w:val="sr-Latn-ME"/>
              </w:rPr>
              <w:t>‡</w:t>
            </w:r>
          </w:p>
          <w:p w:rsidR="00874368" w:rsidRPr="0056436C" w:rsidRDefault="00874368" w:rsidP="0056436C">
            <w:pPr>
              <w:jc w:val="center"/>
              <w:rPr>
                <w:sz w:val="22"/>
                <w:szCs w:val="22"/>
                <w:lang w:val="sr-Latn-ME"/>
              </w:rPr>
            </w:pPr>
            <w:r w:rsidRPr="0056436C">
              <w:rPr>
                <w:sz w:val="22"/>
                <w:szCs w:val="22"/>
                <w:lang w:val="sr-Latn-ME"/>
              </w:rPr>
              <w:t>(-0.8, -0.3)</w:t>
            </w:r>
          </w:p>
        </w:tc>
      </w:tr>
      <w:tr w:rsidR="00874368" w:rsidRPr="0056436C" w:rsidTr="00080014">
        <w:trPr>
          <w:jc w:val="center"/>
        </w:trPr>
        <w:tc>
          <w:tcPr>
            <w:tcW w:w="1529" w:type="pct"/>
            <w:tcBorders>
              <w:top w:val="outset" w:sz="6" w:space="0" w:color="7B7B7B"/>
              <w:left w:val="outset" w:sz="6" w:space="0" w:color="7B7B7B"/>
              <w:bottom w:val="outset" w:sz="6" w:space="0" w:color="7B7B7B"/>
              <w:right w:val="outset" w:sz="6" w:space="0" w:color="7B7B7B"/>
            </w:tcBorders>
            <w:shd w:val="clear" w:color="auto" w:fill="FFFFFF"/>
            <w:hideMark/>
          </w:tcPr>
          <w:p w:rsidR="00874368" w:rsidRPr="0056436C" w:rsidRDefault="00874368" w:rsidP="0056436C">
            <w:pPr>
              <w:rPr>
                <w:sz w:val="22"/>
                <w:szCs w:val="22"/>
                <w:lang w:val="sr-Latn-ME"/>
              </w:rPr>
            </w:pPr>
            <w:r w:rsidRPr="0056436C">
              <w:rPr>
                <w:sz w:val="22"/>
                <w:szCs w:val="22"/>
                <w:lang w:val="sr-Latn-ME"/>
              </w:rPr>
              <w:t>Sitagliptin 100 mg</w:t>
            </w:r>
          </w:p>
          <w:p w:rsidR="00874368" w:rsidRPr="0056436C" w:rsidRDefault="00874368" w:rsidP="0056436C">
            <w:pPr>
              <w:rPr>
                <w:sz w:val="22"/>
                <w:szCs w:val="22"/>
                <w:lang w:val="sr-Latn-ME"/>
              </w:rPr>
            </w:pPr>
            <w:r w:rsidRPr="0056436C">
              <w:rPr>
                <w:sz w:val="22"/>
                <w:szCs w:val="22"/>
                <w:lang w:val="sr-Latn-ME"/>
              </w:rPr>
              <w:t>jednom dnevno kao dodatak postojećoj terapiji glimepiridom i</w:t>
            </w:r>
          </w:p>
          <w:p w:rsidR="003E2CA7" w:rsidRPr="0056436C" w:rsidRDefault="00874368" w:rsidP="0056436C">
            <w:pPr>
              <w:rPr>
                <w:sz w:val="22"/>
                <w:szCs w:val="22"/>
                <w:lang w:val="sr-Latn-ME"/>
              </w:rPr>
            </w:pPr>
            <w:r w:rsidRPr="0056436C">
              <w:rPr>
                <w:sz w:val="22"/>
                <w:szCs w:val="22"/>
                <w:lang w:val="sr-Latn-ME"/>
              </w:rPr>
              <w:t>metforminom</w:t>
            </w:r>
            <w:r w:rsidR="002A6706" w:rsidRPr="0056436C">
              <w:rPr>
                <w:sz w:val="22"/>
                <w:szCs w:val="22"/>
                <w:vertAlign w:val="superscript"/>
                <w:lang w:val="sr-Latn-ME"/>
              </w:rPr>
              <w:t>II</w:t>
            </w:r>
          </w:p>
          <w:p w:rsidR="00874368" w:rsidRPr="0056436C" w:rsidRDefault="00874368" w:rsidP="0056436C">
            <w:pPr>
              <w:rPr>
                <w:sz w:val="22"/>
                <w:szCs w:val="22"/>
                <w:lang w:val="sr-Latn-ME"/>
              </w:rPr>
            </w:pPr>
            <w:r w:rsidRPr="0056436C">
              <w:rPr>
                <w:sz w:val="22"/>
                <w:szCs w:val="22"/>
                <w:lang w:val="sr-Latn-ME"/>
              </w:rPr>
              <w:t>(N=115)</w:t>
            </w:r>
          </w:p>
        </w:tc>
        <w:tc>
          <w:tcPr>
            <w:tcW w:w="80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8.3</w:t>
            </w:r>
          </w:p>
        </w:tc>
        <w:tc>
          <w:tcPr>
            <w:tcW w:w="144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-0.6</w:t>
            </w:r>
          </w:p>
        </w:tc>
        <w:tc>
          <w:tcPr>
            <w:tcW w:w="121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-0.9</w:t>
            </w:r>
            <w:r w:rsidRPr="0056436C">
              <w:rPr>
                <w:sz w:val="22"/>
                <w:szCs w:val="22"/>
                <w:vertAlign w:val="superscript"/>
                <w:lang w:val="sr-Latn-ME"/>
              </w:rPr>
              <w:t>‡</w:t>
            </w:r>
          </w:p>
          <w:p w:rsidR="00874368" w:rsidRPr="0056436C" w:rsidRDefault="00874368" w:rsidP="0056436C">
            <w:pPr>
              <w:jc w:val="center"/>
              <w:rPr>
                <w:sz w:val="22"/>
                <w:szCs w:val="22"/>
                <w:lang w:val="sr-Latn-ME"/>
              </w:rPr>
            </w:pPr>
            <w:r w:rsidRPr="0056436C">
              <w:rPr>
                <w:sz w:val="22"/>
                <w:szCs w:val="22"/>
                <w:lang w:val="sr-Latn-ME"/>
              </w:rPr>
              <w:t>(-1.1, -0.7)</w:t>
            </w:r>
          </w:p>
        </w:tc>
      </w:tr>
      <w:tr w:rsidR="00874368" w:rsidRPr="0056436C" w:rsidTr="00080014">
        <w:trPr>
          <w:jc w:val="center"/>
        </w:trPr>
        <w:tc>
          <w:tcPr>
            <w:tcW w:w="1529" w:type="pct"/>
            <w:tcBorders>
              <w:top w:val="outset" w:sz="6" w:space="0" w:color="7B7B7B"/>
              <w:left w:val="outset" w:sz="6" w:space="0" w:color="7B7B7B"/>
              <w:bottom w:val="outset" w:sz="6" w:space="0" w:color="7B7B7B"/>
              <w:right w:val="outset" w:sz="6" w:space="0" w:color="7B7B7B"/>
            </w:tcBorders>
            <w:shd w:val="clear" w:color="auto" w:fill="FFFFFF"/>
            <w:hideMark/>
          </w:tcPr>
          <w:p w:rsidR="00874368" w:rsidRPr="0056436C" w:rsidRDefault="00874368" w:rsidP="0056436C">
            <w:pPr>
              <w:rPr>
                <w:sz w:val="22"/>
                <w:szCs w:val="22"/>
                <w:lang w:val="sr-Latn-ME"/>
              </w:rPr>
            </w:pPr>
            <w:r w:rsidRPr="0056436C">
              <w:rPr>
                <w:sz w:val="22"/>
                <w:szCs w:val="22"/>
                <w:lang w:val="sr-Latn-ME"/>
              </w:rPr>
              <w:t>Sitagliptin 100 mg</w:t>
            </w:r>
          </w:p>
          <w:p w:rsidR="003E2CA7" w:rsidRPr="0056436C" w:rsidRDefault="00874368" w:rsidP="0056436C">
            <w:pPr>
              <w:rPr>
                <w:sz w:val="22"/>
                <w:szCs w:val="22"/>
                <w:lang w:val="sr-Latn-ME"/>
              </w:rPr>
            </w:pPr>
            <w:r w:rsidRPr="0056436C">
              <w:rPr>
                <w:sz w:val="22"/>
                <w:szCs w:val="22"/>
                <w:lang w:val="sr-Latn-ME"/>
              </w:rPr>
              <w:t>jednom dnevno kao dodatak postojećoj terapiji pioglitazonom i metforminom</w:t>
            </w:r>
            <w:r w:rsidRPr="0056436C">
              <w:rPr>
                <w:sz w:val="22"/>
                <w:szCs w:val="22"/>
                <w:vertAlign w:val="superscript"/>
                <w:lang w:val="sr-Latn-ME"/>
              </w:rPr>
              <w:t>#</w:t>
            </w:r>
          </w:p>
          <w:p w:rsidR="00874368" w:rsidRPr="0056436C" w:rsidRDefault="00874368" w:rsidP="0056436C">
            <w:pPr>
              <w:rPr>
                <w:sz w:val="22"/>
                <w:szCs w:val="22"/>
                <w:lang w:val="sr-Latn-ME"/>
              </w:rPr>
            </w:pPr>
            <w:r w:rsidRPr="0056436C">
              <w:rPr>
                <w:sz w:val="22"/>
                <w:szCs w:val="22"/>
                <w:lang w:val="sr-Latn-ME"/>
              </w:rPr>
              <w:t>(N=152)</w:t>
            </w:r>
          </w:p>
        </w:tc>
        <w:tc>
          <w:tcPr>
            <w:tcW w:w="80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8.8</w:t>
            </w:r>
          </w:p>
        </w:tc>
        <w:tc>
          <w:tcPr>
            <w:tcW w:w="144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-1.2</w:t>
            </w:r>
          </w:p>
        </w:tc>
        <w:tc>
          <w:tcPr>
            <w:tcW w:w="121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-0.7</w:t>
            </w:r>
            <w:r w:rsidRPr="0056436C">
              <w:rPr>
                <w:sz w:val="22"/>
                <w:szCs w:val="22"/>
                <w:vertAlign w:val="superscript"/>
                <w:lang w:val="sr-Latn-ME"/>
              </w:rPr>
              <w:t>‡</w:t>
            </w:r>
          </w:p>
          <w:p w:rsidR="00874368" w:rsidRPr="0056436C" w:rsidRDefault="00874368" w:rsidP="0056436C">
            <w:pPr>
              <w:jc w:val="center"/>
              <w:rPr>
                <w:sz w:val="22"/>
                <w:szCs w:val="22"/>
                <w:lang w:val="sr-Latn-ME"/>
              </w:rPr>
            </w:pPr>
            <w:r w:rsidRPr="0056436C">
              <w:rPr>
                <w:sz w:val="22"/>
                <w:szCs w:val="22"/>
                <w:lang w:val="sr-Latn-ME"/>
              </w:rPr>
              <w:t>(-1.0, -0.5)</w:t>
            </w:r>
          </w:p>
        </w:tc>
      </w:tr>
      <w:tr w:rsidR="00874368" w:rsidRPr="0056436C" w:rsidTr="00080014">
        <w:trPr>
          <w:jc w:val="center"/>
        </w:trPr>
        <w:tc>
          <w:tcPr>
            <w:tcW w:w="1529" w:type="pct"/>
            <w:tcBorders>
              <w:top w:val="outset" w:sz="6" w:space="0" w:color="7B7B7B"/>
              <w:left w:val="outset" w:sz="6" w:space="0" w:color="7B7B7B"/>
              <w:bottom w:val="outset" w:sz="6" w:space="0" w:color="7B7B7B"/>
              <w:right w:val="outset" w:sz="6" w:space="0" w:color="7B7B7B"/>
            </w:tcBorders>
            <w:shd w:val="clear" w:color="auto" w:fill="FFFFFF"/>
            <w:hideMark/>
          </w:tcPr>
          <w:p w:rsidR="00874368" w:rsidRPr="0056436C" w:rsidRDefault="00874368" w:rsidP="0056436C">
            <w:pPr>
              <w:rPr>
                <w:sz w:val="22"/>
                <w:szCs w:val="22"/>
                <w:lang w:val="sr-Latn-ME"/>
              </w:rPr>
            </w:pPr>
            <w:r w:rsidRPr="0056436C">
              <w:rPr>
                <w:sz w:val="22"/>
                <w:szCs w:val="22"/>
                <w:lang w:val="sr-Latn-ME"/>
              </w:rPr>
              <w:lastRenderedPageBreak/>
              <w:t>Inicijalna terapija (dva puta dnevno)</w:t>
            </w:r>
            <w:r w:rsidR="002A6706" w:rsidRPr="0056436C">
              <w:rPr>
                <w:sz w:val="22"/>
                <w:szCs w:val="22"/>
                <w:vertAlign w:val="superscript"/>
                <w:lang w:val="sr-Latn-ME"/>
              </w:rPr>
              <w:t>II</w:t>
            </w:r>
            <w:r w:rsidRPr="0056436C">
              <w:rPr>
                <w:sz w:val="22"/>
                <w:szCs w:val="22"/>
                <w:lang w:val="sr-Latn-ME"/>
              </w:rPr>
              <w:t>: sitagliptin 50 mg + metformin 500 mg</w:t>
            </w:r>
          </w:p>
          <w:p w:rsidR="00874368" w:rsidRPr="0056436C" w:rsidRDefault="00874368" w:rsidP="0056436C">
            <w:pPr>
              <w:rPr>
                <w:sz w:val="22"/>
                <w:szCs w:val="22"/>
                <w:lang w:val="sr-Latn-ME"/>
              </w:rPr>
            </w:pPr>
            <w:r w:rsidRPr="0056436C">
              <w:rPr>
                <w:sz w:val="22"/>
                <w:szCs w:val="22"/>
                <w:lang w:val="sr-Latn-ME"/>
              </w:rPr>
              <w:t>(N=183)</w:t>
            </w:r>
          </w:p>
        </w:tc>
        <w:tc>
          <w:tcPr>
            <w:tcW w:w="80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8.8</w:t>
            </w:r>
          </w:p>
        </w:tc>
        <w:tc>
          <w:tcPr>
            <w:tcW w:w="144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-1.4</w:t>
            </w:r>
          </w:p>
        </w:tc>
        <w:tc>
          <w:tcPr>
            <w:tcW w:w="121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p>
          <w:p w:rsidR="00874368" w:rsidRPr="0056436C" w:rsidRDefault="00874368" w:rsidP="0056436C">
            <w:pPr>
              <w:jc w:val="center"/>
              <w:rPr>
                <w:sz w:val="22"/>
                <w:szCs w:val="22"/>
                <w:lang w:val="sr-Latn-ME"/>
              </w:rPr>
            </w:pPr>
            <w:r w:rsidRPr="0056436C">
              <w:rPr>
                <w:sz w:val="22"/>
                <w:szCs w:val="22"/>
                <w:lang w:val="sr-Latn-ME"/>
              </w:rPr>
              <w:t>-1.6</w:t>
            </w:r>
            <w:r w:rsidRPr="0056436C">
              <w:rPr>
                <w:sz w:val="22"/>
                <w:szCs w:val="22"/>
                <w:vertAlign w:val="superscript"/>
                <w:lang w:val="sr-Latn-ME"/>
              </w:rPr>
              <w:t>‡</w:t>
            </w:r>
          </w:p>
          <w:p w:rsidR="00874368" w:rsidRPr="0056436C" w:rsidRDefault="00874368" w:rsidP="0056436C">
            <w:pPr>
              <w:jc w:val="center"/>
              <w:rPr>
                <w:sz w:val="22"/>
                <w:szCs w:val="22"/>
                <w:lang w:val="sr-Latn-ME"/>
              </w:rPr>
            </w:pPr>
            <w:r w:rsidRPr="0056436C">
              <w:rPr>
                <w:sz w:val="22"/>
                <w:szCs w:val="22"/>
                <w:lang w:val="sr-Latn-ME"/>
              </w:rPr>
              <w:t>(-1.8, -1.3)</w:t>
            </w:r>
          </w:p>
        </w:tc>
      </w:tr>
      <w:tr w:rsidR="00874368" w:rsidRPr="0056436C" w:rsidTr="00080014">
        <w:trPr>
          <w:jc w:val="center"/>
        </w:trPr>
        <w:tc>
          <w:tcPr>
            <w:tcW w:w="1529" w:type="pct"/>
            <w:tcBorders>
              <w:top w:val="outset" w:sz="6" w:space="0" w:color="7B7B7B"/>
              <w:left w:val="outset" w:sz="6" w:space="0" w:color="7B7B7B"/>
              <w:bottom w:val="outset" w:sz="6" w:space="0" w:color="7B7B7B"/>
              <w:right w:val="outset" w:sz="6" w:space="0" w:color="7B7B7B"/>
            </w:tcBorders>
            <w:shd w:val="clear" w:color="auto" w:fill="FFFFFF"/>
            <w:hideMark/>
          </w:tcPr>
          <w:p w:rsidR="00874368" w:rsidRPr="0056436C" w:rsidRDefault="00874368" w:rsidP="0056436C">
            <w:pPr>
              <w:rPr>
                <w:sz w:val="22"/>
                <w:szCs w:val="22"/>
                <w:lang w:val="sr-Latn-ME"/>
              </w:rPr>
            </w:pPr>
            <w:r w:rsidRPr="0056436C">
              <w:rPr>
                <w:sz w:val="22"/>
                <w:szCs w:val="22"/>
                <w:lang w:val="sr-Latn-ME"/>
              </w:rPr>
              <w:t>Inicijalna terapija (dva</w:t>
            </w:r>
          </w:p>
          <w:p w:rsidR="00874368" w:rsidRPr="0056436C" w:rsidRDefault="00874368" w:rsidP="0056436C">
            <w:pPr>
              <w:rPr>
                <w:sz w:val="22"/>
                <w:szCs w:val="22"/>
                <w:lang w:val="sr-Latn-ME"/>
              </w:rPr>
            </w:pPr>
            <w:r w:rsidRPr="0056436C">
              <w:rPr>
                <w:sz w:val="22"/>
                <w:szCs w:val="22"/>
                <w:lang w:val="sr-Latn-ME"/>
              </w:rPr>
              <w:t>puta dnevno)</w:t>
            </w:r>
            <w:r w:rsidR="002A6706" w:rsidRPr="0056436C">
              <w:rPr>
                <w:sz w:val="22"/>
                <w:szCs w:val="22"/>
                <w:vertAlign w:val="superscript"/>
                <w:lang w:val="sr-Latn-ME"/>
              </w:rPr>
              <w:t>II</w:t>
            </w:r>
            <w:r w:rsidRPr="0056436C">
              <w:rPr>
                <w:sz w:val="22"/>
                <w:szCs w:val="22"/>
                <w:lang w:val="sr-Latn-ME"/>
              </w:rPr>
              <w:t>: sitagliptin 50 mg + metformin 1000 mg</w:t>
            </w:r>
          </w:p>
          <w:p w:rsidR="00874368" w:rsidRPr="0056436C" w:rsidRDefault="00874368" w:rsidP="0056436C">
            <w:pPr>
              <w:rPr>
                <w:sz w:val="22"/>
                <w:szCs w:val="22"/>
                <w:lang w:val="sr-Latn-ME"/>
              </w:rPr>
            </w:pPr>
            <w:r w:rsidRPr="0056436C">
              <w:rPr>
                <w:sz w:val="22"/>
                <w:szCs w:val="22"/>
                <w:lang w:val="sr-Latn-ME"/>
              </w:rPr>
              <w:t>(N=178)</w:t>
            </w:r>
          </w:p>
        </w:tc>
        <w:tc>
          <w:tcPr>
            <w:tcW w:w="80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8.8</w:t>
            </w:r>
          </w:p>
        </w:tc>
        <w:tc>
          <w:tcPr>
            <w:tcW w:w="144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-1.9</w:t>
            </w:r>
          </w:p>
        </w:tc>
        <w:tc>
          <w:tcPr>
            <w:tcW w:w="121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p>
          <w:p w:rsidR="00874368" w:rsidRPr="0056436C" w:rsidRDefault="00874368" w:rsidP="0056436C">
            <w:pPr>
              <w:jc w:val="center"/>
              <w:rPr>
                <w:sz w:val="22"/>
                <w:szCs w:val="22"/>
                <w:lang w:val="sr-Latn-ME"/>
              </w:rPr>
            </w:pPr>
            <w:r w:rsidRPr="0056436C">
              <w:rPr>
                <w:sz w:val="22"/>
                <w:szCs w:val="22"/>
                <w:lang w:val="sr-Latn-ME"/>
              </w:rPr>
              <w:t>-2.1</w:t>
            </w:r>
            <w:r w:rsidRPr="0056436C">
              <w:rPr>
                <w:sz w:val="22"/>
                <w:szCs w:val="22"/>
                <w:vertAlign w:val="superscript"/>
                <w:lang w:val="sr-Latn-ME"/>
              </w:rPr>
              <w:t>‡</w:t>
            </w:r>
          </w:p>
          <w:p w:rsidR="00874368" w:rsidRPr="0056436C" w:rsidRDefault="00874368" w:rsidP="0056436C">
            <w:pPr>
              <w:jc w:val="center"/>
              <w:rPr>
                <w:sz w:val="22"/>
                <w:szCs w:val="22"/>
                <w:lang w:val="sr-Latn-ME"/>
              </w:rPr>
            </w:pPr>
            <w:r w:rsidRPr="0056436C">
              <w:rPr>
                <w:sz w:val="22"/>
                <w:szCs w:val="22"/>
                <w:lang w:val="sr-Latn-ME"/>
              </w:rPr>
              <w:t>(-2.3, -1.8)</w:t>
            </w:r>
          </w:p>
        </w:tc>
      </w:tr>
      <w:tr w:rsidR="00874368" w:rsidRPr="0056436C" w:rsidTr="00080014">
        <w:trPr>
          <w:jc w:val="center"/>
        </w:trPr>
        <w:tc>
          <w:tcPr>
            <w:tcW w:w="1529" w:type="pct"/>
            <w:tcBorders>
              <w:top w:val="outset" w:sz="6" w:space="0" w:color="7B7B7B"/>
              <w:left w:val="outset" w:sz="6" w:space="0" w:color="7B7B7B"/>
              <w:bottom w:val="outset" w:sz="6" w:space="0" w:color="7B7B7B"/>
              <w:right w:val="outset" w:sz="6" w:space="0" w:color="7B7B7B"/>
            </w:tcBorders>
            <w:shd w:val="clear" w:color="auto" w:fill="FFFFFF"/>
            <w:hideMark/>
          </w:tcPr>
          <w:p w:rsidR="00874368" w:rsidRPr="0056436C" w:rsidRDefault="00874368" w:rsidP="0056436C">
            <w:pPr>
              <w:rPr>
                <w:sz w:val="22"/>
                <w:szCs w:val="22"/>
                <w:lang w:val="sr-Latn-ME"/>
              </w:rPr>
            </w:pPr>
            <w:r w:rsidRPr="0056436C">
              <w:rPr>
                <w:sz w:val="22"/>
                <w:szCs w:val="22"/>
                <w:lang w:val="sr-Latn-ME"/>
              </w:rPr>
              <w:t>Sitagliptin 100 mg jednom dnevno kao</w:t>
            </w:r>
          </w:p>
          <w:p w:rsidR="00874368" w:rsidRPr="0056436C" w:rsidRDefault="00874368" w:rsidP="0056436C">
            <w:pPr>
              <w:rPr>
                <w:sz w:val="22"/>
                <w:szCs w:val="22"/>
                <w:lang w:val="sr-Latn-ME"/>
              </w:rPr>
            </w:pPr>
            <w:r w:rsidRPr="0056436C">
              <w:rPr>
                <w:sz w:val="22"/>
                <w:szCs w:val="22"/>
                <w:lang w:val="sr-Latn-ME"/>
              </w:rPr>
              <w:t>dodatak postojećoj terapiji insulinom (+/- metformin)</w:t>
            </w:r>
            <w:r w:rsidR="002A6706" w:rsidRPr="0056436C">
              <w:rPr>
                <w:sz w:val="22"/>
                <w:szCs w:val="22"/>
                <w:vertAlign w:val="superscript"/>
                <w:lang w:val="sr-Latn-ME"/>
              </w:rPr>
              <w:t>II</w:t>
            </w:r>
          </w:p>
          <w:p w:rsidR="00874368" w:rsidRPr="0056436C" w:rsidRDefault="00874368" w:rsidP="0056436C">
            <w:pPr>
              <w:rPr>
                <w:sz w:val="22"/>
                <w:szCs w:val="22"/>
                <w:lang w:val="sr-Latn-ME"/>
              </w:rPr>
            </w:pPr>
            <w:r w:rsidRPr="0056436C">
              <w:rPr>
                <w:sz w:val="22"/>
                <w:szCs w:val="22"/>
                <w:lang w:val="sr-Latn-ME"/>
              </w:rPr>
              <w:t>(N=305)</w:t>
            </w:r>
          </w:p>
        </w:tc>
        <w:tc>
          <w:tcPr>
            <w:tcW w:w="80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8.7</w:t>
            </w:r>
          </w:p>
        </w:tc>
        <w:tc>
          <w:tcPr>
            <w:tcW w:w="144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-0.6</w:t>
            </w:r>
            <w:r w:rsidRPr="0056436C">
              <w:rPr>
                <w:sz w:val="22"/>
                <w:szCs w:val="22"/>
                <w:vertAlign w:val="superscript"/>
                <w:lang w:val="sr-Latn-ME"/>
              </w:rPr>
              <w:t>¶</w:t>
            </w:r>
          </w:p>
        </w:tc>
        <w:tc>
          <w:tcPr>
            <w:tcW w:w="1217"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874368" w:rsidRPr="0056436C" w:rsidRDefault="00874368" w:rsidP="0056436C">
            <w:pPr>
              <w:jc w:val="center"/>
              <w:rPr>
                <w:sz w:val="22"/>
                <w:szCs w:val="22"/>
                <w:lang w:val="sr-Latn-ME"/>
              </w:rPr>
            </w:pPr>
            <w:r w:rsidRPr="0056436C">
              <w:rPr>
                <w:sz w:val="22"/>
                <w:szCs w:val="22"/>
                <w:lang w:val="sr-Latn-ME"/>
              </w:rPr>
              <w:t>-0.6</w:t>
            </w:r>
            <w:r w:rsidRPr="0056436C">
              <w:rPr>
                <w:sz w:val="22"/>
                <w:szCs w:val="22"/>
                <w:vertAlign w:val="superscript"/>
                <w:lang w:val="sr-Latn-ME"/>
              </w:rPr>
              <w:t>‡,¶</w:t>
            </w:r>
          </w:p>
          <w:p w:rsidR="00874368" w:rsidRPr="0056436C" w:rsidRDefault="00874368" w:rsidP="0056436C">
            <w:pPr>
              <w:jc w:val="center"/>
              <w:rPr>
                <w:sz w:val="22"/>
                <w:szCs w:val="22"/>
                <w:lang w:val="sr-Latn-ME"/>
              </w:rPr>
            </w:pPr>
            <w:r w:rsidRPr="0056436C">
              <w:rPr>
                <w:sz w:val="22"/>
                <w:szCs w:val="22"/>
                <w:lang w:val="sr-Latn-ME"/>
              </w:rPr>
              <w:t>(-0.7, -0.4)</w:t>
            </w:r>
          </w:p>
        </w:tc>
      </w:tr>
    </w:tbl>
    <w:p w:rsidR="007C018B" w:rsidRPr="0056436C" w:rsidRDefault="007C018B" w:rsidP="0056436C">
      <w:pPr>
        <w:jc w:val="both"/>
        <w:rPr>
          <w:bCs/>
          <w:sz w:val="22"/>
          <w:szCs w:val="22"/>
          <w:lang w:val="sr-Latn-ME"/>
        </w:rPr>
      </w:pPr>
      <w:r w:rsidRPr="0056436C">
        <w:rPr>
          <w:bCs/>
          <w:sz w:val="22"/>
          <w:szCs w:val="22"/>
          <w:vertAlign w:val="superscript"/>
          <w:lang w:val="sr-Latn-ME"/>
        </w:rPr>
        <w:t>*</w:t>
      </w:r>
      <w:r w:rsidR="009C08EE" w:rsidRPr="0056436C">
        <w:rPr>
          <w:bCs/>
          <w:sz w:val="22"/>
          <w:szCs w:val="22"/>
          <w:vertAlign w:val="superscript"/>
          <w:lang w:val="sr-Latn-ME"/>
        </w:rPr>
        <w:t xml:space="preserve"> </w:t>
      </w:r>
      <w:r w:rsidR="003E2CA7" w:rsidRPr="0056436C">
        <w:rPr>
          <w:bCs/>
          <w:sz w:val="22"/>
          <w:szCs w:val="22"/>
          <w:lang w:val="sr-Latn-ME"/>
        </w:rPr>
        <w:t>Populacija</w:t>
      </w:r>
      <w:r w:rsidRPr="0056436C">
        <w:rPr>
          <w:bCs/>
          <w:sz w:val="22"/>
          <w:szCs w:val="22"/>
          <w:lang w:val="sr-Latn-ME"/>
        </w:rPr>
        <w:t xml:space="preserve"> svih liječenih </w:t>
      </w:r>
      <w:r w:rsidR="003E2CA7" w:rsidRPr="0056436C">
        <w:rPr>
          <w:bCs/>
          <w:sz w:val="22"/>
          <w:szCs w:val="22"/>
          <w:lang w:val="sr-Latn-ME"/>
        </w:rPr>
        <w:t xml:space="preserve">pacijenata </w:t>
      </w:r>
      <w:r w:rsidRPr="0056436C">
        <w:rPr>
          <w:bCs/>
          <w:sz w:val="22"/>
          <w:szCs w:val="22"/>
          <w:lang w:val="sr-Latn-ME"/>
        </w:rPr>
        <w:t>(</w:t>
      </w:r>
      <w:r w:rsidR="003E2CA7" w:rsidRPr="0056436C">
        <w:rPr>
          <w:bCs/>
          <w:sz w:val="22"/>
          <w:szCs w:val="22"/>
          <w:lang w:val="sr-Latn-ME"/>
        </w:rPr>
        <w:t xml:space="preserve">analiza po planiranom planu ispitivanja., engl. </w:t>
      </w:r>
      <w:r w:rsidRPr="0056436C">
        <w:rPr>
          <w:bCs/>
          <w:i/>
          <w:sz w:val="22"/>
          <w:szCs w:val="22"/>
          <w:lang w:val="sr-Latn-ME"/>
        </w:rPr>
        <w:t>intention-to-treat</w:t>
      </w:r>
      <w:r w:rsidR="003E2CA7" w:rsidRPr="0056436C">
        <w:rPr>
          <w:bCs/>
          <w:i/>
          <w:sz w:val="22"/>
          <w:szCs w:val="22"/>
          <w:lang w:val="sr-Latn-ME"/>
        </w:rPr>
        <w:t xml:space="preserve"> </w:t>
      </w:r>
      <w:r w:rsidRPr="0056436C">
        <w:rPr>
          <w:bCs/>
          <w:i/>
          <w:sz w:val="22"/>
          <w:szCs w:val="22"/>
          <w:lang w:val="sr-Latn-ME"/>
        </w:rPr>
        <w:t>anal</w:t>
      </w:r>
      <w:r w:rsidR="003E2CA7" w:rsidRPr="0056436C">
        <w:rPr>
          <w:bCs/>
          <w:i/>
          <w:sz w:val="22"/>
          <w:szCs w:val="22"/>
          <w:lang w:val="sr-Latn-ME"/>
        </w:rPr>
        <w:t>ysis</w:t>
      </w:r>
      <w:r w:rsidRPr="0056436C">
        <w:rPr>
          <w:bCs/>
          <w:sz w:val="22"/>
          <w:szCs w:val="22"/>
          <w:lang w:val="sr-Latn-ME"/>
        </w:rPr>
        <w:t>)</w:t>
      </w:r>
      <w:r w:rsidR="0006572B" w:rsidRPr="0056436C">
        <w:rPr>
          <w:bCs/>
          <w:sz w:val="22"/>
          <w:szCs w:val="22"/>
          <w:lang w:val="sr-Latn-ME"/>
        </w:rPr>
        <w:t>.</w:t>
      </w:r>
    </w:p>
    <w:p w:rsidR="007C018B" w:rsidRPr="0056436C" w:rsidRDefault="007C018B" w:rsidP="0056436C">
      <w:pPr>
        <w:jc w:val="both"/>
        <w:rPr>
          <w:bCs/>
          <w:sz w:val="22"/>
          <w:szCs w:val="22"/>
          <w:lang w:val="sr-Latn-ME"/>
        </w:rPr>
      </w:pPr>
      <w:r w:rsidRPr="0056436C">
        <w:rPr>
          <w:bCs/>
          <w:sz w:val="22"/>
          <w:szCs w:val="22"/>
          <w:vertAlign w:val="superscript"/>
          <w:lang w:val="sr-Latn-ME"/>
        </w:rPr>
        <w:t>†</w:t>
      </w:r>
      <w:r w:rsidR="009C08EE" w:rsidRPr="0056436C">
        <w:rPr>
          <w:bCs/>
          <w:sz w:val="22"/>
          <w:szCs w:val="22"/>
          <w:vertAlign w:val="superscript"/>
          <w:lang w:val="sr-Latn-ME"/>
        </w:rPr>
        <w:t xml:space="preserve"> </w:t>
      </w:r>
      <w:r w:rsidRPr="0056436C">
        <w:rPr>
          <w:bCs/>
          <w:sz w:val="22"/>
          <w:szCs w:val="22"/>
          <w:lang w:val="sr-Latn-ME"/>
        </w:rPr>
        <w:t>Srednja vrijednost najmanjih kvadrata prilagođena statusu prethodne antihiperglikemijske terapije i vr</w:t>
      </w:r>
      <w:r w:rsidR="0006572B" w:rsidRPr="0056436C">
        <w:rPr>
          <w:bCs/>
          <w:sz w:val="22"/>
          <w:szCs w:val="22"/>
          <w:lang w:val="sr-Latn-ME"/>
        </w:rPr>
        <w:t>ij</w:t>
      </w:r>
      <w:r w:rsidRPr="0056436C">
        <w:rPr>
          <w:bCs/>
          <w:sz w:val="22"/>
          <w:szCs w:val="22"/>
          <w:lang w:val="sr-Latn-ME"/>
        </w:rPr>
        <w:t>ednostima na početku ispitivanja.</w:t>
      </w:r>
    </w:p>
    <w:p w:rsidR="007C018B" w:rsidRPr="0056436C" w:rsidRDefault="007C018B" w:rsidP="0056436C">
      <w:pPr>
        <w:jc w:val="both"/>
        <w:rPr>
          <w:bCs/>
          <w:sz w:val="22"/>
          <w:szCs w:val="22"/>
          <w:lang w:val="sr-Latn-ME"/>
        </w:rPr>
      </w:pPr>
      <w:r w:rsidRPr="0056436C">
        <w:rPr>
          <w:bCs/>
          <w:sz w:val="22"/>
          <w:szCs w:val="22"/>
          <w:vertAlign w:val="superscript"/>
          <w:lang w:val="sr-Latn-ME"/>
        </w:rPr>
        <w:t>‡</w:t>
      </w:r>
      <w:r w:rsidR="009C08EE" w:rsidRPr="0056436C">
        <w:rPr>
          <w:bCs/>
          <w:sz w:val="22"/>
          <w:szCs w:val="22"/>
          <w:vertAlign w:val="superscript"/>
          <w:lang w:val="sr-Latn-ME"/>
        </w:rPr>
        <w:t xml:space="preserve"> </w:t>
      </w:r>
      <w:r w:rsidRPr="0056436C">
        <w:rPr>
          <w:bCs/>
          <w:sz w:val="22"/>
          <w:szCs w:val="22"/>
          <w:lang w:val="sr-Latn-ME"/>
        </w:rPr>
        <w:t>p&lt;0,001 u odnosu na placebo ili u odnosu na placebo + kombinovana terapija.</w:t>
      </w:r>
    </w:p>
    <w:p w:rsidR="00EB5063" w:rsidRPr="0056436C" w:rsidRDefault="007C018B" w:rsidP="0056436C">
      <w:pPr>
        <w:jc w:val="both"/>
        <w:rPr>
          <w:bCs/>
          <w:sz w:val="22"/>
          <w:szCs w:val="22"/>
          <w:lang w:val="sr-Latn-ME"/>
        </w:rPr>
      </w:pPr>
      <w:r w:rsidRPr="0056436C">
        <w:rPr>
          <w:bCs/>
          <w:sz w:val="22"/>
          <w:szCs w:val="22"/>
          <w:vertAlign w:val="superscript"/>
          <w:lang w:val="sr-Latn-ME"/>
        </w:rPr>
        <w:t>§</w:t>
      </w:r>
      <w:r w:rsidR="009C08EE" w:rsidRPr="0056436C">
        <w:rPr>
          <w:bCs/>
          <w:sz w:val="22"/>
          <w:szCs w:val="22"/>
          <w:vertAlign w:val="superscript"/>
          <w:lang w:val="sr-Latn-ME"/>
        </w:rPr>
        <w:t xml:space="preserve"> </w:t>
      </w:r>
      <w:r w:rsidRPr="0056436C">
        <w:rPr>
          <w:bCs/>
          <w:sz w:val="22"/>
          <w:szCs w:val="22"/>
          <w:lang w:val="sr-Latn-ME"/>
        </w:rPr>
        <w:t>HbA</w:t>
      </w:r>
      <w:r w:rsidRPr="0056436C">
        <w:rPr>
          <w:bCs/>
          <w:sz w:val="22"/>
          <w:szCs w:val="22"/>
          <w:vertAlign w:val="subscript"/>
          <w:lang w:val="sr-Latn-ME"/>
        </w:rPr>
        <w:t>1c</w:t>
      </w:r>
      <w:r w:rsidRPr="0056436C">
        <w:rPr>
          <w:bCs/>
          <w:sz w:val="22"/>
          <w:szCs w:val="22"/>
          <w:lang w:val="sr-Latn-ME"/>
        </w:rPr>
        <w:t xml:space="preserve"> (%) nakon 18 nedjelja terapije.</w:t>
      </w:r>
    </w:p>
    <w:p w:rsidR="00EB5063" w:rsidRPr="0056436C" w:rsidRDefault="002A6706" w:rsidP="0056436C">
      <w:pPr>
        <w:jc w:val="both"/>
        <w:rPr>
          <w:bCs/>
          <w:sz w:val="22"/>
          <w:szCs w:val="22"/>
          <w:lang w:val="sr-Latn-ME"/>
        </w:rPr>
      </w:pPr>
      <w:r w:rsidRPr="0056436C">
        <w:rPr>
          <w:bCs/>
          <w:sz w:val="22"/>
          <w:szCs w:val="22"/>
          <w:vertAlign w:val="superscript"/>
          <w:lang w:val="sr-Latn-ME"/>
        </w:rPr>
        <w:t>II</w:t>
      </w:r>
      <w:r w:rsidR="009C08EE" w:rsidRPr="0056436C">
        <w:rPr>
          <w:bCs/>
          <w:sz w:val="22"/>
          <w:szCs w:val="22"/>
          <w:vertAlign w:val="superscript"/>
          <w:lang w:val="sr-Latn-ME"/>
        </w:rPr>
        <w:t xml:space="preserve"> </w:t>
      </w:r>
      <w:r w:rsidR="007C018B" w:rsidRPr="0056436C">
        <w:rPr>
          <w:bCs/>
          <w:sz w:val="22"/>
          <w:szCs w:val="22"/>
          <w:lang w:val="sr-Latn-ME"/>
        </w:rPr>
        <w:t>HbA</w:t>
      </w:r>
      <w:r w:rsidR="007C018B" w:rsidRPr="0056436C">
        <w:rPr>
          <w:bCs/>
          <w:sz w:val="22"/>
          <w:szCs w:val="22"/>
          <w:vertAlign w:val="subscript"/>
          <w:lang w:val="sr-Latn-ME"/>
        </w:rPr>
        <w:t>1c</w:t>
      </w:r>
      <w:r w:rsidR="007C018B" w:rsidRPr="0056436C">
        <w:rPr>
          <w:bCs/>
          <w:sz w:val="22"/>
          <w:szCs w:val="22"/>
          <w:lang w:val="sr-Latn-ME"/>
        </w:rPr>
        <w:t xml:space="preserve"> (%) nakon 24 nedjelja terapije.</w:t>
      </w:r>
    </w:p>
    <w:p w:rsidR="007C018B" w:rsidRPr="0056436C" w:rsidRDefault="007C018B" w:rsidP="0056436C">
      <w:pPr>
        <w:jc w:val="both"/>
        <w:rPr>
          <w:bCs/>
          <w:sz w:val="22"/>
          <w:szCs w:val="22"/>
          <w:lang w:val="sr-Latn-ME"/>
        </w:rPr>
      </w:pPr>
      <w:r w:rsidRPr="0056436C">
        <w:rPr>
          <w:bCs/>
          <w:sz w:val="22"/>
          <w:szCs w:val="22"/>
          <w:vertAlign w:val="superscript"/>
          <w:lang w:val="sr-Latn-ME"/>
        </w:rPr>
        <w:t>#</w:t>
      </w:r>
      <w:r w:rsidR="009C08EE" w:rsidRPr="0056436C">
        <w:rPr>
          <w:bCs/>
          <w:sz w:val="22"/>
          <w:szCs w:val="22"/>
          <w:vertAlign w:val="superscript"/>
          <w:lang w:val="sr-Latn-ME"/>
        </w:rPr>
        <w:t xml:space="preserve"> </w:t>
      </w:r>
      <w:r w:rsidRPr="0056436C">
        <w:rPr>
          <w:bCs/>
          <w:sz w:val="22"/>
          <w:szCs w:val="22"/>
          <w:lang w:val="sr-Latn-ME"/>
        </w:rPr>
        <w:t>HbA</w:t>
      </w:r>
      <w:r w:rsidRPr="0056436C">
        <w:rPr>
          <w:bCs/>
          <w:sz w:val="22"/>
          <w:szCs w:val="22"/>
          <w:vertAlign w:val="subscript"/>
          <w:lang w:val="sr-Latn-ME"/>
        </w:rPr>
        <w:t>1c</w:t>
      </w:r>
      <w:r w:rsidRPr="0056436C">
        <w:rPr>
          <w:bCs/>
          <w:sz w:val="22"/>
          <w:szCs w:val="22"/>
          <w:lang w:val="sr-Latn-ME"/>
        </w:rPr>
        <w:t xml:space="preserve"> (%) nakon 26 nedjelja terapije.</w:t>
      </w:r>
    </w:p>
    <w:p w:rsidR="007C018B" w:rsidRPr="0056436C" w:rsidRDefault="007C018B" w:rsidP="0056436C">
      <w:pPr>
        <w:jc w:val="both"/>
        <w:rPr>
          <w:bCs/>
          <w:sz w:val="22"/>
          <w:szCs w:val="22"/>
          <w:lang w:val="sr-Latn-ME"/>
        </w:rPr>
      </w:pPr>
      <w:r w:rsidRPr="0056436C">
        <w:rPr>
          <w:bCs/>
          <w:sz w:val="22"/>
          <w:szCs w:val="22"/>
          <w:vertAlign w:val="superscript"/>
          <w:lang w:val="sr-Latn-ME"/>
        </w:rPr>
        <w:t>¶</w:t>
      </w:r>
      <w:r w:rsidR="009C08EE" w:rsidRPr="0056436C">
        <w:rPr>
          <w:bCs/>
          <w:sz w:val="22"/>
          <w:szCs w:val="22"/>
          <w:vertAlign w:val="superscript"/>
          <w:lang w:val="sr-Latn-ME"/>
        </w:rPr>
        <w:t xml:space="preserve"> </w:t>
      </w:r>
      <w:r w:rsidRPr="0056436C">
        <w:rPr>
          <w:bCs/>
          <w:sz w:val="22"/>
          <w:szCs w:val="22"/>
          <w:lang w:val="sr-Latn-ME"/>
        </w:rPr>
        <w:t xml:space="preserve">Srednja vrijednost najmanjih kvadrata prilagođena primjeni metformina na prvom pregledu (da/ne), primjeni insulina na prvom pregledu (fiksna mješavina insulina </w:t>
      </w:r>
      <w:r w:rsidR="00EB5063" w:rsidRPr="0056436C">
        <w:rPr>
          <w:bCs/>
          <w:sz w:val="22"/>
          <w:szCs w:val="22"/>
          <w:lang w:val="sr-Latn-ME"/>
        </w:rPr>
        <w:t xml:space="preserve">naspram </w:t>
      </w:r>
      <w:r w:rsidRPr="0056436C">
        <w:rPr>
          <w:bCs/>
          <w:sz w:val="22"/>
          <w:szCs w:val="22"/>
          <w:lang w:val="sr-Latn-ME"/>
        </w:rPr>
        <w:t xml:space="preserve">srednjedjelujući ili dugodjelujući) </w:t>
      </w:r>
      <w:r w:rsidR="002A6706" w:rsidRPr="0056436C">
        <w:rPr>
          <w:bCs/>
          <w:sz w:val="22"/>
          <w:szCs w:val="22"/>
          <w:lang w:val="sr-Latn-ME"/>
        </w:rPr>
        <w:t xml:space="preserve">i </w:t>
      </w:r>
      <w:r w:rsidRPr="0056436C">
        <w:rPr>
          <w:bCs/>
          <w:sz w:val="22"/>
          <w:szCs w:val="22"/>
          <w:lang w:val="sr-Latn-ME"/>
        </w:rPr>
        <w:t>vrijednostima na početku ispitivanja. Razlike u interakcijama u terapiji prema stratumima (primjena metformina i insulina) ni</w:t>
      </w:r>
      <w:r w:rsidR="0006572B" w:rsidRPr="0056436C">
        <w:rPr>
          <w:bCs/>
          <w:sz w:val="22"/>
          <w:szCs w:val="22"/>
          <w:lang w:val="sr-Latn-ME"/>
        </w:rPr>
        <w:t>je</w:t>
      </w:r>
      <w:r w:rsidRPr="0056436C">
        <w:rPr>
          <w:bCs/>
          <w:sz w:val="22"/>
          <w:szCs w:val="22"/>
          <w:lang w:val="sr-Latn-ME"/>
        </w:rPr>
        <w:t>su bile značajne (p&gt;0,10).</w:t>
      </w:r>
    </w:p>
    <w:p w:rsidR="007C018B" w:rsidRPr="0056436C" w:rsidRDefault="007C018B" w:rsidP="0056436C">
      <w:pPr>
        <w:jc w:val="both"/>
        <w:rPr>
          <w:b/>
          <w:bCs/>
          <w:sz w:val="22"/>
          <w:szCs w:val="22"/>
          <w:lang w:val="sr-Latn-ME"/>
        </w:rPr>
      </w:pPr>
    </w:p>
    <w:p w:rsidR="007C018B" w:rsidRPr="0056436C" w:rsidRDefault="007C018B" w:rsidP="0056436C">
      <w:pPr>
        <w:jc w:val="both"/>
        <w:rPr>
          <w:bCs/>
          <w:sz w:val="22"/>
          <w:szCs w:val="22"/>
          <w:lang w:val="sr-Latn-ME"/>
        </w:rPr>
      </w:pPr>
      <w:r w:rsidRPr="0056436C">
        <w:rPr>
          <w:bCs/>
          <w:sz w:val="22"/>
          <w:szCs w:val="22"/>
          <w:lang w:val="sr-Latn-ME"/>
        </w:rPr>
        <w:t>24-nedjeljn</w:t>
      </w:r>
      <w:r w:rsidR="0006572B" w:rsidRPr="0056436C">
        <w:rPr>
          <w:bCs/>
          <w:sz w:val="22"/>
          <w:szCs w:val="22"/>
          <w:lang w:val="sr-Latn-ME"/>
        </w:rPr>
        <w:t>o</w:t>
      </w:r>
      <w:r w:rsidRPr="0056436C">
        <w:rPr>
          <w:bCs/>
          <w:sz w:val="22"/>
          <w:szCs w:val="22"/>
          <w:lang w:val="sr-Latn-ME"/>
        </w:rPr>
        <w:t xml:space="preserve"> </w:t>
      </w:r>
      <w:r w:rsidR="0006572B" w:rsidRPr="0056436C">
        <w:rPr>
          <w:bCs/>
          <w:sz w:val="22"/>
          <w:szCs w:val="22"/>
          <w:lang w:val="sr-Latn-ME"/>
        </w:rPr>
        <w:t xml:space="preserve">aktivno metforminom kontrolisano ispitivanje </w:t>
      </w:r>
      <w:r w:rsidRPr="0056436C">
        <w:rPr>
          <w:bCs/>
          <w:sz w:val="22"/>
          <w:szCs w:val="22"/>
          <w:lang w:val="sr-Latn-ME"/>
        </w:rPr>
        <w:t>dizajniran</w:t>
      </w:r>
      <w:r w:rsidR="0006572B" w:rsidRPr="0056436C">
        <w:rPr>
          <w:bCs/>
          <w:sz w:val="22"/>
          <w:szCs w:val="22"/>
          <w:lang w:val="sr-Latn-ME"/>
        </w:rPr>
        <w:t>o</w:t>
      </w:r>
      <w:r w:rsidRPr="0056436C">
        <w:rPr>
          <w:bCs/>
          <w:sz w:val="22"/>
          <w:szCs w:val="22"/>
          <w:lang w:val="sr-Latn-ME"/>
        </w:rPr>
        <w:t xml:space="preserve"> je </w:t>
      </w:r>
      <w:r w:rsidR="0006572B" w:rsidRPr="0056436C">
        <w:rPr>
          <w:bCs/>
          <w:sz w:val="22"/>
          <w:szCs w:val="22"/>
          <w:lang w:val="sr-Latn-ME"/>
        </w:rPr>
        <w:t xml:space="preserve">da bi se </w:t>
      </w:r>
      <w:r w:rsidRPr="0056436C">
        <w:rPr>
          <w:bCs/>
          <w:sz w:val="22"/>
          <w:szCs w:val="22"/>
          <w:lang w:val="sr-Latn-ME"/>
        </w:rPr>
        <w:t>proc</w:t>
      </w:r>
      <w:r w:rsidR="0006572B" w:rsidRPr="0056436C">
        <w:rPr>
          <w:bCs/>
          <w:sz w:val="22"/>
          <w:szCs w:val="22"/>
          <w:lang w:val="sr-Latn-ME"/>
        </w:rPr>
        <w:t>i</w:t>
      </w:r>
      <w:r w:rsidRPr="0056436C">
        <w:rPr>
          <w:bCs/>
          <w:sz w:val="22"/>
          <w:szCs w:val="22"/>
          <w:lang w:val="sr-Latn-ME"/>
        </w:rPr>
        <w:t>jen</w:t>
      </w:r>
      <w:r w:rsidR="0006572B" w:rsidRPr="0056436C">
        <w:rPr>
          <w:bCs/>
          <w:sz w:val="22"/>
          <w:szCs w:val="22"/>
          <w:lang w:val="sr-Latn-ME"/>
        </w:rPr>
        <w:t>ile</w:t>
      </w:r>
      <w:r w:rsidRPr="0056436C">
        <w:rPr>
          <w:bCs/>
          <w:sz w:val="22"/>
          <w:szCs w:val="22"/>
          <w:lang w:val="sr-Latn-ME"/>
        </w:rPr>
        <w:t xml:space="preserve"> efikasnost i bezbjednost sitagliptina u dozi od 100 mg jednom dnevno (N=528) u poređenju sa metforminom (N=522) kod pacijenata kod kojih adekvatna kontrola glikemije nije mogla da se postigne primjenom samo dijete i fizičkih vježbi, a koji ni</w:t>
      </w:r>
      <w:r w:rsidR="0006572B" w:rsidRPr="0056436C">
        <w:rPr>
          <w:bCs/>
          <w:sz w:val="22"/>
          <w:szCs w:val="22"/>
          <w:lang w:val="sr-Latn-ME"/>
        </w:rPr>
        <w:t>je</w:t>
      </w:r>
      <w:r w:rsidRPr="0056436C">
        <w:rPr>
          <w:bCs/>
          <w:sz w:val="22"/>
          <w:szCs w:val="22"/>
          <w:lang w:val="sr-Latn-ME"/>
        </w:rPr>
        <w:t>su primali antihiperglikemijsku terapiju (koji su bili bez terapije najmanje 4 mjeseca). Srednja doza metformina bila je oko 1900 mg na dan. Smanjenje vrijednosti HbA</w:t>
      </w:r>
      <w:r w:rsidRPr="0056436C">
        <w:rPr>
          <w:bCs/>
          <w:sz w:val="22"/>
          <w:szCs w:val="22"/>
          <w:vertAlign w:val="subscript"/>
          <w:lang w:val="sr-Latn-ME"/>
        </w:rPr>
        <w:t>1c</w:t>
      </w:r>
      <w:r w:rsidRPr="0056436C">
        <w:rPr>
          <w:bCs/>
          <w:sz w:val="22"/>
          <w:szCs w:val="22"/>
          <w:lang w:val="sr-Latn-ME"/>
        </w:rPr>
        <w:t xml:space="preserve"> u odnosu na srednju vrijednost sa početka ispitivanja od 7,2%, bilo je -0,43% za sitagliptin i -0,57% za metformin (</w:t>
      </w:r>
      <w:r w:rsidR="005A1F60" w:rsidRPr="0056436C">
        <w:rPr>
          <w:bCs/>
          <w:sz w:val="22"/>
          <w:szCs w:val="22"/>
          <w:lang w:val="sr-Latn-ME"/>
        </w:rPr>
        <w:t xml:space="preserve">analiza po realizovanom planu ispitivanja, engl. </w:t>
      </w:r>
      <w:r w:rsidRPr="0056436C">
        <w:rPr>
          <w:bCs/>
          <w:i/>
          <w:sz w:val="22"/>
          <w:szCs w:val="22"/>
          <w:lang w:val="sr-Latn-ME"/>
        </w:rPr>
        <w:t>per-proto</w:t>
      </w:r>
      <w:r w:rsidR="005A1F60" w:rsidRPr="0056436C">
        <w:rPr>
          <w:bCs/>
          <w:i/>
          <w:sz w:val="22"/>
          <w:szCs w:val="22"/>
          <w:lang w:val="sr-Latn-ME"/>
        </w:rPr>
        <w:t>c</w:t>
      </w:r>
      <w:r w:rsidRPr="0056436C">
        <w:rPr>
          <w:bCs/>
          <w:i/>
          <w:sz w:val="22"/>
          <w:szCs w:val="22"/>
          <w:lang w:val="sr-Latn-ME"/>
        </w:rPr>
        <w:t>ol anal</w:t>
      </w:r>
      <w:r w:rsidR="005A1F60" w:rsidRPr="0056436C">
        <w:rPr>
          <w:bCs/>
          <w:i/>
          <w:sz w:val="22"/>
          <w:szCs w:val="22"/>
          <w:lang w:val="sr-Latn-ME"/>
        </w:rPr>
        <w:t>ysis</w:t>
      </w:r>
      <w:r w:rsidRPr="0056436C">
        <w:rPr>
          <w:bCs/>
          <w:sz w:val="22"/>
          <w:szCs w:val="22"/>
          <w:lang w:val="sr-Latn-ME"/>
        </w:rPr>
        <w:t>). Ukupna učestalost gastrointestinalnih neželjenih reakcija, za koje se smatralo da su povezane sa uzimanjem lijeka, kod pacijenata koji su liječeni sitagliptinom bila je 2,7%, u poređenju sa 12,6% kod pacijenata koji su dobijali metformin. Učestalost hipoglikemije nije se značajno razlikovala između dv</w:t>
      </w:r>
      <w:r w:rsidR="005A1F60" w:rsidRPr="0056436C">
        <w:rPr>
          <w:bCs/>
          <w:sz w:val="22"/>
          <w:szCs w:val="22"/>
          <w:lang w:val="sr-Latn-ME"/>
        </w:rPr>
        <w:t>ij</w:t>
      </w:r>
      <w:r w:rsidRPr="0056436C">
        <w:rPr>
          <w:bCs/>
          <w:sz w:val="22"/>
          <w:szCs w:val="22"/>
          <w:lang w:val="sr-Latn-ME"/>
        </w:rPr>
        <w:t>e terapijske grupe (1,3% za sitagliptin i 1,9% za metformin). U obje ispitivane grupe došlo je do smanjenja tjelesne mase u odnosu na vrijednost na početku ispitivanja (-0,6 kg za sitagliptin i -1,9 kg za metformin).</w:t>
      </w:r>
    </w:p>
    <w:p w:rsidR="007C018B" w:rsidRPr="0056436C" w:rsidRDefault="007C018B" w:rsidP="0056436C">
      <w:pPr>
        <w:jc w:val="both"/>
        <w:rPr>
          <w:bCs/>
          <w:sz w:val="22"/>
          <w:szCs w:val="22"/>
          <w:lang w:val="sr-Latn-ME"/>
        </w:rPr>
      </w:pPr>
    </w:p>
    <w:p w:rsidR="007C018B" w:rsidRPr="0056436C" w:rsidRDefault="007C018B" w:rsidP="0056436C">
      <w:pPr>
        <w:jc w:val="both"/>
        <w:rPr>
          <w:bCs/>
          <w:sz w:val="22"/>
          <w:szCs w:val="22"/>
          <w:lang w:val="sr-Latn-ME"/>
        </w:rPr>
      </w:pPr>
      <w:r w:rsidRPr="0056436C">
        <w:rPr>
          <w:bCs/>
          <w:sz w:val="22"/>
          <w:szCs w:val="22"/>
          <w:lang w:val="sr-Latn-ME"/>
        </w:rPr>
        <w:t>U jedno</w:t>
      </w:r>
      <w:r w:rsidR="00265A59" w:rsidRPr="0056436C">
        <w:rPr>
          <w:bCs/>
          <w:sz w:val="22"/>
          <w:szCs w:val="22"/>
          <w:lang w:val="sr-Latn-ME"/>
        </w:rPr>
        <w:t>m ispitivanju</w:t>
      </w:r>
      <w:r w:rsidRPr="0056436C">
        <w:rPr>
          <w:bCs/>
          <w:sz w:val="22"/>
          <w:szCs w:val="22"/>
          <w:lang w:val="sr-Latn-ME"/>
        </w:rPr>
        <w:t xml:space="preserve"> u koj</w:t>
      </w:r>
      <w:r w:rsidR="00265A59" w:rsidRPr="0056436C">
        <w:rPr>
          <w:bCs/>
          <w:sz w:val="22"/>
          <w:szCs w:val="22"/>
          <w:lang w:val="sr-Latn-ME"/>
        </w:rPr>
        <w:t>em</w:t>
      </w:r>
      <w:r w:rsidRPr="0056436C">
        <w:rPr>
          <w:bCs/>
          <w:sz w:val="22"/>
          <w:szCs w:val="22"/>
          <w:lang w:val="sr-Latn-ME"/>
        </w:rPr>
        <w:t xml:space="preserve"> su poređen</w:t>
      </w:r>
      <w:r w:rsidR="005A1F60" w:rsidRPr="0056436C">
        <w:rPr>
          <w:bCs/>
          <w:sz w:val="22"/>
          <w:szCs w:val="22"/>
          <w:lang w:val="sr-Latn-ME"/>
        </w:rPr>
        <w:t>e</w:t>
      </w:r>
      <w:r w:rsidRPr="0056436C">
        <w:rPr>
          <w:bCs/>
          <w:sz w:val="22"/>
          <w:szCs w:val="22"/>
          <w:lang w:val="sr-Latn-ME"/>
        </w:rPr>
        <w:t xml:space="preserve"> efikasnost i bezbjednost dodatne terapije sitagliptinom u dozi od 100 mg jednom dnevno ili glipizidom (derivatom sulfoniluree) kod pacijenata kod kojih adekvatna kontrola glikemije nije mogla da se postigne monoterapijom metforminom, sitagliptin je ispoljio sličan efekat kao i glipizid u smanjenju vrijednosti HbA</w:t>
      </w:r>
      <w:r w:rsidRPr="0056436C">
        <w:rPr>
          <w:bCs/>
          <w:sz w:val="22"/>
          <w:szCs w:val="22"/>
          <w:vertAlign w:val="subscript"/>
          <w:lang w:val="sr-Latn-ME"/>
        </w:rPr>
        <w:t>1c</w:t>
      </w:r>
      <w:r w:rsidRPr="0056436C">
        <w:rPr>
          <w:bCs/>
          <w:sz w:val="22"/>
          <w:szCs w:val="22"/>
          <w:lang w:val="sr-Latn-ME"/>
        </w:rPr>
        <w:t>. Srednja doza glipizida koja je korišćena u poredbenoj grupi bila je 10 mg na dan, a kod oko 40% pacijenata, tokom cijel</w:t>
      </w:r>
      <w:r w:rsidR="005A1F60" w:rsidRPr="0056436C">
        <w:rPr>
          <w:bCs/>
          <w:sz w:val="22"/>
          <w:szCs w:val="22"/>
          <w:lang w:val="sr-Latn-ME"/>
        </w:rPr>
        <w:t>og</w:t>
      </w:r>
      <w:r w:rsidRPr="0056436C">
        <w:rPr>
          <w:bCs/>
          <w:sz w:val="22"/>
          <w:szCs w:val="22"/>
          <w:lang w:val="sr-Latn-ME"/>
        </w:rPr>
        <w:t xml:space="preserve"> trajanja </w:t>
      </w:r>
      <w:r w:rsidR="00265A59" w:rsidRPr="0056436C">
        <w:rPr>
          <w:bCs/>
          <w:sz w:val="22"/>
          <w:szCs w:val="22"/>
          <w:lang w:val="sr-Latn-ME"/>
        </w:rPr>
        <w:t>ispitivanja</w:t>
      </w:r>
      <w:r w:rsidRPr="0056436C">
        <w:rPr>
          <w:bCs/>
          <w:sz w:val="22"/>
          <w:szCs w:val="22"/>
          <w:lang w:val="sr-Latn-ME"/>
        </w:rPr>
        <w:t>, bilo je potrebno da</w:t>
      </w:r>
      <w:r w:rsidR="0036269B" w:rsidRPr="0056436C">
        <w:rPr>
          <w:bCs/>
          <w:sz w:val="22"/>
          <w:szCs w:val="22"/>
          <w:lang w:val="sr-Latn-ME"/>
        </w:rPr>
        <w:t>va</w:t>
      </w:r>
      <w:r w:rsidRPr="0056436C">
        <w:rPr>
          <w:bCs/>
          <w:sz w:val="22"/>
          <w:szCs w:val="22"/>
          <w:lang w:val="sr-Latn-ME"/>
        </w:rPr>
        <w:t xml:space="preserve">ti dozu glipizida od ≤ 5 mg na dan. Međutim, u odnosu na grupu koja je dobijala glipizid, veći broj pacijenata u grupi koja je primala sitagliptin morao je da prekine terapiju zbog izostanka efikasnosti. Kod pacijenata koji su primali sitagliptin zabilježeno je značajno prosječno smanjenje tjelesne mase u odnosu na vrijednost na početku ispitivanja, u poređenju sa značajnim povećanjem tjelesne mase kod pacijenata koji su dobijali glipizid (-1,5 kg </w:t>
      </w:r>
      <w:r w:rsidR="0036269B" w:rsidRPr="0056436C">
        <w:rPr>
          <w:bCs/>
          <w:sz w:val="22"/>
          <w:szCs w:val="22"/>
          <w:lang w:val="sr-Latn-ME"/>
        </w:rPr>
        <w:t xml:space="preserve">naspram </w:t>
      </w:r>
      <w:r w:rsidRPr="0056436C">
        <w:rPr>
          <w:bCs/>
          <w:sz w:val="22"/>
          <w:szCs w:val="22"/>
          <w:lang w:val="sr-Latn-ME"/>
        </w:rPr>
        <w:t>+1,1 kg). U ovo</w:t>
      </w:r>
      <w:r w:rsidR="00265A59" w:rsidRPr="0056436C">
        <w:rPr>
          <w:bCs/>
          <w:sz w:val="22"/>
          <w:szCs w:val="22"/>
          <w:lang w:val="sr-Latn-ME"/>
        </w:rPr>
        <w:t>m ispitivanju</w:t>
      </w:r>
      <w:r w:rsidRPr="0056436C">
        <w:rPr>
          <w:bCs/>
          <w:sz w:val="22"/>
          <w:szCs w:val="22"/>
          <w:lang w:val="sr-Latn-ME"/>
        </w:rPr>
        <w:t xml:space="preserve">, u grupi koja je primala sitagliptin, uočeno je poboljšanje odnosa proinsulina i insulina, </w:t>
      </w:r>
      <w:r w:rsidR="0036269B" w:rsidRPr="0056436C">
        <w:rPr>
          <w:bCs/>
          <w:sz w:val="22"/>
          <w:szCs w:val="22"/>
          <w:lang w:val="sr-Latn-ME"/>
        </w:rPr>
        <w:t>što</w:t>
      </w:r>
      <w:r w:rsidRPr="0056436C">
        <w:rPr>
          <w:bCs/>
          <w:sz w:val="22"/>
          <w:szCs w:val="22"/>
          <w:lang w:val="sr-Latn-ME"/>
        </w:rPr>
        <w:t xml:space="preserve"> je pokazatelj efikasnosti sinteze i </w:t>
      </w:r>
      <w:r w:rsidR="0036269B" w:rsidRPr="0056436C">
        <w:rPr>
          <w:bCs/>
          <w:sz w:val="22"/>
          <w:szCs w:val="22"/>
          <w:lang w:val="sr-Latn-ME"/>
        </w:rPr>
        <w:t xml:space="preserve">oslobađanja </w:t>
      </w:r>
      <w:r w:rsidRPr="0056436C">
        <w:rPr>
          <w:bCs/>
          <w:sz w:val="22"/>
          <w:szCs w:val="22"/>
          <w:lang w:val="sr-Latn-ME"/>
        </w:rPr>
        <w:t>insulina. Nasuprot tome, ovaj odnos je pogoršan kod pacijenata koji su dobijali glipizid. Učestalost hipoglikemije u grupi koja je liječena sitagliptinom bila je značajno manja (4,9%) od učestalosti u grupi liječenoj glipizidom (32,0%).</w:t>
      </w:r>
    </w:p>
    <w:p w:rsidR="007C018B" w:rsidRPr="0056436C" w:rsidRDefault="007C018B" w:rsidP="0056436C">
      <w:pPr>
        <w:jc w:val="both"/>
        <w:rPr>
          <w:bCs/>
          <w:sz w:val="22"/>
          <w:szCs w:val="22"/>
          <w:lang w:val="sr-Latn-ME"/>
        </w:rPr>
      </w:pPr>
    </w:p>
    <w:p w:rsidR="007C018B" w:rsidRPr="0056436C" w:rsidRDefault="007C018B" w:rsidP="0056436C">
      <w:pPr>
        <w:jc w:val="both"/>
        <w:rPr>
          <w:bCs/>
          <w:sz w:val="22"/>
          <w:szCs w:val="22"/>
          <w:lang w:val="sr-Latn-ME"/>
        </w:rPr>
      </w:pPr>
      <w:r w:rsidRPr="0056436C">
        <w:rPr>
          <w:bCs/>
          <w:sz w:val="22"/>
          <w:szCs w:val="22"/>
          <w:lang w:val="sr-Latn-ME"/>
        </w:rPr>
        <w:t>24-nedjeljno placebom kontrol</w:t>
      </w:r>
      <w:r w:rsidR="00647D50" w:rsidRPr="0056436C">
        <w:rPr>
          <w:bCs/>
          <w:sz w:val="22"/>
          <w:szCs w:val="22"/>
          <w:lang w:val="sr-Latn-ME"/>
        </w:rPr>
        <w:t>i</w:t>
      </w:r>
      <w:r w:rsidRPr="0056436C">
        <w:rPr>
          <w:bCs/>
          <w:sz w:val="22"/>
          <w:szCs w:val="22"/>
          <w:lang w:val="sr-Latn-ME"/>
        </w:rPr>
        <w:t xml:space="preserve">sano ispitivanje, koje je uključivalo 660 pacijenata, dizajnirano je kako bi se procijenio stepen uštede insulina, efikasnost i bezbjednost primjene sitagliptina (u dozi 100 mg </w:t>
      </w:r>
      <w:r w:rsidRPr="0056436C">
        <w:rPr>
          <w:bCs/>
          <w:sz w:val="22"/>
          <w:szCs w:val="22"/>
          <w:lang w:val="sr-Latn-ME"/>
        </w:rPr>
        <w:lastRenderedPageBreak/>
        <w:t xml:space="preserve">jednom dnevno) kada je korišćen kao dodatna terapija terapiji insulinom glarginom, sa </w:t>
      </w:r>
      <w:r w:rsidR="0036269B" w:rsidRPr="0056436C">
        <w:rPr>
          <w:bCs/>
          <w:sz w:val="22"/>
          <w:szCs w:val="22"/>
          <w:lang w:val="sr-Latn-ME"/>
        </w:rPr>
        <w:t xml:space="preserve">metforminom </w:t>
      </w:r>
      <w:r w:rsidRPr="0056436C">
        <w:rPr>
          <w:bCs/>
          <w:sz w:val="22"/>
          <w:szCs w:val="22"/>
          <w:lang w:val="sr-Latn-ME"/>
        </w:rPr>
        <w:t xml:space="preserve">ili bez </w:t>
      </w:r>
      <w:r w:rsidR="0036269B" w:rsidRPr="0056436C">
        <w:rPr>
          <w:bCs/>
          <w:sz w:val="22"/>
          <w:szCs w:val="22"/>
          <w:lang w:val="sr-Latn-ME"/>
        </w:rPr>
        <w:t xml:space="preserve">njega </w:t>
      </w:r>
      <w:r w:rsidRPr="0056436C">
        <w:rPr>
          <w:bCs/>
          <w:sz w:val="22"/>
          <w:szCs w:val="22"/>
          <w:lang w:val="sr-Latn-ME"/>
        </w:rPr>
        <w:t>(naj</w:t>
      </w:r>
      <w:r w:rsidR="00134D64" w:rsidRPr="0056436C">
        <w:rPr>
          <w:bCs/>
          <w:sz w:val="22"/>
          <w:szCs w:val="22"/>
          <w:lang w:val="sr-Latn-ME"/>
        </w:rPr>
        <w:t>niža</w:t>
      </w:r>
      <w:r w:rsidRPr="0056436C">
        <w:rPr>
          <w:bCs/>
          <w:sz w:val="22"/>
          <w:szCs w:val="22"/>
          <w:lang w:val="sr-Latn-ME"/>
        </w:rPr>
        <w:t xml:space="preserve"> doza 1500 mg) u toku intenziviranja insulinske terapije. Početne vrijednosti HbA1c su bile 8,74%, a početna doza insulina je bila 37</w:t>
      </w:r>
      <w:r w:rsidR="0036269B" w:rsidRPr="0056436C">
        <w:rPr>
          <w:bCs/>
          <w:sz w:val="22"/>
          <w:szCs w:val="22"/>
          <w:lang w:val="sr-Latn-ME"/>
        </w:rPr>
        <w:t xml:space="preserve"> </w:t>
      </w:r>
      <w:r w:rsidRPr="0056436C">
        <w:rPr>
          <w:bCs/>
          <w:sz w:val="22"/>
          <w:szCs w:val="22"/>
          <w:lang w:val="sr-Latn-ME"/>
        </w:rPr>
        <w:t>i.j./d</w:t>
      </w:r>
      <w:r w:rsidR="0036269B" w:rsidRPr="0056436C">
        <w:rPr>
          <w:bCs/>
          <w:sz w:val="22"/>
          <w:szCs w:val="22"/>
          <w:lang w:val="sr-Latn-ME"/>
        </w:rPr>
        <w:t>a</w:t>
      </w:r>
      <w:r w:rsidRPr="0056436C">
        <w:rPr>
          <w:bCs/>
          <w:sz w:val="22"/>
          <w:szCs w:val="22"/>
          <w:lang w:val="sr-Latn-ME"/>
        </w:rPr>
        <w:t>n. Pacijentima je data instrukcija da titriraju dozu insulina glargina na osnovu vrijednosti glukoze natašte, određene u uzorku krvi iz prsta. U 24. nedjelji, povećanje dnevne doze insulina je bilo 19 i.j./d</w:t>
      </w:r>
      <w:r w:rsidR="0036269B" w:rsidRPr="0056436C">
        <w:rPr>
          <w:bCs/>
          <w:sz w:val="22"/>
          <w:szCs w:val="22"/>
          <w:lang w:val="sr-Latn-ME"/>
        </w:rPr>
        <w:t>a</w:t>
      </w:r>
      <w:r w:rsidRPr="0056436C">
        <w:rPr>
          <w:bCs/>
          <w:sz w:val="22"/>
          <w:szCs w:val="22"/>
          <w:lang w:val="sr-Latn-ME"/>
        </w:rPr>
        <w:t>n kod pacijenata na terapiji sitagliptinom i 24 i.j./d</w:t>
      </w:r>
      <w:r w:rsidR="0036269B" w:rsidRPr="0056436C">
        <w:rPr>
          <w:bCs/>
          <w:sz w:val="22"/>
          <w:szCs w:val="22"/>
          <w:lang w:val="sr-Latn-ME"/>
        </w:rPr>
        <w:t>a</w:t>
      </w:r>
      <w:r w:rsidRPr="0056436C">
        <w:rPr>
          <w:bCs/>
          <w:sz w:val="22"/>
          <w:szCs w:val="22"/>
          <w:lang w:val="sr-Latn-ME"/>
        </w:rPr>
        <w:t xml:space="preserve">n kod pacijenata koji su koristili placebo. Smanjenje vrijednosti HbA1c kod pacijenata </w:t>
      </w:r>
      <w:r w:rsidR="0036269B" w:rsidRPr="0056436C">
        <w:rPr>
          <w:bCs/>
          <w:sz w:val="22"/>
          <w:szCs w:val="22"/>
          <w:lang w:val="sr-Latn-ME"/>
        </w:rPr>
        <w:t xml:space="preserve">liječenih </w:t>
      </w:r>
      <w:r w:rsidRPr="0056436C">
        <w:rPr>
          <w:bCs/>
          <w:sz w:val="22"/>
          <w:szCs w:val="22"/>
          <w:lang w:val="sr-Latn-ME"/>
        </w:rPr>
        <w:t xml:space="preserve">sitagliptinom i insulinom (sa </w:t>
      </w:r>
      <w:r w:rsidR="0036269B" w:rsidRPr="0056436C">
        <w:rPr>
          <w:bCs/>
          <w:sz w:val="22"/>
          <w:szCs w:val="22"/>
          <w:lang w:val="sr-Latn-ME"/>
        </w:rPr>
        <w:t xml:space="preserve">metforminom </w:t>
      </w:r>
      <w:r w:rsidRPr="0056436C">
        <w:rPr>
          <w:bCs/>
          <w:sz w:val="22"/>
          <w:szCs w:val="22"/>
          <w:lang w:val="sr-Latn-ME"/>
        </w:rPr>
        <w:t>ili bez</w:t>
      </w:r>
      <w:r w:rsidR="0036269B" w:rsidRPr="0056436C">
        <w:rPr>
          <w:bCs/>
          <w:sz w:val="22"/>
          <w:szCs w:val="22"/>
          <w:lang w:val="sr-Latn-ME"/>
        </w:rPr>
        <w:t xml:space="preserve"> njega</w:t>
      </w:r>
      <w:r w:rsidRPr="0056436C">
        <w:rPr>
          <w:bCs/>
          <w:sz w:val="22"/>
          <w:szCs w:val="22"/>
          <w:lang w:val="sr-Latn-ME"/>
        </w:rPr>
        <w:t>) je bilo -1,31%</w:t>
      </w:r>
      <w:r w:rsidR="0036269B" w:rsidRPr="0056436C">
        <w:rPr>
          <w:bCs/>
          <w:sz w:val="22"/>
          <w:szCs w:val="22"/>
          <w:lang w:val="sr-Latn-ME"/>
        </w:rPr>
        <w:t>,</w:t>
      </w:r>
      <w:r w:rsidRPr="0056436C">
        <w:rPr>
          <w:bCs/>
          <w:sz w:val="22"/>
          <w:szCs w:val="22"/>
          <w:lang w:val="sr-Latn-ME"/>
        </w:rPr>
        <w:t xml:space="preserve"> u poređenju sa -0,87% kod pacijenata koji su koristili placebo i insulin (sa </w:t>
      </w:r>
      <w:r w:rsidR="00647D50" w:rsidRPr="0056436C">
        <w:rPr>
          <w:bCs/>
          <w:sz w:val="22"/>
          <w:szCs w:val="22"/>
          <w:lang w:val="sr-Latn-ME"/>
        </w:rPr>
        <w:t xml:space="preserve">metforminom </w:t>
      </w:r>
      <w:r w:rsidRPr="0056436C">
        <w:rPr>
          <w:bCs/>
          <w:sz w:val="22"/>
          <w:szCs w:val="22"/>
          <w:lang w:val="sr-Latn-ME"/>
        </w:rPr>
        <w:t>ili bez</w:t>
      </w:r>
      <w:r w:rsidR="00647D50" w:rsidRPr="0056436C">
        <w:rPr>
          <w:bCs/>
          <w:sz w:val="22"/>
          <w:szCs w:val="22"/>
          <w:lang w:val="sr-Latn-ME"/>
        </w:rPr>
        <w:t xml:space="preserve"> njega</w:t>
      </w:r>
      <w:r w:rsidRPr="0056436C">
        <w:rPr>
          <w:bCs/>
          <w:sz w:val="22"/>
          <w:szCs w:val="22"/>
          <w:lang w:val="sr-Latn-ME"/>
        </w:rPr>
        <w:t xml:space="preserve">), </w:t>
      </w:r>
      <w:r w:rsidR="00647D50" w:rsidRPr="0056436C">
        <w:rPr>
          <w:bCs/>
          <w:sz w:val="22"/>
          <w:szCs w:val="22"/>
          <w:lang w:val="sr-Latn-ME"/>
        </w:rPr>
        <w:t xml:space="preserve">što predstavlja </w:t>
      </w:r>
      <w:r w:rsidRPr="0056436C">
        <w:rPr>
          <w:bCs/>
          <w:sz w:val="22"/>
          <w:szCs w:val="22"/>
          <w:lang w:val="sr-Latn-ME"/>
        </w:rPr>
        <w:t>razlik</w:t>
      </w:r>
      <w:r w:rsidR="00647D50" w:rsidRPr="0056436C">
        <w:rPr>
          <w:bCs/>
          <w:sz w:val="22"/>
          <w:szCs w:val="22"/>
          <w:lang w:val="sr-Latn-ME"/>
        </w:rPr>
        <w:t>u</w:t>
      </w:r>
      <w:r w:rsidRPr="0056436C">
        <w:rPr>
          <w:bCs/>
          <w:sz w:val="22"/>
          <w:szCs w:val="22"/>
          <w:lang w:val="sr-Latn-ME"/>
        </w:rPr>
        <w:t xml:space="preserve"> od -0,45% [95%CI: -0,60</w:t>
      </w:r>
      <w:r w:rsidR="00647D50" w:rsidRPr="0056436C">
        <w:rPr>
          <w:bCs/>
          <w:sz w:val="22"/>
          <w:szCs w:val="22"/>
          <w:lang w:val="sr-Latn-ME"/>
        </w:rPr>
        <w:t>;</w:t>
      </w:r>
      <w:r w:rsidRPr="0056436C">
        <w:rPr>
          <w:bCs/>
          <w:sz w:val="22"/>
          <w:szCs w:val="22"/>
          <w:lang w:val="sr-Latn-ME"/>
        </w:rPr>
        <w:t xml:space="preserve"> -0,29]. Učestalost pojave hipoglikemije je bila 25,2% kod pacijenata koji su </w:t>
      </w:r>
      <w:r w:rsidR="00647D50" w:rsidRPr="0056436C">
        <w:rPr>
          <w:bCs/>
          <w:sz w:val="22"/>
          <w:szCs w:val="22"/>
          <w:lang w:val="sr-Latn-ME"/>
        </w:rPr>
        <w:t xml:space="preserve">bili </w:t>
      </w:r>
      <w:r w:rsidRPr="0056436C">
        <w:rPr>
          <w:bCs/>
          <w:sz w:val="22"/>
          <w:szCs w:val="22"/>
          <w:lang w:val="sr-Latn-ME"/>
        </w:rPr>
        <w:t xml:space="preserve">na terapiji sitagliptinom i insulinom (sa </w:t>
      </w:r>
      <w:r w:rsidR="00647D50" w:rsidRPr="0056436C">
        <w:rPr>
          <w:bCs/>
          <w:sz w:val="22"/>
          <w:szCs w:val="22"/>
          <w:lang w:val="sr-Latn-ME"/>
        </w:rPr>
        <w:t xml:space="preserve">metforminom </w:t>
      </w:r>
      <w:r w:rsidRPr="0056436C">
        <w:rPr>
          <w:bCs/>
          <w:sz w:val="22"/>
          <w:szCs w:val="22"/>
          <w:lang w:val="sr-Latn-ME"/>
        </w:rPr>
        <w:t>ili bez</w:t>
      </w:r>
      <w:r w:rsidR="00647D50" w:rsidRPr="0056436C">
        <w:rPr>
          <w:bCs/>
          <w:sz w:val="22"/>
          <w:szCs w:val="22"/>
          <w:lang w:val="sr-Latn-ME"/>
        </w:rPr>
        <w:t xml:space="preserve"> njega</w:t>
      </w:r>
      <w:r w:rsidRPr="0056436C">
        <w:rPr>
          <w:bCs/>
          <w:sz w:val="22"/>
          <w:szCs w:val="22"/>
          <w:lang w:val="sr-Latn-ME"/>
        </w:rPr>
        <w:t xml:space="preserve">) i 36,8% kod pacijenata koji su koristili placebo i insulin (sa </w:t>
      </w:r>
      <w:r w:rsidR="00647D50" w:rsidRPr="0056436C">
        <w:rPr>
          <w:bCs/>
          <w:sz w:val="22"/>
          <w:szCs w:val="22"/>
          <w:lang w:val="sr-Latn-ME"/>
        </w:rPr>
        <w:t xml:space="preserve">metforminom </w:t>
      </w:r>
      <w:r w:rsidRPr="0056436C">
        <w:rPr>
          <w:bCs/>
          <w:sz w:val="22"/>
          <w:szCs w:val="22"/>
          <w:lang w:val="sr-Latn-ME"/>
        </w:rPr>
        <w:t>ili bez</w:t>
      </w:r>
      <w:r w:rsidR="00647D50" w:rsidRPr="0056436C">
        <w:rPr>
          <w:bCs/>
          <w:sz w:val="22"/>
          <w:szCs w:val="22"/>
          <w:lang w:val="sr-Latn-ME"/>
        </w:rPr>
        <w:t xml:space="preserve"> njega</w:t>
      </w:r>
      <w:r w:rsidRPr="0056436C">
        <w:rPr>
          <w:bCs/>
          <w:sz w:val="22"/>
          <w:szCs w:val="22"/>
          <w:lang w:val="sr-Latn-ME"/>
        </w:rPr>
        <w:t xml:space="preserve">). Razlika je uglavnom posljedica većeg procenta pacijenata u placebo grupi koji su doživjeli tri ili više epizoda hipoglikemije (9,4 </w:t>
      </w:r>
      <w:r w:rsidR="00647D50" w:rsidRPr="0056436C">
        <w:rPr>
          <w:bCs/>
          <w:sz w:val="22"/>
          <w:szCs w:val="22"/>
          <w:lang w:val="sr-Latn-ME"/>
        </w:rPr>
        <w:t xml:space="preserve">naspram </w:t>
      </w:r>
      <w:r w:rsidRPr="0056436C">
        <w:rPr>
          <w:bCs/>
          <w:sz w:val="22"/>
          <w:szCs w:val="22"/>
          <w:lang w:val="sr-Latn-ME"/>
        </w:rPr>
        <w:t>19,1%). Nema razlike u učestalosti pojave teških hipoglikemija.</w:t>
      </w:r>
    </w:p>
    <w:p w:rsidR="007C018B" w:rsidRPr="0056436C" w:rsidRDefault="007C018B" w:rsidP="0056436C">
      <w:pPr>
        <w:jc w:val="both"/>
        <w:rPr>
          <w:bCs/>
          <w:sz w:val="22"/>
          <w:szCs w:val="22"/>
          <w:lang w:val="sr-Latn-ME"/>
        </w:rPr>
      </w:pPr>
    </w:p>
    <w:p w:rsidR="007C018B" w:rsidRPr="0056436C" w:rsidRDefault="00647D50" w:rsidP="0056436C">
      <w:pPr>
        <w:jc w:val="both"/>
        <w:rPr>
          <w:bCs/>
          <w:sz w:val="22"/>
          <w:szCs w:val="22"/>
          <w:lang w:val="sr-Latn-ME"/>
        </w:rPr>
      </w:pPr>
      <w:r w:rsidRPr="0056436C">
        <w:rPr>
          <w:bCs/>
          <w:sz w:val="22"/>
          <w:szCs w:val="22"/>
          <w:lang w:val="sr-Latn-ME"/>
        </w:rPr>
        <w:t xml:space="preserve">Ispitivanje </w:t>
      </w:r>
      <w:r w:rsidR="007C018B" w:rsidRPr="0056436C">
        <w:rPr>
          <w:bCs/>
          <w:sz w:val="22"/>
          <w:szCs w:val="22"/>
          <w:lang w:val="sr-Latn-ME"/>
        </w:rPr>
        <w:t>u koj</w:t>
      </w:r>
      <w:r w:rsidRPr="0056436C">
        <w:rPr>
          <w:bCs/>
          <w:sz w:val="22"/>
          <w:szCs w:val="22"/>
          <w:lang w:val="sr-Latn-ME"/>
        </w:rPr>
        <w:t>em</w:t>
      </w:r>
      <w:r w:rsidR="007C018B" w:rsidRPr="0056436C">
        <w:rPr>
          <w:bCs/>
          <w:sz w:val="22"/>
          <w:szCs w:val="22"/>
          <w:lang w:val="sr-Latn-ME"/>
        </w:rPr>
        <w:t xml:space="preserve"> su poređeni sitagliptin u dozama od 25 mg ili 50 mg jednom dnevno i glipizid u dozama od 2,5 mg do 20 mg dnevno sproveden</w:t>
      </w:r>
      <w:r w:rsidRPr="0056436C">
        <w:rPr>
          <w:bCs/>
          <w:sz w:val="22"/>
          <w:szCs w:val="22"/>
          <w:lang w:val="sr-Latn-ME"/>
        </w:rPr>
        <w:t>o</w:t>
      </w:r>
      <w:r w:rsidR="007C018B" w:rsidRPr="0056436C">
        <w:rPr>
          <w:bCs/>
          <w:sz w:val="22"/>
          <w:szCs w:val="22"/>
          <w:lang w:val="sr-Latn-ME"/>
        </w:rPr>
        <w:t xml:space="preserve"> je na pacijentima sa umjerenim do teškim oštećenjem </w:t>
      </w:r>
      <w:r w:rsidRPr="0056436C">
        <w:rPr>
          <w:bCs/>
          <w:sz w:val="22"/>
          <w:szCs w:val="22"/>
          <w:lang w:val="sr-Latn-ME"/>
        </w:rPr>
        <w:t xml:space="preserve">funkcije </w:t>
      </w:r>
      <w:r w:rsidR="007C018B" w:rsidRPr="0056436C">
        <w:rPr>
          <w:bCs/>
          <w:sz w:val="22"/>
          <w:szCs w:val="22"/>
          <w:lang w:val="sr-Latn-ME"/>
        </w:rPr>
        <w:t>bubre</w:t>
      </w:r>
      <w:r w:rsidRPr="0056436C">
        <w:rPr>
          <w:bCs/>
          <w:sz w:val="22"/>
          <w:szCs w:val="22"/>
          <w:lang w:val="sr-Latn-ME"/>
        </w:rPr>
        <w:t>ga</w:t>
      </w:r>
      <w:r w:rsidR="007C018B" w:rsidRPr="0056436C">
        <w:rPr>
          <w:bCs/>
          <w:sz w:val="22"/>
          <w:szCs w:val="22"/>
          <w:lang w:val="sr-Latn-ME"/>
        </w:rPr>
        <w:t>. U ovo ispitivanje uključen</w:t>
      </w:r>
      <w:r w:rsidRPr="0056436C">
        <w:rPr>
          <w:bCs/>
          <w:sz w:val="22"/>
          <w:szCs w:val="22"/>
          <w:lang w:val="sr-Latn-ME"/>
        </w:rPr>
        <w:t>a</w:t>
      </w:r>
      <w:r w:rsidR="007C018B" w:rsidRPr="0056436C">
        <w:rPr>
          <w:bCs/>
          <w:sz w:val="22"/>
          <w:szCs w:val="22"/>
          <w:lang w:val="sr-Latn-ME"/>
        </w:rPr>
        <w:t xml:space="preserve"> </w:t>
      </w:r>
      <w:r w:rsidRPr="0056436C">
        <w:rPr>
          <w:bCs/>
          <w:sz w:val="22"/>
          <w:szCs w:val="22"/>
          <w:lang w:val="sr-Latn-ME"/>
        </w:rPr>
        <w:t>su</w:t>
      </w:r>
      <w:r w:rsidR="007C018B" w:rsidRPr="0056436C">
        <w:rPr>
          <w:bCs/>
          <w:sz w:val="22"/>
          <w:szCs w:val="22"/>
          <w:lang w:val="sr-Latn-ME"/>
        </w:rPr>
        <w:t xml:space="preserve"> 423 pacijenta sa hroničn</w:t>
      </w:r>
      <w:r w:rsidRPr="0056436C">
        <w:rPr>
          <w:bCs/>
          <w:sz w:val="22"/>
          <w:szCs w:val="22"/>
          <w:lang w:val="sr-Latn-ME"/>
        </w:rPr>
        <w:t>i</w:t>
      </w:r>
      <w:r w:rsidR="007C018B" w:rsidRPr="0056436C">
        <w:rPr>
          <w:bCs/>
          <w:sz w:val="22"/>
          <w:szCs w:val="22"/>
          <w:lang w:val="sr-Latn-ME"/>
        </w:rPr>
        <w:t xml:space="preserve">m oštećenjem funkcije bubrega (procijenjena brzina glomerularne filtracije &lt; 50 </w:t>
      </w:r>
      <w:r w:rsidR="00F725BA" w:rsidRPr="0056436C">
        <w:rPr>
          <w:bCs/>
          <w:sz w:val="22"/>
          <w:szCs w:val="22"/>
          <w:lang w:val="sr-Latn-ME"/>
        </w:rPr>
        <w:t>ml</w:t>
      </w:r>
      <w:r w:rsidR="007C018B" w:rsidRPr="0056436C">
        <w:rPr>
          <w:bCs/>
          <w:sz w:val="22"/>
          <w:szCs w:val="22"/>
          <w:lang w:val="sr-Latn-ME"/>
        </w:rPr>
        <w:t>/min). Nakon 54 nedjelje terapije, srednje smanjenje vrijednosti HbA</w:t>
      </w:r>
      <w:r w:rsidR="007C018B" w:rsidRPr="0056436C">
        <w:rPr>
          <w:bCs/>
          <w:sz w:val="22"/>
          <w:szCs w:val="22"/>
          <w:vertAlign w:val="subscript"/>
          <w:lang w:val="sr-Latn-ME"/>
        </w:rPr>
        <w:t>1c</w:t>
      </w:r>
      <w:r w:rsidR="007C018B" w:rsidRPr="0056436C">
        <w:rPr>
          <w:bCs/>
          <w:sz w:val="22"/>
          <w:szCs w:val="22"/>
          <w:lang w:val="sr-Latn-ME"/>
        </w:rPr>
        <w:t xml:space="preserve"> u odnosu na vrijednost na početku </w:t>
      </w:r>
      <w:r w:rsidR="00265A59" w:rsidRPr="0056436C">
        <w:rPr>
          <w:bCs/>
          <w:sz w:val="22"/>
          <w:szCs w:val="22"/>
          <w:lang w:val="sr-Latn-ME"/>
        </w:rPr>
        <w:t xml:space="preserve">ispitivanja </w:t>
      </w:r>
      <w:r w:rsidR="007C018B" w:rsidRPr="0056436C">
        <w:rPr>
          <w:bCs/>
          <w:sz w:val="22"/>
          <w:szCs w:val="22"/>
          <w:lang w:val="sr-Latn-ME"/>
        </w:rPr>
        <w:t>bilo je -0,76% u grupi koja je primala sitagliptin i -0,64% kod pacijenata na terapiji glipizidom (analiza</w:t>
      </w:r>
      <w:r w:rsidRPr="0056436C">
        <w:rPr>
          <w:bCs/>
          <w:sz w:val="22"/>
          <w:szCs w:val="22"/>
          <w:lang w:val="sr-Latn-ME"/>
        </w:rPr>
        <w:t xml:space="preserve"> po realizovanom planu ispitivanja</w:t>
      </w:r>
      <w:r w:rsidR="007C018B" w:rsidRPr="0056436C">
        <w:rPr>
          <w:bCs/>
          <w:sz w:val="22"/>
          <w:szCs w:val="22"/>
          <w:lang w:val="sr-Latn-ME"/>
        </w:rPr>
        <w:t>). U ovo</w:t>
      </w:r>
      <w:r w:rsidR="00265A59" w:rsidRPr="0056436C">
        <w:rPr>
          <w:bCs/>
          <w:sz w:val="22"/>
          <w:szCs w:val="22"/>
          <w:lang w:val="sr-Latn-ME"/>
        </w:rPr>
        <w:t>m ispitivanju</w:t>
      </w:r>
      <w:r w:rsidR="007C018B" w:rsidRPr="0056436C">
        <w:rPr>
          <w:bCs/>
          <w:sz w:val="22"/>
          <w:szCs w:val="22"/>
          <w:lang w:val="sr-Latn-ME"/>
        </w:rPr>
        <w:t xml:space="preserve">, profil </w:t>
      </w:r>
      <w:r w:rsidRPr="0056436C">
        <w:rPr>
          <w:bCs/>
          <w:sz w:val="22"/>
          <w:szCs w:val="22"/>
          <w:lang w:val="sr-Latn-ME"/>
        </w:rPr>
        <w:t xml:space="preserve">efikasnosti i </w:t>
      </w:r>
      <w:r w:rsidR="007C018B" w:rsidRPr="0056436C">
        <w:rPr>
          <w:bCs/>
          <w:sz w:val="22"/>
          <w:szCs w:val="22"/>
          <w:lang w:val="sr-Latn-ME"/>
        </w:rPr>
        <w:t>bezb</w:t>
      </w:r>
      <w:r w:rsidRPr="0056436C">
        <w:rPr>
          <w:bCs/>
          <w:sz w:val="22"/>
          <w:szCs w:val="22"/>
          <w:lang w:val="sr-Latn-ME"/>
        </w:rPr>
        <w:t>j</w:t>
      </w:r>
      <w:r w:rsidR="007C018B" w:rsidRPr="0056436C">
        <w:rPr>
          <w:bCs/>
          <w:sz w:val="22"/>
          <w:szCs w:val="22"/>
          <w:lang w:val="sr-Latn-ME"/>
        </w:rPr>
        <w:t>ednosti sitagliptina u dozama od 25 mg ili 50 mg jednom dnevno bio je uglavnom sličan profilu uočenom u drugim ispitivanjima monoterapije kod pacijenata sa normalnom funkcijom bubrega. Učestalost hipoglikemije u grupi koja je liječena sitagliptinom bila je značajno manja (6,2%) od učestalosti u grupi liječenoj glipizidom (17,0%). Takođe je zabilježena značajna razlika između dv</w:t>
      </w:r>
      <w:r w:rsidRPr="0056436C">
        <w:rPr>
          <w:bCs/>
          <w:sz w:val="22"/>
          <w:szCs w:val="22"/>
          <w:lang w:val="sr-Latn-ME"/>
        </w:rPr>
        <w:t>ij</w:t>
      </w:r>
      <w:r w:rsidR="007C018B" w:rsidRPr="0056436C">
        <w:rPr>
          <w:bCs/>
          <w:sz w:val="22"/>
          <w:szCs w:val="22"/>
          <w:lang w:val="sr-Latn-ME"/>
        </w:rPr>
        <w:t>e terapijske grupe po pitanju promjene u tjelesnoj masi u odnosu na vrijednost na početku ispitivanja (-0,6 kg za sitagliptin; +1,2 kg za glipizid).</w:t>
      </w:r>
    </w:p>
    <w:p w:rsidR="007C018B" w:rsidRPr="0056436C" w:rsidRDefault="007C018B" w:rsidP="0056436C">
      <w:pPr>
        <w:jc w:val="both"/>
        <w:rPr>
          <w:bCs/>
          <w:sz w:val="22"/>
          <w:szCs w:val="22"/>
          <w:lang w:val="sr-Latn-ME"/>
        </w:rPr>
      </w:pPr>
    </w:p>
    <w:p w:rsidR="007C018B" w:rsidRPr="0056436C" w:rsidRDefault="00647D50" w:rsidP="0056436C">
      <w:pPr>
        <w:jc w:val="both"/>
        <w:rPr>
          <w:bCs/>
          <w:sz w:val="22"/>
          <w:szCs w:val="22"/>
          <w:lang w:val="sr-Latn-ME"/>
        </w:rPr>
      </w:pPr>
      <w:r w:rsidRPr="0056436C">
        <w:rPr>
          <w:bCs/>
          <w:sz w:val="22"/>
          <w:szCs w:val="22"/>
          <w:lang w:val="sr-Latn-ME"/>
        </w:rPr>
        <w:t>D</w:t>
      </w:r>
      <w:r w:rsidR="007C018B" w:rsidRPr="0056436C">
        <w:rPr>
          <w:bCs/>
          <w:sz w:val="22"/>
          <w:szCs w:val="22"/>
          <w:lang w:val="sr-Latn-ME"/>
        </w:rPr>
        <w:t>rug</w:t>
      </w:r>
      <w:r w:rsidR="00265A59" w:rsidRPr="0056436C">
        <w:rPr>
          <w:bCs/>
          <w:sz w:val="22"/>
          <w:szCs w:val="22"/>
          <w:lang w:val="sr-Latn-ME"/>
        </w:rPr>
        <w:t>o ispitivanje</w:t>
      </w:r>
      <w:r w:rsidR="007C018B" w:rsidRPr="0056436C">
        <w:rPr>
          <w:bCs/>
          <w:sz w:val="22"/>
          <w:szCs w:val="22"/>
          <w:lang w:val="sr-Latn-ME"/>
        </w:rPr>
        <w:t xml:space="preserve"> </w:t>
      </w:r>
      <w:r w:rsidR="00265A59" w:rsidRPr="0056436C">
        <w:rPr>
          <w:bCs/>
          <w:sz w:val="22"/>
          <w:szCs w:val="22"/>
          <w:lang w:val="sr-Latn-ME"/>
        </w:rPr>
        <w:t>u kojem</w:t>
      </w:r>
      <w:r w:rsidRPr="0056436C">
        <w:rPr>
          <w:bCs/>
          <w:sz w:val="22"/>
          <w:szCs w:val="22"/>
          <w:lang w:val="sr-Latn-ME"/>
        </w:rPr>
        <w:t xml:space="preserve"> su </w:t>
      </w:r>
      <w:r w:rsidR="007C018B" w:rsidRPr="0056436C">
        <w:rPr>
          <w:bCs/>
          <w:sz w:val="22"/>
          <w:szCs w:val="22"/>
          <w:lang w:val="sr-Latn-ME"/>
        </w:rPr>
        <w:t>poređeni sitagliptin u dozi od 25 mg jednom dnevno i glipizid u dozama od 2,5 mg do 20 mg dnevno sproveden</w:t>
      </w:r>
      <w:r w:rsidR="00265A59" w:rsidRPr="0056436C">
        <w:rPr>
          <w:bCs/>
          <w:sz w:val="22"/>
          <w:szCs w:val="22"/>
          <w:lang w:val="sr-Latn-ME"/>
        </w:rPr>
        <w:t>o</w:t>
      </w:r>
      <w:r w:rsidR="007C018B" w:rsidRPr="0056436C">
        <w:rPr>
          <w:bCs/>
          <w:sz w:val="22"/>
          <w:szCs w:val="22"/>
          <w:lang w:val="sr-Latn-ME"/>
        </w:rPr>
        <w:t xml:space="preserve"> </w:t>
      </w:r>
      <w:r w:rsidRPr="0056436C">
        <w:rPr>
          <w:bCs/>
          <w:sz w:val="22"/>
          <w:szCs w:val="22"/>
          <w:lang w:val="sr-Latn-ME"/>
        </w:rPr>
        <w:t xml:space="preserve">je </w:t>
      </w:r>
      <w:r w:rsidR="007C018B" w:rsidRPr="0056436C">
        <w:rPr>
          <w:bCs/>
          <w:sz w:val="22"/>
          <w:szCs w:val="22"/>
          <w:lang w:val="sr-Latn-ME"/>
        </w:rPr>
        <w:t>na 129 pacijenata u terminalnoj fazi bubrežne bolesti koji su</w:t>
      </w:r>
      <w:r w:rsidR="007C018B" w:rsidRPr="0056436C">
        <w:rPr>
          <w:sz w:val="22"/>
          <w:szCs w:val="22"/>
          <w:lang w:val="sr-Latn-ME"/>
        </w:rPr>
        <w:t xml:space="preserve"> </w:t>
      </w:r>
      <w:r w:rsidR="007C018B" w:rsidRPr="0056436C">
        <w:rPr>
          <w:bCs/>
          <w:sz w:val="22"/>
          <w:szCs w:val="22"/>
          <w:lang w:val="sr-Latn-ME"/>
        </w:rPr>
        <w:t>bili na dijalizi. Nakon 54 nedjelje terapije, prosječno smanjenje vrijednosti HbA</w:t>
      </w:r>
      <w:r w:rsidR="007C018B" w:rsidRPr="0056436C">
        <w:rPr>
          <w:bCs/>
          <w:sz w:val="22"/>
          <w:szCs w:val="22"/>
          <w:vertAlign w:val="subscript"/>
          <w:lang w:val="sr-Latn-ME"/>
        </w:rPr>
        <w:t>1c</w:t>
      </w:r>
      <w:r w:rsidR="007C018B" w:rsidRPr="0056436C">
        <w:rPr>
          <w:bCs/>
          <w:sz w:val="22"/>
          <w:szCs w:val="22"/>
          <w:lang w:val="sr-Latn-ME"/>
        </w:rPr>
        <w:t xml:space="preserve"> u odnosu na vrijednost na početku </w:t>
      </w:r>
      <w:r w:rsidR="00265A59" w:rsidRPr="0056436C">
        <w:rPr>
          <w:bCs/>
          <w:sz w:val="22"/>
          <w:szCs w:val="22"/>
          <w:lang w:val="sr-Latn-ME"/>
        </w:rPr>
        <w:t xml:space="preserve">ispitivanja </w:t>
      </w:r>
      <w:r w:rsidR="007C018B" w:rsidRPr="0056436C">
        <w:rPr>
          <w:bCs/>
          <w:sz w:val="22"/>
          <w:szCs w:val="22"/>
          <w:lang w:val="sr-Latn-ME"/>
        </w:rPr>
        <w:t>bilo je -0,72% u grupi koja je primala sitagliptin i -0,87% kod pacijenata na terapiji glipizidom. U ovo</w:t>
      </w:r>
      <w:r w:rsidR="00265A59" w:rsidRPr="0056436C">
        <w:rPr>
          <w:bCs/>
          <w:sz w:val="22"/>
          <w:szCs w:val="22"/>
          <w:lang w:val="sr-Latn-ME"/>
        </w:rPr>
        <w:t>m ispitivanju</w:t>
      </w:r>
      <w:r w:rsidR="007C018B" w:rsidRPr="0056436C">
        <w:rPr>
          <w:bCs/>
          <w:sz w:val="22"/>
          <w:szCs w:val="22"/>
          <w:lang w:val="sr-Latn-ME"/>
        </w:rPr>
        <w:t xml:space="preserve">, profil </w:t>
      </w:r>
      <w:r w:rsidR="00265A59" w:rsidRPr="0056436C">
        <w:rPr>
          <w:bCs/>
          <w:sz w:val="22"/>
          <w:szCs w:val="22"/>
          <w:lang w:val="sr-Latn-ME"/>
        </w:rPr>
        <w:t xml:space="preserve">efikasnosti i </w:t>
      </w:r>
      <w:r w:rsidR="007C018B" w:rsidRPr="0056436C">
        <w:rPr>
          <w:bCs/>
          <w:sz w:val="22"/>
          <w:szCs w:val="22"/>
          <w:lang w:val="sr-Latn-ME"/>
        </w:rPr>
        <w:t>bezbjednosti sitagliptina u dozi od 25 mg jednom dnevno bio je uglavnom sličan profilu uočenom u drugim ispitivanjima monoterapije kod pacijenata sa normalnom funkcijom bubrega. Učestalost hipoglikemije nije bila značajno različita između dvije terapijske grupe (sitagliptin 6,3%; glipizid 10,8%).</w:t>
      </w:r>
    </w:p>
    <w:p w:rsidR="007C018B" w:rsidRPr="0056436C" w:rsidRDefault="007C018B" w:rsidP="0056436C">
      <w:pPr>
        <w:jc w:val="both"/>
        <w:rPr>
          <w:bCs/>
          <w:sz w:val="22"/>
          <w:szCs w:val="22"/>
          <w:lang w:val="sr-Latn-ME"/>
        </w:rPr>
      </w:pPr>
    </w:p>
    <w:p w:rsidR="007C018B" w:rsidRPr="0056436C" w:rsidRDefault="007C018B" w:rsidP="0056436C">
      <w:pPr>
        <w:jc w:val="both"/>
        <w:rPr>
          <w:bCs/>
          <w:sz w:val="22"/>
          <w:szCs w:val="22"/>
          <w:lang w:val="sr-Latn-ME"/>
        </w:rPr>
      </w:pPr>
      <w:r w:rsidRPr="0056436C">
        <w:rPr>
          <w:bCs/>
          <w:sz w:val="22"/>
          <w:szCs w:val="22"/>
          <w:lang w:val="sr-Latn-ME"/>
        </w:rPr>
        <w:t>U drugo</w:t>
      </w:r>
      <w:r w:rsidR="00265A59" w:rsidRPr="0056436C">
        <w:rPr>
          <w:bCs/>
          <w:sz w:val="22"/>
          <w:szCs w:val="22"/>
          <w:lang w:val="sr-Latn-ME"/>
        </w:rPr>
        <w:t>m ispitivanju</w:t>
      </w:r>
      <w:r w:rsidRPr="0056436C">
        <w:rPr>
          <w:bCs/>
          <w:sz w:val="22"/>
          <w:szCs w:val="22"/>
          <w:lang w:val="sr-Latn-ME"/>
        </w:rPr>
        <w:t>, u koj</w:t>
      </w:r>
      <w:r w:rsidR="00265A59" w:rsidRPr="0056436C">
        <w:rPr>
          <w:bCs/>
          <w:sz w:val="22"/>
          <w:szCs w:val="22"/>
          <w:lang w:val="sr-Latn-ME"/>
        </w:rPr>
        <w:t>e</w:t>
      </w:r>
      <w:r w:rsidRPr="0056436C">
        <w:rPr>
          <w:bCs/>
          <w:sz w:val="22"/>
          <w:szCs w:val="22"/>
          <w:lang w:val="sr-Latn-ME"/>
        </w:rPr>
        <w:t xml:space="preserve"> je bio uključen 91 pacijent sa dijabetes melitusom tip 2 i hroničnim oštećenjem funkcije bubrega (klirens kreatinina &lt; 50 </w:t>
      </w:r>
      <w:r w:rsidR="00F725BA" w:rsidRPr="0056436C">
        <w:rPr>
          <w:bCs/>
          <w:sz w:val="22"/>
          <w:szCs w:val="22"/>
          <w:lang w:val="sr-Latn-ME"/>
        </w:rPr>
        <w:t>ml</w:t>
      </w:r>
      <w:r w:rsidRPr="0056436C">
        <w:rPr>
          <w:bCs/>
          <w:sz w:val="22"/>
          <w:szCs w:val="22"/>
          <w:lang w:val="sr-Latn-ME"/>
        </w:rPr>
        <w:t>/min), bezbjednost i podnošljivost terapije sitagliptinom u dozama od 25 mg ili 50 mg jednom dnevno uglavnom su bil</w:t>
      </w:r>
      <w:r w:rsidR="00265A59" w:rsidRPr="0056436C">
        <w:rPr>
          <w:bCs/>
          <w:sz w:val="22"/>
          <w:szCs w:val="22"/>
          <w:lang w:val="sr-Latn-ME"/>
        </w:rPr>
        <w:t>e</w:t>
      </w:r>
      <w:r w:rsidRPr="0056436C">
        <w:rPr>
          <w:bCs/>
          <w:sz w:val="22"/>
          <w:szCs w:val="22"/>
          <w:lang w:val="sr-Latn-ME"/>
        </w:rPr>
        <w:t xml:space="preserve"> sličn</w:t>
      </w:r>
      <w:r w:rsidR="00265A59" w:rsidRPr="0056436C">
        <w:rPr>
          <w:bCs/>
          <w:sz w:val="22"/>
          <w:szCs w:val="22"/>
          <w:lang w:val="sr-Latn-ME"/>
        </w:rPr>
        <w:t>e</w:t>
      </w:r>
      <w:r w:rsidRPr="0056436C">
        <w:rPr>
          <w:bCs/>
          <w:sz w:val="22"/>
          <w:szCs w:val="22"/>
          <w:lang w:val="sr-Latn-ME"/>
        </w:rPr>
        <w:t xml:space="preserve"> kao i kod placeba. Pored toga, nakon 12 nedjelja terapije, prosječna smanjenja vrijednosti HbA</w:t>
      </w:r>
      <w:r w:rsidRPr="0056436C">
        <w:rPr>
          <w:bCs/>
          <w:sz w:val="22"/>
          <w:szCs w:val="22"/>
          <w:vertAlign w:val="subscript"/>
          <w:lang w:val="sr-Latn-ME"/>
        </w:rPr>
        <w:t>1c</w:t>
      </w:r>
      <w:r w:rsidRPr="0056436C">
        <w:rPr>
          <w:bCs/>
          <w:sz w:val="22"/>
          <w:szCs w:val="22"/>
          <w:lang w:val="sr-Latn-ME"/>
        </w:rPr>
        <w:t xml:space="preserve"> (sitagliptin -0,59%; placebo -0,18%) i </w:t>
      </w:r>
      <w:r w:rsidR="001D715A" w:rsidRPr="0056436C">
        <w:rPr>
          <w:bCs/>
          <w:sz w:val="22"/>
          <w:szCs w:val="22"/>
          <w:lang w:val="sr-Latn-ME"/>
        </w:rPr>
        <w:t xml:space="preserve">glukoze u krvi natašte </w:t>
      </w:r>
      <w:r w:rsidRPr="0056436C">
        <w:rPr>
          <w:bCs/>
          <w:sz w:val="22"/>
          <w:szCs w:val="22"/>
          <w:lang w:val="sr-Latn-ME"/>
        </w:rPr>
        <w:t>(sitagliptin</w:t>
      </w:r>
      <w:r w:rsidR="002A6706" w:rsidRPr="0056436C">
        <w:rPr>
          <w:bCs/>
          <w:sz w:val="22"/>
          <w:szCs w:val="22"/>
          <w:lang w:val="sr-Latn-ME"/>
        </w:rPr>
        <w:t xml:space="preserve"> </w:t>
      </w:r>
      <w:r w:rsidRPr="0056436C">
        <w:rPr>
          <w:bCs/>
          <w:sz w:val="22"/>
          <w:szCs w:val="22"/>
          <w:lang w:val="sr-Latn-ME"/>
        </w:rPr>
        <w:t>-25,5 mg/dL; placebo -3,0 mg/dL) uglavnom su bila slična vrijednostima zabilježenim u drugim ispitivanjima monoterapije kod pacijenata sa normalnom funkcijom bubrega (vidjeti dio 5.2).</w:t>
      </w:r>
    </w:p>
    <w:p w:rsidR="007C018B" w:rsidRPr="0056436C" w:rsidRDefault="007C018B" w:rsidP="0056436C">
      <w:pPr>
        <w:jc w:val="both"/>
        <w:rPr>
          <w:bCs/>
          <w:sz w:val="22"/>
          <w:szCs w:val="22"/>
          <w:lang w:val="sr-Latn-ME"/>
        </w:rPr>
      </w:pPr>
    </w:p>
    <w:p w:rsidR="007C018B" w:rsidRPr="0056436C" w:rsidRDefault="00265A59" w:rsidP="0056436C">
      <w:pPr>
        <w:jc w:val="both"/>
        <w:rPr>
          <w:bCs/>
          <w:sz w:val="22"/>
          <w:szCs w:val="22"/>
          <w:lang w:val="sr-Latn-ME"/>
        </w:rPr>
      </w:pPr>
      <w:r w:rsidRPr="0056436C">
        <w:rPr>
          <w:bCs/>
          <w:sz w:val="22"/>
          <w:szCs w:val="22"/>
          <w:lang w:val="sr-Latn-ME"/>
        </w:rPr>
        <w:t xml:space="preserve">Ispitivanje </w:t>
      </w:r>
      <w:r w:rsidR="007C018B" w:rsidRPr="0056436C">
        <w:rPr>
          <w:bCs/>
          <w:sz w:val="22"/>
          <w:szCs w:val="22"/>
          <w:lang w:val="sr-Latn-ME"/>
        </w:rPr>
        <w:t>TECOS je bil</w:t>
      </w:r>
      <w:r w:rsidRPr="0056436C">
        <w:rPr>
          <w:bCs/>
          <w:sz w:val="22"/>
          <w:szCs w:val="22"/>
          <w:lang w:val="sr-Latn-ME"/>
        </w:rPr>
        <w:t>o</w:t>
      </w:r>
      <w:r w:rsidR="007C018B" w:rsidRPr="0056436C">
        <w:rPr>
          <w:bCs/>
          <w:sz w:val="22"/>
          <w:szCs w:val="22"/>
          <w:lang w:val="sr-Latn-ME"/>
        </w:rPr>
        <w:t xml:space="preserve"> randomizovan</w:t>
      </w:r>
      <w:r w:rsidRPr="0056436C">
        <w:rPr>
          <w:bCs/>
          <w:sz w:val="22"/>
          <w:szCs w:val="22"/>
          <w:lang w:val="sr-Latn-ME"/>
        </w:rPr>
        <w:t>o</w:t>
      </w:r>
      <w:r w:rsidR="007C018B" w:rsidRPr="0056436C">
        <w:rPr>
          <w:bCs/>
          <w:sz w:val="22"/>
          <w:szCs w:val="22"/>
          <w:lang w:val="sr-Latn-ME"/>
        </w:rPr>
        <w:t xml:space="preserve"> </w:t>
      </w:r>
      <w:r w:rsidRPr="0056436C">
        <w:rPr>
          <w:bCs/>
          <w:sz w:val="22"/>
          <w:szCs w:val="22"/>
          <w:lang w:val="sr-Latn-ME"/>
        </w:rPr>
        <w:t xml:space="preserve">ispitivanje </w:t>
      </w:r>
      <w:r w:rsidR="007C018B" w:rsidRPr="0056436C">
        <w:rPr>
          <w:bCs/>
          <w:sz w:val="22"/>
          <w:szCs w:val="22"/>
          <w:lang w:val="sr-Latn-ME"/>
        </w:rPr>
        <w:t>sproveden</w:t>
      </w:r>
      <w:r w:rsidRPr="0056436C">
        <w:rPr>
          <w:bCs/>
          <w:sz w:val="22"/>
          <w:szCs w:val="22"/>
          <w:lang w:val="sr-Latn-ME"/>
        </w:rPr>
        <w:t>o</w:t>
      </w:r>
      <w:r w:rsidR="007C018B" w:rsidRPr="0056436C">
        <w:rPr>
          <w:bCs/>
          <w:sz w:val="22"/>
          <w:szCs w:val="22"/>
          <w:lang w:val="sr-Latn-ME"/>
        </w:rPr>
        <w:t xml:space="preserve"> na 14671 pacijenta, koji pripadaju populaciji pacijenata predviđenoj za liječenje, sa vrijednostima HbA</w:t>
      </w:r>
      <w:r w:rsidR="007C018B" w:rsidRPr="0056436C">
        <w:rPr>
          <w:bCs/>
          <w:sz w:val="22"/>
          <w:szCs w:val="22"/>
          <w:vertAlign w:val="subscript"/>
          <w:lang w:val="sr-Latn-ME"/>
        </w:rPr>
        <w:t>1c</w:t>
      </w:r>
      <w:r w:rsidR="007C018B" w:rsidRPr="0056436C">
        <w:rPr>
          <w:bCs/>
          <w:sz w:val="22"/>
          <w:szCs w:val="22"/>
          <w:lang w:val="sr-Latn-ME"/>
        </w:rPr>
        <w:t xml:space="preserve"> od ≥ 6,5 do 8,0% i potvrđenom KV bolesti i koji su primali sitagliptin (7332) u dozi od 100 mg dnevno (ili 50 mg dnevno ako je početni eGFR bio</w:t>
      </w:r>
      <w:r w:rsidR="001D715A" w:rsidRPr="0056436C">
        <w:rPr>
          <w:bCs/>
          <w:sz w:val="22"/>
          <w:szCs w:val="22"/>
          <w:lang w:val="sr-Latn-ME"/>
        </w:rPr>
        <w:t xml:space="preserve"> </w:t>
      </w:r>
      <w:r w:rsidR="007C018B" w:rsidRPr="0056436C">
        <w:rPr>
          <w:bCs/>
          <w:sz w:val="22"/>
          <w:szCs w:val="22"/>
          <w:lang w:val="sr-Latn-ME"/>
        </w:rPr>
        <w:t xml:space="preserve">≥ 30 i &lt; 50 </w:t>
      </w:r>
      <w:r w:rsidR="00F725BA" w:rsidRPr="0056436C">
        <w:rPr>
          <w:bCs/>
          <w:sz w:val="22"/>
          <w:szCs w:val="22"/>
          <w:lang w:val="sr-Latn-ME"/>
        </w:rPr>
        <w:t>ml</w:t>
      </w:r>
      <w:r w:rsidR="007C018B" w:rsidRPr="0056436C">
        <w:rPr>
          <w:bCs/>
          <w:sz w:val="22"/>
          <w:szCs w:val="22"/>
          <w:lang w:val="sr-Latn-ME"/>
        </w:rPr>
        <w:t>/min/1,73 m</w:t>
      </w:r>
      <w:r w:rsidR="007C018B" w:rsidRPr="0056436C">
        <w:rPr>
          <w:bCs/>
          <w:sz w:val="22"/>
          <w:szCs w:val="22"/>
          <w:vertAlign w:val="superscript"/>
          <w:lang w:val="sr-Latn-ME"/>
        </w:rPr>
        <w:t>2</w:t>
      </w:r>
      <w:r w:rsidR="007C018B" w:rsidRPr="0056436C">
        <w:rPr>
          <w:bCs/>
          <w:sz w:val="22"/>
          <w:szCs w:val="22"/>
          <w:lang w:val="sr-Latn-ME"/>
        </w:rPr>
        <w:t xml:space="preserve">) ili placebo (7339) kao dodatak standardnoj terapiji </w:t>
      </w:r>
      <w:r w:rsidRPr="0056436C">
        <w:rPr>
          <w:bCs/>
          <w:sz w:val="22"/>
          <w:szCs w:val="22"/>
          <w:lang w:val="sr-Latn-ME"/>
        </w:rPr>
        <w:t>usmjerenoj na</w:t>
      </w:r>
      <w:r w:rsidR="007C018B" w:rsidRPr="0056436C">
        <w:rPr>
          <w:bCs/>
          <w:sz w:val="22"/>
          <w:szCs w:val="22"/>
          <w:lang w:val="sr-Latn-ME"/>
        </w:rPr>
        <w:t xml:space="preserve"> regionaln</w:t>
      </w:r>
      <w:r w:rsidRPr="0056436C">
        <w:rPr>
          <w:bCs/>
          <w:sz w:val="22"/>
          <w:szCs w:val="22"/>
          <w:lang w:val="sr-Latn-ME"/>
        </w:rPr>
        <w:t>e</w:t>
      </w:r>
      <w:r w:rsidR="007C018B" w:rsidRPr="0056436C">
        <w:rPr>
          <w:bCs/>
          <w:sz w:val="22"/>
          <w:szCs w:val="22"/>
          <w:lang w:val="sr-Latn-ME"/>
        </w:rPr>
        <w:t xml:space="preserve"> standardn</w:t>
      </w:r>
      <w:r w:rsidRPr="0056436C">
        <w:rPr>
          <w:bCs/>
          <w:sz w:val="22"/>
          <w:szCs w:val="22"/>
          <w:lang w:val="sr-Latn-ME"/>
        </w:rPr>
        <w:t>e</w:t>
      </w:r>
      <w:r w:rsidR="007C018B" w:rsidRPr="0056436C">
        <w:rPr>
          <w:bCs/>
          <w:sz w:val="22"/>
          <w:szCs w:val="22"/>
          <w:lang w:val="sr-Latn-ME"/>
        </w:rPr>
        <w:t xml:space="preserve"> vrijednosti HbA</w:t>
      </w:r>
      <w:r w:rsidR="007C018B" w:rsidRPr="0056436C">
        <w:rPr>
          <w:bCs/>
          <w:sz w:val="22"/>
          <w:szCs w:val="22"/>
          <w:vertAlign w:val="subscript"/>
          <w:lang w:val="sr-Latn-ME"/>
        </w:rPr>
        <w:t>1c</w:t>
      </w:r>
      <w:r w:rsidR="007C018B" w:rsidRPr="0056436C">
        <w:rPr>
          <w:bCs/>
          <w:sz w:val="22"/>
          <w:szCs w:val="22"/>
          <w:lang w:val="sr-Latn-ME"/>
        </w:rPr>
        <w:t xml:space="preserve"> i faktor</w:t>
      </w:r>
      <w:r w:rsidRPr="0056436C">
        <w:rPr>
          <w:bCs/>
          <w:sz w:val="22"/>
          <w:szCs w:val="22"/>
          <w:lang w:val="sr-Latn-ME"/>
        </w:rPr>
        <w:t>e</w:t>
      </w:r>
      <w:r w:rsidR="007C018B" w:rsidRPr="0056436C">
        <w:rPr>
          <w:bCs/>
          <w:sz w:val="22"/>
          <w:szCs w:val="22"/>
          <w:lang w:val="sr-Latn-ME"/>
        </w:rPr>
        <w:t xml:space="preserve"> KV rizika. U </w:t>
      </w:r>
      <w:r w:rsidRPr="0056436C">
        <w:rPr>
          <w:bCs/>
          <w:sz w:val="22"/>
          <w:szCs w:val="22"/>
          <w:lang w:val="sr-Latn-ME"/>
        </w:rPr>
        <w:t xml:space="preserve">ispitivanje </w:t>
      </w:r>
      <w:r w:rsidR="007C018B" w:rsidRPr="0056436C">
        <w:rPr>
          <w:bCs/>
          <w:sz w:val="22"/>
          <w:szCs w:val="22"/>
          <w:lang w:val="sr-Latn-ME"/>
        </w:rPr>
        <w:t xml:space="preserve">nije bilo dozvoljeno uključiti pacijente kojima je eGFR bio &lt; 30 </w:t>
      </w:r>
      <w:r w:rsidR="00F725BA" w:rsidRPr="0056436C">
        <w:rPr>
          <w:bCs/>
          <w:sz w:val="22"/>
          <w:szCs w:val="22"/>
          <w:lang w:val="sr-Latn-ME"/>
        </w:rPr>
        <w:t>ml</w:t>
      </w:r>
      <w:r w:rsidR="007C018B" w:rsidRPr="0056436C">
        <w:rPr>
          <w:bCs/>
          <w:sz w:val="22"/>
          <w:szCs w:val="22"/>
          <w:lang w:val="sr-Latn-ME"/>
        </w:rPr>
        <w:t>/min/1,73 m</w:t>
      </w:r>
      <w:r w:rsidR="007C018B" w:rsidRPr="0056436C">
        <w:rPr>
          <w:bCs/>
          <w:sz w:val="22"/>
          <w:szCs w:val="22"/>
          <w:vertAlign w:val="superscript"/>
          <w:lang w:val="sr-Latn-ME"/>
        </w:rPr>
        <w:t>2</w:t>
      </w:r>
      <w:r w:rsidR="007C018B" w:rsidRPr="0056436C">
        <w:rPr>
          <w:bCs/>
          <w:sz w:val="22"/>
          <w:szCs w:val="22"/>
          <w:lang w:val="sr-Latn-ME"/>
        </w:rPr>
        <w:t xml:space="preserve">. Ispitivana populacija uključivala je 2004 pacijenta starosti ≥ 75 godina i 3324 pacijenta sa oštećenjem funkcije bubrega (eGFR &lt; 60 </w:t>
      </w:r>
      <w:r w:rsidR="00F725BA" w:rsidRPr="0056436C">
        <w:rPr>
          <w:bCs/>
          <w:sz w:val="22"/>
          <w:szCs w:val="22"/>
          <w:lang w:val="sr-Latn-ME"/>
        </w:rPr>
        <w:t>ml</w:t>
      </w:r>
      <w:r w:rsidR="007C018B" w:rsidRPr="0056436C">
        <w:rPr>
          <w:bCs/>
          <w:sz w:val="22"/>
          <w:szCs w:val="22"/>
          <w:lang w:val="sr-Latn-ME"/>
        </w:rPr>
        <w:t>/min/1,73 m</w:t>
      </w:r>
      <w:r w:rsidR="007C018B" w:rsidRPr="0056436C">
        <w:rPr>
          <w:bCs/>
          <w:sz w:val="22"/>
          <w:szCs w:val="22"/>
          <w:vertAlign w:val="superscript"/>
          <w:lang w:val="sr-Latn-ME"/>
        </w:rPr>
        <w:t>2</w:t>
      </w:r>
      <w:r w:rsidR="007C018B" w:rsidRPr="0056436C">
        <w:rPr>
          <w:bCs/>
          <w:sz w:val="22"/>
          <w:szCs w:val="22"/>
          <w:lang w:val="sr-Latn-ME"/>
        </w:rPr>
        <w:t>).</w:t>
      </w:r>
    </w:p>
    <w:p w:rsidR="007C018B" w:rsidRPr="0056436C" w:rsidRDefault="007C018B" w:rsidP="0056436C">
      <w:pPr>
        <w:jc w:val="both"/>
        <w:rPr>
          <w:bCs/>
          <w:sz w:val="22"/>
          <w:szCs w:val="22"/>
          <w:lang w:val="sr-Latn-ME"/>
        </w:rPr>
      </w:pPr>
    </w:p>
    <w:p w:rsidR="007C018B" w:rsidRPr="0056436C" w:rsidRDefault="007C018B" w:rsidP="0056436C">
      <w:pPr>
        <w:jc w:val="both"/>
        <w:rPr>
          <w:bCs/>
          <w:sz w:val="22"/>
          <w:szCs w:val="22"/>
          <w:lang w:val="sr-Latn-ME"/>
        </w:rPr>
      </w:pPr>
      <w:r w:rsidRPr="0056436C">
        <w:rPr>
          <w:bCs/>
          <w:sz w:val="22"/>
          <w:szCs w:val="22"/>
          <w:lang w:val="sr-Latn-ME"/>
        </w:rPr>
        <w:t>Tokom studije, ukupna procijenjena srednja vrijednost (SD) razlike vrijednosti HbA</w:t>
      </w:r>
      <w:r w:rsidRPr="0056436C">
        <w:rPr>
          <w:bCs/>
          <w:sz w:val="22"/>
          <w:szCs w:val="22"/>
          <w:vertAlign w:val="subscript"/>
          <w:lang w:val="sr-Latn-ME"/>
        </w:rPr>
        <w:t>1c</w:t>
      </w:r>
      <w:r w:rsidRPr="0056436C">
        <w:rPr>
          <w:bCs/>
          <w:sz w:val="22"/>
          <w:szCs w:val="22"/>
          <w:lang w:val="sr-Latn-ME"/>
        </w:rPr>
        <w:t xml:space="preserve"> između grupe liječene sitagliptinom i one koja je primala placebo iznosila je 0,29% (0,01), 95% CI (-0,32; -0,27); p &lt; 0,001.</w:t>
      </w:r>
    </w:p>
    <w:p w:rsidR="007C018B" w:rsidRPr="0056436C" w:rsidRDefault="007C018B" w:rsidP="0056436C">
      <w:pPr>
        <w:jc w:val="both"/>
        <w:rPr>
          <w:bCs/>
          <w:sz w:val="22"/>
          <w:szCs w:val="22"/>
          <w:lang w:val="sr-Latn-ME"/>
        </w:rPr>
      </w:pPr>
    </w:p>
    <w:p w:rsidR="007C018B" w:rsidRPr="0056436C" w:rsidRDefault="007C018B" w:rsidP="0056436C">
      <w:pPr>
        <w:jc w:val="both"/>
        <w:rPr>
          <w:bCs/>
          <w:sz w:val="22"/>
          <w:szCs w:val="22"/>
          <w:lang w:val="sr-Latn-ME"/>
        </w:rPr>
      </w:pPr>
      <w:r w:rsidRPr="0056436C">
        <w:rPr>
          <w:bCs/>
          <w:sz w:val="22"/>
          <w:szCs w:val="22"/>
          <w:lang w:val="sr-Latn-ME"/>
        </w:rPr>
        <w:lastRenderedPageBreak/>
        <w:t>Primarn</w:t>
      </w:r>
      <w:r w:rsidR="005E4A0E" w:rsidRPr="0056436C">
        <w:rPr>
          <w:bCs/>
          <w:sz w:val="22"/>
          <w:szCs w:val="22"/>
          <w:lang w:val="sr-Latn-ME"/>
        </w:rPr>
        <w:t>a</w:t>
      </w:r>
      <w:r w:rsidRPr="0056436C">
        <w:rPr>
          <w:bCs/>
          <w:sz w:val="22"/>
          <w:szCs w:val="22"/>
          <w:lang w:val="sr-Latn-ME"/>
        </w:rPr>
        <w:t xml:space="preserve"> kardiovaskularn</w:t>
      </w:r>
      <w:r w:rsidR="005E4A0E" w:rsidRPr="0056436C">
        <w:rPr>
          <w:bCs/>
          <w:sz w:val="22"/>
          <w:szCs w:val="22"/>
          <w:lang w:val="sr-Latn-ME"/>
        </w:rPr>
        <w:t>a</w:t>
      </w:r>
      <w:r w:rsidRPr="0056436C">
        <w:rPr>
          <w:bCs/>
          <w:sz w:val="22"/>
          <w:szCs w:val="22"/>
          <w:lang w:val="sr-Latn-ME"/>
        </w:rPr>
        <w:t xml:space="preserve"> </w:t>
      </w:r>
      <w:r w:rsidR="005E4A0E" w:rsidRPr="0056436C">
        <w:rPr>
          <w:bCs/>
          <w:sz w:val="22"/>
          <w:szCs w:val="22"/>
          <w:lang w:val="sr-Latn-ME"/>
        </w:rPr>
        <w:t xml:space="preserve">krajnja tačka </w:t>
      </w:r>
      <w:r w:rsidRPr="0056436C">
        <w:rPr>
          <w:bCs/>
          <w:sz w:val="22"/>
          <w:szCs w:val="22"/>
          <w:lang w:val="sr-Latn-ME"/>
        </w:rPr>
        <w:t>ispitivanja se sastoj</w:t>
      </w:r>
      <w:r w:rsidR="005E4A0E" w:rsidRPr="0056436C">
        <w:rPr>
          <w:bCs/>
          <w:sz w:val="22"/>
          <w:szCs w:val="22"/>
          <w:lang w:val="sr-Latn-ME"/>
        </w:rPr>
        <w:t>ala</w:t>
      </w:r>
      <w:r w:rsidRPr="0056436C">
        <w:rPr>
          <w:bCs/>
          <w:sz w:val="22"/>
          <w:szCs w:val="22"/>
          <w:lang w:val="sr-Latn-ME"/>
        </w:rPr>
        <w:t xml:space="preserve"> od prvog nastupa smrti zbog kardiovaskularnog uzroka, infarkta miokarda bez smrtnog ishoda, moždanog udara bez smrtnog ishoda ili hospitalizacije zbog nestabilne angine. Sekundarn</w:t>
      </w:r>
      <w:r w:rsidR="005E4A0E" w:rsidRPr="0056436C">
        <w:rPr>
          <w:bCs/>
          <w:sz w:val="22"/>
          <w:szCs w:val="22"/>
          <w:lang w:val="sr-Latn-ME"/>
        </w:rPr>
        <w:t>e</w:t>
      </w:r>
      <w:r w:rsidRPr="0056436C">
        <w:rPr>
          <w:bCs/>
          <w:sz w:val="22"/>
          <w:szCs w:val="22"/>
          <w:lang w:val="sr-Latn-ME"/>
        </w:rPr>
        <w:t xml:space="preserve"> kardiovaskularn</w:t>
      </w:r>
      <w:r w:rsidR="005E4A0E" w:rsidRPr="0056436C">
        <w:rPr>
          <w:bCs/>
          <w:sz w:val="22"/>
          <w:szCs w:val="22"/>
          <w:lang w:val="sr-Latn-ME"/>
        </w:rPr>
        <w:t>e</w:t>
      </w:r>
      <w:r w:rsidRPr="0056436C">
        <w:rPr>
          <w:bCs/>
          <w:sz w:val="22"/>
          <w:szCs w:val="22"/>
          <w:lang w:val="sr-Latn-ME"/>
        </w:rPr>
        <w:t xml:space="preserve"> </w:t>
      </w:r>
      <w:r w:rsidR="005E4A0E" w:rsidRPr="0056436C">
        <w:rPr>
          <w:bCs/>
          <w:sz w:val="22"/>
          <w:szCs w:val="22"/>
          <w:lang w:val="sr-Latn-ME"/>
        </w:rPr>
        <w:t xml:space="preserve">krajnje tačke </w:t>
      </w:r>
      <w:r w:rsidRPr="0056436C">
        <w:rPr>
          <w:bCs/>
          <w:sz w:val="22"/>
          <w:szCs w:val="22"/>
          <w:lang w:val="sr-Latn-ME"/>
        </w:rPr>
        <w:t>ispitivanja uključiva</w:t>
      </w:r>
      <w:r w:rsidR="005E4A0E" w:rsidRPr="0056436C">
        <w:rPr>
          <w:bCs/>
          <w:sz w:val="22"/>
          <w:szCs w:val="22"/>
          <w:lang w:val="sr-Latn-ME"/>
        </w:rPr>
        <w:t>le</w:t>
      </w:r>
      <w:r w:rsidRPr="0056436C">
        <w:rPr>
          <w:bCs/>
          <w:sz w:val="22"/>
          <w:szCs w:val="22"/>
          <w:lang w:val="sr-Latn-ME"/>
        </w:rPr>
        <w:t xml:space="preserve"> </w:t>
      </w:r>
      <w:r w:rsidR="005E4A0E" w:rsidRPr="0056436C">
        <w:rPr>
          <w:bCs/>
          <w:sz w:val="22"/>
          <w:szCs w:val="22"/>
          <w:lang w:val="sr-Latn-ME"/>
        </w:rPr>
        <w:t>su:</w:t>
      </w:r>
      <w:r w:rsidRPr="0056436C">
        <w:rPr>
          <w:bCs/>
          <w:sz w:val="22"/>
          <w:szCs w:val="22"/>
          <w:lang w:val="sr-Latn-ME"/>
        </w:rPr>
        <w:t xml:space="preserve"> prvi nastup smrti zbog kardiovaskularnog uzroka, infarkt miokarda bez smrtnog ishoda ili moždan</w:t>
      </w:r>
      <w:r w:rsidR="005E4A0E" w:rsidRPr="0056436C">
        <w:rPr>
          <w:bCs/>
          <w:sz w:val="22"/>
          <w:szCs w:val="22"/>
          <w:lang w:val="sr-Latn-ME"/>
        </w:rPr>
        <w:t>i</w:t>
      </w:r>
      <w:r w:rsidRPr="0056436C">
        <w:rPr>
          <w:bCs/>
          <w:sz w:val="22"/>
          <w:szCs w:val="22"/>
          <w:lang w:val="sr-Latn-ME"/>
        </w:rPr>
        <w:t xml:space="preserve"> udar bez smrtnog ishoda; prva pojava pojedinih elemenata primarne krajnje tačke ispitivanja; smrt zbog bilo kog uzroka; hospitalizacij</w:t>
      </w:r>
      <w:r w:rsidR="005E4A0E" w:rsidRPr="0056436C">
        <w:rPr>
          <w:bCs/>
          <w:sz w:val="22"/>
          <w:szCs w:val="22"/>
          <w:lang w:val="sr-Latn-ME"/>
        </w:rPr>
        <w:t>a</w:t>
      </w:r>
      <w:r w:rsidRPr="0056436C">
        <w:rPr>
          <w:bCs/>
          <w:sz w:val="22"/>
          <w:szCs w:val="22"/>
          <w:lang w:val="sr-Latn-ME"/>
        </w:rPr>
        <w:t xml:space="preserve"> zbog kongestivne srčane insuficijencije.</w:t>
      </w:r>
    </w:p>
    <w:p w:rsidR="007C018B" w:rsidRPr="0056436C" w:rsidRDefault="007C018B" w:rsidP="0056436C">
      <w:pPr>
        <w:jc w:val="both"/>
        <w:rPr>
          <w:bCs/>
          <w:sz w:val="22"/>
          <w:szCs w:val="22"/>
          <w:lang w:val="sr-Latn-ME"/>
        </w:rPr>
      </w:pPr>
    </w:p>
    <w:p w:rsidR="007C018B" w:rsidRPr="0056436C" w:rsidRDefault="007C018B" w:rsidP="0056436C">
      <w:pPr>
        <w:jc w:val="both"/>
        <w:rPr>
          <w:bCs/>
          <w:sz w:val="22"/>
          <w:szCs w:val="22"/>
          <w:lang w:val="sr-Latn-ME"/>
        </w:rPr>
      </w:pPr>
      <w:r w:rsidRPr="0056436C">
        <w:rPr>
          <w:bCs/>
          <w:sz w:val="22"/>
          <w:szCs w:val="22"/>
          <w:lang w:val="sr-Latn-ME"/>
        </w:rPr>
        <w:t>Nakon srednjeg vremena praćenja od 3 godine, sitagliptin kao dodatak standardnom liječenju nije povećao rizik od značajnih štetnih kardiovaskularnih događaja niti rizik od hospitalizacije zbog srčane insuficijencije kod pacijenata sa dijabetesom tipa 2</w:t>
      </w:r>
      <w:r w:rsidR="005E4A0E" w:rsidRPr="0056436C">
        <w:rPr>
          <w:bCs/>
          <w:sz w:val="22"/>
          <w:szCs w:val="22"/>
          <w:lang w:val="sr-Latn-ME"/>
        </w:rPr>
        <w:t>,</w:t>
      </w:r>
      <w:r w:rsidRPr="0056436C">
        <w:rPr>
          <w:bCs/>
          <w:sz w:val="22"/>
          <w:szCs w:val="22"/>
          <w:lang w:val="sr-Latn-ME"/>
        </w:rPr>
        <w:t xml:space="preserve"> u poređenju sa standardnim liječenjem bez sitagliptina (Tabela 3).</w:t>
      </w:r>
    </w:p>
    <w:p w:rsidR="00BD1476" w:rsidRPr="0056436C" w:rsidRDefault="00BD1476" w:rsidP="0056436C">
      <w:pPr>
        <w:tabs>
          <w:tab w:val="left" w:pos="540"/>
          <w:tab w:val="left" w:pos="569"/>
        </w:tabs>
        <w:rPr>
          <w:b/>
          <w:bCs/>
          <w:sz w:val="22"/>
          <w:szCs w:val="22"/>
          <w:lang w:val="sr-Latn-ME"/>
        </w:rPr>
      </w:pPr>
    </w:p>
    <w:p w:rsidR="00543626" w:rsidRPr="0056436C" w:rsidRDefault="00543626" w:rsidP="0056436C">
      <w:pPr>
        <w:tabs>
          <w:tab w:val="left" w:pos="540"/>
          <w:tab w:val="left" w:pos="569"/>
        </w:tabs>
        <w:rPr>
          <w:b/>
          <w:bCs/>
          <w:sz w:val="22"/>
          <w:szCs w:val="22"/>
          <w:lang w:val="sr-Latn-ME"/>
        </w:rPr>
      </w:pPr>
      <w:r w:rsidRPr="0056436C">
        <w:rPr>
          <w:b/>
          <w:bCs/>
          <w:sz w:val="22"/>
          <w:szCs w:val="22"/>
          <w:lang w:val="sr-Latn-ME"/>
        </w:rPr>
        <w:t>Tabela 3. Stope objedinjenih kardiovaskularnih ishoda i ključnih sekundarnih ishoda</w:t>
      </w:r>
    </w:p>
    <w:tbl>
      <w:tblPr>
        <w:tblW w:w="5227" w:type="pct"/>
        <w:tblInd w:w="-284" w:type="dxa"/>
        <w:tblLayout w:type="fixed"/>
        <w:tblLook w:val="04A0" w:firstRow="1" w:lastRow="0" w:firstColumn="1" w:lastColumn="0" w:noHBand="0" w:noVBand="1"/>
      </w:tblPr>
      <w:tblGrid>
        <w:gridCol w:w="2282"/>
        <w:gridCol w:w="748"/>
        <w:gridCol w:w="1715"/>
        <w:gridCol w:w="927"/>
        <w:gridCol w:w="1558"/>
        <w:gridCol w:w="993"/>
        <w:gridCol w:w="1274"/>
      </w:tblGrid>
      <w:tr w:rsidR="001D715A" w:rsidRPr="0056436C" w:rsidTr="00E21D56">
        <w:trPr>
          <w:trHeight w:val="315"/>
        </w:trPr>
        <w:tc>
          <w:tcPr>
            <w:tcW w:w="1201" w:type="pct"/>
            <w:tcBorders>
              <w:top w:val="nil"/>
              <w:left w:val="nil"/>
              <w:bottom w:val="single" w:sz="8" w:space="0" w:color="auto"/>
              <w:right w:val="nil"/>
            </w:tcBorders>
            <w:shd w:val="clear" w:color="auto" w:fill="auto"/>
            <w:noWrap/>
            <w:vAlign w:val="bottom"/>
            <w:hideMark/>
          </w:tcPr>
          <w:p w:rsidR="00BD1476" w:rsidRPr="0056436C" w:rsidRDefault="00BD1476" w:rsidP="0056436C">
            <w:pPr>
              <w:rPr>
                <w:color w:val="000000"/>
                <w:sz w:val="22"/>
                <w:szCs w:val="22"/>
                <w:lang w:val="sr-Latn-ME" w:eastAsia="en-GB"/>
              </w:rPr>
            </w:pPr>
          </w:p>
        </w:tc>
        <w:tc>
          <w:tcPr>
            <w:tcW w:w="394" w:type="pct"/>
            <w:tcBorders>
              <w:top w:val="nil"/>
              <w:left w:val="nil"/>
              <w:bottom w:val="nil"/>
              <w:right w:val="nil"/>
            </w:tcBorders>
            <w:shd w:val="clear" w:color="auto" w:fill="auto"/>
            <w:noWrap/>
            <w:vAlign w:val="bottom"/>
            <w:hideMark/>
          </w:tcPr>
          <w:p w:rsidR="00BD1476" w:rsidRPr="0056436C" w:rsidRDefault="00BD1476" w:rsidP="0056436C">
            <w:pPr>
              <w:rPr>
                <w:color w:val="000000"/>
                <w:sz w:val="22"/>
                <w:szCs w:val="22"/>
                <w:lang w:val="sr-Latn-ME"/>
              </w:rPr>
            </w:pPr>
          </w:p>
        </w:tc>
        <w:tc>
          <w:tcPr>
            <w:tcW w:w="903" w:type="pct"/>
            <w:tcBorders>
              <w:top w:val="nil"/>
              <w:left w:val="nil"/>
              <w:bottom w:val="nil"/>
              <w:right w:val="nil"/>
            </w:tcBorders>
            <w:shd w:val="clear" w:color="auto" w:fill="auto"/>
            <w:noWrap/>
            <w:vAlign w:val="bottom"/>
            <w:hideMark/>
          </w:tcPr>
          <w:p w:rsidR="00BD1476" w:rsidRPr="0056436C" w:rsidRDefault="00BD1476" w:rsidP="0056436C">
            <w:pPr>
              <w:rPr>
                <w:sz w:val="22"/>
                <w:szCs w:val="22"/>
                <w:lang w:val="sr-Latn-ME"/>
              </w:rPr>
            </w:pPr>
          </w:p>
        </w:tc>
        <w:tc>
          <w:tcPr>
            <w:tcW w:w="488" w:type="pct"/>
            <w:tcBorders>
              <w:top w:val="nil"/>
              <w:left w:val="nil"/>
              <w:bottom w:val="single" w:sz="8" w:space="0" w:color="auto"/>
              <w:right w:val="nil"/>
            </w:tcBorders>
            <w:shd w:val="clear" w:color="auto" w:fill="auto"/>
            <w:noWrap/>
            <w:vAlign w:val="bottom"/>
            <w:hideMark/>
          </w:tcPr>
          <w:p w:rsidR="00BD1476" w:rsidRPr="0056436C" w:rsidRDefault="00BD1476" w:rsidP="0056436C">
            <w:pPr>
              <w:rPr>
                <w:color w:val="000000"/>
                <w:sz w:val="22"/>
                <w:szCs w:val="22"/>
                <w:lang w:val="sr-Latn-ME"/>
              </w:rPr>
            </w:pPr>
            <w:r w:rsidRPr="0056436C">
              <w:rPr>
                <w:color w:val="000000"/>
                <w:sz w:val="22"/>
                <w:szCs w:val="22"/>
                <w:lang w:val="sr-Latn-ME"/>
              </w:rPr>
              <w:t> </w:t>
            </w:r>
          </w:p>
        </w:tc>
        <w:tc>
          <w:tcPr>
            <w:tcW w:w="820" w:type="pct"/>
            <w:tcBorders>
              <w:top w:val="nil"/>
              <w:left w:val="nil"/>
              <w:bottom w:val="single" w:sz="8" w:space="0" w:color="auto"/>
              <w:right w:val="nil"/>
            </w:tcBorders>
            <w:shd w:val="clear" w:color="auto" w:fill="auto"/>
            <w:noWrap/>
            <w:vAlign w:val="bottom"/>
            <w:hideMark/>
          </w:tcPr>
          <w:p w:rsidR="00BD1476" w:rsidRPr="0056436C" w:rsidRDefault="00BD1476" w:rsidP="0056436C">
            <w:pPr>
              <w:rPr>
                <w:color w:val="000000"/>
                <w:sz w:val="22"/>
                <w:szCs w:val="22"/>
                <w:lang w:val="sr-Latn-ME"/>
              </w:rPr>
            </w:pPr>
            <w:r w:rsidRPr="0056436C">
              <w:rPr>
                <w:color w:val="000000"/>
                <w:sz w:val="22"/>
                <w:szCs w:val="22"/>
                <w:lang w:val="sr-Latn-ME"/>
              </w:rPr>
              <w:t> </w:t>
            </w:r>
          </w:p>
        </w:tc>
        <w:tc>
          <w:tcPr>
            <w:tcW w:w="523" w:type="pct"/>
            <w:tcBorders>
              <w:top w:val="nil"/>
              <w:left w:val="nil"/>
              <w:bottom w:val="nil"/>
              <w:right w:val="nil"/>
            </w:tcBorders>
            <w:shd w:val="clear" w:color="auto" w:fill="auto"/>
            <w:noWrap/>
            <w:vAlign w:val="bottom"/>
            <w:hideMark/>
          </w:tcPr>
          <w:p w:rsidR="00BD1476" w:rsidRPr="0056436C" w:rsidRDefault="00BD1476" w:rsidP="0056436C">
            <w:pPr>
              <w:rPr>
                <w:color w:val="000000"/>
                <w:sz w:val="22"/>
                <w:szCs w:val="22"/>
                <w:lang w:val="sr-Latn-ME"/>
              </w:rPr>
            </w:pPr>
          </w:p>
        </w:tc>
        <w:tc>
          <w:tcPr>
            <w:tcW w:w="671" w:type="pct"/>
            <w:tcBorders>
              <w:top w:val="nil"/>
              <w:left w:val="nil"/>
              <w:bottom w:val="nil"/>
              <w:right w:val="nil"/>
            </w:tcBorders>
            <w:shd w:val="clear" w:color="auto" w:fill="auto"/>
            <w:noWrap/>
            <w:vAlign w:val="bottom"/>
            <w:hideMark/>
          </w:tcPr>
          <w:p w:rsidR="00BD1476" w:rsidRPr="0056436C" w:rsidRDefault="00BD1476" w:rsidP="0056436C">
            <w:pPr>
              <w:rPr>
                <w:sz w:val="22"/>
                <w:szCs w:val="22"/>
                <w:lang w:val="sr-Latn-ME"/>
              </w:rPr>
            </w:pPr>
          </w:p>
        </w:tc>
      </w:tr>
      <w:tr w:rsidR="00BD1476" w:rsidRPr="0056436C" w:rsidTr="00E21D56">
        <w:trPr>
          <w:trHeight w:val="510"/>
        </w:trPr>
        <w:tc>
          <w:tcPr>
            <w:tcW w:w="1201" w:type="pct"/>
            <w:vMerge w:val="restart"/>
            <w:tcBorders>
              <w:top w:val="nil"/>
              <w:left w:val="single" w:sz="8" w:space="0" w:color="auto"/>
              <w:bottom w:val="single" w:sz="8" w:space="0" w:color="7B7B7B"/>
              <w:right w:val="nil"/>
            </w:tcBorders>
            <w:shd w:val="clear" w:color="auto" w:fill="auto"/>
            <w:noWrap/>
            <w:vAlign w:val="bottom"/>
            <w:hideMark/>
          </w:tcPr>
          <w:p w:rsidR="00BD1476" w:rsidRPr="0056436C" w:rsidRDefault="00BD1476" w:rsidP="0056436C">
            <w:pPr>
              <w:jc w:val="center"/>
              <w:rPr>
                <w:color w:val="000000"/>
                <w:sz w:val="22"/>
                <w:szCs w:val="22"/>
                <w:lang w:val="sr-Latn-ME"/>
              </w:rPr>
            </w:pPr>
            <w:r w:rsidRPr="0056436C">
              <w:rPr>
                <w:color w:val="000000"/>
                <w:sz w:val="22"/>
                <w:szCs w:val="22"/>
                <w:lang w:val="sr-Latn-ME"/>
              </w:rPr>
              <w:t> </w:t>
            </w:r>
          </w:p>
        </w:tc>
        <w:tc>
          <w:tcPr>
            <w:tcW w:w="1297" w:type="pct"/>
            <w:gridSpan w:val="2"/>
            <w:vMerge w:val="restart"/>
            <w:tcBorders>
              <w:top w:val="single" w:sz="8" w:space="0" w:color="auto"/>
              <w:left w:val="single" w:sz="8" w:space="0" w:color="auto"/>
              <w:bottom w:val="single" w:sz="8" w:space="0" w:color="000000"/>
              <w:right w:val="nil"/>
            </w:tcBorders>
            <w:shd w:val="clear" w:color="auto" w:fill="auto"/>
            <w:noWrap/>
            <w:vAlign w:val="center"/>
            <w:hideMark/>
          </w:tcPr>
          <w:p w:rsidR="00BD1476" w:rsidRPr="0056436C" w:rsidRDefault="00BD1476" w:rsidP="0056436C">
            <w:pPr>
              <w:jc w:val="center"/>
              <w:rPr>
                <w:b/>
                <w:bCs/>
                <w:color w:val="000000"/>
                <w:sz w:val="22"/>
                <w:szCs w:val="22"/>
                <w:lang w:val="sr-Latn-ME"/>
              </w:rPr>
            </w:pPr>
            <w:r w:rsidRPr="0056436C">
              <w:rPr>
                <w:b/>
                <w:bCs/>
                <w:color w:val="000000"/>
                <w:sz w:val="22"/>
                <w:szCs w:val="22"/>
                <w:lang w:val="sr-Latn-ME"/>
              </w:rPr>
              <w:t>Sitagliptin 100 mg</w:t>
            </w:r>
          </w:p>
        </w:tc>
        <w:tc>
          <w:tcPr>
            <w:tcW w:w="1308" w:type="pct"/>
            <w:gridSpan w:val="2"/>
            <w:vMerge w:val="restart"/>
            <w:tcBorders>
              <w:top w:val="single" w:sz="8" w:space="0" w:color="auto"/>
              <w:left w:val="single" w:sz="8" w:space="0" w:color="auto"/>
              <w:bottom w:val="single" w:sz="8" w:space="0" w:color="000000"/>
              <w:right w:val="nil"/>
            </w:tcBorders>
            <w:shd w:val="clear" w:color="000000" w:fill="FFFFFF"/>
            <w:vAlign w:val="center"/>
            <w:hideMark/>
          </w:tcPr>
          <w:p w:rsidR="00BD1476" w:rsidRPr="0056436C" w:rsidRDefault="00BD1476" w:rsidP="0056436C">
            <w:pPr>
              <w:jc w:val="center"/>
              <w:rPr>
                <w:b/>
                <w:bCs/>
                <w:color w:val="000000"/>
                <w:sz w:val="22"/>
                <w:szCs w:val="22"/>
                <w:lang w:val="sr-Latn-ME"/>
              </w:rPr>
            </w:pPr>
            <w:r w:rsidRPr="0056436C">
              <w:rPr>
                <w:b/>
                <w:bCs/>
                <w:color w:val="000000"/>
                <w:sz w:val="22"/>
                <w:szCs w:val="22"/>
                <w:lang w:val="sr-Latn-ME"/>
              </w:rPr>
              <w:t>Placebo</w:t>
            </w:r>
          </w:p>
        </w:tc>
        <w:tc>
          <w:tcPr>
            <w:tcW w:w="523" w:type="pct"/>
            <w:tcBorders>
              <w:top w:val="single" w:sz="8" w:space="0" w:color="7B7B7B"/>
              <w:left w:val="single" w:sz="8" w:space="0" w:color="auto"/>
              <w:bottom w:val="nil"/>
              <w:right w:val="single" w:sz="8" w:space="0" w:color="7B7B7B"/>
            </w:tcBorders>
            <w:shd w:val="clear" w:color="000000" w:fill="FFFFFF"/>
            <w:vAlign w:val="center"/>
            <w:hideMark/>
          </w:tcPr>
          <w:p w:rsidR="00BD1476" w:rsidRPr="0056436C" w:rsidRDefault="00BD1476" w:rsidP="0056436C">
            <w:pPr>
              <w:jc w:val="center"/>
              <w:rPr>
                <w:b/>
                <w:bCs/>
                <w:color w:val="000000"/>
                <w:sz w:val="22"/>
                <w:szCs w:val="22"/>
                <w:lang w:val="sr-Latn-ME"/>
              </w:rPr>
            </w:pPr>
            <w:r w:rsidRPr="0056436C">
              <w:rPr>
                <w:b/>
                <w:bCs/>
                <w:color w:val="000000"/>
                <w:sz w:val="22"/>
                <w:szCs w:val="22"/>
                <w:lang w:val="sr-Latn-ME"/>
              </w:rPr>
              <w:t>Hazard Ratio</w:t>
            </w:r>
          </w:p>
        </w:tc>
        <w:tc>
          <w:tcPr>
            <w:tcW w:w="671" w:type="pct"/>
            <w:vMerge w:val="restart"/>
            <w:tcBorders>
              <w:top w:val="single" w:sz="8" w:space="0" w:color="7B7B7B"/>
              <w:left w:val="single" w:sz="8" w:space="0" w:color="7B7B7B"/>
              <w:bottom w:val="single" w:sz="8" w:space="0" w:color="7B7B7B"/>
              <w:right w:val="single" w:sz="8" w:space="0" w:color="7B7B7B"/>
            </w:tcBorders>
            <w:shd w:val="clear" w:color="000000" w:fill="FFFFFF"/>
            <w:vAlign w:val="center"/>
            <w:hideMark/>
          </w:tcPr>
          <w:p w:rsidR="00BD1476" w:rsidRPr="0056436C" w:rsidRDefault="00BD1476" w:rsidP="0056436C">
            <w:pPr>
              <w:jc w:val="center"/>
              <w:rPr>
                <w:b/>
                <w:bCs/>
                <w:color w:val="000000"/>
                <w:sz w:val="22"/>
                <w:szCs w:val="22"/>
                <w:lang w:val="sr-Latn-ME"/>
              </w:rPr>
            </w:pPr>
            <w:r w:rsidRPr="0056436C">
              <w:rPr>
                <w:b/>
                <w:bCs/>
                <w:color w:val="000000"/>
                <w:sz w:val="22"/>
                <w:szCs w:val="22"/>
                <w:lang w:val="sr-Latn-ME"/>
              </w:rPr>
              <w:t>p-vrijednost</w:t>
            </w:r>
            <w:r w:rsidRPr="0056436C">
              <w:rPr>
                <w:color w:val="000000"/>
                <w:sz w:val="22"/>
                <w:szCs w:val="22"/>
                <w:vertAlign w:val="superscript"/>
                <w:lang w:val="sr-Latn-ME"/>
              </w:rPr>
              <w:t>†</w:t>
            </w:r>
          </w:p>
        </w:tc>
      </w:tr>
      <w:tr w:rsidR="00BD1476" w:rsidRPr="0056436C" w:rsidTr="00E21D56">
        <w:trPr>
          <w:trHeight w:val="315"/>
        </w:trPr>
        <w:tc>
          <w:tcPr>
            <w:tcW w:w="1201" w:type="pct"/>
            <w:vMerge/>
            <w:tcBorders>
              <w:top w:val="nil"/>
              <w:left w:val="single" w:sz="8" w:space="0" w:color="auto"/>
              <w:bottom w:val="single" w:sz="8" w:space="0" w:color="7B7B7B"/>
              <w:right w:val="nil"/>
            </w:tcBorders>
            <w:vAlign w:val="center"/>
            <w:hideMark/>
          </w:tcPr>
          <w:p w:rsidR="00BD1476" w:rsidRPr="0056436C" w:rsidRDefault="00BD1476" w:rsidP="0056436C">
            <w:pPr>
              <w:rPr>
                <w:color w:val="000000"/>
                <w:sz w:val="22"/>
                <w:szCs w:val="22"/>
                <w:lang w:val="sr-Latn-ME"/>
              </w:rPr>
            </w:pPr>
          </w:p>
        </w:tc>
        <w:tc>
          <w:tcPr>
            <w:tcW w:w="1297" w:type="pct"/>
            <w:gridSpan w:val="2"/>
            <w:vMerge/>
            <w:tcBorders>
              <w:top w:val="single" w:sz="8" w:space="0" w:color="auto"/>
              <w:left w:val="single" w:sz="8" w:space="0" w:color="auto"/>
              <w:bottom w:val="single" w:sz="8" w:space="0" w:color="000000"/>
              <w:right w:val="nil"/>
            </w:tcBorders>
            <w:vAlign w:val="center"/>
            <w:hideMark/>
          </w:tcPr>
          <w:p w:rsidR="00BD1476" w:rsidRPr="0056436C" w:rsidRDefault="00BD1476" w:rsidP="0056436C">
            <w:pPr>
              <w:rPr>
                <w:b/>
                <w:bCs/>
                <w:color w:val="000000"/>
                <w:sz w:val="22"/>
                <w:szCs w:val="22"/>
                <w:lang w:val="sr-Latn-ME"/>
              </w:rPr>
            </w:pPr>
          </w:p>
        </w:tc>
        <w:tc>
          <w:tcPr>
            <w:tcW w:w="1308" w:type="pct"/>
            <w:gridSpan w:val="2"/>
            <w:vMerge/>
            <w:tcBorders>
              <w:top w:val="single" w:sz="8" w:space="0" w:color="auto"/>
              <w:left w:val="single" w:sz="8" w:space="0" w:color="auto"/>
              <w:bottom w:val="single" w:sz="8" w:space="0" w:color="000000"/>
              <w:right w:val="nil"/>
            </w:tcBorders>
            <w:vAlign w:val="center"/>
            <w:hideMark/>
          </w:tcPr>
          <w:p w:rsidR="00BD1476" w:rsidRPr="0056436C" w:rsidRDefault="00BD1476" w:rsidP="0056436C">
            <w:pPr>
              <w:rPr>
                <w:b/>
                <w:bCs/>
                <w:color w:val="000000"/>
                <w:sz w:val="22"/>
                <w:szCs w:val="22"/>
                <w:lang w:val="sr-Latn-ME"/>
              </w:rPr>
            </w:pPr>
          </w:p>
        </w:tc>
        <w:tc>
          <w:tcPr>
            <w:tcW w:w="523" w:type="pct"/>
            <w:tcBorders>
              <w:top w:val="nil"/>
              <w:left w:val="single" w:sz="8" w:space="0" w:color="auto"/>
              <w:bottom w:val="nil"/>
              <w:right w:val="single" w:sz="8" w:space="0" w:color="7B7B7B"/>
            </w:tcBorders>
            <w:shd w:val="clear" w:color="000000" w:fill="FFFFFF"/>
            <w:vAlign w:val="center"/>
            <w:hideMark/>
          </w:tcPr>
          <w:p w:rsidR="00BD1476" w:rsidRPr="0056436C" w:rsidRDefault="00BD1476" w:rsidP="0056436C">
            <w:pPr>
              <w:jc w:val="center"/>
              <w:rPr>
                <w:b/>
                <w:bCs/>
                <w:color w:val="000000"/>
                <w:sz w:val="22"/>
                <w:szCs w:val="22"/>
                <w:lang w:val="sr-Latn-ME"/>
              </w:rPr>
            </w:pPr>
            <w:r w:rsidRPr="0056436C">
              <w:rPr>
                <w:b/>
                <w:bCs/>
                <w:color w:val="000000"/>
                <w:sz w:val="22"/>
                <w:szCs w:val="22"/>
                <w:lang w:val="sr-Latn-ME"/>
              </w:rPr>
              <w:t>(95% CI)</w:t>
            </w:r>
          </w:p>
        </w:tc>
        <w:tc>
          <w:tcPr>
            <w:tcW w:w="671" w:type="pct"/>
            <w:vMerge/>
            <w:tcBorders>
              <w:top w:val="single" w:sz="8" w:space="0" w:color="7B7B7B"/>
              <w:left w:val="single" w:sz="8" w:space="0" w:color="7B7B7B"/>
              <w:bottom w:val="single" w:sz="8" w:space="0" w:color="7B7B7B"/>
              <w:right w:val="single" w:sz="8" w:space="0" w:color="7B7B7B"/>
            </w:tcBorders>
            <w:vAlign w:val="center"/>
            <w:hideMark/>
          </w:tcPr>
          <w:p w:rsidR="00BD1476" w:rsidRPr="0056436C" w:rsidRDefault="00BD1476" w:rsidP="0056436C">
            <w:pPr>
              <w:rPr>
                <w:b/>
                <w:bCs/>
                <w:color w:val="000000"/>
                <w:sz w:val="22"/>
                <w:szCs w:val="22"/>
                <w:lang w:val="sr-Latn-ME"/>
              </w:rPr>
            </w:pPr>
          </w:p>
        </w:tc>
      </w:tr>
      <w:tr w:rsidR="001D715A" w:rsidRPr="0056436C" w:rsidTr="00E21D56">
        <w:trPr>
          <w:trHeight w:val="840"/>
        </w:trPr>
        <w:tc>
          <w:tcPr>
            <w:tcW w:w="1201" w:type="pct"/>
            <w:vMerge/>
            <w:tcBorders>
              <w:top w:val="nil"/>
              <w:left w:val="single" w:sz="8" w:space="0" w:color="auto"/>
              <w:bottom w:val="single" w:sz="8" w:space="0" w:color="7B7B7B"/>
              <w:right w:val="nil"/>
            </w:tcBorders>
            <w:vAlign w:val="center"/>
            <w:hideMark/>
          </w:tcPr>
          <w:p w:rsidR="00BD1476" w:rsidRPr="0056436C" w:rsidRDefault="00BD1476" w:rsidP="0056436C">
            <w:pPr>
              <w:rPr>
                <w:color w:val="000000"/>
                <w:sz w:val="22"/>
                <w:szCs w:val="22"/>
                <w:lang w:val="sr-Latn-ME"/>
              </w:rPr>
            </w:pPr>
          </w:p>
        </w:tc>
        <w:tc>
          <w:tcPr>
            <w:tcW w:w="394" w:type="pct"/>
            <w:tcBorders>
              <w:top w:val="nil"/>
              <w:left w:val="single" w:sz="8" w:space="0" w:color="7B7B7B"/>
              <w:bottom w:val="single" w:sz="8" w:space="0" w:color="7B7B7B"/>
              <w:right w:val="single" w:sz="8" w:space="0" w:color="7B7B7B"/>
            </w:tcBorders>
            <w:shd w:val="clear" w:color="000000" w:fill="FFFFFF"/>
            <w:vAlign w:val="center"/>
            <w:hideMark/>
          </w:tcPr>
          <w:p w:rsidR="00BD1476" w:rsidRPr="0056436C" w:rsidRDefault="00BD1476" w:rsidP="0056436C">
            <w:pPr>
              <w:jc w:val="center"/>
              <w:rPr>
                <w:b/>
                <w:bCs/>
                <w:color w:val="000000"/>
                <w:sz w:val="22"/>
                <w:szCs w:val="22"/>
                <w:lang w:val="sr-Latn-ME"/>
              </w:rPr>
            </w:pPr>
            <w:r w:rsidRPr="0056436C">
              <w:rPr>
                <w:b/>
                <w:bCs/>
                <w:color w:val="000000"/>
                <w:sz w:val="22"/>
                <w:szCs w:val="22"/>
                <w:lang w:val="sr-Latn-ME"/>
              </w:rPr>
              <w:t>N (%)</w:t>
            </w:r>
          </w:p>
        </w:tc>
        <w:tc>
          <w:tcPr>
            <w:tcW w:w="903"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b/>
                <w:bCs/>
                <w:color w:val="000000"/>
                <w:sz w:val="22"/>
                <w:szCs w:val="22"/>
                <w:lang w:val="sr-Latn-ME"/>
              </w:rPr>
            </w:pPr>
            <w:r w:rsidRPr="0056436C">
              <w:rPr>
                <w:b/>
                <w:bCs/>
                <w:color w:val="000000"/>
                <w:sz w:val="22"/>
                <w:szCs w:val="22"/>
                <w:lang w:val="sr-Latn-ME"/>
              </w:rPr>
              <w:t>Stopa</w:t>
            </w:r>
          </w:p>
          <w:p w:rsidR="00BD1476" w:rsidRPr="0056436C" w:rsidRDefault="00BD1476" w:rsidP="0056436C">
            <w:pPr>
              <w:jc w:val="center"/>
              <w:rPr>
                <w:b/>
                <w:bCs/>
                <w:color w:val="000000"/>
                <w:sz w:val="22"/>
                <w:szCs w:val="22"/>
                <w:lang w:val="sr-Latn-ME"/>
              </w:rPr>
            </w:pPr>
            <w:r w:rsidRPr="0056436C">
              <w:rPr>
                <w:b/>
                <w:bCs/>
                <w:color w:val="000000"/>
                <w:sz w:val="22"/>
                <w:szCs w:val="22"/>
                <w:lang w:val="sr-Latn-ME"/>
              </w:rPr>
              <w:t>incidence</w:t>
            </w:r>
          </w:p>
          <w:p w:rsidR="00BD1476" w:rsidRPr="0056436C" w:rsidRDefault="00BD1476" w:rsidP="0056436C">
            <w:pPr>
              <w:jc w:val="center"/>
              <w:rPr>
                <w:b/>
                <w:bCs/>
                <w:color w:val="000000"/>
                <w:sz w:val="22"/>
                <w:szCs w:val="22"/>
                <w:lang w:val="sr-Latn-ME"/>
              </w:rPr>
            </w:pPr>
            <w:r w:rsidRPr="0056436C">
              <w:rPr>
                <w:b/>
                <w:bCs/>
                <w:color w:val="000000"/>
                <w:sz w:val="22"/>
                <w:szCs w:val="22"/>
                <w:lang w:val="sr-Latn-ME"/>
              </w:rPr>
              <w:t>na 100</w:t>
            </w:r>
          </w:p>
          <w:p w:rsidR="00BD1476" w:rsidRPr="0056436C" w:rsidRDefault="00BD1476" w:rsidP="0056436C">
            <w:pPr>
              <w:jc w:val="center"/>
              <w:rPr>
                <w:b/>
                <w:bCs/>
                <w:color w:val="000000"/>
                <w:sz w:val="22"/>
                <w:szCs w:val="22"/>
                <w:lang w:val="sr-Latn-ME"/>
              </w:rPr>
            </w:pPr>
            <w:r w:rsidRPr="0056436C">
              <w:rPr>
                <w:b/>
                <w:bCs/>
                <w:color w:val="000000"/>
                <w:sz w:val="22"/>
                <w:szCs w:val="22"/>
                <w:lang w:val="sr-Latn-ME"/>
              </w:rPr>
              <w:t>pacijent</w:t>
            </w:r>
            <w:r w:rsidR="00D664A5" w:rsidRPr="0056436C">
              <w:rPr>
                <w:b/>
                <w:bCs/>
                <w:color w:val="000000"/>
                <w:sz w:val="22"/>
                <w:szCs w:val="22"/>
                <w:lang w:val="sr-Latn-ME"/>
              </w:rPr>
              <w:t>-</w:t>
            </w:r>
            <w:r w:rsidRPr="0056436C">
              <w:rPr>
                <w:b/>
                <w:bCs/>
                <w:color w:val="000000"/>
                <w:sz w:val="22"/>
                <w:szCs w:val="22"/>
                <w:lang w:val="sr-Latn-ME"/>
              </w:rPr>
              <w:t>godina*</w:t>
            </w:r>
          </w:p>
        </w:tc>
        <w:tc>
          <w:tcPr>
            <w:tcW w:w="488"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b/>
                <w:bCs/>
                <w:color w:val="000000"/>
                <w:sz w:val="22"/>
                <w:szCs w:val="22"/>
                <w:lang w:val="sr-Latn-ME"/>
              </w:rPr>
            </w:pPr>
            <w:r w:rsidRPr="0056436C">
              <w:rPr>
                <w:b/>
                <w:bCs/>
                <w:color w:val="000000"/>
                <w:sz w:val="22"/>
                <w:szCs w:val="22"/>
                <w:lang w:val="sr-Latn-ME"/>
              </w:rPr>
              <w:t>N (%)</w:t>
            </w:r>
          </w:p>
        </w:tc>
        <w:tc>
          <w:tcPr>
            <w:tcW w:w="820"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b/>
                <w:bCs/>
                <w:color w:val="000000"/>
                <w:sz w:val="22"/>
                <w:szCs w:val="22"/>
                <w:lang w:val="sr-Latn-ME"/>
              </w:rPr>
            </w:pPr>
            <w:r w:rsidRPr="0056436C">
              <w:rPr>
                <w:b/>
                <w:bCs/>
                <w:color w:val="000000"/>
                <w:sz w:val="22"/>
                <w:szCs w:val="22"/>
                <w:lang w:val="sr-Latn-ME"/>
              </w:rPr>
              <w:t>Stopa</w:t>
            </w:r>
          </w:p>
          <w:p w:rsidR="00BD1476" w:rsidRPr="0056436C" w:rsidRDefault="00BD1476" w:rsidP="0056436C">
            <w:pPr>
              <w:jc w:val="center"/>
              <w:rPr>
                <w:b/>
                <w:bCs/>
                <w:color w:val="000000"/>
                <w:sz w:val="22"/>
                <w:szCs w:val="22"/>
                <w:lang w:val="sr-Latn-ME"/>
              </w:rPr>
            </w:pPr>
            <w:r w:rsidRPr="0056436C">
              <w:rPr>
                <w:b/>
                <w:bCs/>
                <w:color w:val="000000"/>
                <w:sz w:val="22"/>
                <w:szCs w:val="22"/>
                <w:lang w:val="sr-Latn-ME"/>
              </w:rPr>
              <w:t>incidence</w:t>
            </w:r>
          </w:p>
          <w:p w:rsidR="00BD1476" w:rsidRPr="0056436C" w:rsidRDefault="00BD1476" w:rsidP="0056436C">
            <w:pPr>
              <w:jc w:val="center"/>
              <w:rPr>
                <w:b/>
                <w:bCs/>
                <w:color w:val="000000"/>
                <w:sz w:val="22"/>
                <w:szCs w:val="22"/>
                <w:lang w:val="sr-Latn-ME"/>
              </w:rPr>
            </w:pPr>
            <w:r w:rsidRPr="0056436C">
              <w:rPr>
                <w:b/>
                <w:bCs/>
                <w:color w:val="000000"/>
                <w:sz w:val="22"/>
                <w:szCs w:val="22"/>
                <w:lang w:val="sr-Latn-ME"/>
              </w:rPr>
              <w:t>na 100</w:t>
            </w:r>
          </w:p>
          <w:p w:rsidR="00BD1476" w:rsidRPr="0056436C" w:rsidRDefault="00BD1476" w:rsidP="0056436C">
            <w:pPr>
              <w:jc w:val="center"/>
              <w:rPr>
                <w:b/>
                <w:bCs/>
                <w:color w:val="000000"/>
                <w:sz w:val="22"/>
                <w:szCs w:val="22"/>
                <w:lang w:val="sr-Latn-ME"/>
              </w:rPr>
            </w:pPr>
            <w:r w:rsidRPr="0056436C">
              <w:rPr>
                <w:b/>
                <w:bCs/>
                <w:color w:val="000000"/>
                <w:sz w:val="22"/>
                <w:szCs w:val="22"/>
                <w:lang w:val="sr-Latn-ME"/>
              </w:rPr>
              <w:t>pacijent</w:t>
            </w:r>
            <w:r w:rsidR="00D664A5" w:rsidRPr="0056436C">
              <w:rPr>
                <w:b/>
                <w:bCs/>
                <w:color w:val="000000"/>
                <w:sz w:val="22"/>
                <w:szCs w:val="22"/>
                <w:lang w:val="sr-Latn-ME"/>
              </w:rPr>
              <w:t>-</w:t>
            </w:r>
            <w:r w:rsidRPr="0056436C">
              <w:rPr>
                <w:b/>
                <w:bCs/>
                <w:color w:val="000000"/>
                <w:sz w:val="22"/>
                <w:szCs w:val="22"/>
                <w:lang w:val="sr-Latn-ME"/>
              </w:rPr>
              <w:t>godina*</w:t>
            </w:r>
          </w:p>
        </w:tc>
        <w:tc>
          <w:tcPr>
            <w:tcW w:w="523" w:type="pct"/>
            <w:tcBorders>
              <w:top w:val="nil"/>
              <w:left w:val="nil"/>
              <w:bottom w:val="single" w:sz="8" w:space="0" w:color="7B7B7B"/>
              <w:right w:val="single" w:sz="8" w:space="0" w:color="7B7B7B"/>
            </w:tcBorders>
            <w:shd w:val="clear" w:color="000000" w:fill="FFFFFF"/>
            <w:vAlign w:val="bottom"/>
            <w:hideMark/>
          </w:tcPr>
          <w:p w:rsidR="00BD1476" w:rsidRPr="0056436C" w:rsidRDefault="00BD1476" w:rsidP="0056436C">
            <w:pPr>
              <w:rPr>
                <w:color w:val="000000"/>
                <w:sz w:val="22"/>
                <w:szCs w:val="22"/>
                <w:lang w:val="sr-Latn-ME"/>
              </w:rPr>
            </w:pPr>
            <w:r w:rsidRPr="0056436C">
              <w:rPr>
                <w:color w:val="000000"/>
                <w:sz w:val="22"/>
                <w:szCs w:val="22"/>
                <w:lang w:val="sr-Latn-ME"/>
              </w:rPr>
              <w:t> </w:t>
            </w:r>
          </w:p>
        </w:tc>
        <w:tc>
          <w:tcPr>
            <w:tcW w:w="671" w:type="pct"/>
            <w:vMerge/>
            <w:tcBorders>
              <w:top w:val="single" w:sz="8" w:space="0" w:color="7B7B7B"/>
              <w:left w:val="single" w:sz="8" w:space="0" w:color="7B7B7B"/>
              <w:bottom w:val="single" w:sz="8" w:space="0" w:color="7B7B7B"/>
              <w:right w:val="single" w:sz="8" w:space="0" w:color="7B7B7B"/>
            </w:tcBorders>
            <w:vAlign w:val="center"/>
            <w:hideMark/>
          </w:tcPr>
          <w:p w:rsidR="00BD1476" w:rsidRPr="0056436C" w:rsidRDefault="00BD1476" w:rsidP="0056436C">
            <w:pPr>
              <w:rPr>
                <w:b/>
                <w:bCs/>
                <w:color w:val="000000"/>
                <w:sz w:val="22"/>
                <w:szCs w:val="22"/>
                <w:lang w:val="sr-Latn-ME"/>
              </w:rPr>
            </w:pPr>
          </w:p>
        </w:tc>
      </w:tr>
      <w:tr w:rsidR="00BD1476" w:rsidRPr="0056436C" w:rsidTr="00E21D56">
        <w:trPr>
          <w:trHeight w:val="855"/>
        </w:trPr>
        <w:tc>
          <w:tcPr>
            <w:tcW w:w="5000" w:type="pct"/>
            <w:gridSpan w:val="7"/>
            <w:tcBorders>
              <w:top w:val="single" w:sz="8" w:space="0" w:color="7B7B7B"/>
              <w:left w:val="single" w:sz="8" w:space="0" w:color="7B7B7B"/>
              <w:bottom w:val="single" w:sz="8" w:space="0" w:color="7B7B7B"/>
              <w:right w:val="single" w:sz="8" w:space="0" w:color="7B7B7B"/>
            </w:tcBorders>
            <w:shd w:val="clear" w:color="000000" w:fill="FFFFFF"/>
            <w:vAlign w:val="center"/>
            <w:hideMark/>
          </w:tcPr>
          <w:p w:rsidR="00BD1476" w:rsidRPr="0056436C" w:rsidRDefault="00BD1476" w:rsidP="0056436C">
            <w:pPr>
              <w:rPr>
                <w:b/>
                <w:bCs/>
                <w:color w:val="000000"/>
                <w:sz w:val="22"/>
                <w:szCs w:val="22"/>
                <w:lang w:val="sr-Latn-ME"/>
              </w:rPr>
            </w:pPr>
            <w:r w:rsidRPr="0056436C">
              <w:rPr>
                <w:b/>
                <w:bCs/>
                <w:color w:val="000000"/>
                <w:sz w:val="22"/>
                <w:szCs w:val="22"/>
                <w:lang w:val="sr-Latn-ME"/>
              </w:rPr>
              <w:t>Analiza u populaciji pacijenta predviđenoj za liječenje</w:t>
            </w:r>
          </w:p>
        </w:tc>
      </w:tr>
      <w:tr w:rsidR="00BD1476" w:rsidRPr="0056436C" w:rsidTr="00E21D56">
        <w:trPr>
          <w:trHeight w:val="780"/>
        </w:trPr>
        <w:tc>
          <w:tcPr>
            <w:tcW w:w="1201" w:type="pct"/>
            <w:tcBorders>
              <w:top w:val="nil"/>
              <w:left w:val="single" w:sz="8" w:space="0" w:color="7B7B7B"/>
              <w:bottom w:val="single" w:sz="8" w:space="0" w:color="7B7B7B"/>
              <w:right w:val="single" w:sz="8" w:space="0" w:color="7B7B7B"/>
            </w:tcBorders>
            <w:shd w:val="clear" w:color="000000" w:fill="FFFFFF"/>
            <w:vAlign w:val="center"/>
            <w:hideMark/>
          </w:tcPr>
          <w:p w:rsidR="00BD1476" w:rsidRPr="0056436C" w:rsidRDefault="00BD1476" w:rsidP="0056436C">
            <w:pPr>
              <w:rPr>
                <w:b/>
                <w:bCs/>
                <w:color w:val="000000"/>
                <w:sz w:val="22"/>
                <w:szCs w:val="22"/>
                <w:lang w:val="sr-Latn-ME"/>
              </w:rPr>
            </w:pPr>
            <w:r w:rsidRPr="0056436C">
              <w:rPr>
                <w:b/>
                <w:bCs/>
                <w:color w:val="000000"/>
                <w:sz w:val="22"/>
                <w:szCs w:val="22"/>
                <w:lang w:val="sr-Latn-ME"/>
              </w:rPr>
              <w:t>Broj pacijenata</w:t>
            </w:r>
          </w:p>
        </w:tc>
        <w:tc>
          <w:tcPr>
            <w:tcW w:w="1297" w:type="pct"/>
            <w:gridSpan w:val="2"/>
            <w:tcBorders>
              <w:top w:val="single" w:sz="8" w:space="0" w:color="7B7B7B"/>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b/>
                <w:bCs/>
                <w:color w:val="000000"/>
                <w:sz w:val="22"/>
                <w:szCs w:val="22"/>
                <w:lang w:val="sr-Latn-ME"/>
              </w:rPr>
            </w:pPr>
            <w:r w:rsidRPr="0056436C">
              <w:rPr>
                <w:b/>
                <w:bCs/>
                <w:color w:val="000000"/>
                <w:sz w:val="22"/>
                <w:szCs w:val="22"/>
                <w:lang w:val="sr-Latn-ME"/>
              </w:rPr>
              <w:t>7332</w:t>
            </w:r>
          </w:p>
        </w:tc>
        <w:tc>
          <w:tcPr>
            <w:tcW w:w="1308" w:type="pct"/>
            <w:gridSpan w:val="2"/>
            <w:tcBorders>
              <w:top w:val="single" w:sz="8" w:space="0" w:color="7B7B7B"/>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b/>
                <w:bCs/>
                <w:color w:val="000000"/>
                <w:sz w:val="22"/>
                <w:szCs w:val="22"/>
                <w:lang w:val="sr-Latn-ME"/>
              </w:rPr>
            </w:pPr>
            <w:r w:rsidRPr="0056436C">
              <w:rPr>
                <w:b/>
                <w:bCs/>
                <w:color w:val="000000"/>
                <w:sz w:val="22"/>
                <w:szCs w:val="22"/>
                <w:lang w:val="sr-Latn-ME"/>
              </w:rPr>
              <w:t>7339</w:t>
            </w:r>
          </w:p>
        </w:tc>
        <w:tc>
          <w:tcPr>
            <w:tcW w:w="523" w:type="pct"/>
            <w:vMerge w:val="restart"/>
            <w:tcBorders>
              <w:top w:val="nil"/>
              <w:left w:val="single" w:sz="8" w:space="0" w:color="7B7B7B"/>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0.98 (0.89–1.08)</w:t>
            </w:r>
          </w:p>
        </w:tc>
        <w:tc>
          <w:tcPr>
            <w:tcW w:w="671" w:type="pct"/>
            <w:vMerge w:val="restart"/>
            <w:tcBorders>
              <w:top w:val="nil"/>
              <w:left w:val="single" w:sz="8" w:space="0" w:color="7B7B7B"/>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&lt;0.001</w:t>
            </w:r>
          </w:p>
        </w:tc>
      </w:tr>
      <w:tr w:rsidR="001D715A" w:rsidRPr="0056436C" w:rsidTr="00E21D56">
        <w:trPr>
          <w:trHeight w:val="315"/>
        </w:trPr>
        <w:tc>
          <w:tcPr>
            <w:tcW w:w="1201" w:type="pct"/>
            <w:tcBorders>
              <w:top w:val="nil"/>
              <w:left w:val="single" w:sz="8" w:space="0" w:color="7B7B7B"/>
              <w:bottom w:val="nil"/>
              <w:right w:val="single" w:sz="8" w:space="0" w:color="7B7B7B"/>
            </w:tcBorders>
            <w:shd w:val="clear" w:color="000000" w:fill="FFFFFF"/>
            <w:vAlign w:val="center"/>
          </w:tcPr>
          <w:p w:rsidR="00BD1476" w:rsidRPr="0056436C" w:rsidRDefault="00BD1476" w:rsidP="0056436C">
            <w:pPr>
              <w:rPr>
                <w:sz w:val="22"/>
                <w:szCs w:val="22"/>
                <w:lang w:val="sr-Latn-ME"/>
              </w:rPr>
            </w:pPr>
            <w:r w:rsidRPr="0056436C">
              <w:rPr>
                <w:b/>
                <w:sz w:val="22"/>
                <w:szCs w:val="22"/>
                <w:lang w:val="sr-Latn-ME"/>
              </w:rPr>
              <w:t>Primarn</w:t>
            </w:r>
            <w:r w:rsidR="00D664A5" w:rsidRPr="0056436C">
              <w:rPr>
                <w:b/>
                <w:sz w:val="22"/>
                <w:szCs w:val="22"/>
                <w:lang w:val="sr-Latn-ME"/>
              </w:rPr>
              <w:t>a</w:t>
            </w:r>
            <w:r w:rsidRPr="0056436C">
              <w:rPr>
                <w:b/>
                <w:sz w:val="22"/>
                <w:szCs w:val="22"/>
                <w:lang w:val="sr-Latn-ME"/>
              </w:rPr>
              <w:t xml:space="preserve"> objedinjen</w:t>
            </w:r>
            <w:r w:rsidR="00D664A5" w:rsidRPr="0056436C">
              <w:rPr>
                <w:b/>
                <w:sz w:val="22"/>
                <w:szCs w:val="22"/>
                <w:lang w:val="sr-Latn-ME"/>
              </w:rPr>
              <w:t>a</w:t>
            </w:r>
            <w:r w:rsidRPr="0056436C">
              <w:rPr>
                <w:b/>
                <w:sz w:val="22"/>
                <w:szCs w:val="22"/>
                <w:lang w:val="sr-Latn-ME"/>
              </w:rPr>
              <w:t xml:space="preserve"> </w:t>
            </w:r>
            <w:r w:rsidR="00D664A5" w:rsidRPr="0056436C">
              <w:rPr>
                <w:b/>
                <w:sz w:val="22"/>
                <w:szCs w:val="22"/>
                <w:lang w:val="sr-Latn-ME"/>
              </w:rPr>
              <w:t xml:space="preserve">krajnja tačka </w:t>
            </w:r>
            <w:r w:rsidRPr="0056436C">
              <w:rPr>
                <w:b/>
                <w:sz w:val="22"/>
                <w:szCs w:val="22"/>
                <w:lang w:val="sr-Latn-ME"/>
              </w:rPr>
              <w:t>ispitivanja</w:t>
            </w:r>
            <w:r w:rsidRPr="0056436C">
              <w:rPr>
                <w:sz w:val="22"/>
                <w:szCs w:val="22"/>
                <w:lang w:val="sr-Latn-ME"/>
              </w:rPr>
              <w:t xml:space="preserve"> </w:t>
            </w:r>
          </w:p>
          <w:p w:rsidR="00BD1476" w:rsidRPr="0056436C" w:rsidRDefault="00BD1476" w:rsidP="0056436C">
            <w:pPr>
              <w:rPr>
                <w:b/>
                <w:bCs/>
                <w:color w:val="000000"/>
                <w:sz w:val="22"/>
                <w:szCs w:val="22"/>
                <w:lang w:val="sr-Latn-ME"/>
              </w:rPr>
            </w:pPr>
            <w:r w:rsidRPr="0056436C">
              <w:rPr>
                <w:sz w:val="22"/>
                <w:szCs w:val="22"/>
                <w:lang w:val="sr-Latn-ME"/>
              </w:rPr>
              <w:t>(smrt zbog kardiovaskularnog uzroka, infarkt miokarda bez smrtnog ishoda, moždani udar bez smrtnog ishoda ili hospitalizacija zbog nestabilne angine)</w:t>
            </w:r>
          </w:p>
        </w:tc>
        <w:tc>
          <w:tcPr>
            <w:tcW w:w="394" w:type="pct"/>
            <w:vMerge w:val="restart"/>
            <w:tcBorders>
              <w:top w:val="nil"/>
              <w:left w:val="single" w:sz="8" w:space="0" w:color="7B7B7B"/>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839 (11.4)</w:t>
            </w:r>
          </w:p>
        </w:tc>
        <w:tc>
          <w:tcPr>
            <w:tcW w:w="903" w:type="pct"/>
            <w:vMerge w:val="restart"/>
            <w:tcBorders>
              <w:top w:val="nil"/>
              <w:left w:val="single" w:sz="8" w:space="0" w:color="7B7B7B"/>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4.1</w:t>
            </w:r>
          </w:p>
        </w:tc>
        <w:tc>
          <w:tcPr>
            <w:tcW w:w="488" w:type="pct"/>
            <w:vMerge w:val="restart"/>
            <w:tcBorders>
              <w:top w:val="nil"/>
              <w:left w:val="single" w:sz="8" w:space="0" w:color="7B7B7B"/>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851 (11.6)</w:t>
            </w:r>
          </w:p>
        </w:tc>
        <w:tc>
          <w:tcPr>
            <w:tcW w:w="820" w:type="pct"/>
            <w:vMerge w:val="restart"/>
            <w:tcBorders>
              <w:top w:val="nil"/>
              <w:left w:val="single" w:sz="8" w:space="0" w:color="7B7B7B"/>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4.2</w:t>
            </w:r>
          </w:p>
        </w:tc>
        <w:tc>
          <w:tcPr>
            <w:tcW w:w="523" w:type="pct"/>
            <w:vMerge/>
            <w:tcBorders>
              <w:top w:val="nil"/>
              <w:left w:val="single" w:sz="8" w:space="0" w:color="7B7B7B"/>
              <w:bottom w:val="single" w:sz="8" w:space="0" w:color="7B7B7B"/>
              <w:right w:val="single" w:sz="8" w:space="0" w:color="7B7B7B"/>
            </w:tcBorders>
            <w:vAlign w:val="center"/>
            <w:hideMark/>
          </w:tcPr>
          <w:p w:rsidR="00BD1476" w:rsidRPr="0056436C" w:rsidRDefault="00BD1476" w:rsidP="0056436C">
            <w:pPr>
              <w:rPr>
                <w:color w:val="000000"/>
                <w:sz w:val="22"/>
                <w:szCs w:val="22"/>
                <w:lang w:val="sr-Latn-ME"/>
              </w:rPr>
            </w:pPr>
          </w:p>
        </w:tc>
        <w:tc>
          <w:tcPr>
            <w:tcW w:w="671" w:type="pct"/>
            <w:vMerge/>
            <w:tcBorders>
              <w:top w:val="nil"/>
              <w:left w:val="single" w:sz="8" w:space="0" w:color="7B7B7B"/>
              <w:bottom w:val="single" w:sz="8" w:space="0" w:color="7B7B7B"/>
              <w:right w:val="single" w:sz="8" w:space="0" w:color="7B7B7B"/>
            </w:tcBorders>
            <w:vAlign w:val="center"/>
            <w:hideMark/>
          </w:tcPr>
          <w:p w:rsidR="00BD1476" w:rsidRPr="0056436C" w:rsidRDefault="00BD1476" w:rsidP="0056436C">
            <w:pPr>
              <w:rPr>
                <w:color w:val="000000"/>
                <w:sz w:val="22"/>
                <w:szCs w:val="22"/>
                <w:lang w:val="sr-Latn-ME"/>
              </w:rPr>
            </w:pPr>
          </w:p>
        </w:tc>
      </w:tr>
      <w:tr w:rsidR="001D715A" w:rsidRPr="0056436C" w:rsidTr="00B43006">
        <w:trPr>
          <w:trHeight w:val="870"/>
        </w:trPr>
        <w:tc>
          <w:tcPr>
            <w:tcW w:w="1201" w:type="pct"/>
            <w:tcBorders>
              <w:top w:val="nil"/>
              <w:left w:val="single" w:sz="8" w:space="0" w:color="7B7B7B"/>
              <w:bottom w:val="single" w:sz="8" w:space="0" w:color="7B7B7B"/>
              <w:right w:val="single" w:sz="8" w:space="0" w:color="7B7B7B"/>
            </w:tcBorders>
            <w:shd w:val="clear" w:color="000000" w:fill="FFFFFF"/>
            <w:vAlign w:val="center"/>
          </w:tcPr>
          <w:p w:rsidR="00BD1476" w:rsidRPr="0056436C" w:rsidRDefault="00BD1476" w:rsidP="0056436C">
            <w:pPr>
              <w:rPr>
                <w:sz w:val="22"/>
                <w:szCs w:val="22"/>
                <w:lang w:val="sr-Latn-ME"/>
              </w:rPr>
            </w:pPr>
          </w:p>
        </w:tc>
        <w:tc>
          <w:tcPr>
            <w:tcW w:w="394" w:type="pct"/>
            <w:vMerge/>
            <w:tcBorders>
              <w:top w:val="nil"/>
              <w:left w:val="single" w:sz="8" w:space="0" w:color="7B7B7B"/>
              <w:bottom w:val="single" w:sz="8" w:space="0" w:color="7B7B7B"/>
              <w:right w:val="single" w:sz="8" w:space="0" w:color="7B7B7B"/>
            </w:tcBorders>
            <w:vAlign w:val="center"/>
            <w:hideMark/>
          </w:tcPr>
          <w:p w:rsidR="00BD1476" w:rsidRPr="0056436C" w:rsidRDefault="00BD1476" w:rsidP="0056436C">
            <w:pPr>
              <w:rPr>
                <w:color w:val="000000"/>
                <w:sz w:val="22"/>
                <w:szCs w:val="22"/>
                <w:lang w:val="sr-Latn-ME"/>
              </w:rPr>
            </w:pPr>
          </w:p>
        </w:tc>
        <w:tc>
          <w:tcPr>
            <w:tcW w:w="903" w:type="pct"/>
            <w:vMerge/>
            <w:tcBorders>
              <w:top w:val="nil"/>
              <w:left w:val="single" w:sz="8" w:space="0" w:color="7B7B7B"/>
              <w:bottom w:val="single" w:sz="8" w:space="0" w:color="7B7B7B"/>
              <w:right w:val="single" w:sz="8" w:space="0" w:color="7B7B7B"/>
            </w:tcBorders>
            <w:vAlign w:val="center"/>
            <w:hideMark/>
          </w:tcPr>
          <w:p w:rsidR="00BD1476" w:rsidRPr="0056436C" w:rsidRDefault="00BD1476" w:rsidP="0056436C">
            <w:pPr>
              <w:rPr>
                <w:color w:val="000000"/>
                <w:sz w:val="22"/>
                <w:szCs w:val="22"/>
                <w:lang w:val="sr-Latn-ME"/>
              </w:rPr>
            </w:pPr>
          </w:p>
        </w:tc>
        <w:tc>
          <w:tcPr>
            <w:tcW w:w="488" w:type="pct"/>
            <w:vMerge/>
            <w:tcBorders>
              <w:top w:val="nil"/>
              <w:left w:val="single" w:sz="8" w:space="0" w:color="7B7B7B"/>
              <w:bottom w:val="single" w:sz="8" w:space="0" w:color="7B7B7B"/>
              <w:right w:val="single" w:sz="8" w:space="0" w:color="7B7B7B"/>
            </w:tcBorders>
            <w:vAlign w:val="center"/>
            <w:hideMark/>
          </w:tcPr>
          <w:p w:rsidR="00BD1476" w:rsidRPr="0056436C" w:rsidRDefault="00BD1476" w:rsidP="0056436C">
            <w:pPr>
              <w:rPr>
                <w:color w:val="000000"/>
                <w:sz w:val="22"/>
                <w:szCs w:val="22"/>
                <w:lang w:val="sr-Latn-ME"/>
              </w:rPr>
            </w:pPr>
          </w:p>
        </w:tc>
        <w:tc>
          <w:tcPr>
            <w:tcW w:w="820" w:type="pct"/>
            <w:vMerge/>
            <w:tcBorders>
              <w:top w:val="nil"/>
              <w:left w:val="single" w:sz="8" w:space="0" w:color="7B7B7B"/>
              <w:bottom w:val="single" w:sz="8" w:space="0" w:color="7B7B7B"/>
              <w:right w:val="single" w:sz="8" w:space="0" w:color="7B7B7B"/>
            </w:tcBorders>
            <w:vAlign w:val="center"/>
            <w:hideMark/>
          </w:tcPr>
          <w:p w:rsidR="00BD1476" w:rsidRPr="0056436C" w:rsidRDefault="00BD1476" w:rsidP="0056436C">
            <w:pPr>
              <w:rPr>
                <w:color w:val="000000"/>
                <w:sz w:val="22"/>
                <w:szCs w:val="22"/>
                <w:lang w:val="sr-Latn-ME"/>
              </w:rPr>
            </w:pPr>
          </w:p>
        </w:tc>
        <w:tc>
          <w:tcPr>
            <w:tcW w:w="523" w:type="pct"/>
            <w:vMerge/>
            <w:tcBorders>
              <w:top w:val="nil"/>
              <w:left w:val="single" w:sz="8" w:space="0" w:color="7B7B7B"/>
              <w:bottom w:val="single" w:sz="8" w:space="0" w:color="7B7B7B"/>
              <w:right w:val="single" w:sz="8" w:space="0" w:color="7B7B7B"/>
            </w:tcBorders>
            <w:vAlign w:val="center"/>
            <w:hideMark/>
          </w:tcPr>
          <w:p w:rsidR="00BD1476" w:rsidRPr="0056436C" w:rsidRDefault="00BD1476" w:rsidP="0056436C">
            <w:pPr>
              <w:rPr>
                <w:color w:val="000000"/>
                <w:sz w:val="22"/>
                <w:szCs w:val="22"/>
                <w:lang w:val="sr-Latn-ME"/>
              </w:rPr>
            </w:pPr>
          </w:p>
        </w:tc>
        <w:tc>
          <w:tcPr>
            <w:tcW w:w="671" w:type="pct"/>
            <w:vMerge/>
            <w:tcBorders>
              <w:top w:val="nil"/>
              <w:left w:val="single" w:sz="8" w:space="0" w:color="7B7B7B"/>
              <w:bottom w:val="single" w:sz="8" w:space="0" w:color="7B7B7B"/>
              <w:right w:val="single" w:sz="8" w:space="0" w:color="7B7B7B"/>
            </w:tcBorders>
            <w:vAlign w:val="center"/>
            <w:hideMark/>
          </w:tcPr>
          <w:p w:rsidR="00BD1476" w:rsidRPr="0056436C" w:rsidRDefault="00BD1476" w:rsidP="0056436C">
            <w:pPr>
              <w:rPr>
                <w:color w:val="000000"/>
                <w:sz w:val="22"/>
                <w:szCs w:val="22"/>
                <w:lang w:val="sr-Latn-ME"/>
              </w:rPr>
            </w:pPr>
          </w:p>
        </w:tc>
      </w:tr>
      <w:tr w:rsidR="001D715A" w:rsidRPr="0056436C" w:rsidTr="00B43006">
        <w:trPr>
          <w:trHeight w:val="1275"/>
        </w:trPr>
        <w:tc>
          <w:tcPr>
            <w:tcW w:w="1201" w:type="pct"/>
            <w:tcBorders>
              <w:top w:val="single" w:sz="8" w:space="0" w:color="7B7B7B"/>
              <w:left w:val="single" w:sz="8" w:space="0" w:color="7B7B7B"/>
              <w:bottom w:val="single" w:sz="4" w:space="0" w:color="auto"/>
              <w:right w:val="single" w:sz="8" w:space="0" w:color="7B7B7B"/>
            </w:tcBorders>
            <w:shd w:val="clear" w:color="000000" w:fill="FFFFFF"/>
            <w:vAlign w:val="center"/>
          </w:tcPr>
          <w:p w:rsidR="00BD1476" w:rsidRPr="0056436C" w:rsidRDefault="00BD1476" w:rsidP="0056436C">
            <w:pPr>
              <w:rPr>
                <w:b/>
                <w:sz w:val="22"/>
                <w:szCs w:val="22"/>
                <w:lang w:val="sr-Latn-ME"/>
              </w:rPr>
            </w:pPr>
            <w:r w:rsidRPr="0056436C">
              <w:rPr>
                <w:b/>
                <w:sz w:val="22"/>
                <w:szCs w:val="22"/>
                <w:lang w:val="sr-Latn-ME"/>
              </w:rPr>
              <w:t>Sekundarn</w:t>
            </w:r>
            <w:r w:rsidR="00D664A5" w:rsidRPr="0056436C">
              <w:rPr>
                <w:b/>
                <w:sz w:val="22"/>
                <w:szCs w:val="22"/>
                <w:lang w:val="sr-Latn-ME"/>
              </w:rPr>
              <w:t>a</w:t>
            </w:r>
            <w:r w:rsidRPr="0056436C">
              <w:rPr>
                <w:b/>
                <w:sz w:val="22"/>
                <w:szCs w:val="22"/>
                <w:lang w:val="sr-Latn-ME"/>
              </w:rPr>
              <w:t xml:space="preserve"> objedinjen</w:t>
            </w:r>
            <w:r w:rsidR="00D664A5" w:rsidRPr="0056436C">
              <w:rPr>
                <w:b/>
                <w:sz w:val="22"/>
                <w:szCs w:val="22"/>
                <w:lang w:val="sr-Latn-ME"/>
              </w:rPr>
              <w:t>a</w:t>
            </w:r>
            <w:r w:rsidRPr="0056436C">
              <w:rPr>
                <w:b/>
                <w:sz w:val="22"/>
                <w:szCs w:val="22"/>
                <w:lang w:val="sr-Latn-ME"/>
              </w:rPr>
              <w:t xml:space="preserve"> </w:t>
            </w:r>
            <w:r w:rsidR="00D664A5" w:rsidRPr="0056436C">
              <w:rPr>
                <w:b/>
                <w:sz w:val="22"/>
                <w:szCs w:val="22"/>
                <w:lang w:val="sr-Latn-ME"/>
              </w:rPr>
              <w:t>krajnja tačka</w:t>
            </w:r>
            <w:r w:rsidRPr="0056436C">
              <w:rPr>
                <w:b/>
                <w:sz w:val="22"/>
                <w:szCs w:val="22"/>
                <w:lang w:val="sr-Latn-ME"/>
              </w:rPr>
              <w:t xml:space="preserve"> ispitivanja </w:t>
            </w:r>
          </w:p>
          <w:p w:rsidR="00BD1476" w:rsidRDefault="00BD1476" w:rsidP="0056436C">
            <w:pPr>
              <w:rPr>
                <w:sz w:val="22"/>
                <w:szCs w:val="22"/>
                <w:lang w:val="sr-Latn-ME"/>
              </w:rPr>
            </w:pPr>
            <w:r w:rsidRPr="0056436C">
              <w:rPr>
                <w:sz w:val="22"/>
                <w:szCs w:val="22"/>
                <w:lang w:val="sr-Latn-ME"/>
              </w:rPr>
              <w:t>(smrt zbog kardiovaskularnog uzroka, infarkt miokarda bez smrtnog ishoda ili moždani udar bez smrtnog ishoda)</w:t>
            </w:r>
          </w:p>
          <w:p w:rsidR="00B43006" w:rsidRDefault="00B43006" w:rsidP="0056436C">
            <w:pPr>
              <w:rPr>
                <w:sz w:val="22"/>
                <w:szCs w:val="22"/>
                <w:lang w:val="sr-Latn-ME"/>
              </w:rPr>
            </w:pPr>
          </w:p>
          <w:p w:rsidR="00B43006" w:rsidRPr="0056436C" w:rsidRDefault="00B43006" w:rsidP="0056436C">
            <w:pPr>
              <w:rPr>
                <w:b/>
                <w:bCs/>
                <w:color w:val="000000"/>
                <w:sz w:val="22"/>
                <w:szCs w:val="22"/>
                <w:lang w:val="sr-Latn-ME"/>
              </w:rPr>
            </w:pPr>
          </w:p>
        </w:tc>
        <w:tc>
          <w:tcPr>
            <w:tcW w:w="394" w:type="pct"/>
            <w:tcBorders>
              <w:top w:val="nil"/>
              <w:left w:val="single" w:sz="8" w:space="0" w:color="7B7B7B"/>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745 (10.2)</w:t>
            </w:r>
          </w:p>
        </w:tc>
        <w:tc>
          <w:tcPr>
            <w:tcW w:w="903" w:type="pct"/>
            <w:tcBorders>
              <w:top w:val="nil"/>
              <w:left w:val="single" w:sz="8" w:space="0" w:color="7B7B7B"/>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3.6</w:t>
            </w:r>
          </w:p>
        </w:tc>
        <w:tc>
          <w:tcPr>
            <w:tcW w:w="488" w:type="pct"/>
            <w:tcBorders>
              <w:top w:val="nil"/>
              <w:left w:val="single" w:sz="8" w:space="0" w:color="7B7B7B"/>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746 (10.2)</w:t>
            </w:r>
          </w:p>
        </w:tc>
        <w:tc>
          <w:tcPr>
            <w:tcW w:w="820" w:type="pct"/>
            <w:tcBorders>
              <w:top w:val="nil"/>
              <w:left w:val="single" w:sz="8" w:space="0" w:color="7B7B7B"/>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3.6</w:t>
            </w:r>
          </w:p>
        </w:tc>
        <w:tc>
          <w:tcPr>
            <w:tcW w:w="523" w:type="pct"/>
            <w:tcBorders>
              <w:top w:val="nil"/>
              <w:left w:val="single" w:sz="8" w:space="0" w:color="7B7B7B"/>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0.99 (0.89–1.10)</w:t>
            </w:r>
          </w:p>
        </w:tc>
        <w:tc>
          <w:tcPr>
            <w:tcW w:w="671" w:type="pct"/>
            <w:tcBorders>
              <w:top w:val="nil"/>
              <w:left w:val="single" w:sz="8" w:space="0" w:color="7B7B7B"/>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&lt;0.001</w:t>
            </w:r>
          </w:p>
        </w:tc>
      </w:tr>
      <w:tr w:rsidR="00BD1476" w:rsidRPr="0056436C" w:rsidTr="00E21D56">
        <w:trPr>
          <w:trHeight w:val="315"/>
        </w:trPr>
        <w:tc>
          <w:tcPr>
            <w:tcW w:w="5000" w:type="pct"/>
            <w:gridSpan w:val="7"/>
            <w:tcBorders>
              <w:top w:val="single" w:sz="8" w:space="0" w:color="7B7B7B"/>
              <w:left w:val="single" w:sz="8" w:space="0" w:color="7B7B7B"/>
              <w:bottom w:val="single" w:sz="8" w:space="0" w:color="7B7B7B"/>
              <w:right w:val="single" w:sz="8" w:space="0" w:color="7B7B7B"/>
            </w:tcBorders>
            <w:shd w:val="clear" w:color="000000" w:fill="FFFFFF"/>
            <w:vAlign w:val="center"/>
            <w:hideMark/>
          </w:tcPr>
          <w:p w:rsidR="00BD1476" w:rsidRPr="0056436C" w:rsidRDefault="00BD1476" w:rsidP="0056436C">
            <w:pPr>
              <w:rPr>
                <w:b/>
                <w:bCs/>
                <w:color w:val="000000"/>
                <w:sz w:val="22"/>
                <w:szCs w:val="22"/>
                <w:lang w:val="sr-Latn-ME"/>
              </w:rPr>
            </w:pPr>
            <w:r w:rsidRPr="0056436C">
              <w:rPr>
                <w:b/>
                <w:bCs/>
                <w:color w:val="000000"/>
                <w:sz w:val="22"/>
                <w:szCs w:val="22"/>
                <w:lang w:val="sr-Latn-ME"/>
              </w:rPr>
              <w:lastRenderedPageBreak/>
              <w:t>Sekundarni ishod</w:t>
            </w:r>
          </w:p>
        </w:tc>
      </w:tr>
      <w:tr w:rsidR="001D715A" w:rsidRPr="0056436C" w:rsidTr="00E21D56">
        <w:trPr>
          <w:trHeight w:val="780"/>
        </w:trPr>
        <w:tc>
          <w:tcPr>
            <w:tcW w:w="1201" w:type="pct"/>
            <w:tcBorders>
              <w:top w:val="nil"/>
              <w:left w:val="single" w:sz="8" w:space="0" w:color="7B7B7B"/>
              <w:bottom w:val="single" w:sz="8" w:space="0" w:color="7B7B7B"/>
              <w:right w:val="single" w:sz="8" w:space="0" w:color="7B7B7B"/>
            </w:tcBorders>
            <w:shd w:val="clear" w:color="000000" w:fill="FFFFFF"/>
            <w:vAlign w:val="center"/>
            <w:hideMark/>
          </w:tcPr>
          <w:p w:rsidR="00BD1476" w:rsidRPr="0056436C" w:rsidRDefault="00BD1476" w:rsidP="0056436C">
            <w:pPr>
              <w:rPr>
                <w:color w:val="000000"/>
                <w:sz w:val="22"/>
                <w:szCs w:val="22"/>
                <w:lang w:val="sr-Latn-ME"/>
              </w:rPr>
            </w:pPr>
            <w:r w:rsidRPr="0056436C">
              <w:rPr>
                <w:sz w:val="22"/>
                <w:szCs w:val="22"/>
                <w:lang w:val="sr-Latn-ME"/>
              </w:rPr>
              <w:t>Smrt zbog kardiovaskularnog uzroka</w:t>
            </w:r>
          </w:p>
        </w:tc>
        <w:tc>
          <w:tcPr>
            <w:tcW w:w="394"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380 (5.2)</w:t>
            </w:r>
          </w:p>
        </w:tc>
        <w:tc>
          <w:tcPr>
            <w:tcW w:w="903"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1.7</w:t>
            </w:r>
          </w:p>
        </w:tc>
        <w:tc>
          <w:tcPr>
            <w:tcW w:w="488"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366 (5.0)</w:t>
            </w:r>
          </w:p>
        </w:tc>
        <w:tc>
          <w:tcPr>
            <w:tcW w:w="820"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1.7</w:t>
            </w:r>
          </w:p>
        </w:tc>
        <w:tc>
          <w:tcPr>
            <w:tcW w:w="523"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1.03 (0.89-1.19)</w:t>
            </w:r>
          </w:p>
        </w:tc>
        <w:tc>
          <w:tcPr>
            <w:tcW w:w="671"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0.711</w:t>
            </w:r>
          </w:p>
        </w:tc>
      </w:tr>
      <w:tr w:rsidR="001D715A" w:rsidRPr="0056436C" w:rsidTr="00E21D56">
        <w:trPr>
          <w:trHeight w:val="315"/>
        </w:trPr>
        <w:tc>
          <w:tcPr>
            <w:tcW w:w="1201" w:type="pct"/>
            <w:tcBorders>
              <w:top w:val="nil"/>
              <w:left w:val="single" w:sz="8" w:space="0" w:color="7B7B7B"/>
              <w:bottom w:val="single" w:sz="8" w:space="0" w:color="7B7B7B"/>
              <w:right w:val="single" w:sz="8" w:space="0" w:color="7B7B7B"/>
            </w:tcBorders>
            <w:shd w:val="clear" w:color="000000" w:fill="FFFFFF"/>
            <w:vAlign w:val="center"/>
            <w:hideMark/>
          </w:tcPr>
          <w:p w:rsidR="00BD1476" w:rsidRPr="0056436C" w:rsidRDefault="00BD1476" w:rsidP="0056436C">
            <w:pPr>
              <w:rPr>
                <w:color w:val="000000"/>
                <w:sz w:val="22"/>
                <w:szCs w:val="22"/>
                <w:lang w:val="sr-Latn-ME"/>
              </w:rPr>
            </w:pPr>
            <w:r w:rsidRPr="0056436C">
              <w:rPr>
                <w:sz w:val="22"/>
                <w:szCs w:val="22"/>
                <w:lang w:val="sr-Latn-ME"/>
              </w:rPr>
              <w:t>Svi slučajevi infarkta miokarda (sa smrtnim ishodom i bez njega)</w:t>
            </w:r>
          </w:p>
        </w:tc>
        <w:tc>
          <w:tcPr>
            <w:tcW w:w="394"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300 (4.1)</w:t>
            </w:r>
          </w:p>
        </w:tc>
        <w:tc>
          <w:tcPr>
            <w:tcW w:w="903"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1.4</w:t>
            </w:r>
          </w:p>
        </w:tc>
        <w:tc>
          <w:tcPr>
            <w:tcW w:w="488"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316 (4.3)</w:t>
            </w:r>
          </w:p>
        </w:tc>
        <w:tc>
          <w:tcPr>
            <w:tcW w:w="820"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1.5</w:t>
            </w:r>
          </w:p>
        </w:tc>
        <w:tc>
          <w:tcPr>
            <w:tcW w:w="523"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0.95 (0.81–1.11)</w:t>
            </w:r>
          </w:p>
        </w:tc>
        <w:tc>
          <w:tcPr>
            <w:tcW w:w="671"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0.487</w:t>
            </w:r>
          </w:p>
        </w:tc>
      </w:tr>
      <w:tr w:rsidR="001D715A" w:rsidRPr="0056436C" w:rsidTr="00E21D56">
        <w:trPr>
          <w:trHeight w:val="780"/>
        </w:trPr>
        <w:tc>
          <w:tcPr>
            <w:tcW w:w="1201" w:type="pct"/>
            <w:tcBorders>
              <w:top w:val="nil"/>
              <w:left w:val="single" w:sz="8" w:space="0" w:color="7B7B7B"/>
              <w:bottom w:val="single" w:sz="8" w:space="0" w:color="7B7B7B"/>
              <w:right w:val="single" w:sz="8" w:space="0" w:color="7B7B7B"/>
            </w:tcBorders>
            <w:shd w:val="clear" w:color="000000" w:fill="FFFFFF"/>
            <w:vAlign w:val="center"/>
            <w:hideMark/>
          </w:tcPr>
          <w:p w:rsidR="00BD1476" w:rsidRPr="0056436C" w:rsidRDefault="00BD1476" w:rsidP="0056436C">
            <w:pPr>
              <w:rPr>
                <w:color w:val="000000"/>
                <w:sz w:val="22"/>
                <w:szCs w:val="22"/>
                <w:lang w:val="sr-Latn-ME"/>
              </w:rPr>
            </w:pPr>
            <w:r w:rsidRPr="0056436C">
              <w:rPr>
                <w:sz w:val="22"/>
                <w:szCs w:val="22"/>
                <w:lang w:val="sr-Latn-ME"/>
              </w:rPr>
              <w:t>Svi slučajevi moždanog udara (sa smrtnim ishodom i bez njega)</w:t>
            </w:r>
          </w:p>
        </w:tc>
        <w:tc>
          <w:tcPr>
            <w:tcW w:w="394"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178 (2.4)</w:t>
            </w:r>
          </w:p>
        </w:tc>
        <w:tc>
          <w:tcPr>
            <w:tcW w:w="903"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0.8</w:t>
            </w:r>
          </w:p>
        </w:tc>
        <w:tc>
          <w:tcPr>
            <w:tcW w:w="488"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183 (2.5)</w:t>
            </w:r>
          </w:p>
        </w:tc>
        <w:tc>
          <w:tcPr>
            <w:tcW w:w="820"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0.9</w:t>
            </w:r>
          </w:p>
        </w:tc>
        <w:tc>
          <w:tcPr>
            <w:tcW w:w="523"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0.97 (0.79–1.19)</w:t>
            </w:r>
          </w:p>
        </w:tc>
        <w:tc>
          <w:tcPr>
            <w:tcW w:w="671"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0.76</w:t>
            </w:r>
          </w:p>
        </w:tc>
      </w:tr>
      <w:tr w:rsidR="001D715A" w:rsidRPr="0056436C" w:rsidTr="00E21D56">
        <w:trPr>
          <w:trHeight w:val="1035"/>
        </w:trPr>
        <w:tc>
          <w:tcPr>
            <w:tcW w:w="1201" w:type="pct"/>
            <w:tcBorders>
              <w:top w:val="nil"/>
              <w:left w:val="single" w:sz="8" w:space="0" w:color="7B7B7B"/>
              <w:bottom w:val="single" w:sz="8" w:space="0" w:color="7B7B7B"/>
              <w:right w:val="single" w:sz="8" w:space="0" w:color="7B7B7B"/>
            </w:tcBorders>
            <w:shd w:val="clear" w:color="000000" w:fill="FFFFFF"/>
            <w:vAlign w:val="center"/>
          </w:tcPr>
          <w:p w:rsidR="00BD1476" w:rsidRPr="0056436C" w:rsidRDefault="00BD1476" w:rsidP="0056436C">
            <w:pPr>
              <w:rPr>
                <w:color w:val="000000"/>
                <w:sz w:val="22"/>
                <w:szCs w:val="22"/>
                <w:lang w:val="sr-Latn-ME"/>
              </w:rPr>
            </w:pPr>
            <w:r w:rsidRPr="0056436C">
              <w:rPr>
                <w:sz w:val="22"/>
                <w:szCs w:val="22"/>
                <w:lang w:val="sr-Latn-ME"/>
              </w:rPr>
              <w:t>Hospitalizacija zbog nestabilne angine</w:t>
            </w:r>
          </w:p>
        </w:tc>
        <w:tc>
          <w:tcPr>
            <w:tcW w:w="394"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116 (1.6)</w:t>
            </w:r>
          </w:p>
        </w:tc>
        <w:tc>
          <w:tcPr>
            <w:tcW w:w="903"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0.5</w:t>
            </w:r>
          </w:p>
        </w:tc>
        <w:tc>
          <w:tcPr>
            <w:tcW w:w="488"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129 (1.8)</w:t>
            </w:r>
          </w:p>
        </w:tc>
        <w:tc>
          <w:tcPr>
            <w:tcW w:w="820"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0.6</w:t>
            </w:r>
          </w:p>
        </w:tc>
        <w:tc>
          <w:tcPr>
            <w:tcW w:w="523"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0.90 (0.70–1.16)</w:t>
            </w:r>
          </w:p>
        </w:tc>
        <w:tc>
          <w:tcPr>
            <w:tcW w:w="671"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0.419</w:t>
            </w:r>
          </w:p>
        </w:tc>
      </w:tr>
      <w:tr w:rsidR="001D715A" w:rsidRPr="0056436C" w:rsidTr="00E21D56">
        <w:trPr>
          <w:trHeight w:val="780"/>
        </w:trPr>
        <w:tc>
          <w:tcPr>
            <w:tcW w:w="1201" w:type="pct"/>
            <w:tcBorders>
              <w:top w:val="nil"/>
              <w:left w:val="single" w:sz="8" w:space="0" w:color="7B7B7B"/>
              <w:bottom w:val="single" w:sz="8" w:space="0" w:color="7B7B7B"/>
              <w:right w:val="single" w:sz="8" w:space="0" w:color="7B7B7B"/>
            </w:tcBorders>
            <w:shd w:val="clear" w:color="000000" w:fill="FFFFFF"/>
            <w:vAlign w:val="center"/>
          </w:tcPr>
          <w:p w:rsidR="00BD1476" w:rsidRPr="0056436C" w:rsidRDefault="00BD1476" w:rsidP="0056436C">
            <w:pPr>
              <w:rPr>
                <w:color w:val="000000"/>
                <w:sz w:val="22"/>
                <w:szCs w:val="22"/>
                <w:lang w:val="sr-Latn-ME"/>
              </w:rPr>
            </w:pPr>
            <w:r w:rsidRPr="0056436C">
              <w:rPr>
                <w:sz w:val="22"/>
                <w:szCs w:val="22"/>
                <w:lang w:val="sr-Latn-ME"/>
              </w:rPr>
              <w:t>Smrt zbog bilo kog uzroka</w:t>
            </w:r>
          </w:p>
        </w:tc>
        <w:tc>
          <w:tcPr>
            <w:tcW w:w="394"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547 (7.5)</w:t>
            </w:r>
          </w:p>
        </w:tc>
        <w:tc>
          <w:tcPr>
            <w:tcW w:w="903"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2.5</w:t>
            </w:r>
          </w:p>
        </w:tc>
        <w:tc>
          <w:tcPr>
            <w:tcW w:w="488"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537 (7.3)</w:t>
            </w:r>
          </w:p>
        </w:tc>
        <w:tc>
          <w:tcPr>
            <w:tcW w:w="820"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2.5</w:t>
            </w:r>
          </w:p>
        </w:tc>
        <w:tc>
          <w:tcPr>
            <w:tcW w:w="523"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1.01 (0.90–1.14)</w:t>
            </w:r>
          </w:p>
        </w:tc>
        <w:tc>
          <w:tcPr>
            <w:tcW w:w="671"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0.875</w:t>
            </w:r>
          </w:p>
        </w:tc>
      </w:tr>
      <w:tr w:rsidR="001D715A" w:rsidRPr="0056436C" w:rsidTr="00E21D56">
        <w:trPr>
          <w:trHeight w:val="1035"/>
        </w:trPr>
        <w:tc>
          <w:tcPr>
            <w:tcW w:w="1201" w:type="pct"/>
            <w:tcBorders>
              <w:top w:val="nil"/>
              <w:left w:val="single" w:sz="8" w:space="0" w:color="7B7B7B"/>
              <w:bottom w:val="single" w:sz="8" w:space="0" w:color="7B7B7B"/>
              <w:right w:val="single" w:sz="8" w:space="0" w:color="7B7B7B"/>
            </w:tcBorders>
            <w:shd w:val="clear" w:color="000000" w:fill="FFFFFF"/>
            <w:vAlign w:val="center"/>
          </w:tcPr>
          <w:p w:rsidR="00BD1476" w:rsidRPr="0056436C" w:rsidRDefault="00BD1476" w:rsidP="0056436C">
            <w:pPr>
              <w:rPr>
                <w:color w:val="000000"/>
                <w:sz w:val="22"/>
                <w:szCs w:val="22"/>
                <w:lang w:val="sr-Latn-ME"/>
              </w:rPr>
            </w:pPr>
            <w:r w:rsidRPr="0056436C">
              <w:rPr>
                <w:sz w:val="22"/>
                <w:szCs w:val="22"/>
                <w:lang w:val="sr-Latn-ME"/>
              </w:rPr>
              <w:t>Hospitalizacija zbog srčane insuficijencije</w:t>
            </w:r>
            <w:r w:rsidRPr="0056436C">
              <w:rPr>
                <w:sz w:val="22"/>
                <w:szCs w:val="22"/>
                <w:vertAlign w:val="superscript"/>
                <w:lang w:val="sr-Latn-ME"/>
              </w:rPr>
              <w:t>‡</w:t>
            </w:r>
          </w:p>
        </w:tc>
        <w:tc>
          <w:tcPr>
            <w:tcW w:w="394"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228 (3.1)</w:t>
            </w:r>
          </w:p>
        </w:tc>
        <w:tc>
          <w:tcPr>
            <w:tcW w:w="903"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1.1</w:t>
            </w:r>
          </w:p>
        </w:tc>
        <w:tc>
          <w:tcPr>
            <w:tcW w:w="488"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229 (3.1)</w:t>
            </w:r>
          </w:p>
        </w:tc>
        <w:tc>
          <w:tcPr>
            <w:tcW w:w="820"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1.1</w:t>
            </w:r>
          </w:p>
        </w:tc>
        <w:tc>
          <w:tcPr>
            <w:tcW w:w="523"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1.00 (0.83–1.20)</w:t>
            </w:r>
          </w:p>
        </w:tc>
        <w:tc>
          <w:tcPr>
            <w:tcW w:w="671" w:type="pct"/>
            <w:tcBorders>
              <w:top w:val="nil"/>
              <w:left w:val="nil"/>
              <w:bottom w:val="single" w:sz="8" w:space="0" w:color="7B7B7B"/>
              <w:right w:val="single" w:sz="8" w:space="0" w:color="7B7B7B"/>
            </w:tcBorders>
            <w:shd w:val="clear" w:color="000000" w:fill="FFFFFF"/>
            <w:vAlign w:val="center"/>
            <w:hideMark/>
          </w:tcPr>
          <w:p w:rsidR="00BD1476" w:rsidRPr="0056436C" w:rsidRDefault="00BD1476" w:rsidP="0056436C">
            <w:pPr>
              <w:jc w:val="center"/>
              <w:rPr>
                <w:color w:val="000000"/>
                <w:sz w:val="22"/>
                <w:szCs w:val="22"/>
                <w:lang w:val="sr-Latn-ME"/>
              </w:rPr>
            </w:pPr>
            <w:r w:rsidRPr="0056436C">
              <w:rPr>
                <w:color w:val="000000"/>
                <w:sz w:val="22"/>
                <w:szCs w:val="22"/>
                <w:lang w:val="sr-Latn-ME"/>
              </w:rPr>
              <w:t>0.983</w:t>
            </w:r>
          </w:p>
        </w:tc>
      </w:tr>
    </w:tbl>
    <w:p w:rsidR="00782749" w:rsidRPr="0056436C" w:rsidRDefault="00782749" w:rsidP="0056436C">
      <w:pPr>
        <w:jc w:val="both"/>
        <w:rPr>
          <w:bCs/>
          <w:sz w:val="22"/>
          <w:szCs w:val="22"/>
          <w:lang w:val="sr-Latn-ME"/>
        </w:rPr>
      </w:pPr>
      <w:r w:rsidRPr="0056436C">
        <w:rPr>
          <w:bCs/>
          <w:sz w:val="22"/>
          <w:szCs w:val="22"/>
          <w:vertAlign w:val="superscript"/>
          <w:lang w:val="sr-Latn-ME"/>
        </w:rPr>
        <w:t>*</w:t>
      </w:r>
      <w:r w:rsidRPr="0056436C">
        <w:rPr>
          <w:bCs/>
          <w:sz w:val="22"/>
          <w:szCs w:val="22"/>
          <w:lang w:val="sr-Latn-ME"/>
        </w:rPr>
        <w:t xml:space="preserve"> Stopa incidence na 100 pacijent-godina izračunava se kao 100 × (ukupan broj pacijenata koji imaju ≥ 1</w:t>
      </w:r>
      <w:r w:rsidR="002622BA" w:rsidRPr="0056436C">
        <w:rPr>
          <w:bCs/>
          <w:sz w:val="22"/>
          <w:szCs w:val="22"/>
          <w:lang w:val="sr-Latn-ME"/>
        </w:rPr>
        <w:t xml:space="preserve"> </w:t>
      </w:r>
      <w:r w:rsidRPr="0056436C">
        <w:rPr>
          <w:bCs/>
          <w:sz w:val="22"/>
          <w:szCs w:val="22"/>
          <w:lang w:val="sr-Latn-ME"/>
        </w:rPr>
        <w:t xml:space="preserve">događaja tokom </w:t>
      </w:r>
      <w:r w:rsidR="009C08EE" w:rsidRPr="0056436C">
        <w:rPr>
          <w:bCs/>
          <w:sz w:val="22"/>
          <w:szCs w:val="22"/>
          <w:lang w:val="sr-Latn-ME"/>
        </w:rPr>
        <w:t xml:space="preserve">primjenljivog perioda </w:t>
      </w:r>
      <w:r w:rsidRPr="0056436C">
        <w:rPr>
          <w:bCs/>
          <w:sz w:val="22"/>
          <w:szCs w:val="22"/>
          <w:lang w:val="sr-Latn-ME"/>
        </w:rPr>
        <w:t>izloženosti po ukupnom broju pacijent-godina praćenja).</w:t>
      </w:r>
    </w:p>
    <w:p w:rsidR="00782749" w:rsidRPr="0056436C" w:rsidRDefault="00782749" w:rsidP="0056436C">
      <w:pPr>
        <w:jc w:val="both"/>
        <w:rPr>
          <w:bCs/>
          <w:sz w:val="22"/>
          <w:szCs w:val="22"/>
          <w:lang w:val="sr-Latn-ME"/>
        </w:rPr>
      </w:pPr>
      <w:r w:rsidRPr="0056436C">
        <w:rPr>
          <w:bCs/>
          <w:sz w:val="22"/>
          <w:szCs w:val="22"/>
          <w:vertAlign w:val="superscript"/>
          <w:lang w:val="sr-Latn-ME"/>
        </w:rPr>
        <w:t>†</w:t>
      </w:r>
      <w:r w:rsidRPr="0056436C">
        <w:rPr>
          <w:bCs/>
          <w:sz w:val="22"/>
          <w:szCs w:val="22"/>
          <w:lang w:val="sr-Latn-ME"/>
        </w:rPr>
        <w:t xml:space="preserve"> Zasnivano na Coxovom modelu stratifi</w:t>
      </w:r>
      <w:r w:rsidR="009C08EE" w:rsidRPr="0056436C">
        <w:rPr>
          <w:bCs/>
          <w:sz w:val="22"/>
          <w:szCs w:val="22"/>
          <w:lang w:val="sr-Latn-ME"/>
        </w:rPr>
        <w:t>kova</w:t>
      </w:r>
      <w:r w:rsidRPr="0056436C">
        <w:rPr>
          <w:bCs/>
          <w:sz w:val="22"/>
          <w:szCs w:val="22"/>
          <w:lang w:val="sr-Latn-ME"/>
        </w:rPr>
        <w:t xml:space="preserve">nom prema regijama. Za </w:t>
      </w:r>
      <w:r w:rsidR="009C08EE" w:rsidRPr="0056436C">
        <w:rPr>
          <w:bCs/>
          <w:sz w:val="22"/>
          <w:szCs w:val="22"/>
          <w:lang w:val="sr-Latn-ME"/>
        </w:rPr>
        <w:t>objedinjene krajnje tačke</w:t>
      </w:r>
      <w:r w:rsidRPr="0056436C">
        <w:rPr>
          <w:bCs/>
          <w:sz w:val="22"/>
          <w:szCs w:val="22"/>
          <w:lang w:val="sr-Latn-ME"/>
        </w:rPr>
        <w:t xml:space="preserve"> ispitivanja,</w:t>
      </w:r>
      <w:r w:rsidR="009C08EE" w:rsidRPr="0056436C">
        <w:rPr>
          <w:bCs/>
          <w:sz w:val="22"/>
          <w:szCs w:val="22"/>
          <w:lang w:val="sr-Latn-ME"/>
        </w:rPr>
        <w:t xml:space="preserve"> </w:t>
      </w:r>
      <w:r w:rsidRPr="0056436C">
        <w:rPr>
          <w:bCs/>
          <w:sz w:val="22"/>
          <w:szCs w:val="22"/>
          <w:lang w:val="sr-Latn-ME"/>
        </w:rPr>
        <w:t>p-vr</w:t>
      </w:r>
      <w:r w:rsidR="00CB1606" w:rsidRPr="0056436C">
        <w:rPr>
          <w:bCs/>
          <w:sz w:val="22"/>
          <w:szCs w:val="22"/>
          <w:lang w:val="sr-Latn-ME"/>
        </w:rPr>
        <w:t>ij</w:t>
      </w:r>
      <w:r w:rsidRPr="0056436C">
        <w:rPr>
          <w:bCs/>
          <w:sz w:val="22"/>
          <w:szCs w:val="22"/>
          <w:lang w:val="sr-Latn-ME"/>
        </w:rPr>
        <w:t xml:space="preserve">ednosti odgovaraju ispitivanju inferiornosti kojim se želi dokazati da je </w:t>
      </w:r>
      <w:r w:rsidRPr="0056436C">
        <w:rPr>
          <w:bCs/>
          <w:i/>
          <w:sz w:val="22"/>
          <w:szCs w:val="22"/>
          <w:lang w:val="sr-Latn-ME"/>
        </w:rPr>
        <w:t xml:space="preserve">Hazard Ratio </w:t>
      </w:r>
      <w:r w:rsidRPr="0056436C">
        <w:rPr>
          <w:bCs/>
          <w:sz w:val="22"/>
          <w:szCs w:val="22"/>
          <w:lang w:val="sr-Latn-ME"/>
        </w:rPr>
        <w:t xml:space="preserve">manji od 1,3. Za sve ostale </w:t>
      </w:r>
      <w:r w:rsidR="009C08EE" w:rsidRPr="0056436C">
        <w:rPr>
          <w:bCs/>
          <w:sz w:val="22"/>
          <w:szCs w:val="22"/>
          <w:lang w:val="sr-Latn-ME"/>
        </w:rPr>
        <w:t xml:space="preserve">krajnje tačke </w:t>
      </w:r>
      <w:r w:rsidRPr="0056436C">
        <w:rPr>
          <w:bCs/>
          <w:sz w:val="22"/>
          <w:szCs w:val="22"/>
          <w:lang w:val="sr-Latn-ME"/>
        </w:rPr>
        <w:t>ispitivanja, p-vr</w:t>
      </w:r>
      <w:r w:rsidR="007643A1" w:rsidRPr="0056436C">
        <w:rPr>
          <w:bCs/>
          <w:sz w:val="22"/>
          <w:szCs w:val="22"/>
          <w:lang w:val="sr-Latn-ME"/>
        </w:rPr>
        <w:t>ij</w:t>
      </w:r>
      <w:r w:rsidRPr="0056436C">
        <w:rPr>
          <w:bCs/>
          <w:sz w:val="22"/>
          <w:szCs w:val="22"/>
          <w:lang w:val="sr-Latn-ME"/>
        </w:rPr>
        <w:t>ednosti odgovaraju ispitivanju razlika u vr</w:t>
      </w:r>
      <w:r w:rsidR="00CB1606" w:rsidRPr="0056436C">
        <w:rPr>
          <w:bCs/>
          <w:sz w:val="22"/>
          <w:szCs w:val="22"/>
          <w:lang w:val="sr-Latn-ME"/>
        </w:rPr>
        <w:t>ji</w:t>
      </w:r>
      <w:r w:rsidRPr="0056436C">
        <w:rPr>
          <w:bCs/>
          <w:sz w:val="22"/>
          <w:szCs w:val="22"/>
          <w:lang w:val="sr-Latn-ME"/>
        </w:rPr>
        <w:t xml:space="preserve">ednosti </w:t>
      </w:r>
      <w:r w:rsidRPr="0056436C">
        <w:rPr>
          <w:bCs/>
          <w:i/>
          <w:sz w:val="22"/>
          <w:szCs w:val="22"/>
          <w:lang w:val="sr-Latn-ME"/>
        </w:rPr>
        <w:t>Hazard Ratio</w:t>
      </w:r>
      <w:r w:rsidRPr="0056436C">
        <w:rPr>
          <w:bCs/>
          <w:sz w:val="22"/>
          <w:szCs w:val="22"/>
          <w:lang w:val="sr-Latn-ME"/>
        </w:rPr>
        <w:t>.</w:t>
      </w:r>
    </w:p>
    <w:p w:rsidR="00782749" w:rsidRPr="0056436C" w:rsidRDefault="00782749" w:rsidP="0056436C">
      <w:pPr>
        <w:jc w:val="both"/>
        <w:rPr>
          <w:bCs/>
          <w:sz w:val="22"/>
          <w:szCs w:val="22"/>
          <w:lang w:val="sr-Latn-ME"/>
        </w:rPr>
      </w:pPr>
      <w:r w:rsidRPr="0056436C">
        <w:rPr>
          <w:bCs/>
          <w:sz w:val="22"/>
          <w:szCs w:val="22"/>
          <w:vertAlign w:val="superscript"/>
          <w:lang w:val="sr-Latn-ME"/>
        </w:rPr>
        <w:t>‡</w:t>
      </w:r>
      <w:r w:rsidRPr="0056436C">
        <w:rPr>
          <w:bCs/>
          <w:sz w:val="22"/>
          <w:szCs w:val="22"/>
          <w:lang w:val="sr-Latn-ME"/>
        </w:rPr>
        <w:t xml:space="preserve"> Analiza hospitalizacije zbog srčane insuficijencije prilagođena je za srčanu insuficijencuju u anamnezi na početku ispitivanja</w:t>
      </w:r>
    </w:p>
    <w:p w:rsidR="00B874FD" w:rsidRPr="0056436C" w:rsidRDefault="00B874FD" w:rsidP="0056436C">
      <w:pPr>
        <w:jc w:val="both"/>
        <w:rPr>
          <w:bCs/>
          <w:sz w:val="22"/>
          <w:szCs w:val="22"/>
          <w:u w:val="single"/>
          <w:lang w:val="sr-Latn-ME"/>
        </w:rPr>
      </w:pPr>
    </w:p>
    <w:p w:rsidR="00605848" w:rsidRPr="0056436C" w:rsidRDefault="00605848" w:rsidP="0056436C">
      <w:pPr>
        <w:jc w:val="both"/>
        <w:rPr>
          <w:bCs/>
          <w:sz w:val="22"/>
          <w:szCs w:val="22"/>
          <w:u w:val="single"/>
          <w:lang w:val="sr-Latn-ME"/>
        </w:rPr>
      </w:pPr>
      <w:r w:rsidRPr="0056436C">
        <w:rPr>
          <w:bCs/>
          <w:sz w:val="22"/>
          <w:szCs w:val="22"/>
          <w:u w:val="single"/>
          <w:lang w:val="sr-Latn-ME"/>
        </w:rPr>
        <w:t xml:space="preserve">Pedijatrijska populacija </w:t>
      </w:r>
    </w:p>
    <w:p w:rsidR="00605848" w:rsidRPr="0056436C" w:rsidRDefault="001D715A" w:rsidP="0056436C">
      <w:pPr>
        <w:jc w:val="both"/>
        <w:rPr>
          <w:bCs/>
          <w:sz w:val="22"/>
          <w:szCs w:val="22"/>
          <w:lang w:val="sr-Latn-ME"/>
        </w:rPr>
      </w:pPr>
      <w:r w:rsidRPr="0056436C">
        <w:rPr>
          <w:bCs/>
          <w:sz w:val="22"/>
          <w:szCs w:val="22"/>
          <w:lang w:val="sr-Latn-ME"/>
        </w:rPr>
        <w:t>Sp</w:t>
      </w:r>
      <w:r w:rsidR="00605848" w:rsidRPr="0056436C">
        <w:rPr>
          <w:bCs/>
          <w:sz w:val="22"/>
          <w:szCs w:val="22"/>
          <w:lang w:val="sr-Latn-ME"/>
        </w:rPr>
        <w:t xml:space="preserve">rovedeno je 54-nedeljno, dvostruko slijepo ispitivanje kako bi se </w:t>
      </w:r>
      <w:r w:rsidR="009C08EE" w:rsidRPr="0056436C">
        <w:rPr>
          <w:bCs/>
          <w:sz w:val="22"/>
          <w:szCs w:val="22"/>
          <w:lang w:val="sr-Latn-ME"/>
        </w:rPr>
        <w:t>pr</w:t>
      </w:r>
      <w:r w:rsidR="00605848" w:rsidRPr="0056436C">
        <w:rPr>
          <w:bCs/>
          <w:sz w:val="22"/>
          <w:szCs w:val="22"/>
          <w:lang w:val="sr-Latn-ME"/>
        </w:rPr>
        <w:t xml:space="preserve">ocijenile </w:t>
      </w:r>
      <w:r w:rsidR="009C08EE" w:rsidRPr="0056436C">
        <w:rPr>
          <w:bCs/>
          <w:sz w:val="22"/>
          <w:szCs w:val="22"/>
          <w:lang w:val="sr-Latn-ME"/>
        </w:rPr>
        <w:t xml:space="preserve">efikasnost i </w:t>
      </w:r>
      <w:r w:rsidR="00605848" w:rsidRPr="0056436C">
        <w:rPr>
          <w:bCs/>
          <w:sz w:val="22"/>
          <w:szCs w:val="22"/>
          <w:lang w:val="sr-Latn-ME"/>
        </w:rPr>
        <w:t>bezbjednost sitagliptina u dozi od 100 mg jednom dnevno kod pedijatrijskih pacijenata (uzrast</w:t>
      </w:r>
      <w:r w:rsidR="009C08EE" w:rsidRPr="0056436C">
        <w:rPr>
          <w:bCs/>
          <w:sz w:val="22"/>
          <w:szCs w:val="22"/>
          <w:lang w:val="sr-Latn-ME"/>
        </w:rPr>
        <w:t>a</w:t>
      </w:r>
      <w:r w:rsidR="00605848" w:rsidRPr="0056436C">
        <w:rPr>
          <w:bCs/>
          <w:sz w:val="22"/>
          <w:szCs w:val="22"/>
          <w:lang w:val="sr-Latn-ME"/>
        </w:rPr>
        <w:t xml:space="preserve"> od 10 do 17 godina) s</w:t>
      </w:r>
      <w:r w:rsidRPr="0056436C">
        <w:rPr>
          <w:bCs/>
          <w:sz w:val="22"/>
          <w:szCs w:val="22"/>
          <w:lang w:val="sr-Latn-ME"/>
        </w:rPr>
        <w:t>a</w:t>
      </w:r>
      <w:r w:rsidR="00605848" w:rsidRPr="0056436C">
        <w:rPr>
          <w:bCs/>
          <w:sz w:val="22"/>
          <w:szCs w:val="22"/>
          <w:lang w:val="sr-Latn-ME"/>
        </w:rPr>
        <w:t xml:space="preserve"> dijabetesom tipa 2 koji najmanje 12 nedelja ni</w:t>
      </w:r>
      <w:r w:rsidR="009C08EE" w:rsidRPr="0056436C">
        <w:rPr>
          <w:bCs/>
          <w:sz w:val="22"/>
          <w:szCs w:val="22"/>
          <w:lang w:val="sr-Latn-ME"/>
        </w:rPr>
        <w:t>je</w:t>
      </w:r>
      <w:r w:rsidR="00605848" w:rsidRPr="0056436C">
        <w:rPr>
          <w:bCs/>
          <w:sz w:val="22"/>
          <w:szCs w:val="22"/>
          <w:lang w:val="sr-Latn-ME"/>
        </w:rPr>
        <w:t>su primali antihiperglikemijsku terapiju (uz HbA1c od 6,5% do 10%) ili koji su najmanje 12 nedelja primali stabilnu dozu insulina (uz HbA1c od 7% do 10%). Pacijenti su bili randomiz</w:t>
      </w:r>
      <w:r w:rsidR="009C08EE" w:rsidRPr="0056436C">
        <w:rPr>
          <w:bCs/>
          <w:sz w:val="22"/>
          <w:szCs w:val="22"/>
          <w:lang w:val="sr-Latn-ME"/>
        </w:rPr>
        <w:t>ov</w:t>
      </w:r>
      <w:r w:rsidR="00605848" w:rsidRPr="0056436C">
        <w:rPr>
          <w:bCs/>
          <w:sz w:val="22"/>
          <w:szCs w:val="22"/>
          <w:lang w:val="sr-Latn-ME"/>
        </w:rPr>
        <w:t xml:space="preserve">ani </w:t>
      </w:r>
      <w:r w:rsidR="009C08EE" w:rsidRPr="0056436C">
        <w:rPr>
          <w:bCs/>
          <w:sz w:val="22"/>
          <w:szCs w:val="22"/>
          <w:lang w:val="sr-Latn-ME"/>
        </w:rPr>
        <w:t>da</w:t>
      </w:r>
      <w:r w:rsidR="00605848" w:rsidRPr="0056436C">
        <w:rPr>
          <w:bCs/>
          <w:sz w:val="22"/>
          <w:szCs w:val="22"/>
          <w:lang w:val="sr-Latn-ME"/>
        </w:rPr>
        <w:t xml:space="preserve"> prima</w:t>
      </w:r>
      <w:r w:rsidR="009C08EE" w:rsidRPr="0056436C">
        <w:rPr>
          <w:bCs/>
          <w:sz w:val="22"/>
          <w:szCs w:val="22"/>
          <w:lang w:val="sr-Latn-ME"/>
        </w:rPr>
        <w:t>ju</w:t>
      </w:r>
      <w:r w:rsidR="00605848" w:rsidRPr="0056436C">
        <w:rPr>
          <w:bCs/>
          <w:sz w:val="22"/>
          <w:szCs w:val="22"/>
          <w:lang w:val="sr-Latn-ME"/>
        </w:rPr>
        <w:t xml:space="preserve"> sitagliptin u dozi od 100 mg jednom dnevno ili placeb</w:t>
      </w:r>
      <w:r w:rsidR="00153C20" w:rsidRPr="0056436C">
        <w:rPr>
          <w:bCs/>
          <w:sz w:val="22"/>
          <w:szCs w:val="22"/>
          <w:lang w:val="sr-Latn-ME"/>
        </w:rPr>
        <w:t>o</w:t>
      </w:r>
      <w:r w:rsidR="00605848" w:rsidRPr="0056436C">
        <w:rPr>
          <w:bCs/>
          <w:sz w:val="22"/>
          <w:szCs w:val="22"/>
          <w:lang w:val="sr-Latn-ME"/>
        </w:rPr>
        <w:t xml:space="preserve"> tokom 20 ned</w:t>
      </w:r>
      <w:r w:rsidR="00153C20" w:rsidRPr="0056436C">
        <w:rPr>
          <w:bCs/>
          <w:sz w:val="22"/>
          <w:szCs w:val="22"/>
          <w:lang w:val="sr-Latn-ME"/>
        </w:rPr>
        <w:t>j</w:t>
      </w:r>
      <w:r w:rsidR="00605848" w:rsidRPr="0056436C">
        <w:rPr>
          <w:bCs/>
          <w:sz w:val="22"/>
          <w:szCs w:val="22"/>
          <w:lang w:val="sr-Latn-ME"/>
        </w:rPr>
        <w:t xml:space="preserve">elja. </w:t>
      </w:r>
    </w:p>
    <w:p w:rsidR="00605848" w:rsidRPr="0056436C" w:rsidRDefault="00605848" w:rsidP="0056436C">
      <w:pPr>
        <w:jc w:val="both"/>
        <w:rPr>
          <w:bCs/>
          <w:sz w:val="22"/>
          <w:szCs w:val="22"/>
          <w:lang w:val="sr-Latn-ME"/>
        </w:rPr>
      </w:pPr>
    </w:p>
    <w:p w:rsidR="00605848" w:rsidRPr="0056436C" w:rsidRDefault="00605848" w:rsidP="0056436C">
      <w:pPr>
        <w:tabs>
          <w:tab w:val="left" w:pos="540"/>
          <w:tab w:val="left" w:pos="569"/>
        </w:tabs>
        <w:jc w:val="both"/>
        <w:rPr>
          <w:bCs/>
          <w:sz w:val="22"/>
          <w:szCs w:val="22"/>
          <w:lang w:val="sr-Latn-ME"/>
        </w:rPr>
      </w:pPr>
      <w:r w:rsidRPr="0056436C">
        <w:rPr>
          <w:bCs/>
          <w:sz w:val="22"/>
          <w:szCs w:val="22"/>
          <w:lang w:val="sr-Latn-ME"/>
        </w:rPr>
        <w:t>Srednja vrijednost HbA1c na početku ispitivanja iznosila je 7,5%. Liječenje sitagliptinom u dozi od 100 mg nije dovelo do značajnog poboljšanja vrijednosti HbA1c u 20. ned</w:t>
      </w:r>
      <w:r w:rsidR="00153C20" w:rsidRPr="0056436C">
        <w:rPr>
          <w:bCs/>
          <w:sz w:val="22"/>
          <w:szCs w:val="22"/>
          <w:lang w:val="sr-Latn-ME"/>
        </w:rPr>
        <w:t>j</w:t>
      </w:r>
      <w:r w:rsidRPr="0056436C">
        <w:rPr>
          <w:bCs/>
          <w:sz w:val="22"/>
          <w:szCs w:val="22"/>
          <w:lang w:val="sr-Latn-ME"/>
        </w:rPr>
        <w:t xml:space="preserve">elji. Sniženje vrijednosti HbA1c kod pacijenata liječenih sitagliptinom (N=95) iznosilo je 0,0%, dok je kod onih koji su primali placebo (N=95) iznosilo 0,2%, što </w:t>
      </w:r>
      <w:r w:rsidR="00153C20" w:rsidRPr="0056436C">
        <w:rPr>
          <w:bCs/>
          <w:sz w:val="22"/>
          <w:szCs w:val="22"/>
          <w:lang w:val="sr-Latn-ME"/>
        </w:rPr>
        <w:t>predstavlja</w:t>
      </w:r>
      <w:r w:rsidRPr="0056436C">
        <w:rPr>
          <w:bCs/>
          <w:sz w:val="22"/>
          <w:szCs w:val="22"/>
          <w:lang w:val="sr-Latn-ME"/>
        </w:rPr>
        <w:t xml:space="preserve"> razliku od -0,2% (95% CI: -0,7; 0,3). Vidjeti dio 4.2.</w:t>
      </w:r>
    </w:p>
    <w:p w:rsidR="002E37A5" w:rsidRPr="0056436C" w:rsidRDefault="002E37A5" w:rsidP="0056436C">
      <w:pPr>
        <w:tabs>
          <w:tab w:val="left" w:pos="540"/>
          <w:tab w:val="left" w:pos="569"/>
        </w:tabs>
        <w:rPr>
          <w:b/>
          <w:bCs/>
          <w:sz w:val="22"/>
          <w:szCs w:val="22"/>
          <w:lang w:val="sr-Latn-ME"/>
        </w:rPr>
      </w:pPr>
    </w:p>
    <w:p w:rsidR="0072020E" w:rsidRPr="0056436C" w:rsidRDefault="0072020E" w:rsidP="0056436C">
      <w:pPr>
        <w:tabs>
          <w:tab w:val="left" w:pos="540"/>
          <w:tab w:val="left" w:pos="569"/>
        </w:tabs>
        <w:rPr>
          <w:b/>
          <w:bCs/>
          <w:sz w:val="22"/>
          <w:szCs w:val="22"/>
          <w:lang w:val="sr-Latn-ME"/>
        </w:rPr>
      </w:pPr>
      <w:r w:rsidRPr="0056436C">
        <w:rPr>
          <w:b/>
          <w:bCs/>
          <w:sz w:val="22"/>
          <w:szCs w:val="22"/>
          <w:lang w:val="sr-Latn-ME"/>
        </w:rPr>
        <w:t xml:space="preserve">5.2. </w:t>
      </w:r>
      <w:r w:rsidR="00480FB1" w:rsidRPr="0056436C">
        <w:rPr>
          <w:b/>
          <w:bCs/>
          <w:sz w:val="22"/>
          <w:szCs w:val="22"/>
          <w:lang w:val="sr-Latn-ME"/>
        </w:rPr>
        <w:tab/>
      </w:r>
      <w:r w:rsidRPr="0056436C">
        <w:rPr>
          <w:b/>
          <w:bCs/>
          <w:sz w:val="22"/>
          <w:szCs w:val="22"/>
          <w:lang w:val="sr-Latn-ME"/>
        </w:rPr>
        <w:t>Farmakokinetički podaci</w:t>
      </w:r>
      <w:r w:rsidR="003A7059" w:rsidRPr="0056436C">
        <w:rPr>
          <w:b/>
          <w:bCs/>
          <w:sz w:val="22"/>
          <w:szCs w:val="22"/>
          <w:lang w:val="sr-Latn-ME"/>
        </w:rPr>
        <w:t xml:space="preserve"> </w:t>
      </w:r>
    </w:p>
    <w:p w:rsidR="004540CF" w:rsidRPr="0056436C" w:rsidRDefault="004540CF" w:rsidP="0056436C">
      <w:pPr>
        <w:tabs>
          <w:tab w:val="left" w:pos="540"/>
          <w:tab w:val="left" w:pos="569"/>
        </w:tabs>
        <w:rPr>
          <w:bCs/>
          <w:sz w:val="22"/>
          <w:szCs w:val="22"/>
          <w:u w:val="single"/>
          <w:lang w:val="sr-Latn-ME"/>
        </w:rPr>
      </w:pPr>
    </w:p>
    <w:p w:rsidR="00401EDF" w:rsidRPr="0056436C" w:rsidRDefault="00401EDF" w:rsidP="0056436C">
      <w:pPr>
        <w:tabs>
          <w:tab w:val="left" w:pos="540"/>
          <w:tab w:val="left" w:pos="569"/>
        </w:tabs>
        <w:jc w:val="both"/>
        <w:rPr>
          <w:bCs/>
          <w:sz w:val="22"/>
          <w:szCs w:val="22"/>
          <w:lang w:val="sr-Latn-ME"/>
        </w:rPr>
      </w:pPr>
      <w:r w:rsidRPr="0056436C">
        <w:rPr>
          <w:bCs/>
          <w:sz w:val="22"/>
          <w:szCs w:val="22"/>
          <w:u w:val="single"/>
          <w:lang w:val="sr-Latn-ME"/>
        </w:rPr>
        <w:t>Resorpcija</w:t>
      </w:r>
    </w:p>
    <w:p w:rsidR="00401EDF" w:rsidRPr="0056436C" w:rsidRDefault="00401EDF" w:rsidP="0056436C">
      <w:pPr>
        <w:tabs>
          <w:tab w:val="left" w:pos="540"/>
          <w:tab w:val="left" w:pos="569"/>
        </w:tabs>
        <w:jc w:val="both"/>
        <w:rPr>
          <w:bCs/>
          <w:sz w:val="22"/>
          <w:szCs w:val="22"/>
          <w:lang w:val="sr-Latn-ME"/>
        </w:rPr>
      </w:pPr>
      <w:r w:rsidRPr="0056436C">
        <w:rPr>
          <w:bCs/>
          <w:sz w:val="22"/>
          <w:szCs w:val="22"/>
          <w:lang w:val="sr-Latn-ME"/>
        </w:rPr>
        <w:t>Nakon oralne primjene sitagliptina u dozi od 100 mg kod zdravih dobrovoljaca</w:t>
      </w:r>
      <w:r w:rsidR="00153C20" w:rsidRPr="0056436C">
        <w:rPr>
          <w:bCs/>
          <w:sz w:val="22"/>
          <w:szCs w:val="22"/>
          <w:lang w:val="sr-Latn-ME"/>
        </w:rPr>
        <w:t>,</w:t>
      </w:r>
      <w:r w:rsidRPr="0056436C">
        <w:rPr>
          <w:bCs/>
          <w:sz w:val="22"/>
          <w:szCs w:val="22"/>
          <w:lang w:val="sr-Latn-ME"/>
        </w:rPr>
        <w:t xml:space="preserve"> lijek se brzo </w:t>
      </w:r>
      <w:r w:rsidR="00153C20" w:rsidRPr="0056436C">
        <w:rPr>
          <w:bCs/>
          <w:sz w:val="22"/>
          <w:szCs w:val="22"/>
          <w:lang w:val="sr-Latn-ME"/>
        </w:rPr>
        <w:t>re</w:t>
      </w:r>
      <w:r w:rsidRPr="0056436C">
        <w:rPr>
          <w:bCs/>
          <w:sz w:val="22"/>
          <w:szCs w:val="22"/>
          <w:lang w:val="sr-Latn-ME"/>
        </w:rPr>
        <w:t>sorb</w:t>
      </w:r>
      <w:r w:rsidR="00153C20" w:rsidRPr="0056436C">
        <w:rPr>
          <w:bCs/>
          <w:sz w:val="22"/>
          <w:szCs w:val="22"/>
          <w:lang w:val="sr-Latn-ME"/>
        </w:rPr>
        <w:t>uje, uz</w:t>
      </w:r>
      <w:r w:rsidRPr="0056436C">
        <w:rPr>
          <w:bCs/>
          <w:sz w:val="22"/>
          <w:szCs w:val="22"/>
          <w:lang w:val="sr-Latn-ME"/>
        </w:rPr>
        <w:t xml:space="preserve"> posti</w:t>
      </w:r>
      <w:r w:rsidR="00153C20" w:rsidRPr="0056436C">
        <w:rPr>
          <w:bCs/>
          <w:sz w:val="22"/>
          <w:szCs w:val="22"/>
          <w:lang w:val="sr-Latn-ME"/>
        </w:rPr>
        <w:t>zanje</w:t>
      </w:r>
      <w:r w:rsidRPr="0056436C">
        <w:rPr>
          <w:bCs/>
          <w:sz w:val="22"/>
          <w:szCs w:val="22"/>
          <w:lang w:val="sr-Latn-ME"/>
        </w:rPr>
        <w:t xml:space="preserve"> maksimaln</w:t>
      </w:r>
      <w:r w:rsidR="00153C20" w:rsidRPr="0056436C">
        <w:rPr>
          <w:bCs/>
          <w:sz w:val="22"/>
          <w:szCs w:val="22"/>
          <w:lang w:val="sr-Latn-ME"/>
        </w:rPr>
        <w:t>ih</w:t>
      </w:r>
      <w:r w:rsidRPr="0056436C">
        <w:rPr>
          <w:bCs/>
          <w:sz w:val="22"/>
          <w:szCs w:val="22"/>
          <w:lang w:val="sr-Latn-ME"/>
        </w:rPr>
        <w:t xml:space="preserve"> koncentracij</w:t>
      </w:r>
      <w:r w:rsidR="00153C20" w:rsidRPr="0056436C">
        <w:rPr>
          <w:bCs/>
          <w:sz w:val="22"/>
          <w:szCs w:val="22"/>
          <w:lang w:val="sr-Latn-ME"/>
        </w:rPr>
        <w:t>a</w:t>
      </w:r>
      <w:r w:rsidRPr="0056436C">
        <w:rPr>
          <w:bCs/>
          <w:sz w:val="22"/>
          <w:szCs w:val="22"/>
          <w:lang w:val="sr-Latn-ME"/>
        </w:rPr>
        <w:t xml:space="preserve"> u plazmi (srednje </w:t>
      </w:r>
      <w:r w:rsidR="00153C20" w:rsidRPr="0056436C">
        <w:rPr>
          <w:bCs/>
          <w:sz w:val="22"/>
          <w:szCs w:val="22"/>
          <w:lang w:val="sr-Latn-ME"/>
        </w:rPr>
        <w:t>t</w:t>
      </w:r>
      <w:r w:rsidRPr="0056436C">
        <w:rPr>
          <w:bCs/>
          <w:sz w:val="22"/>
          <w:szCs w:val="22"/>
          <w:vertAlign w:val="subscript"/>
          <w:lang w:val="sr-Latn-ME"/>
        </w:rPr>
        <w:t>max</w:t>
      </w:r>
      <w:r w:rsidRPr="0056436C">
        <w:rPr>
          <w:bCs/>
          <w:sz w:val="22"/>
          <w:szCs w:val="22"/>
          <w:lang w:val="sr-Latn-ME"/>
        </w:rPr>
        <w:t xml:space="preserve">) u vremenu od 1 do 4 sata nakon doziranja. Srednja vrijednost PIK sitagliptina iznosila je 8,52 </w:t>
      </w:r>
      <w:r w:rsidR="00153C20" w:rsidRPr="0056436C">
        <w:rPr>
          <w:bCs/>
          <w:sz w:val="22"/>
          <w:szCs w:val="22"/>
          <w:lang w:val="sr-Latn-ME"/>
        </w:rPr>
        <w:t>µ</w:t>
      </w:r>
      <w:r w:rsidRPr="0056436C">
        <w:rPr>
          <w:bCs/>
          <w:sz w:val="22"/>
          <w:szCs w:val="22"/>
          <w:lang w:val="sr-Latn-ME"/>
        </w:rPr>
        <w:t>M•h, a C</w:t>
      </w:r>
      <w:r w:rsidRPr="0056436C">
        <w:rPr>
          <w:bCs/>
          <w:sz w:val="22"/>
          <w:szCs w:val="22"/>
          <w:vertAlign w:val="subscript"/>
          <w:lang w:val="sr-Latn-ME"/>
        </w:rPr>
        <w:t>max</w:t>
      </w:r>
      <w:r w:rsidRPr="0056436C">
        <w:rPr>
          <w:bCs/>
          <w:sz w:val="22"/>
          <w:szCs w:val="22"/>
          <w:lang w:val="sr-Latn-ME"/>
        </w:rPr>
        <w:t xml:space="preserve"> 950 </w:t>
      </w:r>
      <w:r w:rsidR="000F382D" w:rsidRPr="0056436C">
        <w:rPr>
          <w:bCs/>
          <w:sz w:val="22"/>
          <w:szCs w:val="22"/>
          <w:lang w:val="sr-Latn-ME"/>
        </w:rPr>
        <w:t>n</w:t>
      </w:r>
      <w:r w:rsidRPr="0056436C">
        <w:rPr>
          <w:bCs/>
          <w:sz w:val="22"/>
          <w:szCs w:val="22"/>
          <w:lang w:val="sr-Latn-ME"/>
        </w:rPr>
        <w:t xml:space="preserve">M. Apsolutna bioraspoloživost sitagliptina iznosi oko 87%. Pošto istovremeno uzimanje obroka </w:t>
      </w:r>
      <w:r w:rsidR="000F382D" w:rsidRPr="0056436C">
        <w:rPr>
          <w:bCs/>
          <w:sz w:val="22"/>
          <w:szCs w:val="22"/>
          <w:lang w:val="sr-Latn-ME"/>
        </w:rPr>
        <w:t xml:space="preserve">sa visokim sadržajem masti </w:t>
      </w:r>
      <w:r w:rsidRPr="0056436C">
        <w:rPr>
          <w:bCs/>
          <w:sz w:val="22"/>
          <w:szCs w:val="22"/>
          <w:lang w:val="sr-Latn-ME"/>
        </w:rPr>
        <w:t xml:space="preserve">sa sitagliptinom nema uticaj na farmakokinetiku lijeka, lijek </w:t>
      </w:r>
      <w:r w:rsidR="003714E8" w:rsidRPr="0056436C">
        <w:rPr>
          <w:bCs/>
          <w:sz w:val="22"/>
          <w:szCs w:val="22"/>
          <w:lang w:val="sr-Latn-ME"/>
        </w:rPr>
        <w:t>Sitagliptin Teva</w:t>
      </w:r>
      <w:r w:rsidRPr="0056436C">
        <w:rPr>
          <w:bCs/>
          <w:sz w:val="22"/>
          <w:szCs w:val="22"/>
          <w:lang w:val="sr-Latn-ME"/>
        </w:rPr>
        <w:t xml:space="preserve"> može da se uzima sa hranom ili bez nje.</w:t>
      </w:r>
    </w:p>
    <w:p w:rsidR="00401EDF" w:rsidRPr="0056436C" w:rsidRDefault="00401EDF" w:rsidP="0056436C">
      <w:pPr>
        <w:tabs>
          <w:tab w:val="left" w:pos="540"/>
          <w:tab w:val="left" w:pos="569"/>
        </w:tabs>
        <w:jc w:val="both"/>
        <w:rPr>
          <w:bCs/>
          <w:sz w:val="22"/>
          <w:szCs w:val="22"/>
          <w:lang w:val="sr-Latn-ME"/>
        </w:rPr>
      </w:pPr>
    </w:p>
    <w:p w:rsidR="00401EDF" w:rsidRPr="0056436C" w:rsidRDefault="000F382D" w:rsidP="0056436C">
      <w:pPr>
        <w:tabs>
          <w:tab w:val="left" w:pos="540"/>
          <w:tab w:val="left" w:pos="569"/>
        </w:tabs>
        <w:jc w:val="both"/>
        <w:rPr>
          <w:bCs/>
          <w:sz w:val="22"/>
          <w:szCs w:val="22"/>
          <w:lang w:val="sr-Latn-ME"/>
        </w:rPr>
      </w:pPr>
      <w:r w:rsidRPr="0056436C">
        <w:rPr>
          <w:bCs/>
          <w:sz w:val="22"/>
          <w:szCs w:val="22"/>
          <w:lang w:val="sr-Latn-ME"/>
        </w:rPr>
        <w:lastRenderedPageBreak/>
        <w:t xml:space="preserve">PIK </w:t>
      </w:r>
      <w:r w:rsidR="00401EDF" w:rsidRPr="0056436C">
        <w:rPr>
          <w:bCs/>
          <w:sz w:val="22"/>
          <w:szCs w:val="22"/>
          <w:lang w:val="sr-Latn-ME"/>
        </w:rPr>
        <w:t>sitagliptina u plazmi poveća</w:t>
      </w:r>
      <w:r w:rsidRPr="0056436C">
        <w:rPr>
          <w:bCs/>
          <w:sz w:val="22"/>
          <w:szCs w:val="22"/>
          <w:lang w:val="sr-Latn-ME"/>
        </w:rPr>
        <w:t>v</w:t>
      </w:r>
      <w:r w:rsidR="00401EDF" w:rsidRPr="0056436C">
        <w:rPr>
          <w:bCs/>
          <w:sz w:val="22"/>
          <w:szCs w:val="22"/>
          <w:lang w:val="sr-Latn-ME"/>
        </w:rPr>
        <w:t>a se na dozno-zavisan način. Dozno</w:t>
      </w:r>
      <w:r w:rsidRPr="0056436C">
        <w:rPr>
          <w:bCs/>
          <w:sz w:val="22"/>
          <w:szCs w:val="22"/>
          <w:lang w:val="sr-Latn-ME"/>
        </w:rPr>
        <w:t>-</w:t>
      </w:r>
      <w:r w:rsidR="00401EDF" w:rsidRPr="0056436C">
        <w:rPr>
          <w:bCs/>
          <w:sz w:val="22"/>
          <w:szCs w:val="22"/>
          <w:lang w:val="sr-Latn-ME"/>
        </w:rPr>
        <w:t>zavisno povećanje nije utvrđeno za vrijednosti C</w:t>
      </w:r>
      <w:r w:rsidR="00401EDF" w:rsidRPr="0056436C">
        <w:rPr>
          <w:bCs/>
          <w:sz w:val="22"/>
          <w:szCs w:val="22"/>
          <w:vertAlign w:val="subscript"/>
          <w:lang w:val="sr-Latn-ME"/>
        </w:rPr>
        <w:t>max</w:t>
      </w:r>
      <w:r w:rsidR="00401EDF" w:rsidRPr="0056436C">
        <w:rPr>
          <w:bCs/>
          <w:sz w:val="22"/>
          <w:szCs w:val="22"/>
          <w:lang w:val="sr-Latn-ME"/>
        </w:rPr>
        <w:t xml:space="preserve"> i C</w:t>
      </w:r>
      <w:r w:rsidR="00401EDF" w:rsidRPr="0056436C">
        <w:rPr>
          <w:bCs/>
          <w:sz w:val="22"/>
          <w:szCs w:val="22"/>
          <w:vertAlign w:val="subscript"/>
          <w:lang w:val="sr-Latn-ME"/>
        </w:rPr>
        <w:t>24h</w:t>
      </w:r>
      <w:r w:rsidR="00401EDF" w:rsidRPr="0056436C">
        <w:rPr>
          <w:bCs/>
          <w:sz w:val="22"/>
          <w:szCs w:val="22"/>
          <w:lang w:val="sr-Latn-ME"/>
        </w:rPr>
        <w:t xml:space="preserve"> (povećanje C</w:t>
      </w:r>
      <w:r w:rsidR="00401EDF" w:rsidRPr="0056436C">
        <w:rPr>
          <w:bCs/>
          <w:sz w:val="22"/>
          <w:szCs w:val="22"/>
          <w:vertAlign w:val="subscript"/>
          <w:lang w:val="sr-Latn-ME"/>
        </w:rPr>
        <w:t>max</w:t>
      </w:r>
      <w:r w:rsidR="00401EDF" w:rsidRPr="0056436C">
        <w:rPr>
          <w:bCs/>
          <w:sz w:val="22"/>
          <w:szCs w:val="22"/>
          <w:lang w:val="sr-Latn-ME"/>
        </w:rPr>
        <w:t xml:space="preserve"> bilo je veće od dozno</w:t>
      </w:r>
      <w:r w:rsidRPr="0056436C">
        <w:rPr>
          <w:bCs/>
          <w:sz w:val="22"/>
          <w:szCs w:val="22"/>
          <w:lang w:val="sr-Latn-ME"/>
        </w:rPr>
        <w:t>-</w:t>
      </w:r>
      <w:r w:rsidR="00401EDF" w:rsidRPr="0056436C">
        <w:rPr>
          <w:bCs/>
          <w:sz w:val="22"/>
          <w:szCs w:val="22"/>
          <w:lang w:val="sr-Latn-ME"/>
        </w:rPr>
        <w:t>zavisnog, a C</w:t>
      </w:r>
      <w:r w:rsidR="00401EDF" w:rsidRPr="0056436C">
        <w:rPr>
          <w:bCs/>
          <w:sz w:val="22"/>
          <w:szCs w:val="22"/>
          <w:vertAlign w:val="subscript"/>
          <w:lang w:val="sr-Latn-ME"/>
        </w:rPr>
        <w:t>24h</w:t>
      </w:r>
      <w:r w:rsidR="00401EDF" w:rsidRPr="0056436C">
        <w:rPr>
          <w:bCs/>
          <w:sz w:val="22"/>
          <w:szCs w:val="22"/>
          <w:lang w:val="sr-Latn-ME"/>
        </w:rPr>
        <w:t xml:space="preserve"> manje od </w:t>
      </w:r>
      <w:r w:rsidRPr="0056436C">
        <w:rPr>
          <w:bCs/>
          <w:sz w:val="22"/>
          <w:szCs w:val="22"/>
          <w:lang w:val="sr-Latn-ME"/>
        </w:rPr>
        <w:t xml:space="preserve">povećanja proporcionalnog </w:t>
      </w:r>
      <w:r w:rsidR="00401EDF" w:rsidRPr="0056436C">
        <w:rPr>
          <w:bCs/>
          <w:sz w:val="22"/>
          <w:szCs w:val="22"/>
          <w:lang w:val="sr-Latn-ME"/>
        </w:rPr>
        <w:t>doz</w:t>
      </w:r>
      <w:r w:rsidRPr="0056436C">
        <w:rPr>
          <w:bCs/>
          <w:sz w:val="22"/>
          <w:szCs w:val="22"/>
          <w:lang w:val="sr-Latn-ME"/>
        </w:rPr>
        <w:t>i</w:t>
      </w:r>
      <w:r w:rsidR="00401EDF" w:rsidRPr="0056436C">
        <w:rPr>
          <w:bCs/>
          <w:sz w:val="22"/>
          <w:szCs w:val="22"/>
          <w:lang w:val="sr-Latn-ME"/>
        </w:rPr>
        <w:t>).</w:t>
      </w:r>
    </w:p>
    <w:p w:rsidR="00401EDF" w:rsidRPr="0056436C" w:rsidRDefault="00401EDF" w:rsidP="0056436C">
      <w:pPr>
        <w:tabs>
          <w:tab w:val="left" w:pos="540"/>
          <w:tab w:val="left" w:pos="569"/>
        </w:tabs>
        <w:jc w:val="both"/>
        <w:rPr>
          <w:bCs/>
          <w:sz w:val="22"/>
          <w:szCs w:val="22"/>
          <w:lang w:val="sr-Latn-ME"/>
        </w:rPr>
      </w:pPr>
    </w:p>
    <w:p w:rsidR="00401EDF" w:rsidRPr="0056436C" w:rsidRDefault="00401EDF" w:rsidP="0056436C">
      <w:pPr>
        <w:tabs>
          <w:tab w:val="left" w:pos="540"/>
          <w:tab w:val="left" w:pos="569"/>
        </w:tabs>
        <w:jc w:val="both"/>
        <w:rPr>
          <w:bCs/>
          <w:sz w:val="22"/>
          <w:szCs w:val="22"/>
          <w:lang w:val="sr-Latn-ME"/>
        </w:rPr>
      </w:pPr>
      <w:r w:rsidRPr="0056436C">
        <w:rPr>
          <w:bCs/>
          <w:sz w:val="22"/>
          <w:szCs w:val="22"/>
          <w:u w:val="single"/>
          <w:lang w:val="sr-Latn-ME"/>
        </w:rPr>
        <w:t>Distribucija</w:t>
      </w:r>
    </w:p>
    <w:p w:rsidR="00401EDF" w:rsidRPr="0056436C" w:rsidRDefault="00401EDF" w:rsidP="0056436C">
      <w:pPr>
        <w:tabs>
          <w:tab w:val="left" w:pos="540"/>
          <w:tab w:val="left" w:pos="569"/>
        </w:tabs>
        <w:jc w:val="both"/>
        <w:rPr>
          <w:bCs/>
          <w:sz w:val="22"/>
          <w:szCs w:val="22"/>
          <w:lang w:val="sr-Latn-ME"/>
        </w:rPr>
      </w:pPr>
      <w:r w:rsidRPr="0056436C">
        <w:rPr>
          <w:bCs/>
          <w:sz w:val="22"/>
          <w:szCs w:val="22"/>
          <w:lang w:val="sr-Latn-ME"/>
        </w:rPr>
        <w:t>Srednja vrijednost volumena distribucije u stanju dinamičke ravnoteže nakon intravenske primjene pojedinačne doze od 100 mg sitagliptina zdravim dobrovoljcima iznosi oko 198 litara. Frakcija sitagliptina koja se reverzibilno vezuje za proteine u plazmi je mala (38%).</w:t>
      </w:r>
    </w:p>
    <w:p w:rsidR="00401EDF" w:rsidRPr="0056436C" w:rsidRDefault="00401EDF" w:rsidP="0056436C">
      <w:pPr>
        <w:tabs>
          <w:tab w:val="left" w:pos="540"/>
          <w:tab w:val="left" w:pos="569"/>
        </w:tabs>
        <w:jc w:val="both"/>
        <w:rPr>
          <w:bCs/>
          <w:sz w:val="22"/>
          <w:szCs w:val="22"/>
          <w:lang w:val="sr-Latn-ME"/>
        </w:rPr>
      </w:pPr>
    </w:p>
    <w:p w:rsidR="00401EDF" w:rsidRPr="0056436C" w:rsidRDefault="00401EDF" w:rsidP="0056436C">
      <w:pPr>
        <w:tabs>
          <w:tab w:val="left" w:pos="540"/>
          <w:tab w:val="left" w:pos="569"/>
        </w:tabs>
        <w:jc w:val="both"/>
        <w:rPr>
          <w:bCs/>
          <w:sz w:val="22"/>
          <w:szCs w:val="22"/>
          <w:lang w:val="sr-Latn-ME"/>
        </w:rPr>
      </w:pPr>
      <w:r w:rsidRPr="0056436C">
        <w:rPr>
          <w:bCs/>
          <w:sz w:val="22"/>
          <w:szCs w:val="22"/>
          <w:u w:val="single"/>
          <w:lang w:val="sr-Latn-ME"/>
        </w:rPr>
        <w:t>Metabolizam</w:t>
      </w:r>
    </w:p>
    <w:p w:rsidR="00401EDF" w:rsidRPr="0056436C" w:rsidRDefault="00401EDF" w:rsidP="0056436C">
      <w:pPr>
        <w:tabs>
          <w:tab w:val="left" w:pos="540"/>
          <w:tab w:val="left" w:pos="569"/>
        </w:tabs>
        <w:jc w:val="both"/>
        <w:rPr>
          <w:bCs/>
          <w:sz w:val="22"/>
          <w:szCs w:val="22"/>
          <w:lang w:val="sr-Latn-ME"/>
        </w:rPr>
      </w:pPr>
      <w:r w:rsidRPr="0056436C">
        <w:rPr>
          <w:bCs/>
          <w:sz w:val="22"/>
          <w:szCs w:val="22"/>
          <w:lang w:val="sr-Latn-ME"/>
        </w:rPr>
        <w:t xml:space="preserve">Sitagliptin se primarno eliminiše u nepromijenjenom obliku </w:t>
      </w:r>
      <w:r w:rsidR="000F382D" w:rsidRPr="0056436C">
        <w:rPr>
          <w:bCs/>
          <w:sz w:val="22"/>
          <w:szCs w:val="22"/>
          <w:lang w:val="sr-Latn-ME"/>
        </w:rPr>
        <w:t>putem</w:t>
      </w:r>
      <w:r w:rsidRPr="0056436C">
        <w:rPr>
          <w:bCs/>
          <w:sz w:val="22"/>
          <w:szCs w:val="22"/>
          <w:lang w:val="sr-Latn-ME"/>
        </w:rPr>
        <w:t xml:space="preserve"> urin</w:t>
      </w:r>
      <w:r w:rsidR="000F382D" w:rsidRPr="0056436C">
        <w:rPr>
          <w:bCs/>
          <w:sz w:val="22"/>
          <w:szCs w:val="22"/>
          <w:lang w:val="sr-Latn-ME"/>
        </w:rPr>
        <w:t>a</w:t>
      </w:r>
      <w:r w:rsidRPr="0056436C">
        <w:rPr>
          <w:bCs/>
          <w:sz w:val="22"/>
          <w:szCs w:val="22"/>
          <w:lang w:val="sr-Latn-ME"/>
        </w:rPr>
        <w:t xml:space="preserve">, a manji dio se metaboliše. Oko 79% unijete doze sitagliptina se izluči u nepromijenjenom obliku </w:t>
      </w:r>
      <w:r w:rsidR="000F382D" w:rsidRPr="0056436C">
        <w:rPr>
          <w:bCs/>
          <w:sz w:val="22"/>
          <w:szCs w:val="22"/>
          <w:lang w:val="sr-Latn-ME"/>
        </w:rPr>
        <w:t>putem</w:t>
      </w:r>
      <w:r w:rsidRPr="0056436C">
        <w:rPr>
          <w:bCs/>
          <w:sz w:val="22"/>
          <w:szCs w:val="22"/>
          <w:lang w:val="sr-Latn-ME"/>
        </w:rPr>
        <w:t xml:space="preserve"> urin</w:t>
      </w:r>
      <w:r w:rsidR="000F382D" w:rsidRPr="0056436C">
        <w:rPr>
          <w:bCs/>
          <w:sz w:val="22"/>
          <w:szCs w:val="22"/>
          <w:lang w:val="sr-Latn-ME"/>
        </w:rPr>
        <w:t>a</w:t>
      </w:r>
      <w:r w:rsidRPr="0056436C">
        <w:rPr>
          <w:bCs/>
          <w:sz w:val="22"/>
          <w:szCs w:val="22"/>
          <w:lang w:val="sr-Latn-ME"/>
        </w:rPr>
        <w:t>.</w:t>
      </w:r>
    </w:p>
    <w:p w:rsidR="00401EDF" w:rsidRPr="0056436C" w:rsidRDefault="00401EDF" w:rsidP="0056436C">
      <w:pPr>
        <w:tabs>
          <w:tab w:val="left" w:pos="540"/>
          <w:tab w:val="left" w:pos="569"/>
        </w:tabs>
        <w:jc w:val="both"/>
        <w:rPr>
          <w:bCs/>
          <w:sz w:val="22"/>
          <w:szCs w:val="22"/>
          <w:lang w:val="sr-Latn-ME"/>
        </w:rPr>
      </w:pPr>
    </w:p>
    <w:p w:rsidR="00401EDF" w:rsidRPr="0056436C" w:rsidRDefault="00401EDF" w:rsidP="0056436C">
      <w:pPr>
        <w:tabs>
          <w:tab w:val="left" w:pos="540"/>
          <w:tab w:val="left" w:pos="569"/>
        </w:tabs>
        <w:jc w:val="both"/>
        <w:rPr>
          <w:bCs/>
          <w:sz w:val="22"/>
          <w:szCs w:val="22"/>
          <w:lang w:val="sr-Latn-ME"/>
        </w:rPr>
      </w:pPr>
      <w:r w:rsidRPr="0056436C">
        <w:rPr>
          <w:bCs/>
          <w:sz w:val="22"/>
          <w:szCs w:val="22"/>
          <w:lang w:val="sr-Latn-ME"/>
        </w:rPr>
        <w:t>Nakon oralne primjene radioaktivno ob</w:t>
      </w:r>
      <w:r w:rsidR="000F382D" w:rsidRPr="0056436C">
        <w:rPr>
          <w:bCs/>
          <w:sz w:val="22"/>
          <w:szCs w:val="22"/>
          <w:lang w:val="sr-Latn-ME"/>
        </w:rPr>
        <w:t>i</w:t>
      </w:r>
      <w:r w:rsidRPr="0056436C">
        <w:rPr>
          <w:bCs/>
          <w:sz w:val="22"/>
          <w:szCs w:val="22"/>
          <w:lang w:val="sr-Latn-ME"/>
        </w:rPr>
        <w:t>l</w:t>
      </w:r>
      <w:r w:rsidR="000F382D" w:rsidRPr="0056436C">
        <w:rPr>
          <w:bCs/>
          <w:sz w:val="22"/>
          <w:szCs w:val="22"/>
          <w:lang w:val="sr-Latn-ME"/>
        </w:rPr>
        <w:t>j</w:t>
      </w:r>
      <w:r w:rsidRPr="0056436C">
        <w:rPr>
          <w:bCs/>
          <w:sz w:val="22"/>
          <w:szCs w:val="22"/>
          <w:lang w:val="sr-Latn-ME"/>
        </w:rPr>
        <w:t>eženog [</w:t>
      </w:r>
      <w:r w:rsidRPr="0056436C">
        <w:rPr>
          <w:bCs/>
          <w:sz w:val="22"/>
          <w:szCs w:val="22"/>
          <w:vertAlign w:val="superscript"/>
          <w:lang w:val="sr-Latn-ME"/>
        </w:rPr>
        <w:t>14</w:t>
      </w:r>
      <w:r w:rsidRPr="0056436C">
        <w:rPr>
          <w:bCs/>
          <w:sz w:val="22"/>
          <w:szCs w:val="22"/>
          <w:lang w:val="sr-Latn-ME"/>
        </w:rPr>
        <w:t xml:space="preserve">C] sitagliptina, oko 16% radioaktivnosti se izluči u obliku metabolita sitagliptina. Utvrđeno je postojanje šest metabolita u tragovima i ne očekuje se da bi oni mogli da daju doprinos inhibitornom efektu sitagliptina na DPP-4 u plazmi. </w:t>
      </w:r>
      <w:r w:rsidRPr="0056436C">
        <w:rPr>
          <w:bCs/>
          <w:i/>
          <w:sz w:val="22"/>
          <w:szCs w:val="22"/>
          <w:lang w:val="sr-Latn-ME"/>
        </w:rPr>
        <w:t xml:space="preserve">In vitro </w:t>
      </w:r>
      <w:r w:rsidRPr="0056436C">
        <w:rPr>
          <w:bCs/>
          <w:sz w:val="22"/>
          <w:szCs w:val="22"/>
          <w:lang w:val="sr-Latn-ME"/>
        </w:rPr>
        <w:t>studije pokazuju da je CYP3A4 enzim u najvećoj mjeri odgovoran za ograničeni metabolizam sitagliptina, uz doprinos CYP2C8.</w:t>
      </w:r>
    </w:p>
    <w:p w:rsidR="00401EDF" w:rsidRPr="0056436C" w:rsidRDefault="00401EDF" w:rsidP="0056436C">
      <w:pPr>
        <w:tabs>
          <w:tab w:val="left" w:pos="540"/>
          <w:tab w:val="left" w:pos="569"/>
        </w:tabs>
        <w:jc w:val="both"/>
        <w:rPr>
          <w:bCs/>
          <w:sz w:val="22"/>
          <w:szCs w:val="22"/>
          <w:lang w:val="sr-Latn-ME"/>
        </w:rPr>
      </w:pPr>
    </w:p>
    <w:p w:rsidR="00401EDF" w:rsidRPr="0056436C" w:rsidRDefault="00401EDF" w:rsidP="0056436C">
      <w:pPr>
        <w:tabs>
          <w:tab w:val="left" w:pos="540"/>
          <w:tab w:val="left" w:pos="569"/>
        </w:tabs>
        <w:jc w:val="both"/>
        <w:rPr>
          <w:bCs/>
          <w:sz w:val="22"/>
          <w:szCs w:val="22"/>
          <w:lang w:val="sr-Latn-ME"/>
        </w:rPr>
      </w:pPr>
      <w:r w:rsidRPr="0056436C">
        <w:rPr>
          <w:bCs/>
          <w:i/>
          <w:sz w:val="22"/>
          <w:szCs w:val="22"/>
          <w:lang w:val="sr-Latn-ME"/>
        </w:rPr>
        <w:t xml:space="preserve">In vitro </w:t>
      </w:r>
      <w:r w:rsidRPr="0056436C">
        <w:rPr>
          <w:bCs/>
          <w:sz w:val="22"/>
          <w:szCs w:val="22"/>
          <w:lang w:val="sr-Latn-ME"/>
        </w:rPr>
        <w:t>podaci pokazuju da sitagliptin nije inhibitor CYP izoenzima CYP3A4, 2C8, 2C9, 2D6, 1A2, 2C19 ili 2B6, a nije ni induktor CYP3A4 i CYP1A2.</w:t>
      </w:r>
    </w:p>
    <w:p w:rsidR="00401EDF" w:rsidRPr="0056436C" w:rsidRDefault="00401EDF" w:rsidP="0056436C">
      <w:pPr>
        <w:tabs>
          <w:tab w:val="left" w:pos="540"/>
          <w:tab w:val="left" w:pos="569"/>
        </w:tabs>
        <w:jc w:val="both"/>
        <w:rPr>
          <w:bCs/>
          <w:sz w:val="22"/>
          <w:szCs w:val="22"/>
          <w:lang w:val="sr-Latn-ME"/>
        </w:rPr>
      </w:pPr>
    </w:p>
    <w:p w:rsidR="00401EDF" w:rsidRPr="0056436C" w:rsidRDefault="00401EDF" w:rsidP="0056436C">
      <w:pPr>
        <w:tabs>
          <w:tab w:val="left" w:pos="540"/>
          <w:tab w:val="left" w:pos="569"/>
        </w:tabs>
        <w:jc w:val="both"/>
        <w:rPr>
          <w:bCs/>
          <w:sz w:val="22"/>
          <w:szCs w:val="22"/>
          <w:lang w:val="sr-Latn-ME"/>
        </w:rPr>
      </w:pPr>
      <w:r w:rsidRPr="0056436C">
        <w:rPr>
          <w:bCs/>
          <w:sz w:val="22"/>
          <w:szCs w:val="22"/>
          <w:u w:val="single"/>
          <w:lang w:val="sr-Latn-ME"/>
        </w:rPr>
        <w:t>Eliminacija</w:t>
      </w:r>
    </w:p>
    <w:p w:rsidR="00401EDF" w:rsidRPr="0056436C" w:rsidRDefault="00401EDF" w:rsidP="0056436C">
      <w:pPr>
        <w:tabs>
          <w:tab w:val="left" w:pos="540"/>
          <w:tab w:val="left" w:pos="569"/>
        </w:tabs>
        <w:jc w:val="both"/>
        <w:rPr>
          <w:bCs/>
          <w:sz w:val="22"/>
          <w:szCs w:val="22"/>
          <w:lang w:val="sr-Latn-ME"/>
        </w:rPr>
      </w:pPr>
      <w:r w:rsidRPr="0056436C">
        <w:rPr>
          <w:bCs/>
          <w:sz w:val="22"/>
          <w:szCs w:val="22"/>
          <w:lang w:val="sr-Latn-ME"/>
        </w:rPr>
        <w:t>Nakon oralne primjene radioaktivno obilježenog [</w:t>
      </w:r>
      <w:r w:rsidRPr="0056436C">
        <w:rPr>
          <w:bCs/>
          <w:sz w:val="22"/>
          <w:szCs w:val="22"/>
          <w:vertAlign w:val="superscript"/>
          <w:lang w:val="sr-Latn-ME"/>
        </w:rPr>
        <w:t>14</w:t>
      </w:r>
      <w:r w:rsidRPr="0056436C">
        <w:rPr>
          <w:bCs/>
          <w:sz w:val="22"/>
          <w:szCs w:val="22"/>
          <w:lang w:val="sr-Latn-ME"/>
        </w:rPr>
        <w:t xml:space="preserve">C] sitagliptina kod zdravih dobrovoljaca, oko 100% unijete radioaktivnosti se izluči </w:t>
      </w:r>
      <w:r w:rsidR="005A3FF7" w:rsidRPr="0056436C">
        <w:rPr>
          <w:bCs/>
          <w:sz w:val="22"/>
          <w:szCs w:val="22"/>
          <w:lang w:val="sr-Latn-ME"/>
        </w:rPr>
        <w:t>putem</w:t>
      </w:r>
      <w:r w:rsidRPr="0056436C">
        <w:rPr>
          <w:bCs/>
          <w:sz w:val="22"/>
          <w:szCs w:val="22"/>
          <w:lang w:val="sr-Latn-ME"/>
        </w:rPr>
        <w:t xml:space="preserve"> feces</w:t>
      </w:r>
      <w:r w:rsidR="005A3FF7" w:rsidRPr="0056436C">
        <w:rPr>
          <w:bCs/>
          <w:sz w:val="22"/>
          <w:szCs w:val="22"/>
          <w:lang w:val="sr-Latn-ME"/>
        </w:rPr>
        <w:t>a</w:t>
      </w:r>
      <w:r w:rsidRPr="0056436C">
        <w:rPr>
          <w:bCs/>
          <w:sz w:val="22"/>
          <w:szCs w:val="22"/>
          <w:lang w:val="sr-Latn-ME"/>
        </w:rPr>
        <w:t xml:space="preserve"> (13%) i urin</w:t>
      </w:r>
      <w:r w:rsidR="005A3FF7" w:rsidRPr="0056436C">
        <w:rPr>
          <w:bCs/>
          <w:sz w:val="22"/>
          <w:szCs w:val="22"/>
          <w:lang w:val="sr-Latn-ME"/>
        </w:rPr>
        <w:t>a</w:t>
      </w:r>
      <w:r w:rsidRPr="0056436C">
        <w:rPr>
          <w:bCs/>
          <w:sz w:val="22"/>
          <w:szCs w:val="22"/>
          <w:lang w:val="sr-Latn-ME"/>
        </w:rPr>
        <w:t xml:space="preserve"> (87%) u vremenu od nedjelju dana nakon doziranja. Prividno terminalno poluvrijeme eliminacije (t</w:t>
      </w:r>
      <w:r w:rsidRPr="0056436C">
        <w:rPr>
          <w:bCs/>
          <w:sz w:val="22"/>
          <w:szCs w:val="22"/>
          <w:vertAlign w:val="subscript"/>
          <w:lang w:val="sr-Latn-ME"/>
        </w:rPr>
        <w:t>1/2</w:t>
      </w:r>
      <w:r w:rsidRPr="0056436C">
        <w:rPr>
          <w:bCs/>
          <w:sz w:val="22"/>
          <w:szCs w:val="22"/>
          <w:lang w:val="sr-Latn-ME"/>
        </w:rPr>
        <w:t>) nakon primjene oralne doze sitagliptina od 100 mg bilo je oko 12,4 sat</w:t>
      </w:r>
      <w:r w:rsidR="005A3FF7" w:rsidRPr="0056436C">
        <w:rPr>
          <w:bCs/>
          <w:sz w:val="22"/>
          <w:szCs w:val="22"/>
          <w:lang w:val="sr-Latn-ME"/>
        </w:rPr>
        <w:t>a</w:t>
      </w:r>
      <w:r w:rsidRPr="0056436C">
        <w:rPr>
          <w:bCs/>
          <w:sz w:val="22"/>
          <w:szCs w:val="22"/>
          <w:lang w:val="sr-Latn-ME"/>
        </w:rPr>
        <w:t xml:space="preserve">. Kada se daje u višestrukim dozama, dolazi samo do minimalne akumulacije sitagliptina. Bubrežni klirens iznosio je oko 350 </w:t>
      </w:r>
      <w:r w:rsidR="00F725BA" w:rsidRPr="0056436C">
        <w:rPr>
          <w:bCs/>
          <w:sz w:val="22"/>
          <w:szCs w:val="22"/>
          <w:lang w:val="sr-Latn-ME"/>
        </w:rPr>
        <w:t>ml</w:t>
      </w:r>
      <w:r w:rsidRPr="0056436C">
        <w:rPr>
          <w:bCs/>
          <w:sz w:val="22"/>
          <w:szCs w:val="22"/>
          <w:lang w:val="sr-Latn-ME"/>
        </w:rPr>
        <w:t>/min.</w:t>
      </w:r>
    </w:p>
    <w:p w:rsidR="00401EDF" w:rsidRPr="0056436C" w:rsidRDefault="00401EDF" w:rsidP="0056436C">
      <w:pPr>
        <w:tabs>
          <w:tab w:val="left" w:pos="540"/>
          <w:tab w:val="left" w:pos="569"/>
        </w:tabs>
        <w:jc w:val="both"/>
        <w:rPr>
          <w:bCs/>
          <w:sz w:val="22"/>
          <w:szCs w:val="22"/>
          <w:lang w:val="sr-Latn-ME"/>
        </w:rPr>
      </w:pPr>
    </w:p>
    <w:p w:rsidR="00401EDF" w:rsidRPr="0056436C" w:rsidRDefault="00401EDF" w:rsidP="0056436C">
      <w:pPr>
        <w:tabs>
          <w:tab w:val="left" w:pos="540"/>
          <w:tab w:val="left" w:pos="569"/>
        </w:tabs>
        <w:jc w:val="both"/>
        <w:rPr>
          <w:bCs/>
          <w:sz w:val="22"/>
          <w:szCs w:val="22"/>
          <w:lang w:val="sr-Latn-ME"/>
        </w:rPr>
      </w:pPr>
      <w:r w:rsidRPr="0056436C">
        <w:rPr>
          <w:bCs/>
          <w:sz w:val="22"/>
          <w:szCs w:val="22"/>
          <w:lang w:val="sr-Latn-ME"/>
        </w:rPr>
        <w:t>Eliminacija sitagliptina se primarno odvija putem bubrežne ekskrecije i uključuje aktivnu tubularnu sekreciju. Sitagliptin je supstrat humanog transportera organskih anjona-3 (hOAT-3)</w:t>
      </w:r>
      <w:r w:rsidR="005A3FF7" w:rsidRPr="0056436C">
        <w:rPr>
          <w:bCs/>
          <w:sz w:val="22"/>
          <w:szCs w:val="22"/>
          <w:lang w:val="sr-Latn-ME"/>
        </w:rPr>
        <w:t>,</w:t>
      </w:r>
      <w:r w:rsidRPr="0056436C">
        <w:rPr>
          <w:bCs/>
          <w:sz w:val="22"/>
          <w:szCs w:val="22"/>
          <w:lang w:val="sr-Latn-ME"/>
        </w:rPr>
        <w:t xml:space="preserve"> koji </w:t>
      </w:r>
      <w:r w:rsidR="005A3FF7" w:rsidRPr="0056436C">
        <w:rPr>
          <w:bCs/>
          <w:sz w:val="22"/>
          <w:szCs w:val="22"/>
          <w:lang w:val="sr-Latn-ME"/>
        </w:rPr>
        <w:t>bi mogao biti</w:t>
      </w:r>
      <w:r w:rsidRPr="0056436C">
        <w:rPr>
          <w:bCs/>
          <w:sz w:val="22"/>
          <w:szCs w:val="22"/>
          <w:lang w:val="sr-Latn-ME"/>
        </w:rPr>
        <w:t xml:space="preserve"> uključen u bubrežnu eliminaciju sitagliptina. Klinički značaj hOAT-3 za transport sitagliptina nije utvrđen. Sitagliptin je takođe supstrat p-glikoproteina</w:t>
      </w:r>
      <w:r w:rsidR="005A3FF7" w:rsidRPr="0056436C">
        <w:rPr>
          <w:bCs/>
          <w:sz w:val="22"/>
          <w:szCs w:val="22"/>
          <w:lang w:val="sr-Latn-ME"/>
        </w:rPr>
        <w:t>,</w:t>
      </w:r>
      <w:r w:rsidRPr="0056436C">
        <w:rPr>
          <w:bCs/>
          <w:sz w:val="22"/>
          <w:szCs w:val="22"/>
          <w:lang w:val="sr-Latn-ME"/>
        </w:rPr>
        <w:t xml:space="preserve"> koji </w:t>
      </w:r>
      <w:r w:rsidR="005A3FF7" w:rsidRPr="0056436C">
        <w:rPr>
          <w:bCs/>
          <w:sz w:val="22"/>
          <w:szCs w:val="22"/>
          <w:lang w:val="sr-Latn-ME"/>
        </w:rPr>
        <w:t xml:space="preserve">bi </w:t>
      </w:r>
      <w:r w:rsidRPr="0056436C">
        <w:rPr>
          <w:bCs/>
          <w:sz w:val="22"/>
          <w:szCs w:val="22"/>
          <w:lang w:val="sr-Latn-ME"/>
        </w:rPr>
        <w:t xml:space="preserve">takođe </w:t>
      </w:r>
      <w:r w:rsidR="005A3FF7" w:rsidRPr="0056436C">
        <w:rPr>
          <w:bCs/>
          <w:sz w:val="22"/>
          <w:szCs w:val="22"/>
          <w:lang w:val="sr-Latn-ME"/>
        </w:rPr>
        <w:t>mogao biti</w:t>
      </w:r>
      <w:r w:rsidRPr="0056436C">
        <w:rPr>
          <w:bCs/>
          <w:sz w:val="22"/>
          <w:szCs w:val="22"/>
          <w:lang w:val="sr-Latn-ME"/>
        </w:rPr>
        <w:t xml:space="preserve"> uključen u posredovanje bubrežne eliminacije sitagliptina. Međutim, ciklosporin, inhibitor p-glikoproteina, nije smanjio bubrežni klirens sitagliptina. Sitagliptin nije supstrat transportera OCT2, OAT1 ili PEPT1/2. Sitagliptin nije </w:t>
      </w:r>
      <w:r w:rsidRPr="0056436C">
        <w:rPr>
          <w:bCs/>
          <w:i/>
          <w:sz w:val="22"/>
          <w:szCs w:val="22"/>
          <w:lang w:val="sr-Latn-ME"/>
        </w:rPr>
        <w:t xml:space="preserve">in vitro </w:t>
      </w:r>
      <w:r w:rsidRPr="0056436C">
        <w:rPr>
          <w:bCs/>
          <w:sz w:val="22"/>
          <w:szCs w:val="22"/>
          <w:lang w:val="sr-Latn-ME"/>
        </w:rPr>
        <w:t xml:space="preserve">inhibisao OAT3 (IC50=160 </w:t>
      </w:r>
      <w:r w:rsidR="005A3FF7" w:rsidRPr="0056436C">
        <w:rPr>
          <w:bCs/>
          <w:sz w:val="22"/>
          <w:szCs w:val="22"/>
          <w:lang w:val="sr-Latn-ME"/>
        </w:rPr>
        <w:t>µ</w:t>
      </w:r>
      <w:r w:rsidRPr="0056436C">
        <w:rPr>
          <w:bCs/>
          <w:sz w:val="22"/>
          <w:szCs w:val="22"/>
          <w:lang w:val="sr-Latn-ME"/>
        </w:rPr>
        <w:t xml:space="preserve">M) </w:t>
      </w:r>
      <w:r w:rsidR="005A3FF7" w:rsidRPr="0056436C">
        <w:rPr>
          <w:bCs/>
          <w:sz w:val="22"/>
          <w:szCs w:val="22"/>
          <w:lang w:val="sr-Latn-ME"/>
        </w:rPr>
        <w:t>niti</w:t>
      </w:r>
      <w:r w:rsidRPr="0056436C">
        <w:rPr>
          <w:bCs/>
          <w:sz w:val="22"/>
          <w:szCs w:val="22"/>
          <w:lang w:val="sr-Latn-ME"/>
        </w:rPr>
        <w:t xml:space="preserve"> transport posredovan preko p-glikoproteina (do 250 </w:t>
      </w:r>
      <w:r w:rsidR="005A3FF7" w:rsidRPr="0056436C">
        <w:rPr>
          <w:bCs/>
          <w:sz w:val="22"/>
          <w:szCs w:val="22"/>
          <w:lang w:val="sr-Latn-ME"/>
        </w:rPr>
        <w:t>µ</w:t>
      </w:r>
      <w:r w:rsidRPr="0056436C">
        <w:rPr>
          <w:bCs/>
          <w:sz w:val="22"/>
          <w:szCs w:val="22"/>
          <w:lang w:val="sr-Latn-ME"/>
        </w:rPr>
        <w:t>M) pri terapijski relevantnim koncentracijama u plazmi. U jednoj kliničkoj studiji, sitagliptin je ispoljio mali efekat na koncentracije digoksina u plazmi, što ukazuje na to da sitagliptin može da bude slab inhibitor p-glikoproteina.</w:t>
      </w:r>
    </w:p>
    <w:p w:rsidR="00401EDF" w:rsidRPr="0056436C" w:rsidRDefault="00401EDF" w:rsidP="0056436C">
      <w:pPr>
        <w:tabs>
          <w:tab w:val="left" w:pos="540"/>
          <w:tab w:val="left" w:pos="569"/>
        </w:tabs>
        <w:jc w:val="both"/>
        <w:rPr>
          <w:bCs/>
          <w:sz w:val="22"/>
          <w:szCs w:val="22"/>
          <w:lang w:val="sr-Latn-ME"/>
        </w:rPr>
      </w:pPr>
    </w:p>
    <w:p w:rsidR="00401EDF" w:rsidRPr="0056436C" w:rsidRDefault="00401EDF" w:rsidP="0056436C">
      <w:pPr>
        <w:tabs>
          <w:tab w:val="left" w:pos="540"/>
          <w:tab w:val="left" w:pos="569"/>
        </w:tabs>
        <w:jc w:val="both"/>
        <w:rPr>
          <w:bCs/>
          <w:sz w:val="22"/>
          <w:szCs w:val="22"/>
          <w:lang w:val="sr-Latn-ME"/>
        </w:rPr>
      </w:pPr>
      <w:r w:rsidRPr="0056436C">
        <w:rPr>
          <w:bCs/>
          <w:sz w:val="22"/>
          <w:szCs w:val="22"/>
          <w:u w:val="single"/>
          <w:lang w:val="sr-Latn-ME"/>
        </w:rPr>
        <w:t>Karakteristike kod posebnih grupa pacijenata</w:t>
      </w:r>
    </w:p>
    <w:p w:rsidR="00401EDF" w:rsidRPr="0056436C" w:rsidRDefault="00401EDF" w:rsidP="0056436C">
      <w:pPr>
        <w:tabs>
          <w:tab w:val="left" w:pos="540"/>
          <w:tab w:val="left" w:pos="569"/>
        </w:tabs>
        <w:jc w:val="both"/>
        <w:rPr>
          <w:bCs/>
          <w:sz w:val="22"/>
          <w:szCs w:val="22"/>
          <w:lang w:val="sr-Latn-ME"/>
        </w:rPr>
      </w:pPr>
      <w:r w:rsidRPr="0056436C">
        <w:rPr>
          <w:bCs/>
          <w:sz w:val="22"/>
          <w:szCs w:val="22"/>
          <w:lang w:val="sr-Latn-ME"/>
        </w:rPr>
        <w:t>Farmakokinetika sitagliptina je bila uglavnom slična kod zdravih dobrovoljaca i kod pacijenata sa dijabetesom tip 2.</w:t>
      </w:r>
    </w:p>
    <w:p w:rsidR="00401EDF" w:rsidRPr="0056436C" w:rsidRDefault="00401EDF" w:rsidP="0056436C">
      <w:pPr>
        <w:tabs>
          <w:tab w:val="left" w:pos="540"/>
          <w:tab w:val="left" w:pos="569"/>
        </w:tabs>
        <w:jc w:val="both"/>
        <w:rPr>
          <w:bCs/>
          <w:sz w:val="22"/>
          <w:szCs w:val="22"/>
          <w:lang w:val="sr-Latn-ME"/>
        </w:rPr>
      </w:pPr>
    </w:p>
    <w:p w:rsidR="00401EDF" w:rsidRPr="0056436C" w:rsidRDefault="00401EDF" w:rsidP="0056436C">
      <w:pPr>
        <w:tabs>
          <w:tab w:val="left" w:pos="540"/>
          <w:tab w:val="left" w:pos="569"/>
        </w:tabs>
        <w:jc w:val="both"/>
        <w:rPr>
          <w:bCs/>
          <w:i/>
          <w:sz w:val="22"/>
          <w:szCs w:val="22"/>
          <w:lang w:val="sr-Latn-ME"/>
        </w:rPr>
      </w:pPr>
      <w:r w:rsidRPr="0056436C">
        <w:rPr>
          <w:bCs/>
          <w:i/>
          <w:sz w:val="22"/>
          <w:szCs w:val="22"/>
          <w:lang w:val="sr-Latn-ME"/>
        </w:rPr>
        <w:t>Oštećenje funkcije bubrega</w:t>
      </w:r>
    </w:p>
    <w:p w:rsidR="00401EDF" w:rsidRPr="0056436C" w:rsidRDefault="00401EDF" w:rsidP="0056436C">
      <w:pPr>
        <w:tabs>
          <w:tab w:val="left" w:pos="540"/>
          <w:tab w:val="left" w:pos="569"/>
        </w:tabs>
        <w:jc w:val="both"/>
        <w:rPr>
          <w:bCs/>
          <w:sz w:val="22"/>
          <w:szCs w:val="22"/>
          <w:lang w:val="sr-Latn-ME"/>
        </w:rPr>
      </w:pPr>
      <w:r w:rsidRPr="0056436C">
        <w:rPr>
          <w:bCs/>
          <w:sz w:val="22"/>
          <w:szCs w:val="22"/>
          <w:lang w:val="sr-Latn-ME"/>
        </w:rPr>
        <w:t>Sproveden</w:t>
      </w:r>
      <w:r w:rsidR="005A3FF7" w:rsidRPr="0056436C">
        <w:rPr>
          <w:bCs/>
          <w:sz w:val="22"/>
          <w:szCs w:val="22"/>
          <w:lang w:val="sr-Latn-ME"/>
        </w:rPr>
        <w:t>o</w:t>
      </w:r>
      <w:r w:rsidRPr="0056436C">
        <w:rPr>
          <w:bCs/>
          <w:sz w:val="22"/>
          <w:szCs w:val="22"/>
          <w:lang w:val="sr-Latn-ME"/>
        </w:rPr>
        <w:t xml:space="preserve"> je otvoren</w:t>
      </w:r>
      <w:r w:rsidR="005A3FF7" w:rsidRPr="0056436C">
        <w:rPr>
          <w:bCs/>
          <w:sz w:val="22"/>
          <w:szCs w:val="22"/>
          <w:lang w:val="sr-Latn-ME"/>
        </w:rPr>
        <w:t>o</w:t>
      </w:r>
      <w:r w:rsidRPr="0056436C">
        <w:rPr>
          <w:bCs/>
          <w:sz w:val="22"/>
          <w:szCs w:val="22"/>
          <w:lang w:val="sr-Latn-ME"/>
        </w:rPr>
        <w:t xml:space="preserve"> </w:t>
      </w:r>
      <w:r w:rsidR="005A3FF7" w:rsidRPr="0056436C">
        <w:rPr>
          <w:bCs/>
          <w:sz w:val="22"/>
          <w:szCs w:val="22"/>
          <w:lang w:val="sr-Latn-ME"/>
        </w:rPr>
        <w:t xml:space="preserve">ispitivanje </w:t>
      </w:r>
      <w:r w:rsidRPr="0056436C">
        <w:rPr>
          <w:bCs/>
          <w:sz w:val="22"/>
          <w:szCs w:val="22"/>
          <w:lang w:val="sr-Latn-ME"/>
        </w:rPr>
        <w:t>u koj</w:t>
      </w:r>
      <w:r w:rsidR="005A3FF7" w:rsidRPr="0056436C">
        <w:rPr>
          <w:bCs/>
          <w:sz w:val="22"/>
          <w:szCs w:val="22"/>
          <w:lang w:val="sr-Latn-ME"/>
        </w:rPr>
        <w:t>em</w:t>
      </w:r>
      <w:r w:rsidRPr="0056436C">
        <w:rPr>
          <w:bCs/>
          <w:sz w:val="22"/>
          <w:szCs w:val="22"/>
          <w:lang w:val="sr-Latn-ME"/>
        </w:rPr>
        <w:t xml:space="preserve"> je primjenjivana pojedinačna doza</w:t>
      </w:r>
      <w:r w:rsidR="005A3FF7" w:rsidRPr="0056436C">
        <w:rPr>
          <w:bCs/>
          <w:sz w:val="22"/>
          <w:szCs w:val="22"/>
          <w:lang w:val="sr-Latn-ME"/>
        </w:rPr>
        <w:t xml:space="preserve"> u cilju</w:t>
      </w:r>
      <w:r w:rsidRPr="0056436C">
        <w:rPr>
          <w:bCs/>
          <w:sz w:val="22"/>
          <w:szCs w:val="22"/>
          <w:lang w:val="sr-Latn-ME"/>
        </w:rPr>
        <w:t xml:space="preserve"> procjen</w:t>
      </w:r>
      <w:r w:rsidR="005A3FF7" w:rsidRPr="0056436C">
        <w:rPr>
          <w:bCs/>
          <w:sz w:val="22"/>
          <w:szCs w:val="22"/>
          <w:lang w:val="sr-Latn-ME"/>
        </w:rPr>
        <w:t>e</w:t>
      </w:r>
      <w:r w:rsidRPr="0056436C">
        <w:rPr>
          <w:bCs/>
          <w:sz w:val="22"/>
          <w:szCs w:val="22"/>
          <w:lang w:val="sr-Latn-ME"/>
        </w:rPr>
        <w:t xml:space="preserve"> farmakokinetike smanjene doze sitagliptina (50 mg) kod pacijenata sa različitim stepenima hroničnog oštećenja funkcije bubrega u poređenju sa zdravim dobrovoljcima u kontrolnoj grupi. U </w:t>
      </w:r>
      <w:r w:rsidR="0060395A" w:rsidRPr="0056436C">
        <w:rPr>
          <w:bCs/>
          <w:sz w:val="22"/>
          <w:szCs w:val="22"/>
          <w:lang w:val="sr-Latn-ME"/>
        </w:rPr>
        <w:t xml:space="preserve">ispitivanje </w:t>
      </w:r>
      <w:r w:rsidRPr="0056436C">
        <w:rPr>
          <w:bCs/>
          <w:sz w:val="22"/>
          <w:szCs w:val="22"/>
          <w:lang w:val="sr-Latn-ME"/>
        </w:rPr>
        <w:t>su bili uključeni pacijenti sa blagim, umjerenim i teškim oštećenjem funkcije bubrega, kao i pacijenti u terminalnoj fazi bubrežne bolesti na hemodijalizi. Dodatno, pomoću populacijskih farmakokinetičkih analiza procijenjeni su uticaji oštećenja funkcije bubrega na farmakokinetiku sitagliptina kod pacijenata sa dijabetesom tipa 2 i blagim, umjerenim ili teškim oštećenjem funkcije bubrega (uključujući terminalnu bubrežnu bolest).</w:t>
      </w:r>
    </w:p>
    <w:p w:rsidR="00401EDF" w:rsidRPr="0056436C" w:rsidRDefault="00401EDF" w:rsidP="0056436C">
      <w:pPr>
        <w:tabs>
          <w:tab w:val="left" w:pos="540"/>
          <w:tab w:val="left" w:pos="569"/>
        </w:tabs>
        <w:jc w:val="both"/>
        <w:rPr>
          <w:bCs/>
          <w:sz w:val="22"/>
          <w:szCs w:val="22"/>
          <w:lang w:val="sr-Latn-ME"/>
        </w:rPr>
      </w:pPr>
    </w:p>
    <w:p w:rsidR="00B43006" w:rsidRDefault="00B43006" w:rsidP="0056436C">
      <w:pPr>
        <w:tabs>
          <w:tab w:val="left" w:pos="540"/>
          <w:tab w:val="left" w:pos="569"/>
        </w:tabs>
        <w:jc w:val="both"/>
        <w:rPr>
          <w:bCs/>
          <w:sz w:val="22"/>
          <w:szCs w:val="22"/>
          <w:lang w:val="sr-Latn-ME"/>
        </w:rPr>
      </w:pPr>
    </w:p>
    <w:p w:rsidR="00B43006" w:rsidRDefault="00B43006" w:rsidP="0056436C">
      <w:pPr>
        <w:tabs>
          <w:tab w:val="left" w:pos="540"/>
          <w:tab w:val="left" w:pos="569"/>
        </w:tabs>
        <w:jc w:val="both"/>
        <w:rPr>
          <w:bCs/>
          <w:sz w:val="22"/>
          <w:szCs w:val="22"/>
          <w:lang w:val="sr-Latn-ME"/>
        </w:rPr>
      </w:pPr>
    </w:p>
    <w:p w:rsidR="00401EDF" w:rsidRPr="0056436C" w:rsidRDefault="00401EDF" w:rsidP="0056436C">
      <w:pPr>
        <w:tabs>
          <w:tab w:val="left" w:pos="540"/>
          <w:tab w:val="left" w:pos="569"/>
        </w:tabs>
        <w:jc w:val="both"/>
        <w:rPr>
          <w:bCs/>
          <w:sz w:val="22"/>
          <w:szCs w:val="22"/>
          <w:lang w:val="sr-Latn-ME"/>
        </w:rPr>
      </w:pPr>
      <w:r w:rsidRPr="0056436C">
        <w:rPr>
          <w:bCs/>
          <w:sz w:val="22"/>
          <w:szCs w:val="22"/>
          <w:lang w:val="sr-Latn-ME"/>
        </w:rPr>
        <w:lastRenderedPageBreak/>
        <w:t>U poređenju sa zdravim dobrovoljcima, kod pacijenata sa blagim oštećenjem funkcije bubrega</w:t>
      </w:r>
      <w:r w:rsidR="0060395A" w:rsidRPr="0056436C">
        <w:rPr>
          <w:bCs/>
          <w:sz w:val="22"/>
          <w:szCs w:val="22"/>
          <w:lang w:val="sr-Latn-ME"/>
        </w:rPr>
        <w:t xml:space="preserve"> </w:t>
      </w:r>
      <w:r w:rsidRPr="0056436C">
        <w:rPr>
          <w:bCs/>
          <w:sz w:val="22"/>
          <w:szCs w:val="22"/>
          <w:lang w:val="sr-Latn-ME"/>
        </w:rPr>
        <w:t xml:space="preserve">(GFR od ≥ 60 do &lt; 90 </w:t>
      </w:r>
      <w:r w:rsidR="00F725BA" w:rsidRPr="0056436C">
        <w:rPr>
          <w:bCs/>
          <w:sz w:val="22"/>
          <w:szCs w:val="22"/>
          <w:lang w:val="sr-Latn-ME"/>
        </w:rPr>
        <w:t>ml</w:t>
      </w:r>
      <w:r w:rsidRPr="0056436C">
        <w:rPr>
          <w:bCs/>
          <w:sz w:val="22"/>
          <w:szCs w:val="22"/>
          <w:lang w:val="sr-Latn-ME"/>
        </w:rPr>
        <w:t>/min) i pacijenata sa umjerenim oštećenjem funkcije bubrega (GFR ≥ 45 do</w:t>
      </w:r>
      <w:r w:rsidR="0060395A" w:rsidRPr="0056436C">
        <w:rPr>
          <w:bCs/>
          <w:sz w:val="22"/>
          <w:szCs w:val="22"/>
          <w:lang w:val="sr-Latn-ME"/>
        </w:rPr>
        <w:t xml:space="preserve"> </w:t>
      </w:r>
      <w:r w:rsidRPr="0056436C">
        <w:rPr>
          <w:bCs/>
          <w:sz w:val="22"/>
          <w:szCs w:val="22"/>
          <w:lang w:val="sr-Latn-ME"/>
        </w:rPr>
        <w:t xml:space="preserve">&lt; 60 </w:t>
      </w:r>
      <w:r w:rsidR="00F725BA" w:rsidRPr="0056436C">
        <w:rPr>
          <w:bCs/>
          <w:sz w:val="22"/>
          <w:szCs w:val="22"/>
          <w:lang w:val="sr-Latn-ME"/>
        </w:rPr>
        <w:t>ml</w:t>
      </w:r>
      <w:r w:rsidRPr="0056436C">
        <w:rPr>
          <w:bCs/>
          <w:sz w:val="22"/>
          <w:szCs w:val="22"/>
          <w:lang w:val="sr-Latn-ME"/>
        </w:rPr>
        <w:t>/min) PIK je bi</w:t>
      </w:r>
      <w:r w:rsidR="0060395A" w:rsidRPr="0056436C">
        <w:rPr>
          <w:bCs/>
          <w:sz w:val="22"/>
          <w:szCs w:val="22"/>
          <w:lang w:val="sr-Latn-ME"/>
        </w:rPr>
        <w:t>o</w:t>
      </w:r>
      <w:r w:rsidRPr="0056436C">
        <w:rPr>
          <w:bCs/>
          <w:sz w:val="22"/>
          <w:szCs w:val="22"/>
          <w:lang w:val="sr-Latn-ME"/>
        </w:rPr>
        <w:t xml:space="preserve"> povišen</w:t>
      </w:r>
      <w:r w:rsidR="0060395A" w:rsidRPr="0056436C">
        <w:rPr>
          <w:bCs/>
          <w:sz w:val="22"/>
          <w:szCs w:val="22"/>
          <w:lang w:val="sr-Latn-ME"/>
        </w:rPr>
        <w:t xml:space="preserve"> približno</w:t>
      </w:r>
      <w:r w:rsidRPr="0056436C">
        <w:rPr>
          <w:bCs/>
          <w:sz w:val="22"/>
          <w:szCs w:val="22"/>
          <w:lang w:val="sr-Latn-ME"/>
        </w:rPr>
        <w:t xml:space="preserve"> 1,2 puta</w:t>
      </w:r>
      <w:r w:rsidR="0060395A" w:rsidRPr="0056436C">
        <w:rPr>
          <w:bCs/>
          <w:sz w:val="22"/>
          <w:szCs w:val="22"/>
          <w:lang w:val="sr-Latn-ME"/>
        </w:rPr>
        <w:t>,</w:t>
      </w:r>
      <w:r w:rsidRPr="0056436C">
        <w:rPr>
          <w:bCs/>
          <w:sz w:val="22"/>
          <w:szCs w:val="22"/>
          <w:lang w:val="sr-Latn-ME"/>
        </w:rPr>
        <w:t xml:space="preserve"> odnosno 1,6 puta. Budući da povećanja ovog reda ni</w:t>
      </w:r>
      <w:r w:rsidR="0060395A" w:rsidRPr="0056436C">
        <w:rPr>
          <w:bCs/>
          <w:sz w:val="22"/>
          <w:szCs w:val="22"/>
          <w:lang w:val="sr-Latn-ME"/>
        </w:rPr>
        <w:t>je</w:t>
      </w:r>
      <w:r w:rsidRPr="0056436C">
        <w:rPr>
          <w:bCs/>
          <w:sz w:val="22"/>
          <w:szCs w:val="22"/>
          <w:lang w:val="sr-Latn-ME"/>
        </w:rPr>
        <w:t>su klinički značajna, kod ovih pacijenata nije potrebno prilagođavanje doze.</w:t>
      </w:r>
    </w:p>
    <w:p w:rsidR="00401EDF" w:rsidRPr="0056436C" w:rsidRDefault="00401EDF" w:rsidP="0056436C">
      <w:pPr>
        <w:tabs>
          <w:tab w:val="left" w:pos="540"/>
          <w:tab w:val="left" w:pos="569"/>
        </w:tabs>
        <w:jc w:val="both"/>
        <w:rPr>
          <w:bCs/>
          <w:sz w:val="22"/>
          <w:szCs w:val="22"/>
          <w:lang w:val="sr-Latn-ME"/>
        </w:rPr>
      </w:pPr>
    </w:p>
    <w:p w:rsidR="00401EDF" w:rsidRPr="0056436C" w:rsidRDefault="00401EDF" w:rsidP="0056436C">
      <w:pPr>
        <w:tabs>
          <w:tab w:val="left" w:pos="540"/>
          <w:tab w:val="left" w:pos="569"/>
        </w:tabs>
        <w:jc w:val="both"/>
        <w:rPr>
          <w:bCs/>
          <w:sz w:val="22"/>
          <w:szCs w:val="22"/>
          <w:lang w:val="sr-Latn-ME"/>
        </w:rPr>
      </w:pPr>
      <w:r w:rsidRPr="0056436C">
        <w:rPr>
          <w:bCs/>
          <w:sz w:val="22"/>
          <w:szCs w:val="22"/>
          <w:lang w:val="sr-Latn-ME"/>
        </w:rPr>
        <w:t xml:space="preserve">Kod pacijenata sa umjerenim oštećenjem funkcije bubrega (GFR ≥ 30 do &lt; 45 </w:t>
      </w:r>
      <w:r w:rsidR="00F725BA" w:rsidRPr="0056436C">
        <w:rPr>
          <w:bCs/>
          <w:sz w:val="22"/>
          <w:szCs w:val="22"/>
          <w:lang w:val="sr-Latn-ME"/>
        </w:rPr>
        <w:t>ml</w:t>
      </w:r>
      <w:r w:rsidRPr="0056436C">
        <w:rPr>
          <w:bCs/>
          <w:sz w:val="22"/>
          <w:szCs w:val="22"/>
          <w:lang w:val="sr-Latn-ME"/>
        </w:rPr>
        <w:t xml:space="preserve">/min) </w:t>
      </w:r>
      <w:r w:rsidR="0060395A" w:rsidRPr="0056436C">
        <w:rPr>
          <w:bCs/>
          <w:sz w:val="22"/>
          <w:szCs w:val="22"/>
          <w:lang w:val="sr-Latn-ME"/>
        </w:rPr>
        <w:t xml:space="preserve">PIK </w:t>
      </w:r>
      <w:r w:rsidRPr="0056436C">
        <w:rPr>
          <w:bCs/>
          <w:sz w:val="22"/>
          <w:szCs w:val="22"/>
          <w:lang w:val="sr-Latn-ME"/>
        </w:rPr>
        <w:t>sitagliptina u plazmi je bi</w:t>
      </w:r>
      <w:r w:rsidR="0095402A" w:rsidRPr="0056436C">
        <w:rPr>
          <w:bCs/>
          <w:sz w:val="22"/>
          <w:szCs w:val="22"/>
          <w:lang w:val="sr-Latn-ME"/>
        </w:rPr>
        <w:t>o</w:t>
      </w:r>
      <w:r w:rsidRPr="0056436C">
        <w:rPr>
          <w:bCs/>
          <w:sz w:val="22"/>
          <w:szCs w:val="22"/>
          <w:lang w:val="sr-Latn-ME"/>
        </w:rPr>
        <w:t xml:space="preserve"> otprilike dvostruko povećan, a kod pacijenata sa teškim oštećenjem funkcije bubrega (GFR &lt; 30 </w:t>
      </w:r>
      <w:r w:rsidR="00F725BA" w:rsidRPr="0056436C">
        <w:rPr>
          <w:bCs/>
          <w:sz w:val="22"/>
          <w:szCs w:val="22"/>
          <w:lang w:val="sr-Latn-ME"/>
        </w:rPr>
        <w:t>ml</w:t>
      </w:r>
      <w:r w:rsidRPr="0056436C">
        <w:rPr>
          <w:bCs/>
          <w:sz w:val="22"/>
          <w:szCs w:val="22"/>
          <w:lang w:val="sr-Latn-ME"/>
        </w:rPr>
        <w:t>/min)</w:t>
      </w:r>
      <w:r w:rsidR="0095402A" w:rsidRPr="0056436C">
        <w:rPr>
          <w:bCs/>
          <w:sz w:val="22"/>
          <w:szCs w:val="22"/>
          <w:lang w:val="sr-Latn-ME"/>
        </w:rPr>
        <w:t>,</w:t>
      </w:r>
      <w:r w:rsidRPr="0056436C">
        <w:rPr>
          <w:bCs/>
          <w:sz w:val="22"/>
          <w:szCs w:val="22"/>
          <w:lang w:val="sr-Latn-ME"/>
        </w:rPr>
        <w:t xml:space="preserve"> uključujući i pacijenate u terminalnoj fazi bubrežne bolesti koji su na hemodijalizi, to povećanje je bilo četvorostruko. Sitagliptin se umjereno uklanjao iz organizma hemodijalizom (13,5% tokom hemodijalize u trajanju od 3 do 4 sata, koja je započeta 4 sata nakon doziranja lijeka). Da bi se postigle koncentracije sitagliptina u plazmi slične onima kod pacijenata sa normalnom funkcijom bubrega, preporučuje se primjena </w:t>
      </w:r>
      <w:r w:rsidR="0095402A" w:rsidRPr="0056436C">
        <w:rPr>
          <w:bCs/>
          <w:sz w:val="22"/>
          <w:szCs w:val="22"/>
          <w:lang w:val="sr-Latn-ME"/>
        </w:rPr>
        <w:t xml:space="preserve">nižih </w:t>
      </w:r>
      <w:r w:rsidRPr="0056436C">
        <w:rPr>
          <w:bCs/>
          <w:sz w:val="22"/>
          <w:szCs w:val="22"/>
          <w:lang w:val="sr-Latn-ME"/>
        </w:rPr>
        <w:t xml:space="preserve">doza pacijentima sa GFR &lt; 45 </w:t>
      </w:r>
      <w:r w:rsidR="00F725BA" w:rsidRPr="0056436C">
        <w:rPr>
          <w:bCs/>
          <w:sz w:val="22"/>
          <w:szCs w:val="22"/>
          <w:lang w:val="sr-Latn-ME"/>
        </w:rPr>
        <w:t>ml</w:t>
      </w:r>
      <w:r w:rsidRPr="0056436C">
        <w:rPr>
          <w:bCs/>
          <w:sz w:val="22"/>
          <w:szCs w:val="22"/>
          <w:lang w:val="sr-Latn-ME"/>
        </w:rPr>
        <w:t>/min (vidjeti dio 4.2).</w:t>
      </w:r>
    </w:p>
    <w:p w:rsidR="00401EDF" w:rsidRPr="0056436C" w:rsidRDefault="00401EDF" w:rsidP="0056436C">
      <w:pPr>
        <w:tabs>
          <w:tab w:val="left" w:pos="540"/>
          <w:tab w:val="left" w:pos="569"/>
        </w:tabs>
        <w:jc w:val="both"/>
        <w:rPr>
          <w:bCs/>
          <w:sz w:val="22"/>
          <w:szCs w:val="22"/>
          <w:lang w:val="sr-Latn-ME"/>
        </w:rPr>
      </w:pPr>
    </w:p>
    <w:p w:rsidR="00401EDF" w:rsidRPr="0056436C" w:rsidRDefault="00401EDF" w:rsidP="0056436C">
      <w:pPr>
        <w:tabs>
          <w:tab w:val="left" w:pos="540"/>
          <w:tab w:val="left" w:pos="569"/>
        </w:tabs>
        <w:jc w:val="both"/>
        <w:rPr>
          <w:bCs/>
          <w:i/>
          <w:sz w:val="22"/>
          <w:szCs w:val="22"/>
          <w:lang w:val="sr-Latn-ME"/>
        </w:rPr>
      </w:pPr>
      <w:r w:rsidRPr="0056436C">
        <w:rPr>
          <w:bCs/>
          <w:i/>
          <w:sz w:val="22"/>
          <w:szCs w:val="22"/>
          <w:lang w:val="sr-Latn-ME"/>
        </w:rPr>
        <w:t>Oštećenje funkcije jetre</w:t>
      </w:r>
    </w:p>
    <w:p w:rsidR="00401EDF" w:rsidRPr="0056436C" w:rsidRDefault="00401EDF" w:rsidP="0056436C">
      <w:pPr>
        <w:tabs>
          <w:tab w:val="left" w:pos="540"/>
          <w:tab w:val="left" w:pos="569"/>
        </w:tabs>
        <w:jc w:val="both"/>
        <w:rPr>
          <w:bCs/>
          <w:sz w:val="22"/>
          <w:szCs w:val="22"/>
          <w:lang w:val="sr-Latn-ME"/>
        </w:rPr>
      </w:pPr>
      <w:r w:rsidRPr="0056436C">
        <w:rPr>
          <w:bCs/>
          <w:sz w:val="22"/>
          <w:szCs w:val="22"/>
          <w:lang w:val="sr-Latn-ME"/>
        </w:rPr>
        <w:t xml:space="preserve">Nije potrebno prilagođavanje doze lijeka </w:t>
      </w:r>
      <w:r w:rsidR="003714E8" w:rsidRPr="0056436C">
        <w:rPr>
          <w:bCs/>
          <w:sz w:val="22"/>
          <w:szCs w:val="22"/>
          <w:lang w:val="sr-Latn-ME"/>
        </w:rPr>
        <w:t>Sitagliptin Teva</w:t>
      </w:r>
      <w:r w:rsidRPr="0056436C">
        <w:rPr>
          <w:bCs/>
          <w:sz w:val="22"/>
          <w:szCs w:val="22"/>
          <w:lang w:val="sr-Latn-ME"/>
        </w:rPr>
        <w:t xml:space="preserve"> kod pacijenata sa blagim ili umjerenim oštećenjem funkcije jetre (Child-Pugh skor ≤ 9). Ne postoji kliničko iskustvo kod pacijenata sa teškim oštećenjem funkcije jetre (Child-Pugh skor &gt; 9). Međutim, budući da se sitagliptin primarno eliminiše preko bubrega, ne očekuje se da bi teško oštećenje funkcije jetre moglo da utiče na farmakokinetiku sitagliptina.</w:t>
      </w:r>
    </w:p>
    <w:p w:rsidR="00401EDF" w:rsidRPr="0056436C" w:rsidRDefault="00401EDF" w:rsidP="0056436C">
      <w:pPr>
        <w:tabs>
          <w:tab w:val="left" w:pos="540"/>
          <w:tab w:val="left" w:pos="569"/>
        </w:tabs>
        <w:jc w:val="both"/>
        <w:rPr>
          <w:bCs/>
          <w:sz w:val="22"/>
          <w:szCs w:val="22"/>
          <w:lang w:val="sr-Latn-ME"/>
        </w:rPr>
      </w:pPr>
    </w:p>
    <w:p w:rsidR="00401EDF" w:rsidRPr="0056436C" w:rsidRDefault="00401EDF" w:rsidP="0056436C">
      <w:pPr>
        <w:tabs>
          <w:tab w:val="left" w:pos="540"/>
          <w:tab w:val="left" w:pos="569"/>
        </w:tabs>
        <w:jc w:val="both"/>
        <w:rPr>
          <w:bCs/>
          <w:i/>
          <w:sz w:val="22"/>
          <w:szCs w:val="22"/>
          <w:lang w:val="sr-Latn-ME"/>
        </w:rPr>
      </w:pPr>
      <w:r w:rsidRPr="0056436C">
        <w:rPr>
          <w:bCs/>
          <w:i/>
          <w:sz w:val="22"/>
          <w:szCs w:val="22"/>
          <w:lang w:val="sr-Latn-ME"/>
        </w:rPr>
        <w:t>Stariji pacijenti</w:t>
      </w:r>
    </w:p>
    <w:p w:rsidR="00401EDF" w:rsidRPr="0056436C" w:rsidRDefault="00401EDF" w:rsidP="0056436C">
      <w:pPr>
        <w:tabs>
          <w:tab w:val="left" w:pos="540"/>
          <w:tab w:val="left" w:pos="569"/>
        </w:tabs>
        <w:jc w:val="both"/>
        <w:rPr>
          <w:bCs/>
          <w:sz w:val="22"/>
          <w:szCs w:val="22"/>
          <w:lang w:val="sr-Latn-ME"/>
        </w:rPr>
      </w:pPr>
      <w:r w:rsidRPr="0056436C">
        <w:rPr>
          <w:bCs/>
          <w:sz w:val="22"/>
          <w:szCs w:val="22"/>
          <w:lang w:val="sr-Latn-ME"/>
        </w:rPr>
        <w:t xml:space="preserve">Nije potrebno prilagođavanje doze na osnovu godina starosti pacijenta. Prema </w:t>
      </w:r>
      <w:r w:rsidR="0095402A" w:rsidRPr="0056436C">
        <w:rPr>
          <w:bCs/>
          <w:sz w:val="22"/>
          <w:szCs w:val="22"/>
          <w:lang w:val="sr-Latn-ME"/>
        </w:rPr>
        <w:t xml:space="preserve">populacijskoj farmakokinetičkoj </w:t>
      </w:r>
      <w:r w:rsidRPr="0056436C">
        <w:rPr>
          <w:bCs/>
          <w:sz w:val="22"/>
          <w:szCs w:val="22"/>
          <w:lang w:val="sr-Latn-ME"/>
        </w:rPr>
        <w:t>analiz</w:t>
      </w:r>
      <w:r w:rsidR="0095402A" w:rsidRPr="0056436C">
        <w:rPr>
          <w:bCs/>
          <w:sz w:val="22"/>
          <w:szCs w:val="22"/>
          <w:lang w:val="sr-Latn-ME"/>
        </w:rPr>
        <w:t>i podataka</w:t>
      </w:r>
      <w:r w:rsidRPr="0056436C">
        <w:rPr>
          <w:bCs/>
          <w:sz w:val="22"/>
          <w:szCs w:val="22"/>
          <w:lang w:val="sr-Latn-ME"/>
        </w:rPr>
        <w:t xml:space="preserve"> </w:t>
      </w:r>
      <w:r w:rsidR="0095402A" w:rsidRPr="0056436C">
        <w:rPr>
          <w:bCs/>
          <w:sz w:val="22"/>
          <w:szCs w:val="22"/>
          <w:lang w:val="sr-Latn-ME"/>
        </w:rPr>
        <w:t>f</w:t>
      </w:r>
      <w:r w:rsidRPr="0056436C">
        <w:rPr>
          <w:bCs/>
          <w:sz w:val="22"/>
          <w:szCs w:val="22"/>
          <w:lang w:val="sr-Latn-ME"/>
        </w:rPr>
        <w:t xml:space="preserve">aze I i </w:t>
      </w:r>
      <w:r w:rsidR="0095402A" w:rsidRPr="0056436C">
        <w:rPr>
          <w:bCs/>
          <w:sz w:val="22"/>
          <w:szCs w:val="22"/>
          <w:lang w:val="sr-Latn-ME"/>
        </w:rPr>
        <w:t>f</w:t>
      </w:r>
      <w:r w:rsidRPr="0056436C">
        <w:rPr>
          <w:bCs/>
          <w:sz w:val="22"/>
          <w:szCs w:val="22"/>
          <w:lang w:val="sr-Latn-ME"/>
        </w:rPr>
        <w:t xml:space="preserve">aze II, godine starosti nemaju klinički značajan uticaj na farmakokinetiku sitagliptina. Stariji pacijenti (65 do 80 godina starosti) su imali za oko 19% veće koncentracije sitagliptina u plazmi u poređenju sa </w:t>
      </w:r>
      <w:r w:rsidR="00F725BA" w:rsidRPr="0056436C">
        <w:rPr>
          <w:bCs/>
          <w:sz w:val="22"/>
          <w:szCs w:val="22"/>
          <w:lang w:val="sr-Latn-ME"/>
        </w:rPr>
        <w:t>ml</w:t>
      </w:r>
      <w:r w:rsidRPr="0056436C">
        <w:rPr>
          <w:bCs/>
          <w:sz w:val="22"/>
          <w:szCs w:val="22"/>
          <w:lang w:val="sr-Latn-ME"/>
        </w:rPr>
        <w:t>ađim pacijentima.</w:t>
      </w:r>
    </w:p>
    <w:p w:rsidR="00401EDF" w:rsidRPr="0056436C" w:rsidRDefault="00401EDF" w:rsidP="0056436C">
      <w:pPr>
        <w:tabs>
          <w:tab w:val="left" w:pos="540"/>
          <w:tab w:val="left" w:pos="569"/>
        </w:tabs>
        <w:jc w:val="both"/>
        <w:rPr>
          <w:bCs/>
          <w:sz w:val="22"/>
          <w:szCs w:val="22"/>
          <w:lang w:val="sr-Latn-ME"/>
        </w:rPr>
      </w:pPr>
    </w:p>
    <w:p w:rsidR="00401EDF" w:rsidRPr="0056436C" w:rsidRDefault="00401EDF" w:rsidP="0056436C">
      <w:pPr>
        <w:tabs>
          <w:tab w:val="left" w:pos="540"/>
          <w:tab w:val="left" w:pos="569"/>
        </w:tabs>
        <w:jc w:val="both"/>
        <w:rPr>
          <w:bCs/>
          <w:i/>
          <w:sz w:val="22"/>
          <w:szCs w:val="22"/>
          <w:lang w:val="sr-Latn-ME"/>
        </w:rPr>
      </w:pPr>
      <w:r w:rsidRPr="0056436C">
        <w:rPr>
          <w:bCs/>
          <w:i/>
          <w:sz w:val="22"/>
          <w:szCs w:val="22"/>
          <w:lang w:val="sr-Latn-ME"/>
        </w:rPr>
        <w:t>Pedijatrijski pacijenti</w:t>
      </w:r>
    </w:p>
    <w:p w:rsidR="00974609" w:rsidRPr="0056436C" w:rsidRDefault="00974609" w:rsidP="0056436C">
      <w:pPr>
        <w:tabs>
          <w:tab w:val="left" w:pos="540"/>
          <w:tab w:val="left" w:pos="569"/>
        </w:tabs>
        <w:jc w:val="both"/>
        <w:rPr>
          <w:bCs/>
          <w:sz w:val="22"/>
          <w:szCs w:val="22"/>
          <w:lang w:val="sr-Latn-ME"/>
        </w:rPr>
      </w:pPr>
      <w:r w:rsidRPr="0056436C">
        <w:rPr>
          <w:bCs/>
          <w:sz w:val="22"/>
          <w:szCs w:val="22"/>
          <w:lang w:val="sr-Latn-ME"/>
        </w:rPr>
        <w:t>Farmakokinetika sitagliptina (nakon jedne doze od 50 mg, 100</w:t>
      </w:r>
      <w:r w:rsidR="00B755D9" w:rsidRPr="0056436C">
        <w:rPr>
          <w:bCs/>
          <w:sz w:val="22"/>
          <w:szCs w:val="22"/>
          <w:lang w:val="sr-Latn-ME"/>
        </w:rPr>
        <w:t xml:space="preserve"> mg ili 200 mg) ispitiva</w:t>
      </w:r>
      <w:r w:rsidR="0095402A" w:rsidRPr="0056436C">
        <w:rPr>
          <w:bCs/>
          <w:sz w:val="22"/>
          <w:szCs w:val="22"/>
          <w:lang w:val="sr-Latn-ME"/>
        </w:rPr>
        <w:t>na</w:t>
      </w:r>
      <w:r w:rsidR="00B755D9" w:rsidRPr="0056436C">
        <w:rPr>
          <w:bCs/>
          <w:sz w:val="22"/>
          <w:szCs w:val="22"/>
          <w:lang w:val="sr-Latn-ME"/>
        </w:rPr>
        <w:t xml:space="preserve"> </w:t>
      </w:r>
      <w:r w:rsidR="0095402A" w:rsidRPr="0056436C">
        <w:rPr>
          <w:bCs/>
          <w:sz w:val="22"/>
          <w:szCs w:val="22"/>
          <w:lang w:val="sr-Latn-ME"/>
        </w:rPr>
        <w:t>j</w:t>
      </w:r>
      <w:r w:rsidR="00B755D9" w:rsidRPr="0056436C">
        <w:rPr>
          <w:bCs/>
          <w:sz w:val="22"/>
          <w:szCs w:val="22"/>
          <w:lang w:val="sr-Latn-ME"/>
        </w:rPr>
        <w:t>e kod pedijatrijskih pacijenata (uzrast</w:t>
      </w:r>
      <w:r w:rsidR="0095402A" w:rsidRPr="0056436C">
        <w:rPr>
          <w:bCs/>
          <w:sz w:val="22"/>
          <w:szCs w:val="22"/>
          <w:lang w:val="sr-Latn-ME"/>
        </w:rPr>
        <w:t>a</w:t>
      </w:r>
      <w:r w:rsidRPr="0056436C">
        <w:rPr>
          <w:bCs/>
          <w:sz w:val="22"/>
          <w:szCs w:val="22"/>
          <w:lang w:val="sr-Latn-ME"/>
        </w:rPr>
        <w:t xml:space="preserve"> od 10 do 17 godina) s</w:t>
      </w:r>
      <w:r w:rsidR="001D715A" w:rsidRPr="0056436C">
        <w:rPr>
          <w:bCs/>
          <w:sz w:val="22"/>
          <w:szCs w:val="22"/>
          <w:lang w:val="sr-Latn-ME"/>
        </w:rPr>
        <w:t>a</w:t>
      </w:r>
      <w:r w:rsidRPr="0056436C">
        <w:rPr>
          <w:bCs/>
          <w:sz w:val="22"/>
          <w:szCs w:val="22"/>
          <w:lang w:val="sr-Latn-ME"/>
        </w:rPr>
        <w:t xml:space="preserve"> dijabetesom tipa 2. U toj je populaciji </w:t>
      </w:r>
      <w:r w:rsidR="001D715A" w:rsidRPr="0056436C">
        <w:rPr>
          <w:bCs/>
          <w:sz w:val="22"/>
          <w:szCs w:val="22"/>
          <w:lang w:val="sr-Latn-ME"/>
        </w:rPr>
        <w:t xml:space="preserve">PIK </w:t>
      </w:r>
      <w:r w:rsidRPr="0056436C">
        <w:rPr>
          <w:bCs/>
          <w:sz w:val="22"/>
          <w:szCs w:val="22"/>
          <w:lang w:val="sr-Latn-ME"/>
        </w:rPr>
        <w:t>sitagliptina u plazmi prilagođen za do</w:t>
      </w:r>
      <w:r w:rsidR="00B755D9" w:rsidRPr="0056436C">
        <w:rPr>
          <w:bCs/>
          <w:sz w:val="22"/>
          <w:szCs w:val="22"/>
          <w:lang w:val="sr-Latn-ME"/>
        </w:rPr>
        <w:t>zu bio približno 18% niži nego kod odraslih pacijenat</w:t>
      </w:r>
      <w:r w:rsidRPr="0056436C">
        <w:rPr>
          <w:bCs/>
          <w:sz w:val="22"/>
          <w:szCs w:val="22"/>
          <w:lang w:val="sr-Latn-ME"/>
        </w:rPr>
        <w:t>a s</w:t>
      </w:r>
      <w:r w:rsidR="001D715A" w:rsidRPr="0056436C">
        <w:rPr>
          <w:bCs/>
          <w:sz w:val="22"/>
          <w:szCs w:val="22"/>
          <w:lang w:val="sr-Latn-ME"/>
        </w:rPr>
        <w:t>a</w:t>
      </w:r>
      <w:r w:rsidRPr="0056436C">
        <w:rPr>
          <w:bCs/>
          <w:sz w:val="22"/>
          <w:szCs w:val="22"/>
          <w:lang w:val="sr-Latn-ME"/>
        </w:rPr>
        <w:t xml:space="preserve"> dijabetesom tipa 2 nakon primjene doze od 100 mg. Ta se razl</w:t>
      </w:r>
      <w:r w:rsidR="00B755D9" w:rsidRPr="0056436C">
        <w:rPr>
          <w:bCs/>
          <w:sz w:val="22"/>
          <w:szCs w:val="22"/>
          <w:lang w:val="sr-Latn-ME"/>
        </w:rPr>
        <w:t>ika u odnosu na odrasle pacijent</w:t>
      </w:r>
      <w:r w:rsidRPr="0056436C">
        <w:rPr>
          <w:bCs/>
          <w:sz w:val="22"/>
          <w:szCs w:val="22"/>
          <w:lang w:val="sr-Latn-ME"/>
        </w:rPr>
        <w:t>e ne smatra klinički značajnom s obzirom na ujednačen farmakokinetički/farmakodinamički odnos između doza od 50 mg i 100 mg. Ni</w:t>
      </w:r>
      <w:r w:rsidR="0095402A" w:rsidRPr="0056436C">
        <w:rPr>
          <w:bCs/>
          <w:sz w:val="22"/>
          <w:szCs w:val="22"/>
          <w:lang w:val="sr-Latn-ME"/>
        </w:rPr>
        <w:t>je</w:t>
      </w:r>
      <w:r w:rsidRPr="0056436C">
        <w:rPr>
          <w:bCs/>
          <w:sz w:val="22"/>
          <w:szCs w:val="22"/>
          <w:lang w:val="sr-Latn-ME"/>
        </w:rPr>
        <w:t xml:space="preserve">su </w:t>
      </w:r>
      <w:r w:rsidR="00BB6890" w:rsidRPr="0056436C">
        <w:rPr>
          <w:bCs/>
          <w:sz w:val="22"/>
          <w:szCs w:val="22"/>
          <w:lang w:val="sr-Latn-ME"/>
        </w:rPr>
        <w:t>s</w:t>
      </w:r>
      <w:r w:rsidRPr="0056436C">
        <w:rPr>
          <w:bCs/>
          <w:sz w:val="22"/>
          <w:szCs w:val="22"/>
          <w:lang w:val="sr-Latn-ME"/>
        </w:rPr>
        <w:t>prov</w:t>
      </w:r>
      <w:r w:rsidR="00B755D9" w:rsidRPr="0056436C">
        <w:rPr>
          <w:bCs/>
          <w:sz w:val="22"/>
          <w:szCs w:val="22"/>
          <w:lang w:val="sr-Latn-ME"/>
        </w:rPr>
        <w:t>edena ispitivanja sitagliptina kod pedijatrijskih pacijenat</w:t>
      </w:r>
      <w:r w:rsidRPr="0056436C">
        <w:rPr>
          <w:bCs/>
          <w:sz w:val="22"/>
          <w:szCs w:val="22"/>
          <w:lang w:val="sr-Latn-ME"/>
        </w:rPr>
        <w:t xml:space="preserve">a </w:t>
      </w:r>
      <w:r w:rsidR="00F725BA" w:rsidRPr="0056436C">
        <w:rPr>
          <w:bCs/>
          <w:sz w:val="22"/>
          <w:szCs w:val="22"/>
          <w:lang w:val="sr-Latn-ME"/>
        </w:rPr>
        <w:t>ml</w:t>
      </w:r>
      <w:r w:rsidRPr="0056436C">
        <w:rPr>
          <w:bCs/>
          <w:sz w:val="22"/>
          <w:szCs w:val="22"/>
          <w:lang w:val="sr-Latn-ME"/>
        </w:rPr>
        <w:t xml:space="preserve">ađih od 10 godina. </w:t>
      </w:r>
    </w:p>
    <w:p w:rsidR="00401EDF" w:rsidRPr="0056436C" w:rsidRDefault="00401EDF" w:rsidP="0056436C">
      <w:pPr>
        <w:tabs>
          <w:tab w:val="left" w:pos="540"/>
          <w:tab w:val="left" w:pos="569"/>
        </w:tabs>
        <w:jc w:val="both"/>
        <w:rPr>
          <w:bCs/>
          <w:sz w:val="22"/>
          <w:szCs w:val="22"/>
          <w:lang w:val="sr-Latn-ME"/>
        </w:rPr>
      </w:pPr>
    </w:p>
    <w:p w:rsidR="00401EDF" w:rsidRPr="0056436C" w:rsidRDefault="00401EDF" w:rsidP="0056436C">
      <w:pPr>
        <w:tabs>
          <w:tab w:val="left" w:pos="540"/>
          <w:tab w:val="left" w:pos="569"/>
        </w:tabs>
        <w:jc w:val="both"/>
        <w:rPr>
          <w:bCs/>
          <w:i/>
          <w:sz w:val="22"/>
          <w:szCs w:val="22"/>
          <w:lang w:val="sr-Latn-ME"/>
        </w:rPr>
      </w:pPr>
      <w:r w:rsidRPr="0056436C">
        <w:rPr>
          <w:bCs/>
          <w:i/>
          <w:sz w:val="22"/>
          <w:szCs w:val="22"/>
          <w:lang w:val="sr-Latn-ME"/>
        </w:rPr>
        <w:t>Ostale karakteristike pacijenata</w:t>
      </w:r>
    </w:p>
    <w:p w:rsidR="00401EDF" w:rsidRPr="0056436C" w:rsidRDefault="00401EDF" w:rsidP="0056436C">
      <w:pPr>
        <w:tabs>
          <w:tab w:val="left" w:pos="540"/>
          <w:tab w:val="left" w:pos="569"/>
        </w:tabs>
        <w:jc w:val="both"/>
        <w:rPr>
          <w:bCs/>
          <w:sz w:val="22"/>
          <w:szCs w:val="22"/>
          <w:lang w:val="sr-Latn-ME"/>
        </w:rPr>
      </w:pPr>
      <w:r w:rsidRPr="0056436C">
        <w:rPr>
          <w:bCs/>
          <w:sz w:val="22"/>
          <w:szCs w:val="22"/>
          <w:lang w:val="sr-Latn-ME"/>
        </w:rPr>
        <w:t xml:space="preserve">Nije potrebno prilagođavanje doze na osnovu pola, rase ili indeksa tjelesne mase pacijenta. Prema podacima iz kompozitne analize farmakokinetičkih podataka </w:t>
      </w:r>
      <w:r w:rsidR="0095402A" w:rsidRPr="0056436C">
        <w:rPr>
          <w:bCs/>
          <w:sz w:val="22"/>
          <w:szCs w:val="22"/>
          <w:lang w:val="sr-Latn-ME"/>
        </w:rPr>
        <w:t>f</w:t>
      </w:r>
      <w:r w:rsidRPr="0056436C">
        <w:rPr>
          <w:bCs/>
          <w:sz w:val="22"/>
          <w:szCs w:val="22"/>
          <w:lang w:val="sr-Latn-ME"/>
        </w:rPr>
        <w:t>aze I i populacion</w:t>
      </w:r>
      <w:r w:rsidR="0005322F" w:rsidRPr="0056436C">
        <w:rPr>
          <w:bCs/>
          <w:sz w:val="22"/>
          <w:szCs w:val="22"/>
          <w:lang w:val="sr-Latn-ME"/>
        </w:rPr>
        <w:t>oj</w:t>
      </w:r>
      <w:r w:rsidRPr="0056436C">
        <w:rPr>
          <w:bCs/>
          <w:sz w:val="22"/>
          <w:szCs w:val="22"/>
          <w:lang w:val="sr-Latn-ME"/>
        </w:rPr>
        <w:t xml:space="preserve"> </w:t>
      </w:r>
      <w:r w:rsidR="0095402A" w:rsidRPr="0056436C">
        <w:rPr>
          <w:bCs/>
          <w:sz w:val="22"/>
          <w:szCs w:val="22"/>
          <w:lang w:val="sr-Latn-ME"/>
        </w:rPr>
        <w:t>farmakokinetičk</w:t>
      </w:r>
      <w:r w:rsidR="0005322F" w:rsidRPr="0056436C">
        <w:rPr>
          <w:bCs/>
          <w:sz w:val="22"/>
          <w:szCs w:val="22"/>
          <w:lang w:val="sr-Latn-ME"/>
        </w:rPr>
        <w:t>oj</w:t>
      </w:r>
      <w:r w:rsidR="0095402A" w:rsidRPr="0056436C">
        <w:rPr>
          <w:bCs/>
          <w:sz w:val="22"/>
          <w:szCs w:val="22"/>
          <w:lang w:val="sr-Latn-ME"/>
        </w:rPr>
        <w:t xml:space="preserve"> analiz</w:t>
      </w:r>
      <w:r w:rsidR="0005322F" w:rsidRPr="0056436C">
        <w:rPr>
          <w:bCs/>
          <w:sz w:val="22"/>
          <w:szCs w:val="22"/>
          <w:lang w:val="sr-Latn-ME"/>
        </w:rPr>
        <w:t>i</w:t>
      </w:r>
      <w:r w:rsidRPr="0056436C">
        <w:rPr>
          <w:bCs/>
          <w:sz w:val="22"/>
          <w:szCs w:val="22"/>
          <w:lang w:val="sr-Latn-ME"/>
        </w:rPr>
        <w:t xml:space="preserve"> </w:t>
      </w:r>
      <w:r w:rsidR="0095402A" w:rsidRPr="0056436C">
        <w:rPr>
          <w:bCs/>
          <w:sz w:val="22"/>
          <w:szCs w:val="22"/>
          <w:lang w:val="sr-Latn-ME"/>
        </w:rPr>
        <w:t>podataka</w:t>
      </w:r>
      <w:r w:rsidR="0095402A" w:rsidRPr="0056436C" w:rsidDel="0095402A">
        <w:rPr>
          <w:bCs/>
          <w:sz w:val="22"/>
          <w:szCs w:val="22"/>
          <w:lang w:val="sr-Latn-ME"/>
        </w:rPr>
        <w:t xml:space="preserve"> </w:t>
      </w:r>
      <w:r w:rsidR="0005322F" w:rsidRPr="0056436C">
        <w:rPr>
          <w:bCs/>
          <w:sz w:val="22"/>
          <w:szCs w:val="22"/>
          <w:lang w:val="sr-Latn-ME"/>
        </w:rPr>
        <w:t>f</w:t>
      </w:r>
      <w:r w:rsidRPr="0056436C">
        <w:rPr>
          <w:bCs/>
          <w:sz w:val="22"/>
          <w:szCs w:val="22"/>
          <w:lang w:val="sr-Latn-ME"/>
        </w:rPr>
        <w:t xml:space="preserve">aze I i </w:t>
      </w:r>
      <w:r w:rsidR="0005322F" w:rsidRPr="0056436C">
        <w:rPr>
          <w:bCs/>
          <w:sz w:val="22"/>
          <w:szCs w:val="22"/>
          <w:lang w:val="sr-Latn-ME"/>
        </w:rPr>
        <w:t>f</w:t>
      </w:r>
      <w:r w:rsidRPr="0056436C">
        <w:rPr>
          <w:bCs/>
          <w:sz w:val="22"/>
          <w:szCs w:val="22"/>
          <w:lang w:val="sr-Latn-ME"/>
        </w:rPr>
        <w:t>aze II, ove karakteristike nemaju klinički značajan uticaj na farmakokinetiku sitagliptina.</w:t>
      </w:r>
    </w:p>
    <w:p w:rsidR="0072020E" w:rsidRPr="0056436C" w:rsidRDefault="0072020E" w:rsidP="0056436C">
      <w:pPr>
        <w:tabs>
          <w:tab w:val="left" w:pos="540"/>
          <w:tab w:val="left" w:pos="569"/>
        </w:tabs>
        <w:rPr>
          <w:bCs/>
          <w:sz w:val="22"/>
          <w:szCs w:val="22"/>
          <w:lang w:val="sr-Latn-ME"/>
        </w:rPr>
      </w:pPr>
    </w:p>
    <w:p w:rsidR="0072020E" w:rsidRPr="0056436C" w:rsidRDefault="0072020E" w:rsidP="0056436C">
      <w:pPr>
        <w:tabs>
          <w:tab w:val="left" w:pos="540"/>
          <w:tab w:val="left" w:pos="569"/>
        </w:tabs>
        <w:rPr>
          <w:b/>
          <w:bCs/>
          <w:sz w:val="22"/>
          <w:szCs w:val="22"/>
          <w:lang w:val="sr-Latn-ME"/>
        </w:rPr>
      </w:pPr>
      <w:r w:rsidRPr="0056436C">
        <w:rPr>
          <w:b/>
          <w:bCs/>
          <w:sz w:val="22"/>
          <w:szCs w:val="22"/>
          <w:lang w:val="sr-Latn-ME"/>
        </w:rPr>
        <w:t xml:space="preserve">5.3. </w:t>
      </w:r>
      <w:r w:rsidR="00480FB1" w:rsidRPr="0056436C">
        <w:rPr>
          <w:b/>
          <w:bCs/>
          <w:sz w:val="22"/>
          <w:szCs w:val="22"/>
          <w:lang w:val="sr-Latn-ME"/>
        </w:rPr>
        <w:tab/>
      </w:r>
      <w:r w:rsidRPr="0056436C">
        <w:rPr>
          <w:b/>
          <w:bCs/>
          <w:sz w:val="22"/>
          <w:szCs w:val="22"/>
          <w:lang w:val="sr-Latn-ME"/>
        </w:rPr>
        <w:t xml:space="preserve">Pretklinički podaci o bezbjednosti </w:t>
      </w:r>
    </w:p>
    <w:p w:rsidR="00836B35" w:rsidRPr="0056436C" w:rsidRDefault="00836B35" w:rsidP="0056436C">
      <w:pPr>
        <w:tabs>
          <w:tab w:val="left" w:pos="540"/>
          <w:tab w:val="left" w:pos="569"/>
        </w:tabs>
        <w:rPr>
          <w:bCs/>
          <w:sz w:val="22"/>
          <w:szCs w:val="22"/>
          <w:lang w:val="sr-Latn-ME"/>
        </w:rPr>
      </w:pPr>
    </w:p>
    <w:p w:rsidR="001E5954" w:rsidRPr="0056436C" w:rsidRDefault="001E5954" w:rsidP="0056436C">
      <w:pPr>
        <w:tabs>
          <w:tab w:val="left" w:pos="540"/>
          <w:tab w:val="left" w:pos="569"/>
        </w:tabs>
        <w:jc w:val="both"/>
        <w:rPr>
          <w:bCs/>
          <w:sz w:val="22"/>
          <w:szCs w:val="22"/>
          <w:lang w:val="sr-Latn-ME"/>
        </w:rPr>
      </w:pPr>
      <w:r w:rsidRPr="0056436C">
        <w:rPr>
          <w:bCs/>
          <w:sz w:val="22"/>
          <w:szCs w:val="22"/>
          <w:lang w:val="sr-Latn-ME"/>
        </w:rPr>
        <w:t>Kod glodara su uočeni toksični efekti na bubre</w:t>
      </w:r>
      <w:r w:rsidR="0005322F" w:rsidRPr="0056436C">
        <w:rPr>
          <w:bCs/>
          <w:sz w:val="22"/>
          <w:szCs w:val="22"/>
          <w:lang w:val="sr-Latn-ME"/>
        </w:rPr>
        <w:t>ge</w:t>
      </w:r>
      <w:r w:rsidRPr="0056436C">
        <w:rPr>
          <w:bCs/>
          <w:sz w:val="22"/>
          <w:szCs w:val="22"/>
          <w:lang w:val="sr-Latn-ME"/>
        </w:rPr>
        <w:t xml:space="preserve"> i jetr</w:t>
      </w:r>
      <w:r w:rsidR="0005322F" w:rsidRPr="0056436C">
        <w:rPr>
          <w:bCs/>
          <w:sz w:val="22"/>
          <w:szCs w:val="22"/>
          <w:lang w:val="sr-Latn-ME"/>
        </w:rPr>
        <w:t>u</w:t>
      </w:r>
      <w:r w:rsidRPr="0056436C">
        <w:rPr>
          <w:bCs/>
          <w:sz w:val="22"/>
          <w:szCs w:val="22"/>
          <w:lang w:val="sr-Latn-ME"/>
        </w:rPr>
        <w:t xml:space="preserve"> pri vrijednostima sistemske izloženosti koje su bile 58 puta veće od nivoa izloženosti kod ljudi, </w:t>
      </w:r>
      <w:r w:rsidR="0005322F" w:rsidRPr="0056436C">
        <w:rPr>
          <w:bCs/>
          <w:sz w:val="22"/>
          <w:szCs w:val="22"/>
          <w:lang w:val="sr-Latn-ME"/>
        </w:rPr>
        <w:t>dok je</w:t>
      </w:r>
      <w:r w:rsidRPr="0056436C">
        <w:rPr>
          <w:bCs/>
          <w:sz w:val="22"/>
          <w:szCs w:val="22"/>
          <w:lang w:val="sr-Latn-ME"/>
        </w:rPr>
        <w:t xml:space="preserve"> nivo izloženosti bez efekta uočen pri </w:t>
      </w:r>
      <w:r w:rsidR="0005322F" w:rsidRPr="0056436C">
        <w:rPr>
          <w:bCs/>
          <w:sz w:val="22"/>
          <w:szCs w:val="22"/>
          <w:lang w:val="sr-Latn-ME"/>
        </w:rPr>
        <w:t xml:space="preserve">izloženostima </w:t>
      </w:r>
      <w:r w:rsidRPr="0056436C">
        <w:rPr>
          <w:bCs/>
          <w:sz w:val="22"/>
          <w:szCs w:val="22"/>
          <w:lang w:val="sr-Latn-ME"/>
        </w:rPr>
        <w:t xml:space="preserve">koje su bile 19 puta veće od nivoa izloženosti kod ljudi. Pri vrijednostima sistemske izloženosti koje su bile 67 puta veće od nivoa kliničke izloženosti, kod glodara su uočene abnormalnosti </w:t>
      </w:r>
      <w:r w:rsidR="0005322F" w:rsidRPr="0056436C">
        <w:rPr>
          <w:bCs/>
          <w:sz w:val="22"/>
          <w:szCs w:val="22"/>
          <w:lang w:val="sr-Latn-ME"/>
        </w:rPr>
        <w:t xml:space="preserve">na </w:t>
      </w:r>
      <w:r w:rsidRPr="0056436C">
        <w:rPr>
          <w:bCs/>
          <w:sz w:val="22"/>
          <w:szCs w:val="22"/>
          <w:lang w:val="sr-Latn-ME"/>
        </w:rPr>
        <w:t>s</w:t>
      </w:r>
      <w:r w:rsidR="0005322F" w:rsidRPr="0056436C">
        <w:rPr>
          <w:bCs/>
          <w:sz w:val="22"/>
          <w:szCs w:val="22"/>
          <w:lang w:val="sr-Latn-ME"/>
        </w:rPr>
        <w:t>j</w:t>
      </w:r>
      <w:r w:rsidRPr="0056436C">
        <w:rPr>
          <w:bCs/>
          <w:sz w:val="22"/>
          <w:szCs w:val="22"/>
          <w:lang w:val="sr-Latn-ME"/>
        </w:rPr>
        <w:t>ekutić</w:t>
      </w:r>
      <w:r w:rsidR="0005322F" w:rsidRPr="0056436C">
        <w:rPr>
          <w:bCs/>
          <w:sz w:val="22"/>
          <w:szCs w:val="22"/>
          <w:lang w:val="sr-Latn-ME"/>
        </w:rPr>
        <w:t>im</w:t>
      </w:r>
      <w:r w:rsidRPr="0056436C">
        <w:rPr>
          <w:bCs/>
          <w:sz w:val="22"/>
          <w:szCs w:val="22"/>
          <w:lang w:val="sr-Latn-ME"/>
        </w:rPr>
        <w:t>a. U ovoj 14-nedjeljnoj studiji na pacovima, nivo izloženosti bez efekta bio je pri vrijednostima sistemske izloženosti koje su bile 58 puta veće od nivoa kliničke izloženosti. Nije poznat značaj ovih nalaza za ljude. Kod pasa, pri izloženosti koja je bila oko 23 puta veća od nivoa kliničke izloženosti, uočeni su prolazni fizički znaci povezani sa prim</w:t>
      </w:r>
      <w:r w:rsidR="00FE584D" w:rsidRPr="0056436C">
        <w:rPr>
          <w:bCs/>
          <w:sz w:val="22"/>
          <w:szCs w:val="22"/>
          <w:lang w:val="sr-Latn-ME"/>
        </w:rPr>
        <w:t>i</w:t>
      </w:r>
      <w:r w:rsidRPr="0056436C">
        <w:rPr>
          <w:bCs/>
          <w:sz w:val="22"/>
          <w:szCs w:val="22"/>
          <w:lang w:val="sr-Latn-ME"/>
        </w:rPr>
        <w:t xml:space="preserve">jenjenom terapijom, a neki od ovih znakova su ukazivali na neurotoksičnost, poput disanja otvorenih usta, salivacije, povraćanja u vidu bijele pjene, ataksije, drhtanja, smanjene aktivnosti i/ili pogrbljenog držanja tijela. Pored toga, histološkim pregledom je uočena veoma mala do mala degeneracija skeletnih mišića pri dozama koje su proizvele sistemsku izloženost oko 23 puta veću od izloženosti kod ljudi. Nivo izloženosti bez efekta </w:t>
      </w:r>
      <w:r w:rsidR="00FE584D" w:rsidRPr="0056436C">
        <w:rPr>
          <w:bCs/>
          <w:sz w:val="22"/>
          <w:szCs w:val="22"/>
          <w:lang w:val="sr-Latn-ME"/>
        </w:rPr>
        <w:t xml:space="preserve">za ove nalaze </w:t>
      </w:r>
      <w:r w:rsidRPr="0056436C">
        <w:rPr>
          <w:bCs/>
          <w:sz w:val="22"/>
          <w:szCs w:val="22"/>
          <w:lang w:val="sr-Latn-ME"/>
        </w:rPr>
        <w:t xml:space="preserve">bio je </w:t>
      </w:r>
      <w:r w:rsidR="00FE584D" w:rsidRPr="0056436C">
        <w:rPr>
          <w:bCs/>
          <w:sz w:val="22"/>
          <w:szCs w:val="22"/>
          <w:lang w:val="sr-Latn-ME"/>
        </w:rPr>
        <w:t xml:space="preserve">pri nivou </w:t>
      </w:r>
      <w:r w:rsidRPr="0056436C">
        <w:rPr>
          <w:bCs/>
          <w:sz w:val="22"/>
          <w:szCs w:val="22"/>
          <w:lang w:val="sr-Latn-ME"/>
        </w:rPr>
        <w:t>izloženost</w:t>
      </w:r>
      <w:r w:rsidR="00FE584D" w:rsidRPr="0056436C">
        <w:rPr>
          <w:bCs/>
          <w:sz w:val="22"/>
          <w:szCs w:val="22"/>
          <w:lang w:val="sr-Latn-ME"/>
        </w:rPr>
        <w:t>i</w:t>
      </w:r>
      <w:r w:rsidRPr="0056436C">
        <w:rPr>
          <w:bCs/>
          <w:sz w:val="22"/>
          <w:szCs w:val="22"/>
          <w:lang w:val="sr-Latn-ME"/>
        </w:rPr>
        <w:t xml:space="preserve"> koja je bila 6 puta veća od kliničke izloženosti.</w:t>
      </w:r>
    </w:p>
    <w:p w:rsidR="001E5954" w:rsidRPr="0056436C" w:rsidRDefault="001E5954" w:rsidP="0056436C">
      <w:pPr>
        <w:tabs>
          <w:tab w:val="left" w:pos="540"/>
          <w:tab w:val="left" w:pos="569"/>
        </w:tabs>
        <w:jc w:val="both"/>
        <w:rPr>
          <w:bCs/>
          <w:sz w:val="22"/>
          <w:szCs w:val="22"/>
          <w:lang w:val="sr-Latn-ME"/>
        </w:rPr>
      </w:pPr>
    </w:p>
    <w:p w:rsidR="001E5954" w:rsidRPr="0056436C" w:rsidRDefault="001E5954" w:rsidP="0056436C">
      <w:pPr>
        <w:tabs>
          <w:tab w:val="left" w:pos="540"/>
          <w:tab w:val="left" w:pos="569"/>
        </w:tabs>
        <w:jc w:val="both"/>
        <w:rPr>
          <w:bCs/>
          <w:sz w:val="22"/>
          <w:szCs w:val="22"/>
          <w:lang w:val="sr-Latn-ME"/>
        </w:rPr>
      </w:pPr>
      <w:r w:rsidRPr="0056436C">
        <w:rPr>
          <w:bCs/>
          <w:sz w:val="22"/>
          <w:szCs w:val="22"/>
          <w:lang w:val="sr-Latn-ME"/>
        </w:rPr>
        <w:lastRenderedPageBreak/>
        <w:t>U pretkliničkim studijama nije uočeno genotoksično dejstvo sitagliptina. Kod miševa, sitagliptin nije ispoljio karcinogeni efekat. Kod pacova je uočena povećana učestalost adenoma i karcinoma jetre pri sistemskoj izloženosti koja je bila 58 puta veća od izloženosti kod ljudi. Budući da je dokazano da je, kod pacova, hepatotoksičnost u korelaciji sa indukcijom neoplazije jetre, ova povećana učestalost tumora jetre kod pacova je vjerovatno sekundarna posljedica hronične hepatotoksičnosti usl</w:t>
      </w:r>
      <w:r w:rsidR="00FE584D" w:rsidRPr="0056436C">
        <w:rPr>
          <w:bCs/>
          <w:sz w:val="22"/>
          <w:szCs w:val="22"/>
          <w:lang w:val="sr-Latn-ME"/>
        </w:rPr>
        <w:t>j</w:t>
      </w:r>
      <w:r w:rsidRPr="0056436C">
        <w:rPr>
          <w:bCs/>
          <w:sz w:val="22"/>
          <w:szCs w:val="22"/>
          <w:lang w:val="sr-Latn-ME"/>
        </w:rPr>
        <w:t>ed primjene ove visoke doze. Zbog visoke bezb</w:t>
      </w:r>
      <w:r w:rsidR="00F244D3" w:rsidRPr="0056436C">
        <w:rPr>
          <w:bCs/>
          <w:sz w:val="22"/>
          <w:szCs w:val="22"/>
          <w:lang w:val="sr-Latn-ME"/>
        </w:rPr>
        <w:t>j</w:t>
      </w:r>
      <w:r w:rsidRPr="0056436C">
        <w:rPr>
          <w:bCs/>
          <w:sz w:val="22"/>
          <w:szCs w:val="22"/>
          <w:lang w:val="sr-Latn-ME"/>
        </w:rPr>
        <w:t>ednosne margine (19 puta veća od ovog nivoa izloženosti bez efekta)</w:t>
      </w:r>
      <w:r w:rsidR="00FE584D" w:rsidRPr="0056436C">
        <w:rPr>
          <w:bCs/>
          <w:sz w:val="22"/>
          <w:szCs w:val="22"/>
          <w:lang w:val="sr-Latn-ME"/>
        </w:rPr>
        <w:t>,</w:t>
      </w:r>
      <w:r w:rsidRPr="0056436C">
        <w:rPr>
          <w:bCs/>
          <w:sz w:val="22"/>
          <w:szCs w:val="22"/>
          <w:lang w:val="sr-Latn-ME"/>
        </w:rPr>
        <w:t xml:space="preserve"> smatra se da ove neoplastične promjene ni</w:t>
      </w:r>
      <w:r w:rsidR="00FE584D" w:rsidRPr="0056436C">
        <w:rPr>
          <w:bCs/>
          <w:sz w:val="22"/>
          <w:szCs w:val="22"/>
          <w:lang w:val="sr-Latn-ME"/>
        </w:rPr>
        <w:t>je</w:t>
      </w:r>
      <w:r w:rsidRPr="0056436C">
        <w:rPr>
          <w:bCs/>
          <w:sz w:val="22"/>
          <w:szCs w:val="22"/>
          <w:lang w:val="sr-Latn-ME"/>
        </w:rPr>
        <w:t xml:space="preserve">su </w:t>
      </w:r>
      <w:r w:rsidR="00FE584D" w:rsidRPr="0056436C">
        <w:rPr>
          <w:bCs/>
          <w:sz w:val="22"/>
          <w:szCs w:val="22"/>
          <w:lang w:val="sr-Latn-ME"/>
        </w:rPr>
        <w:t>značajne u slučaju</w:t>
      </w:r>
      <w:r w:rsidRPr="0056436C">
        <w:rPr>
          <w:bCs/>
          <w:sz w:val="22"/>
          <w:szCs w:val="22"/>
          <w:lang w:val="sr-Latn-ME"/>
        </w:rPr>
        <w:t xml:space="preserve"> primjen</w:t>
      </w:r>
      <w:r w:rsidR="00FE584D" w:rsidRPr="0056436C">
        <w:rPr>
          <w:bCs/>
          <w:sz w:val="22"/>
          <w:szCs w:val="22"/>
          <w:lang w:val="sr-Latn-ME"/>
        </w:rPr>
        <w:t>e</w:t>
      </w:r>
      <w:r w:rsidRPr="0056436C">
        <w:rPr>
          <w:bCs/>
          <w:sz w:val="22"/>
          <w:szCs w:val="22"/>
          <w:lang w:val="sr-Latn-ME"/>
        </w:rPr>
        <w:t xml:space="preserve"> lijeka kod ljudi.</w:t>
      </w:r>
    </w:p>
    <w:p w:rsidR="001E5954" w:rsidRPr="0056436C" w:rsidRDefault="001E5954" w:rsidP="0056436C">
      <w:pPr>
        <w:tabs>
          <w:tab w:val="left" w:pos="540"/>
          <w:tab w:val="left" w:pos="569"/>
        </w:tabs>
        <w:jc w:val="both"/>
        <w:rPr>
          <w:bCs/>
          <w:sz w:val="22"/>
          <w:szCs w:val="22"/>
          <w:lang w:val="sr-Latn-ME"/>
        </w:rPr>
      </w:pPr>
    </w:p>
    <w:p w:rsidR="001E5954" w:rsidRPr="0056436C" w:rsidRDefault="001E5954" w:rsidP="0056436C">
      <w:pPr>
        <w:tabs>
          <w:tab w:val="left" w:pos="540"/>
          <w:tab w:val="left" w:pos="569"/>
        </w:tabs>
        <w:jc w:val="both"/>
        <w:rPr>
          <w:bCs/>
          <w:sz w:val="22"/>
          <w:szCs w:val="22"/>
          <w:lang w:val="sr-Latn-ME"/>
        </w:rPr>
      </w:pPr>
      <w:r w:rsidRPr="0056436C">
        <w:rPr>
          <w:bCs/>
          <w:sz w:val="22"/>
          <w:szCs w:val="22"/>
          <w:lang w:val="sr-Latn-ME"/>
        </w:rPr>
        <w:t>Kada je sitagliptin primjenjivan kod mužjaka i ženki pacova, pr</w:t>
      </w:r>
      <w:r w:rsidR="00FE584D" w:rsidRPr="0056436C">
        <w:rPr>
          <w:bCs/>
          <w:sz w:val="22"/>
          <w:szCs w:val="22"/>
          <w:lang w:val="sr-Latn-ME"/>
        </w:rPr>
        <w:t>ij</w:t>
      </w:r>
      <w:r w:rsidRPr="0056436C">
        <w:rPr>
          <w:bCs/>
          <w:sz w:val="22"/>
          <w:szCs w:val="22"/>
          <w:lang w:val="sr-Latn-ME"/>
        </w:rPr>
        <w:t>e i tokom parenja, ni</w:t>
      </w:r>
      <w:r w:rsidR="00FE584D" w:rsidRPr="0056436C">
        <w:rPr>
          <w:bCs/>
          <w:sz w:val="22"/>
          <w:szCs w:val="22"/>
          <w:lang w:val="sr-Latn-ME"/>
        </w:rPr>
        <w:t>je</w:t>
      </w:r>
      <w:r w:rsidRPr="0056436C">
        <w:rPr>
          <w:bCs/>
          <w:sz w:val="22"/>
          <w:szCs w:val="22"/>
          <w:lang w:val="sr-Latn-ME"/>
        </w:rPr>
        <w:t>su uočene neželjene reakcije na plodnost.</w:t>
      </w:r>
    </w:p>
    <w:p w:rsidR="001E5954" w:rsidRPr="0056436C" w:rsidRDefault="001E5954" w:rsidP="0056436C">
      <w:pPr>
        <w:tabs>
          <w:tab w:val="left" w:pos="540"/>
          <w:tab w:val="left" w:pos="569"/>
        </w:tabs>
        <w:jc w:val="both"/>
        <w:rPr>
          <w:bCs/>
          <w:sz w:val="22"/>
          <w:szCs w:val="22"/>
          <w:lang w:val="sr-Latn-ME"/>
        </w:rPr>
      </w:pPr>
    </w:p>
    <w:p w:rsidR="001E5954" w:rsidRPr="0056436C" w:rsidRDefault="001E5954" w:rsidP="0056436C">
      <w:pPr>
        <w:tabs>
          <w:tab w:val="left" w:pos="540"/>
          <w:tab w:val="left" w:pos="569"/>
        </w:tabs>
        <w:jc w:val="both"/>
        <w:rPr>
          <w:bCs/>
          <w:sz w:val="22"/>
          <w:szCs w:val="22"/>
          <w:lang w:val="sr-Latn-ME"/>
        </w:rPr>
      </w:pPr>
      <w:r w:rsidRPr="0056436C">
        <w:rPr>
          <w:bCs/>
          <w:sz w:val="22"/>
          <w:szCs w:val="22"/>
          <w:lang w:val="sr-Latn-ME"/>
        </w:rPr>
        <w:t>Sitagliptin nije ispoljio neželjene reakcije u studiji koja je sprovedena na pacovima za procjenu prenatalnog i postnatalnog razvoja.</w:t>
      </w:r>
    </w:p>
    <w:p w:rsidR="001E5954" w:rsidRPr="0056436C" w:rsidRDefault="001E5954" w:rsidP="0056436C">
      <w:pPr>
        <w:tabs>
          <w:tab w:val="left" w:pos="540"/>
          <w:tab w:val="left" w:pos="569"/>
        </w:tabs>
        <w:jc w:val="both"/>
        <w:rPr>
          <w:bCs/>
          <w:sz w:val="22"/>
          <w:szCs w:val="22"/>
          <w:lang w:val="sr-Latn-ME"/>
        </w:rPr>
      </w:pPr>
    </w:p>
    <w:p w:rsidR="001E5954" w:rsidRPr="0056436C" w:rsidRDefault="001E5954" w:rsidP="0056436C">
      <w:pPr>
        <w:tabs>
          <w:tab w:val="left" w:pos="540"/>
          <w:tab w:val="left" w:pos="569"/>
        </w:tabs>
        <w:jc w:val="both"/>
        <w:rPr>
          <w:bCs/>
          <w:sz w:val="22"/>
          <w:szCs w:val="22"/>
          <w:lang w:val="sr-Latn-ME"/>
        </w:rPr>
      </w:pPr>
      <w:r w:rsidRPr="0056436C">
        <w:rPr>
          <w:bCs/>
          <w:sz w:val="22"/>
          <w:szCs w:val="22"/>
          <w:lang w:val="sr-Latn-ME"/>
        </w:rPr>
        <w:t xml:space="preserve">Studije reproduktivne toksičnosti su pokazale mali, sa terapijom povezani, porast učestalosti malformacije rebara kod fetusa (odsustvo rebara, hipoplastična rebra i talasasta rebra) pacova pri sistemskoj izloženosti koja je bila više od 29 puta veća od izloženosti kod ljudi. Kod kunića, pri sistemskoj izloženosti koja je bila više od 29 puta veća od izloženosti kod ljudi, uočena je toksičnost po majku. Zbog visoke bezbjednosne margine, smatra se da ovi nalazi ne ukazuju na relevantni rizik za reprodukciju kod ljudi. Sitagliptin se izlučuje u značajnim količinama u </w:t>
      </w:r>
      <w:r w:rsidR="00F725BA" w:rsidRPr="0056436C">
        <w:rPr>
          <w:bCs/>
          <w:sz w:val="22"/>
          <w:szCs w:val="22"/>
          <w:lang w:val="sr-Latn-ME"/>
        </w:rPr>
        <w:t>ml</w:t>
      </w:r>
      <w:r w:rsidRPr="0056436C">
        <w:rPr>
          <w:bCs/>
          <w:sz w:val="22"/>
          <w:szCs w:val="22"/>
          <w:lang w:val="sr-Latn-ME"/>
        </w:rPr>
        <w:t>ijek</w:t>
      </w:r>
      <w:r w:rsidR="001C7093" w:rsidRPr="0056436C">
        <w:rPr>
          <w:bCs/>
          <w:sz w:val="22"/>
          <w:szCs w:val="22"/>
          <w:lang w:val="sr-Latn-ME"/>
        </w:rPr>
        <w:t>o</w:t>
      </w:r>
      <w:r w:rsidRPr="0056436C">
        <w:rPr>
          <w:bCs/>
          <w:sz w:val="22"/>
          <w:szCs w:val="22"/>
          <w:lang w:val="sr-Latn-ME"/>
        </w:rPr>
        <w:t xml:space="preserve"> ženki pacova (odnos između količine lijeka u </w:t>
      </w:r>
      <w:r w:rsidR="00F725BA" w:rsidRPr="0056436C">
        <w:rPr>
          <w:bCs/>
          <w:sz w:val="22"/>
          <w:szCs w:val="22"/>
          <w:lang w:val="sr-Latn-ME"/>
        </w:rPr>
        <w:t>ml</w:t>
      </w:r>
      <w:r w:rsidRPr="0056436C">
        <w:rPr>
          <w:bCs/>
          <w:sz w:val="22"/>
          <w:szCs w:val="22"/>
          <w:lang w:val="sr-Latn-ME"/>
        </w:rPr>
        <w:t>ijeku i količine u plazmi je 4:1).</w:t>
      </w:r>
    </w:p>
    <w:p w:rsidR="00396DFD" w:rsidRPr="0056436C" w:rsidRDefault="00396DFD" w:rsidP="0056436C">
      <w:pPr>
        <w:tabs>
          <w:tab w:val="left" w:pos="540"/>
          <w:tab w:val="left" w:pos="569"/>
        </w:tabs>
        <w:rPr>
          <w:b/>
          <w:bCs/>
          <w:sz w:val="22"/>
          <w:szCs w:val="22"/>
          <w:lang w:val="sr-Latn-ME"/>
        </w:rPr>
      </w:pPr>
    </w:p>
    <w:p w:rsidR="00F725BA" w:rsidRPr="0056436C" w:rsidRDefault="00F725BA" w:rsidP="0056436C">
      <w:pPr>
        <w:tabs>
          <w:tab w:val="left" w:pos="540"/>
          <w:tab w:val="left" w:pos="569"/>
        </w:tabs>
        <w:rPr>
          <w:b/>
          <w:bCs/>
          <w:sz w:val="22"/>
          <w:szCs w:val="22"/>
          <w:lang w:val="sr-Latn-ME"/>
        </w:rPr>
      </w:pPr>
    </w:p>
    <w:p w:rsidR="0072020E" w:rsidRPr="0056436C" w:rsidRDefault="0072020E" w:rsidP="0056436C">
      <w:pPr>
        <w:tabs>
          <w:tab w:val="left" w:pos="540"/>
          <w:tab w:val="left" w:pos="569"/>
        </w:tabs>
        <w:rPr>
          <w:b/>
          <w:bCs/>
          <w:sz w:val="22"/>
          <w:szCs w:val="22"/>
          <w:lang w:val="sr-Latn-ME"/>
        </w:rPr>
      </w:pPr>
      <w:r w:rsidRPr="0056436C">
        <w:rPr>
          <w:b/>
          <w:bCs/>
          <w:sz w:val="22"/>
          <w:szCs w:val="22"/>
          <w:lang w:val="sr-Latn-ME"/>
        </w:rPr>
        <w:t xml:space="preserve">6. </w:t>
      </w:r>
      <w:r w:rsidR="00480FB1" w:rsidRPr="0056436C">
        <w:rPr>
          <w:b/>
          <w:bCs/>
          <w:sz w:val="22"/>
          <w:szCs w:val="22"/>
          <w:lang w:val="sr-Latn-ME"/>
        </w:rPr>
        <w:tab/>
      </w:r>
      <w:r w:rsidRPr="0056436C">
        <w:rPr>
          <w:b/>
          <w:bCs/>
          <w:sz w:val="22"/>
          <w:szCs w:val="22"/>
          <w:lang w:val="sr-Latn-ME"/>
        </w:rPr>
        <w:t>FARMACEUTSKI PODACI</w:t>
      </w:r>
    </w:p>
    <w:p w:rsidR="00836B35" w:rsidRPr="0056436C" w:rsidRDefault="00836B35" w:rsidP="0056436C">
      <w:pPr>
        <w:tabs>
          <w:tab w:val="left" w:pos="540"/>
          <w:tab w:val="left" w:pos="569"/>
        </w:tabs>
        <w:rPr>
          <w:bCs/>
          <w:sz w:val="22"/>
          <w:szCs w:val="22"/>
          <w:lang w:val="sr-Latn-ME"/>
        </w:rPr>
      </w:pPr>
    </w:p>
    <w:p w:rsidR="0072020E" w:rsidRPr="0056436C" w:rsidRDefault="0072020E" w:rsidP="0056436C">
      <w:pPr>
        <w:tabs>
          <w:tab w:val="left" w:pos="540"/>
          <w:tab w:val="left" w:pos="569"/>
        </w:tabs>
        <w:rPr>
          <w:b/>
          <w:bCs/>
          <w:sz w:val="22"/>
          <w:szCs w:val="22"/>
          <w:lang w:val="sr-Latn-ME"/>
        </w:rPr>
      </w:pPr>
      <w:r w:rsidRPr="0056436C">
        <w:rPr>
          <w:b/>
          <w:bCs/>
          <w:sz w:val="22"/>
          <w:szCs w:val="22"/>
          <w:lang w:val="sr-Latn-ME"/>
        </w:rPr>
        <w:t xml:space="preserve">6.1. </w:t>
      </w:r>
      <w:r w:rsidR="00480FB1" w:rsidRPr="0056436C">
        <w:rPr>
          <w:b/>
          <w:bCs/>
          <w:sz w:val="22"/>
          <w:szCs w:val="22"/>
          <w:lang w:val="sr-Latn-ME"/>
        </w:rPr>
        <w:tab/>
      </w:r>
      <w:r w:rsidRPr="0056436C">
        <w:rPr>
          <w:b/>
          <w:bCs/>
          <w:sz w:val="22"/>
          <w:szCs w:val="22"/>
          <w:lang w:val="sr-Latn-ME"/>
        </w:rPr>
        <w:t>Lista pomoćnih supstanci</w:t>
      </w:r>
      <w:r w:rsidR="002E0135" w:rsidRPr="0056436C">
        <w:rPr>
          <w:b/>
          <w:bCs/>
          <w:sz w:val="22"/>
          <w:szCs w:val="22"/>
          <w:lang w:val="sr-Latn-ME"/>
        </w:rPr>
        <w:t xml:space="preserve"> (ekscipijenasa)</w:t>
      </w:r>
    </w:p>
    <w:p w:rsidR="00EA6F57" w:rsidRPr="0056436C" w:rsidRDefault="00EA6F57" w:rsidP="0056436C">
      <w:pPr>
        <w:tabs>
          <w:tab w:val="left" w:pos="540"/>
          <w:tab w:val="left" w:pos="569"/>
        </w:tabs>
        <w:rPr>
          <w:bCs/>
          <w:sz w:val="22"/>
          <w:szCs w:val="22"/>
          <w:lang w:val="sr-Latn-ME"/>
        </w:rPr>
      </w:pPr>
    </w:p>
    <w:p w:rsidR="009C6427" w:rsidRPr="0056436C" w:rsidRDefault="00EA6F57" w:rsidP="0056436C">
      <w:pPr>
        <w:tabs>
          <w:tab w:val="left" w:pos="540"/>
          <w:tab w:val="left" w:pos="569"/>
        </w:tabs>
        <w:rPr>
          <w:bCs/>
          <w:sz w:val="22"/>
          <w:szCs w:val="22"/>
          <w:lang w:val="sr-Latn-ME"/>
        </w:rPr>
      </w:pPr>
      <w:r w:rsidRPr="0056436C">
        <w:rPr>
          <w:bCs/>
          <w:sz w:val="22"/>
          <w:szCs w:val="22"/>
          <w:lang w:val="sr-Latn-ME"/>
        </w:rPr>
        <w:t>Jezgro</w:t>
      </w:r>
      <w:r w:rsidR="009C6427" w:rsidRPr="0056436C">
        <w:rPr>
          <w:bCs/>
          <w:sz w:val="22"/>
          <w:szCs w:val="22"/>
          <w:lang w:val="sr-Latn-ME"/>
        </w:rPr>
        <w:t xml:space="preserve"> tablete: </w:t>
      </w:r>
    </w:p>
    <w:p w:rsidR="009C6427" w:rsidRPr="0056436C" w:rsidRDefault="009C6427" w:rsidP="0056436C">
      <w:pPr>
        <w:tabs>
          <w:tab w:val="left" w:pos="540"/>
          <w:tab w:val="left" w:pos="569"/>
        </w:tabs>
        <w:rPr>
          <w:bCs/>
          <w:sz w:val="22"/>
          <w:szCs w:val="22"/>
          <w:lang w:val="sr-Latn-ME"/>
        </w:rPr>
      </w:pPr>
      <w:r w:rsidRPr="0056436C">
        <w:rPr>
          <w:bCs/>
          <w:sz w:val="22"/>
          <w:szCs w:val="22"/>
          <w:lang w:val="sr-Latn-ME"/>
        </w:rPr>
        <w:t xml:space="preserve">celuloza, mikrokristalna </w:t>
      </w:r>
    </w:p>
    <w:p w:rsidR="009C6427" w:rsidRPr="0056436C" w:rsidRDefault="009C6427" w:rsidP="0056436C">
      <w:pPr>
        <w:tabs>
          <w:tab w:val="left" w:pos="540"/>
          <w:tab w:val="left" w:pos="569"/>
        </w:tabs>
        <w:rPr>
          <w:bCs/>
          <w:sz w:val="22"/>
          <w:szCs w:val="22"/>
          <w:lang w:val="sr-Latn-ME"/>
        </w:rPr>
      </w:pPr>
      <w:r w:rsidRPr="0056436C">
        <w:rPr>
          <w:bCs/>
          <w:sz w:val="22"/>
          <w:szCs w:val="22"/>
          <w:lang w:val="sr-Latn-ME"/>
        </w:rPr>
        <w:t>kalcijum hidrogenfosfat</w:t>
      </w:r>
    </w:p>
    <w:p w:rsidR="009C6427" w:rsidRPr="0056436C" w:rsidRDefault="009C6427" w:rsidP="0056436C">
      <w:pPr>
        <w:tabs>
          <w:tab w:val="left" w:pos="540"/>
          <w:tab w:val="left" w:pos="569"/>
        </w:tabs>
        <w:rPr>
          <w:bCs/>
          <w:sz w:val="22"/>
          <w:szCs w:val="22"/>
          <w:lang w:val="sr-Latn-ME"/>
        </w:rPr>
      </w:pPr>
      <w:r w:rsidRPr="0056436C">
        <w:rPr>
          <w:bCs/>
          <w:sz w:val="22"/>
          <w:szCs w:val="22"/>
          <w:lang w:val="sr-Latn-ME"/>
        </w:rPr>
        <w:t>kroskarmeloza natriju</w:t>
      </w:r>
      <w:r w:rsidR="00CF3EEA" w:rsidRPr="0056436C">
        <w:rPr>
          <w:bCs/>
          <w:sz w:val="22"/>
          <w:szCs w:val="22"/>
          <w:lang w:val="sr-Latn-ME"/>
        </w:rPr>
        <w:t>m</w:t>
      </w:r>
      <w:r w:rsidRPr="0056436C">
        <w:rPr>
          <w:bCs/>
          <w:sz w:val="22"/>
          <w:szCs w:val="22"/>
          <w:lang w:val="sr-Latn-ME"/>
        </w:rPr>
        <w:t xml:space="preserve"> </w:t>
      </w:r>
    </w:p>
    <w:p w:rsidR="009C6427" w:rsidRPr="0056436C" w:rsidRDefault="009C6427" w:rsidP="0056436C">
      <w:pPr>
        <w:tabs>
          <w:tab w:val="left" w:pos="540"/>
          <w:tab w:val="left" w:pos="569"/>
        </w:tabs>
        <w:rPr>
          <w:bCs/>
          <w:sz w:val="22"/>
          <w:szCs w:val="22"/>
          <w:lang w:val="sr-Latn-ME"/>
        </w:rPr>
      </w:pPr>
      <w:r w:rsidRPr="0056436C">
        <w:rPr>
          <w:bCs/>
          <w:sz w:val="22"/>
          <w:szCs w:val="22"/>
          <w:lang w:val="sr-Latn-ME"/>
        </w:rPr>
        <w:t>magnezijum stearat</w:t>
      </w:r>
    </w:p>
    <w:p w:rsidR="009C6427" w:rsidRPr="0056436C" w:rsidRDefault="009C6427" w:rsidP="0056436C">
      <w:pPr>
        <w:tabs>
          <w:tab w:val="left" w:pos="540"/>
          <w:tab w:val="left" w:pos="569"/>
        </w:tabs>
        <w:rPr>
          <w:bCs/>
          <w:sz w:val="22"/>
          <w:szCs w:val="22"/>
          <w:lang w:val="sr-Latn-ME"/>
        </w:rPr>
      </w:pPr>
    </w:p>
    <w:p w:rsidR="009C6427" w:rsidRPr="0056436C" w:rsidRDefault="009C6427" w:rsidP="0056436C">
      <w:pPr>
        <w:tabs>
          <w:tab w:val="left" w:pos="540"/>
          <w:tab w:val="left" w:pos="569"/>
        </w:tabs>
        <w:rPr>
          <w:bCs/>
          <w:sz w:val="22"/>
          <w:szCs w:val="22"/>
          <w:lang w:val="sr-Latn-ME"/>
        </w:rPr>
      </w:pPr>
      <w:r w:rsidRPr="0056436C">
        <w:rPr>
          <w:bCs/>
          <w:sz w:val="22"/>
          <w:szCs w:val="22"/>
          <w:lang w:val="sr-Latn-ME"/>
        </w:rPr>
        <w:t xml:space="preserve">Film obloga: </w:t>
      </w:r>
    </w:p>
    <w:p w:rsidR="00307DCF" w:rsidRPr="0056436C" w:rsidRDefault="009C6427" w:rsidP="0056436C">
      <w:pPr>
        <w:tabs>
          <w:tab w:val="left" w:pos="540"/>
          <w:tab w:val="left" w:pos="569"/>
        </w:tabs>
        <w:rPr>
          <w:bCs/>
          <w:sz w:val="22"/>
          <w:szCs w:val="22"/>
          <w:lang w:val="sr-Latn-ME"/>
        </w:rPr>
      </w:pPr>
      <w:r w:rsidRPr="0056436C">
        <w:rPr>
          <w:bCs/>
          <w:sz w:val="22"/>
          <w:szCs w:val="22"/>
          <w:lang w:val="sr-Latn-ME"/>
        </w:rPr>
        <w:t xml:space="preserve">Polivinil alkohol djelimično hidrolizovan </w:t>
      </w:r>
    </w:p>
    <w:p w:rsidR="009C6427" w:rsidRPr="0056436C" w:rsidRDefault="009C6427" w:rsidP="0056436C">
      <w:pPr>
        <w:tabs>
          <w:tab w:val="left" w:pos="540"/>
          <w:tab w:val="left" w:pos="569"/>
        </w:tabs>
        <w:rPr>
          <w:bCs/>
          <w:sz w:val="22"/>
          <w:szCs w:val="22"/>
          <w:lang w:val="sr-Latn-ME"/>
        </w:rPr>
      </w:pPr>
      <w:r w:rsidRPr="0056436C">
        <w:rPr>
          <w:bCs/>
          <w:sz w:val="22"/>
          <w:szCs w:val="22"/>
          <w:lang w:val="sr-Latn-ME"/>
        </w:rPr>
        <w:t xml:space="preserve">makrogol 3350 </w:t>
      </w:r>
    </w:p>
    <w:p w:rsidR="009C6427" w:rsidRPr="0056436C" w:rsidRDefault="009C6427" w:rsidP="0056436C">
      <w:pPr>
        <w:tabs>
          <w:tab w:val="left" w:pos="540"/>
          <w:tab w:val="left" w:pos="569"/>
        </w:tabs>
        <w:rPr>
          <w:bCs/>
          <w:sz w:val="22"/>
          <w:szCs w:val="22"/>
          <w:lang w:val="sr-Latn-ME"/>
        </w:rPr>
      </w:pPr>
      <w:r w:rsidRPr="0056436C">
        <w:rPr>
          <w:bCs/>
          <w:sz w:val="22"/>
          <w:szCs w:val="22"/>
          <w:lang w:val="sr-Latn-ME"/>
        </w:rPr>
        <w:t xml:space="preserve">titan dioksid (E171) </w:t>
      </w:r>
    </w:p>
    <w:p w:rsidR="009C6427" w:rsidRPr="0056436C" w:rsidRDefault="009C6427" w:rsidP="0056436C">
      <w:pPr>
        <w:tabs>
          <w:tab w:val="left" w:pos="540"/>
          <w:tab w:val="left" w:pos="569"/>
        </w:tabs>
        <w:rPr>
          <w:bCs/>
          <w:sz w:val="22"/>
          <w:szCs w:val="22"/>
          <w:lang w:val="sr-Latn-ME"/>
        </w:rPr>
      </w:pPr>
      <w:r w:rsidRPr="0056436C">
        <w:rPr>
          <w:bCs/>
          <w:sz w:val="22"/>
          <w:szCs w:val="22"/>
          <w:lang w:val="sr-Latn-ME"/>
        </w:rPr>
        <w:t xml:space="preserve">talk </w:t>
      </w:r>
    </w:p>
    <w:p w:rsidR="009C6427" w:rsidRPr="0056436C" w:rsidRDefault="009C6427" w:rsidP="0056436C">
      <w:pPr>
        <w:tabs>
          <w:tab w:val="left" w:pos="540"/>
          <w:tab w:val="left" w:pos="569"/>
        </w:tabs>
        <w:rPr>
          <w:bCs/>
          <w:sz w:val="22"/>
          <w:szCs w:val="22"/>
          <w:lang w:val="sr-Latn-ME"/>
        </w:rPr>
      </w:pPr>
      <w:r w:rsidRPr="0056436C">
        <w:rPr>
          <w:bCs/>
          <w:sz w:val="22"/>
          <w:szCs w:val="22"/>
          <w:lang w:val="sr-Latn-ME"/>
        </w:rPr>
        <w:t xml:space="preserve">gvožđe oksid, žuti (E172) </w:t>
      </w:r>
    </w:p>
    <w:p w:rsidR="009C6427" w:rsidRPr="0056436C" w:rsidRDefault="009C6427" w:rsidP="0056436C">
      <w:pPr>
        <w:tabs>
          <w:tab w:val="left" w:pos="540"/>
          <w:tab w:val="left" w:pos="569"/>
        </w:tabs>
        <w:rPr>
          <w:bCs/>
          <w:sz w:val="22"/>
          <w:szCs w:val="22"/>
          <w:lang w:val="sr-Latn-ME"/>
        </w:rPr>
      </w:pPr>
      <w:r w:rsidRPr="0056436C">
        <w:rPr>
          <w:bCs/>
          <w:sz w:val="22"/>
          <w:szCs w:val="22"/>
          <w:lang w:val="sr-Latn-ME"/>
        </w:rPr>
        <w:t xml:space="preserve">gvožđe oksid, crveni (E172) </w:t>
      </w:r>
    </w:p>
    <w:p w:rsidR="00B755D9" w:rsidRPr="0056436C" w:rsidRDefault="00B755D9" w:rsidP="0056436C">
      <w:pPr>
        <w:tabs>
          <w:tab w:val="left" w:pos="540"/>
          <w:tab w:val="left" w:pos="569"/>
        </w:tabs>
        <w:rPr>
          <w:bCs/>
          <w:sz w:val="22"/>
          <w:szCs w:val="22"/>
          <w:lang w:val="sr-Latn-ME"/>
        </w:rPr>
      </w:pPr>
    </w:p>
    <w:p w:rsidR="009C6427" w:rsidRPr="0056436C" w:rsidRDefault="009C6427" w:rsidP="0056436C">
      <w:pPr>
        <w:tabs>
          <w:tab w:val="left" w:pos="540"/>
          <w:tab w:val="left" w:pos="569"/>
        </w:tabs>
        <w:rPr>
          <w:bCs/>
          <w:sz w:val="22"/>
          <w:szCs w:val="22"/>
          <w:lang w:val="sr-Latn-ME"/>
        </w:rPr>
      </w:pPr>
      <w:r w:rsidRPr="0056436C">
        <w:rPr>
          <w:bCs/>
          <w:sz w:val="22"/>
          <w:szCs w:val="22"/>
          <w:lang w:val="sr-Latn-ME"/>
        </w:rPr>
        <w:t>Dodatno za 25 mg tablete: gvožđe oksid, crni (E172)</w:t>
      </w:r>
    </w:p>
    <w:p w:rsidR="0072020E" w:rsidRPr="0056436C" w:rsidRDefault="0072020E" w:rsidP="0056436C">
      <w:pPr>
        <w:tabs>
          <w:tab w:val="left" w:pos="540"/>
          <w:tab w:val="left" w:pos="569"/>
        </w:tabs>
        <w:rPr>
          <w:bCs/>
          <w:sz w:val="22"/>
          <w:szCs w:val="22"/>
          <w:lang w:val="sr-Latn-ME"/>
        </w:rPr>
      </w:pPr>
    </w:p>
    <w:p w:rsidR="0072020E" w:rsidRPr="0056436C" w:rsidRDefault="0072020E" w:rsidP="0056436C">
      <w:pPr>
        <w:tabs>
          <w:tab w:val="left" w:pos="540"/>
          <w:tab w:val="left" w:pos="569"/>
        </w:tabs>
        <w:rPr>
          <w:b/>
          <w:bCs/>
          <w:sz w:val="22"/>
          <w:szCs w:val="22"/>
          <w:lang w:val="sr-Latn-ME"/>
        </w:rPr>
      </w:pPr>
      <w:r w:rsidRPr="0056436C">
        <w:rPr>
          <w:b/>
          <w:bCs/>
          <w:sz w:val="22"/>
          <w:szCs w:val="22"/>
          <w:lang w:val="sr-Latn-ME"/>
        </w:rPr>
        <w:t xml:space="preserve">6.2. </w:t>
      </w:r>
      <w:r w:rsidR="00480FB1" w:rsidRPr="0056436C">
        <w:rPr>
          <w:b/>
          <w:bCs/>
          <w:sz w:val="22"/>
          <w:szCs w:val="22"/>
          <w:lang w:val="sr-Latn-ME"/>
        </w:rPr>
        <w:tab/>
      </w:r>
      <w:r w:rsidRPr="0056436C">
        <w:rPr>
          <w:b/>
          <w:bCs/>
          <w:sz w:val="22"/>
          <w:szCs w:val="22"/>
          <w:lang w:val="sr-Latn-ME"/>
        </w:rPr>
        <w:t>Inkompatibilnost</w:t>
      </w:r>
      <w:r w:rsidR="002846DB" w:rsidRPr="0056436C">
        <w:rPr>
          <w:b/>
          <w:bCs/>
          <w:sz w:val="22"/>
          <w:szCs w:val="22"/>
          <w:lang w:val="sr-Latn-ME"/>
        </w:rPr>
        <w:t>i</w:t>
      </w:r>
    </w:p>
    <w:p w:rsidR="0059335B" w:rsidRPr="0056436C" w:rsidRDefault="0059335B" w:rsidP="0056436C">
      <w:pPr>
        <w:tabs>
          <w:tab w:val="left" w:pos="540"/>
          <w:tab w:val="left" w:pos="569"/>
        </w:tabs>
        <w:rPr>
          <w:b/>
          <w:bCs/>
          <w:sz w:val="22"/>
          <w:szCs w:val="22"/>
          <w:lang w:val="sr-Latn-ME"/>
        </w:rPr>
      </w:pPr>
    </w:p>
    <w:p w:rsidR="0059335B" w:rsidRPr="0056436C" w:rsidRDefault="0059335B" w:rsidP="0056436C">
      <w:pPr>
        <w:tabs>
          <w:tab w:val="left" w:pos="540"/>
          <w:tab w:val="left" w:pos="569"/>
        </w:tabs>
        <w:rPr>
          <w:bCs/>
          <w:sz w:val="22"/>
          <w:szCs w:val="22"/>
          <w:lang w:val="sr-Latn-ME"/>
        </w:rPr>
      </w:pPr>
      <w:r w:rsidRPr="0056436C">
        <w:rPr>
          <w:bCs/>
          <w:sz w:val="22"/>
          <w:szCs w:val="22"/>
          <w:lang w:val="sr-Latn-ME"/>
        </w:rPr>
        <w:t>Nije primjenljivo.</w:t>
      </w:r>
    </w:p>
    <w:p w:rsidR="0072020E" w:rsidRPr="0056436C" w:rsidRDefault="0072020E" w:rsidP="0056436C">
      <w:pPr>
        <w:tabs>
          <w:tab w:val="left" w:pos="540"/>
          <w:tab w:val="left" w:pos="569"/>
        </w:tabs>
        <w:rPr>
          <w:bCs/>
          <w:sz w:val="22"/>
          <w:szCs w:val="22"/>
          <w:lang w:val="sr-Latn-ME"/>
        </w:rPr>
      </w:pPr>
    </w:p>
    <w:p w:rsidR="0072020E" w:rsidRPr="0056436C" w:rsidRDefault="0072020E" w:rsidP="0056436C">
      <w:pPr>
        <w:tabs>
          <w:tab w:val="left" w:pos="540"/>
          <w:tab w:val="left" w:pos="569"/>
        </w:tabs>
        <w:rPr>
          <w:b/>
          <w:bCs/>
          <w:sz w:val="22"/>
          <w:szCs w:val="22"/>
          <w:lang w:val="sr-Latn-ME"/>
        </w:rPr>
      </w:pPr>
      <w:r w:rsidRPr="0056436C">
        <w:rPr>
          <w:b/>
          <w:bCs/>
          <w:sz w:val="22"/>
          <w:szCs w:val="22"/>
          <w:lang w:val="sr-Latn-ME"/>
        </w:rPr>
        <w:t>6.3.</w:t>
      </w:r>
      <w:r w:rsidR="00C05DF8" w:rsidRPr="0056436C">
        <w:rPr>
          <w:b/>
          <w:bCs/>
          <w:sz w:val="22"/>
          <w:szCs w:val="22"/>
          <w:lang w:val="sr-Latn-ME"/>
        </w:rPr>
        <w:t xml:space="preserve"> </w:t>
      </w:r>
      <w:r w:rsidR="00480FB1" w:rsidRPr="0056436C">
        <w:rPr>
          <w:b/>
          <w:bCs/>
          <w:sz w:val="22"/>
          <w:szCs w:val="22"/>
          <w:lang w:val="sr-Latn-ME"/>
        </w:rPr>
        <w:tab/>
      </w:r>
      <w:r w:rsidRPr="0056436C">
        <w:rPr>
          <w:b/>
          <w:bCs/>
          <w:sz w:val="22"/>
          <w:szCs w:val="22"/>
          <w:lang w:val="sr-Latn-ME"/>
        </w:rPr>
        <w:t>Rok upotrebe</w:t>
      </w:r>
    </w:p>
    <w:p w:rsidR="0072020E" w:rsidRPr="0056436C" w:rsidRDefault="0072020E" w:rsidP="0056436C">
      <w:pPr>
        <w:tabs>
          <w:tab w:val="left" w:pos="540"/>
          <w:tab w:val="left" w:pos="569"/>
        </w:tabs>
        <w:rPr>
          <w:bCs/>
          <w:sz w:val="22"/>
          <w:szCs w:val="22"/>
          <w:lang w:val="sr-Latn-ME"/>
        </w:rPr>
      </w:pPr>
    </w:p>
    <w:p w:rsidR="0059335B" w:rsidRPr="0056436C" w:rsidRDefault="0059335B" w:rsidP="0056436C">
      <w:pPr>
        <w:tabs>
          <w:tab w:val="left" w:pos="540"/>
          <w:tab w:val="left" w:pos="569"/>
        </w:tabs>
        <w:rPr>
          <w:bCs/>
          <w:sz w:val="22"/>
          <w:szCs w:val="22"/>
          <w:lang w:val="sr-Latn-ME"/>
        </w:rPr>
      </w:pPr>
      <w:r w:rsidRPr="0056436C">
        <w:rPr>
          <w:bCs/>
          <w:sz w:val="22"/>
          <w:szCs w:val="22"/>
          <w:lang w:val="sr-Latn-ME"/>
        </w:rPr>
        <w:t>2 godine.</w:t>
      </w:r>
    </w:p>
    <w:p w:rsidR="0059335B" w:rsidRPr="0056436C" w:rsidRDefault="0059335B" w:rsidP="0056436C">
      <w:pPr>
        <w:tabs>
          <w:tab w:val="left" w:pos="540"/>
          <w:tab w:val="left" w:pos="569"/>
        </w:tabs>
        <w:rPr>
          <w:bCs/>
          <w:sz w:val="22"/>
          <w:szCs w:val="22"/>
          <w:lang w:val="sr-Latn-ME"/>
        </w:rPr>
      </w:pPr>
    </w:p>
    <w:p w:rsidR="0072020E" w:rsidRPr="0056436C" w:rsidRDefault="0072020E" w:rsidP="0056436C">
      <w:pPr>
        <w:tabs>
          <w:tab w:val="left" w:pos="540"/>
          <w:tab w:val="left" w:pos="569"/>
        </w:tabs>
        <w:rPr>
          <w:b/>
          <w:bCs/>
          <w:sz w:val="22"/>
          <w:szCs w:val="22"/>
          <w:lang w:val="sr-Latn-ME"/>
        </w:rPr>
      </w:pPr>
      <w:r w:rsidRPr="0056436C">
        <w:rPr>
          <w:b/>
          <w:bCs/>
          <w:sz w:val="22"/>
          <w:szCs w:val="22"/>
          <w:lang w:val="sr-Latn-ME"/>
        </w:rPr>
        <w:t xml:space="preserve">6.4. </w:t>
      </w:r>
      <w:r w:rsidR="00480FB1" w:rsidRPr="0056436C">
        <w:rPr>
          <w:b/>
          <w:bCs/>
          <w:sz w:val="22"/>
          <w:szCs w:val="22"/>
          <w:lang w:val="sr-Latn-ME"/>
        </w:rPr>
        <w:tab/>
      </w:r>
      <w:r w:rsidRPr="0056436C">
        <w:rPr>
          <w:b/>
          <w:bCs/>
          <w:sz w:val="22"/>
          <w:szCs w:val="22"/>
          <w:lang w:val="sr-Latn-ME"/>
        </w:rPr>
        <w:t>Posebne mjere upozorenja pri čuvanju</w:t>
      </w:r>
      <w:r w:rsidR="00F8570A" w:rsidRPr="0056436C">
        <w:rPr>
          <w:b/>
          <w:bCs/>
          <w:sz w:val="22"/>
          <w:szCs w:val="22"/>
          <w:lang w:val="sr-Latn-ME"/>
        </w:rPr>
        <w:t xml:space="preserve"> lijeka</w:t>
      </w:r>
    </w:p>
    <w:p w:rsidR="00B132BF" w:rsidRPr="0056436C" w:rsidRDefault="00B132BF" w:rsidP="0056436C">
      <w:pPr>
        <w:tabs>
          <w:tab w:val="left" w:pos="540"/>
          <w:tab w:val="left" w:pos="569"/>
        </w:tabs>
        <w:rPr>
          <w:b/>
          <w:bCs/>
          <w:sz w:val="22"/>
          <w:szCs w:val="22"/>
          <w:lang w:val="sr-Latn-ME"/>
        </w:rPr>
      </w:pPr>
    </w:p>
    <w:p w:rsidR="00B132BF" w:rsidRPr="0056436C" w:rsidRDefault="00B132BF" w:rsidP="0056436C">
      <w:pPr>
        <w:tabs>
          <w:tab w:val="left" w:pos="540"/>
          <w:tab w:val="left" w:pos="569"/>
        </w:tabs>
        <w:rPr>
          <w:bCs/>
          <w:sz w:val="22"/>
          <w:szCs w:val="22"/>
          <w:lang w:val="sr-Latn-ME"/>
        </w:rPr>
      </w:pPr>
      <w:r w:rsidRPr="0056436C">
        <w:rPr>
          <w:bCs/>
          <w:sz w:val="22"/>
          <w:szCs w:val="22"/>
          <w:lang w:val="sr-Latn-ME"/>
        </w:rPr>
        <w:t>Lijek ne zahtijeva posebne uslove čuvanja.</w:t>
      </w:r>
    </w:p>
    <w:p w:rsidR="00EC2532" w:rsidRPr="0056436C" w:rsidRDefault="00EC2532" w:rsidP="0056436C">
      <w:pPr>
        <w:tabs>
          <w:tab w:val="left" w:pos="540"/>
          <w:tab w:val="left" w:pos="569"/>
        </w:tabs>
        <w:rPr>
          <w:bCs/>
          <w:sz w:val="22"/>
          <w:szCs w:val="22"/>
          <w:lang w:val="sr-Latn-ME"/>
        </w:rPr>
      </w:pPr>
    </w:p>
    <w:p w:rsidR="00B43006" w:rsidRDefault="00B43006" w:rsidP="0056436C">
      <w:pPr>
        <w:tabs>
          <w:tab w:val="left" w:pos="540"/>
          <w:tab w:val="left" w:pos="569"/>
        </w:tabs>
        <w:rPr>
          <w:b/>
          <w:bCs/>
          <w:sz w:val="22"/>
          <w:szCs w:val="22"/>
          <w:lang w:val="sr-Latn-ME"/>
        </w:rPr>
      </w:pPr>
    </w:p>
    <w:p w:rsidR="00B43006" w:rsidRDefault="00B43006" w:rsidP="0056436C">
      <w:pPr>
        <w:tabs>
          <w:tab w:val="left" w:pos="540"/>
          <w:tab w:val="left" w:pos="569"/>
        </w:tabs>
        <w:rPr>
          <w:b/>
          <w:bCs/>
          <w:sz w:val="22"/>
          <w:szCs w:val="22"/>
          <w:lang w:val="sr-Latn-ME"/>
        </w:rPr>
      </w:pPr>
    </w:p>
    <w:p w:rsidR="0072020E" w:rsidRPr="0056436C" w:rsidRDefault="0072020E" w:rsidP="0056436C">
      <w:pPr>
        <w:tabs>
          <w:tab w:val="left" w:pos="540"/>
          <w:tab w:val="left" w:pos="569"/>
        </w:tabs>
        <w:rPr>
          <w:b/>
          <w:bCs/>
          <w:sz w:val="22"/>
          <w:szCs w:val="22"/>
          <w:lang w:val="sr-Latn-ME"/>
        </w:rPr>
      </w:pPr>
      <w:r w:rsidRPr="0056436C">
        <w:rPr>
          <w:b/>
          <w:bCs/>
          <w:sz w:val="22"/>
          <w:szCs w:val="22"/>
          <w:lang w:val="sr-Latn-ME"/>
        </w:rPr>
        <w:lastRenderedPageBreak/>
        <w:t xml:space="preserve">6.5. </w:t>
      </w:r>
      <w:r w:rsidR="00480FB1" w:rsidRPr="0056436C">
        <w:rPr>
          <w:b/>
          <w:bCs/>
          <w:sz w:val="22"/>
          <w:szCs w:val="22"/>
          <w:lang w:val="sr-Latn-ME"/>
        </w:rPr>
        <w:tab/>
      </w:r>
      <w:r w:rsidR="002846DB" w:rsidRPr="0056436C">
        <w:rPr>
          <w:b/>
          <w:bCs/>
          <w:sz w:val="22"/>
          <w:szCs w:val="22"/>
          <w:lang w:val="sr-Latn-ME"/>
        </w:rPr>
        <w:t xml:space="preserve">Vrsta i sadržaj </w:t>
      </w:r>
      <w:r w:rsidR="00F8570A" w:rsidRPr="0056436C">
        <w:rPr>
          <w:b/>
          <w:bCs/>
          <w:sz w:val="22"/>
          <w:szCs w:val="22"/>
          <w:lang w:val="sr-Latn-ME"/>
        </w:rPr>
        <w:t>pakovanja</w:t>
      </w:r>
      <w:r w:rsidR="00C06864" w:rsidRPr="0056436C">
        <w:rPr>
          <w:b/>
          <w:bCs/>
          <w:sz w:val="22"/>
          <w:szCs w:val="22"/>
          <w:lang w:val="sr-Latn-ME"/>
        </w:rPr>
        <w:t xml:space="preserve"> </w:t>
      </w:r>
    </w:p>
    <w:p w:rsidR="000A4B59" w:rsidRPr="0056436C" w:rsidRDefault="000A4B59" w:rsidP="0056436C">
      <w:pPr>
        <w:tabs>
          <w:tab w:val="left" w:pos="540"/>
          <w:tab w:val="left" w:pos="569"/>
        </w:tabs>
        <w:rPr>
          <w:b/>
          <w:bCs/>
          <w:sz w:val="22"/>
          <w:szCs w:val="22"/>
          <w:lang w:val="sr-Latn-ME"/>
        </w:rPr>
      </w:pPr>
    </w:p>
    <w:p w:rsidR="000A4B59" w:rsidRPr="0056436C" w:rsidRDefault="000A4B59" w:rsidP="0056436C">
      <w:pPr>
        <w:tabs>
          <w:tab w:val="left" w:pos="540"/>
          <w:tab w:val="left" w:pos="569"/>
        </w:tabs>
        <w:rPr>
          <w:bCs/>
          <w:sz w:val="22"/>
          <w:szCs w:val="22"/>
          <w:lang w:val="sr-Latn-ME"/>
        </w:rPr>
      </w:pPr>
      <w:r w:rsidRPr="0056436C">
        <w:rPr>
          <w:bCs/>
          <w:sz w:val="22"/>
          <w:szCs w:val="22"/>
          <w:lang w:val="sr-Latn-ME"/>
        </w:rPr>
        <w:t>Neprovidni OPA/Aluminijum/PVC – aluminijum blisteri,</w:t>
      </w:r>
    </w:p>
    <w:p w:rsidR="000A4B59" w:rsidRPr="0056436C" w:rsidRDefault="000A4B59" w:rsidP="0056436C">
      <w:pPr>
        <w:tabs>
          <w:tab w:val="left" w:pos="540"/>
          <w:tab w:val="left" w:pos="569"/>
        </w:tabs>
        <w:rPr>
          <w:bCs/>
          <w:sz w:val="22"/>
          <w:szCs w:val="22"/>
          <w:lang w:val="sr-Latn-ME"/>
        </w:rPr>
      </w:pPr>
      <w:r w:rsidRPr="0056436C">
        <w:rPr>
          <w:bCs/>
          <w:sz w:val="22"/>
          <w:szCs w:val="22"/>
          <w:lang w:val="sr-Latn-ME"/>
        </w:rPr>
        <w:t>neprovidni PVC/PE/PVdC/PE/PVC – aluminijum blisteri ili</w:t>
      </w:r>
    </w:p>
    <w:p w:rsidR="000A4B59" w:rsidRPr="0056436C" w:rsidRDefault="000A4B59" w:rsidP="0056436C">
      <w:pPr>
        <w:tabs>
          <w:tab w:val="left" w:pos="540"/>
          <w:tab w:val="left" w:pos="569"/>
        </w:tabs>
        <w:rPr>
          <w:bCs/>
          <w:sz w:val="22"/>
          <w:szCs w:val="22"/>
          <w:lang w:val="sr-Latn-ME"/>
        </w:rPr>
      </w:pPr>
      <w:r w:rsidRPr="0056436C">
        <w:rPr>
          <w:bCs/>
          <w:sz w:val="22"/>
          <w:szCs w:val="22"/>
          <w:lang w:val="sr-Latn-ME"/>
        </w:rPr>
        <w:t xml:space="preserve">providni PVC/ACLAR/PVC – aluminijum blisteri </w:t>
      </w:r>
    </w:p>
    <w:p w:rsidR="00BB6890" w:rsidRPr="0056436C" w:rsidRDefault="00E35F1F" w:rsidP="0056436C">
      <w:pPr>
        <w:tabs>
          <w:tab w:val="left" w:pos="540"/>
          <w:tab w:val="left" w:pos="569"/>
        </w:tabs>
        <w:rPr>
          <w:bCs/>
          <w:sz w:val="22"/>
          <w:szCs w:val="22"/>
          <w:lang w:val="sr-Latn-ME"/>
        </w:rPr>
      </w:pPr>
      <w:r w:rsidRPr="0056436C">
        <w:rPr>
          <w:bCs/>
          <w:sz w:val="22"/>
          <w:szCs w:val="22"/>
          <w:lang w:val="sr-Latn-ME"/>
        </w:rPr>
        <w:t>koji sadrže 28 (4x7) film tableta</w:t>
      </w:r>
      <w:r w:rsidR="00C80B0A" w:rsidRPr="0056436C">
        <w:rPr>
          <w:bCs/>
          <w:sz w:val="22"/>
          <w:szCs w:val="22"/>
          <w:lang w:val="sr-Latn-ME"/>
        </w:rPr>
        <w:t>.</w:t>
      </w:r>
    </w:p>
    <w:p w:rsidR="00E35F1F" w:rsidRPr="0056436C" w:rsidRDefault="00E35F1F" w:rsidP="0056436C">
      <w:pPr>
        <w:tabs>
          <w:tab w:val="left" w:pos="540"/>
          <w:tab w:val="left" w:pos="569"/>
        </w:tabs>
        <w:rPr>
          <w:bCs/>
          <w:sz w:val="22"/>
          <w:szCs w:val="22"/>
          <w:lang w:val="sr-Latn-ME"/>
        </w:rPr>
      </w:pPr>
    </w:p>
    <w:p w:rsidR="002846DB" w:rsidRPr="0056436C" w:rsidRDefault="0072020E" w:rsidP="0056436C">
      <w:pPr>
        <w:tabs>
          <w:tab w:val="left" w:pos="540"/>
          <w:tab w:val="left" w:pos="569"/>
        </w:tabs>
        <w:rPr>
          <w:b/>
          <w:bCs/>
          <w:sz w:val="22"/>
          <w:szCs w:val="22"/>
          <w:lang w:val="sr-Latn-ME"/>
        </w:rPr>
      </w:pPr>
      <w:r w:rsidRPr="0056436C">
        <w:rPr>
          <w:b/>
          <w:bCs/>
          <w:sz w:val="22"/>
          <w:szCs w:val="22"/>
          <w:lang w:val="sr-Latn-ME"/>
        </w:rPr>
        <w:t xml:space="preserve">6.6. </w:t>
      </w:r>
      <w:r w:rsidR="00480FB1" w:rsidRPr="0056436C">
        <w:rPr>
          <w:b/>
          <w:bCs/>
          <w:sz w:val="22"/>
          <w:szCs w:val="22"/>
          <w:lang w:val="sr-Latn-ME"/>
        </w:rPr>
        <w:tab/>
      </w:r>
      <w:r w:rsidRPr="0056436C">
        <w:rPr>
          <w:b/>
          <w:bCs/>
          <w:color w:val="000000"/>
          <w:sz w:val="22"/>
          <w:szCs w:val="22"/>
          <w:lang w:val="sr-Latn-ME"/>
        </w:rPr>
        <w:t>Posebne mjere opreza pri odlaganju materijala koji treba odbaciti nakon primjene lijeka</w:t>
      </w:r>
      <w:r w:rsidRPr="0056436C">
        <w:rPr>
          <w:b/>
          <w:bCs/>
          <w:sz w:val="22"/>
          <w:szCs w:val="22"/>
          <w:lang w:val="sr-Latn-ME"/>
        </w:rPr>
        <w:t xml:space="preserve"> </w:t>
      </w:r>
      <w:r w:rsidR="00310F03" w:rsidRPr="0056436C">
        <w:rPr>
          <w:b/>
          <w:bCs/>
          <w:sz w:val="22"/>
          <w:szCs w:val="22"/>
          <w:lang w:val="sr-Latn-ME"/>
        </w:rPr>
        <w:t>(i druga uputs</w:t>
      </w:r>
      <w:r w:rsidR="00C80B0A" w:rsidRPr="0056436C">
        <w:rPr>
          <w:b/>
          <w:bCs/>
          <w:sz w:val="22"/>
          <w:szCs w:val="22"/>
          <w:lang w:val="sr-Latn-ME"/>
        </w:rPr>
        <w:t>t</w:t>
      </w:r>
      <w:r w:rsidR="00310F03" w:rsidRPr="0056436C">
        <w:rPr>
          <w:b/>
          <w:bCs/>
          <w:sz w:val="22"/>
          <w:szCs w:val="22"/>
          <w:lang w:val="sr-Latn-ME"/>
        </w:rPr>
        <w:t xml:space="preserve">va za rukovanje lijekom) </w:t>
      </w:r>
    </w:p>
    <w:p w:rsidR="00B66A70" w:rsidRPr="0056436C" w:rsidRDefault="00B66A70" w:rsidP="0056436C">
      <w:pPr>
        <w:tabs>
          <w:tab w:val="left" w:pos="540"/>
          <w:tab w:val="left" w:pos="569"/>
        </w:tabs>
        <w:rPr>
          <w:b/>
          <w:bCs/>
          <w:sz w:val="22"/>
          <w:szCs w:val="22"/>
          <w:lang w:val="sr-Latn-ME"/>
        </w:rPr>
      </w:pPr>
    </w:p>
    <w:p w:rsidR="00757D00" w:rsidRPr="0056436C" w:rsidRDefault="00757D00" w:rsidP="00B43006">
      <w:pPr>
        <w:tabs>
          <w:tab w:val="left" w:pos="540"/>
          <w:tab w:val="left" w:pos="569"/>
        </w:tabs>
        <w:jc w:val="both"/>
        <w:rPr>
          <w:bCs/>
          <w:sz w:val="22"/>
          <w:szCs w:val="22"/>
          <w:lang w:val="sr-Latn-ME"/>
        </w:rPr>
      </w:pPr>
      <w:r w:rsidRPr="0056436C">
        <w:rPr>
          <w:bCs/>
          <w:sz w:val="22"/>
          <w:szCs w:val="22"/>
          <w:lang w:val="sr-Latn-ME"/>
        </w:rPr>
        <w:t>Svu neiskorišćenu količinu lijeka ili otpadnog materijala nakon njegove upotrebe treba ukloniti, u skladu sa važećim propisima.</w:t>
      </w:r>
    </w:p>
    <w:p w:rsidR="0072020E" w:rsidRPr="0056436C" w:rsidRDefault="0072020E" w:rsidP="0056436C">
      <w:pPr>
        <w:tabs>
          <w:tab w:val="left" w:pos="540"/>
          <w:tab w:val="left" w:pos="569"/>
        </w:tabs>
        <w:rPr>
          <w:bCs/>
          <w:sz w:val="22"/>
          <w:szCs w:val="22"/>
          <w:lang w:val="sr-Latn-ME"/>
        </w:rPr>
      </w:pPr>
    </w:p>
    <w:p w:rsidR="000C5E37" w:rsidRPr="0056436C" w:rsidRDefault="000C5E37" w:rsidP="0056436C">
      <w:pPr>
        <w:tabs>
          <w:tab w:val="left" w:pos="540"/>
          <w:tab w:val="left" w:pos="569"/>
        </w:tabs>
        <w:rPr>
          <w:b/>
          <w:bCs/>
          <w:sz w:val="22"/>
          <w:szCs w:val="22"/>
          <w:lang w:val="sr-Latn-ME"/>
        </w:rPr>
      </w:pPr>
    </w:p>
    <w:p w:rsidR="00F8570A" w:rsidRPr="0056436C" w:rsidRDefault="0072020E" w:rsidP="0056436C">
      <w:pPr>
        <w:tabs>
          <w:tab w:val="left" w:pos="540"/>
          <w:tab w:val="left" w:pos="569"/>
        </w:tabs>
        <w:rPr>
          <w:b/>
          <w:bCs/>
          <w:sz w:val="22"/>
          <w:szCs w:val="22"/>
          <w:lang w:val="sr-Latn-ME"/>
        </w:rPr>
      </w:pPr>
      <w:r w:rsidRPr="0056436C">
        <w:rPr>
          <w:b/>
          <w:bCs/>
          <w:sz w:val="22"/>
          <w:szCs w:val="22"/>
          <w:lang w:val="sr-Latn-ME"/>
        </w:rPr>
        <w:t xml:space="preserve">7. </w:t>
      </w:r>
      <w:r w:rsidR="00480FB1" w:rsidRPr="0056436C">
        <w:rPr>
          <w:b/>
          <w:bCs/>
          <w:sz w:val="22"/>
          <w:szCs w:val="22"/>
          <w:lang w:val="sr-Latn-ME"/>
        </w:rPr>
        <w:tab/>
      </w:r>
      <w:r w:rsidRPr="0056436C">
        <w:rPr>
          <w:b/>
          <w:bCs/>
          <w:sz w:val="22"/>
          <w:szCs w:val="22"/>
          <w:lang w:val="sr-Latn-ME"/>
        </w:rPr>
        <w:t>NOSILAC DOZVOLE</w:t>
      </w:r>
      <w:r w:rsidR="00483928" w:rsidRPr="0056436C">
        <w:rPr>
          <w:b/>
          <w:bCs/>
          <w:sz w:val="22"/>
          <w:szCs w:val="22"/>
          <w:lang w:val="sr-Latn-ME"/>
        </w:rPr>
        <w:t xml:space="preserve"> </w:t>
      </w:r>
    </w:p>
    <w:p w:rsidR="00C61BE0" w:rsidRPr="0056436C" w:rsidRDefault="00C61BE0" w:rsidP="0056436C">
      <w:pPr>
        <w:tabs>
          <w:tab w:val="left" w:pos="540"/>
          <w:tab w:val="left" w:pos="569"/>
        </w:tabs>
        <w:rPr>
          <w:bCs/>
          <w:sz w:val="22"/>
          <w:szCs w:val="22"/>
          <w:lang w:val="sr-Latn-ME"/>
        </w:rPr>
      </w:pPr>
    </w:p>
    <w:p w:rsidR="00CF1EF7" w:rsidRPr="0056436C" w:rsidRDefault="00CF1EF7" w:rsidP="0056436C">
      <w:pPr>
        <w:tabs>
          <w:tab w:val="left" w:pos="540"/>
          <w:tab w:val="left" w:pos="569"/>
        </w:tabs>
        <w:rPr>
          <w:bCs/>
          <w:sz w:val="22"/>
          <w:szCs w:val="22"/>
          <w:lang w:val="sr-Latn-ME"/>
        </w:rPr>
      </w:pPr>
      <w:r w:rsidRPr="0056436C">
        <w:rPr>
          <w:bCs/>
          <w:sz w:val="22"/>
          <w:szCs w:val="22"/>
          <w:lang w:val="sr-Latn-ME"/>
        </w:rPr>
        <w:t>Evropa Lek Pharma d.o.o. Podgorica</w:t>
      </w:r>
    </w:p>
    <w:p w:rsidR="00CF1EF7" w:rsidRPr="0056436C" w:rsidRDefault="00CF1EF7" w:rsidP="0056436C">
      <w:pPr>
        <w:tabs>
          <w:tab w:val="left" w:pos="540"/>
          <w:tab w:val="left" w:pos="569"/>
        </w:tabs>
        <w:rPr>
          <w:bCs/>
          <w:sz w:val="22"/>
          <w:szCs w:val="22"/>
          <w:lang w:val="sr-Latn-ME"/>
        </w:rPr>
      </w:pPr>
      <w:r w:rsidRPr="0056436C">
        <w:rPr>
          <w:bCs/>
          <w:sz w:val="22"/>
          <w:szCs w:val="22"/>
          <w:lang w:val="sr-Latn-ME"/>
        </w:rPr>
        <w:t>Kritskog odreda 4/1, 81000 Podgorica, Crna Gora</w:t>
      </w:r>
    </w:p>
    <w:p w:rsidR="00C37FD7" w:rsidRPr="0056436C" w:rsidRDefault="00C37FD7" w:rsidP="0056436C">
      <w:pPr>
        <w:tabs>
          <w:tab w:val="left" w:pos="540"/>
          <w:tab w:val="left" w:pos="569"/>
        </w:tabs>
        <w:rPr>
          <w:bCs/>
          <w:sz w:val="22"/>
          <w:szCs w:val="22"/>
          <w:lang w:val="sr-Latn-ME"/>
        </w:rPr>
      </w:pPr>
    </w:p>
    <w:p w:rsidR="000C5E37" w:rsidRPr="0056436C" w:rsidRDefault="000C5E37" w:rsidP="0056436C">
      <w:pPr>
        <w:tabs>
          <w:tab w:val="left" w:pos="540"/>
          <w:tab w:val="left" w:pos="569"/>
        </w:tabs>
        <w:rPr>
          <w:b/>
          <w:bCs/>
          <w:sz w:val="22"/>
          <w:szCs w:val="22"/>
          <w:lang w:val="sr-Latn-ME"/>
        </w:rPr>
      </w:pPr>
    </w:p>
    <w:p w:rsidR="0072020E" w:rsidRPr="0056436C" w:rsidRDefault="0072020E" w:rsidP="0056436C">
      <w:pPr>
        <w:tabs>
          <w:tab w:val="left" w:pos="540"/>
          <w:tab w:val="left" w:pos="569"/>
        </w:tabs>
        <w:rPr>
          <w:b/>
          <w:bCs/>
          <w:sz w:val="22"/>
          <w:szCs w:val="22"/>
          <w:lang w:val="sr-Latn-ME"/>
        </w:rPr>
      </w:pPr>
      <w:r w:rsidRPr="0056436C">
        <w:rPr>
          <w:b/>
          <w:bCs/>
          <w:sz w:val="22"/>
          <w:szCs w:val="22"/>
          <w:lang w:val="sr-Latn-ME"/>
        </w:rPr>
        <w:t xml:space="preserve">8. </w:t>
      </w:r>
      <w:r w:rsidR="00480FB1" w:rsidRPr="0056436C">
        <w:rPr>
          <w:b/>
          <w:bCs/>
          <w:sz w:val="22"/>
          <w:szCs w:val="22"/>
          <w:lang w:val="sr-Latn-ME"/>
        </w:rPr>
        <w:tab/>
      </w:r>
      <w:r w:rsidRPr="0056436C">
        <w:rPr>
          <w:b/>
          <w:bCs/>
          <w:sz w:val="22"/>
          <w:szCs w:val="22"/>
          <w:lang w:val="sr-Latn-ME"/>
        </w:rPr>
        <w:t>BROJ DOZVOLE</w:t>
      </w:r>
      <w:r w:rsidR="008A6D43" w:rsidRPr="0056436C">
        <w:rPr>
          <w:b/>
          <w:bCs/>
          <w:sz w:val="22"/>
          <w:szCs w:val="22"/>
          <w:lang w:val="sr-Latn-ME"/>
        </w:rPr>
        <w:t xml:space="preserve"> ZA STAVLJANJE LIJEKA U PROMET</w:t>
      </w:r>
    </w:p>
    <w:p w:rsidR="0072020E" w:rsidRPr="0056436C" w:rsidRDefault="0072020E" w:rsidP="0056436C">
      <w:pPr>
        <w:tabs>
          <w:tab w:val="left" w:pos="540"/>
          <w:tab w:val="left" w:pos="569"/>
        </w:tabs>
        <w:rPr>
          <w:bCs/>
          <w:sz w:val="22"/>
          <w:szCs w:val="22"/>
          <w:lang w:val="sr-Latn-ME"/>
        </w:rPr>
      </w:pPr>
    </w:p>
    <w:p w:rsidR="00C24D1C" w:rsidRPr="0056436C" w:rsidRDefault="00C24D1C" w:rsidP="0056436C">
      <w:pPr>
        <w:rPr>
          <w:sz w:val="22"/>
          <w:szCs w:val="22"/>
          <w:lang w:val="sr-Latn-ME"/>
        </w:rPr>
      </w:pPr>
      <w:r w:rsidRPr="0056436C">
        <w:rPr>
          <w:sz w:val="22"/>
          <w:szCs w:val="22"/>
          <w:lang w:val="sr-Latn-ME"/>
        </w:rPr>
        <w:t>Sitagliptin Teva, film tableta, 25 mg, blister, 28 (4x7) film tableta:</w:t>
      </w:r>
      <w:r w:rsidR="00DE0919" w:rsidRPr="00DE0919">
        <w:t xml:space="preserve"> </w:t>
      </w:r>
      <w:r w:rsidR="00DE0919" w:rsidRPr="00DE0919">
        <w:rPr>
          <w:sz w:val="22"/>
          <w:szCs w:val="22"/>
          <w:lang w:val="sr-Latn-ME"/>
        </w:rPr>
        <w:t>2030/21/1472 - 2913</w:t>
      </w:r>
    </w:p>
    <w:p w:rsidR="00C24D1C" w:rsidRPr="0056436C" w:rsidRDefault="00C24D1C" w:rsidP="0056436C">
      <w:pPr>
        <w:rPr>
          <w:sz w:val="22"/>
          <w:szCs w:val="22"/>
          <w:lang w:val="sr-Latn-ME"/>
        </w:rPr>
      </w:pPr>
      <w:r w:rsidRPr="0056436C">
        <w:rPr>
          <w:sz w:val="22"/>
          <w:szCs w:val="22"/>
          <w:lang w:val="sr-Latn-ME"/>
        </w:rPr>
        <w:t>Sitagliptin Teva, film tableta, 50 mg, blister, 28 (4x7) film tableta:</w:t>
      </w:r>
      <w:r w:rsidR="00DE0919" w:rsidRPr="00DE0919">
        <w:t xml:space="preserve"> </w:t>
      </w:r>
      <w:r w:rsidR="00DE0919" w:rsidRPr="00DE0919">
        <w:rPr>
          <w:sz w:val="22"/>
          <w:szCs w:val="22"/>
          <w:lang w:val="sr-Latn-ME"/>
        </w:rPr>
        <w:t>2030/21/1473 - 2914</w:t>
      </w:r>
    </w:p>
    <w:p w:rsidR="00C24D1C" w:rsidRPr="0056436C" w:rsidRDefault="00C24D1C" w:rsidP="0056436C">
      <w:pPr>
        <w:rPr>
          <w:sz w:val="22"/>
          <w:szCs w:val="22"/>
          <w:lang w:val="sr-Latn-ME"/>
        </w:rPr>
      </w:pPr>
      <w:r w:rsidRPr="0056436C">
        <w:rPr>
          <w:sz w:val="22"/>
          <w:szCs w:val="22"/>
          <w:lang w:val="sr-Latn-ME"/>
        </w:rPr>
        <w:t>Sitagliptin Teva, film tableta, 100 mg, blister, 28 (4x7) film tableta:</w:t>
      </w:r>
      <w:r w:rsidR="00DE0919" w:rsidRPr="00DE0919">
        <w:t xml:space="preserve"> </w:t>
      </w:r>
      <w:r w:rsidR="00DE0919" w:rsidRPr="00DE0919">
        <w:rPr>
          <w:sz w:val="22"/>
          <w:szCs w:val="22"/>
          <w:lang w:val="sr-Latn-ME"/>
        </w:rPr>
        <w:t>2030/21/1474 - 2915</w:t>
      </w:r>
    </w:p>
    <w:p w:rsidR="00F45F77" w:rsidRPr="0056436C" w:rsidRDefault="00F45F77" w:rsidP="0056436C">
      <w:pPr>
        <w:tabs>
          <w:tab w:val="left" w:pos="540"/>
          <w:tab w:val="left" w:pos="569"/>
        </w:tabs>
        <w:rPr>
          <w:bCs/>
          <w:sz w:val="22"/>
          <w:szCs w:val="22"/>
          <w:lang w:val="sr-Latn-ME"/>
        </w:rPr>
      </w:pPr>
    </w:p>
    <w:p w:rsidR="00C24D1C" w:rsidRPr="0056436C" w:rsidRDefault="00C24D1C" w:rsidP="0056436C">
      <w:pPr>
        <w:tabs>
          <w:tab w:val="left" w:pos="540"/>
          <w:tab w:val="left" w:pos="569"/>
        </w:tabs>
        <w:rPr>
          <w:b/>
          <w:bCs/>
          <w:sz w:val="22"/>
          <w:szCs w:val="22"/>
          <w:lang w:val="sr-Latn-ME"/>
        </w:rPr>
      </w:pPr>
    </w:p>
    <w:p w:rsidR="0072020E" w:rsidRPr="0056436C" w:rsidRDefault="0072020E" w:rsidP="0056436C">
      <w:pPr>
        <w:tabs>
          <w:tab w:val="left" w:pos="540"/>
          <w:tab w:val="left" w:pos="569"/>
        </w:tabs>
        <w:rPr>
          <w:b/>
          <w:bCs/>
          <w:sz w:val="22"/>
          <w:szCs w:val="22"/>
          <w:lang w:val="sr-Latn-ME"/>
        </w:rPr>
      </w:pPr>
      <w:r w:rsidRPr="0056436C">
        <w:rPr>
          <w:b/>
          <w:bCs/>
          <w:sz w:val="22"/>
          <w:szCs w:val="22"/>
          <w:lang w:val="sr-Latn-ME"/>
        </w:rPr>
        <w:t xml:space="preserve">9. </w:t>
      </w:r>
      <w:r w:rsidR="00480FB1" w:rsidRPr="0056436C">
        <w:rPr>
          <w:b/>
          <w:bCs/>
          <w:sz w:val="22"/>
          <w:szCs w:val="22"/>
          <w:lang w:val="sr-Latn-ME"/>
        </w:rPr>
        <w:tab/>
      </w:r>
      <w:r w:rsidRPr="0056436C">
        <w:rPr>
          <w:b/>
          <w:bCs/>
          <w:sz w:val="22"/>
          <w:szCs w:val="22"/>
          <w:lang w:val="sr-Latn-ME"/>
        </w:rPr>
        <w:t xml:space="preserve">DATUM </w:t>
      </w:r>
      <w:r w:rsidR="00C05DF8" w:rsidRPr="0056436C">
        <w:rPr>
          <w:b/>
          <w:bCs/>
          <w:sz w:val="22"/>
          <w:szCs w:val="22"/>
          <w:lang w:val="sr-Latn-ME"/>
        </w:rPr>
        <w:t xml:space="preserve">PRVE </w:t>
      </w:r>
      <w:r w:rsidR="008A6D43" w:rsidRPr="0056436C">
        <w:rPr>
          <w:b/>
          <w:bCs/>
          <w:sz w:val="22"/>
          <w:szCs w:val="22"/>
          <w:lang w:val="sr-Latn-ME"/>
        </w:rPr>
        <w:t>DOZVOLE</w:t>
      </w:r>
      <w:r w:rsidR="00C05DF8" w:rsidRPr="0056436C">
        <w:rPr>
          <w:b/>
          <w:bCs/>
          <w:sz w:val="22"/>
          <w:szCs w:val="22"/>
          <w:lang w:val="sr-Latn-ME"/>
        </w:rPr>
        <w:t>/OBNOVE DOZVOLE</w:t>
      </w:r>
      <w:r w:rsidR="008A6D43" w:rsidRPr="0056436C">
        <w:rPr>
          <w:b/>
          <w:bCs/>
          <w:sz w:val="22"/>
          <w:szCs w:val="22"/>
          <w:lang w:val="sr-Latn-ME"/>
        </w:rPr>
        <w:t xml:space="preserve"> ZA STAVLJANJE LIJEKA U PROMET</w:t>
      </w:r>
    </w:p>
    <w:p w:rsidR="0072020E" w:rsidRPr="0056436C" w:rsidRDefault="0072020E" w:rsidP="0056436C">
      <w:pPr>
        <w:tabs>
          <w:tab w:val="left" w:pos="540"/>
          <w:tab w:val="left" w:pos="569"/>
        </w:tabs>
        <w:rPr>
          <w:bCs/>
          <w:sz w:val="22"/>
          <w:szCs w:val="22"/>
          <w:lang w:val="sr-Latn-ME"/>
        </w:rPr>
      </w:pPr>
    </w:p>
    <w:p w:rsidR="00C24D1C" w:rsidRPr="0056436C" w:rsidRDefault="00C24D1C" w:rsidP="0056436C">
      <w:pPr>
        <w:rPr>
          <w:sz w:val="22"/>
          <w:szCs w:val="22"/>
          <w:lang w:val="sr-Latn-ME"/>
        </w:rPr>
      </w:pPr>
      <w:r w:rsidRPr="0056436C">
        <w:rPr>
          <w:sz w:val="22"/>
          <w:szCs w:val="22"/>
          <w:lang w:val="sr-Latn-ME"/>
        </w:rPr>
        <w:t>Sitagliptin Teva, film tableta, 25 mg, blister, 28 (4x7) film tableta:</w:t>
      </w:r>
      <w:r w:rsidR="00DE0919" w:rsidRPr="00DE0919">
        <w:t xml:space="preserve"> </w:t>
      </w:r>
      <w:r w:rsidR="00DE0919" w:rsidRPr="00DE0919">
        <w:rPr>
          <w:sz w:val="22"/>
          <w:szCs w:val="22"/>
          <w:lang w:val="sr-Latn-ME"/>
        </w:rPr>
        <w:t>31.12.2021. godine</w:t>
      </w:r>
    </w:p>
    <w:p w:rsidR="00C24D1C" w:rsidRPr="0056436C" w:rsidRDefault="00C24D1C" w:rsidP="0056436C">
      <w:pPr>
        <w:rPr>
          <w:sz w:val="22"/>
          <w:szCs w:val="22"/>
          <w:lang w:val="sr-Latn-ME"/>
        </w:rPr>
      </w:pPr>
      <w:r w:rsidRPr="0056436C">
        <w:rPr>
          <w:sz w:val="22"/>
          <w:szCs w:val="22"/>
          <w:lang w:val="sr-Latn-ME"/>
        </w:rPr>
        <w:t>Sitagliptin Teva, film tableta, 50 mg, blister, 28 (4x7) film tableta:</w:t>
      </w:r>
      <w:r w:rsidR="00DE0919" w:rsidRPr="00DE0919">
        <w:rPr>
          <w:sz w:val="22"/>
          <w:szCs w:val="22"/>
          <w:lang w:val="sr-Latn-ME"/>
        </w:rPr>
        <w:t xml:space="preserve"> </w:t>
      </w:r>
      <w:r w:rsidR="00DE0919" w:rsidRPr="00DE0919">
        <w:rPr>
          <w:sz w:val="22"/>
          <w:szCs w:val="22"/>
          <w:lang w:val="sr-Latn-ME"/>
        </w:rPr>
        <w:t>31.12.2021. godine</w:t>
      </w:r>
    </w:p>
    <w:p w:rsidR="00C24D1C" w:rsidRPr="0056436C" w:rsidRDefault="00C24D1C" w:rsidP="0056436C">
      <w:pPr>
        <w:rPr>
          <w:sz w:val="22"/>
          <w:szCs w:val="22"/>
          <w:lang w:val="sr-Latn-ME"/>
        </w:rPr>
      </w:pPr>
      <w:r w:rsidRPr="0056436C">
        <w:rPr>
          <w:sz w:val="22"/>
          <w:szCs w:val="22"/>
          <w:lang w:val="sr-Latn-ME"/>
        </w:rPr>
        <w:t>Sitagliptin Teva, film tableta, 100 mg, blister, 28 (4x7) film tableta:</w:t>
      </w:r>
      <w:r w:rsidR="00DE0919" w:rsidRPr="00DE0919">
        <w:rPr>
          <w:sz w:val="22"/>
          <w:szCs w:val="22"/>
          <w:lang w:val="sr-Latn-ME"/>
        </w:rPr>
        <w:t xml:space="preserve"> </w:t>
      </w:r>
      <w:r w:rsidR="00DE0919" w:rsidRPr="00DE0919">
        <w:rPr>
          <w:sz w:val="22"/>
          <w:szCs w:val="22"/>
          <w:lang w:val="sr-Latn-ME"/>
        </w:rPr>
        <w:t>31.12.2021. godine</w:t>
      </w:r>
    </w:p>
    <w:p w:rsidR="00C24D1C" w:rsidRPr="0056436C" w:rsidRDefault="00C24D1C" w:rsidP="0056436C">
      <w:pPr>
        <w:tabs>
          <w:tab w:val="left" w:pos="540"/>
          <w:tab w:val="left" w:pos="569"/>
        </w:tabs>
        <w:rPr>
          <w:bCs/>
          <w:sz w:val="22"/>
          <w:szCs w:val="22"/>
          <w:lang w:val="sr-Latn-ME"/>
        </w:rPr>
      </w:pPr>
    </w:p>
    <w:p w:rsidR="00836B35" w:rsidRPr="0056436C" w:rsidRDefault="00836B35" w:rsidP="0056436C">
      <w:pPr>
        <w:tabs>
          <w:tab w:val="left" w:pos="540"/>
          <w:tab w:val="left" w:pos="569"/>
        </w:tabs>
        <w:rPr>
          <w:bCs/>
          <w:sz w:val="22"/>
          <w:szCs w:val="22"/>
          <w:lang w:val="sr-Latn-ME"/>
        </w:rPr>
      </w:pPr>
    </w:p>
    <w:p w:rsidR="003F6A59" w:rsidRPr="0056436C" w:rsidRDefault="0072020E" w:rsidP="0056436C">
      <w:pPr>
        <w:tabs>
          <w:tab w:val="left" w:pos="540"/>
          <w:tab w:val="left" w:pos="569"/>
        </w:tabs>
        <w:ind w:left="540" w:hanging="540"/>
        <w:rPr>
          <w:b/>
          <w:bCs/>
          <w:sz w:val="22"/>
          <w:szCs w:val="22"/>
          <w:lang w:val="sr-Latn-ME"/>
        </w:rPr>
      </w:pPr>
      <w:r w:rsidRPr="0056436C">
        <w:rPr>
          <w:b/>
          <w:bCs/>
          <w:sz w:val="22"/>
          <w:szCs w:val="22"/>
          <w:lang w:val="sr-Latn-ME"/>
        </w:rPr>
        <w:t xml:space="preserve">10. </w:t>
      </w:r>
      <w:r w:rsidR="00480FB1" w:rsidRPr="0056436C">
        <w:rPr>
          <w:b/>
          <w:bCs/>
          <w:sz w:val="22"/>
          <w:szCs w:val="22"/>
          <w:lang w:val="sr-Latn-ME"/>
        </w:rPr>
        <w:tab/>
      </w:r>
      <w:r w:rsidR="002846DB" w:rsidRPr="0056436C">
        <w:rPr>
          <w:b/>
          <w:bCs/>
          <w:sz w:val="22"/>
          <w:szCs w:val="22"/>
          <w:lang w:val="sr-Latn-ME"/>
        </w:rPr>
        <w:t>D</w:t>
      </w:r>
      <w:r w:rsidR="00EC2532" w:rsidRPr="0056436C">
        <w:rPr>
          <w:b/>
          <w:bCs/>
          <w:sz w:val="22"/>
          <w:szCs w:val="22"/>
          <w:lang w:val="sr-Latn-ME"/>
        </w:rPr>
        <w:t xml:space="preserve">ATUM REVIZIJE TEKSTA </w:t>
      </w:r>
    </w:p>
    <w:p w:rsidR="00BB6890" w:rsidRPr="0056436C" w:rsidRDefault="00BB6890" w:rsidP="0056436C">
      <w:pPr>
        <w:tabs>
          <w:tab w:val="left" w:pos="540"/>
          <w:tab w:val="left" w:pos="569"/>
        </w:tabs>
        <w:ind w:left="540" w:hanging="540"/>
        <w:rPr>
          <w:b/>
          <w:bCs/>
          <w:sz w:val="22"/>
          <w:szCs w:val="22"/>
          <w:lang w:val="sr-Latn-ME"/>
        </w:rPr>
      </w:pPr>
    </w:p>
    <w:p w:rsidR="003F6A59" w:rsidRPr="0056436C" w:rsidRDefault="00DE0919" w:rsidP="0056436C">
      <w:pPr>
        <w:tabs>
          <w:tab w:val="left" w:pos="540"/>
          <w:tab w:val="left" w:pos="569"/>
        </w:tabs>
        <w:rPr>
          <w:bCs/>
          <w:sz w:val="22"/>
          <w:szCs w:val="22"/>
          <w:lang w:val="sr-Latn-ME"/>
        </w:rPr>
      </w:pPr>
      <w:r>
        <w:rPr>
          <w:bCs/>
          <w:sz w:val="22"/>
          <w:szCs w:val="22"/>
          <w:lang w:val="sr-Latn-ME"/>
        </w:rPr>
        <w:t>Decembar, 2021. godine</w:t>
      </w:r>
      <w:bookmarkStart w:id="0" w:name="_GoBack"/>
      <w:bookmarkEnd w:id="0"/>
    </w:p>
    <w:p w:rsidR="003F6A59" w:rsidRPr="0056436C" w:rsidRDefault="003F6A59" w:rsidP="0056436C">
      <w:pPr>
        <w:tabs>
          <w:tab w:val="left" w:pos="540"/>
          <w:tab w:val="left" w:pos="569"/>
        </w:tabs>
        <w:rPr>
          <w:b/>
          <w:bCs/>
          <w:sz w:val="22"/>
          <w:szCs w:val="22"/>
          <w:lang w:val="sr-Latn-ME"/>
        </w:rPr>
      </w:pPr>
    </w:p>
    <w:p w:rsidR="00C04D34" w:rsidRPr="0056436C" w:rsidRDefault="00C04D34" w:rsidP="0056436C">
      <w:pPr>
        <w:tabs>
          <w:tab w:val="left" w:pos="540"/>
          <w:tab w:val="left" w:pos="569"/>
        </w:tabs>
        <w:rPr>
          <w:bCs/>
          <w:sz w:val="22"/>
          <w:szCs w:val="22"/>
          <w:lang w:val="sr-Latn-ME"/>
        </w:rPr>
      </w:pPr>
    </w:p>
    <w:p w:rsidR="003F6A59" w:rsidRPr="0056436C" w:rsidRDefault="003F6A59" w:rsidP="0056436C">
      <w:pPr>
        <w:rPr>
          <w:sz w:val="22"/>
          <w:szCs w:val="22"/>
          <w:lang w:val="sr-Latn-ME"/>
        </w:rPr>
      </w:pPr>
    </w:p>
    <w:sectPr w:rsidR="003F6A59" w:rsidRPr="0056436C" w:rsidSect="00EF3B86">
      <w:headerReference w:type="default" r:id="rId10"/>
      <w:footerReference w:type="default" r:id="rId11"/>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B3F" w:rsidRDefault="000A0B3F">
      <w:r>
        <w:separator/>
      </w:r>
    </w:p>
  </w:endnote>
  <w:endnote w:type="continuationSeparator" w:id="0">
    <w:p w:rsidR="000A0B3F" w:rsidRDefault="000A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72B" w:rsidRPr="00B23F69" w:rsidRDefault="0006572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E0919">
      <w:rPr>
        <w:noProof/>
        <w:sz w:val="22"/>
        <w:szCs w:val="22"/>
      </w:rPr>
      <w:t>17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E0919">
      <w:rPr>
        <w:noProof/>
        <w:sz w:val="22"/>
        <w:szCs w:val="22"/>
      </w:rPr>
      <w:t>18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B3F" w:rsidRDefault="000A0B3F">
      <w:r>
        <w:separator/>
      </w:r>
    </w:p>
  </w:footnote>
  <w:footnote w:type="continuationSeparator" w:id="0">
    <w:p w:rsidR="000A0B3F" w:rsidRDefault="000A0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72B" w:rsidRPr="00FD4723" w:rsidRDefault="0006572B" w:rsidP="00E74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15.9pt;height:13.5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7AB61F6"/>
    <w:multiLevelType w:val="multilevel"/>
    <w:tmpl w:val="5FEC390E"/>
    <w:lvl w:ilvl="0">
      <w:start w:val="1"/>
      <w:numFmt w:val="decimal"/>
      <w:lvlText w:val="%1."/>
      <w:lvlJc w:val="left"/>
      <w:pPr>
        <w:ind w:left="454" w:hanging="222"/>
      </w:pPr>
      <w:rPr>
        <w:rFonts w:ascii="Times New Roman" w:eastAsia="Times New Roman" w:hAnsi="Times New Roman" w:cs="Times New Roman" w:hint="default"/>
        <w:b/>
        <w:bCs/>
        <w:w w:val="100"/>
        <w:sz w:val="22"/>
        <w:szCs w:val="22"/>
      </w:rPr>
    </w:lvl>
    <w:lvl w:ilvl="1">
      <w:start w:val="1"/>
      <w:numFmt w:val="decimal"/>
      <w:lvlText w:val="%1.%2."/>
      <w:lvlJc w:val="left"/>
      <w:pPr>
        <w:ind w:left="616" w:hanging="384"/>
      </w:pPr>
      <w:rPr>
        <w:rFonts w:ascii="Times New Roman" w:eastAsia="Times New Roman" w:hAnsi="Times New Roman" w:cs="Times New Roman" w:hint="default"/>
        <w:b/>
        <w:bCs/>
        <w:spacing w:val="-1"/>
        <w:w w:val="100"/>
        <w:sz w:val="22"/>
        <w:szCs w:val="22"/>
      </w:rPr>
    </w:lvl>
    <w:lvl w:ilvl="2">
      <w:numFmt w:val="bullet"/>
      <w:lvlText w:val=""/>
      <w:lvlJc w:val="left"/>
      <w:pPr>
        <w:ind w:left="952" w:hanging="360"/>
      </w:pPr>
      <w:rPr>
        <w:rFonts w:ascii="Symbol" w:eastAsia="Symbol" w:hAnsi="Symbol" w:cs="Symbol" w:hint="default"/>
        <w:w w:val="100"/>
        <w:sz w:val="22"/>
        <w:szCs w:val="22"/>
      </w:rPr>
    </w:lvl>
    <w:lvl w:ilvl="3">
      <w:numFmt w:val="bullet"/>
      <w:lvlText w:val="•"/>
      <w:lvlJc w:val="left"/>
      <w:pPr>
        <w:ind w:left="2103" w:hanging="360"/>
      </w:pPr>
      <w:rPr>
        <w:rFonts w:hint="default"/>
      </w:rPr>
    </w:lvl>
    <w:lvl w:ilvl="4">
      <w:numFmt w:val="bullet"/>
      <w:lvlText w:val="•"/>
      <w:lvlJc w:val="left"/>
      <w:pPr>
        <w:ind w:left="3246" w:hanging="360"/>
      </w:pPr>
      <w:rPr>
        <w:rFonts w:hint="default"/>
      </w:rPr>
    </w:lvl>
    <w:lvl w:ilvl="5">
      <w:numFmt w:val="bullet"/>
      <w:lvlText w:val="•"/>
      <w:lvlJc w:val="left"/>
      <w:pPr>
        <w:ind w:left="4389" w:hanging="360"/>
      </w:pPr>
      <w:rPr>
        <w:rFonts w:hint="default"/>
      </w:rPr>
    </w:lvl>
    <w:lvl w:ilvl="6">
      <w:numFmt w:val="bullet"/>
      <w:lvlText w:val="•"/>
      <w:lvlJc w:val="left"/>
      <w:pPr>
        <w:ind w:left="5532" w:hanging="360"/>
      </w:pPr>
      <w:rPr>
        <w:rFonts w:hint="default"/>
      </w:rPr>
    </w:lvl>
    <w:lvl w:ilvl="7">
      <w:numFmt w:val="bullet"/>
      <w:lvlText w:val="•"/>
      <w:lvlJc w:val="left"/>
      <w:pPr>
        <w:ind w:left="6675" w:hanging="360"/>
      </w:pPr>
      <w:rPr>
        <w:rFonts w:hint="default"/>
      </w:rPr>
    </w:lvl>
    <w:lvl w:ilvl="8">
      <w:numFmt w:val="bullet"/>
      <w:lvlText w:val="•"/>
      <w:lvlJc w:val="left"/>
      <w:pPr>
        <w:ind w:left="7819" w:hanging="360"/>
      </w:pPr>
      <w:rPr>
        <w:rFont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167A"/>
    <w:rsid w:val="0005322F"/>
    <w:rsid w:val="00057E35"/>
    <w:rsid w:val="0006572B"/>
    <w:rsid w:val="00076726"/>
    <w:rsid w:val="00080014"/>
    <w:rsid w:val="00080303"/>
    <w:rsid w:val="000953A4"/>
    <w:rsid w:val="000A0B3F"/>
    <w:rsid w:val="000A3F58"/>
    <w:rsid w:val="000A4B59"/>
    <w:rsid w:val="000C391E"/>
    <w:rsid w:val="000C5E37"/>
    <w:rsid w:val="000D2343"/>
    <w:rsid w:val="000D3449"/>
    <w:rsid w:val="000D425A"/>
    <w:rsid w:val="000D60CC"/>
    <w:rsid w:val="000E2084"/>
    <w:rsid w:val="000E6F55"/>
    <w:rsid w:val="000F382D"/>
    <w:rsid w:val="000F77FA"/>
    <w:rsid w:val="00107BF7"/>
    <w:rsid w:val="00126F53"/>
    <w:rsid w:val="00134D64"/>
    <w:rsid w:val="001450C1"/>
    <w:rsid w:val="0014766D"/>
    <w:rsid w:val="001536CC"/>
    <w:rsid w:val="00153C20"/>
    <w:rsid w:val="00175AB8"/>
    <w:rsid w:val="00193152"/>
    <w:rsid w:val="00194188"/>
    <w:rsid w:val="001A3FBA"/>
    <w:rsid w:val="001A5518"/>
    <w:rsid w:val="001B1C6A"/>
    <w:rsid w:val="001B7FE8"/>
    <w:rsid w:val="001C1263"/>
    <w:rsid w:val="001C1417"/>
    <w:rsid w:val="001C7093"/>
    <w:rsid w:val="001D1CA7"/>
    <w:rsid w:val="001D5CD7"/>
    <w:rsid w:val="001D715A"/>
    <w:rsid w:val="001E390B"/>
    <w:rsid w:val="001E3FCA"/>
    <w:rsid w:val="001E5954"/>
    <w:rsid w:val="001F14E4"/>
    <w:rsid w:val="001F1914"/>
    <w:rsid w:val="001F1AD6"/>
    <w:rsid w:val="001F203A"/>
    <w:rsid w:val="001F42FB"/>
    <w:rsid w:val="001F719A"/>
    <w:rsid w:val="002031B3"/>
    <w:rsid w:val="00215931"/>
    <w:rsid w:val="00227BDB"/>
    <w:rsid w:val="00234CB1"/>
    <w:rsid w:val="002352F8"/>
    <w:rsid w:val="00242EAF"/>
    <w:rsid w:val="00244C18"/>
    <w:rsid w:val="002510A5"/>
    <w:rsid w:val="00254A0A"/>
    <w:rsid w:val="002617F6"/>
    <w:rsid w:val="002622BA"/>
    <w:rsid w:val="00265A59"/>
    <w:rsid w:val="00266046"/>
    <w:rsid w:val="00281AC1"/>
    <w:rsid w:val="00283515"/>
    <w:rsid w:val="002846DB"/>
    <w:rsid w:val="00284CCD"/>
    <w:rsid w:val="00291F76"/>
    <w:rsid w:val="002A6706"/>
    <w:rsid w:val="002B3A12"/>
    <w:rsid w:val="002C6637"/>
    <w:rsid w:val="002D416F"/>
    <w:rsid w:val="002E0135"/>
    <w:rsid w:val="002E37A5"/>
    <w:rsid w:val="00307DCF"/>
    <w:rsid w:val="00310F03"/>
    <w:rsid w:val="003247D2"/>
    <w:rsid w:val="003445C1"/>
    <w:rsid w:val="00355B61"/>
    <w:rsid w:val="00362686"/>
    <w:rsid w:val="0036269B"/>
    <w:rsid w:val="003714E8"/>
    <w:rsid w:val="00371510"/>
    <w:rsid w:val="0037639E"/>
    <w:rsid w:val="00396DFD"/>
    <w:rsid w:val="003A42CC"/>
    <w:rsid w:val="003A6412"/>
    <w:rsid w:val="003A7059"/>
    <w:rsid w:val="003B7A36"/>
    <w:rsid w:val="003C17AB"/>
    <w:rsid w:val="003C7823"/>
    <w:rsid w:val="003E1DCC"/>
    <w:rsid w:val="003E2CA7"/>
    <w:rsid w:val="003E6DE0"/>
    <w:rsid w:val="003F6A59"/>
    <w:rsid w:val="00401EDF"/>
    <w:rsid w:val="004065C8"/>
    <w:rsid w:val="00410637"/>
    <w:rsid w:val="00411B4B"/>
    <w:rsid w:val="00415BEE"/>
    <w:rsid w:val="0041649C"/>
    <w:rsid w:val="00420CA1"/>
    <w:rsid w:val="00427F85"/>
    <w:rsid w:val="00433E9D"/>
    <w:rsid w:val="00435D3A"/>
    <w:rsid w:val="00436F42"/>
    <w:rsid w:val="004378B4"/>
    <w:rsid w:val="00451314"/>
    <w:rsid w:val="00452E9D"/>
    <w:rsid w:val="004534C7"/>
    <w:rsid w:val="004540CF"/>
    <w:rsid w:val="004632EA"/>
    <w:rsid w:val="004671AA"/>
    <w:rsid w:val="00480FB1"/>
    <w:rsid w:val="00483928"/>
    <w:rsid w:val="00490D0C"/>
    <w:rsid w:val="004926A8"/>
    <w:rsid w:val="00492CEC"/>
    <w:rsid w:val="004D6103"/>
    <w:rsid w:val="004E3BCE"/>
    <w:rsid w:val="004F0E97"/>
    <w:rsid w:val="00501BEC"/>
    <w:rsid w:val="00502A11"/>
    <w:rsid w:val="00515C21"/>
    <w:rsid w:val="00530BD7"/>
    <w:rsid w:val="00531D5C"/>
    <w:rsid w:val="005360A8"/>
    <w:rsid w:val="00543626"/>
    <w:rsid w:val="00545CD2"/>
    <w:rsid w:val="005476F3"/>
    <w:rsid w:val="0056436C"/>
    <w:rsid w:val="00565447"/>
    <w:rsid w:val="00572527"/>
    <w:rsid w:val="00573E40"/>
    <w:rsid w:val="00576348"/>
    <w:rsid w:val="00591845"/>
    <w:rsid w:val="0059335B"/>
    <w:rsid w:val="0059347C"/>
    <w:rsid w:val="005A0B2E"/>
    <w:rsid w:val="005A1F60"/>
    <w:rsid w:val="005A23D2"/>
    <w:rsid w:val="005A36CB"/>
    <w:rsid w:val="005A3FF7"/>
    <w:rsid w:val="005A6885"/>
    <w:rsid w:val="005B49B8"/>
    <w:rsid w:val="005C0741"/>
    <w:rsid w:val="005C5EF4"/>
    <w:rsid w:val="005E2E0B"/>
    <w:rsid w:val="005E4A0E"/>
    <w:rsid w:val="005E7A7D"/>
    <w:rsid w:val="005F3E76"/>
    <w:rsid w:val="005F5FCB"/>
    <w:rsid w:val="0060395A"/>
    <w:rsid w:val="00605328"/>
    <w:rsid w:val="00605848"/>
    <w:rsid w:val="00620B30"/>
    <w:rsid w:val="00646BD1"/>
    <w:rsid w:val="00647D50"/>
    <w:rsid w:val="006561C2"/>
    <w:rsid w:val="006629F2"/>
    <w:rsid w:val="0066531B"/>
    <w:rsid w:val="006662A4"/>
    <w:rsid w:val="00671CB3"/>
    <w:rsid w:val="00674BAF"/>
    <w:rsid w:val="00682200"/>
    <w:rsid w:val="006A1497"/>
    <w:rsid w:val="006B008C"/>
    <w:rsid w:val="006B0BD1"/>
    <w:rsid w:val="006B13F2"/>
    <w:rsid w:val="006D20A5"/>
    <w:rsid w:val="006D37BF"/>
    <w:rsid w:val="00702E22"/>
    <w:rsid w:val="0071257E"/>
    <w:rsid w:val="007145C2"/>
    <w:rsid w:val="0072020E"/>
    <w:rsid w:val="00757D00"/>
    <w:rsid w:val="007643A1"/>
    <w:rsid w:val="00772A7B"/>
    <w:rsid w:val="007745E3"/>
    <w:rsid w:val="00782749"/>
    <w:rsid w:val="00786071"/>
    <w:rsid w:val="007A3ECB"/>
    <w:rsid w:val="007B4CB4"/>
    <w:rsid w:val="007C018B"/>
    <w:rsid w:val="007E74EB"/>
    <w:rsid w:val="007F6CA7"/>
    <w:rsid w:val="00805013"/>
    <w:rsid w:val="00822AE6"/>
    <w:rsid w:val="00824AB9"/>
    <w:rsid w:val="00835A5D"/>
    <w:rsid w:val="00836B35"/>
    <w:rsid w:val="00843BDE"/>
    <w:rsid w:val="008444D8"/>
    <w:rsid w:val="00867DC2"/>
    <w:rsid w:val="00874368"/>
    <w:rsid w:val="00877452"/>
    <w:rsid w:val="00894B2E"/>
    <w:rsid w:val="0089705C"/>
    <w:rsid w:val="008A6D43"/>
    <w:rsid w:val="008B1BD7"/>
    <w:rsid w:val="008B491E"/>
    <w:rsid w:val="008C1A28"/>
    <w:rsid w:val="008C2E98"/>
    <w:rsid w:val="008D1AF2"/>
    <w:rsid w:val="008E49BD"/>
    <w:rsid w:val="008E53E9"/>
    <w:rsid w:val="008E5771"/>
    <w:rsid w:val="008F047B"/>
    <w:rsid w:val="00940B9B"/>
    <w:rsid w:val="0095402A"/>
    <w:rsid w:val="0095676E"/>
    <w:rsid w:val="00956983"/>
    <w:rsid w:val="0096374B"/>
    <w:rsid w:val="00963CF0"/>
    <w:rsid w:val="00964BB1"/>
    <w:rsid w:val="00974609"/>
    <w:rsid w:val="009775D9"/>
    <w:rsid w:val="00981757"/>
    <w:rsid w:val="00987C82"/>
    <w:rsid w:val="00997175"/>
    <w:rsid w:val="009A1847"/>
    <w:rsid w:val="009B062A"/>
    <w:rsid w:val="009B752A"/>
    <w:rsid w:val="009C08EE"/>
    <w:rsid w:val="009C6427"/>
    <w:rsid w:val="009C6EEA"/>
    <w:rsid w:val="009E6024"/>
    <w:rsid w:val="009E7C6F"/>
    <w:rsid w:val="009F1793"/>
    <w:rsid w:val="009F1D64"/>
    <w:rsid w:val="009F2D23"/>
    <w:rsid w:val="009F3642"/>
    <w:rsid w:val="00A01D69"/>
    <w:rsid w:val="00A02335"/>
    <w:rsid w:val="00A15A5A"/>
    <w:rsid w:val="00A26935"/>
    <w:rsid w:val="00A26F6D"/>
    <w:rsid w:val="00A36773"/>
    <w:rsid w:val="00A46C9A"/>
    <w:rsid w:val="00A619F3"/>
    <w:rsid w:val="00A62A73"/>
    <w:rsid w:val="00A65AFD"/>
    <w:rsid w:val="00A87FF6"/>
    <w:rsid w:val="00A96734"/>
    <w:rsid w:val="00AA0A3B"/>
    <w:rsid w:val="00AA6A10"/>
    <w:rsid w:val="00AB50CA"/>
    <w:rsid w:val="00AC53CE"/>
    <w:rsid w:val="00AC6A46"/>
    <w:rsid w:val="00AD2193"/>
    <w:rsid w:val="00AF2AC7"/>
    <w:rsid w:val="00AF74CE"/>
    <w:rsid w:val="00B132BF"/>
    <w:rsid w:val="00B208DB"/>
    <w:rsid w:val="00B23F69"/>
    <w:rsid w:val="00B43006"/>
    <w:rsid w:val="00B60619"/>
    <w:rsid w:val="00B65B56"/>
    <w:rsid w:val="00B66A70"/>
    <w:rsid w:val="00B67366"/>
    <w:rsid w:val="00B755D9"/>
    <w:rsid w:val="00B7667C"/>
    <w:rsid w:val="00B80EE1"/>
    <w:rsid w:val="00B84135"/>
    <w:rsid w:val="00B8641D"/>
    <w:rsid w:val="00B874FD"/>
    <w:rsid w:val="00B96135"/>
    <w:rsid w:val="00BB6890"/>
    <w:rsid w:val="00BD1476"/>
    <w:rsid w:val="00BE124B"/>
    <w:rsid w:val="00BE6913"/>
    <w:rsid w:val="00C00310"/>
    <w:rsid w:val="00C0165C"/>
    <w:rsid w:val="00C03687"/>
    <w:rsid w:val="00C04D34"/>
    <w:rsid w:val="00C05DF8"/>
    <w:rsid w:val="00C06864"/>
    <w:rsid w:val="00C10F54"/>
    <w:rsid w:val="00C23D8D"/>
    <w:rsid w:val="00C2439C"/>
    <w:rsid w:val="00C24D1C"/>
    <w:rsid w:val="00C37AA3"/>
    <w:rsid w:val="00C37FD7"/>
    <w:rsid w:val="00C43419"/>
    <w:rsid w:val="00C44CF3"/>
    <w:rsid w:val="00C61BE0"/>
    <w:rsid w:val="00C67C9B"/>
    <w:rsid w:val="00C70B0E"/>
    <w:rsid w:val="00C773CA"/>
    <w:rsid w:val="00C80B0A"/>
    <w:rsid w:val="00C83785"/>
    <w:rsid w:val="00C94C0D"/>
    <w:rsid w:val="00CA1FEB"/>
    <w:rsid w:val="00CB1338"/>
    <w:rsid w:val="00CB1606"/>
    <w:rsid w:val="00CB2DE8"/>
    <w:rsid w:val="00CD4F85"/>
    <w:rsid w:val="00CD6F02"/>
    <w:rsid w:val="00CE246D"/>
    <w:rsid w:val="00CF07A0"/>
    <w:rsid w:val="00CF1EF7"/>
    <w:rsid w:val="00CF3E03"/>
    <w:rsid w:val="00CF3EEA"/>
    <w:rsid w:val="00D0031E"/>
    <w:rsid w:val="00D0082A"/>
    <w:rsid w:val="00D21455"/>
    <w:rsid w:val="00D46657"/>
    <w:rsid w:val="00D47634"/>
    <w:rsid w:val="00D664A5"/>
    <w:rsid w:val="00D709B3"/>
    <w:rsid w:val="00D70F2B"/>
    <w:rsid w:val="00DA2ED6"/>
    <w:rsid w:val="00DA3929"/>
    <w:rsid w:val="00DB76B8"/>
    <w:rsid w:val="00DC2EA1"/>
    <w:rsid w:val="00DC4F40"/>
    <w:rsid w:val="00DD3AE6"/>
    <w:rsid w:val="00DD6AAF"/>
    <w:rsid w:val="00DE0919"/>
    <w:rsid w:val="00DE3F5C"/>
    <w:rsid w:val="00DE7C38"/>
    <w:rsid w:val="00DF1D20"/>
    <w:rsid w:val="00E05E2E"/>
    <w:rsid w:val="00E1305E"/>
    <w:rsid w:val="00E1350E"/>
    <w:rsid w:val="00E21324"/>
    <w:rsid w:val="00E21D56"/>
    <w:rsid w:val="00E23C05"/>
    <w:rsid w:val="00E246B9"/>
    <w:rsid w:val="00E31FEA"/>
    <w:rsid w:val="00E35F1F"/>
    <w:rsid w:val="00E45169"/>
    <w:rsid w:val="00E45AB6"/>
    <w:rsid w:val="00E47787"/>
    <w:rsid w:val="00E51C30"/>
    <w:rsid w:val="00E64180"/>
    <w:rsid w:val="00E66FC7"/>
    <w:rsid w:val="00E74AEE"/>
    <w:rsid w:val="00E77B26"/>
    <w:rsid w:val="00E868E5"/>
    <w:rsid w:val="00E9237A"/>
    <w:rsid w:val="00E939FA"/>
    <w:rsid w:val="00EA1BAC"/>
    <w:rsid w:val="00EA5765"/>
    <w:rsid w:val="00EA6F57"/>
    <w:rsid w:val="00EB5063"/>
    <w:rsid w:val="00EC2532"/>
    <w:rsid w:val="00ED7812"/>
    <w:rsid w:val="00EF1CF5"/>
    <w:rsid w:val="00EF3B86"/>
    <w:rsid w:val="00F162CA"/>
    <w:rsid w:val="00F244D3"/>
    <w:rsid w:val="00F317E9"/>
    <w:rsid w:val="00F34554"/>
    <w:rsid w:val="00F3493C"/>
    <w:rsid w:val="00F45F77"/>
    <w:rsid w:val="00F471DB"/>
    <w:rsid w:val="00F5167F"/>
    <w:rsid w:val="00F51889"/>
    <w:rsid w:val="00F52258"/>
    <w:rsid w:val="00F66DF9"/>
    <w:rsid w:val="00F725BA"/>
    <w:rsid w:val="00F8570A"/>
    <w:rsid w:val="00F91C7B"/>
    <w:rsid w:val="00F932B9"/>
    <w:rsid w:val="00FB3895"/>
    <w:rsid w:val="00FE584D"/>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DD3B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D1C"/>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BodyText">
    <w:name w:val="Body Text"/>
    <w:basedOn w:val="Normal"/>
    <w:link w:val="BodyTextChar"/>
    <w:rsid w:val="00B7667C"/>
    <w:pPr>
      <w:spacing w:after="120"/>
    </w:pPr>
  </w:style>
  <w:style w:type="character" w:customStyle="1" w:styleId="BodyTextChar">
    <w:name w:val="Body Text Char"/>
    <w:basedOn w:val="DefaultParagraphFont"/>
    <w:link w:val="BodyText"/>
    <w:rsid w:val="00B7667C"/>
    <w:rPr>
      <w:sz w:val="24"/>
      <w:szCs w:val="24"/>
      <w:lang w:val="en-US" w:eastAsia="en-US"/>
    </w:rPr>
  </w:style>
  <w:style w:type="paragraph" w:customStyle="1" w:styleId="TableParagraph">
    <w:name w:val="Table Paragraph"/>
    <w:basedOn w:val="Normal"/>
    <w:uiPriority w:val="1"/>
    <w:qFormat/>
    <w:rsid w:val="00874368"/>
    <w:pPr>
      <w:widowControl w:val="0"/>
      <w:autoSpaceDE w:val="0"/>
      <w:autoSpaceDN w:val="0"/>
    </w:pPr>
    <w:rPr>
      <w:sz w:val="22"/>
      <w:szCs w:val="22"/>
    </w:rPr>
  </w:style>
  <w:style w:type="character" w:customStyle="1" w:styleId="FooterChar">
    <w:name w:val="Footer Char"/>
    <w:basedOn w:val="DefaultParagraphFont"/>
    <w:link w:val="Footer"/>
    <w:uiPriority w:val="99"/>
    <w:rsid w:val="00501BEC"/>
    <w:rPr>
      <w:sz w:val="24"/>
      <w:szCs w:val="24"/>
      <w:lang w:val="en-US" w:eastAsia="en-US"/>
    </w:rPr>
  </w:style>
  <w:style w:type="paragraph" w:styleId="NormalWeb">
    <w:name w:val="Normal (Web)"/>
    <w:basedOn w:val="Normal"/>
    <w:uiPriority w:val="99"/>
    <w:unhideWhenUsed/>
    <w:rsid w:val="00FB3895"/>
    <w:pPr>
      <w:spacing w:before="100" w:beforeAutospacing="1" w:after="100" w:afterAutospacing="1"/>
    </w:pPr>
    <w:rPr>
      <w:lang w:val="en-GB" w:eastAsia="en-GB"/>
    </w:rPr>
  </w:style>
  <w:style w:type="paragraph" w:customStyle="1" w:styleId="Default">
    <w:name w:val="Default"/>
    <w:rsid w:val="00DD3AE6"/>
    <w:pPr>
      <w:autoSpaceDE w:val="0"/>
      <w:autoSpaceDN w:val="0"/>
      <w:adjustRightInd w:val="0"/>
    </w:pPr>
    <w:rPr>
      <w:color w:val="000000"/>
      <w:sz w:val="24"/>
      <w:szCs w:val="24"/>
      <w:lang w:val="en-GB"/>
    </w:rPr>
  </w:style>
  <w:style w:type="character" w:styleId="Hyperlink">
    <w:name w:val="Hyperlink"/>
    <w:basedOn w:val="DefaultParagraphFont"/>
    <w:unhideWhenUsed/>
    <w:rsid w:val="001931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439205">
      <w:bodyDiv w:val="1"/>
      <w:marLeft w:val="0"/>
      <w:marRight w:val="0"/>
      <w:marTop w:val="0"/>
      <w:marBottom w:val="0"/>
      <w:divBdr>
        <w:top w:val="none" w:sz="0" w:space="0" w:color="auto"/>
        <w:left w:val="none" w:sz="0" w:space="0" w:color="auto"/>
        <w:bottom w:val="none" w:sz="0" w:space="0" w:color="auto"/>
        <w:right w:val="none" w:sz="0" w:space="0" w:color="auto"/>
      </w:divBdr>
    </w:div>
    <w:div w:id="89007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B84BA-3665-458A-AA61-E9EE34CC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8255</Words>
  <Characters>47060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55205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Gordana Boljević</cp:lastModifiedBy>
  <cp:revision>6</cp:revision>
  <dcterms:created xsi:type="dcterms:W3CDTF">2021-12-30T19:41:00Z</dcterms:created>
  <dcterms:modified xsi:type="dcterms:W3CDTF">2021-12-31T06:48:00Z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