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EC742F" w:rsidRDefault="001A5518" w:rsidP="001A5518">
      <w:pPr>
        <w:rPr>
          <w:b/>
          <w:bCs/>
          <w:i/>
          <w:iCs/>
          <w:sz w:val="22"/>
          <w:szCs w:val="22"/>
          <w:u w:val="single"/>
          <w:lang w:val="sr-Latn-ME"/>
        </w:rPr>
      </w:pPr>
    </w:p>
    <w:p w:rsidR="002510A5" w:rsidRPr="00EC742F" w:rsidRDefault="002510A5" w:rsidP="00973F3C">
      <w:pPr>
        <w:jc w:val="center"/>
        <w:rPr>
          <w:b/>
          <w:bCs/>
          <w:iCs/>
          <w:sz w:val="22"/>
          <w:szCs w:val="22"/>
          <w:u w:val="single"/>
          <w:lang w:val="sr-Latn-ME"/>
        </w:rPr>
      </w:pPr>
      <w:r w:rsidRPr="00EC742F">
        <w:rPr>
          <w:b/>
          <w:bCs/>
          <w:iCs/>
          <w:sz w:val="22"/>
          <w:szCs w:val="22"/>
          <w:u w:val="single"/>
          <w:lang w:val="sr-Latn-ME"/>
        </w:rPr>
        <w:t>SAŽETAK KARAKTERISTIKA LIJEKA</w:t>
      </w:r>
    </w:p>
    <w:p w:rsidR="00C37FD7" w:rsidRPr="00EC742F" w:rsidRDefault="00C37FD7" w:rsidP="00C05DF8">
      <w:pPr>
        <w:tabs>
          <w:tab w:val="left" w:pos="540"/>
          <w:tab w:val="left" w:pos="569"/>
        </w:tabs>
        <w:jc w:val="both"/>
        <w:rPr>
          <w:bCs/>
          <w:i/>
          <w:sz w:val="22"/>
          <w:szCs w:val="22"/>
          <w:lang w:val="sr-Latn-ME"/>
        </w:rPr>
      </w:pPr>
    </w:p>
    <w:p w:rsidR="003C17AB" w:rsidRPr="00EC742F" w:rsidRDefault="003C17AB" w:rsidP="00F5167F">
      <w:pPr>
        <w:tabs>
          <w:tab w:val="left" w:pos="540"/>
          <w:tab w:val="left" w:pos="569"/>
        </w:tabs>
        <w:rPr>
          <w:noProof/>
          <w:sz w:val="22"/>
          <w:szCs w:val="22"/>
          <w:lang w:val="sr-Latn-ME"/>
        </w:rPr>
      </w:pPr>
    </w:p>
    <w:p w:rsidR="00411B4B" w:rsidRPr="00EC742F" w:rsidRDefault="00411B4B" w:rsidP="00F5167F">
      <w:pPr>
        <w:tabs>
          <w:tab w:val="left" w:pos="540"/>
          <w:tab w:val="left" w:pos="569"/>
        </w:tabs>
        <w:rPr>
          <w:b/>
          <w:bCs/>
          <w:sz w:val="22"/>
          <w:szCs w:val="22"/>
          <w:lang w:val="sr-Latn-ME"/>
        </w:rPr>
      </w:pPr>
      <w:r w:rsidRPr="00EC742F">
        <w:rPr>
          <w:b/>
          <w:bCs/>
          <w:sz w:val="22"/>
          <w:szCs w:val="22"/>
          <w:lang w:val="sr-Latn-ME"/>
        </w:rPr>
        <w:t>1.</w:t>
      </w:r>
      <w:r w:rsidR="00F5167F" w:rsidRPr="00EC742F">
        <w:rPr>
          <w:b/>
          <w:bCs/>
          <w:sz w:val="22"/>
          <w:szCs w:val="22"/>
          <w:lang w:val="sr-Latn-ME"/>
        </w:rPr>
        <w:tab/>
      </w:r>
      <w:r w:rsidR="002846DB" w:rsidRPr="00EC742F">
        <w:rPr>
          <w:b/>
          <w:bCs/>
          <w:sz w:val="22"/>
          <w:szCs w:val="22"/>
          <w:lang w:val="sr-Latn-ME"/>
        </w:rPr>
        <w:t xml:space="preserve">NAZIV </w:t>
      </w:r>
      <w:r w:rsidRPr="00EC742F">
        <w:rPr>
          <w:b/>
          <w:bCs/>
          <w:sz w:val="22"/>
          <w:szCs w:val="22"/>
          <w:lang w:val="sr-Latn-ME"/>
        </w:rPr>
        <w:t>LIJEKA</w:t>
      </w:r>
    </w:p>
    <w:p w:rsidR="00EC2532" w:rsidRPr="00EC742F" w:rsidRDefault="00EC2532">
      <w:pPr>
        <w:rPr>
          <w:sz w:val="22"/>
          <w:szCs w:val="22"/>
          <w:lang w:val="sr-Latn-ME"/>
        </w:rPr>
      </w:pPr>
    </w:p>
    <w:p w:rsidR="00107BF7" w:rsidRPr="00EC742F" w:rsidRDefault="00535ACD" w:rsidP="00895CCF">
      <w:pPr>
        <w:jc w:val="both"/>
        <w:rPr>
          <w:iCs/>
          <w:sz w:val="22"/>
          <w:szCs w:val="22"/>
          <w:lang w:val="sr-Latn-ME"/>
        </w:rPr>
      </w:pPr>
      <w:r w:rsidRPr="00EC742F">
        <w:rPr>
          <w:iCs/>
          <w:sz w:val="22"/>
          <w:szCs w:val="22"/>
          <w:lang w:val="sr-Latn-ME"/>
        </w:rPr>
        <w:t>Ringerov rastvor B.</w:t>
      </w:r>
      <w:r w:rsidR="00FB56F3" w:rsidRPr="00EC742F">
        <w:rPr>
          <w:iCs/>
          <w:sz w:val="22"/>
          <w:szCs w:val="22"/>
          <w:lang w:val="sr-Latn-ME"/>
        </w:rPr>
        <w:t xml:space="preserve"> </w:t>
      </w:r>
      <w:r w:rsidRPr="00EC742F">
        <w:rPr>
          <w:iCs/>
          <w:sz w:val="22"/>
          <w:szCs w:val="22"/>
          <w:lang w:val="sr-Latn-ME"/>
        </w:rPr>
        <w:t>Braun</w:t>
      </w:r>
      <w:r w:rsidR="00FB56F3" w:rsidRPr="00EC742F">
        <w:rPr>
          <w:iCs/>
          <w:sz w:val="22"/>
          <w:szCs w:val="22"/>
          <w:lang w:val="sr-Latn-ME"/>
        </w:rPr>
        <w:t>,</w:t>
      </w:r>
      <w:r w:rsidRPr="00EC742F">
        <w:rPr>
          <w:iCs/>
          <w:sz w:val="22"/>
          <w:szCs w:val="22"/>
          <w:lang w:val="sr-Latn-ME"/>
        </w:rPr>
        <w:t xml:space="preserve"> 8,6</w:t>
      </w:r>
      <w:r w:rsidR="00FB56F3" w:rsidRPr="00EC742F">
        <w:rPr>
          <w:iCs/>
          <w:sz w:val="22"/>
          <w:szCs w:val="22"/>
          <w:lang w:val="sr-Latn-ME"/>
        </w:rPr>
        <w:t xml:space="preserve"> </w:t>
      </w:r>
      <w:r w:rsidRPr="00EC742F">
        <w:rPr>
          <w:iCs/>
          <w:sz w:val="22"/>
          <w:szCs w:val="22"/>
          <w:lang w:val="sr-Latn-ME"/>
        </w:rPr>
        <w:t>g/l + 0,3</w:t>
      </w:r>
      <w:r w:rsidR="00FB56F3" w:rsidRPr="00EC742F">
        <w:rPr>
          <w:iCs/>
          <w:sz w:val="22"/>
          <w:szCs w:val="22"/>
          <w:lang w:val="sr-Latn-ME"/>
        </w:rPr>
        <w:t xml:space="preserve"> </w:t>
      </w:r>
      <w:r w:rsidRPr="00EC742F">
        <w:rPr>
          <w:iCs/>
          <w:sz w:val="22"/>
          <w:szCs w:val="22"/>
          <w:lang w:val="sr-Latn-ME"/>
        </w:rPr>
        <w:t>g/l + 0,33</w:t>
      </w:r>
      <w:r w:rsidR="00FB56F3" w:rsidRPr="00EC742F">
        <w:rPr>
          <w:iCs/>
          <w:sz w:val="22"/>
          <w:szCs w:val="22"/>
          <w:lang w:val="sr-Latn-ME"/>
        </w:rPr>
        <w:t xml:space="preserve"> </w:t>
      </w:r>
      <w:r w:rsidRPr="00EC742F">
        <w:rPr>
          <w:iCs/>
          <w:sz w:val="22"/>
          <w:szCs w:val="22"/>
          <w:lang w:val="sr-Latn-ME"/>
        </w:rPr>
        <w:t>g/l</w:t>
      </w:r>
      <w:r w:rsidR="00FB56F3" w:rsidRPr="00EC742F">
        <w:rPr>
          <w:iCs/>
          <w:sz w:val="22"/>
          <w:szCs w:val="22"/>
          <w:lang w:val="sr-Latn-ME"/>
        </w:rPr>
        <w:t>,</w:t>
      </w:r>
      <w:r w:rsidR="00270965" w:rsidRPr="00EC742F">
        <w:rPr>
          <w:iCs/>
          <w:sz w:val="22"/>
          <w:szCs w:val="22"/>
          <w:lang w:val="sr-Latn-ME"/>
        </w:rPr>
        <w:t xml:space="preserve"> rastvor za infuziju</w:t>
      </w:r>
    </w:p>
    <w:p w:rsidR="000D425A" w:rsidRPr="00EC742F" w:rsidRDefault="00270965" w:rsidP="00895CCF">
      <w:pPr>
        <w:tabs>
          <w:tab w:val="left" w:pos="1170"/>
        </w:tabs>
        <w:jc w:val="both"/>
        <w:rPr>
          <w:bCs/>
          <w:sz w:val="22"/>
          <w:szCs w:val="22"/>
          <w:lang w:val="sr-Latn-ME"/>
        </w:rPr>
      </w:pPr>
      <w:r w:rsidRPr="00EC742F">
        <w:rPr>
          <w:bCs/>
          <w:sz w:val="22"/>
          <w:szCs w:val="22"/>
          <w:lang w:val="sr-Latn-ME"/>
        </w:rPr>
        <w:tab/>
      </w:r>
    </w:p>
    <w:p w:rsidR="006D20A5" w:rsidRPr="00EC742F" w:rsidRDefault="006D20A5" w:rsidP="00895CCF">
      <w:pPr>
        <w:jc w:val="both"/>
        <w:rPr>
          <w:sz w:val="22"/>
          <w:szCs w:val="22"/>
          <w:lang w:val="sr-Latn-ME"/>
        </w:rPr>
      </w:pPr>
      <w:r w:rsidRPr="00EC742F">
        <w:rPr>
          <w:sz w:val="22"/>
          <w:szCs w:val="22"/>
          <w:lang w:val="sr-Latn-ME"/>
        </w:rPr>
        <w:t>INN:</w:t>
      </w:r>
      <w:r w:rsidR="00535ACD" w:rsidRPr="00EC742F">
        <w:rPr>
          <w:sz w:val="22"/>
          <w:szCs w:val="22"/>
          <w:lang w:val="sr-Latn-ME"/>
        </w:rPr>
        <w:t xml:space="preserve"> natrijum hlorid, kalijum hlorid, kalcijum </w:t>
      </w:r>
      <w:r w:rsidR="00B92CF5" w:rsidRPr="00EC742F">
        <w:rPr>
          <w:sz w:val="22"/>
          <w:szCs w:val="22"/>
          <w:lang w:val="sr-Latn-ME"/>
        </w:rPr>
        <w:t>hlorid</w:t>
      </w:r>
    </w:p>
    <w:p w:rsidR="006D20A5" w:rsidRPr="00EC742F" w:rsidRDefault="006D20A5" w:rsidP="00895CCF">
      <w:pPr>
        <w:jc w:val="both"/>
        <w:rPr>
          <w:bCs/>
          <w:sz w:val="22"/>
          <w:szCs w:val="22"/>
          <w:lang w:val="sr-Latn-ME"/>
        </w:rPr>
      </w:pPr>
    </w:p>
    <w:p w:rsidR="00530BD7" w:rsidRPr="00EC742F" w:rsidRDefault="00530BD7">
      <w:pPr>
        <w:rPr>
          <w:bCs/>
          <w:sz w:val="22"/>
          <w:szCs w:val="22"/>
          <w:lang w:val="sr-Latn-ME"/>
        </w:rPr>
      </w:pPr>
    </w:p>
    <w:p w:rsidR="00411B4B" w:rsidRPr="00EC742F" w:rsidRDefault="00411B4B" w:rsidP="00F5167F">
      <w:pPr>
        <w:tabs>
          <w:tab w:val="left" w:pos="540"/>
          <w:tab w:val="left" w:pos="569"/>
        </w:tabs>
        <w:rPr>
          <w:b/>
          <w:bCs/>
          <w:sz w:val="22"/>
          <w:szCs w:val="22"/>
          <w:lang w:val="sr-Latn-ME"/>
        </w:rPr>
      </w:pPr>
      <w:r w:rsidRPr="00EC742F">
        <w:rPr>
          <w:b/>
          <w:bCs/>
          <w:sz w:val="22"/>
          <w:szCs w:val="22"/>
          <w:lang w:val="sr-Latn-ME"/>
        </w:rPr>
        <w:t xml:space="preserve">2. </w:t>
      </w:r>
      <w:r w:rsidR="00F5167F" w:rsidRPr="00EC742F">
        <w:rPr>
          <w:b/>
          <w:bCs/>
          <w:sz w:val="22"/>
          <w:szCs w:val="22"/>
          <w:lang w:val="sr-Latn-ME"/>
        </w:rPr>
        <w:tab/>
      </w:r>
      <w:r w:rsidRPr="00EC742F">
        <w:rPr>
          <w:b/>
          <w:bCs/>
          <w:sz w:val="22"/>
          <w:szCs w:val="22"/>
          <w:lang w:val="sr-Latn-ME"/>
        </w:rPr>
        <w:t>KVALITATIVNI I KVANTITATIVNI SASTAV</w:t>
      </w:r>
    </w:p>
    <w:p w:rsidR="005A0B2E" w:rsidRPr="00EC742F" w:rsidRDefault="005A0B2E">
      <w:pPr>
        <w:rPr>
          <w:sz w:val="22"/>
          <w:szCs w:val="22"/>
          <w:lang w:val="sr-Latn-ME"/>
        </w:rPr>
      </w:pPr>
    </w:p>
    <w:p w:rsidR="00C845DB" w:rsidRPr="00EC742F" w:rsidRDefault="00936F0E" w:rsidP="00895CCF">
      <w:pPr>
        <w:rPr>
          <w:sz w:val="22"/>
          <w:szCs w:val="22"/>
          <w:lang w:val="sr-Latn-ME"/>
        </w:rPr>
      </w:pPr>
      <w:r w:rsidRPr="00EC742F">
        <w:rPr>
          <w:sz w:val="22"/>
          <w:szCs w:val="22"/>
          <w:lang w:val="sr-Latn-ME"/>
        </w:rPr>
        <w:t>1 000 ml</w:t>
      </w:r>
      <w:r w:rsidR="00290EC2" w:rsidRPr="00EC742F">
        <w:rPr>
          <w:sz w:val="22"/>
          <w:szCs w:val="22"/>
          <w:lang w:val="sr-Latn-ME"/>
        </w:rPr>
        <w:t xml:space="preserve"> rastvora sadrži:</w:t>
      </w:r>
    </w:p>
    <w:p w:rsidR="00C845DB" w:rsidRPr="00EC742F" w:rsidRDefault="00D65B2C" w:rsidP="00895CCF">
      <w:pPr>
        <w:rPr>
          <w:sz w:val="22"/>
          <w:szCs w:val="22"/>
          <w:lang w:val="sr-Latn-ME"/>
        </w:rPr>
      </w:pPr>
      <w:r w:rsidRPr="00EC742F">
        <w:rPr>
          <w:sz w:val="22"/>
          <w:szCs w:val="22"/>
          <w:lang w:val="sr-Latn-ME"/>
        </w:rPr>
        <w:t xml:space="preserve">Natrijum </w:t>
      </w:r>
      <w:r w:rsidR="00290EC2" w:rsidRPr="00EC742F">
        <w:rPr>
          <w:sz w:val="22"/>
          <w:szCs w:val="22"/>
          <w:lang w:val="sr-Latn-ME"/>
        </w:rPr>
        <w:t>hlorid                               8,60 g</w:t>
      </w:r>
    </w:p>
    <w:p w:rsidR="00C845DB" w:rsidRPr="00EC742F" w:rsidRDefault="00D65B2C" w:rsidP="00895CCF">
      <w:pPr>
        <w:rPr>
          <w:sz w:val="22"/>
          <w:szCs w:val="22"/>
          <w:lang w:val="sr-Latn-ME"/>
        </w:rPr>
      </w:pPr>
      <w:r w:rsidRPr="00EC742F">
        <w:rPr>
          <w:sz w:val="22"/>
          <w:szCs w:val="22"/>
          <w:lang w:val="sr-Latn-ME"/>
        </w:rPr>
        <w:t xml:space="preserve">Kalijum </w:t>
      </w:r>
      <w:r w:rsidR="00290EC2" w:rsidRPr="00EC742F">
        <w:rPr>
          <w:sz w:val="22"/>
          <w:szCs w:val="22"/>
          <w:lang w:val="sr-Latn-ME"/>
        </w:rPr>
        <w:t xml:space="preserve">hlorid                                0,30 g          </w:t>
      </w:r>
    </w:p>
    <w:p w:rsidR="00C845DB" w:rsidRPr="00EC742F" w:rsidRDefault="00D65B2C" w:rsidP="00895CCF">
      <w:pPr>
        <w:rPr>
          <w:sz w:val="22"/>
          <w:szCs w:val="22"/>
          <w:lang w:val="sr-Latn-ME"/>
        </w:rPr>
      </w:pPr>
      <w:r w:rsidRPr="00EC742F">
        <w:rPr>
          <w:sz w:val="22"/>
          <w:szCs w:val="22"/>
          <w:lang w:val="sr-Latn-ME"/>
        </w:rPr>
        <w:t xml:space="preserve">Kalcijum </w:t>
      </w:r>
      <w:r w:rsidR="00290EC2" w:rsidRPr="00EC742F">
        <w:rPr>
          <w:sz w:val="22"/>
          <w:szCs w:val="22"/>
          <w:lang w:val="sr-Latn-ME"/>
        </w:rPr>
        <w:t>hlorid, dihidrat                0,33 g</w:t>
      </w:r>
    </w:p>
    <w:p w:rsidR="00C845DB" w:rsidRPr="00EC742F" w:rsidRDefault="00C845DB" w:rsidP="00895CCF">
      <w:pPr>
        <w:rPr>
          <w:sz w:val="22"/>
          <w:szCs w:val="22"/>
          <w:lang w:val="sr-Latn-ME"/>
        </w:rPr>
      </w:pPr>
    </w:p>
    <w:p w:rsidR="00C845DB" w:rsidRPr="00EC742F" w:rsidRDefault="00EA70F5" w:rsidP="00895CCF">
      <w:pPr>
        <w:rPr>
          <w:sz w:val="22"/>
          <w:szCs w:val="22"/>
          <w:lang w:val="sr-Latn-ME"/>
        </w:rPr>
      </w:pPr>
      <w:r w:rsidRPr="00EC742F">
        <w:rPr>
          <w:sz w:val="22"/>
          <w:szCs w:val="22"/>
          <w:lang w:val="sr-Latn-ME"/>
        </w:rPr>
        <w:t>Koncentracija e</w:t>
      </w:r>
      <w:r w:rsidR="00535ACD" w:rsidRPr="00EC742F">
        <w:rPr>
          <w:sz w:val="22"/>
          <w:szCs w:val="22"/>
          <w:lang w:val="sr-Latn-ME"/>
        </w:rPr>
        <w:t>lektrolita:               mmol/l</w:t>
      </w:r>
    </w:p>
    <w:p w:rsidR="00C845DB" w:rsidRPr="00EC742F" w:rsidRDefault="00EA70F5" w:rsidP="00895CCF">
      <w:pPr>
        <w:rPr>
          <w:sz w:val="22"/>
          <w:szCs w:val="22"/>
          <w:lang w:val="sr-Latn-ME"/>
        </w:rPr>
      </w:pPr>
      <w:r w:rsidRPr="00EC742F">
        <w:rPr>
          <w:sz w:val="22"/>
          <w:szCs w:val="22"/>
          <w:lang w:val="sr-Latn-ME"/>
        </w:rPr>
        <w:t>Natrijum                                         147</w:t>
      </w:r>
    </w:p>
    <w:p w:rsidR="00C845DB" w:rsidRPr="00EC742F" w:rsidRDefault="00EA70F5" w:rsidP="00895CCF">
      <w:pPr>
        <w:rPr>
          <w:sz w:val="22"/>
          <w:szCs w:val="22"/>
          <w:lang w:val="sr-Latn-ME"/>
        </w:rPr>
      </w:pPr>
      <w:r w:rsidRPr="00EC742F">
        <w:rPr>
          <w:sz w:val="22"/>
          <w:szCs w:val="22"/>
          <w:lang w:val="sr-Latn-ME"/>
        </w:rPr>
        <w:t>Kalijum                                           4,0</w:t>
      </w:r>
    </w:p>
    <w:p w:rsidR="00C845DB" w:rsidRPr="00EC742F" w:rsidRDefault="00EA70F5" w:rsidP="00895CCF">
      <w:pPr>
        <w:rPr>
          <w:sz w:val="22"/>
          <w:szCs w:val="22"/>
          <w:lang w:val="sr-Latn-ME"/>
        </w:rPr>
      </w:pPr>
      <w:r w:rsidRPr="00EC742F">
        <w:rPr>
          <w:sz w:val="22"/>
          <w:szCs w:val="22"/>
          <w:lang w:val="sr-Latn-ME"/>
        </w:rPr>
        <w:t xml:space="preserve">Kalcijum                                         2,2 </w:t>
      </w:r>
    </w:p>
    <w:p w:rsidR="00C845DB" w:rsidRPr="00EC742F" w:rsidRDefault="00EA70F5" w:rsidP="00895CCF">
      <w:pPr>
        <w:rPr>
          <w:sz w:val="22"/>
          <w:szCs w:val="22"/>
          <w:lang w:val="sr-Latn-ME"/>
        </w:rPr>
      </w:pPr>
      <w:r w:rsidRPr="00EC742F">
        <w:rPr>
          <w:sz w:val="22"/>
          <w:szCs w:val="22"/>
          <w:lang w:val="sr-Latn-ME"/>
        </w:rPr>
        <w:t>Hloridi                                            156</w:t>
      </w:r>
    </w:p>
    <w:p w:rsidR="00C845DB" w:rsidRPr="00EC742F" w:rsidRDefault="00C845DB" w:rsidP="00895CCF">
      <w:pPr>
        <w:rPr>
          <w:sz w:val="22"/>
          <w:szCs w:val="22"/>
          <w:lang w:val="sr-Latn-ME"/>
        </w:rPr>
      </w:pPr>
    </w:p>
    <w:p w:rsidR="00C845DB" w:rsidRPr="00EC742F" w:rsidRDefault="006A3881" w:rsidP="00895CCF">
      <w:pPr>
        <w:tabs>
          <w:tab w:val="left" w:pos="540"/>
          <w:tab w:val="left" w:pos="569"/>
        </w:tabs>
        <w:rPr>
          <w:bCs/>
          <w:sz w:val="22"/>
          <w:szCs w:val="22"/>
          <w:lang w:val="sr-Latn-ME"/>
        </w:rPr>
      </w:pPr>
      <w:r w:rsidRPr="00EC742F">
        <w:rPr>
          <w:bCs/>
          <w:sz w:val="22"/>
          <w:szCs w:val="22"/>
          <w:lang w:val="sr-Latn-ME"/>
        </w:rPr>
        <w:t>Teoretska osmolarnost:                     309  mOsm/l</w:t>
      </w:r>
    </w:p>
    <w:p w:rsidR="00C845DB" w:rsidRPr="00EC742F" w:rsidRDefault="006A3881" w:rsidP="00895CCF">
      <w:pPr>
        <w:tabs>
          <w:tab w:val="left" w:pos="540"/>
          <w:tab w:val="left" w:pos="569"/>
        </w:tabs>
        <w:rPr>
          <w:bCs/>
          <w:sz w:val="22"/>
          <w:szCs w:val="22"/>
          <w:lang w:val="sr-Latn-ME"/>
        </w:rPr>
      </w:pPr>
      <w:r w:rsidRPr="00EC742F">
        <w:rPr>
          <w:bCs/>
          <w:sz w:val="22"/>
          <w:szCs w:val="22"/>
          <w:lang w:val="sr-Latn-ME"/>
        </w:rPr>
        <w:t>Aciditet (titracija do pH 7,4):            &lt; 0,3 mmol/l</w:t>
      </w:r>
    </w:p>
    <w:p w:rsidR="00C845DB" w:rsidRPr="00EC742F" w:rsidRDefault="006A3881" w:rsidP="00895CCF">
      <w:pPr>
        <w:tabs>
          <w:tab w:val="left" w:pos="540"/>
          <w:tab w:val="left" w:pos="569"/>
        </w:tabs>
        <w:rPr>
          <w:bCs/>
          <w:sz w:val="22"/>
          <w:szCs w:val="22"/>
          <w:lang w:val="sr-Latn-ME"/>
        </w:rPr>
      </w:pPr>
      <w:r w:rsidRPr="00EC742F">
        <w:rPr>
          <w:bCs/>
          <w:sz w:val="22"/>
          <w:szCs w:val="22"/>
          <w:lang w:val="sr-Latn-ME"/>
        </w:rPr>
        <w:t>pH:                                                    5,0 – 7,0</w:t>
      </w:r>
    </w:p>
    <w:p w:rsidR="00C845DB" w:rsidRPr="00EC742F" w:rsidRDefault="00C845DB" w:rsidP="00895CCF">
      <w:pPr>
        <w:rPr>
          <w:bCs/>
          <w:sz w:val="22"/>
          <w:szCs w:val="22"/>
          <w:lang w:val="sr-Latn-ME"/>
        </w:rPr>
      </w:pPr>
    </w:p>
    <w:p w:rsidR="00C845DB" w:rsidRPr="00EC742F" w:rsidRDefault="00EA70F5" w:rsidP="00895CCF">
      <w:pPr>
        <w:rPr>
          <w:sz w:val="22"/>
          <w:szCs w:val="22"/>
          <w:lang w:val="sr-Latn-ME"/>
        </w:rPr>
      </w:pPr>
      <w:r w:rsidRPr="00EC742F">
        <w:rPr>
          <w:sz w:val="22"/>
          <w:szCs w:val="22"/>
          <w:lang w:val="sr-Latn-ME"/>
        </w:rPr>
        <w:t xml:space="preserve">Za </w:t>
      </w:r>
      <w:r w:rsidR="00FB56F3" w:rsidRPr="00EC742F">
        <w:rPr>
          <w:sz w:val="22"/>
          <w:szCs w:val="22"/>
          <w:lang w:val="sr-Latn-ME"/>
        </w:rPr>
        <w:t xml:space="preserve">spisak </w:t>
      </w:r>
      <w:r w:rsidRPr="00EC742F">
        <w:rPr>
          <w:sz w:val="22"/>
          <w:szCs w:val="22"/>
          <w:lang w:val="sr-Latn-ME"/>
        </w:rPr>
        <w:t xml:space="preserve">svih </w:t>
      </w:r>
      <w:r w:rsidR="00FB56F3" w:rsidRPr="00EC742F">
        <w:rPr>
          <w:sz w:val="22"/>
          <w:szCs w:val="22"/>
          <w:lang w:val="sr-Latn-ME"/>
        </w:rPr>
        <w:t>ekscipijenasa</w:t>
      </w:r>
      <w:r w:rsidRPr="00EC742F">
        <w:rPr>
          <w:sz w:val="22"/>
          <w:szCs w:val="22"/>
          <w:lang w:val="sr-Latn-ME"/>
        </w:rPr>
        <w:t>, pogleda</w:t>
      </w:r>
      <w:r w:rsidR="00FB56F3" w:rsidRPr="00EC742F">
        <w:rPr>
          <w:sz w:val="22"/>
          <w:szCs w:val="22"/>
          <w:lang w:val="sr-Latn-ME"/>
        </w:rPr>
        <w:t>ti</w:t>
      </w:r>
      <w:r w:rsidRPr="00EC742F">
        <w:rPr>
          <w:sz w:val="22"/>
          <w:szCs w:val="22"/>
          <w:lang w:val="sr-Latn-ME"/>
        </w:rPr>
        <w:t xml:space="preserve"> </w:t>
      </w:r>
      <w:r w:rsidR="00FB56F3" w:rsidRPr="00EC742F">
        <w:rPr>
          <w:sz w:val="22"/>
          <w:szCs w:val="22"/>
          <w:lang w:val="sr-Latn-ME"/>
        </w:rPr>
        <w:t>dio</w:t>
      </w:r>
      <w:r w:rsidRPr="00EC742F">
        <w:rPr>
          <w:sz w:val="22"/>
          <w:szCs w:val="22"/>
          <w:lang w:val="sr-Latn-ME"/>
        </w:rPr>
        <w:t xml:space="preserve"> 6.1.</w:t>
      </w:r>
    </w:p>
    <w:p w:rsidR="00C845DB" w:rsidRPr="00EC742F" w:rsidRDefault="00C845DB">
      <w:pPr>
        <w:jc w:val="both"/>
        <w:rPr>
          <w:sz w:val="22"/>
          <w:szCs w:val="22"/>
          <w:lang w:val="sr-Latn-ME"/>
        </w:rPr>
      </w:pPr>
    </w:p>
    <w:p w:rsidR="00EA70F5" w:rsidRPr="00EC742F" w:rsidRDefault="00EA70F5">
      <w:pPr>
        <w:rPr>
          <w:sz w:val="22"/>
          <w:szCs w:val="22"/>
          <w:lang w:val="sr-Latn-ME"/>
        </w:rPr>
      </w:pPr>
    </w:p>
    <w:p w:rsidR="00411B4B" w:rsidRPr="00EC742F" w:rsidRDefault="00411B4B" w:rsidP="00F5167F">
      <w:pPr>
        <w:tabs>
          <w:tab w:val="left" w:pos="540"/>
          <w:tab w:val="left" w:pos="569"/>
        </w:tabs>
        <w:rPr>
          <w:b/>
          <w:bCs/>
          <w:sz w:val="22"/>
          <w:szCs w:val="22"/>
          <w:lang w:val="sr-Latn-ME"/>
        </w:rPr>
      </w:pPr>
      <w:r w:rsidRPr="00EC742F">
        <w:rPr>
          <w:b/>
          <w:bCs/>
          <w:sz w:val="22"/>
          <w:szCs w:val="22"/>
          <w:lang w:val="sr-Latn-ME"/>
        </w:rPr>
        <w:t xml:space="preserve">3. </w:t>
      </w:r>
      <w:r w:rsidR="00F5167F" w:rsidRPr="00EC742F">
        <w:rPr>
          <w:b/>
          <w:bCs/>
          <w:sz w:val="22"/>
          <w:szCs w:val="22"/>
          <w:lang w:val="sr-Latn-ME"/>
        </w:rPr>
        <w:tab/>
      </w:r>
      <w:r w:rsidRPr="00EC742F">
        <w:rPr>
          <w:b/>
          <w:bCs/>
          <w:sz w:val="22"/>
          <w:szCs w:val="22"/>
          <w:lang w:val="sr-Latn-ME"/>
        </w:rPr>
        <w:t>FARMACEUTSKI OBLIK</w:t>
      </w:r>
      <w:r w:rsidR="009F2D23" w:rsidRPr="00EC742F">
        <w:rPr>
          <w:b/>
          <w:bCs/>
          <w:sz w:val="22"/>
          <w:szCs w:val="22"/>
          <w:lang w:val="sr-Latn-ME"/>
        </w:rPr>
        <w:t xml:space="preserve"> </w:t>
      </w:r>
    </w:p>
    <w:p w:rsidR="00DD5A26" w:rsidRPr="00EC742F" w:rsidRDefault="00DD5A26" w:rsidP="00F5167F">
      <w:pPr>
        <w:tabs>
          <w:tab w:val="left" w:pos="540"/>
          <w:tab w:val="left" w:pos="569"/>
        </w:tabs>
        <w:rPr>
          <w:b/>
          <w:bCs/>
          <w:sz w:val="22"/>
          <w:szCs w:val="22"/>
          <w:lang w:val="sr-Latn-ME"/>
        </w:rPr>
      </w:pPr>
    </w:p>
    <w:p w:rsidR="00DD5A26" w:rsidRPr="00EC742F" w:rsidRDefault="00DD5A26" w:rsidP="00F5167F">
      <w:pPr>
        <w:tabs>
          <w:tab w:val="left" w:pos="540"/>
          <w:tab w:val="left" w:pos="569"/>
        </w:tabs>
        <w:rPr>
          <w:bCs/>
          <w:sz w:val="22"/>
          <w:szCs w:val="22"/>
          <w:lang w:val="sr-Latn-ME"/>
        </w:rPr>
      </w:pPr>
      <w:r w:rsidRPr="00EC742F">
        <w:rPr>
          <w:bCs/>
          <w:sz w:val="22"/>
          <w:szCs w:val="22"/>
          <w:lang w:val="sr-Latn-ME"/>
        </w:rPr>
        <w:t>Rastvor za infuziju</w:t>
      </w:r>
      <w:r w:rsidR="006A3881" w:rsidRPr="00EC742F">
        <w:rPr>
          <w:bCs/>
          <w:sz w:val="22"/>
          <w:szCs w:val="22"/>
          <w:lang w:val="sr-Latn-ME"/>
        </w:rPr>
        <w:t>.</w:t>
      </w:r>
    </w:p>
    <w:p w:rsidR="00DD5A26" w:rsidRPr="00EC742F" w:rsidRDefault="00DD5A26" w:rsidP="00F5167F">
      <w:pPr>
        <w:tabs>
          <w:tab w:val="left" w:pos="540"/>
          <w:tab w:val="left" w:pos="569"/>
        </w:tabs>
        <w:rPr>
          <w:bCs/>
          <w:sz w:val="22"/>
          <w:szCs w:val="22"/>
          <w:lang w:val="sr-Latn-ME"/>
        </w:rPr>
      </w:pPr>
      <w:r w:rsidRPr="00EC742F">
        <w:rPr>
          <w:bCs/>
          <w:sz w:val="22"/>
          <w:szCs w:val="22"/>
          <w:lang w:val="sr-Latn-ME"/>
        </w:rPr>
        <w:t>Bistar, bezbojan, vodeni rastvor</w:t>
      </w:r>
      <w:r w:rsidR="006A3881" w:rsidRPr="00EC742F">
        <w:rPr>
          <w:bCs/>
          <w:sz w:val="22"/>
          <w:szCs w:val="22"/>
          <w:lang w:val="sr-Latn-ME"/>
        </w:rPr>
        <w:t>.</w:t>
      </w:r>
    </w:p>
    <w:p w:rsidR="00923D2E" w:rsidRPr="00EC742F" w:rsidRDefault="00923D2E" w:rsidP="00F5167F">
      <w:pPr>
        <w:tabs>
          <w:tab w:val="left" w:pos="540"/>
          <w:tab w:val="left" w:pos="569"/>
        </w:tabs>
        <w:rPr>
          <w:bCs/>
          <w:sz w:val="22"/>
          <w:szCs w:val="22"/>
          <w:lang w:val="sr-Latn-ME"/>
        </w:rPr>
      </w:pPr>
    </w:p>
    <w:p w:rsidR="00EC2532" w:rsidRPr="00EC742F" w:rsidRDefault="00EC2532">
      <w:pPr>
        <w:rPr>
          <w:bCs/>
          <w:sz w:val="22"/>
          <w:szCs w:val="22"/>
          <w:lang w:val="sr-Latn-ME"/>
        </w:rPr>
      </w:pPr>
    </w:p>
    <w:p w:rsidR="00411B4B" w:rsidRPr="00EC742F" w:rsidRDefault="00411B4B" w:rsidP="00F5167F">
      <w:pPr>
        <w:tabs>
          <w:tab w:val="left" w:pos="540"/>
          <w:tab w:val="left" w:pos="569"/>
        </w:tabs>
        <w:rPr>
          <w:b/>
          <w:bCs/>
          <w:sz w:val="22"/>
          <w:szCs w:val="22"/>
          <w:lang w:val="sr-Latn-ME"/>
        </w:rPr>
      </w:pPr>
      <w:r w:rsidRPr="00EC742F">
        <w:rPr>
          <w:b/>
          <w:bCs/>
          <w:sz w:val="22"/>
          <w:szCs w:val="22"/>
          <w:lang w:val="sr-Latn-ME"/>
        </w:rPr>
        <w:t xml:space="preserve">4. </w:t>
      </w:r>
      <w:r w:rsidR="00480FB1" w:rsidRPr="00EC742F">
        <w:rPr>
          <w:b/>
          <w:bCs/>
          <w:sz w:val="22"/>
          <w:szCs w:val="22"/>
          <w:lang w:val="sr-Latn-ME"/>
        </w:rPr>
        <w:tab/>
      </w:r>
      <w:r w:rsidRPr="00EC742F">
        <w:rPr>
          <w:b/>
          <w:bCs/>
          <w:sz w:val="22"/>
          <w:szCs w:val="22"/>
          <w:lang w:val="sr-Latn-ME"/>
        </w:rPr>
        <w:t>KLINIČKI PODACI</w:t>
      </w:r>
    </w:p>
    <w:p w:rsidR="00CD6F02" w:rsidRPr="00EC742F" w:rsidRDefault="00CD6F02" w:rsidP="00480FB1">
      <w:pPr>
        <w:tabs>
          <w:tab w:val="left" w:pos="540"/>
          <w:tab w:val="left" w:pos="569"/>
        </w:tabs>
        <w:rPr>
          <w:bCs/>
          <w:sz w:val="22"/>
          <w:szCs w:val="22"/>
          <w:lang w:val="sr-Latn-ME"/>
        </w:rPr>
      </w:pPr>
    </w:p>
    <w:p w:rsidR="00411B4B" w:rsidRPr="00EC742F" w:rsidRDefault="00411B4B" w:rsidP="00480FB1">
      <w:pPr>
        <w:tabs>
          <w:tab w:val="left" w:pos="540"/>
          <w:tab w:val="left" w:pos="569"/>
        </w:tabs>
        <w:rPr>
          <w:b/>
          <w:bCs/>
          <w:sz w:val="22"/>
          <w:szCs w:val="22"/>
          <w:lang w:val="sr-Latn-ME"/>
        </w:rPr>
      </w:pPr>
      <w:r w:rsidRPr="00EC742F">
        <w:rPr>
          <w:b/>
          <w:bCs/>
          <w:sz w:val="22"/>
          <w:szCs w:val="22"/>
          <w:lang w:val="sr-Latn-ME"/>
        </w:rPr>
        <w:t xml:space="preserve">4.1. </w:t>
      </w:r>
      <w:r w:rsidR="00480FB1" w:rsidRPr="00EC742F">
        <w:rPr>
          <w:b/>
          <w:bCs/>
          <w:sz w:val="22"/>
          <w:szCs w:val="22"/>
          <w:lang w:val="sr-Latn-ME"/>
        </w:rPr>
        <w:tab/>
      </w:r>
      <w:r w:rsidRPr="00EC742F">
        <w:rPr>
          <w:b/>
          <w:bCs/>
          <w:sz w:val="22"/>
          <w:szCs w:val="22"/>
          <w:lang w:val="sr-Latn-ME"/>
        </w:rPr>
        <w:t>Terapijske indikacije</w:t>
      </w:r>
    </w:p>
    <w:p w:rsidR="00DA249E" w:rsidRPr="00EC742F" w:rsidRDefault="00DA249E" w:rsidP="00480FB1">
      <w:pPr>
        <w:tabs>
          <w:tab w:val="left" w:pos="540"/>
          <w:tab w:val="left" w:pos="569"/>
        </w:tabs>
        <w:rPr>
          <w:b/>
          <w:bCs/>
          <w:sz w:val="22"/>
          <w:szCs w:val="22"/>
          <w:lang w:val="sr-Latn-ME"/>
        </w:rPr>
      </w:pPr>
    </w:p>
    <w:p w:rsidR="00C845DB" w:rsidRPr="00EC742F" w:rsidRDefault="00DA249E">
      <w:pPr>
        <w:pStyle w:val="ListParagraph"/>
        <w:numPr>
          <w:ilvl w:val="0"/>
          <w:numId w:val="16"/>
        </w:numPr>
        <w:tabs>
          <w:tab w:val="left" w:pos="540"/>
          <w:tab w:val="left" w:pos="569"/>
        </w:tabs>
        <w:rPr>
          <w:bCs/>
          <w:szCs w:val="22"/>
          <w:lang w:val="sr-Latn-ME"/>
        </w:rPr>
      </w:pPr>
      <w:r w:rsidRPr="00EC742F">
        <w:rPr>
          <w:bCs/>
          <w:szCs w:val="22"/>
          <w:lang w:val="sr-Latn-ME"/>
        </w:rPr>
        <w:t>Nadoknada tečnosti i elektrolita u hipohloremijskoj alkalozi</w:t>
      </w:r>
    </w:p>
    <w:p w:rsidR="00C845DB" w:rsidRPr="00EC742F" w:rsidRDefault="00DA249E">
      <w:pPr>
        <w:pStyle w:val="ListParagraph"/>
        <w:numPr>
          <w:ilvl w:val="0"/>
          <w:numId w:val="16"/>
        </w:numPr>
        <w:tabs>
          <w:tab w:val="left" w:pos="540"/>
          <w:tab w:val="left" w:pos="569"/>
        </w:tabs>
        <w:rPr>
          <w:bCs/>
          <w:szCs w:val="22"/>
          <w:lang w:val="sr-Latn-ME"/>
        </w:rPr>
      </w:pPr>
      <w:r w:rsidRPr="00EC742F">
        <w:rPr>
          <w:bCs/>
          <w:szCs w:val="22"/>
          <w:lang w:val="sr-Latn-ME"/>
        </w:rPr>
        <w:t>Gubitak hlora</w:t>
      </w:r>
    </w:p>
    <w:p w:rsidR="00C845DB" w:rsidRPr="00EC742F" w:rsidRDefault="00DA249E">
      <w:pPr>
        <w:pStyle w:val="ListParagraph"/>
        <w:numPr>
          <w:ilvl w:val="0"/>
          <w:numId w:val="16"/>
        </w:numPr>
        <w:tabs>
          <w:tab w:val="left" w:pos="540"/>
          <w:tab w:val="left" w:pos="569"/>
        </w:tabs>
        <w:rPr>
          <w:bCs/>
          <w:szCs w:val="22"/>
          <w:lang w:val="sr-Latn-ME"/>
        </w:rPr>
      </w:pPr>
      <w:r w:rsidRPr="00EC742F">
        <w:rPr>
          <w:bCs/>
          <w:szCs w:val="22"/>
          <w:lang w:val="sr-Latn-ME"/>
        </w:rPr>
        <w:t>Kratkotrajna intravaskularna nadoknada volumena</w:t>
      </w:r>
    </w:p>
    <w:p w:rsidR="00C845DB" w:rsidRPr="00EC742F" w:rsidRDefault="00DA249E">
      <w:pPr>
        <w:pStyle w:val="ListParagraph"/>
        <w:numPr>
          <w:ilvl w:val="0"/>
          <w:numId w:val="16"/>
        </w:numPr>
        <w:tabs>
          <w:tab w:val="left" w:pos="540"/>
          <w:tab w:val="left" w:pos="569"/>
        </w:tabs>
        <w:rPr>
          <w:bCs/>
          <w:szCs w:val="22"/>
          <w:lang w:val="sr-Latn-ME"/>
        </w:rPr>
      </w:pPr>
      <w:r w:rsidRPr="00EC742F">
        <w:rPr>
          <w:bCs/>
          <w:szCs w:val="22"/>
          <w:lang w:val="sr-Latn-ME"/>
        </w:rPr>
        <w:t>Izotonična dehidratacija</w:t>
      </w:r>
    </w:p>
    <w:p w:rsidR="00C845DB" w:rsidRPr="00EC742F" w:rsidRDefault="00DA249E">
      <w:pPr>
        <w:pStyle w:val="ListParagraph"/>
        <w:numPr>
          <w:ilvl w:val="0"/>
          <w:numId w:val="16"/>
        </w:numPr>
        <w:tabs>
          <w:tab w:val="left" w:pos="540"/>
          <w:tab w:val="left" w:pos="569"/>
        </w:tabs>
        <w:rPr>
          <w:bCs/>
          <w:szCs w:val="22"/>
          <w:lang w:val="sr-Latn-ME"/>
        </w:rPr>
      </w:pPr>
      <w:r w:rsidRPr="00EC742F">
        <w:rPr>
          <w:bCs/>
          <w:szCs w:val="22"/>
          <w:lang w:val="sr-Latn-ME"/>
        </w:rPr>
        <w:t>Hipotonična dehidratacija</w:t>
      </w:r>
    </w:p>
    <w:p w:rsidR="00C845DB" w:rsidRPr="00EC742F" w:rsidRDefault="00DA249E">
      <w:pPr>
        <w:pStyle w:val="ListParagraph"/>
        <w:numPr>
          <w:ilvl w:val="0"/>
          <w:numId w:val="16"/>
        </w:numPr>
        <w:tabs>
          <w:tab w:val="left" w:pos="540"/>
          <w:tab w:val="left" w:pos="569"/>
        </w:tabs>
        <w:rPr>
          <w:bCs/>
          <w:szCs w:val="22"/>
          <w:lang w:val="sr-Latn-ME"/>
        </w:rPr>
      </w:pPr>
      <w:r w:rsidRPr="00EC742F">
        <w:rPr>
          <w:bCs/>
          <w:szCs w:val="22"/>
          <w:lang w:val="sr-Latn-ME"/>
        </w:rPr>
        <w:t>Rastvor za rastvaranje kompatibilnih koncentrata elektrolita i ljekova</w:t>
      </w:r>
    </w:p>
    <w:p w:rsidR="00D65A27" w:rsidRPr="00EC742F" w:rsidRDefault="00D65A27" w:rsidP="00480FB1">
      <w:pPr>
        <w:tabs>
          <w:tab w:val="left" w:pos="540"/>
          <w:tab w:val="left" w:pos="569"/>
        </w:tabs>
        <w:rPr>
          <w:b/>
          <w:bCs/>
          <w:sz w:val="22"/>
          <w:szCs w:val="22"/>
          <w:lang w:val="sr-Latn-ME"/>
        </w:rPr>
      </w:pPr>
    </w:p>
    <w:p w:rsidR="00411B4B" w:rsidRPr="00EC742F" w:rsidRDefault="00411B4B" w:rsidP="00480FB1">
      <w:pPr>
        <w:tabs>
          <w:tab w:val="left" w:pos="540"/>
          <w:tab w:val="left" w:pos="569"/>
        </w:tabs>
        <w:rPr>
          <w:b/>
          <w:bCs/>
          <w:sz w:val="22"/>
          <w:szCs w:val="22"/>
          <w:lang w:val="sr-Latn-ME"/>
        </w:rPr>
      </w:pPr>
      <w:r w:rsidRPr="00EC742F">
        <w:rPr>
          <w:b/>
          <w:bCs/>
          <w:sz w:val="22"/>
          <w:szCs w:val="22"/>
          <w:lang w:val="sr-Latn-ME"/>
        </w:rPr>
        <w:t xml:space="preserve">4.2. </w:t>
      </w:r>
      <w:r w:rsidR="00480FB1" w:rsidRPr="00EC742F">
        <w:rPr>
          <w:b/>
          <w:bCs/>
          <w:sz w:val="22"/>
          <w:szCs w:val="22"/>
          <w:lang w:val="sr-Latn-ME"/>
        </w:rPr>
        <w:tab/>
      </w:r>
      <w:r w:rsidRPr="00EC742F">
        <w:rPr>
          <w:b/>
          <w:bCs/>
          <w:sz w:val="22"/>
          <w:szCs w:val="22"/>
          <w:lang w:val="sr-Latn-ME"/>
        </w:rPr>
        <w:t>Doziranje i način primjene</w:t>
      </w:r>
    </w:p>
    <w:p w:rsidR="0072020E" w:rsidRPr="00EC742F" w:rsidRDefault="0072020E" w:rsidP="00480FB1">
      <w:pPr>
        <w:tabs>
          <w:tab w:val="left" w:pos="540"/>
          <w:tab w:val="left" w:pos="569"/>
        </w:tabs>
        <w:rPr>
          <w:bCs/>
          <w:sz w:val="22"/>
          <w:szCs w:val="22"/>
          <w:lang w:val="sr-Latn-ME"/>
        </w:rPr>
      </w:pPr>
    </w:p>
    <w:p w:rsidR="00452E9D" w:rsidRPr="00EC742F" w:rsidRDefault="00452E9D" w:rsidP="00A03745">
      <w:pPr>
        <w:tabs>
          <w:tab w:val="left" w:pos="540"/>
          <w:tab w:val="left" w:pos="569"/>
        </w:tabs>
        <w:jc w:val="both"/>
        <w:rPr>
          <w:bCs/>
          <w:sz w:val="22"/>
          <w:szCs w:val="22"/>
          <w:u w:val="single"/>
          <w:lang w:val="sr-Latn-ME"/>
        </w:rPr>
      </w:pPr>
      <w:r w:rsidRPr="00EC742F">
        <w:rPr>
          <w:bCs/>
          <w:sz w:val="22"/>
          <w:szCs w:val="22"/>
          <w:u w:val="single"/>
          <w:lang w:val="sr-Latn-ME"/>
        </w:rPr>
        <w:t>Doziranje</w:t>
      </w:r>
    </w:p>
    <w:p w:rsidR="00BF55B2" w:rsidRPr="00EC742F" w:rsidRDefault="00BF55B2" w:rsidP="00A03745">
      <w:pPr>
        <w:tabs>
          <w:tab w:val="left" w:pos="540"/>
          <w:tab w:val="left" w:pos="569"/>
        </w:tabs>
        <w:jc w:val="both"/>
        <w:rPr>
          <w:bCs/>
          <w:sz w:val="22"/>
          <w:szCs w:val="22"/>
          <w:lang w:val="sr-Latn-ME"/>
        </w:rPr>
      </w:pPr>
      <w:r w:rsidRPr="00EC742F">
        <w:rPr>
          <w:bCs/>
          <w:sz w:val="22"/>
          <w:szCs w:val="22"/>
          <w:lang w:val="sr-Latn-ME"/>
        </w:rPr>
        <w:t>Kod pacijenata sa fiziološkim metaboličkim statusom (ako nije drugačije propisano): kontinuirana intravenska infuzija u skladu sa zahtjevima za tečnošću i elektrolitima.</w:t>
      </w:r>
    </w:p>
    <w:p w:rsidR="00BF55B2" w:rsidRPr="00EC742F" w:rsidRDefault="00BF55B2" w:rsidP="00A03745">
      <w:pPr>
        <w:tabs>
          <w:tab w:val="left" w:pos="540"/>
          <w:tab w:val="left" w:pos="569"/>
        </w:tabs>
        <w:jc w:val="both"/>
        <w:rPr>
          <w:bCs/>
          <w:sz w:val="22"/>
          <w:szCs w:val="22"/>
          <w:lang w:val="sr-Latn-ME"/>
        </w:rPr>
      </w:pPr>
    </w:p>
    <w:p w:rsidR="00BF55B2" w:rsidRPr="00EC742F" w:rsidRDefault="00BF55B2" w:rsidP="00A03745">
      <w:pPr>
        <w:tabs>
          <w:tab w:val="left" w:pos="540"/>
          <w:tab w:val="left" w:pos="569"/>
        </w:tabs>
        <w:jc w:val="both"/>
        <w:rPr>
          <w:bCs/>
          <w:i/>
          <w:sz w:val="22"/>
          <w:szCs w:val="22"/>
          <w:lang w:val="sr-Latn-ME"/>
        </w:rPr>
      </w:pPr>
      <w:r w:rsidRPr="00EC742F">
        <w:rPr>
          <w:bCs/>
          <w:i/>
          <w:sz w:val="22"/>
          <w:szCs w:val="22"/>
          <w:lang w:val="sr-Latn-ME"/>
        </w:rPr>
        <w:t>Maksimalna dnevna doza:</w:t>
      </w:r>
    </w:p>
    <w:p w:rsidR="00BF55B2" w:rsidRPr="00EC742F" w:rsidRDefault="00612030" w:rsidP="00A03745">
      <w:pPr>
        <w:tabs>
          <w:tab w:val="left" w:pos="540"/>
          <w:tab w:val="left" w:pos="569"/>
        </w:tabs>
        <w:jc w:val="both"/>
        <w:rPr>
          <w:bCs/>
          <w:sz w:val="22"/>
          <w:szCs w:val="22"/>
          <w:lang w:val="sr-Latn-ME"/>
        </w:rPr>
      </w:pPr>
      <w:r w:rsidRPr="00EC742F">
        <w:rPr>
          <w:bCs/>
          <w:sz w:val="22"/>
          <w:szCs w:val="22"/>
          <w:lang w:val="sr-Latn-ME"/>
        </w:rPr>
        <w:t>Do 40 ml</w:t>
      </w:r>
      <w:r w:rsidR="00BF55B2" w:rsidRPr="00EC742F">
        <w:rPr>
          <w:bCs/>
          <w:sz w:val="22"/>
          <w:szCs w:val="22"/>
          <w:lang w:val="sr-Latn-ME"/>
        </w:rPr>
        <w:t xml:space="preserve"> po kg tjelesne mase (TM) dnevno, što je ekvivalentno 5,88 mmol natrijuma/kg TM </w:t>
      </w:r>
      <w:r w:rsidR="00A90273" w:rsidRPr="00EC742F">
        <w:rPr>
          <w:bCs/>
          <w:sz w:val="22"/>
          <w:szCs w:val="22"/>
          <w:lang w:val="sr-Latn-ME"/>
        </w:rPr>
        <w:t xml:space="preserve">i </w:t>
      </w:r>
      <w:r w:rsidR="00BF55B2" w:rsidRPr="00EC742F">
        <w:rPr>
          <w:bCs/>
          <w:sz w:val="22"/>
          <w:szCs w:val="22"/>
          <w:lang w:val="sr-Latn-ME"/>
        </w:rPr>
        <w:t>0,16 mmol kalijuma/kg TM dnevno.</w:t>
      </w:r>
    </w:p>
    <w:p w:rsidR="002F011D" w:rsidRPr="00EC742F" w:rsidRDefault="002F011D" w:rsidP="00A03745">
      <w:pPr>
        <w:tabs>
          <w:tab w:val="left" w:pos="540"/>
          <w:tab w:val="left" w:pos="569"/>
        </w:tabs>
        <w:jc w:val="both"/>
        <w:rPr>
          <w:bCs/>
          <w:i/>
          <w:sz w:val="22"/>
          <w:szCs w:val="22"/>
          <w:lang w:val="sr-Latn-ME"/>
        </w:rPr>
      </w:pPr>
      <w:r w:rsidRPr="00EC742F">
        <w:rPr>
          <w:bCs/>
          <w:i/>
          <w:sz w:val="22"/>
          <w:szCs w:val="22"/>
          <w:lang w:val="sr-Latn-ME"/>
        </w:rPr>
        <w:lastRenderedPageBreak/>
        <w:t>Maksimalna dnevna količina:</w:t>
      </w:r>
    </w:p>
    <w:p w:rsidR="00887A19" w:rsidRPr="00EC742F" w:rsidRDefault="00887A19" w:rsidP="00A03745">
      <w:pPr>
        <w:shd w:val="clear" w:color="auto" w:fill="FFFFFF"/>
        <w:jc w:val="both"/>
        <w:textAlignment w:val="top"/>
        <w:rPr>
          <w:sz w:val="22"/>
          <w:szCs w:val="22"/>
          <w:lang w:val="sr-Latn-ME"/>
        </w:rPr>
      </w:pPr>
      <w:r w:rsidRPr="00EC742F">
        <w:rPr>
          <w:sz w:val="22"/>
          <w:szCs w:val="22"/>
          <w:lang w:val="sr-Latn-ME"/>
        </w:rPr>
        <w:t>Maksimalna dnevna doza kalijuma je 2 mmol K</w:t>
      </w:r>
      <w:r w:rsidRPr="00EC742F">
        <w:rPr>
          <w:sz w:val="22"/>
          <w:szCs w:val="22"/>
          <w:vertAlign w:val="superscript"/>
          <w:lang w:val="sr-Latn-ME"/>
        </w:rPr>
        <w:t>+</w:t>
      </w:r>
      <w:r w:rsidRPr="00EC742F">
        <w:rPr>
          <w:sz w:val="22"/>
          <w:szCs w:val="22"/>
          <w:lang w:val="sr-Latn-ME"/>
        </w:rPr>
        <w:t>/kg t</w:t>
      </w:r>
      <w:r w:rsidR="00E72937" w:rsidRPr="00EC742F">
        <w:rPr>
          <w:sz w:val="22"/>
          <w:szCs w:val="22"/>
          <w:lang w:val="sr-Latn-ME"/>
        </w:rPr>
        <w:t>j</w:t>
      </w:r>
      <w:r w:rsidRPr="00EC742F">
        <w:rPr>
          <w:sz w:val="22"/>
          <w:szCs w:val="22"/>
          <w:lang w:val="sr-Latn-ME"/>
        </w:rPr>
        <w:t>elesne mase/dan.</w:t>
      </w:r>
      <w:r w:rsidRPr="00EC742F">
        <w:rPr>
          <w:sz w:val="22"/>
          <w:szCs w:val="22"/>
          <w:lang w:val="sr-Latn-ME"/>
        </w:rPr>
        <w:br/>
        <w:t>Maksimalna dnevna doza natrijuma se određuje na osnovu potreba za tečnošću i elektrolitima.                     Za odrasle</w:t>
      </w:r>
      <w:r w:rsidR="00A90273" w:rsidRPr="00EC742F">
        <w:rPr>
          <w:sz w:val="22"/>
          <w:szCs w:val="22"/>
          <w:lang w:val="sr-Latn-ME"/>
        </w:rPr>
        <w:t>,</w:t>
      </w:r>
      <w:r w:rsidRPr="00EC742F">
        <w:rPr>
          <w:sz w:val="22"/>
          <w:szCs w:val="22"/>
          <w:lang w:val="sr-Latn-ME"/>
        </w:rPr>
        <w:t xml:space="preserve"> tipična vr</w:t>
      </w:r>
      <w:r w:rsidR="00E72937" w:rsidRPr="00EC742F">
        <w:rPr>
          <w:sz w:val="22"/>
          <w:szCs w:val="22"/>
          <w:lang w:val="sr-Latn-ME"/>
        </w:rPr>
        <w:t>ij</w:t>
      </w:r>
      <w:r w:rsidRPr="00EC742F">
        <w:rPr>
          <w:sz w:val="22"/>
          <w:szCs w:val="22"/>
          <w:lang w:val="sr-Latn-ME"/>
        </w:rPr>
        <w:t>ednost koja se prim</w:t>
      </w:r>
      <w:r w:rsidR="00E72937" w:rsidRPr="00EC742F">
        <w:rPr>
          <w:sz w:val="22"/>
          <w:szCs w:val="22"/>
          <w:lang w:val="sr-Latn-ME"/>
        </w:rPr>
        <w:t>j</w:t>
      </w:r>
      <w:r w:rsidRPr="00EC742F">
        <w:rPr>
          <w:sz w:val="22"/>
          <w:szCs w:val="22"/>
          <w:lang w:val="sr-Latn-ME"/>
        </w:rPr>
        <w:t>enjuje je 3 - 6 mmol natrijuma/kg t</w:t>
      </w:r>
      <w:r w:rsidR="00E72937" w:rsidRPr="00EC742F">
        <w:rPr>
          <w:sz w:val="22"/>
          <w:szCs w:val="22"/>
          <w:lang w:val="sr-Latn-ME"/>
        </w:rPr>
        <w:t>j</w:t>
      </w:r>
      <w:r w:rsidRPr="00EC742F">
        <w:rPr>
          <w:sz w:val="22"/>
          <w:szCs w:val="22"/>
          <w:lang w:val="sr-Latn-ME"/>
        </w:rPr>
        <w:t>elesne mase.</w:t>
      </w:r>
    </w:p>
    <w:p w:rsidR="00887A19" w:rsidRPr="00EC742F" w:rsidRDefault="00887A19" w:rsidP="00A03745">
      <w:pPr>
        <w:jc w:val="both"/>
        <w:rPr>
          <w:sz w:val="22"/>
          <w:szCs w:val="22"/>
          <w:lang w:val="sr-Latn-ME"/>
        </w:rPr>
      </w:pPr>
    </w:p>
    <w:p w:rsidR="00887A19" w:rsidRPr="00EC742F" w:rsidRDefault="00887A19" w:rsidP="00A03745">
      <w:pPr>
        <w:jc w:val="both"/>
        <w:rPr>
          <w:i/>
          <w:sz w:val="22"/>
          <w:szCs w:val="22"/>
          <w:lang w:val="sr-Latn-ME"/>
        </w:rPr>
      </w:pPr>
      <w:r w:rsidRPr="00EC742F">
        <w:rPr>
          <w:i/>
          <w:sz w:val="22"/>
          <w:szCs w:val="22"/>
          <w:lang w:val="sr-Latn-ME"/>
        </w:rPr>
        <w:t>Maksimalna brzina infuzije:</w:t>
      </w:r>
    </w:p>
    <w:p w:rsidR="00887A19" w:rsidRPr="00EC742F" w:rsidRDefault="00887A19" w:rsidP="00A03745">
      <w:pPr>
        <w:jc w:val="both"/>
        <w:rPr>
          <w:sz w:val="22"/>
          <w:szCs w:val="22"/>
          <w:lang w:val="sr-Latn-ME"/>
        </w:rPr>
      </w:pPr>
      <w:r w:rsidRPr="00EC742F">
        <w:rPr>
          <w:sz w:val="22"/>
          <w:szCs w:val="22"/>
          <w:lang w:val="sr-Latn-ME"/>
        </w:rPr>
        <w:t>Brzina i</w:t>
      </w:r>
      <w:r w:rsidR="00783251" w:rsidRPr="00EC742F">
        <w:rPr>
          <w:sz w:val="22"/>
          <w:szCs w:val="22"/>
          <w:lang w:val="sr-Latn-ME"/>
        </w:rPr>
        <w:t>nfuzije ne treba da prelazi 5 ml</w:t>
      </w:r>
      <w:r w:rsidRPr="00EC742F">
        <w:rPr>
          <w:sz w:val="22"/>
          <w:szCs w:val="22"/>
          <w:lang w:val="sr-Latn-ME"/>
        </w:rPr>
        <w:t xml:space="preserve"> po kg t</w:t>
      </w:r>
      <w:r w:rsidR="00706F06" w:rsidRPr="00EC742F">
        <w:rPr>
          <w:sz w:val="22"/>
          <w:szCs w:val="22"/>
          <w:lang w:val="sr-Latn-ME"/>
        </w:rPr>
        <w:t>j</w:t>
      </w:r>
      <w:r w:rsidRPr="00EC742F">
        <w:rPr>
          <w:sz w:val="22"/>
          <w:szCs w:val="22"/>
          <w:lang w:val="sr-Latn-ME"/>
        </w:rPr>
        <w:t>elesne mase na sat, što odgovara 1,7 kapi po kg t</w:t>
      </w:r>
      <w:r w:rsidR="00706F06" w:rsidRPr="00EC742F">
        <w:rPr>
          <w:sz w:val="22"/>
          <w:szCs w:val="22"/>
          <w:lang w:val="sr-Latn-ME"/>
        </w:rPr>
        <w:t>j</w:t>
      </w:r>
      <w:r w:rsidRPr="00EC742F">
        <w:rPr>
          <w:sz w:val="22"/>
          <w:szCs w:val="22"/>
          <w:lang w:val="sr-Latn-ME"/>
        </w:rPr>
        <w:t xml:space="preserve">elesne mase po minuti.  </w:t>
      </w:r>
    </w:p>
    <w:p w:rsidR="00887A19" w:rsidRPr="00EC742F" w:rsidRDefault="00887A19" w:rsidP="00A03745">
      <w:pPr>
        <w:jc w:val="both"/>
        <w:rPr>
          <w:sz w:val="22"/>
          <w:szCs w:val="22"/>
          <w:lang w:val="sr-Latn-ME"/>
        </w:rPr>
      </w:pPr>
      <w:r w:rsidRPr="00EC742F">
        <w:rPr>
          <w:sz w:val="22"/>
          <w:szCs w:val="22"/>
          <w:lang w:val="sr-Latn-ME"/>
        </w:rPr>
        <w:br/>
        <w:t xml:space="preserve">Ukoliko se </w:t>
      </w:r>
      <w:r w:rsidR="004E14C9" w:rsidRPr="00EC742F">
        <w:rPr>
          <w:sz w:val="22"/>
          <w:szCs w:val="22"/>
          <w:lang w:val="sr-Latn-ME"/>
        </w:rPr>
        <w:t xml:space="preserve">lijek </w:t>
      </w:r>
      <w:r w:rsidRPr="00EC742F">
        <w:rPr>
          <w:sz w:val="22"/>
          <w:szCs w:val="22"/>
          <w:lang w:val="sr-Latn-ME"/>
        </w:rPr>
        <w:t>Ringerov rastvor B. Braun koristi kao rastvarač za kompatibilne koncentrate elektrolita i l</w:t>
      </w:r>
      <w:r w:rsidR="00BD257A" w:rsidRPr="00EC742F">
        <w:rPr>
          <w:sz w:val="22"/>
          <w:szCs w:val="22"/>
          <w:lang w:val="sr-Latn-ME"/>
        </w:rPr>
        <w:t>j</w:t>
      </w:r>
      <w:r w:rsidRPr="00EC742F">
        <w:rPr>
          <w:sz w:val="22"/>
          <w:szCs w:val="22"/>
          <w:lang w:val="sr-Latn-ME"/>
        </w:rPr>
        <w:t>ekove, mora se uzeti u obzir uputstvo za upotrebu dodatog medicinskog proizvoda.</w:t>
      </w:r>
    </w:p>
    <w:p w:rsidR="00887A19" w:rsidRPr="00EC742F" w:rsidRDefault="00887A19" w:rsidP="00A03745">
      <w:pPr>
        <w:jc w:val="both"/>
        <w:rPr>
          <w:i/>
          <w:sz w:val="22"/>
          <w:szCs w:val="22"/>
          <w:lang w:val="sr-Latn-ME"/>
        </w:rPr>
      </w:pPr>
      <w:r w:rsidRPr="00EC742F">
        <w:rPr>
          <w:sz w:val="22"/>
          <w:szCs w:val="22"/>
          <w:lang w:val="sr-Latn-ME"/>
        </w:rPr>
        <w:br/>
      </w:r>
      <w:r w:rsidRPr="00EC742F">
        <w:rPr>
          <w:i/>
          <w:sz w:val="22"/>
          <w:szCs w:val="22"/>
          <w:lang w:val="sr-Latn-ME"/>
        </w:rPr>
        <w:t>Način prim</w:t>
      </w:r>
      <w:r w:rsidR="00BD257A" w:rsidRPr="00EC742F">
        <w:rPr>
          <w:i/>
          <w:sz w:val="22"/>
          <w:szCs w:val="22"/>
          <w:lang w:val="sr-Latn-ME"/>
        </w:rPr>
        <w:t>j</w:t>
      </w:r>
      <w:r w:rsidRPr="00EC742F">
        <w:rPr>
          <w:i/>
          <w:sz w:val="22"/>
          <w:szCs w:val="22"/>
          <w:lang w:val="sr-Latn-ME"/>
        </w:rPr>
        <w:t>ene</w:t>
      </w:r>
    </w:p>
    <w:p w:rsidR="00887A19" w:rsidRPr="00EC742F" w:rsidRDefault="00887A19" w:rsidP="00A03745">
      <w:pPr>
        <w:jc w:val="both"/>
        <w:rPr>
          <w:sz w:val="22"/>
          <w:szCs w:val="22"/>
          <w:lang w:val="sr-Latn-ME"/>
        </w:rPr>
      </w:pPr>
      <w:r w:rsidRPr="00EC742F">
        <w:rPr>
          <w:sz w:val="22"/>
          <w:szCs w:val="22"/>
          <w:lang w:val="sr-Latn-ME"/>
        </w:rPr>
        <w:t>Intravenska infuzija. Kontinuirana intravenska infuzija, u skladu sa metaboličkim statusom.</w:t>
      </w:r>
    </w:p>
    <w:p w:rsidR="00887A19" w:rsidRPr="00EC742F" w:rsidRDefault="00887A19" w:rsidP="00A03745">
      <w:pPr>
        <w:jc w:val="both"/>
        <w:rPr>
          <w:sz w:val="22"/>
          <w:szCs w:val="22"/>
          <w:lang w:val="sr-Latn-ME"/>
        </w:rPr>
      </w:pPr>
      <w:r w:rsidRPr="00EC742F">
        <w:rPr>
          <w:sz w:val="22"/>
          <w:szCs w:val="22"/>
          <w:lang w:val="sr-Latn-ME"/>
        </w:rPr>
        <w:t>Za m</w:t>
      </w:r>
      <w:r w:rsidR="00BD257A" w:rsidRPr="00EC742F">
        <w:rPr>
          <w:sz w:val="22"/>
          <w:szCs w:val="22"/>
          <w:lang w:val="sr-Latn-ME"/>
        </w:rPr>
        <w:t>j</w:t>
      </w:r>
      <w:r w:rsidRPr="00EC742F">
        <w:rPr>
          <w:sz w:val="22"/>
          <w:szCs w:val="22"/>
          <w:lang w:val="sr-Latn-ME"/>
        </w:rPr>
        <w:t>ere predostrožnosti prilikom prim</w:t>
      </w:r>
      <w:r w:rsidR="00BD257A" w:rsidRPr="00EC742F">
        <w:rPr>
          <w:sz w:val="22"/>
          <w:szCs w:val="22"/>
          <w:lang w:val="sr-Latn-ME"/>
        </w:rPr>
        <w:t>j</w:t>
      </w:r>
      <w:r w:rsidRPr="00EC742F">
        <w:rPr>
          <w:sz w:val="22"/>
          <w:szCs w:val="22"/>
          <w:lang w:val="sr-Latn-ME"/>
        </w:rPr>
        <w:t>ene infuzije pod pritiskom u hitnim situacijama, vid</w:t>
      </w:r>
      <w:r w:rsidR="00BD257A" w:rsidRPr="00EC742F">
        <w:rPr>
          <w:sz w:val="22"/>
          <w:szCs w:val="22"/>
          <w:lang w:val="sr-Latn-ME"/>
        </w:rPr>
        <w:t>j</w:t>
      </w:r>
      <w:r w:rsidRPr="00EC742F">
        <w:rPr>
          <w:sz w:val="22"/>
          <w:szCs w:val="22"/>
          <w:lang w:val="sr-Latn-ME"/>
        </w:rPr>
        <w:t>eti od</w:t>
      </w:r>
      <w:r w:rsidR="00BD257A" w:rsidRPr="00EC742F">
        <w:rPr>
          <w:sz w:val="22"/>
          <w:szCs w:val="22"/>
          <w:lang w:val="sr-Latn-ME"/>
        </w:rPr>
        <w:t>j</w:t>
      </w:r>
      <w:r w:rsidRPr="00EC742F">
        <w:rPr>
          <w:sz w:val="22"/>
          <w:szCs w:val="22"/>
          <w:lang w:val="sr-Latn-ME"/>
        </w:rPr>
        <w:t xml:space="preserve">eljak </w:t>
      </w:r>
      <w:r w:rsidRPr="00EC742F">
        <w:rPr>
          <w:b/>
          <w:sz w:val="22"/>
          <w:szCs w:val="22"/>
          <w:lang w:val="sr-Latn-ME"/>
        </w:rPr>
        <w:t>4.4</w:t>
      </w:r>
      <w:r w:rsidRPr="00EC742F">
        <w:rPr>
          <w:sz w:val="22"/>
          <w:szCs w:val="22"/>
          <w:lang w:val="sr-Latn-ME"/>
        </w:rPr>
        <w:t>.</w:t>
      </w:r>
    </w:p>
    <w:p w:rsidR="00887A19" w:rsidRPr="00EC742F" w:rsidRDefault="00887A19" w:rsidP="00A03745">
      <w:pPr>
        <w:jc w:val="both"/>
        <w:rPr>
          <w:sz w:val="22"/>
          <w:szCs w:val="22"/>
          <w:lang w:val="sr-Latn-ME"/>
        </w:rPr>
      </w:pPr>
    </w:p>
    <w:p w:rsidR="00887A19" w:rsidRPr="00EC742F" w:rsidRDefault="00887A19" w:rsidP="00A03745">
      <w:pPr>
        <w:jc w:val="both"/>
        <w:rPr>
          <w:sz w:val="22"/>
          <w:szCs w:val="22"/>
          <w:u w:val="single"/>
          <w:lang w:val="sr-Latn-ME"/>
        </w:rPr>
      </w:pPr>
      <w:r w:rsidRPr="00EC742F">
        <w:rPr>
          <w:sz w:val="22"/>
          <w:szCs w:val="22"/>
          <w:u w:val="single"/>
          <w:lang w:val="sr-Latn-ME"/>
        </w:rPr>
        <w:t>Opšte instrukcije za nadoknadu tečnosti i elektrolita:</w:t>
      </w:r>
    </w:p>
    <w:p w:rsidR="00887A19" w:rsidRPr="00EC742F" w:rsidRDefault="00612030" w:rsidP="00A03745">
      <w:pPr>
        <w:jc w:val="both"/>
        <w:rPr>
          <w:sz w:val="22"/>
          <w:szCs w:val="22"/>
          <w:lang w:val="sr-Latn-ME"/>
        </w:rPr>
      </w:pPr>
      <w:r w:rsidRPr="00EC742F">
        <w:rPr>
          <w:sz w:val="22"/>
          <w:szCs w:val="22"/>
          <w:lang w:val="sr-Latn-ME"/>
        </w:rPr>
        <w:t>30 ml</w:t>
      </w:r>
      <w:r w:rsidR="00887A19" w:rsidRPr="00EC742F">
        <w:rPr>
          <w:sz w:val="22"/>
          <w:szCs w:val="22"/>
          <w:lang w:val="sr-Latn-ME"/>
        </w:rPr>
        <w:t xml:space="preserve"> rastvora po kg t</w:t>
      </w:r>
      <w:r w:rsidR="008F70A2" w:rsidRPr="00EC742F">
        <w:rPr>
          <w:sz w:val="22"/>
          <w:szCs w:val="22"/>
          <w:lang w:val="sr-Latn-ME"/>
        </w:rPr>
        <w:t>j</w:t>
      </w:r>
      <w:r w:rsidR="00887A19" w:rsidRPr="00EC742F">
        <w:rPr>
          <w:sz w:val="22"/>
          <w:szCs w:val="22"/>
          <w:lang w:val="sr-Latn-ME"/>
        </w:rPr>
        <w:t>elesne mase dnevno pokriva samo fiziološke potrebe. Postoperativni i pacijenti na intenzivnoj n</w:t>
      </w:r>
      <w:r w:rsidR="008F70A2" w:rsidRPr="00EC742F">
        <w:rPr>
          <w:sz w:val="22"/>
          <w:szCs w:val="22"/>
          <w:lang w:val="sr-Latn-ME"/>
        </w:rPr>
        <w:t>j</w:t>
      </w:r>
      <w:r w:rsidR="00887A19" w:rsidRPr="00EC742F">
        <w:rPr>
          <w:sz w:val="22"/>
          <w:szCs w:val="22"/>
          <w:lang w:val="sr-Latn-ME"/>
        </w:rPr>
        <w:t>ezi imaju povećane potrebe za tečnostima zbog ograničenog koncentracionog kapaciteta bubrega i povećane ekskrecije metabolita, zbog čega je potrebno un</w:t>
      </w:r>
      <w:r w:rsidR="008F70A2" w:rsidRPr="00EC742F">
        <w:rPr>
          <w:sz w:val="22"/>
          <w:szCs w:val="22"/>
          <w:lang w:val="sr-Latn-ME"/>
        </w:rPr>
        <w:t>ij</w:t>
      </w:r>
      <w:r w:rsidR="00887A19" w:rsidRPr="00EC742F">
        <w:rPr>
          <w:sz w:val="22"/>
          <w:szCs w:val="22"/>
          <w:lang w:val="sr-Latn-ME"/>
        </w:rPr>
        <w:t>eti već</w:t>
      </w:r>
      <w:r w:rsidR="00783251" w:rsidRPr="00EC742F">
        <w:rPr>
          <w:sz w:val="22"/>
          <w:szCs w:val="22"/>
          <w:lang w:val="sr-Latn-ME"/>
        </w:rPr>
        <w:t>u količinu tečnosti do oko 40 ml</w:t>
      </w:r>
      <w:r w:rsidR="00887A19" w:rsidRPr="00EC742F">
        <w:rPr>
          <w:sz w:val="22"/>
          <w:szCs w:val="22"/>
          <w:lang w:val="sr-Latn-ME"/>
        </w:rPr>
        <w:t>/kg t</w:t>
      </w:r>
      <w:r w:rsidR="008F70A2" w:rsidRPr="00EC742F">
        <w:rPr>
          <w:sz w:val="22"/>
          <w:szCs w:val="22"/>
          <w:lang w:val="sr-Latn-ME"/>
        </w:rPr>
        <w:t>j</w:t>
      </w:r>
      <w:r w:rsidR="00887A19" w:rsidRPr="00EC742F">
        <w:rPr>
          <w:sz w:val="22"/>
          <w:szCs w:val="22"/>
          <w:lang w:val="sr-Latn-ME"/>
        </w:rPr>
        <w:t>elesne mase na dan. Dodatni gubici (npr. kod povišene t</w:t>
      </w:r>
      <w:r w:rsidR="008F70A2" w:rsidRPr="00EC742F">
        <w:rPr>
          <w:sz w:val="22"/>
          <w:szCs w:val="22"/>
          <w:lang w:val="sr-Latn-ME"/>
        </w:rPr>
        <w:t>j</w:t>
      </w:r>
      <w:r w:rsidR="00887A19" w:rsidRPr="00EC742F">
        <w:rPr>
          <w:sz w:val="22"/>
          <w:szCs w:val="22"/>
          <w:lang w:val="sr-Latn-ME"/>
        </w:rPr>
        <w:t xml:space="preserve">elesne temperature, dijareje, fistula, povraćanja itd.) moraju se kompenzovati višim, individualno prilagođenim unosom tečnosti. </w:t>
      </w:r>
    </w:p>
    <w:p w:rsidR="00887A19" w:rsidRPr="00EC742F" w:rsidRDefault="00887A19" w:rsidP="00A03745">
      <w:pPr>
        <w:jc w:val="both"/>
        <w:rPr>
          <w:sz w:val="22"/>
          <w:szCs w:val="22"/>
          <w:lang w:val="sr-Latn-ME"/>
        </w:rPr>
      </w:pPr>
    </w:p>
    <w:p w:rsidR="00887A19" w:rsidRPr="00EC742F" w:rsidRDefault="00887A19" w:rsidP="00A03745">
      <w:pPr>
        <w:jc w:val="both"/>
        <w:rPr>
          <w:sz w:val="22"/>
          <w:szCs w:val="22"/>
          <w:lang w:val="sr-Latn-ME"/>
        </w:rPr>
      </w:pPr>
      <w:r w:rsidRPr="00EC742F">
        <w:rPr>
          <w:sz w:val="22"/>
          <w:szCs w:val="22"/>
          <w:lang w:val="sr-Latn-ME"/>
        </w:rPr>
        <w:t>Precizne individualne potrebe se određuju praćenjem, koje je neophodno u svim slučajevima (npr. satna diureza, osmolaritet seruma i urina, određivanje izlučenih supstanci).</w:t>
      </w:r>
    </w:p>
    <w:p w:rsidR="00887A19" w:rsidRPr="00EC742F" w:rsidRDefault="00887A19" w:rsidP="00A03745">
      <w:pPr>
        <w:spacing w:before="120"/>
        <w:jc w:val="both"/>
        <w:rPr>
          <w:sz w:val="22"/>
          <w:szCs w:val="22"/>
          <w:lang w:val="sr-Latn-ME"/>
        </w:rPr>
      </w:pPr>
      <w:r w:rsidRPr="00EC742F">
        <w:rPr>
          <w:sz w:val="22"/>
          <w:szCs w:val="22"/>
          <w:lang w:val="sr-Latn-ME"/>
        </w:rPr>
        <w:t>Za osnovnu nadoknadu najvažnijih katjona (natrijuma i kalijuma) potrebno je prim</w:t>
      </w:r>
      <w:r w:rsidR="00A90273" w:rsidRPr="00EC742F">
        <w:rPr>
          <w:sz w:val="22"/>
          <w:szCs w:val="22"/>
          <w:lang w:val="sr-Latn-ME"/>
        </w:rPr>
        <w:t>i</w:t>
      </w:r>
      <w:r w:rsidR="008F70A2" w:rsidRPr="00EC742F">
        <w:rPr>
          <w:sz w:val="22"/>
          <w:szCs w:val="22"/>
          <w:lang w:val="sr-Latn-ME"/>
        </w:rPr>
        <w:t>j</w:t>
      </w:r>
      <w:r w:rsidRPr="00EC742F">
        <w:rPr>
          <w:sz w:val="22"/>
          <w:szCs w:val="22"/>
          <w:lang w:val="sr-Latn-ME"/>
        </w:rPr>
        <w:t>eniti približno 1,5 – 3 mmol/kg t</w:t>
      </w:r>
      <w:r w:rsidR="008F70A2" w:rsidRPr="00EC742F">
        <w:rPr>
          <w:sz w:val="22"/>
          <w:szCs w:val="22"/>
          <w:lang w:val="sr-Latn-ME"/>
        </w:rPr>
        <w:t>j</w:t>
      </w:r>
      <w:r w:rsidRPr="00EC742F">
        <w:rPr>
          <w:sz w:val="22"/>
          <w:szCs w:val="22"/>
          <w:lang w:val="sr-Latn-ME"/>
        </w:rPr>
        <w:t>elesne mase, odnosno 0,8 – 1.0 mmol/kg t</w:t>
      </w:r>
      <w:r w:rsidR="008F70A2" w:rsidRPr="00EC742F">
        <w:rPr>
          <w:sz w:val="22"/>
          <w:szCs w:val="22"/>
          <w:lang w:val="sr-Latn-ME"/>
        </w:rPr>
        <w:t>j</w:t>
      </w:r>
      <w:r w:rsidRPr="00EC742F">
        <w:rPr>
          <w:sz w:val="22"/>
          <w:szCs w:val="22"/>
          <w:lang w:val="sr-Latn-ME"/>
        </w:rPr>
        <w:t>elesne mase dnevno. Precizne individualne potrebe tokom infuzione terapije zavise od određenog elektrolitnog balansa i laboratorijskog praćenja plazma koncentracija.</w:t>
      </w:r>
    </w:p>
    <w:p w:rsidR="00887A19" w:rsidRPr="00EC742F" w:rsidRDefault="00887A19" w:rsidP="00A03745">
      <w:pPr>
        <w:jc w:val="both"/>
        <w:rPr>
          <w:b/>
          <w:bCs/>
          <w:sz w:val="22"/>
          <w:szCs w:val="22"/>
          <w:lang w:val="sr-Latn-ME"/>
        </w:rPr>
      </w:pPr>
    </w:p>
    <w:p w:rsidR="00411B4B" w:rsidRPr="00EC742F" w:rsidRDefault="00411B4B" w:rsidP="00480FB1">
      <w:pPr>
        <w:tabs>
          <w:tab w:val="left" w:pos="540"/>
          <w:tab w:val="left" w:pos="569"/>
        </w:tabs>
        <w:rPr>
          <w:b/>
          <w:bCs/>
          <w:sz w:val="22"/>
          <w:szCs w:val="22"/>
          <w:lang w:val="sr-Latn-ME"/>
        </w:rPr>
      </w:pPr>
      <w:r w:rsidRPr="00EC742F">
        <w:rPr>
          <w:b/>
          <w:bCs/>
          <w:sz w:val="22"/>
          <w:szCs w:val="22"/>
          <w:lang w:val="sr-Latn-ME"/>
        </w:rPr>
        <w:t xml:space="preserve">4.3. </w:t>
      </w:r>
      <w:r w:rsidR="00480FB1" w:rsidRPr="00EC742F">
        <w:rPr>
          <w:b/>
          <w:bCs/>
          <w:sz w:val="22"/>
          <w:szCs w:val="22"/>
          <w:lang w:val="sr-Latn-ME"/>
        </w:rPr>
        <w:tab/>
      </w:r>
      <w:r w:rsidRPr="00EC742F">
        <w:rPr>
          <w:b/>
          <w:bCs/>
          <w:sz w:val="22"/>
          <w:szCs w:val="22"/>
          <w:lang w:val="sr-Latn-ME"/>
        </w:rPr>
        <w:t>Kontraindikacije</w:t>
      </w:r>
    </w:p>
    <w:p w:rsidR="009B7C8F" w:rsidRPr="00EC742F" w:rsidRDefault="009B7C8F" w:rsidP="00480FB1">
      <w:pPr>
        <w:tabs>
          <w:tab w:val="left" w:pos="540"/>
          <w:tab w:val="left" w:pos="569"/>
        </w:tabs>
        <w:rPr>
          <w:b/>
          <w:bCs/>
          <w:sz w:val="22"/>
          <w:szCs w:val="22"/>
          <w:lang w:val="sr-Latn-ME"/>
        </w:rPr>
      </w:pPr>
    </w:p>
    <w:p w:rsidR="009B7C8F" w:rsidRPr="00EC742F" w:rsidRDefault="009B7C8F" w:rsidP="00E971B9">
      <w:pPr>
        <w:pStyle w:val="Header"/>
        <w:tabs>
          <w:tab w:val="left" w:pos="284"/>
        </w:tabs>
        <w:jc w:val="both"/>
        <w:rPr>
          <w:bCs/>
          <w:sz w:val="22"/>
          <w:szCs w:val="22"/>
          <w:lang w:val="sr-Latn-ME"/>
        </w:rPr>
      </w:pPr>
      <w:r w:rsidRPr="00EC742F">
        <w:rPr>
          <w:bCs/>
          <w:sz w:val="22"/>
          <w:szCs w:val="22"/>
          <w:lang w:val="sr-Latn-ME"/>
        </w:rPr>
        <w:t>Prim</w:t>
      </w:r>
      <w:r w:rsidR="00AF1B9E" w:rsidRPr="00EC742F">
        <w:rPr>
          <w:bCs/>
          <w:sz w:val="22"/>
          <w:szCs w:val="22"/>
          <w:lang w:val="sr-Latn-ME"/>
        </w:rPr>
        <w:t>j</w:t>
      </w:r>
      <w:r w:rsidRPr="00EC742F">
        <w:rPr>
          <w:bCs/>
          <w:sz w:val="22"/>
          <w:szCs w:val="22"/>
          <w:lang w:val="sr-Latn-ME"/>
        </w:rPr>
        <w:t>ena rastvora je kontraindikovana kod pacijenata sa sl</w:t>
      </w:r>
      <w:r w:rsidR="00A90273" w:rsidRPr="00EC742F">
        <w:rPr>
          <w:bCs/>
          <w:sz w:val="22"/>
          <w:szCs w:val="22"/>
          <w:lang w:val="sr-Latn-ME"/>
        </w:rPr>
        <w:t>j</w:t>
      </w:r>
      <w:r w:rsidRPr="00EC742F">
        <w:rPr>
          <w:bCs/>
          <w:sz w:val="22"/>
          <w:szCs w:val="22"/>
          <w:lang w:val="sr-Latn-ME"/>
        </w:rPr>
        <w:t>edećim stanjima:</w:t>
      </w:r>
    </w:p>
    <w:p w:rsidR="009B7C8F" w:rsidRPr="00EC742F" w:rsidRDefault="009B7C8F" w:rsidP="00E971B9">
      <w:pPr>
        <w:pStyle w:val="Header"/>
        <w:tabs>
          <w:tab w:val="left" w:pos="284"/>
        </w:tabs>
        <w:jc w:val="both"/>
        <w:rPr>
          <w:bCs/>
          <w:sz w:val="22"/>
          <w:szCs w:val="22"/>
          <w:lang w:val="sr-Latn-ME"/>
        </w:rPr>
      </w:pPr>
    </w:p>
    <w:p w:rsidR="009B7C8F" w:rsidRPr="00EC742F" w:rsidRDefault="009B7C8F" w:rsidP="00E971B9">
      <w:pPr>
        <w:pStyle w:val="Header"/>
        <w:numPr>
          <w:ilvl w:val="0"/>
          <w:numId w:val="12"/>
        </w:numPr>
        <w:tabs>
          <w:tab w:val="clear" w:pos="4320"/>
          <w:tab w:val="clear" w:pos="8640"/>
          <w:tab w:val="left" w:pos="284"/>
        </w:tabs>
        <w:jc w:val="both"/>
        <w:rPr>
          <w:sz w:val="22"/>
          <w:szCs w:val="22"/>
          <w:lang w:val="sr-Latn-ME"/>
        </w:rPr>
      </w:pPr>
      <w:r w:rsidRPr="00EC742F">
        <w:rPr>
          <w:bCs/>
          <w:sz w:val="22"/>
          <w:szCs w:val="22"/>
          <w:lang w:val="sr-Latn-ME"/>
        </w:rPr>
        <w:t>Ekstracelularna hiperhidratacija ili hipervolemija</w:t>
      </w:r>
    </w:p>
    <w:p w:rsidR="009B7C8F" w:rsidRPr="00EC742F" w:rsidRDefault="009B7C8F" w:rsidP="00E971B9">
      <w:pPr>
        <w:pStyle w:val="ListParagraph"/>
        <w:numPr>
          <w:ilvl w:val="0"/>
          <w:numId w:val="12"/>
        </w:numPr>
        <w:spacing w:line="276" w:lineRule="auto"/>
        <w:rPr>
          <w:szCs w:val="22"/>
          <w:lang w:val="sr-Latn-ME"/>
        </w:rPr>
      </w:pPr>
      <w:r w:rsidRPr="00EC742F">
        <w:rPr>
          <w:szCs w:val="22"/>
          <w:lang w:val="sr-Latn-ME"/>
        </w:rPr>
        <w:t>Hipertonična dehidratacija</w:t>
      </w:r>
    </w:p>
    <w:p w:rsidR="009B7C8F" w:rsidRPr="00EC742F" w:rsidRDefault="009B7C8F" w:rsidP="00E971B9">
      <w:pPr>
        <w:pStyle w:val="ListParagraph"/>
        <w:numPr>
          <w:ilvl w:val="0"/>
          <w:numId w:val="12"/>
        </w:numPr>
        <w:spacing w:line="276" w:lineRule="auto"/>
        <w:rPr>
          <w:szCs w:val="22"/>
          <w:lang w:val="sr-Latn-ME"/>
        </w:rPr>
      </w:pPr>
      <w:r w:rsidRPr="00EC742F">
        <w:rPr>
          <w:szCs w:val="22"/>
          <w:lang w:val="sr-Latn-ME"/>
        </w:rPr>
        <w:t>Hipernatr</w:t>
      </w:r>
      <w:r w:rsidR="00A90273" w:rsidRPr="00EC742F">
        <w:rPr>
          <w:szCs w:val="22"/>
          <w:lang w:val="sr-Latn-ME"/>
        </w:rPr>
        <w:t>ij</w:t>
      </w:r>
      <w:r w:rsidRPr="00EC742F">
        <w:rPr>
          <w:szCs w:val="22"/>
          <w:lang w:val="sr-Latn-ME"/>
        </w:rPr>
        <w:t>emija</w:t>
      </w:r>
    </w:p>
    <w:p w:rsidR="009B7C8F" w:rsidRPr="00EC742F" w:rsidRDefault="009B7C8F" w:rsidP="00E971B9">
      <w:pPr>
        <w:pStyle w:val="ListParagraph"/>
        <w:numPr>
          <w:ilvl w:val="0"/>
          <w:numId w:val="12"/>
        </w:numPr>
        <w:spacing w:line="276" w:lineRule="auto"/>
        <w:rPr>
          <w:szCs w:val="22"/>
          <w:lang w:val="sr-Latn-ME"/>
        </w:rPr>
      </w:pPr>
      <w:r w:rsidRPr="00EC742F">
        <w:rPr>
          <w:szCs w:val="22"/>
          <w:lang w:val="sr-Latn-ME"/>
        </w:rPr>
        <w:t>Hiperkal</w:t>
      </w:r>
      <w:r w:rsidR="00A90273" w:rsidRPr="00EC742F">
        <w:rPr>
          <w:szCs w:val="22"/>
          <w:lang w:val="sr-Latn-ME"/>
        </w:rPr>
        <w:t>ij</w:t>
      </w:r>
      <w:r w:rsidRPr="00EC742F">
        <w:rPr>
          <w:szCs w:val="22"/>
          <w:lang w:val="sr-Latn-ME"/>
        </w:rPr>
        <w:t>emija</w:t>
      </w:r>
    </w:p>
    <w:p w:rsidR="009B7C8F" w:rsidRPr="00EC742F" w:rsidRDefault="009B7C8F" w:rsidP="00E971B9">
      <w:pPr>
        <w:pStyle w:val="ListParagraph"/>
        <w:numPr>
          <w:ilvl w:val="0"/>
          <w:numId w:val="12"/>
        </w:numPr>
        <w:spacing w:line="276" w:lineRule="auto"/>
        <w:rPr>
          <w:szCs w:val="22"/>
          <w:lang w:val="sr-Latn-ME"/>
        </w:rPr>
      </w:pPr>
      <w:r w:rsidRPr="00EC742F">
        <w:rPr>
          <w:szCs w:val="22"/>
          <w:lang w:val="sr-Latn-ME"/>
        </w:rPr>
        <w:t>Hiperkalc</w:t>
      </w:r>
      <w:r w:rsidR="00A90273" w:rsidRPr="00EC742F">
        <w:rPr>
          <w:szCs w:val="22"/>
          <w:lang w:val="sr-Latn-ME"/>
        </w:rPr>
        <w:t>ij</w:t>
      </w:r>
      <w:r w:rsidRPr="00EC742F">
        <w:rPr>
          <w:szCs w:val="22"/>
          <w:lang w:val="sr-Latn-ME"/>
        </w:rPr>
        <w:t>emija</w:t>
      </w:r>
    </w:p>
    <w:p w:rsidR="009B7C8F" w:rsidRPr="00EC742F" w:rsidRDefault="009B7C8F" w:rsidP="00E971B9">
      <w:pPr>
        <w:pStyle w:val="ListParagraph"/>
        <w:numPr>
          <w:ilvl w:val="0"/>
          <w:numId w:val="12"/>
        </w:numPr>
        <w:spacing w:line="276" w:lineRule="auto"/>
        <w:rPr>
          <w:szCs w:val="22"/>
          <w:lang w:val="sr-Latn-ME"/>
        </w:rPr>
      </w:pPr>
      <w:r w:rsidRPr="00EC742F">
        <w:rPr>
          <w:szCs w:val="22"/>
          <w:lang w:val="sr-Latn-ME"/>
        </w:rPr>
        <w:t>Hiperhloremija</w:t>
      </w:r>
    </w:p>
    <w:p w:rsidR="009B7C8F" w:rsidRPr="00EC742F" w:rsidRDefault="009B7C8F" w:rsidP="00E971B9">
      <w:pPr>
        <w:pStyle w:val="Header"/>
        <w:numPr>
          <w:ilvl w:val="0"/>
          <w:numId w:val="12"/>
        </w:numPr>
        <w:tabs>
          <w:tab w:val="clear" w:pos="4320"/>
          <w:tab w:val="clear" w:pos="8640"/>
          <w:tab w:val="left" w:pos="284"/>
        </w:tabs>
        <w:jc w:val="both"/>
        <w:rPr>
          <w:sz w:val="22"/>
          <w:szCs w:val="22"/>
          <w:lang w:val="sr-Latn-ME"/>
        </w:rPr>
      </w:pPr>
      <w:r w:rsidRPr="00EC742F">
        <w:rPr>
          <w:bCs/>
          <w:sz w:val="22"/>
          <w:szCs w:val="22"/>
          <w:lang w:val="sr-Latn-ME"/>
        </w:rPr>
        <w:t>Teška insuficijencija bubrega (sa oligurijom/anurijom)</w:t>
      </w:r>
    </w:p>
    <w:p w:rsidR="009B7C8F" w:rsidRPr="00EC742F" w:rsidRDefault="009B7C8F" w:rsidP="00E971B9">
      <w:pPr>
        <w:pStyle w:val="Header"/>
        <w:numPr>
          <w:ilvl w:val="0"/>
          <w:numId w:val="12"/>
        </w:numPr>
        <w:tabs>
          <w:tab w:val="clear" w:pos="4320"/>
          <w:tab w:val="clear" w:pos="8640"/>
          <w:tab w:val="left" w:pos="284"/>
        </w:tabs>
        <w:jc w:val="both"/>
        <w:rPr>
          <w:sz w:val="22"/>
          <w:szCs w:val="22"/>
          <w:lang w:val="sr-Latn-ME"/>
        </w:rPr>
      </w:pPr>
      <w:r w:rsidRPr="00EC742F">
        <w:rPr>
          <w:bCs/>
          <w:sz w:val="22"/>
          <w:szCs w:val="22"/>
          <w:lang w:val="sr-Latn-ME"/>
        </w:rPr>
        <w:t>Dekompenzovana insuficijencija srca</w:t>
      </w:r>
    </w:p>
    <w:p w:rsidR="009B7C8F" w:rsidRPr="00EC742F" w:rsidRDefault="009B7C8F" w:rsidP="00E971B9">
      <w:pPr>
        <w:pStyle w:val="Header"/>
        <w:numPr>
          <w:ilvl w:val="0"/>
          <w:numId w:val="12"/>
        </w:numPr>
        <w:tabs>
          <w:tab w:val="clear" w:pos="4320"/>
          <w:tab w:val="clear" w:pos="8640"/>
          <w:tab w:val="left" w:pos="284"/>
        </w:tabs>
        <w:jc w:val="both"/>
        <w:rPr>
          <w:bCs/>
          <w:sz w:val="22"/>
          <w:szCs w:val="22"/>
          <w:lang w:val="sr-Latn-ME"/>
        </w:rPr>
      </w:pPr>
      <w:r w:rsidRPr="00EC742F">
        <w:rPr>
          <w:bCs/>
          <w:sz w:val="22"/>
          <w:szCs w:val="22"/>
          <w:lang w:val="sr-Latn-ME"/>
        </w:rPr>
        <w:t>Teška hipertenzija</w:t>
      </w:r>
    </w:p>
    <w:p w:rsidR="009B7C8F" w:rsidRPr="00EC742F" w:rsidRDefault="009B7C8F" w:rsidP="00E971B9">
      <w:pPr>
        <w:pStyle w:val="Header"/>
        <w:numPr>
          <w:ilvl w:val="0"/>
          <w:numId w:val="12"/>
        </w:numPr>
        <w:tabs>
          <w:tab w:val="clear" w:pos="4320"/>
          <w:tab w:val="clear" w:pos="8640"/>
          <w:tab w:val="left" w:pos="284"/>
        </w:tabs>
        <w:jc w:val="both"/>
        <w:rPr>
          <w:bCs/>
          <w:sz w:val="22"/>
          <w:szCs w:val="22"/>
          <w:lang w:val="sr-Latn-ME"/>
        </w:rPr>
      </w:pPr>
      <w:r w:rsidRPr="00EC742F">
        <w:rPr>
          <w:bCs/>
          <w:sz w:val="22"/>
          <w:szCs w:val="22"/>
          <w:lang w:val="sr-Latn-ME"/>
        </w:rPr>
        <w:t>Generalizovani edemi i ciroza jetre praćena ascitesom</w:t>
      </w:r>
    </w:p>
    <w:p w:rsidR="009B7C8F" w:rsidRPr="00EC742F" w:rsidRDefault="009B7C8F" w:rsidP="00E971B9">
      <w:pPr>
        <w:pStyle w:val="Header"/>
        <w:numPr>
          <w:ilvl w:val="0"/>
          <w:numId w:val="12"/>
        </w:numPr>
        <w:tabs>
          <w:tab w:val="clear" w:pos="4320"/>
          <w:tab w:val="clear" w:pos="8640"/>
          <w:tab w:val="left" w:pos="284"/>
        </w:tabs>
        <w:jc w:val="both"/>
        <w:rPr>
          <w:sz w:val="22"/>
          <w:szCs w:val="22"/>
          <w:lang w:val="sr-Latn-ME"/>
        </w:rPr>
      </w:pPr>
      <w:r w:rsidRPr="00EC742F">
        <w:rPr>
          <w:sz w:val="22"/>
          <w:szCs w:val="22"/>
          <w:lang w:val="sr-Latn-ME"/>
        </w:rPr>
        <w:t>Istovremena prim</w:t>
      </w:r>
      <w:r w:rsidR="00AF1B9E" w:rsidRPr="00EC742F">
        <w:rPr>
          <w:sz w:val="22"/>
          <w:szCs w:val="22"/>
          <w:lang w:val="sr-Latn-ME"/>
        </w:rPr>
        <w:t>j</w:t>
      </w:r>
      <w:r w:rsidRPr="00EC742F">
        <w:rPr>
          <w:sz w:val="22"/>
          <w:szCs w:val="22"/>
          <w:lang w:val="sr-Latn-ME"/>
        </w:rPr>
        <w:t>ena glikozida digitalisa (vid</w:t>
      </w:r>
      <w:r w:rsidR="00AF1B9E" w:rsidRPr="00EC742F">
        <w:rPr>
          <w:sz w:val="22"/>
          <w:szCs w:val="22"/>
          <w:lang w:val="sr-Latn-ME"/>
        </w:rPr>
        <w:t>j</w:t>
      </w:r>
      <w:r w:rsidRPr="00EC742F">
        <w:rPr>
          <w:sz w:val="22"/>
          <w:szCs w:val="22"/>
          <w:lang w:val="sr-Latn-ME"/>
        </w:rPr>
        <w:t>eti od</w:t>
      </w:r>
      <w:r w:rsidR="00AF1B9E" w:rsidRPr="00EC742F">
        <w:rPr>
          <w:sz w:val="22"/>
          <w:szCs w:val="22"/>
          <w:lang w:val="sr-Latn-ME"/>
        </w:rPr>
        <w:t>j</w:t>
      </w:r>
      <w:r w:rsidRPr="00EC742F">
        <w:rPr>
          <w:sz w:val="22"/>
          <w:szCs w:val="22"/>
          <w:lang w:val="sr-Latn-ME"/>
        </w:rPr>
        <w:t>eljak 4.5.).</w:t>
      </w:r>
    </w:p>
    <w:p w:rsidR="009B7C8F" w:rsidRPr="00EC742F" w:rsidRDefault="00F44579" w:rsidP="00E971B9">
      <w:pPr>
        <w:pStyle w:val="Header"/>
        <w:tabs>
          <w:tab w:val="left" w:pos="284"/>
        </w:tabs>
        <w:jc w:val="both"/>
        <w:rPr>
          <w:sz w:val="22"/>
          <w:szCs w:val="22"/>
          <w:lang w:val="sr-Latn-ME"/>
        </w:rPr>
      </w:pPr>
      <w:r w:rsidRPr="00EC742F">
        <w:rPr>
          <w:sz w:val="22"/>
          <w:szCs w:val="22"/>
          <w:lang w:val="sr-Latn-ME"/>
        </w:rPr>
        <w:br/>
      </w:r>
      <w:r w:rsidR="009B7C8F" w:rsidRPr="00EC742F">
        <w:rPr>
          <w:rFonts w:eastAsia="TimesNewRoman"/>
          <w:sz w:val="22"/>
          <w:szCs w:val="22"/>
          <w:lang w:val="sr-Latn-ME"/>
        </w:rPr>
        <w:t xml:space="preserve">Kao i za druge infuzione rastvore koji sadrže kalcijum, terapija ceftriaksonom i </w:t>
      </w:r>
      <w:r w:rsidR="004447A3" w:rsidRPr="00EC742F">
        <w:rPr>
          <w:rFonts w:eastAsia="TimesNewRoman"/>
          <w:sz w:val="22"/>
          <w:szCs w:val="22"/>
          <w:lang w:val="sr-Latn-ME"/>
        </w:rPr>
        <w:t xml:space="preserve">lijekom </w:t>
      </w:r>
      <w:r w:rsidR="009B7C8F" w:rsidRPr="00EC742F">
        <w:rPr>
          <w:rFonts w:eastAsia="TimesNewRoman"/>
          <w:sz w:val="22"/>
          <w:szCs w:val="22"/>
          <w:lang w:val="sr-Latn-ME"/>
        </w:rPr>
        <w:t xml:space="preserve">Ringerov rastvor je kontraindikovana kod </w:t>
      </w:r>
      <w:r w:rsidRPr="00EC742F">
        <w:rPr>
          <w:rFonts w:eastAsia="TimesNewRoman"/>
          <w:sz w:val="22"/>
          <w:szCs w:val="22"/>
          <w:lang w:val="sr-Latn-ME"/>
        </w:rPr>
        <w:t>prije</w:t>
      </w:r>
      <w:r w:rsidR="009B7C8F" w:rsidRPr="00EC742F">
        <w:rPr>
          <w:rFonts w:eastAsia="TimesNewRoman"/>
          <w:sz w:val="22"/>
          <w:szCs w:val="22"/>
          <w:lang w:val="sr-Latn-ME"/>
        </w:rPr>
        <w:t>vremeno rođene d</w:t>
      </w:r>
      <w:r w:rsidRPr="00EC742F">
        <w:rPr>
          <w:rFonts w:eastAsia="TimesNewRoman"/>
          <w:sz w:val="22"/>
          <w:szCs w:val="22"/>
          <w:lang w:val="sr-Latn-ME"/>
        </w:rPr>
        <w:t>j</w:t>
      </w:r>
      <w:r w:rsidR="009B7C8F" w:rsidRPr="00EC742F">
        <w:rPr>
          <w:rFonts w:eastAsia="TimesNewRoman"/>
          <w:sz w:val="22"/>
          <w:szCs w:val="22"/>
          <w:lang w:val="sr-Latn-ME"/>
        </w:rPr>
        <w:t>ece i novorođenčadi (do 28 dana starosti), čak i korišćenjem različitih infuzionih linija (rizik od fatalne precipitacije soli ceftriaksona i kalcijuma u krvotoku novorođenčeta).</w:t>
      </w:r>
    </w:p>
    <w:p w:rsidR="009B7C8F" w:rsidRPr="00EC742F" w:rsidRDefault="009B7C8F" w:rsidP="00E971B9">
      <w:pPr>
        <w:pStyle w:val="Header"/>
        <w:tabs>
          <w:tab w:val="left" w:pos="284"/>
        </w:tabs>
        <w:ind w:left="720"/>
        <w:jc w:val="both"/>
        <w:rPr>
          <w:sz w:val="22"/>
          <w:szCs w:val="22"/>
          <w:lang w:val="sr-Latn-ME"/>
        </w:rPr>
      </w:pPr>
    </w:p>
    <w:p w:rsidR="00411B4B" w:rsidRPr="00EC742F" w:rsidRDefault="00411B4B" w:rsidP="00480FB1">
      <w:pPr>
        <w:tabs>
          <w:tab w:val="left" w:pos="540"/>
          <w:tab w:val="left" w:pos="569"/>
        </w:tabs>
        <w:rPr>
          <w:b/>
          <w:bCs/>
          <w:sz w:val="22"/>
          <w:szCs w:val="22"/>
          <w:lang w:val="sr-Latn-ME"/>
        </w:rPr>
      </w:pPr>
      <w:r w:rsidRPr="00EC742F">
        <w:rPr>
          <w:b/>
          <w:bCs/>
          <w:sz w:val="22"/>
          <w:szCs w:val="22"/>
          <w:lang w:val="sr-Latn-ME"/>
        </w:rPr>
        <w:t xml:space="preserve">4.4. </w:t>
      </w:r>
      <w:r w:rsidR="00480FB1" w:rsidRPr="00EC742F">
        <w:rPr>
          <w:b/>
          <w:bCs/>
          <w:sz w:val="22"/>
          <w:szCs w:val="22"/>
          <w:lang w:val="sr-Latn-ME"/>
        </w:rPr>
        <w:tab/>
      </w:r>
      <w:r w:rsidRPr="00EC742F">
        <w:rPr>
          <w:b/>
          <w:bCs/>
          <w:sz w:val="22"/>
          <w:szCs w:val="22"/>
          <w:lang w:val="sr-Latn-ME"/>
        </w:rPr>
        <w:t>Posebna upozorenja i mjere opreza pri upotrebi lijeka</w:t>
      </w:r>
    </w:p>
    <w:p w:rsidR="00CA0FA5" w:rsidRPr="00EC742F" w:rsidRDefault="00CA0FA5" w:rsidP="00480FB1">
      <w:pPr>
        <w:tabs>
          <w:tab w:val="left" w:pos="540"/>
          <w:tab w:val="left" w:pos="569"/>
        </w:tabs>
        <w:rPr>
          <w:b/>
          <w:bCs/>
          <w:sz w:val="22"/>
          <w:szCs w:val="22"/>
          <w:lang w:val="sr-Latn-ME"/>
        </w:rPr>
      </w:pPr>
    </w:p>
    <w:p w:rsidR="00CA0FA5" w:rsidRPr="00EC742F" w:rsidRDefault="00CA0FA5" w:rsidP="00A86731">
      <w:pPr>
        <w:autoSpaceDE w:val="0"/>
        <w:autoSpaceDN w:val="0"/>
        <w:adjustRightInd w:val="0"/>
        <w:jc w:val="both"/>
        <w:rPr>
          <w:rFonts w:eastAsia="TimesNewRoman"/>
          <w:sz w:val="22"/>
          <w:szCs w:val="22"/>
          <w:lang w:val="sr-Latn-ME"/>
        </w:rPr>
      </w:pPr>
      <w:r w:rsidRPr="00EC742F">
        <w:rPr>
          <w:rFonts w:eastAsia="TimesNewRoman"/>
          <w:sz w:val="22"/>
          <w:szCs w:val="22"/>
          <w:lang w:val="sr-Latn-ME"/>
        </w:rPr>
        <w:t>Opisani su slučajevi fatalne reakcije usl</w:t>
      </w:r>
      <w:r w:rsidR="00A90273" w:rsidRPr="00EC742F">
        <w:rPr>
          <w:rFonts w:eastAsia="TimesNewRoman"/>
          <w:sz w:val="22"/>
          <w:szCs w:val="22"/>
          <w:lang w:val="sr-Latn-ME"/>
        </w:rPr>
        <w:t>j</w:t>
      </w:r>
      <w:r w:rsidRPr="00EC742F">
        <w:rPr>
          <w:rFonts w:eastAsia="TimesNewRoman"/>
          <w:sz w:val="22"/>
          <w:szCs w:val="22"/>
          <w:lang w:val="sr-Latn-ME"/>
        </w:rPr>
        <w:t>ed stvaranja precipitata kalcijuma i ceftriaksona u plućima i bubrezima kod preterminske i terminske novorođenčadi uzrasta do jednog m</w:t>
      </w:r>
      <w:r w:rsidR="00B60BA0" w:rsidRPr="00EC742F">
        <w:rPr>
          <w:rFonts w:eastAsia="TimesNewRoman"/>
          <w:sz w:val="22"/>
          <w:szCs w:val="22"/>
          <w:lang w:val="sr-Latn-ME"/>
        </w:rPr>
        <w:t>j</w:t>
      </w:r>
      <w:r w:rsidRPr="00EC742F">
        <w:rPr>
          <w:rFonts w:eastAsia="TimesNewRoman"/>
          <w:sz w:val="22"/>
          <w:szCs w:val="22"/>
          <w:lang w:val="sr-Latn-ME"/>
        </w:rPr>
        <w:t>eseca.</w:t>
      </w:r>
    </w:p>
    <w:p w:rsidR="00CA0FA5" w:rsidRPr="00EC742F" w:rsidRDefault="00CA0FA5" w:rsidP="00231E10">
      <w:pPr>
        <w:autoSpaceDE w:val="0"/>
        <w:autoSpaceDN w:val="0"/>
        <w:adjustRightInd w:val="0"/>
        <w:jc w:val="both"/>
        <w:rPr>
          <w:rFonts w:eastAsia="TimesNewRoman"/>
          <w:sz w:val="22"/>
          <w:szCs w:val="22"/>
          <w:lang w:val="sr-Latn-ME"/>
        </w:rPr>
      </w:pPr>
      <w:r w:rsidRPr="00EC742F">
        <w:rPr>
          <w:rFonts w:eastAsia="TimesNewRoman"/>
          <w:sz w:val="22"/>
          <w:szCs w:val="22"/>
          <w:lang w:val="sr-Latn-ME"/>
        </w:rPr>
        <w:lastRenderedPageBreak/>
        <w:t xml:space="preserve">Kod pacijenata bilo </w:t>
      </w:r>
      <w:r w:rsidR="00A90273" w:rsidRPr="00EC742F">
        <w:rPr>
          <w:rFonts w:eastAsia="TimesNewRoman"/>
          <w:sz w:val="22"/>
          <w:szCs w:val="22"/>
          <w:lang w:val="sr-Latn-ME"/>
        </w:rPr>
        <w:t>kog starosnog doba,</w:t>
      </w:r>
      <w:r w:rsidRPr="00EC742F">
        <w:rPr>
          <w:rFonts w:eastAsia="TimesNewRoman"/>
          <w:sz w:val="22"/>
          <w:szCs w:val="22"/>
          <w:lang w:val="sr-Latn-ME"/>
        </w:rPr>
        <w:t xml:space="preserve"> ceftriakson se ne sm</w:t>
      </w:r>
      <w:r w:rsidR="00B60BA0" w:rsidRPr="00EC742F">
        <w:rPr>
          <w:rFonts w:eastAsia="TimesNewRoman"/>
          <w:sz w:val="22"/>
          <w:szCs w:val="22"/>
          <w:lang w:val="sr-Latn-ME"/>
        </w:rPr>
        <w:t>ij</w:t>
      </w:r>
      <w:r w:rsidRPr="00EC742F">
        <w:rPr>
          <w:rFonts w:eastAsia="TimesNewRoman"/>
          <w:sz w:val="22"/>
          <w:szCs w:val="22"/>
          <w:lang w:val="sr-Latn-ME"/>
        </w:rPr>
        <w:t>e m</w:t>
      </w:r>
      <w:r w:rsidR="00A90273" w:rsidRPr="00EC742F">
        <w:rPr>
          <w:rFonts w:eastAsia="TimesNewRoman"/>
          <w:sz w:val="22"/>
          <w:szCs w:val="22"/>
          <w:lang w:val="sr-Latn-ME"/>
        </w:rPr>
        <w:t>i</w:t>
      </w:r>
      <w:r w:rsidR="00B60BA0" w:rsidRPr="00EC742F">
        <w:rPr>
          <w:rFonts w:eastAsia="TimesNewRoman"/>
          <w:sz w:val="22"/>
          <w:szCs w:val="22"/>
          <w:lang w:val="sr-Latn-ME"/>
        </w:rPr>
        <w:t>j</w:t>
      </w:r>
      <w:r w:rsidRPr="00EC742F">
        <w:rPr>
          <w:rFonts w:eastAsia="TimesNewRoman"/>
          <w:sz w:val="22"/>
          <w:szCs w:val="22"/>
          <w:lang w:val="sr-Latn-ME"/>
        </w:rPr>
        <w:t>ešati ili prim</w:t>
      </w:r>
      <w:r w:rsidR="00B60BA0" w:rsidRPr="00EC742F">
        <w:rPr>
          <w:rFonts w:eastAsia="TimesNewRoman"/>
          <w:sz w:val="22"/>
          <w:szCs w:val="22"/>
          <w:lang w:val="sr-Latn-ME"/>
        </w:rPr>
        <w:t>j</w:t>
      </w:r>
      <w:r w:rsidRPr="00EC742F">
        <w:rPr>
          <w:rFonts w:eastAsia="TimesNewRoman"/>
          <w:sz w:val="22"/>
          <w:szCs w:val="22"/>
          <w:lang w:val="sr-Latn-ME"/>
        </w:rPr>
        <w:t>enjivati istovremeno sa</w:t>
      </w:r>
      <w:r w:rsidR="00A90273" w:rsidRPr="00EC742F">
        <w:rPr>
          <w:rFonts w:eastAsia="TimesNewRoman"/>
          <w:sz w:val="22"/>
          <w:szCs w:val="22"/>
          <w:lang w:val="sr-Latn-ME"/>
        </w:rPr>
        <w:t xml:space="preserve"> </w:t>
      </w:r>
      <w:r w:rsidRPr="00EC742F">
        <w:rPr>
          <w:rFonts w:eastAsia="TimesNewRoman"/>
          <w:sz w:val="22"/>
          <w:szCs w:val="22"/>
          <w:lang w:val="sr-Latn-ME"/>
        </w:rPr>
        <w:t>intravenskim rastvorima koji sadrže kalcijum</w:t>
      </w:r>
      <w:r w:rsidR="00A90273" w:rsidRPr="00EC742F">
        <w:rPr>
          <w:rFonts w:eastAsia="TimesNewRoman"/>
          <w:sz w:val="22"/>
          <w:szCs w:val="22"/>
          <w:lang w:val="sr-Latn-ME"/>
        </w:rPr>
        <w:t>,</w:t>
      </w:r>
      <w:r w:rsidRPr="00EC742F">
        <w:rPr>
          <w:rFonts w:eastAsia="TimesNewRoman"/>
          <w:sz w:val="22"/>
          <w:szCs w:val="22"/>
          <w:lang w:val="sr-Latn-ME"/>
        </w:rPr>
        <w:t xml:space="preserve"> čak ni korišćenjem različitih infuzionih linija ili različitih</w:t>
      </w:r>
      <w:r w:rsidR="00231E10" w:rsidRPr="00EC742F">
        <w:rPr>
          <w:rFonts w:eastAsia="TimesNewRoman"/>
          <w:sz w:val="22"/>
          <w:szCs w:val="22"/>
          <w:lang w:val="sr-Latn-ME"/>
        </w:rPr>
        <w:t xml:space="preserve"> </w:t>
      </w:r>
      <w:r w:rsidRPr="00EC742F">
        <w:rPr>
          <w:rFonts w:eastAsia="TimesNewRoman"/>
          <w:sz w:val="22"/>
          <w:szCs w:val="22"/>
          <w:lang w:val="sr-Latn-ME"/>
        </w:rPr>
        <w:t>m</w:t>
      </w:r>
      <w:r w:rsidR="00B60BA0" w:rsidRPr="00EC742F">
        <w:rPr>
          <w:rFonts w:eastAsia="TimesNewRoman"/>
          <w:sz w:val="22"/>
          <w:szCs w:val="22"/>
          <w:lang w:val="sr-Latn-ME"/>
        </w:rPr>
        <w:t>j</w:t>
      </w:r>
      <w:r w:rsidRPr="00EC742F">
        <w:rPr>
          <w:rFonts w:eastAsia="TimesNewRoman"/>
          <w:sz w:val="22"/>
          <w:szCs w:val="22"/>
          <w:lang w:val="sr-Latn-ME"/>
        </w:rPr>
        <w:t>esta prim</w:t>
      </w:r>
      <w:r w:rsidR="00A90273" w:rsidRPr="00EC742F">
        <w:rPr>
          <w:rFonts w:eastAsia="TimesNewRoman"/>
          <w:sz w:val="22"/>
          <w:szCs w:val="22"/>
          <w:lang w:val="sr-Latn-ME"/>
        </w:rPr>
        <w:t>j</w:t>
      </w:r>
      <w:r w:rsidRPr="00EC742F">
        <w:rPr>
          <w:rFonts w:eastAsia="TimesNewRoman"/>
          <w:sz w:val="22"/>
          <w:szCs w:val="22"/>
          <w:lang w:val="sr-Latn-ME"/>
        </w:rPr>
        <w:t>ene infuzije.</w:t>
      </w:r>
    </w:p>
    <w:p w:rsidR="00CA0FA5" w:rsidRPr="00EC742F" w:rsidRDefault="00CA0FA5" w:rsidP="00A86731">
      <w:pPr>
        <w:autoSpaceDE w:val="0"/>
        <w:autoSpaceDN w:val="0"/>
        <w:adjustRightInd w:val="0"/>
        <w:jc w:val="both"/>
        <w:rPr>
          <w:rFonts w:eastAsia="TimesNewRoman"/>
          <w:sz w:val="22"/>
          <w:szCs w:val="22"/>
          <w:lang w:val="sr-Latn-ME"/>
        </w:rPr>
      </w:pPr>
      <w:r w:rsidRPr="00EC742F">
        <w:rPr>
          <w:rFonts w:eastAsia="TimesNewRoman"/>
          <w:sz w:val="22"/>
          <w:szCs w:val="22"/>
          <w:lang w:val="sr-Latn-ME"/>
        </w:rPr>
        <w:t>U svakom slučaju, kod pacijenata starijih od 28 dana</w:t>
      </w:r>
      <w:r w:rsidR="00A90273" w:rsidRPr="00EC742F">
        <w:rPr>
          <w:rFonts w:eastAsia="TimesNewRoman"/>
          <w:sz w:val="22"/>
          <w:szCs w:val="22"/>
          <w:lang w:val="sr-Latn-ME"/>
        </w:rPr>
        <w:t>,</w:t>
      </w:r>
      <w:r w:rsidRPr="00EC742F">
        <w:rPr>
          <w:rFonts w:eastAsia="TimesNewRoman"/>
          <w:sz w:val="22"/>
          <w:szCs w:val="22"/>
          <w:lang w:val="sr-Latn-ME"/>
        </w:rPr>
        <w:t xml:space="preserve"> ceftriakson i rastvori koji sadrže kalcijum se mogu prim</w:t>
      </w:r>
      <w:r w:rsidR="00A90273" w:rsidRPr="00EC742F">
        <w:rPr>
          <w:rFonts w:eastAsia="TimesNewRoman"/>
          <w:sz w:val="22"/>
          <w:szCs w:val="22"/>
          <w:lang w:val="sr-Latn-ME"/>
        </w:rPr>
        <w:t>i</w:t>
      </w:r>
      <w:r w:rsidR="00B60BA0" w:rsidRPr="00EC742F">
        <w:rPr>
          <w:rFonts w:eastAsia="TimesNewRoman"/>
          <w:sz w:val="22"/>
          <w:szCs w:val="22"/>
          <w:lang w:val="sr-Latn-ME"/>
        </w:rPr>
        <w:t>j</w:t>
      </w:r>
      <w:r w:rsidRPr="00EC742F">
        <w:rPr>
          <w:rFonts w:eastAsia="TimesNewRoman"/>
          <w:sz w:val="22"/>
          <w:szCs w:val="22"/>
          <w:lang w:val="sr-Latn-ME"/>
        </w:rPr>
        <w:t>eniti jedan za drugim ukoliko se koriste infuzione linije na različitim m</w:t>
      </w:r>
      <w:r w:rsidR="00B60BA0" w:rsidRPr="00EC742F">
        <w:rPr>
          <w:rFonts w:eastAsia="TimesNewRoman"/>
          <w:sz w:val="22"/>
          <w:szCs w:val="22"/>
          <w:lang w:val="sr-Latn-ME"/>
        </w:rPr>
        <w:t>j</w:t>
      </w:r>
      <w:r w:rsidRPr="00EC742F">
        <w:rPr>
          <w:rFonts w:eastAsia="TimesNewRoman"/>
          <w:sz w:val="22"/>
          <w:szCs w:val="22"/>
          <w:lang w:val="sr-Latn-ME"/>
        </w:rPr>
        <w:t>estima</w:t>
      </w:r>
      <w:r w:rsidR="00A90273" w:rsidRPr="00EC742F">
        <w:rPr>
          <w:rFonts w:eastAsia="TimesNewRoman"/>
          <w:sz w:val="22"/>
          <w:szCs w:val="22"/>
          <w:lang w:val="sr-Latn-ME"/>
        </w:rPr>
        <w:t>,</w:t>
      </w:r>
      <w:r w:rsidRPr="00EC742F">
        <w:rPr>
          <w:rFonts w:eastAsia="TimesNewRoman"/>
          <w:sz w:val="22"/>
          <w:szCs w:val="22"/>
          <w:lang w:val="sr-Latn-ME"/>
        </w:rPr>
        <w:t xml:space="preserve"> ili ukoliko se linije zam</w:t>
      </w:r>
      <w:r w:rsidR="00A90273" w:rsidRPr="00EC742F">
        <w:rPr>
          <w:rFonts w:eastAsia="TimesNewRoman"/>
          <w:sz w:val="22"/>
          <w:szCs w:val="22"/>
          <w:lang w:val="sr-Latn-ME"/>
        </w:rPr>
        <w:t>i</w:t>
      </w:r>
      <w:r w:rsidR="00B60BA0" w:rsidRPr="00EC742F">
        <w:rPr>
          <w:rFonts w:eastAsia="TimesNewRoman"/>
          <w:sz w:val="22"/>
          <w:szCs w:val="22"/>
          <w:lang w:val="sr-Latn-ME"/>
        </w:rPr>
        <w:t>j</w:t>
      </w:r>
      <w:r w:rsidRPr="00EC742F">
        <w:rPr>
          <w:rFonts w:eastAsia="TimesNewRoman"/>
          <w:sz w:val="22"/>
          <w:szCs w:val="22"/>
          <w:lang w:val="sr-Latn-ME"/>
        </w:rPr>
        <w:t>ene ili temeljno isperu fiziološkim rastvorom između infuzija kako bi se izb</w:t>
      </w:r>
      <w:r w:rsidR="00B60BA0" w:rsidRPr="00EC742F">
        <w:rPr>
          <w:rFonts w:eastAsia="TimesNewRoman"/>
          <w:sz w:val="22"/>
          <w:szCs w:val="22"/>
          <w:lang w:val="sr-Latn-ME"/>
        </w:rPr>
        <w:t>j</w:t>
      </w:r>
      <w:r w:rsidRPr="00EC742F">
        <w:rPr>
          <w:rFonts w:eastAsia="TimesNewRoman"/>
          <w:sz w:val="22"/>
          <w:szCs w:val="22"/>
          <w:lang w:val="sr-Latn-ME"/>
        </w:rPr>
        <w:t>egla precipitacija. Uzastopne infuzije ceftriaksona i rastvora koji sadrže kalcijum moraju se izb</w:t>
      </w:r>
      <w:r w:rsidR="00B60BA0" w:rsidRPr="00EC742F">
        <w:rPr>
          <w:rFonts w:eastAsia="TimesNewRoman"/>
          <w:sz w:val="22"/>
          <w:szCs w:val="22"/>
          <w:lang w:val="sr-Latn-ME"/>
        </w:rPr>
        <w:t>j</w:t>
      </w:r>
      <w:r w:rsidRPr="00EC742F">
        <w:rPr>
          <w:rFonts w:eastAsia="TimesNewRoman"/>
          <w:sz w:val="22"/>
          <w:szCs w:val="22"/>
          <w:lang w:val="sr-Latn-ME"/>
        </w:rPr>
        <w:t>egavati ako postoji hipovolemija.</w:t>
      </w:r>
    </w:p>
    <w:p w:rsidR="00CA0FA5" w:rsidRPr="00EC742F" w:rsidRDefault="00CA0FA5" w:rsidP="00CA0FA5">
      <w:pPr>
        <w:autoSpaceDE w:val="0"/>
        <w:autoSpaceDN w:val="0"/>
        <w:adjustRightInd w:val="0"/>
        <w:rPr>
          <w:rFonts w:eastAsia="TimesNewRoman"/>
          <w:sz w:val="22"/>
          <w:szCs w:val="22"/>
          <w:lang w:val="sr-Latn-ME"/>
        </w:rPr>
      </w:pPr>
    </w:p>
    <w:p w:rsidR="00CA0FA5" w:rsidRPr="00EC742F" w:rsidRDefault="00CA0FA5" w:rsidP="00A86731">
      <w:pPr>
        <w:pStyle w:val="Header"/>
        <w:jc w:val="both"/>
        <w:rPr>
          <w:sz w:val="22"/>
          <w:szCs w:val="22"/>
          <w:lang w:val="sr-Latn-ME"/>
        </w:rPr>
      </w:pPr>
      <w:r w:rsidRPr="00EC742F">
        <w:rPr>
          <w:sz w:val="22"/>
          <w:szCs w:val="22"/>
          <w:lang w:val="sr-Latn-ME"/>
        </w:rPr>
        <w:t>Kod pacijenata sa insuficijencijom srca ili pluća</w:t>
      </w:r>
      <w:r w:rsidR="00A90273" w:rsidRPr="00EC742F">
        <w:rPr>
          <w:sz w:val="22"/>
          <w:szCs w:val="22"/>
          <w:lang w:val="sr-Latn-ME"/>
        </w:rPr>
        <w:t>,</w:t>
      </w:r>
      <w:r w:rsidRPr="00EC742F">
        <w:rPr>
          <w:sz w:val="22"/>
          <w:szCs w:val="22"/>
          <w:lang w:val="sr-Latn-ME"/>
        </w:rPr>
        <w:t xml:space="preserve"> prim</w:t>
      </w:r>
      <w:r w:rsidR="00B60BA0" w:rsidRPr="00EC742F">
        <w:rPr>
          <w:sz w:val="22"/>
          <w:szCs w:val="22"/>
          <w:lang w:val="sr-Latn-ME"/>
        </w:rPr>
        <w:t>j</w:t>
      </w:r>
      <w:r w:rsidRPr="00EC742F">
        <w:rPr>
          <w:sz w:val="22"/>
          <w:szCs w:val="22"/>
          <w:lang w:val="sr-Latn-ME"/>
        </w:rPr>
        <w:t>ena velikih zapremina infuzije mora biti pod posebnim nadzorom.</w:t>
      </w:r>
    </w:p>
    <w:p w:rsidR="00CA0FA5" w:rsidRPr="00EC742F" w:rsidRDefault="00CA0FA5" w:rsidP="00A86731">
      <w:pPr>
        <w:autoSpaceDE w:val="0"/>
        <w:autoSpaceDN w:val="0"/>
        <w:adjustRightInd w:val="0"/>
        <w:jc w:val="both"/>
        <w:rPr>
          <w:rFonts w:eastAsia="TimesNewRoman"/>
          <w:sz w:val="22"/>
          <w:szCs w:val="22"/>
          <w:lang w:val="sr-Latn-ME"/>
        </w:rPr>
      </w:pPr>
    </w:p>
    <w:p w:rsidR="00CA0FA5" w:rsidRPr="00EC742F" w:rsidRDefault="00CA0FA5" w:rsidP="00A86731">
      <w:pPr>
        <w:autoSpaceDE w:val="0"/>
        <w:autoSpaceDN w:val="0"/>
        <w:adjustRightInd w:val="0"/>
        <w:jc w:val="both"/>
        <w:rPr>
          <w:rFonts w:eastAsia="TimesNewRoman"/>
          <w:sz w:val="22"/>
          <w:szCs w:val="22"/>
          <w:lang w:val="sr-Latn-ME"/>
        </w:rPr>
      </w:pPr>
      <w:r w:rsidRPr="00EC742F">
        <w:rPr>
          <w:rFonts w:eastAsia="TimesNewRoman"/>
          <w:sz w:val="22"/>
          <w:szCs w:val="22"/>
          <w:lang w:val="sr-Latn-ME"/>
        </w:rPr>
        <w:t>Rastvori koji sadrže natrijum</w:t>
      </w:r>
      <w:r w:rsidR="00952E4F" w:rsidRPr="00EC742F">
        <w:rPr>
          <w:rFonts w:eastAsia="TimesNewRoman"/>
          <w:sz w:val="22"/>
          <w:szCs w:val="22"/>
          <w:lang w:val="sr-Latn-ME"/>
        </w:rPr>
        <w:t xml:space="preserve"> </w:t>
      </w:r>
      <w:r w:rsidRPr="00EC742F">
        <w:rPr>
          <w:rFonts w:eastAsia="TimesNewRoman"/>
          <w:sz w:val="22"/>
          <w:szCs w:val="22"/>
          <w:lang w:val="sr-Latn-ME"/>
        </w:rPr>
        <w:t>hlorid treba da se prim</w:t>
      </w:r>
      <w:r w:rsidR="00A90273" w:rsidRPr="00EC742F">
        <w:rPr>
          <w:rFonts w:eastAsia="TimesNewRoman"/>
          <w:sz w:val="22"/>
          <w:szCs w:val="22"/>
          <w:lang w:val="sr-Latn-ME"/>
        </w:rPr>
        <w:t>i</w:t>
      </w:r>
      <w:r w:rsidR="00B60BA0" w:rsidRPr="00EC742F">
        <w:rPr>
          <w:rFonts w:eastAsia="TimesNewRoman"/>
          <w:sz w:val="22"/>
          <w:szCs w:val="22"/>
          <w:lang w:val="sr-Latn-ME"/>
        </w:rPr>
        <w:t>j</w:t>
      </w:r>
      <w:r w:rsidRPr="00EC742F">
        <w:rPr>
          <w:rFonts w:eastAsia="TimesNewRoman"/>
          <w:sz w:val="22"/>
          <w:szCs w:val="22"/>
          <w:lang w:val="sr-Latn-ME"/>
        </w:rPr>
        <w:t>ene oprezno kod pacijenata sa hipertenzijom, srčanom</w:t>
      </w:r>
      <w:r w:rsidR="00097999" w:rsidRPr="00EC742F">
        <w:rPr>
          <w:rFonts w:eastAsia="TimesNewRoman"/>
          <w:sz w:val="22"/>
          <w:szCs w:val="22"/>
          <w:lang w:val="sr-Latn-ME"/>
        </w:rPr>
        <w:t xml:space="preserve"> </w:t>
      </w:r>
      <w:r w:rsidRPr="00EC742F">
        <w:rPr>
          <w:rFonts w:eastAsia="TimesNewRoman"/>
          <w:sz w:val="22"/>
          <w:szCs w:val="22"/>
          <w:lang w:val="sr-Latn-ME"/>
        </w:rPr>
        <w:t>insuficijencijom, perifernim ili plućnim edemima, oštećenom funkcijom bubrega, preeklampsijom,</w:t>
      </w:r>
      <w:r w:rsidR="00A90273" w:rsidRPr="00EC742F">
        <w:rPr>
          <w:rFonts w:eastAsia="TimesNewRoman"/>
          <w:sz w:val="22"/>
          <w:szCs w:val="22"/>
          <w:lang w:val="sr-Latn-ME"/>
        </w:rPr>
        <w:t xml:space="preserve"> </w:t>
      </w:r>
      <w:r w:rsidRPr="00EC742F">
        <w:rPr>
          <w:rFonts w:eastAsia="TimesNewRoman"/>
          <w:sz w:val="22"/>
          <w:szCs w:val="22"/>
          <w:lang w:val="sr-Latn-ME"/>
        </w:rPr>
        <w:t>aldosteronizmom ili drugim stanjima ili terapijama (npr. kortikosteroidi) koji su praćeni retencijom</w:t>
      </w:r>
      <w:r w:rsidR="00A90273" w:rsidRPr="00EC742F">
        <w:rPr>
          <w:rFonts w:eastAsia="TimesNewRoman"/>
          <w:sz w:val="22"/>
          <w:szCs w:val="22"/>
          <w:lang w:val="sr-Latn-ME"/>
        </w:rPr>
        <w:t xml:space="preserve"> </w:t>
      </w:r>
      <w:r w:rsidRPr="00EC742F">
        <w:rPr>
          <w:rFonts w:eastAsia="TimesNewRoman"/>
          <w:sz w:val="22"/>
          <w:szCs w:val="22"/>
          <w:lang w:val="sr-Latn-ME"/>
        </w:rPr>
        <w:t>natrijuma (vid</w:t>
      </w:r>
      <w:r w:rsidR="00B60BA0" w:rsidRPr="00EC742F">
        <w:rPr>
          <w:rFonts w:eastAsia="TimesNewRoman"/>
          <w:sz w:val="22"/>
          <w:szCs w:val="22"/>
          <w:lang w:val="sr-Latn-ME"/>
        </w:rPr>
        <w:t>j</w:t>
      </w:r>
      <w:r w:rsidRPr="00EC742F">
        <w:rPr>
          <w:rFonts w:eastAsia="TimesNewRoman"/>
          <w:sz w:val="22"/>
          <w:szCs w:val="22"/>
          <w:lang w:val="sr-Latn-ME"/>
        </w:rPr>
        <w:t>eti takođe od</w:t>
      </w:r>
      <w:r w:rsidR="00B60BA0" w:rsidRPr="00EC742F">
        <w:rPr>
          <w:rFonts w:eastAsia="TimesNewRoman"/>
          <w:sz w:val="22"/>
          <w:szCs w:val="22"/>
          <w:lang w:val="sr-Latn-ME"/>
        </w:rPr>
        <w:t>j</w:t>
      </w:r>
      <w:r w:rsidRPr="00EC742F">
        <w:rPr>
          <w:rFonts w:eastAsia="TimesNewRoman"/>
          <w:sz w:val="22"/>
          <w:szCs w:val="22"/>
          <w:lang w:val="sr-Latn-ME"/>
        </w:rPr>
        <w:t>eljak 4.5).</w:t>
      </w:r>
    </w:p>
    <w:p w:rsidR="00CA0FA5" w:rsidRPr="00EC742F" w:rsidRDefault="00CA0FA5" w:rsidP="00A86731">
      <w:pPr>
        <w:pStyle w:val="Header"/>
        <w:tabs>
          <w:tab w:val="left" w:pos="284"/>
        </w:tabs>
        <w:spacing w:before="80" w:after="80"/>
        <w:jc w:val="both"/>
        <w:rPr>
          <w:bCs/>
          <w:sz w:val="22"/>
          <w:szCs w:val="22"/>
          <w:lang w:val="sr-Latn-ME"/>
        </w:rPr>
      </w:pPr>
      <w:r w:rsidRPr="00EC742F">
        <w:rPr>
          <w:bCs/>
          <w:sz w:val="22"/>
          <w:szCs w:val="22"/>
          <w:lang w:val="sr-Latn-ME"/>
        </w:rPr>
        <w:t>Rastvori koji sadrže soli kalijuma treba da se prim</w:t>
      </w:r>
      <w:r w:rsidR="00A90273" w:rsidRPr="00EC742F">
        <w:rPr>
          <w:bCs/>
          <w:sz w:val="22"/>
          <w:szCs w:val="22"/>
          <w:lang w:val="sr-Latn-ME"/>
        </w:rPr>
        <w:t>i</w:t>
      </w:r>
      <w:r w:rsidR="00B60BA0" w:rsidRPr="00EC742F">
        <w:rPr>
          <w:bCs/>
          <w:sz w:val="22"/>
          <w:szCs w:val="22"/>
          <w:lang w:val="sr-Latn-ME"/>
        </w:rPr>
        <w:t>j</w:t>
      </w:r>
      <w:r w:rsidRPr="00EC742F">
        <w:rPr>
          <w:bCs/>
          <w:sz w:val="22"/>
          <w:szCs w:val="22"/>
          <w:lang w:val="sr-Latn-ME"/>
        </w:rPr>
        <w:t>ene oprezno kod pacijenata sa oboljenjem srca ili stanjima koja predisponiraju nastanak hiperkal</w:t>
      </w:r>
      <w:r w:rsidR="00A90273" w:rsidRPr="00EC742F">
        <w:rPr>
          <w:bCs/>
          <w:sz w:val="22"/>
          <w:szCs w:val="22"/>
          <w:lang w:val="sr-Latn-ME"/>
        </w:rPr>
        <w:t>ij</w:t>
      </w:r>
      <w:r w:rsidRPr="00EC742F">
        <w:rPr>
          <w:bCs/>
          <w:sz w:val="22"/>
          <w:szCs w:val="22"/>
          <w:lang w:val="sr-Latn-ME"/>
        </w:rPr>
        <w:t>emije</w:t>
      </w:r>
      <w:r w:rsidR="00A90273" w:rsidRPr="00EC742F">
        <w:rPr>
          <w:bCs/>
          <w:sz w:val="22"/>
          <w:szCs w:val="22"/>
          <w:lang w:val="sr-Latn-ME"/>
        </w:rPr>
        <w:t>,</w:t>
      </w:r>
      <w:r w:rsidRPr="00EC742F">
        <w:rPr>
          <w:bCs/>
          <w:sz w:val="22"/>
          <w:szCs w:val="22"/>
          <w:lang w:val="sr-Latn-ME"/>
        </w:rPr>
        <w:t xml:space="preserve"> kao što su insuficijencija bubrega ili adrenokortikalna insuficijencija, akutna dehidratacija ili ekstenzivno oštećenje tkiva koje se dešava kod teških opekotina.</w:t>
      </w:r>
    </w:p>
    <w:p w:rsidR="00CA0FA5" w:rsidRPr="00EC742F" w:rsidRDefault="00CA0FA5" w:rsidP="00EC742F">
      <w:pPr>
        <w:pStyle w:val="Header"/>
        <w:tabs>
          <w:tab w:val="left" w:pos="284"/>
        </w:tabs>
        <w:rPr>
          <w:bCs/>
          <w:sz w:val="22"/>
          <w:szCs w:val="22"/>
          <w:lang w:val="sr-Latn-ME"/>
        </w:rPr>
      </w:pPr>
    </w:p>
    <w:p w:rsidR="00CA0FA5" w:rsidRPr="00EC742F" w:rsidRDefault="00CA0FA5" w:rsidP="00CA0FA5">
      <w:pPr>
        <w:pStyle w:val="Header"/>
        <w:tabs>
          <w:tab w:val="left" w:pos="284"/>
        </w:tabs>
        <w:spacing w:before="80" w:after="80"/>
        <w:rPr>
          <w:bCs/>
          <w:sz w:val="22"/>
          <w:szCs w:val="22"/>
          <w:lang w:val="sr-Latn-ME"/>
        </w:rPr>
      </w:pPr>
      <w:r w:rsidRPr="00EC742F">
        <w:rPr>
          <w:bCs/>
          <w:sz w:val="22"/>
          <w:szCs w:val="22"/>
          <w:lang w:val="sr-Latn-ME"/>
        </w:rPr>
        <w:t>Usl</w:t>
      </w:r>
      <w:r w:rsidR="00A90273" w:rsidRPr="00EC742F">
        <w:rPr>
          <w:bCs/>
          <w:sz w:val="22"/>
          <w:szCs w:val="22"/>
          <w:lang w:val="sr-Latn-ME"/>
        </w:rPr>
        <w:t>j</w:t>
      </w:r>
      <w:r w:rsidRPr="00EC742F">
        <w:rPr>
          <w:bCs/>
          <w:sz w:val="22"/>
          <w:szCs w:val="22"/>
          <w:lang w:val="sr-Latn-ME"/>
        </w:rPr>
        <w:t xml:space="preserve">ed prisustva kalcijuma u ovom rastvoru: </w:t>
      </w:r>
    </w:p>
    <w:p w:rsidR="00CA0FA5" w:rsidRPr="00EC742F" w:rsidRDefault="00CA0FA5" w:rsidP="00A86731">
      <w:pPr>
        <w:pStyle w:val="Header"/>
        <w:numPr>
          <w:ilvl w:val="0"/>
          <w:numId w:val="13"/>
        </w:numPr>
        <w:tabs>
          <w:tab w:val="clear" w:pos="4320"/>
          <w:tab w:val="clear" w:pos="8640"/>
          <w:tab w:val="left" w:pos="284"/>
        </w:tabs>
        <w:spacing w:before="80" w:after="80"/>
        <w:jc w:val="both"/>
        <w:rPr>
          <w:bCs/>
          <w:sz w:val="22"/>
          <w:szCs w:val="22"/>
          <w:lang w:val="sr-Latn-ME"/>
        </w:rPr>
      </w:pPr>
      <w:r w:rsidRPr="00EC742F">
        <w:rPr>
          <w:bCs/>
          <w:sz w:val="22"/>
          <w:szCs w:val="22"/>
          <w:lang w:val="sr-Latn-ME"/>
        </w:rPr>
        <w:t>t</w:t>
      </w:r>
      <w:r w:rsidR="00B60BA0" w:rsidRPr="00EC742F">
        <w:rPr>
          <w:bCs/>
          <w:sz w:val="22"/>
          <w:szCs w:val="22"/>
          <w:lang w:val="sr-Latn-ME"/>
        </w:rPr>
        <w:t>reba voditi računa da se sprije</w:t>
      </w:r>
      <w:r w:rsidRPr="00EC742F">
        <w:rPr>
          <w:bCs/>
          <w:sz w:val="22"/>
          <w:szCs w:val="22"/>
          <w:lang w:val="sr-Latn-ME"/>
        </w:rPr>
        <w:t xml:space="preserve">či ekstravazacija tokom intravenske infuzije; </w:t>
      </w:r>
    </w:p>
    <w:p w:rsidR="00CA0FA5" w:rsidRPr="00EC742F" w:rsidRDefault="00CA0FA5" w:rsidP="00A86731">
      <w:pPr>
        <w:pStyle w:val="Header"/>
        <w:numPr>
          <w:ilvl w:val="0"/>
          <w:numId w:val="13"/>
        </w:numPr>
        <w:tabs>
          <w:tab w:val="clear" w:pos="4320"/>
          <w:tab w:val="clear" w:pos="8640"/>
          <w:tab w:val="left" w:pos="284"/>
        </w:tabs>
        <w:spacing w:before="80" w:after="80"/>
        <w:jc w:val="both"/>
        <w:rPr>
          <w:bCs/>
          <w:sz w:val="22"/>
          <w:szCs w:val="22"/>
          <w:lang w:val="sr-Latn-ME"/>
        </w:rPr>
      </w:pPr>
      <w:r w:rsidRPr="00EC742F">
        <w:rPr>
          <w:bCs/>
          <w:sz w:val="22"/>
          <w:szCs w:val="22"/>
          <w:lang w:val="sr-Latn-ME"/>
        </w:rPr>
        <w:t>rastvor treba oprezno prim</w:t>
      </w:r>
      <w:r w:rsidR="00B60BA0" w:rsidRPr="00EC742F">
        <w:rPr>
          <w:bCs/>
          <w:sz w:val="22"/>
          <w:szCs w:val="22"/>
          <w:lang w:val="sr-Latn-ME"/>
        </w:rPr>
        <w:t>j</w:t>
      </w:r>
      <w:r w:rsidRPr="00EC742F">
        <w:rPr>
          <w:bCs/>
          <w:sz w:val="22"/>
          <w:szCs w:val="22"/>
          <w:lang w:val="sr-Latn-ME"/>
        </w:rPr>
        <w:t>enjivati kod pacijenata sa oštećenom funkcijom bubrega ili oboljenjima praćenim povišenim koncentracijama vitamina D, kao što je sarkoidoza;</w:t>
      </w:r>
    </w:p>
    <w:p w:rsidR="00CA0FA5" w:rsidRPr="00EC742F" w:rsidRDefault="00CA0FA5" w:rsidP="00A86731">
      <w:pPr>
        <w:pStyle w:val="Header"/>
        <w:numPr>
          <w:ilvl w:val="0"/>
          <w:numId w:val="13"/>
        </w:numPr>
        <w:tabs>
          <w:tab w:val="clear" w:pos="4320"/>
          <w:tab w:val="clear" w:pos="8640"/>
          <w:tab w:val="left" w:pos="284"/>
        </w:tabs>
        <w:spacing w:before="80" w:after="80"/>
        <w:jc w:val="both"/>
        <w:rPr>
          <w:bCs/>
          <w:sz w:val="22"/>
          <w:szCs w:val="22"/>
          <w:lang w:val="sr-Latn-ME"/>
        </w:rPr>
      </w:pPr>
      <w:r w:rsidRPr="00EC742F">
        <w:rPr>
          <w:bCs/>
          <w:sz w:val="22"/>
          <w:szCs w:val="22"/>
          <w:lang w:val="sr-Latn-ME"/>
        </w:rPr>
        <w:t>u slučaju  istovremene transfuzije, rastvor ne sm</w:t>
      </w:r>
      <w:r w:rsidR="00B60BA0" w:rsidRPr="00EC742F">
        <w:rPr>
          <w:bCs/>
          <w:sz w:val="22"/>
          <w:szCs w:val="22"/>
          <w:lang w:val="sr-Latn-ME"/>
        </w:rPr>
        <w:t>ij</w:t>
      </w:r>
      <w:r w:rsidRPr="00EC742F">
        <w:rPr>
          <w:bCs/>
          <w:sz w:val="22"/>
          <w:szCs w:val="22"/>
          <w:lang w:val="sr-Latn-ME"/>
        </w:rPr>
        <w:t>e biti prim</w:t>
      </w:r>
      <w:r w:rsidR="00A90273" w:rsidRPr="00EC742F">
        <w:rPr>
          <w:bCs/>
          <w:sz w:val="22"/>
          <w:szCs w:val="22"/>
          <w:lang w:val="sr-Latn-ME"/>
        </w:rPr>
        <w:t>i</w:t>
      </w:r>
      <w:r w:rsidR="00B60BA0" w:rsidRPr="00EC742F">
        <w:rPr>
          <w:bCs/>
          <w:sz w:val="22"/>
          <w:szCs w:val="22"/>
          <w:lang w:val="sr-Latn-ME"/>
        </w:rPr>
        <w:t>j</w:t>
      </w:r>
      <w:r w:rsidRPr="00EC742F">
        <w:rPr>
          <w:bCs/>
          <w:sz w:val="22"/>
          <w:szCs w:val="22"/>
          <w:lang w:val="sr-Latn-ME"/>
        </w:rPr>
        <w:t>enjen istim setom/sistemom za infuziju</w:t>
      </w:r>
      <w:r w:rsidR="00A90273" w:rsidRPr="00EC742F">
        <w:rPr>
          <w:bCs/>
          <w:sz w:val="22"/>
          <w:szCs w:val="22"/>
          <w:lang w:val="sr-Latn-ME"/>
        </w:rPr>
        <w:t>,</w:t>
      </w:r>
      <w:r w:rsidRPr="00EC742F">
        <w:rPr>
          <w:bCs/>
          <w:sz w:val="22"/>
          <w:szCs w:val="22"/>
          <w:lang w:val="sr-Latn-ME"/>
        </w:rPr>
        <w:t xml:space="preserve"> zbog rizika od nastanka koagulacije.</w:t>
      </w:r>
    </w:p>
    <w:p w:rsidR="00CA0FA5" w:rsidRPr="00EC742F" w:rsidRDefault="00CA0FA5" w:rsidP="00CA0FA5">
      <w:pPr>
        <w:autoSpaceDE w:val="0"/>
        <w:autoSpaceDN w:val="0"/>
        <w:adjustRightInd w:val="0"/>
        <w:ind w:left="720"/>
        <w:rPr>
          <w:bCs/>
          <w:sz w:val="22"/>
          <w:szCs w:val="22"/>
          <w:lang w:val="sr-Latn-ME"/>
        </w:rPr>
      </w:pPr>
    </w:p>
    <w:p w:rsidR="00CA0FA5" w:rsidRPr="00EC742F" w:rsidRDefault="004447A3" w:rsidP="00A86731">
      <w:pPr>
        <w:autoSpaceDE w:val="0"/>
        <w:autoSpaceDN w:val="0"/>
        <w:adjustRightInd w:val="0"/>
        <w:jc w:val="both"/>
        <w:rPr>
          <w:rFonts w:eastAsia="TimesNewRoman"/>
          <w:sz w:val="22"/>
          <w:szCs w:val="22"/>
          <w:lang w:val="sr-Latn-ME"/>
        </w:rPr>
      </w:pPr>
      <w:r w:rsidRPr="00EC742F">
        <w:rPr>
          <w:rFonts w:eastAsia="TimesNewRoman"/>
          <w:sz w:val="22"/>
          <w:szCs w:val="22"/>
          <w:lang w:val="sr-Latn-ME"/>
        </w:rPr>
        <w:t xml:space="preserve">Lijek </w:t>
      </w:r>
      <w:r w:rsidR="00CA0FA5" w:rsidRPr="00EC742F">
        <w:rPr>
          <w:rFonts w:eastAsia="TimesNewRoman"/>
          <w:sz w:val="22"/>
          <w:szCs w:val="22"/>
          <w:lang w:val="sr-Latn-ME"/>
        </w:rPr>
        <w:t>Ringerov rastvor za infuziju sadrži nedovoljne koncentracije kalijuma ili kalcijuma da bi se koristio za održavanje koncentracije ovih jona ili za korekciju njihovog deficita. Stoga, posl</w:t>
      </w:r>
      <w:r w:rsidR="00B60BA0" w:rsidRPr="00EC742F">
        <w:rPr>
          <w:rFonts w:eastAsia="TimesNewRoman"/>
          <w:sz w:val="22"/>
          <w:szCs w:val="22"/>
          <w:lang w:val="sr-Latn-ME"/>
        </w:rPr>
        <w:t>ij</w:t>
      </w:r>
      <w:r w:rsidR="00CA0FA5" w:rsidRPr="00EC742F">
        <w:rPr>
          <w:rFonts w:eastAsia="TimesNewRoman"/>
          <w:sz w:val="22"/>
          <w:szCs w:val="22"/>
          <w:lang w:val="sr-Latn-ME"/>
        </w:rPr>
        <w:t>e l</w:t>
      </w:r>
      <w:r w:rsidR="00B60BA0" w:rsidRPr="00EC742F">
        <w:rPr>
          <w:rFonts w:eastAsia="TimesNewRoman"/>
          <w:sz w:val="22"/>
          <w:szCs w:val="22"/>
          <w:lang w:val="sr-Latn-ME"/>
        </w:rPr>
        <w:t>ij</w:t>
      </w:r>
      <w:r w:rsidR="00CA0FA5" w:rsidRPr="00EC742F">
        <w:rPr>
          <w:rFonts w:eastAsia="TimesNewRoman"/>
          <w:sz w:val="22"/>
          <w:szCs w:val="22"/>
          <w:lang w:val="sr-Latn-ME"/>
        </w:rPr>
        <w:t>ečenja dehidratacije, treba prom</w:t>
      </w:r>
      <w:r w:rsidR="009714E4" w:rsidRPr="00EC742F">
        <w:rPr>
          <w:rFonts w:eastAsia="TimesNewRoman"/>
          <w:sz w:val="22"/>
          <w:szCs w:val="22"/>
          <w:lang w:val="sr-Latn-ME"/>
        </w:rPr>
        <w:t>i</w:t>
      </w:r>
      <w:r w:rsidR="00B60BA0" w:rsidRPr="00EC742F">
        <w:rPr>
          <w:rFonts w:eastAsia="TimesNewRoman"/>
          <w:sz w:val="22"/>
          <w:szCs w:val="22"/>
          <w:lang w:val="sr-Latn-ME"/>
        </w:rPr>
        <w:t>j</w:t>
      </w:r>
      <w:r w:rsidR="00CA0FA5" w:rsidRPr="00EC742F">
        <w:rPr>
          <w:rFonts w:eastAsia="TimesNewRoman"/>
          <w:sz w:val="22"/>
          <w:szCs w:val="22"/>
          <w:lang w:val="sr-Latn-ME"/>
        </w:rPr>
        <w:t>eniti tečnost za i.v. infuziju i zam</w:t>
      </w:r>
      <w:r w:rsidR="009714E4" w:rsidRPr="00EC742F">
        <w:rPr>
          <w:rFonts w:eastAsia="TimesNewRoman"/>
          <w:sz w:val="22"/>
          <w:szCs w:val="22"/>
          <w:lang w:val="sr-Latn-ME"/>
        </w:rPr>
        <w:t>i</w:t>
      </w:r>
      <w:r w:rsidR="00B60BA0" w:rsidRPr="00EC742F">
        <w:rPr>
          <w:rFonts w:eastAsia="TimesNewRoman"/>
          <w:sz w:val="22"/>
          <w:szCs w:val="22"/>
          <w:lang w:val="sr-Latn-ME"/>
        </w:rPr>
        <w:t>j</w:t>
      </w:r>
      <w:r w:rsidR="00CA0FA5" w:rsidRPr="00EC742F">
        <w:rPr>
          <w:rFonts w:eastAsia="TimesNewRoman"/>
          <w:sz w:val="22"/>
          <w:szCs w:val="22"/>
          <w:lang w:val="sr-Latn-ME"/>
        </w:rPr>
        <w:t xml:space="preserve">eniti </w:t>
      </w:r>
      <w:r w:rsidR="009714E4" w:rsidRPr="00EC742F">
        <w:rPr>
          <w:rFonts w:eastAsia="TimesNewRoman"/>
          <w:sz w:val="22"/>
          <w:szCs w:val="22"/>
          <w:lang w:val="sr-Latn-ME"/>
        </w:rPr>
        <w:t xml:space="preserve">je </w:t>
      </w:r>
      <w:r w:rsidR="00CA0FA5" w:rsidRPr="00EC742F">
        <w:rPr>
          <w:rFonts w:eastAsia="TimesNewRoman"/>
          <w:sz w:val="22"/>
          <w:szCs w:val="22"/>
          <w:lang w:val="sr-Latn-ME"/>
        </w:rPr>
        <w:t>rastvorom koji će omogućiti nadoknađivanje tih jona.</w:t>
      </w:r>
    </w:p>
    <w:p w:rsidR="00CA0FA5" w:rsidRPr="00EC742F" w:rsidRDefault="00CA0FA5" w:rsidP="00A86731">
      <w:pPr>
        <w:pStyle w:val="Header"/>
        <w:tabs>
          <w:tab w:val="left" w:pos="284"/>
        </w:tabs>
        <w:spacing w:before="80" w:after="80"/>
        <w:jc w:val="both"/>
        <w:rPr>
          <w:bCs/>
          <w:sz w:val="22"/>
          <w:szCs w:val="22"/>
          <w:lang w:val="sr-Latn-ME"/>
        </w:rPr>
      </w:pPr>
      <w:r w:rsidRPr="00EC742F">
        <w:rPr>
          <w:rFonts w:eastAsia="TimesNewRoman"/>
          <w:sz w:val="22"/>
          <w:szCs w:val="22"/>
          <w:lang w:val="sr-Latn-ME"/>
        </w:rPr>
        <w:t>Tokom dugotrajnog parenteralnog l</w:t>
      </w:r>
      <w:r w:rsidR="00B60BA0" w:rsidRPr="00EC742F">
        <w:rPr>
          <w:rFonts w:eastAsia="TimesNewRoman"/>
          <w:sz w:val="22"/>
          <w:szCs w:val="22"/>
          <w:lang w:val="sr-Latn-ME"/>
        </w:rPr>
        <w:t>ij</w:t>
      </w:r>
      <w:r w:rsidRPr="00EC742F">
        <w:rPr>
          <w:rFonts w:eastAsia="TimesNewRoman"/>
          <w:sz w:val="22"/>
          <w:szCs w:val="22"/>
          <w:lang w:val="sr-Latn-ME"/>
        </w:rPr>
        <w:t>ečenja, pacijentu se mora dati odgovarajuća parenteralna ishrana.</w:t>
      </w:r>
    </w:p>
    <w:p w:rsidR="00CA0FA5" w:rsidRPr="00EC742F" w:rsidRDefault="00CA0FA5" w:rsidP="00EC742F">
      <w:pPr>
        <w:pStyle w:val="Header"/>
        <w:tabs>
          <w:tab w:val="left" w:pos="284"/>
        </w:tabs>
        <w:jc w:val="both"/>
        <w:rPr>
          <w:bCs/>
          <w:sz w:val="22"/>
          <w:szCs w:val="22"/>
          <w:lang w:val="sr-Latn-ME"/>
        </w:rPr>
      </w:pPr>
    </w:p>
    <w:p w:rsidR="00CA0FA5" w:rsidRPr="00EC742F" w:rsidRDefault="00CA0FA5" w:rsidP="00A86731">
      <w:pPr>
        <w:pStyle w:val="Header"/>
        <w:tabs>
          <w:tab w:val="left" w:pos="284"/>
        </w:tabs>
        <w:spacing w:before="80" w:after="80"/>
        <w:jc w:val="both"/>
        <w:rPr>
          <w:bCs/>
          <w:sz w:val="22"/>
          <w:szCs w:val="22"/>
          <w:lang w:val="sr-Latn-ME"/>
        </w:rPr>
      </w:pPr>
      <w:r w:rsidRPr="00EC742F">
        <w:rPr>
          <w:bCs/>
          <w:sz w:val="22"/>
          <w:szCs w:val="22"/>
          <w:lang w:val="sr-Latn-ME"/>
        </w:rPr>
        <w:t>Za informacije o pripremi ovog l</w:t>
      </w:r>
      <w:r w:rsidR="007E60DC" w:rsidRPr="00EC742F">
        <w:rPr>
          <w:bCs/>
          <w:sz w:val="22"/>
          <w:szCs w:val="22"/>
          <w:lang w:val="sr-Latn-ME"/>
        </w:rPr>
        <w:t>ij</w:t>
      </w:r>
      <w:r w:rsidRPr="00EC742F">
        <w:rPr>
          <w:bCs/>
          <w:sz w:val="22"/>
          <w:szCs w:val="22"/>
          <w:lang w:val="sr-Latn-ME"/>
        </w:rPr>
        <w:t>eka i dodatih supstanci, vid</w:t>
      </w:r>
      <w:r w:rsidR="007E60DC" w:rsidRPr="00EC742F">
        <w:rPr>
          <w:bCs/>
          <w:sz w:val="22"/>
          <w:szCs w:val="22"/>
          <w:lang w:val="sr-Latn-ME"/>
        </w:rPr>
        <w:t>j</w:t>
      </w:r>
      <w:r w:rsidRPr="00EC742F">
        <w:rPr>
          <w:bCs/>
          <w:sz w:val="22"/>
          <w:szCs w:val="22"/>
          <w:lang w:val="sr-Latn-ME"/>
        </w:rPr>
        <w:t>eti od</w:t>
      </w:r>
      <w:r w:rsidR="007E60DC" w:rsidRPr="00EC742F">
        <w:rPr>
          <w:bCs/>
          <w:sz w:val="22"/>
          <w:szCs w:val="22"/>
          <w:lang w:val="sr-Latn-ME"/>
        </w:rPr>
        <w:t>j</w:t>
      </w:r>
      <w:r w:rsidRPr="00EC742F">
        <w:rPr>
          <w:bCs/>
          <w:sz w:val="22"/>
          <w:szCs w:val="22"/>
          <w:lang w:val="sr-Latn-ME"/>
        </w:rPr>
        <w:t>eljak 6.6.</w:t>
      </w:r>
    </w:p>
    <w:p w:rsidR="00057E35" w:rsidRPr="00EC742F" w:rsidRDefault="00057E35" w:rsidP="00480FB1">
      <w:pPr>
        <w:tabs>
          <w:tab w:val="left" w:pos="540"/>
          <w:tab w:val="left" w:pos="569"/>
        </w:tabs>
        <w:rPr>
          <w:bCs/>
          <w:sz w:val="22"/>
          <w:szCs w:val="22"/>
          <w:lang w:val="sr-Latn-ME"/>
        </w:rPr>
      </w:pPr>
    </w:p>
    <w:p w:rsidR="00411B4B" w:rsidRPr="00EC742F" w:rsidRDefault="00411B4B" w:rsidP="00480FB1">
      <w:pPr>
        <w:tabs>
          <w:tab w:val="left" w:pos="540"/>
          <w:tab w:val="left" w:pos="569"/>
        </w:tabs>
        <w:rPr>
          <w:b/>
          <w:bCs/>
          <w:sz w:val="22"/>
          <w:szCs w:val="22"/>
          <w:lang w:val="sr-Latn-ME"/>
        </w:rPr>
      </w:pPr>
      <w:r w:rsidRPr="00EC742F">
        <w:rPr>
          <w:b/>
          <w:bCs/>
          <w:sz w:val="22"/>
          <w:szCs w:val="22"/>
          <w:lang w:val="sr-Latn-ME"/>
        </w:rPr>
        <w:t>4.5.</w:t>
      </w:r>
      <w:r w:rsidR="000D60CC" w:rsidRPr="00EC742F">
        <w:rPr>
          <w:b/>
          <w:bCs/>
          <w:sz w:val="22"/>
          <w:szCs w:val="22"/>
          <w:lang w:val="sr-Latn-ME"/>
        </w:rPr>
        <w:tab/>
      </w:r>
      <w:r w:rsidRPr="00EC742F">
        <w:rPr>
          <w:b/>
          <w:bCs/>
          <w:sz w:val="22"/>
          <w:szCs w:val="22"/>
          <w:lang w:val="sr-Latn-ME"/>
        </w:rPr>
        <w:t>Interakcije sa drugim ljekovima i druge vrste interakcija</w:t>
      </w:r>
    </w:p>
    <w:p w:rsidR="0072020E" w:rsidRPr="00EC742F" w:rsidRDefault="0072020E" w:rsidP="00480FB1">
      <w:pPr>
        <w:tabs>
          <w:tab w:val="left" w:pos="540"/>
          <w:tab w:val="left" w:pos="569"/>
        </w:tabs>
        <w:rPr>
          <w:bCs/>
          <w:sz w:val="22"/>
          <w:szCs w:val="22"/>
          <w:lang w:val="sr-Latn-ME"/>
        </w:rPr>
      </w:pPr>
    </w:p>
    <w:p w:rsidR="001B0AA6" w:rsidRPr="00EC742F" w:rsidRDefault="008E6450" w:rsidP="001B0AA6">
      <w:pPr>
        <w:autoSpaceDE w:val="0"/>
        <w:autoSpaceDN w:val="0"/>
        <w:adjustRightInd w:val="0"/>
        <w:rPr>
          <w:i/>
          <w:iCs/>
          <w:sz w:val="22"/>
          <w:szCs w:val="22"/>
          <w:lang w:val="sr-Latn-ME"/>
        </w:rPr>
      </w:pPr>
      <w:r w:rsidRPr="00EC742F">
        <w:rPr>
          <w:i/>
          <w:iCs/>
          <w:sz w:val="22"/>
          <w:szCs w:val="22"/>
          <w:lang w:val="sr-Latn-ME"/>
        </w:rPr>
        <w:t>Interakcije sa ceftriaksonom</w:t>
      </w:r>
    </w:p>
    <w:p w:rsidR="001B0AA6" w:rsidRPr="00EC742F" w:rsidRDefault="001B0AA6" w:rsidP="001B0AA6">
      <w:pPr>
        <w:pStyle w:val="ListParagraph"/>
        <w:numPr>
          <w:ilvl w:val="0"/>
          <w:numId w:val="14"/>
        </w:numPr>
        <w:tabs>
          <w:tab w:val="clear" w:pos="284"/>
        </w:tabs>
        <w:autoSpaceDE w:val="0"/>
        <w:autoSpaceDN w:val="0"/>
        <w:adjustRightInd w:val="0"/>
        <w:rPr>
          <w:rFonts w:eastAsia="TimesNewRoman"/>
          <w:szCs w:val="22"/>
          <w:lang w:val="sr-Latn-ME"/>
        </w:rPr>
      </w:pPr>
      <w:r w:rsidRPr="00EC742F">
        <w:rPr>
          <w:rFonts w:eastAsia="TimesNewRoman"/>
          <w:szCs w:val="22"/>
          <w:lang w:val="sr-Latn-ME"/>
        </w:rPr>
        <w:t xml:space="preserve">Istovremena terapija ceftriaksonom i </w:t>
      </w:r>
      <w:r w:rsidR="004447A3" w:rsidRPr="00EC742F">
        <w:rPr>
          <w:rFonts w:eastAsia="TimesNewRoman"/>
          <w:szCs w:val="22"/>
          <w:lang w:val="sr-Latn-ME"/>
        </w:rPr>
        <w:t xml:space="preserve">lijekom </w:t>
      </w:r>
      <w:r w:rsidRPr="00EC742F">
        <w:rPr>
          <w:rFonts w:eastAsia="TimesNewRoman"/>
          <w:szCs w:val="22"/>
          <w:lang w:val="sr-Latn-ME"/>
        </w:rPr>
        <w:t>Ringerov rastvor kontraindikovana je kod prijevremeno rođene djece i novorođenčadi (do 28 dana starosti), čak i korišćenjem različitih infuzionih linija (rizik od fatalne precipitacije soli ceftriaksona i kalcijuma u krvotoku novorođenčeta) (vidjeti odjeljak 4.3).</w:t>
      </w:r>
    </w:p>
    <w:p w:rsidR="00C845DB" w:rsidRPr="00EC742F" w:rsidRDefault="001B0AA6">
      <w:pPr>
        <w:pStyle w:val="ListParagraph"/>
        <w:numPr>
          <w:ilvl w:val="0"/>
          <w:numId w:val="14"/>
        </w:numPr>
        <w:tabs>
          <w:tab w:val="clear" w:pos="284"/>
        </w:tabs>
        <w:autoSpaceDE w:val="0"/>
        <w:autoSpaceDN w:val="0"/>
        <w:adjustRightInd w:val="0"/>
        <w:rPr>
          <w:rFonts w:eastAsia="TimesNewRoman"/>
          <w:szCs w:val="22"/>
          <w:lang w:val="sr-Latn-ME"/>
        </w:rPr>
      </w:pPr>
      <w:r w:rsidRPr="00EC742F">
        <w:rPr>
          <w:rFonts w:eastAsia="TimesNewRoman"/>
          <w:szCs w:val="22"/>
          <w:lang w:val="sr-Latn-ME"/>
        </w:rPr>
        <w:t>Kod pacijenata starijih od 28 dana (uključujući odrasle), ceftriakson se ne smije istovremeno</w:t>
      </w:r>
      <w:r w:rsidR="00B13ACF" w:rsidRPr="00EC742F">
        <w:rPr>
          <w:rFonts w:eastAsia="TimesNewRoman"/>
          <w:szCs w:val="22"/>
          <w:lang w:val="sr-Latn-ME"/>
        </w:rPr>
        <w:t xml:space="preserve"> </w:t>
      </w:r>
      <w:r w:rsidRPr="00EC742F">
        <w:rPr>
          <w:rFonts w:eastAsia="TimesNewRoman"/>
          <w:szCs w:val="22"/>
          <w:lang w:val="sr-Latn-ME"/>
        </w:rPr>
        <w:t xml:space="preserve">primjenjivati sa intravenskim rastvorima koji sadrže kalcijum, uključujući </w:t>
      </w:r>
      <w:r w:rsidR="004447A3" w:rsidRPr="00EC742F">
        <w:rPr>
          <w:rFonts w:eastAsia="TimesNewRoman"/>
          <w:szCs w:val="22"/>
          <w:lang w:val="sr-Latn-ME"/>
        </w:rPr>
        <w:t xml:space="preserve">lijek </w:t>
      </w:r>
      <w:r w:rsidRPr="00EC742F">
        <w:rPr>
          <w:rFonts w:eastAsia="TimesNewRoman"/>
          <w:szCs w:val="22"/>
          <w:lang w:val="sr-Latn-ME"/>
        </w:rPr>
        <w:t>Ringerov rastvor za</w:t>
      </w:r>
      <w:r w:rsidR="00B13ACF" w:rsidRPr="00EC742F">
        <w:rPr>
          <w:rFonts w:eastAsia="TimesNewRoman"/>
          <w:szCs w:val="22"/>
          <w:lang w:val="sr-Latn-ME"/>
        </w:rPr>
        <w:t xml:space="preserve"> </w:t>
      </w:r>
      <w:r w:rsidRPr="00EC742F">
        <w:rPr>
          <w:rFonts w:eastAsia="TimesNewRoman"/>
          <w:szCs w:val="22"/>
          <w:lang w:val="sr-Latn-ME"/>
        </w:rPr>
        <w:t>infuziju (vidjeti odjeljak 4.4), čak ni korišćenjem različitih infuzionih linija ili različitih mjesta davanja infuzije (vidjeti odjeljak 6.2).</w:t>
      </w:r>
    </w:p>
    <w:p w:rsidR="00111401" w:rsidRPr="00EC742F" w:rsidRDefault="00111401" w:rsidP="001B0AA6">
      <w:pPr>
        <w:autoSpaceDE w:val="0"/>
        <w:autoSpaceDN w:val="0"/>
        <w:adjustRightInd w:val="0"/>
        <w:rPr>
          <w:rFonts w:eastAsia="TimesNewRoman"/>
          <w:sz w:val="22"/>
          <w:szCs w:val="22"/>
          <w:lang w:val="sr-Latn-ME"/>
        </w:rPr>
      </w:pPr>
    </w:p>
    <w:p w:rsidR="001B0AA6" w:rsidRPr="00EC742F" w:rsidRDefault="008E6450" w:rsidP="001B0AA6">
      <w:pPr>
        <w:autoSpaceDE w:val="0"/>
        <w:autoSpaceDN w:val="0"/>
        <w:adjustRightInd w:val="0"/>
        <w:rPr>
          <w:i/>
          <w:iCs/>
          <w:sz w:val="22"/>
          <w:szCs w:val="22"/>
          <w:lang w:val="sr-Latn-ME"/>
        </w:rPr>
      </w:pPr>
      <w:r w:rsidRPr="00EC742F">
        <w:rPr>
          <w:i/>
          <w:iCs/>
          <w:sz w:val="22"/>
          <w:szCs w:val="22"/>
          <w:lang w:val="sr-Latn-ME"/>
        </w:rPr>
        <w:t>Interakcije usl</w:t>
      </w:r>
      <w:r w:rsidR="00B13ACF" w:rsidRPr="00EC742F">
        <w:rPr>
          <w:i/>
          <w:iCs/>
          <w:sz w:val="22"/>
          <w:szCs w:val="22"/>
          <w:lang w:val="sr-Latn-ME"/>
        </w:rPr>
        <w:t>j</w:t>
      </w:r>
      <w:r w:rsidRPr="00EC742F">
        <w:rPr>
          <w:i/>
          <w:iCs/>
          <w:sz w:val="22"/>
          <w:szCs w:val="22"/>
          <w:lang w:val="sr-Latn-ME"/>
        </w:rPr>
        <w:t>ed prisustva natrijuma u rastvoru:</w:t>
      </w:r>
    </w:p>
    <w:p w:rsidR="001B0AA6" w:rsidRPr="00EC742F" w:rsidRDefault="001B0AA6" w:rsidP="00111401">
      <w:pPr>
        <w:pStyle w:val="ListParagraph"/>
        <w:numPr>
          <w:ilvl w:val="0"/>
          <w:numId w:val="14"/>
        </w:numPr>
        <w:tabs>
          <w:tab w:val="clear" w:pos="284"/>
        </w:tabs>
        <w:autoSpaceDE w:val="0"/>
        <w:autoSpaceDN w:val="0"/>
        <w:adjustRightInd w:val="0"/>
        <w:rPr>
          <w:rFonts w:eastAsia="TimesNewRoman"/>
          <w:szCs w:val="22"/>
          <w:lang w:val="sr-Latn-ME"/>
        </w:rPr>
      </w:pPr>
      <w:r w:rsidRPr="00EC742F">
        <w:rPr>
          <w:rFonts w:eastAsia="TimesNewRoman"/>
          <w:szCs w:val="22"/>
          <w:lang w:val="sr-Latn-ME"/>
        </w:rPr>
        <w:t xml:space="preserve">Kortikosteroidi i karbenoksolon koji dovode do retencije natrijuma i vode (sa edemima </w:t>
      </w:r>
      <w:r w:rsidR="00111401" w:rsidRPr="00EC742F">
        <w:rPr>
          <w:rFonts w:eastAsia="TimesNewRoman"/>
          <w:szCs w:val="22"/>
          <w:lang w:val="sr-Latn-ME"/>
        </w:rPr>
        <w:t xml:space="preserve">i </w:t>
      </w:r>
      <w:r w:rsidRPr="00EC742F">
        <w:rPr>
          <w:rFonts w:eastAsia="TimesNewRoman"/>
          <w:szCs w:val="22"/>
          <w:lang w:val="sr-Latn-ME"/>
        </w:rPr>
        <w:t>hipertenzijom).</w:t>
      </w:r>
    </w:p>
    <w:p w:rsidR="001B0AA6" w:rsidRPr="00EC742F" w:rsidRDefault="001B0AA6" w:rsidP="001B0AA6">
      <w:pPr>
        <w:autoSpaceDE w:val="0"/>
        <w:autoSpaceDN w:val="0"/>
        <w:adjustRightInd w:val="0"/>
        <w:rPr>
          <w:i/>
          <w:iCs/>
          <w:sz w:val="22"/>
          <w:szCs w:val="22"/>
          <w:lang w:val="sr-Latn-ME"/>
        </w:rPr>
      </w:pPr>
    </w:p>
    <w:p w:rsidR="001B0AA6" w:rsidRPr="00EC742F" w:rsidRDefault="008E6450" w:rsidP="001B0AA6">
      <w:pPr>
        <w:autoSpaceDE w:val="0"/>
        <w:autoSpaceDN w:val="0"/>
        <w:adjustRightInd w:val="0"/>
        <w:rPr>
          <w:i/>
          <w:iCs/>
          <w:sz w:val="22"/>
          <w:szCs w:val="22"/>
          <w:lang w:val="sr-Latn-ME"/>
        </w:rPr>
      </w:pPr>
      <w:r w:rsidRPr="00EC742F">
        <w:rPr>
          <w:i/>
          <w:iCs/>
          <w:sz w:val="22"/>
          <w:szCs w:val="22"/>
          <w:lang w:val="sr-Latn-ME"/>
        </w:rPr>
        <w:t>Interakcije usl</w:t>
      </w:r>
      <w:r w:rsidR="00B13ACF" w:rsidRPr="00EC742F">
        <w:rPr>
          <w:i/>
          <w:iCs/>
          <w:sz w:val="22"/>
          <w:szCs w:val="22"/>
          <w:lang w:val="sr-Latn-ME"/>
        </w:rPr>
        <w:t>j</w:t>
      </w:r>
      <w:r w:rsidRPr="00EC742F">
        <w:rPr>
          <w:i/>
          <w:iCs/>
          <w:sz w:val="22"/>
          <w:szCs w:val="22"/>
          <w:lang w:val="sr-Latn-ME"/>
        </w:rPr>
        <w:t>ed prisustva kalijuma u rastvoru:</w:t>
      </w:r>
    </w:p>
    <w:p w:rsidR="001B0AA6" w:rsidRPr="00EC742F" w:rsidRDefault="001B0AA6" w:rsidP="001B0AA6">
      <w:pPr>
        <w:pStyle w:val="ListParagraph"/>
        <w:numPr>
          <w:ilvl w:val="0"/>
          <w:numId w:val="14"/>
        </w:numPr>
        <w:tabs>
          <w:tab w:val="clear" w:pos="284"/>
        </w:tabs>
        <w:autoSpaceDE w:val="0"/>
        <w:autoSpaceDN w:val="0"/>
        <w:adjustRightInd w:val="0"/>
        <w:rPr>
          <w:rFonts w:eastAsia="TimesNewRoman"/>
          <w:szCs w:val="22"/>
          <w:lang w:val="sr-Latn-ME"/>
        </w:rPr>
      </w:pPr>
      <w:r w:rsidRPr="00EC742F">
        <w:rPr>
          <w:rFonts w:eastAsia="TimesNewRoman"/>
          <w:szCs w:val="22"/>
          <w:lang w:val="sr-Latn-ME"/>
        </w:rPr>
        <w:t>Diuretici koji štede  kalijum (npr. amilorid, spironolakton i triamteren, sami ili u kombinaciji),</w:t>
      </w:r>
    </w:p>
    <w:p w:rsidR="001B0AA6" w:rsidRPr="00EC742F" w:rsidRDefault="001B0AA6" w:rsidP="001B0AA6">
      <w:pPr>
        <w:pStyle w:val="ListParagraph"/>
        <w:numPr>
          <w:ilvl w:val="0"/>
          <w:numId w:val="14"/>
        </w:numPr>
        <w:tabs>
          <w:tab w:val="clear" w:pos="284"/>
        </w:tabs>
        <w:autoSpaceDE w:val="0"/>
        <w:autoSpaceDN w:val="0"/>
        <w:adjustRightInd w:val="0"/>
        <w:rPr>
          <w:rFonts w:eastAsia="TimesNewRoman"/>
          <w:szCs w:val="22"/>
          <w:lang w:val="sr-Latn-ME"/>
        </w:rPr>
      </w:pPr>
      <w:r w:rsidRPr="00EC742F">
        <w:rPr>
          <w:rFonts w:eastAsia="TimesNewRoman"/>
          <w:szCs w:val="22"/>
          <w:lang w:val="sr-Latn-ME"/>
        </w:rPr>
        <w:lastRenderedPageBreak/>
        <w:t>Inhibitori angiotenzin konvertujućeg enzima (ACE inhibitori), kao i ekstrapolacijom uključeni antagonisti receptora angiotenzina II,</w:t>
      </w:r>
    </w:p>
    <w:p w:rsidR="001B0AA6" w:rsidRPr="00EC742F" w:rsidRDefault="001B0AA6" w:rsidP="001B0AA6">
      <w:pPr>
        <w:pStyle w:val="ListParagraph"/>
        <w:numPr>
          <w:ilvl w:val="0"/>
          <w:numId w:val="14"/>
        </w:numPr>
        <w:tabs>
          <w:tab w:val="clear" w:pos="284"/>
        </w:tabs>
        <w:autoSpaceDE w:val="0"/>
        <w:autoSpaceDN w:val="0"/>
        <w:adjustRightInd w:val="0"/>
        <w:rPr>
          <w:rFonts w:eastAsia="TimesNewRoman"/>
          <w:szCs w:val="22"/>
          <w:lang w:val="sr-Latn-ME"/>
        </w:rPr>
      </w:pPr>
      <w:r w:rsidRPr="00EC742F">
        <w:rPr>
          <w:rFonts w:eastAsia="TimesNewRoman"/>
          <w:szCs w:val="22"/>
          <w:lang w:val="sr-Latn-ME"/>
        </w:rPr>
        <w:t>Takrolimus, ciklosporin.</w:t>
      </w:r>
    </w:p>
    <w:p w:rsidR="001B0AA6" w:rsidRPr="00EC742F" w:rsidRDefault="001B0AA6" w:rsidP="001B0AA6">
      <w:pPr>
        <w:autoSpaceDE w:val="0"/>
        <w:autoSpaceDN w:val="0"/>
        <w:adjustRightInd w:val="0"/>
        <w:rPr>
          <w:rFonts w:eastAsia="TimesNewRoman"/>
          <w:sz w:val="22"/>
          <w:szCs w:val="22"/>
          <w:lang w:val="sr-Latn-ME"/>
        </w:rPr>
      </w:pPr>
    </w:p>
    <w:p w:rsidR="001B0AA6" w:rsidRPr="00EC742F" w:rsidRDefault="001B0AA6" w:rsidP="00D65A27">
      <w:pPr>
        <w:autoSpaceDE w:val="0"/>
        <w:autoSpaceDN w:val="0"/>
        <w:adjustRightInd w:val="0"/>
        <w:jc w:val="both"/>
        <w:rPr>
          <w:rFonts w:eastAsia="TimesNewRoman"/>
          <w:sz w:val="22"/>
          <w:szCs w:val="22"/>
          <w:lang w:val="sr-Latn-ME"/>
        </w:rPr>
      </w:pPr>
      <w:r w:rsidRPr="00EC742F">
        <w:rPr>
          <w:rFonts w:eastAsia="TimesNewRoman"/>
          <w:sz w:val="22"/>
          <w:szCs w:val="22"/>
          <w:lang w:val="sr-Latn-ME"/>
        </w:rPr>
        <w:t>Svi ovi l</w:t>
      </w:r>
      <w:r w:rsidR="00B13ACF" w:rsidRPr="00EC742F">
        <w:rPr>
          <w:rFonts w:eastAsia="TimesNewRoman"/>
          <w:sz w:val="22"/>
          <w:szCs w:val="22"/>
          <w:lang w:val="sr-Latn-ME"/>
        </w:rPr>
        <w:t>j</w:t>
      </w:r>
      <w:r w:rsidRPr="00EC742F">
        <w:rPr>
          <w:rFonts w:eastAsia="TimesNewRoman"/>
          <w:sz w:val="22"/>
          <w:szCs w:val="22"/>
          <w:lang w:val="sr-Latn-ME"/>
        </w:rPr>
        <w:t>ekovi dovode do povećanja koncentracije kalijuma u plazmi i mogu izazvati potencijalno fatalnu</w:t>
      </w:r>
      <w:r w:rsidR="00D65A27" w:rsidRPr="00EC742F">
        <w:rPr>
          <w:rFonts w:eastAsia="TimesNewRoman"/>
          <w:sz w:val="22"/>
          <w:szCs w:val="22"/>
          <w:lang w:val="sr-Latn-ME"/>
        </w:rPr>
        <w:t xml:space="preserve"> </w:t>
      </w:r>
      <w:r w:rsidRPr="00EC742F">
        <w:rPr>
          <w:rFonts w:eastAsia="TimesNewRoman"/>
          <w:sz w:val="22"/>
          <w:szCs w:val="22"/>
          <w:lang w:val="sr-Latn-ME"/>
        </w:rPr>
        <w:t>hiperkal</w:t>
      </w:r>
      <w:r w:rsidR="00B13ACF" w:rsidRPr="00EC742F">
        <w:rPr>
          <w:rFonts w:eastAsia="TimesNewRoman"/>
          <w:sz w:val="22"/>
          <w:szCs w:val="22"/>
          <w:lang w:val="sr-Latn-ME"/>
        </w:rPr>
        <w:t>ij</w:t>
      </w:r>
      <w:r w:rsidRPr="00EC742F">
        <w:rPr>
          <w:rFonts w:eastAsia="TimesNewRoman"/>
          <w:sz w:val="22"/>
          <w:szCs w:val="22"/>
          <w:lang w:val="sr-Latn-ME"/>
        </w:rPr>
        <w:t xml:space="preserve">emiju, naročito u slučajevima </w:t>
      </w:r>
      <w:r w:rsidRPr="00EC742F">
        <w:rPr>
          <w:sz w:val="22"/>
          <w:szCs w:val="22"/>
          <w:lang w:val="sr-Latn-ME"/>
        </w:rPr>
        <w:t>pojačanog hiperkal</w:t>
      </w:r>
      <w:r w:rsidR="00B13ACF" w:rsidRPr="00EC742F">
        <w:rPr>
          <w:sz w:val="22"/>
          <w:szCs w:val="22"/>
          <w:lang w:val="sr-Latn-ME"/>
        </w:rPr>
        <w:t>ij</w:t>
      </w:r>
      <w:r w:rsidRPr="00EC742F">
        <w:rPr>
          <w:sz w:val="22"/>
          <w:szCs w:val="22"/>
          <w:lang w:val="sr-Latn-ME"/>
        </w:rPr>
        <w:t>emijskog efekta kao posl</w:t>
      </w:r>
      <w:r w:rsidR="00B13ACF" w:rsidRPr="00EC742F">
        <w:rPr>
          <w:sz w:val="22"/>
          <w:szCs w:val="22"/>
          <w:lang w:val="sr-Latn-ME"/>
        </w:rPr>
        <w:t>j</w:t>
      </w:r>
      <w:r w:rsidRPr="00EC742F">
        <w:rPr>
          <w:sz w:val="22"/>
          <w:szCs w:val="22"/>
          <w:lang w:val="sr-Latn-ME"/>
        </w:rPr>
        <w:t>edice insuficijencije bubrega.</w:t>
      </w:r>
    </w:p>
    <w:p w:rsidR="001B0AA6" w:rsidRPr="00EC742F" w:rsidRDefault="001B0AA6" w:rsidP="001B0AA6">
      <w:pPr>
        <w:autoSpaceDE w:val="0"/>
        <w:autoSpaceDN w:val="0"/>
        <w:adjustRightInd w:val="0"/>
        <w:rPr>
          <w:i/>
          <w:iCs/>
          <w:sz w:val="22"/>
          <w:szCs w:val="22"/>
          <w:lang w:val="sr-Latn-ME"/>
        </w:rPr>
      </w:pPr>
    </w:p>
    <w:p w:rsidR="001B0AA6" w:rsidRPr="00EC742F" w:rsidRDefault="001B0AA6" w:rsidP="00EF190D">
      <w:pPr>
        <w:autoSpaceDE w:val="0"/>
        <w:autoSpaceDN w:val="0"/>
        <w:adjustRightInd w:val="0"/>
        <w:jc w:val="both"/>
        <w:rPr>
          <w:i/>
          <w:iCs/>
          <w:sz w:val="22"/>
          <w:szCs w:val="22"/>
          <w:lang w:val="sr-Latn-ME"/>
        </w:rPr>
      </w:pPr>
      <w:r w:rsidRPr="00EC742F">
        <w:rPr>
          <w:i/>
          <w:iCs/>
          <w:sz w:val="22"/>
          <w:szCs w:val="22"/>
          <w:lang w:val="sr-Latn-ME"/>
        </w:rPr>
        <w:t>Interakcije usl</w:t>
      </w:r>
      <w:r w:rsidR="00B13ACF" w:rsidRPr="00EC742F">
        <w:rPr>
          <w:i/>
          <w:iCs/>
          <w:sz w:val="22"/>
          <w:szCs w:val="22"/>
          <w:lang w:val="sr-Latn-ME"/>
        </w:rPr>
        <w:t>j</w:t>
      </w:r>
      <w:r w:rsidRPr="00EC742F">
        <w:rPr>
          <w:i/>
          <w:iCs/>
          <w:sz w:val="22"/>
          <w:szCs w:val="22"/>
          <w:lang w:val="sr-Latn-ME"/>
        </w:rPr>
        <w:t>ed prisustva kalcijuma u rastvoru:</w:t>
      </w:r>
    </w:p>
    <w:p w:rsidR="001B0AA6" w:rsidRPr="00EC742F" w:rsidRDefault="001B0AA6" w:rsidP="00EF190D">
      <w:pPr>
        <w:pStyle w:val="ListParagraph"/>
        <w:numPr>
          <w:ilvl w:val="0"/>
          <w:numId w:val="15"/>
        </w:numPr>
        <w:tabs>
          <w:tab w:val="clear" w:pos="284"/>
        </w:tabs>
        <w:autoSpaceDE w:val="0"/>
        <w:autoSpaceDN w:val="0"/>
        <w:adjustRightInd w:val="0"/>
        <w:rPr>
          <w:rFonts w:eastAsia="TimesNewRoman"/>
          <w:szCs w:val="22"/>
          <w:lang w:val="sr-Latn-ME"/>
        </w:rPr>
      </w:pPr>
      <w:r w:rsidRPr="00EC742F">
        <w:rPr>
          <w:rFonts w:eastAsia="TimesNewRoman"/>
          <w:szCs w:val="22"/>
          <w:lang w:val="sr-Latn-ME"/>
        </w:rPr>
        <w:t>Glikozidi digitalisa (tj. kardiotonični glikozidi) čija su dejstva pojačana u prisustvu kalcijuma i mogu izazvati ozbiljne ili fatalne aritmije srca.</w:t>
      </w:r>
    </w:p>
    <w:p w:rsidR="001B0AA6" w:rsidRPr="00EC742F" w:rsidRDefault="001B0AA6" w:rsidP="00EF190D">
      <w:pPr>
        <w:pStyle w:val="ListParagraph"/>
        <w:numPr>
          <w:ilvl w:val="0"/>
          <w:numId w:val="15"/>
        </w:numPr>
        <w:tabs>
          <w:tab w:val="clear" w:pos="284"/>
        </w:tabs>
        <w:autoSpaceDE w:val="0"/>
        <w:autoSpaceDN w:val="0"/>
        <w:adjustRightInd w:val="0"/>
        <w:rPr>
          <w:rFonts w:eastAsia="TimesNewRoman"/>
          <w:szCs w:val="22"/>
          <w:lang w:val="sr-Latn-ME"/>
        </w:rPr>
      </w:pPr>
      <w:r w:rsidRPr="00EC742F">
        <w:rPr>
          <w:rFonts w:eastAsia="TimesNewRoman"/>
          <w:szCs w:val="22"/>
          <w:lang w:val="sr-Latn-ME"/>
        </w:rPr>
        <w:t>Tiazidni diuretici ili vitamin D koji mogu izazvati hiperkalc</w:t>
      </w:r>
      <w:r w:rsidR="00B13ACF" w:rsidRPr="00EC742F">
        <w:rPr>
          <w:rFonts w:eastAsia="TimesNewRoman"/>
          <w:szCs w:val="22"/>
          <w:lang w:val="sr-Latn-ME"/>
        </w:rPr>
        <w:t>ij</w:t>
      </w:r>
      <w:r w:rsidRPr="00EC742F">
        <w:rPr>
          <w:rFonts w:eastAsia="TimesNewRoman"/>
          <w:szCs w:val="22"/>
          <w:lang w:val="sr-Latn-ME"/>
        </w:rPr>
        <w:t>emiju kada se prim</w:t>
      </w:r>
      <w:r w:rsidR="00B13ACF" w:rsidRPr="00EC742F">
        <w:rPr>
          <w:rFonts w:eastAsia="TimesNewRoman"/>
          <w:szCs w:val="22"/>
          <w:lang w:val="sr-Latn-ME"/>
        </w:rPr>
        <w:t>i</w:t>
      </w:r>
      <w:r w:rsidR="0021337F" w:rsidRPr="00EC742F">
        <w:rPr>
          <w:rFonts w:eastAsia="TimesNewRoman"/>
          <w:szCs w:val="22"/>
          <w:lang w:val="sr-Latn-ME"/>
        </w:rPr>
        <w:t>j</w:t>
      </w:r>
      <w:r w:rsidRPr="00EC742F">
        <w:rPr>
          <w:rFonts w:eastAsia="TimesNewRoman"/>
          <w:szCs w:val="22"/>
          <w:lang w:val="sr-Latn-ME"/>
        </w:rPr>
        <w:t>ene istovremeno sa</w:t>
      </w:r>
      <w:r w:rsidR="0021337F" w:rsidRPr="00EC742F">
        <w:rPr>
          <w:rFonts w:eastAsia="TimesNewRoman"/>
          <w:szCs w:val="22"/>
          <w:lang w:val="sr-Latn-ME"/>
        </w:rPr>
        <w:t xml:space="preserve"> </w:t>
      </w:r>
      <w:r w:rsidRPr="00EC742F">
        <w:rPr>
          <w:rFonts w:eastAsia="TimesNewRoman"/>
          <w:szCs w:val="22"/>
          <w:lang w:val="sr-Latn-ME"/>
        </w:rPr>
        <w:t>kalcijumom.</w:t>
      </w:r>
    </w:p>
    <w:p w:rsidR="001B0AA6" w:rsidRPr="00EC742F" w:rsidRDefault="001B0AA6" w:rsidP="00EF190D">
      <w:pPr>
        <w:pStyle w:val="Header"/>
        <w:tabs>
          <w:tab w:val="left" w:pos="284"/>
        </w:tabs>
        <w:spacing w:before="80" w:after="80"/>
        <w:jc w:val="both"/>
        <w:rPr>
          <w:rFonts w:eastAsia="TimesNewRoman"/>
          <w:sz w:val="22"/>
          <w:szCs w:val="22"/>
          <w:lang w:val="sr-Latn-ME"/>
        </w:rPr>
      </w:pPr>
      <w:r w:rsidRPr="00EC742F">
        <w:rPr>
          <w:rFonts w:eastAsia="TimesNewRoman"/>
          <w:sz w:val="22"/>
          <w:szCs w:val="22"/>
          <w:lang w:val="sr-Latn-ME"/>
        </w:rPr>
        <w:t>Za informacije o inkompatibilijama između l</w:t>
      </w:r>
      <w:r w:rsidR="0021337F" w:rsidRPr="00EC742F">
        <w:rPr>
          <w:rFonts w:eastAsia="TimesNewRoman"/>
          <w:sz w:val="22"/>
          <w:szCs w:val="22"/>
          <w:lang w:val="sr-Latn-ME"/>
        </w:rPr>
        <w:t>ij</w:t>
      </w:r>
      <w:r w:rsidRPr="00EC742F">
        <w:rPr>
          <w:rFonts w:eastAsia="TimesNewRoman"/>
          <w:sz w:val="22"/>
          <w:szCs w:val="22"/>
          <w:lang w:val="sr-Latn-ME"/>
        </w:rPr>
        <w:t>eka Ringerov rastvor B. Braun i drugih l</w:t>
      </w:r>
      <w:r w:rsidR="0021337F" w:rsidRPr="00EC742F">
        <w:rPr>
          <w:rFonts w:eastAsia="TimesNewRoman"/>
          <w:sz w:val="22"/>
          <w:szCs w:val="22"/>
          <w:lang w:val="sr-Latn-ME"/>
        </w:rPr>
        <w:t>j</w:t>
      </w:r>
      <w:r w:rsidRPr="00EC742F">
        <w:rPr>
          <w:rFonts w:eastAsia="TimesNewRoman"/>
          <w:sz w:val="22"/>
          <w:szCs w:val="22"/>
          <w:lang w:val="sr-Latn-ME"/>
        </w:rPr>
        <w:t>ekova, vid</w:t>
      </w:r>
      <w:r w:rsidR="0021337F" w:rsidRPr="00EC742F">
        <w:rPr>
          <w:rFonts w:eastAsia="TimesNewRoman"/>
          <w:sz w:val="22"/>
          <w:szCs w:val="22"/>
          <w:lang w:val="sr-Latn-ME"/>
        </w:rPr>
        <w:t>j</w:t>
      </w:r>
      <w:r w:rsidRPr="00EC742F">
        <w:rPr>
          <w:rFonts w:eastAsia="TimesNewRoman"/>
          <w:sz w:val="22"/>
          <w:szCs w:val="22"/>
          <w:lang w:val="sr-Latn-ME"/>
        </w:rPr>
        <w:t>eti od</w:t>
      </w:r>
      <w:r w:rsidR="0021337F" w:rsidRPr="00EC742F">
        <w:rPr>
          <w:rFonts w:eastAsia="TimesNewRoman"/>
          <w:sz w:val="22"/>
          <w:szCs w:val="22"/>
          <w:lang w:val="sr-Latn-ME"/>
        </w:rPr>
        <w:t>j</w:t>
      </w:r>
      <w:r w:rsidRPr="00EC742F">
        <w:rPr>
          <w:rFonts w:eastAsia="TimesNewRoman"/>
          <w:sz w:val="22"/>
          <w:szCs w:val="22"/>
          <w:lang w:val="sr-Latn-ME"/>
        </w:rPr>
        <w:t>eljak 6.2.</w:t>
      </w:r>
    </w:p>
    <w:p w:rsidR="001B0AA6" w:rsidRPr="00EC742F" w:rsidRDefault="001B0AA6" w:rsidP="00480FB1">
      <w:pPr>
        <w:tabs>
          <w:tab w:val="left" w:pos="540"/>
          <w:tab w:val="left" w:pos="569"/>
        </w:tabs>
        <w:rPr>
          <w:b/>
          <w:bCs/>
          <w:sz w:val="22"/>
          <w:szCs w:val="22"/>
          <w:lang w:val="sr-Latn-ME"/>
        </w:rPr>
      </w:pPr>
    </w:p>
    <w:p w:rsidR="0072020E" w:rsidRPr="00EC742F" w:rsidRDefault="0072020E" w:rsidP="00480FB1">
      <w:pPr>
        <w:tabs>
          <w:tab w:val="left" w:pos="540"/>
          <w:tab w:val="left" w:pos="569"/>
        </w:tabs>
        <w:rPr>
          <w:b/>
          <w:sz w:val="22"/>
          <w:szCs w:val="22"/>
          <w:lang w:val="sr-Latn-ME"/>
        </w:rPr>
      </w:pPr>
      <w:r w:rsidRPr="00EC742F">
        <w:rPr>
          <w:b/>
          <w:bCs/>
          <w:sz w:val="22"/>
          <w:szCs w:val="22"/>
          <w:lang w:val="sr-Latn-ME"/>
        </w:rPr>
        <w:t xml:space="preserve">4.6. </w:t>
      </w:r>
      <w:r w:rsidR="00480FB1" w:rsidRPr="00EC742F">
        <w:rPr>
          <w:b/>
          <w:bCs/>
          <w:sz w:val="22"/>
          <w:szCs w:val="22"/>
          <w:lang w:val="sr-Latn-ME"/>
        </w:rPr>
        <w:tab/>
      </w:r>
      <w:r w:rsidR="006D20A5" w:rsidRPr="00EC742F">
        <w:rPr>
          <w:b/>
          <w:sz w:val="22"/>
          <w:szCs w:val="22"/>
          <w:lang w:val="sr-Latn-ME"/>
        </w:rPr>
        <w:t>Plodnost, trudnoća i dojenje</w:t>
      </w:r>
    </w:p>
    <w:p w:rsidR="002031B3" w:rsidRPr="00EC742F" w:rsidRDefault="002031B3" w:rsidP="00480FB1">
      <w:pPr>
        <w:tabs>
          <w:tab w:val="left" w:pos="540"/>
          <w:tab w:val="left" w:pos="569"/>
        </w:tabs>
        <w:rPr>
          <w:sz w:val="22"/>
          <w:szCs w:val="22"/>
          <w:u w:val="single"/>
          <w:lang w:val="sr-Latn-ME"/>
        </w:rPr>
      </w:pPr>
    </w:p>
    <w:p w:rsidR="00743B52" w:rsidRPr="00EC742F" w:rsidRDefault="004447A3" w:rsidP="00743B52">
      <w:pPr>
        <w:autoSpaceDE w:val="0"/>
        <w:autoSpaceDN w:val="0"/>
        <w:adjustRightInd w:val="0"/>
        <w:jc w:val="both"/>
        <w:rPr>
          <w:rFonts w:eastAsia="TimesNewRoman"/>
          <w:sz w:val="22"/>
          <w:szCs w:val="22"/>
          <w:lang w:val="sr-Latn-ME"/>
        </w:rPr>
      </w:pPr>
      <w:r w:rsidRPr="00EC742F">
        <w:rPr>
          <w:rFonts w:eastAsia="TimesNewRoman"/>
          <w:sz w:val="22"/>
          <w:szCs w:val="22"/>
          <w:lang w:val="sr-Latn-ME"/>
        </w:rPr>
        <w:t xml:space="preserve">Lijek </w:t>
      </w:r>
      <w:r w:rsidR="00743B52" w:rsidRPr="00EC742F">
        <w:rPr>
          <w:rFonts w:eastAsia="TimesNewRoman"/>
          <w:sz w:val="22"/>
          <w:szCs w:val="22"/>
          <w:lang w:val="sr-Latn-ME"/>
        </w:rPr>
        <w:t>Ringerov rastvor za infuziju može se bezbjedno primjenjivati tokom trudnoće i u periodu dojenja</w:t>
      </w:r>
      <w:r w:rsidR="00B13ACF" w:rsidRPr="00EC742F">
        <w:rPr>
          <w:rFonts w:eastAsia="TimesNewRoman"/>
          <w:sz w:val="22"/>
          <w:szCs w:val="22"/>
          <w:lang w:val="sr-Latn-ME"/>
        </w:rPr>
        <w:t>,</w:t>
      </w:r>
      <w:r w:rsidR="00743B52" w:rsidRPr="00EC742F">
        <w:rPr>
          <w:rFonts w:eastAsia="TimesNewRoman"/>
          <w:sz w:val="22"/>
          <w:szCs w:val="22"/>
          <w:lang w:val="sr-Latn-ME"/>
        </w:rPr>
        <w:t xml:space="preserve"> sve dok se kontroliše balans elektrolita i tečnosti.</w:t>
      </w:r>
    </w:p>
    <w:p w:rsidR="00743B52" w:rsidRPr="00EC742F" w:rsidRDefault="00743B52" w:rsidP="00743B52">
      <w:pPr>
        <w:autoSpaceDE w:val="0"/>
        <w:autoSpaceDN w:val="0"/>
        <w:adjustRightInd w:val="0"/>
        <w:jc w:val="both"/>
        <w:rPr>
          <w:rFonts w:eastAsia="TimesNewRoman"/>
          <w:sz w:val="22"/>
          <w:szCs w:val="22"/>
          <w:lang w:val="sr-Latn-ME"/>
        </w:rPr>
      </w:pPr>
    </w:p>
    <w:p w:rsidR="00227BDB" w:rsidRPr="00EC742F" w:rsidRDefault="00743B52" w:rsidP="002133BD">
      <w:pPr>
        <w:autoSpaceDE w:val="0"/>
        <w:autoSpaceDN w:val="0"/>
        <w:adjustRightInd w:val="0"/>
        <w:jc w:val="both"/>
        <w:rPr>
          <w:rFonts w:eastAsia="TimesNewRoman"/>
          <w:sz w:val="22"/>
          <w:szCs w:val="22"/>
          <w:lang w:val="sr-Latn-ME"/>
        </w:rPr>
      </w:pPr>
      <w:r w:rsidRPr="00EC742F">
        <w:rPr>
          <w:rFonts w:eastAsia="TimesNewRoman"/>
          <w:sz w:val="22"/>
          <w:szCs w:val="22"/>
          <w:lang w:val="sr-Latn-ME"/>
        </w:rPr>
        <w:t>Kada se u ovaj rastvor doda neki lijek/supstanca, priroda dodatog lijeka/supstance i njegova primjena u</w:t>
      </w:r>
      <w:r w:rsidR="002133BD" w:rsidRPr="00EC742F">
        <w:rPr>
          <w:rFonts w:eastAsia="TimesNewRoman"/>
          <w:sz w:val="22"/>
          <w:szCs w:val="22"/>
          <w:lang w:val="sr-Latn-ME"/>
        </w:rPr>
        <w:t xml:space="preserve"> </w:t>
      </w:r>
      <w:r w:rsidRPr="00EC742F">
        <w:rPr>
          <w:rFonts w:eastAsia="TimesNewRoman"/>
          <w:sz w:val="22"/>
          <w:szCs w:val="22"/>
          <w:lang w:val="sr-Latn-ME"/>
        </w:rPr>
        <w:t>trudnoći i tokom dojenja moraju se odvojeno razmotriti</w:t>
      </w:r>
    </w:p>
    <w:p w:rsidR="008D2D83" w:rsidRPr="00EC742F" w:rsidRDefault="008D2D83" w:rsidP="00396DFD">
      <w:pPr>
        <w:tabs>
          <w:tab w:val="left" w:pos="540"/>
          <w:tab w:val="left" w:pos="569"/>
        </w:tabs>
        <w:ind w:left="540" w:hanging="540"/>
        <w:rPr>
          <w:b/>
          <w:bCs/>
          <w:sz w:val="22"/>
          <w:szCs w:val="22"/>
          <w:lang w:val="sr-Latn-ME"/>
        </w:rPr>
      </w:pPr>
    </w:p>
    <w:p w:rsidR="0072020E" w:rsidRPr="00EC742F" w:rsidRDefault="0072020E" w:rsidP="00396DFD">
      <w:pPr>
        <w:tabs>
          <w:tab w:val="left" w:pos="540"/>
          <w:tab w:val="left" w:pos="569"/>
        </w:tabs>
        <w:ind w:left="540" w:hanging="540"/>
        <w:rPr>
          <w:b/>
          <w:bCs/>
          <w:sz w:val="22"/>
          <w:szCs w:val="22"/>
          <w:lang w:val="sr-Latn-ME"/>
        </w:rPr>
      </w:pPr>
      <w:r w:rsidRPr="00EC742F">
        <w:rPr>
          <w:b/>
          <w:bCs/>
          <w:sz w:val="22"/>
          <w:szCs w:val="22"/>
          <w:lang w:val="sr-Latn-ME"/>
        </w:rPr>
        <w:t xml:space="preserve">4.7. </w:t>
      </w:r>
      <w:r w:rsidR="00480FB1" w:rsidRPr="00EC742F">
        <w:rPr>
          <w:b/>
          <w:bCs/>
          <w:sz w:val="22"/>
          <w:szCs w:val="22"/>
          <w:lang w:val="sr-Latn-ME"/>
        </w:rPr>
        <w:tab/>
      </w:r>
      <w:r w:rsidRPr="00EC742F">
        <w:rPr>
          <w:b/>
          <w:bCs/>
          <w:sz w:val="22"/>
          <w:szCs w:val="22"/>
          <w:lang w:val="sr-Latn-ME"/>
        </w:rPr>
        <w:t xml:space="preserve">Uticaj na </w:t>
      </w:r>
      <w:r w:rsidR="002031B3" w:rsidRPr="00EC742F">
        <w:rPr>
          <w:b/>
          <w:bCs/>
          <w:sz w:val="22"/>
          <w:szCs w:val="22"/>
          <w:lang w:val="sr-Latn-ME"/>
        </w:rPr>
        <w:t xml:space="preserve">sposobnost </w:t>
      </w:r>
      <w:r w:rsidR="00F34554" w:rsidRPr="00EC742F">
        <w:rPr>
          <w:b/>
          <w:bCs/>
          <w:sz w:val="22"/>
          <w:szCs w:val="22"/>
          <w:lang w:val="sr-Latn-ME"/>
        </w:rPr>
        <w:t>upravljanja vozili</w:t>
      </w:r>
      <w:r w:rsidRPr="00EC742F">
        <w:rPr>
          <w:b/>
          <w:bCs/>
          <w:sz w:val="22"/>
          <w:szCs w:val="22"/>
          <w:lang w:val="sr-Latn-ME"/>
        </w:rPr>
        <w:t>m</w:t>
      </w:r>
      <w:r w:rsidR="00F34554" w:rsidRPr="00EC742F">
        <w:rPr>
          <w:b/>
          <w:bCs/>
          <w:sz w:val="22"/>
          <w:szCs w:val="22"/>
          <w:lang w:val="sr-Latn-ME"/>
        </w:rPr>
        <w:t>a</w:t>
      </w:r>
      <w:r w:rsidRPr="00EC742F">
        <w:rPr>
          <w:b/>
          <w:bCs/>
          <w:sz w:val="22"/>
          <w:szCs w:val="22"/>
          <w:lang w:val="sr-Latn-ME"/>
        </w:rPr>
        <w:t xml:space="preserve"> i </w:t>
      </w:r>
      <w:r w:rsidR="000D3449" w:rsidRPr="00EC742F">
        <w:rPr>
          <w:b/>
          <w:bCs/>
          <w:sz w:val="22"/>
          <w:szCs w:val="22"/>
          <w:lang w:val="sr-Latn-ME"/>
        </w:rPr>
        <w:t xml:space="preserve">rukovanje </w:t>
      </w:r>
      <w:r w:rsidRPr="00EC742F">
        <w:rPr>
          <w:b/>
          <w:bCs/>
          <w:sz w:val="22"/>
          <w:szCs w:val="22"/>
          <w:lang w:val="sr-Latn-ME"/>
        </w:rPr>
        <w:t>mašinama</w:t>
      </w:r>
    </w:p>
    <w:p w:rsidR="008E4605" w:rsidRPr="00EC742F" w:rsidRDefault="008E4605" w:rsidP="00396DFD">
      <w:pPr>
        <w:tabs>
          <w:tab w:val="left" w:pos="540"/>
          <w:tab w:val="left" w:pos="569"/>
        </w:tabs>
        <w:ind w:left="540" w:hanging="540"/>
        <w:rPr>
          <w:b/>
          <w:bCs/>
          <w:sz w:val="22"/>
          <w:szCs w:val="22"/>
          <w:lang w:val="sr-Latn-ME"/>
        </w:rPr>
      </w:pPr>
    </w:p>
    <w:p w:rsidR="008E4605" w:rsidRPr="00EC742F" w:rsidRDefault="008E4605" w:rsidP="008E4605">
      <w:pPr>
        <w:tabs>
          <w:tab w:val="left" w:pos="540"/>
          <w:tab w:val="left" w:pos="569"/>
        </w:tabs>
        <w:ind w:left="540" w:hanging="540"/>
        <w:jc w:val="both"/>
        <w:rPr>
          <w:bCs/>
          <w:sz w:val="22"/>
          <w:szCs w:val="22"/>
          <w:lang w:val="sr-Latn-ME"/>
        </w:rPr>
      </w:pPr>
      <w:r w:rsidRPr="00EC742F">
        <w:rPr>
          <w:bCs/>
          <w:sz w:val="22"/>
          <w:szCs w:val="22"/>
          <w:lang w:val="sr-Latn-ME"/>
        </w:rPr>
        <w:t>Ovaj uticaj nije relevantan.</w:t>
      </w:r>
    </w:p>
    <w:p w:rsidR="0072020E" w:rsidRPr="00EC742F" w:rsidRDefault="0072020E" w:rsidP="00480FB1">
      <w:pPr>
        <w:tabs>
          <w:tab w:val="left" w:pos="540"/>
          <w:tab w:val="left" w:pos="569"/>
        </w:tabs>
        <w:rPr>
          <w:b/>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4.8. </w:t>
      </w:r>
      <w:r w:rsidR="00480FB1" w:rsidRPr="00EC742F">
        <w:rPr>
          <w:b/>
          <w:bCs/>
          <w:sz w:val="22"/>
          <w:szCs w:val="22"/>
          <w:lang w:val="sr-Latn-ME"/>
        </w:rPr>
        <w:tab/>
      </w:r>
      <w:r w:rsidRPr="00EC742F">
        <w:rPr>
          <w:b/>
          <w:bCs/>
          <w:sz w:val="22"/>
          <w:szCs w:val="22"/>
          <w:lang w:val="sr-Latn-ME"/>
        </w:rPr>
        <w:t>Neželjena dejstva</w:t>
      </w:r>
    </w:p>
    <w:p w:rsidR="00830EAC" w:rsidRPr="00EC742F" w:rsidRDefault="00830EAC" w:rsidP="00480FB1">
      <w:pPr>
        <w:tabs>
          <w:tab w:val="left" w:pos="540"/>
          <w:tab w:val="left" w:pos="569"/>
        </w:tabs>
        <w:rPr>
          <w:b/>
          <w:bCs/>
          <w:sz w:val="22"/>
          <w:szCs w:val="22"/>
          <w:lang w:val="sr-Latn-ME"/>
        </w:rPr>
      </w:pPr>
    </w:p>
    <w:p w:rsidR="00830EAC" w:rsidRPr="00EC742F" w:rsidRDefault="00830EAC" w:rsidP="00830EAC">
      <w:pPr>
        <w:autoSpaceDE w:val="0"/>
        <w:autoSpaceDN w:val="0"/>
        <w:adjustRightInd w:val="0"/>
        <w:jc w:val="both"/>
        <w:rPr>
          <w:rFonts w:eastAsia="TimesNewRoman"/>
          <w:sz w:val="22"/>
          <w:szCs w:val="22"/>
          <w:lang w:val="sr-Latn-ME"/>
        </w:rPr>
      </w:pPr>
      <w:r w:rsidRPr="00EC742F">
        <w:rPr>
          <w:rFonts w:eastAsia="TimesNewRoman"/>
          <w:sz w:val="22"/>
          <w:szCs w:val="22"/>
          <w:lang w:val="sr-Latn-ME"/>
        </w:rPr>
        <w:t>Tokom primjene Ringerovog rastvora, sl</w:t>
      </w:r>
      <w:r w:rsidR="001838E1" w:rsidRPr="00EC742F">
        <w:rPr>
          <w:rFonts w:eastAsia="TimesNewRoman"/>
          <w:sz w:val="22"/>
          <w:szCs w:val="22"/>
          <w:lang w:val="sr-Latn-ME"/>
        </w:rPr>
        <w:t>j</w:t>
      </w:r>
      <w:r w:rsidRPr="00EC742F">
        <w:rPr>
          <w:rFonts w:eastAsia="TimesNewRoman"/>
          <w:sz w:val="22"/>
          <w:szCs w:val="22"/>
          <w:lang w:val="sr-Latn-ME"/>
        </w:rPr>
        <w:t>edeće neželjene reakcije su zabilježene</w:t>
      </w:r>
      <w:r w:rsidR="00F35376" w:rsidRPr="00EC742F">
        <w:rPr>
          <w:rFonts w:eastAsia="TimesNewRoman"/>
          <w:sz w:val="22"/>
          <w:szCs w:val="22"/>
          <w:lang w:val="sr-Latn-ME"/>
        </w:rPr>
        <w:t xml:space="preserve"> </w:t>
      </w:r>
      <w:r w:rsidR="00E60684" w:rsidRPr="00EC742F">
        <w:rPr>
          <w:sz w:val="22"/>
          <w:szCs w:val="22"/>
          <w:lang w:val="sr-Latn-ME"/>
        </w:rPr>
        <w:t>veoma često (≥1/10)</w:t>
      </w:r>
      <w:r w:rsidRPr="00EC742F">
        <w:rPr>
          <w:rFonts w:eastAsia="TimesNewRoman"/>
          <w:sz w:val="22"/>
          <w:szCs w:val="22"/>
          <w:lang w:val="sr-Latn-ME"/>
        </w:rPr>
        <w:t>:</w:t>
      </w:r>
    </w:p>
    <w:p w:rsidR="002133BD" w:rsidRPr="00EC742F" w:rsidRDefault="002133BD" w:rsidP="00830EAC">
      <w:pPr>
        <w:autoSpaceDE w:val="0"/>
        <w:autoSpaceDN w:val="0"/>
        <w:adjustRightInd w:val="0"/>
        <w:jc w:val="both"/>
        <w:rPr>
          <w:rFonts w:eastAsia="TimesNewRoman"/>
          <w:sz w:val="22"/>
          <w:szCs w:val="22"/>
          <w:lang w:val="sr-Latn-ME"/>
        </w:rPr>
      </w:pPr>
    </w:p>
    <w:p w:rsidR="00830EAC" w:rsidRPr="00EC742F" w:rsidRDefault="00830EAC" w:rsidP="00830EAC">
      <w:pPr>
        <w:pStyle w:val="ListParagraph"/>
        <w:numPr>
          <w:ilvl w:val="0"/>
          <w:numId w:val="15"/>
        </w:numPr>
        <w:tabs>
          <w:tab w:val="clear" w:pos="284"/>
        </w:tabs>
        <w:autoSpaceDE w:val="0"/>
        <w:autoSpaceDN w:val="0"/>
        <w:adjustRightInd w:val="0"/>
        <w:rPr>
          <w:rFonts w:eastAsia="TimesNewRoman"/>
          <w:szCs w:val="22"/>
          <w:lang w:val="sr-Latn-ME"/>
        </w:rPr>
      </w:pPr>
      <w:r w:rsidRPr="00EC742F">
        <w:rPr>
          <w:rFonts w:eastAsia="TimesNewRoman"/>
          <w:szCs w:val="22"/>
          <w:lang w:val="sr-Latn-ME"/>
        </w:rPr>
        <w:t>hiperhidratacija i insuficijencija srca kod pacijenata sa srčanim poremećajima ili plućnim edemom;</w:t>
      </w:r>
    </w:p>
    <w:p w:rsidR="00830EAC" w:rsidRPr="00EC742F" w:rsidRDefault="00830EAC" w:rsidP="00830EAC">
      <w:pPr>
        <w:pStyle w:val="ListParagraph"/>
        <w:numPr>
          <w:ilvl w:val="0"/>
          <w:numId w:val="15"/>
        </w:numPr>
        <w:tabs>
          <w:tab w:val="clear" w:pos="284"/>
        </w:tabs>
        <w:autoSpaceDE w:val="0"/>
        <w:autoSpaceDN w:val="0"/>
        <w:adjustRightInd w:val="0"/>
        <w:rPr>
          <w:rFonts w:eastAsia="TimesNewRoman"/>
          <w:szCs w:val="22"/>
          <w:lang w:val="sr-Latn-ME"/>
        </w:rPr>
      </w:pPr>
      <w:r w:rsidRPr="00EC742F">
        <w:rPr>
          <w:rFonts w:eastAsia="TimesNewRoman"/>
          <w:szCs w:val="22"/>
          <w:lang w:val="sr-Latn-ME"/>
        </w:rPr>
        <w:t>disbalans elektrolita.</w:t>
      </w:r>
    </w:p>
    <w:p w:rsidR="00830EAC" w:rsidRPr="00EC742F" w:rsidRDefault="00830EAC" w:rsidP="00830EAC">
      <w:pPr>
        <w:autoSpaceDE w:val="0"/>
        <w:autoSpaceDN w:val="0"/>
        <w:adjustRightInd w:val="0"/>
        <w:jc w:val="both"/>
        <w:rPr>
          <w:rFonts w:eastAsia="TimesNewRoman"/>
          <w:sz w:val="22"/>
          <w:szCs w:val="22"/>
          <w:lang w:val="sr-Latn-ME"/>
        </w:rPr>
      </w:pPr>
    </w:p>
    <w:p w:rsidR="00830EAC" w:rsidRPr="00EC742F" w:rsidRDefault="00830EAC" w:rsidP="00830EAC">
      <w:pPr>
        <w:autoSpaceDE w:val="0"/>
        <w:autoSpaceDN w:val="0"/>
        <w:adjustRightInd w:val="0"/>
        <w:jc w:val="both"/>
        <w:rPr>
          <w:rFonts w:eastAsia="TimesNewRoman"/>
          <w:sz w:val="22"/>
          <w:szCs w:val="22"/>
          <w:lang w:val="sr-Latn-ME"/>
        </w:rPr>
      </w:pPr>
      <w:r w:rsidRPr="00EC742F">
        <w:rPr>
          <w:rFonts w:eastAsia="TimesNewRoman"/>
          <w:sz w:val="22"/>
          <w:szCs w:val="22"/>
          <w:lang w:val="sr-Latn-ME"/>
        </w:rPr>
        <w:t>Neželjene reakcije mogu biti posledica tehnike primjene uključujući febrilne reakcije, infekcije na mjestu primjene, lokalni bol ili reakciju, iritaciju vena, vensku trombozu ili flebitis koji se širi od mjesta prim</w:t>
      </w:r>
      <w:r w:rsidR="001838E1" w:rsidRPr="00EC742F">
        <w:rPr>
          <w:rFonts w:eastAsia="TimesNewRoman"/>
          <w:sz w:val="22"/>
          <w:szCs w:val="22"/>
          <w:lang w:val="sr-Latn-ME"/>
        </w:rPr>
        <w:t>j</w:t>
      </w:r>
      <w:r w:rsidRPr="00EC742F">
        <w:rPr>
          <w:rFonts w:eastAsia="TimesNewRoman"/>
          <w:sz w:val="22"/>
          <w:szCs w:val="22"/>
          <w:lang w:val="sr-Latn-ME"/>
        </w:rPr>
        <w:t>ene injekcije, kao i ekstravazaciju.</w:t>
      </w:r>
    </w:p>
    <w:p w:rsidR="00830EAC" w:rsidRPr="00EC742F" w:rsidRDefault="00830EAC" w:rsidP="00830EAC">
      <w:pPr>
        <w:autoSpaceDE w:val="0"/>
        <w:autoSpaceDN w:val="0"/>
        <w:adjustRightInd w:val="0"/>
        <w:jc w:val="both"/>
        <w:rPr>
          <w:rFonts w:eastAsia="TimesNewRoman"/>
          <w:sz w:val="22"/>
          <w:szCs w:val="22"/>
          <w:lang w:val="sr-Latn-ME"/>
        </w:rPr>
      </w:pPr>
      <w:r w:rsidRPr="00EC742F">
        <w:rPr>
          <w:rFonts w:eastAsia="TimesNewRoman"/>
          <w:sz w:val="22"/>
          <w:szCs w:val="22"/>
          <w:lang w:val="sr-Latn-ME"/>
        </w:rPr>
        <w:t>Neželjene reakcije mogu biti posledica dodatih supstanci/ljekova u ovaj rastvor; priroda dodate</w:t>
      </w:r>
    </w:p>
    <w:p w:rsidR="00F656A5" w:rsidRPr="00EC742F" w:rsidRDefault="00830EAC" w:rsidP="00F656A5">
      <w:pPr>
        <w:autoSpaceDE w:val="0"/>
        <w:autoSpaceDN w:val="0"/>
        <w:adjustRightInd w:val="0"/>
        <w:jc w:val="both"/>
        <w:rPr>
          <w:rFonts w:eastAsia="TimesNewRoman"/>
          <w:sz w:val="22"/>
          <w:szCs w:val="22"/>
          <w:lang w:val="sr-Latn-ME"/>
        </w:rPr>
      </w:pPr>
      <w:r w:rsidRPr="00EC742F">
        <w:rPr>
          <w:rFonts w:eastAsia="TimesNewRoman"/>
          <w:sz w:val="22"/>
          <w:szCs w:val="22"/>
          <w:lang w:val="sr-Latn-ME"/>
        </w:rPr>
        <w:t>supstance/lijeka odrediće vjerovatnoću pojave bilo kojih drugih neželjenih reakcij</w:t>
      </w:r>
      <w:r w:rsidR="002133BD" w:rsidRPr="00EC742F">
        <w:rPr>
          <w:rFonts w:eastAsia="TimesNewRoman"/>
          <w:sz w:val="22"/>
          <w:szCs w:val="22"/>
          <w:lang w:val="sr-Latn-ME"/>
        </w:rPr>
        <w:t>a.</w:t>
      </w:r>
    </w:p>
    <w:p w:rsidR="00830EAC" w:rsidRPr="00EC742F" w:rsidRDefault="00830EAC" w:rsidP="00F656A5">
      <w:pPr>
        <w:autoSpaceDE w:val="0"/>
        <w:autoSpaceDN w:val="0"/>
        <w:adjustRightInd w:val="0"/>
        <w:jc w:val="both"/>
        <w:rPr>
          <w:rFonts w:eastAsia="TimesNewRoman"/>
          <w:sz w:val="22"/>
          <w:szCs w:val="22"/>
          <w:lang w:val="sr-Latn-ME"/>
        </w:rPr>
      </w:pPr>
      <w:r w:rsidRPr="00EC742F">
        <w:rPr>
          <w:sz w:val="22"/>
          <w:szCs w:val="22"/>
          <w:lang w:val="sr-Latn-ME"/>
        </w:rPr>
        <w:t>U slučaju pojave neželjenih reakcija, infuzija se mora prekinuti.</w:t>
      </w:r>
    </w:p>
    <w:p w:rsidR="00830EAC" w:rsidRPr="00EC742F" w:rsidRDefault="00830EAC" w:rsidP="00480FB1">
      <w:pPr>
        <w:tabs>
          <w:tab w:val="left" w:pos="540"/>
          <w:tab w:val="left" w:pos="569"/>
        </w:tabs>
        <w:rPr>
          <w:b/>
          <w:bCs/>
          <w:sz w:val="22"/>
          <w:szCs w:val="22"/>
          <w:lang w:val="sr-Latn-ME"/>
        </w:rPr>
      </w:pPr>
    </w:p>
    <w:p w:rsidR="005A23D2" w:rsidRPr="00EC742F" w:rsidRDefault="005A23D2" w:rsidP="00A46C9A">
      <w:pPr>
        <w:spacing w:after="200" w:line="276" w:lineRule="auto"/>
        <w:rPr>
          <w:rFonts w:eastAsia="Calibri"/>
          <w:sz w:val="22"/>
          <w:szCs w:val="22"/>
          <w:u w:val="single"/>
          <w:lang w:val="sr-Latn-ME"/>
        </w:rPr>
      </w:pPr>
      <w:r w:rsidRPr="00EC742F">
        <w:rPr>
          <w:rFonts w:eastAsia="Calibri"/>
          <w:sz w:val="22"/>
          <w:szCs w:val="22"/>
          <w:u w:val="single"/>
          <w:lang w:val="sr-Latn-ME"/>
        </w:rPr>
        <w:t>Prijavljivanje sumnji na neželjena dejstva</w:t>
      </w:r>
    </w:p>
    <w:p w:rsidR="005A23D2" w:rsidRPr="00EC742F" w:rsidRDefault="005A23D2" w:rsidP="00A46C9A">
      <w:pPr>
        <w:spacing w:after="200"/>
        <w:jc w:val="both"/>
        <w:rPr>
          <w:rFonts w:eastAsia="Calibri"/>
          <w:sz w:val="22"/>
          <w:szCs w:val="22"/>
          <w:lang w:val="sr-Latn-ME"/>
        </w:rPr>
      </w:pPr>
      <w:r w:rsidRPr="00EC742F">
        <w:rPr>
          <w:rFonts w:eastAsia="Calibri"/>
          <w:sz w:val="22"/>
          <w:szCs w:val="22"/>
          <w:lang w:val="sr-Latn-ME"/>
        </w:rPr>
        <w:t>Prijavljivanje neželjenih dejstava nakon dobijanja dozvole je od velikog značaja jer obezbjeđuje kont</w:t>
      </w:r>
      <w:r w:rsidR="00EA5765" w:rsidRPr="00EC742F">
        <w:rPr>
          <w:rFonts w:eastAsia="Calibri"/>
          <w:sz w:val="22"/>
          <w:szCs w:val="22"/>
          <w:lang w:val="sr-Latn-ME"/>
        </w:rPr>
        <w:t>inuirano praćenje odnosa korist</w:t>
      </w:r>
      <w:r w:rsidRPr="00EC742F">
        <w:rPr>
          <w:rFonts w:eastAsia="Calibri"/>
          <w:sz w:val="22"/>
          <w:szCs w:val="22"/>
          <w:lang w:val="sr-Latn-ME"/>
        </w:rPr>
        <w:t>/rizik primjene lijeka. Zdravstveni radnici treba da prijave svaku sumnju na neželjeno</w:t>
      </w:r>
      <w:r w:rsidR="009B062A" w:rsidRPr="00EC742F">
        <w:rPr>
          <w:rFonts w:eastAsia="Calibri"/>
          <w:sz w:val="22"/>
          <w:szCs w:val="22"/>
          <w:lang w:val="sr-Latn-ME"/>
        </w:rPr>
        <w:t xml:space="preserve"> </w:t>
      </w:r>
      <w:r w:rsidRPr="00EC742F">
        <w:rPr>
          <w:rFonts w:eastAsia="Calibri"/>
          <w:sz w:val="22"/>
          <w:szCs w:val="22"/>
          <w:lang w:val="sr-Latn-ME"/>
        </w:rPr>
        <w:t xml:space="preserve">dejstvo ovog lijeka </w:t>
      </w:r>
      <w:r w:rsidR="004E70AD" w:rsidRPr="00EC742F">
        <w:rPr>
          <w:rFonts w:eastAsia="Calibri"/>
          <w:sz w:val="22"/>
          <w:szCs w:val="22"/>
          <w:lang w:val="sr-Latn-ME"/>
        </w:rPr>
        <w:t>Institutu</w:t>
      </w:r>
      <w:r w:rsidRPr="00EC742F">
        <w:rPr>
          <w:rFonts w:eastAsia="Calibri"/>
          <w:sz w:val="22"/>
          <w:szCs w:val="22"/>
          <w:lang w:val="sr-Latn-ME"/>
        </w:rPr>
        <w:t xml:space="preserve"> za ljekove i medicinska sredstva</w:t>
      </w:r>
      <w:r w:rsidR="004E70AD" w:rsidRPr="00EC742F">
        <w:rPr>
          <w:rFonts w:eastAsia="Calibri"/>
          <w:sz w:val="22"/>
          <w:szCs w:val="22"/>
          <w:lang w:val="sr-Latn-ME"/>
        </w:rPr>
        <w:t xml:space="preserve"> </w:t>
      </w:r>
      <w:r w:rsidRPr="00EC742F">
        <w:rPr>
          <w:rFonts w:eastAsia="Calibri"/>
          <w:sz w:val="22"/>
          <w:szCs w:val="22"/>
          <w:lang w:val="sr-Latn-ME"/>
        </w:rPr>
        <w:t>(</w:t>
      </w:r>
      <w:r w:rsidR="004E70AD" w:rsidRPr="00EC742F">
        <w:rPr>
          <w:rFonts w:eastAsia="Calibri"/>
          <w:sz w:val="22"/>
          <w:szCs w:val="22"/>
          <w:lang w:val="sr-Latn-ME"/>
        </w:rPr>
        <w:t>CInMED</w:t>
      </w:r>
      <w:r w:rsidRPr="00EC742F">
        <w:rPr>
          <w:rFonts w:eastAsia="Calibri"/>
          <w:sz w:val="22"/>
          <w:szCs w:val="22"/>
          <w:lang w:val="sr-Latn-ME"/>
        </w:rPr>
        <w:t>):</w:t>
      </w:r>
    </w:p>
    <w:p w:rsidR="005A23D2" w:rsidRPr="00EC742F" w:rsidRDefault="004E70AD" w:rsidP="00A46C9A">
      <w:pPr>
        <w:pStyle w:val="NoSpacing"/>
        <w:jc w:val="both"/>
        <w:rPr>
          <w:rFonts w:eastAsia="Calibri"/>
          <w:sz w:val="22"/>
          <w:szCs w:val="22"/>
          <w:lang w:val="sr-Latn-ME"/>
        </w:rPr>
      </w:pPr>
      <w:r w:rsidRPr="00EC742F">
        <w:rPr>
          <w:rFonts w:eastAsia="Calibri"/>
          <w:sz w:val="22"/>
          <w:szCs w:val="22"/>
          <w:lang w:val="sr-Latn-ME"/>
        </w:rPr>
        <w:t xml:space="preserve">Institut </w:t>
      </w:r>
      <w:r w:rsidR="005A23D2" w:rsidRPr="00EC742F">
        <w:rPr>
          <w:rFonts w:eastAsia="Calibri"/>
          <w:sz w:val="22"/>
          <w:szCs w:val="22"/>
          <w:lang w:val="sr-Latn-ME"/>
        </w:rPr>
        <w:t xml:space="preserve">za ljekove i medicinska sredstva </w:t>
      </w:r>
    </w:p>
    <w:p w:rsidR="005A23D2" w:rsidRPr="00EC742F" w:rsidRDefault="005A23D2" w:rsidP="00A46C9A">
      <w:pPr>
        <w:pStyle w:val="NoSpacing"/>
        <w:jc w:val="both"/>
        <w:rPr>
          <w:rFonts w:eastAsia="Calibri"/>
          <w:sz w:val="22"/>
          <w:szCs w:val="22"/>
          <w:lang w:val="sr-Latn-ME"/>
        </w:rPr>
      </w:pPr>
      <w:r w:rsidRPr="00EC742F">
        <w:rPr>
          <w:rFonts w:eastAsia="Calibri"/>
          <w:sz w:val="22"/>
          <w:szCs w:val="22"/>
          <w:lang w:val="sr-Latn-ME"/>
        </w:rPr>
        <w:t>Odjeljenje za farmakovigilancu</w:t>
      </w:r>
    </w:p>
    <w:p w:rsidR="00EA5765" w:rsidRPr="00EC742F" w:rsidRDefault="005A23D2" w:rsidP="00A46C9A">
      <w:pPr>
        <w:pStyle w:val="NoSpacing"/>
        <w:jc w:val="both"/>
        <w:rPr>
          <w:rFonts w:eastAsia="Calibri"/>
          <w:sz w:val="22"/>
          <w:szCs w:val="22"/>
          <w:lang w:val="sr-Latn-ME"/>
        </w:rPr>
      </w:pPr>
      <w:r w:rsidRPr="00EC742F">
        <w:rPr>
          <w:rFonts w:eastAsia="Calibri"/>
          <w:sz w:val="22"/>
          <w:szCs w:val="22"/>
          <w:lang w:val="sr-Latn-ME"/>
        </w:rPr>
        <w:t>Bulevar Ivana Crnojevića 64a, 81000 Podgorica</w:t>
      </w:r>
    </w:p>
    <w:p w:rsidR="00EA5765" w:rsidRPr="00EC742F" w:rsidRDefault="00EA5765" w:rsidP="00A46C9A">
      <w:pPr>
        <w:pStyle w:val="NoSpacing"/>
        <w:rPr>
          <w:rFonts w:eastAsia="Calibri"/>
          <w:sz w:val="22"/>
          <w:szCs w:val="22"/>
          <w:lang w:val="sr-Latn-ME"/>
        </w:rPr>
      </w:pPr>
    </w:p>
    <w:p w:rsidR="005A23D2" w:rsidRPr="00EC742F" w:rsidRDefault="005A23D2" w:rsidP="00A46C9A">
      <w:pPr>
        <w:pStyle w:val="NoSpacing"/>
        <w:jc w:val="both"/>
        <w:rPr>
          <w:rFonts w:eastAsia="Calibri"/>
          <w:sz w:val="22"/>
          <w:szCs w:val="22"/>
          <w:lang w:val="sr-Latn-ME"/>
        </w:rPr>
      </w:pPr>
      <w:r w:rsidRPr="00EC742F">
        <w:rPr>
          <w:rFonts w:eastAsia="Calibri"/>
          <w:sz w:val="22"/>
          <w:szCs w:val="22"/>
          <w:lang w:val="sr-Latn-ME"/>
        </w:rPr>
        <w:t>tel: +382 (0) 20 310 280</w:t>
      </w:r>
    </w:p>
    <w:p w:rsidR="00EA5765" w:rsidRPr="00EC742F" w:rsidRDefault="005A23D2" w:rsidP="00A46C9A">
      <w:pPr>
        <w:pStyle w:val="NoSpacing"/>
        <w:jc w:val="both"/>
        <w:rPr>
          <w:rFonts w:eastAsia="Calibri"/>
          <w:sz w:val="22"/>
          <w:szCs w:val="22"/>
          <w:lang w:val="sr-Latn-ME"/>
        </w:rPr>
      </w:pPr>
      <w:r w:rsidRPr="00EC742F">
        <w:rPr>
          <w:rFonts w:eastAsia="Calibri"/>
          <w:sz w:val="22"/>
          <w:szCs w:val="22"/>
          <w:lang w:val="sr-Latn-ME"/>
        </w:rPr>
        <w:t>fax:</w:t>
      </w:r>
      <w:r w:rsidR="00EA5765" w:rsidRPr="00EC742F">
        <w:rPr>
          <w:rFonts w:eastAsia="Calibri"/>
          <w:sz w:val="22"/>
          <w:szCs w:val="22"/>
          <w:lang w:val="sr-Latn-ME"/>
        </w:rPr>
        <w:t xml:space="preserve"> </w:t>
      </w:r>
      <w:r w:rsidRPr="00EC742F">
        <w:rPr>
          <w:rFonts w:eastAsia="Calibri"/>
          <w:sz w:val="22"/>
          <w:szCs w:val="22"/>
          <w:lang w:val="sr-Latn-ME"/>
        </w:rPr>
        <w:t>+382 (0) 20 310 581</w:t>
      </w:r>
    </w:p>
    <w:p w:rsidR="005A23D2" w:rsidRPr="00EC742F" w:rsidRDefault="00585590" w:rsidP="00A46C9A">
      <w:pPr>
        <w:pStyle w:val="NoSpacing"/>
        <w:jc w:val="both"/>
        <w:rPr>
          <w:rFonts w:eastAsia="Calibri"/>
          <w:sz w:val="22"/>
          <w:szCs w:val="22"/>
          <w:lang w:val="sr-Latn-ME"/>
        </w:rPr>
      </w:pPr>
      <w:hyperlink r:id="rId8" w:history="1">
        <w:r w:rsidR="004E70AD" w:rsidRPr="00EC742F">
          <w:rPr>
            <w:rStyle w:val="Hyperlink"/>
            <w:rFonts w:eastAsia="Calibri"/>
            <w:sz w:val="22"/>
            <w:szCs w:val="22"/>
            <w:lang w:val="sr-Latn-ME"/>
          </w:rPr>
          <w:t>www.cinmed.me</w:t>
        </w:r>
      </w:hyperlink>
    </w:p>
    <w:p w:rsidR="00EA5765" w:rsidRPr="00EC742F" w:rsidRDefault="00585590" w:rsidP="00A46C9A">
      <w:pPr>
        <w:pStyle w:val="NoSpacing"/>
        <w:jc w:val="both"/>
        <w:rPr>
          <w:rFonts w:eastAsia="Calibri"/>
          <w:color w:val="0000FF"/>
          <w:sz w:val="22"/>
          <w:szCs w:val="22"/>
          <w:u w:val="single"/>
          <w:lang w:val="sr-Latn-ME"/>
        </w:rPr>
      </w:pPr>
      <w:hyperlink r:id="rId9" w:history="1">
        <w:r w:rsidR="004E70AD" w:rsidRPr="00EC742F">
          <w:rPr>
            <w:rStyle w:val="Hyperlink"/>
            <w:rFonts w:eastAsia="Calibri"/>
            <w:sz w:val="22"/>
            <w:szCs w:val="22"/>
            <w:lang w:val="sr-Latn-ME"/>
          </w:rPr>
          <w:t>nezeljenadejstva@cinmed.me</w:t>
        </w:r>
      </w:hyperlink>
    </w:p>
    <w:p w:rsidR="005A23D2" w:rsidRPr="00EC742F" w:rsidRDefault="005A23D2" w:rsidP="00A46C9A">
      <w:pPr>
        <w:pStyle w:val="NoSpacing"/>
        <w:jc w:val="both"/>
        <w:rPr>
          <w:rFonts w:eastAsia="Calibri"/>
          <w:sz w:val="22"/>
          <w:szCs w:val="22"/>
          <w:lang w:val="sr-Latn-ME"/>
        </w:rPr>
      </w:pPr>
      <w:r w:rsidRPr="00EC742F">
        <w:rPr>
          <w:rFonts w:eastAsia="Calibri"/>
          <w:sz w:val="22"/>
          <w:szCs w:val="22"/>
          <w:lang w:val="sr-Latn-ME"/>
        </w:rPr>
        <w:lastRenderedPageBreak/>
        <w:t>putem IS zdravstvene zaštite</w:t>
      </w:r>
    </w:p>
    <w:p w:rsidR="00836B35" w:rsidRPr="00EC742F" w:rsidRDefault="00836B35" w:rsidP="00480FB1">
      <w:pPr>
        <w:tabs>
          <w:tab w:val="left" w:pos="540"/>
          <w:tab w:val="left" w:pos="569"/>
        </w:tabs>
        <w:rPr>
          <w:b/>
          <w:bCs/>
          <w:sz w:val="22"/>
          <w:szCs w:val="22"/>
          <w:lang w:val="sr-Latn-ME"/>
        </w:rPr>
      </w:pPr>
    </w:p>
    <w:p w:rsidR="00CD6F02"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4.9. </w:t>
      </w:r>
      <w:r w:rsidR="00480FB1" w:rsidRPr="00EC742F">
        <w:rPr>
          <w:b/>
          <w:bCs/>
          <w:sz w:val="22"/>
          <w:szCs w:val="22"/>
          <w:lang w:val="sr-Latn-ME"/>
        </w:rPr>
        <w:tab/>
      </w:r>
      <w:r w:rsidRPr="00EC742F">
        <w:rPr>
          <w:b/>
          <w:bCs/>
          <w:sz w:val="22"/>
          <w:szCs w:val="22"/>
          <w:lang w:val="sr-Latn-ME"/>
        </w:rPr>
        <w:t>Predoziranje</w:t>
      </w:r>
      <w:r w:rsidR="002846DB" w:rsidRPr="00EC742F">
        <w:rPr>
          <w:b/>
          <w:bCs/>
          <w:sz w:val="22"/>
          <w:szCs w:val="22"/>
          <w:lang w:val="sr-Latn-ME"/>
        </w:rPr>
        <w:t xml:space="preserve"> </w:t>
      </w:r>
    </w:p>
    <w:p w:rsidR="00F656A5" w:rsidRPr="00EC742F" w:rsidRDefault="00F656A5" w:rsidP="00480FB1">
      <w:pPr>
        <w:tabs>
          <w:tab w:val="left" w:pos="540"/>
          <w:tab w:val="left" w:pos="569"/>
        </w:tabs>
        <w:rPr>
          <w:b/>
          <w:bCs/>
          <w:sz w:val="22"/>
          <w:szCs w:val="22"/>
          <w:lang w:val="sr-Latn-ME"/>
        </w:rPr>
      </w:pPr>
    </w:p>
    <w:p w:rsidR="006D62D7" w:rsidRPr="00EC742F" w:rsidRDefault="006D62D7" w:rsidP="006D62D7">
      <w:pPr>
        <w:pStyle w:val="Header"/>
        <w:tabs>
          <w:tab w:val="left" w:pos="284"/>
        </w:tabs>
        <w:spacing w:before="80" w:after="80"/>
        <w:jc w:val="both"/>
        <w:rPr>
          <w:bCs/>
          <w:sz w:val="22"/>
          <w:szCs w:val="22"/>
          <w:lang w:val="sr-Latn-ME"/>
        </w:rPr>
      </w:pPr>
      <w:r w:rsidRPr="00EC742F">
        <w:rPr>
          <w:bCs/>
          <w:sz w:val="22"/>
          <w:szCs w:val="22"/>
          <w:lang w:val="sr-Latn-ME"/>
        </w:rPr>
        <w:t>Predoziranje ili suviše brza prim</w:t>
      </w:r>
      <w:r w:rsidR="00F47C5B" w:rsidRPr="00EC742F">
        <w:rPr>
          <w:bCs/>
          <w:sz w:val="22"/>
          <w:szCs w:val="22"/>
          <w:lang w:val="sr-Latn-ME"/>
        </w:rPr>
        <w:t>j</w:t>
      </w:r>
      <w:r w:rsidRPr="00EC742F">
        <w:rPr>
          <w:bCs/>
          <w:sz w:val="22"/>
          <w:szCs w:val="22"/>
          <w:lang w:val="sr-Latn-ME"/>
        </w:rPr>
        <w:t>ena ovog rastvora mogu dovesti do preopterećenja vodom i natrijumom sa rizikom od stvaranja edema, naročito kada postoji oslabljena renalna ekskrecija natrijuma. U tom slučaju, može biti neophodna prim</w:t>
      </w:r>
      <w:r w:rsidR="00F47C5B" w:rsidRPr="00EC742F">
        <w:rPr>
          <w:bCs/>
          <w:sz w:val="22"/>
          <w:szCs w:val="22"/>
          <w:lang w:val="sr-Latn-ME"/>
        </w:rPr>
        <w:t>j</w:t>
      </w:r>
      <w:r w:rsidRPr="00EC742F">
        <w:rPr>
          <w:bCs/>
          <w:sz w:val="22"/>
          <w:szCs w:val="22"/>
          <w:lang w:val="sr-Latn-ME"/>
        </w:rPr>
        <w:t>ena dijalize.</w:t>
      </w:r>
    </w:p>
    <w:p w:rsidR="006D62D7" w:rsidRPr="00EC742F" w:rsidRDefault="006D62D7" w:rsidP="006D62D7">
      <w:pPr>
        <w:autoSpaceDE w:val="0"/>
        <w:autoSpaceDN w:val="0"/>
        <w:adjustRightInd w:val="0"/>
        <w:jc w:val="both"/>
        <w:rPr>
          <w:rFonts w:eastAsia="TimesNewRoman"/>
          <w:sz w:val="22"/>
          <w:szCs w:val="22"/>
          <w:lang w:val="sr-Latn-ME"/>
        </w:rPr>
      </w:pPr>
    </w:p>
    <w:p w:rsidR="006D62D7" w:rsidRPr="00EC742F" w:rsidRDefault="006D62D7" w:rsidP="006D62D7">
      <w:pPr>
        <w:autoSpaceDE w:val="0"/>
        <w:autoSpaceDN w:val="0"/>
        <w:adjustRightInd w:val="0"/>
        <w:jc w:val="both"/>
        <w:rPr>
          <w:rFonts w:eastAsia="TimesNewRoman"/>
          <w:sz w:val="22"/>
          <w:szCs w:val="22"/>
          <w:lang w:val="sr-Latn-ME"/>
        </w:rPr>
      </w:pPr>
      <w:r w:rsidRPr="00EC742F">
        <w:rPr>
          <w:rFonts w:eastAsia="TimesNewRoman"/>
          <w:sz w:val="22"/>
          <w:szCs w:val="22"/>
          <w:lang w:val="sr-Latn-ME"/>
        </w:rPr>
        <w:t>Prekomerna prim</w:t>
      </w:r>
      <w:r w:rsidR="00F47C5B" w:rsidRPr="00EC742F">
        <w:rPr>
          <w:rFonts w:eastAsia="TimesNewRoman"/>
          <w:sz w:val="22"/>
          <w:szCs w:val="22"/>
          <w:lang w:val="sr-Latn-ME"/>
        </w:rPr>
        <w:t>j</w:t>
      </w:r>
      <w:r w:rsidRPr="00EC742F">
        <w:rPr>
          <w:rFonts w:eastAsia="TimesNewRoman"/>
          <w:sz w:val="22"/>
          <w:szCs w:val="22"/>
          <w:lang w:val="sr-Latn-ME"/>
        </w:rPr>
        <w:t>ena kalijuma može dovesti do razvoja hiperkal</w:t>
      </w:r>
      <w:r w:rsidR="004E14C9" w:rsidRPr="00EC742F">
        <w:rPr>
          <w:rFonts w:eastAsia="TimesNewRoman"/>
          <w:sz w:val="22"/>
          <w:szCs w:val="22"/>
          <w:lang w:val="sr-Latn-ME"/>
        </w:rPr>
        <w:t>ij</w:t>
      </w:r>
      <w:r w:rsidRPr="00EC742F">
        <w:rPr>
          <w:rFonts w:eastAsia="TimesNewRoman"/>
          <w:sz w:val="22"/>
          <w:szCs w:val="22"/>
          <w:lang w:val="sr-Latn-ME"/>
        </w:rPr>
        <w:t>emije, naročito kod pacijenata sa oštećenjem funkcije bubrega. Simptomi uključuju paresteziju ekstremiteta, slabost mišića, paralizu, srčane aritmije, srčani blok, zastoj srca, kao i mentalnu konfuziju.</w:t>
      </w:r>
    </w:p>
    <w:p w:rsidR="006D62D7" w:rsidRPr="00EC742F" w:rsidRDefault="006D62D7" w:rsidP="006D62D7">
      <w:pPr>
        <w:autoSpaceDE w:val="0"/>
        <w:autoSpaceDN w:val="0"/>
        <w:adjustRightInd w:val="0"/>
        <w:jc w:val="both"/>
        <w:rPr>
          <w:rFonts w:eastAsia="TimesNewRoman"/>
          <w:sz w:val="22"/>
          <w:szCs w:val="22"/>
          <w:lang w:val="sr-Latn-ME"/>
        </w:rPr>
      </w:pPr>
    </w:p>
    <w:p w:rsidR="006D62D7" w:rsidRPr="00EC742F" w:rsidRDefault="006D62D7" w:rsidP="006D62D7">
      <w:pPr>
        <w:autoSpaceDE w:val="0"/>
        <w:autoSpaceDN w:val="0"/>
        <w:adjustRightInd w:val="0"/>
        <w:jc w:val="both"/>
        <w:rPr>
          <w:rFonts w:eastAsia="TimesNewRoman"/>
          <w:sz w:val="22"/>
          <w:szCs w:val="22"/>
          <w:lang w:val="sr-Latn-ME"/>
        </w:rPr>
      </w:pPr>
      <w:r w:rsidRPr="00EC742F">
        <w:rPr>
          <w:rFonts w:eastAsia="TimesNewRoman"/>
          <w:sz w:val="22"/>
          <w:szCs w:val="22"/>
          <w:lang w:val="sr-Latn-ME"/>
        </w:rPr>
        <w:t>L</w:t>
      </w:r>
      <w:r w:rsidR="00F47C5B" w:rsidRPr="00EC742F">
        <w:rPr>
          <w:rFonts w:eastAsia="TimesNewRoman"/>
          <w:sz w:val="22"/>
          <w:szCs w:val="22"/>
          <w:lang w:val="sr-Latn-ME"/>
        </w:rPr>
        <w:t>ij</w:t>
      </w:r>
      <w:r w:rsidRPr="00EC742F">
        <w:rPr>
          <w:rFonts w:eastAsia="TimesNewRoman"/>
          <w:sz w:val="22"/>
          <w:szCs w:val="22"/>
          <w:lang w:val="sr-Latn-ME"/>
        </w:rPr>
        <w:t>ečenje hiperkal</w:t>
      </w:r>
      <w:r w:rsidR="004E14C9" w:rsidRPr="00EC742F">
        <w:rPr>
          <w:rFonts w:eastAsia="TimesNewRoman"/>
          <w:sz w:val="22"/>
          <w:szCs w:val="22"/>
          <w:lang w:val="sr-Latn-ME"/>
        </w:rPr>
        <w:t>ij</w:t>
      </w:r>
      <w:r w:rsidRPr="00EC742F">
        <w:rPr>
          <w:rFonts w:eastAsia="TimesNewRoman"/>
          <w:sz w:val="22"/>
          <w:szCs w:val="22"/>
          <w:lang w:val="sr-Latn-ME"/>
        </w:rPr>
        <w:t>emije uključuje prim</w:t>
      </w:r>
      <w:r w:rsidR="00F47C5B" w:rsidRPr="00EC742F">
        <w:rPr>
          <w:rFonts w:eastAsia="TimesNewRoman"/>
          <w:sz w:val="22"/>
          <w:szCs w:val="22"/>
          <w:lang w:val="sr-Latn-ME"/>
        </w:rPr>
        <w:t>j</w:t>
      </w:r>
      <w:r w:rsidRPr="00EC742F">
        <w:rPr>
          <w:rFonts w:eastAsia="TimesNewRoman"/>
          <w:sz w:val="22"/>
          <w:szCs w:val="22"/>
          <w:lang w:val="sr-Latn-ME"/>
        </w:rPr>
        <w:t>enu kalcijuma, i</w:t>
      </w:r>
      <w:r w:rsidR="00117A55" w:rsidRPr="00EC742F">
        <w:rPr>
          <w:rFonts w:eastAsia="TimesNewRoman"/>
          <w:sz w:val="22"/>
          <w:szCs w:val="22"/>
          <w:lang w:val="sr-Latn-ME"/>
        </w:rPr>
        <w:t xml:space="preserve">nsulina (sa glukozom), natrijum </w:t>
      </w:r>
      <w:r w:rsidRPr="00EC742F">
        <w:rPr>
          <w:rFonts w:eastAsia="TimesNewRoman"/>
          <w:sz w:val="22"/>
          <w:szCs w:val="22"/>
          <w:lang w:val="sr-Latn-ME"/>
        </w:rPr>
        <w:t>bikarbonata,</w:t>
      </w:r>
    </w:p>
    <w:p w:rsidR="006D62D7" w:rsidRPr="00EC742F" w:rsidRDefault="006D62D7" w:rsidP="006D62D7">
      <w:pPr>
        <w:autoSpaceDE w:val="0"/>
        <w:autoSpaceDN w:val="0"/>
        <w:adjustRightInd w:val="0"/>
        <w:jc w:val="both"/>
        <w:rPr>
          <w:rFonts w:eastAsia="TimesNewRoman"/>
          <w:sz w:val="22"/>
          <w:szCs w:val="22"/>
          <w:lang w:val="sr-Latn-ME"/>
        </w:rPr>
      </w:pPr>
      <w:r w:rsidRPr="00EC742F">
        <w:rPr>
          <w:rFonts w:eastAsia="TimesNewRoman"/>
          <w:sz w:val="22"/>
          <w:szCs w:val="22"/>
          <w:lang w:val="sr-Latn-ME"/>
        </w:rPr>
        <w:t>izm</w:t>
      </w:r>
      <w:r w:rsidR="00F47C5B" w:rsidRPr="00EC742F">
        <w:rPr>
          <w:rFonts w:eastAsia="TimesNewRoman"/>
          <w:sz w:val="22"/>
          <w:szCs w:val="22"/>
          <w:lang w:val="sr-Latn-ME"/>
        </w:rPr>
        <w:t>j</w:t>
      </w:r>
      <w:r w:rsidRPr="00EC742F">
        <w:rPr>
          <w:rFonts w:eastAsia="TimesNewRoman"/>
          <w:sz w:val="22"/>
          <w:szCs w:val="22"/>
          <w:lang w:val="sr-Latn-ME"/>
        </w:rPr>
        <w:t>enjivačkih smola ili dijalize.</w:t>
      </w:r>
    </w:p>
    <w:p w:rsidR="006D62D7" w:rsidRPr="00EC742F" w:rsidRDefault="006D62D7" w:rsidP="006D62D7">
      <w:pPr>
        <w:autoSpaceDE w:val="0"/>
        <w:autoSpaceDN w:val="0"/>
        <w:adjustRightInd w:val="0"/>
        <w:rPr>
          <w:rFonts w:eastAsia="TimesNewRoman"/>
          <w:sz w:val="22"/>
          <w:szCs w:val="22"/>
          <w:lang w:val="sr-Latn-ME"/>
        </w:rPr>
      </w:pPr>
    </w:p>
    <w:p w:rsidR="006D62D7" w:rsidRPr="00EC742F" w:rsidRDefault="006D62D7" w:rsidP="006D62D7">
      <w:pPr>
        <w:autoSpaceDE w:val="0"/>
        <w:autoSpaceDN w:val="0"/>
        <w:adjustRightInd w:val="0"/>
        <w:jc w:val="both"/>
        <w:rPr>
          <w:rFonts w:eastAsia="TimesNewRoman"/>
          <w:sz w:val="22"/>
          <w:szCs w:val="22"/>
          <w:lang w:val="sr-Latn-ME"/>
        </w:rPr>
      </w:pPr>
      <w:r w:rsidRPr="00EC742F">
        <w:rPr>
          <w:rFonts w:eastAsia="TimesNewRoman"/>
          <w:sz w:val="22"/>
          <w:szCs w:val="22"/>
          <w:lang w:val="sr-Latn-ME"/>
        </w:rPr>
        <w:t>Prekom</w:t>
      </w:r>
      <w:r w:rsidR="00F47C5B" w:rsidRPr="00EC742F">
        <w:rPr>
          <w:rFonts w:eastAsia="TimesNewRoman"/>
          <w:sz w:val="22"/>
          <w:szCs w:val="22"/>
          <w:lang w:val="sr-Latn-ME"/>
        </w:rPr>
        <w:t>j</w:t>
      </w:r>
      <w:r w:rsidRPr="00EC742F">
        <w:rPr>
          <w:rFonts w:eastAsia="TimesNewRoman"/>
          <w:sz w:val="22"/>
          <w:szCs w:val="22"/>
          <w:lang w:val="sr-Latn-ME"/>
        </w:rPr>
        <w:t>erna prim</w:t>
      </w:r>
      <w:r w:rsidR="00F47C5B" w:rsidRPr="00EC742F">
        <w:rPr>
          <w:rFonts w:eastAsia="TimesNewRoman"/>
          <w:sz w:val="22"/>
          <w:szCs w:val="22"/>
          <w:lang w:val="sr-Latn-ME"/>
        </w:rPr>
        <w:t>j</w:t>
      </w:r>
      <w:r w:rsidRPr="00EC742F">
        <w:rPr>
          <w:rFonts w:eastAsia="TimesNewRoman"/>
          <w:sz w:val="22"/>
          <w:szCs w:val="22"/>
          <w:lang w:val="sr-Latn-ME"/>
        </w:rPr>
        <w:t>ena soli kalcijuma može dovesti do hiperkalc</w:t>
      </w:r>
      <w:r w:rsidR="004E14C9" w:rsidRPr="00EC742F">
        <w:rPr>
          <w:rFonts w:eastAsia="TimesNewRoman"/>
          <w:sz w:val="22"/>
          <w:szCs w:val="22"/>
          <w:lang w:val="sr-Latn-ME"/>
        </w:rPr>
        <w:t>ij</w:t>
      </w:r>
      <w:r w:rsidRPr="00EC742F">
        <w:rPr>
          <w:rFonts w:eastAsia="TimesNewRoman"/>
          <w:sz w:val="22"/>
          <w:szCs w:val="22"/>
          <w:lang w:val="sr-Latn-ME"/>
        </w:rPr>
        <w:t>emije. Simptomi hiperkalc</w:t>
      </w:r>
      <w:r w:rsidR="004E14C9" w:rsidRPr="00EC742F">
        <w:rPr>
          <w:rFonts w:eastAsia="TimesNewRoman"/>
          <w:sz w:val="22"/>
          <w:szCs w:val="22"/>
          <w:lang w:val="sr-Latn-ME"/>
        </w:rPr>
        <w:t>ij</w:t>
      </w:r>
      <w:r w:rsidRPr="00EC742F">
        <w:rPr>
          <w:rFonts w:eastAsia="TimesNewRoman"/>
          <w:sz w:val="22"/>
          <w:szCs w:val="22"/>
          <w:lang w:val="sr-Latn-ME"/>
        </w:rPr>
        <w:t>emije mogu biti</w:t>
      </w:r>
      <w:r w:rsidR="00F47C5B" w:rsidRPr="00EC742F">
        <w:rPr>
          <w:rFonts w:eastAsia="TimesNewRoman"/>
          <w:sz w:val="22"/>
          <w:szCs w:val="22"/>
          <w:lang w:val="sr-Latn-ME"/>
        </w:rPr>
        <w:t xml:space="preserve"> </w:t>
      </w:r>
      <w:r w:rsidRPr="00EC742F">
        <w:rPr>
          <w:rFonts w:eastAsia="TimesNewRoman"/>
          <w:sz w:val="22"/>
          <w:szCs w:val="22"/>
          <w:lang w:val="sr-Latn-ME"/>
        </w:rPr>
        <w:t>anoreksija, mučnina, povraćanje, opstipacija, abdominalni bol, slabost mišića, mentalne prom</w:t>
      </w:r>
      <w:r w:rsidR="00F47C5B" w:rsidRPr="00EC742F">
        <w:rPr>
          <w:rFonts w:eastAsia="TimesNewRoman"/>
          <w:sz w:val="22"/>
          <w:szCs w:val="22"/>
          <w:lang w:val="sr-Latn-ME"/>
        </w:rPr>
        <w:t>j</w:t>
      </w:r>
      <w:r w:rsidRPr="00EC742F">
        <w:rPr>
          <w:rFonts w:eastAsia="TimesNewRoman"/>
          <w:sz w:val="22"/>
          <w:szCs w:val="22"/>
          <w:lang w:val="sr-Latn-ME"/>
        </w:rPr>
        <w:t>ene,</w:t>
      </w:r>
      <w:r w:rsidR="004E14C9" w:rsidRPr="00EC742F">
        <w:rPr>
          <w:rFonts w:eastAsia="TimesNewRoman"/>
          <w:sz w:val="22"/>
          <w:szCs w:val="22"/>
          <w:lang w:val="sr-Latn-ME"/>
        </w:rPr>
        <w:t xml:space="preserve"> </w:t>
      </w:r>
      <w:r w:rsidRPr="00EC742F">
        <w:rPr>
          <w:rFonts w:eastAsia="TimesNewRoman"/>
          <w:sz w:val="22"/>
          <w:szCs w:val="22"/>
          <w:lang w:val="sr-Latn-ME"/>
        </w:rPr>
        <w:t xml:space="preserve">polidipsija, poliurija, nefrokalcinoza, bubrežni kalkulusi i, u teškim slučajevima, srčane aritmije i koma. </w:t>
      </w:r>
    </w:p>
    <w:p w:rsidR="006D62D7" w:rsidRPr="00EC742F" w:rsidRDefault="006D62D7" w:rsidP="006D62D7">
      <w:pPr>
        <w:autoSpaceDE w:val="0"/>
        <w:autoSpaceDN w:val="0"/>
        <w:adjustRightInd w:val="0"/>
        <w:jc w:val="both"/>
        <w:rPr>
          <w:rFonts w:eastAsia="TimesNewRoman"/>
          <w:sz w:val="22"/>
          <w:szCs w:val="22"/>
          <w:lang w:val="sr-Latn-ME"/>
        </w:rPr>
      </w:pPr>
      <w:r w:rsidRPr="00EC742F">
        <w:rPr>
          <w:rFonts w:eastAsia="TimesNewRoman"/>
          <w:sz w:val="22"/>
          <w:szCs w:val="22"/>
          <w:lang w:val="sr-Latn-ME"/>
        </w:rPr>
        <w:t>Prebrza intravenska injekcija soli kalcijuma može takođe dovesti do brojnih simptoma hiperkalc</w:t>
      </w:r>
      <w:r w:rsidR="004E14C9" w:rsidRPr="00EC742F">
        <w:rPr>
          <w:rFonts w:eastAsia="TimesNewRoman"/>
          <w:sz w:val="22"/>
          <w:szCs w:val="22"/>
          <w:lang w:val="sr-Latn-ME"/>
        </w:rPr>
        <w:t>ij</w:t>
      </w:r>
      <w:r w:rsidRPr="00EC742F">
        <w:rPr>
          <w:rFonts w:eastAsia="TimesNewRoman"/>
          <w:sz w:val="22"/>
          <w:szCs w:val="22"/>
          <w:lang w:val="sr-Latn-ME"/>
        </w:rPr>
        <w:t>emije</w:t>
      </w:r>
      <w:r w:rsidR="004E14C9" w:rsidRPr="00EC742F">
        <w:rPr>
          <w:rFonts w:eastAsia="TimesNewRoman"/>
          <w:sz w:val="22"/>
          <w:szCs w:val="22"/>
          <w:lang w:val="sr-Latn-ME"/>
        </w:rPr>
        <w:t>,</w:t>
      </w:r>
      <w:r w:rsidRPr="00EC742F">
        <w:rPr>
          <w:rFonts w:eastAsia="TimesNewRoman"/>
          <w:sz w:val="22"/>
          <w:szCs w:val="22"/>
          <w:lang w:val="sr-Latn-ME"/>
        </w:rPr>
        <w:t xml:space="preserve"> kao</w:t>
      </w:r>
      <w:r w:rsidR="00F47C5B" w:rsidRPr="00EC742F">
        <w:rPr>
          <w:rFonts w:eastAsia="TimesNewRoman"/>
          <w:sz w:val="22"/>
          <w:szCs w:val="22"/>
          <w:lang w:val="sr-Latn-ME"/>
        </w:rPr>
        <w:t xml:space="preserve"> </w:t>
      </w:r>
      <w:r w:rsidRPr="00EC742F">
        <w:rPr>
          <w:rFonts w:eastAsia="TimesNewRoman"/>
          <w:sz w:val="22"/>
          <w:szCs w:val="22"/>
          <w:lang w:val="sr-Latn-ME"/>
        </w:rPr>
        <w:t>i do neobičnog ukusa u ustima, tj. ukusa krede, napada vrućine i periferne vazodilatacije. Blaga asimptomatska hiperkalc</w:t>
      </w:r>
      <w:r w:rsidR="004E14C9" w:rsidRPr="00EC742F">
        <w:rPr>
          <w:rFonts w:eastAsia="TimesNewRoman"/>
          <w:sz w:val="22"/>
          <w:szCs w:val="22"/>
          <w:lang w:val="sr-Latn-ME"/>
        </w:rPr>
        <w:t>ij</w:t>
      </w:r>
      <w:r w:rsidRPr="00EC742F">
        <w:rPr>
          <w:rFonts w:eastAsia="TimesNewRoman"/>
          <w:sz w:val="22"/>
          <w:szCs w:val="22"/>
          <w:lang w:val="sr-Latn-ME"/>
        </w:rPr>
        <w:t>emija će obično biti r</w:t>
      </w:r>
      <w:r w:rsidR="00F47C5B" w:rsidRPr="00EC742F">
        <w:rPr>
          <w:rFonts w:eastAsia="TimesNewRoman"/>
          <w:sz w:val="22"/>
          <w:szCs w:val="22"/>
          <w:lang w:val="sr-Latn-ME"/>
        </w:rPr>
        <w:t>ij</w:t>
      </w:r>
      <w:r w:rsidRPr="00EC742F">
        <w:rPr>
          <w:rFonts w:eastAsia="TimesNewRoman"/>
          <w:sz w:val="22"/>
          <w:szCs w:val="22"/>
          <w:lang w:val="sr-Latn-ME"/>
        </w:rPr>
        <w:t>ešena prekidom prim</w:t>
      </w:r>
      <w:r w:rsidR="00F47C5B" w:rsidRPr="00EC742F">
        <w:rPr>
          <w:rFonts w:eastAsia="TimesNewRoman"/>
          <w:sz w:val="22"/>
          <w:szCs w:val="22"/>
          <w:lang w:val="sr-Latn-ME"/>
        </w:rPr>
        <w:t>j</w:t>
      </w:r>
      <w:r w:rsidRPr="00EC742F">
        <w:rPr>
          <w:rFonts w:eastAsia="TimesNewRoman"/>
          <w:sz w:val="22"/>
          <w:szCs w:val="22"/>
          <w:lang w:val="sr-Latn-ME"/>
        </w:rPr>
        <w:t>ene kalcijuma i drugih l</w:t>
      </w:r>
      <w:r w:rsidR="00F47C5B" w:rsidRPr="00EC742F">
        <w:rPr>
          <w:rFonts w:eastAsia="TimesNewRoman"/>
          <w:sz w:val="22"/>
          <w:szCs w:val="22"/>
          <w:lang w:val="sr-Latn-ME"/>
        </w:rPr>
        <w:t>j</w:t>
      </w:r>
      <w:r w:rsidRPr="00EC742F">
        <w:rPr>
          <w:rFonts w:eastAsia="TimesNewRoman"/>
          <w:sz w:val="22"/>
          <w:szCs w:val="22"/>
          <w:lang w:val="sr-Latn-ME"/>
        </w:rPr>
        <w:t xml:space="preserve">ekova koji tome doprinose, kao </w:t>
      </w:r>
      <w:r w:rsidR="00F47C5B" w:rsidRPr="00EC742F">
        <w:rPr>
          <w:rFonts w:eastAsia="TimesNewRoman"/>
          <w:sz w:val="22"/>
          <w:szCs w:val="22"/>
          <w:lang w:val="sr-Latn-ME"/>
        </w:rPr>
        <w:t>što</w:t>
      </w:r>
      <w:r w:rsidRPr="00EC742F">
        <w:rPr>
          <w:rFonts w:eastAsia="TimesNewRoman"/>
          <w:sz w:val="22"/>
          <w:szCs w:val="22"/>
          <w:lang w:val="sr-Latn-ME"/>
        </w:rPr>
        <w:t xml:space="preserve"> je vitamin D. Ako je hiperkalc</w:t>
      </w:r>
      <w:r w:rsidR="004E14C9" w:rsidRPr="00EC742F">
        <w:rPr>
          <w:rFonts w:eastAsia="TimesNewRoman"/>
          <w:sz w:val="22"/>
          <w:szCs w:val="22"/>
          <w:lang w:val="sr-Latn-ME"/>
        </w:rPr>
        <w:t>ij</w:t>
      </w:r>
      <w:r w:rsidRPr="00EC742F">
        <w:rPr>
          <w:rFonts w:eastAsia="TimesNewRoman"/>
          <w:sz w:val="22"/>
          <w:szCs w:val="22"/>
          <w:lang w:val="sr-Latn-ME"/>
        </w:rPr>
        <w:t>emija teška, hitna terapija je neophodna (npr. diuretici Henleove petlje, hemodijaliza, kalcitonin, bisfosfonati, trinatrijum</w:t>
      </w:r>
      <w:r w:rsidR="004E14C9" w:rsidRPr="00EC742F">
        <w:rPr>
          <w:rFonts w:eastAsia="TimesNewRoman"/>
          <w:sz w:val="22"/>
          <w:szCs w:val="22"/>
          <w:lang w:val="sr-Latn-ME"/>
        </w:rPr>
        <w:t xml:space="preserve"> </w:t>
      </w:r>
      <w:r w:rsidRPr="00EC742F">
        <w:rPr>
          <w:rFonts w:eastAsia="TimesNewRoman"/>
          <w:sz w:val="22"/>
          <w:szCs w:val="22"/>
          <w:lang w:val="sr-Latn-ME"/>
        </w:rPr>
        <w:t>edetat).</w:t>
      </w:r>
    </w:p>
    <w:p w:rsidR="006D62D7" w:rsidRPr="00EC742F" w:rsidRDefault="006D62D7" w:rsidP="006D62D7">
      <w:pPr>
        <w:autoSpaceDE w:val="0"/>
        <w:autoSpaceDN w:val="0"/>
        <w:adjustRightInd w:val="0"/>
        <w:rPr>
          <w:rFonts w:eastAsia="TimesNewRoman"/>
          <w:sz w:val="22"/>
          <w:szCs w:val="22"/>
          <w:lang w:val="sr-Latn-ME"/>
        </w:rPr>
      </w:pPr>
    </w:p>
    <w:p w:rsidR="006D62D7" w:rsidRPr="00EC742F" w:rsidRDefault="006D62D7" w:rsidP="006D62D7">
      <w:pPr>
        <w:autoSpaceDE w:val="0"/>
        <w:autoSpaceDN w:val="0"/>
        <w:adjustRightInd w:val="0"/>
        <w:jc w:val="both"/>
        <w:rPr>
          <w:rFonts w:eastAsia="TimesNewRoman"/>
          <w:sz w:val="22"/>
          <w:szCs w:val="22"/>
          <w:lang w:val="sr-Latn-ME"/>
        </w:rPr>
      </w:pPr>
      <w:r w:rsidRPr="00EC742F">
        <w:rPr>
          <w:rFonts w:eastAsia="TimesNewRoman"/>
          <w:sz w:val="22"/>
          <w:szCs w:val="22"/>
          <w:lang w:val="sr-Latn-ME"/>
        </w:rPr>
        <w:t>Prekom</w:t>
      </w:r>
      <w:r w:rsidR="00F47C5B" w:rsidRPr="00EC742F">
        <w:rPr>
          <w:rFonts w:eastAsia="TimesNewRoman"/>
          <w:sz w:val="22"/>
          <w:szCs w:val="22"/>
          <w:lang w:val="sr-Latn-ME"/>
        </w:rPr>
        <w:t>j</w:t>
      </w:r>
      <w:r w:rsidRPr="00EC742F">
        <w:rPr>
          <w:rFonts w:eastAsia="TimesNewRoman"/>
          <w:sz w:val="22"/>
          <w:szCs w:val="22"/>
          <w:lang w:val="sr-Latn-ME"/>
        </w:rPr>
        <w:t>erna prim</w:t>
      </w:r>
      <w:r w:rsidR="00F47C5B" w:rsidRPr="00EC742F">
        <w:rPr>
          <w:rFonts w:eastAsia="TimesNewRoman"/>
          <w:sz w:val="22"/>
          <w:szCs w:val="22"/>
          <w:lang w:val="sr-Latn-ME"/>
        </w:rPr>
        <w:t>j</w:t>
      </w:r>
      <w:r w:rsidRPr="00EC742F">
        <w:rPr>
          <w:rFonts w:eastAsia="TimesNewRoman"/>
          <w:sz w:val="22"/>
          <w:szCs w:val="22"/>
          <w:lang w:val="sr-Latn-ME"/>
        </w:rPr>
        <w:t>ena hlorida može dovesti do gubitka bikarbonata sa acidifikacijom.</w:t>
      </w:r>
    </w:p>
    <w:p w:rsidR="006D62D7" w:rsidRPr="00EC742F" w:rsidRDefault="006D62D7" w:rsidP="006D62D7">
      <w:pPr>
        <w:pStyle w:val="Header"/>
        <w:tabs>
          <w:tab w:val="left" w:pos="284"/>
        </w:tabs>
        <w:spacing w:before="80" w:after="80"/>
        <w:jc w:val="both"/>
        <w:rPr>
          <w:bCs/>
          <w:sz w:val="22"/>
          <w:szCs w:val="22"/>
          <w:lang w:val="sr-Latn-ME"/>
        </w:rPr>
      </w:pPr>
      <w:r w:rsidRPr="00EC742F">
        <w:rPr>
          <w:bCs/>
          <w:sz w:val="22"/>
          <w:szCs w:val="22"/>
          <w:lang w:val="sr-Latn-ME"/>
        </w:rPr>
        <w:t>Kada je predoziranje posl</w:t>
      </w:r>
      <w:r w:rsidR="004E14C9" w:rsidRPr="00EC742F">
        <w:rPr>
          <w:bCs/>
          <w:sz w:val="22"/>
          <w:szCs w:val="22"/>
          <w:lang w:val="sr-Latn-ME"/>
        </w:rPr>
        <w:t>j</w:t>
      </w:r>
      <w:r w:rsidRPr="00EC742F">
        <w:rPr>
          <w:bCs/>
          <w:sz w:val="22"/>
          <w:szCs w:val="22"/>
          <w:lang w:val="sr-Latn-ME"/>
        </w:rPr>
        <w:t>edica dodatih supstanci/l</w:t>
      </w:r>
      <w:r w:rsidR="00F47C5B" w:rsidRPr="00EC742F">
        <w:rPr>
          <w:bCs/>
          <w:sz w:val="22"/>
          <w:szCs w:val="22"/>
          <w:lang w:val="sr-Latn-ME"/>
        </w:rPr>
        <w:t>j</w:t>
      </w:r>
      <w:r w:rsidRPr="00EC742F">
        <w:rPr>
          <w:bCs/>
          <w:sz w:val="22"/>
          <w:szCs w:val="22"/>
          <w:lang w:val="sr-Latn-ME"/>
        </w:rPr>
        <w:t>ekova u rastvor, znaci i simptomi prekom</w:t>
      </w:r>
      <w:r w:rsidR="00F47C5B" w:rsidRPr="00EC742F">
        <w:rPr>
          <w:bCs/>
          <w:sz w:val="22"/>
          <w:szCs w:val="22"/>
          <w:lang w:val="sr-Latn-ME"/>
        </w:rPr>
        <w:t>j</w:t>
      </w:r>
      <w:r w:rsidRPr="00EC742F">
        <w:rPr>
          <w:bCs/>
          <w:sz w:val="22"/>
          <w:szCs w:val="22"/>
          <w:lang w:val="sr-Latn-ME"/>
        </w:rPr>
        <w:t>erne infuzije zavisiće od prirode tih dodatih l</w:t>
      </w:r>
      <w:r w:rsidR="00F47C5B" w:rsidRPr="00EC742F">
        <w:rPr>
          <w:bCs/>
          <w:sz w:val="22"/>
          <w:szCs w:val="22"/>
          <w:lang w:val="sr-Latn-ME"/>
        </w:rPr>
        <w:t>j</w:t>
      </w:r>
      <w:r w:rsidRPr="00EC742F">
        <w:rPr>
          <w:bCs/>
          <w:sz w:val="22"/>
          <w:szCs w:val="22"/>
          <w:lang w:val="sr-Latn-ME"/>
        </w:rPr>
        <w:t>ekova.</w:t>
      </w:r>
    </w:p>
    <w:p w:rsidR="006D62D7" w:rsidRPr="00EC742F" w:rsidRDefault="006D62D7" w:rsidP="006D62D7">
      <w:pPr>
        <w:pStyle w:val="Header"/>
        <w:jc w:val="both"/>
        <w:rPr>
          <w:sz w:val="22"/>
          <w:szCs w:val="22"/>
          <w:lang w:val="sr-Latn-ME"/>
        </w:rPr>
      </w:pPr>
      <w:r w:rsidRPr="00EC742F">
        <w:rPr>
          <w:sz w:val="22"/>
          <w:szCs w:val="22"/>
          <w:lang w:val="sr-Latn-ME"/>
        </w:rPr>
        <w:t>U slučaju zadesne prekom</w:t>
      </w:r>
      <w:r w:rsidR="00F47C5B" w:rsidRPr="00EC742F">
        <w:rPr>
          <w:sz w:val="22"/>
          <w:szCs w:val="22"/>
          <w:lang w:val="sr-Latn-ME"/>
        </w:rPr>
        <w:t>j</w:t>
      </w:r>
      <w:r w:rsidRPr="00EC742F">
        <w:rPr>
          <w:sz w:val="22"/>
          <w:szCs w:val="22"/>
          <w:lang w:val="sr-Latn-ME"/>
        </w:rPr>
        <w:t>erne infuzije, l</w:t>
      </w:r>
      <w:r w:rsidR="00F47C5B" w:rsidRPr="00EC742F">
        <w:rPr>
          <w:sz w:val="22"/>
          <w:szCs w:val="22"/>
          <w:lang w:val="sr-Latn-ME"/>
        </w:rPr>
        <w:t>ij</w:t>
      </w:r>
      <w:r w:rsidRPr="00EC742F">
        <w:rPr>
          <w:sz w:val="22"/>
          <w:szCs w:val="22"/>
          <w:lang w:val="sr-Latn-ME"/>
        </w:rPr>
        <w:t>ečenje se sastoji od obustavljanja infuzije</w:t>
      </w:r>
      <w:r w:rsidR="004E14C9" w:rsidRPr="00EC742F">
        <w:rPr>
          <w:sz w:val="22"/>
          <w:szCs w:val="22"/>
          <w:lang w:val="sr-Latn-ME"/>
        </w:rPr>
        <w:t>,</w:t>
      </w:r>
      <w:r w:rsidRPr="00EC742F">
        <w:rPr>
          <w:sz w:val="22"/>
          <w:szCs w:val="22"/>
          <w:lang w:val="sr-Latn-ME"/>
        </w:rPr>
        <w:t xml:space="preserve"> a pacijenta treba posmatrati kako bi se uočili odgovarajući znaci i simptomi povezani sa prim</w:t>
      </w:r>
      <w:r w:rsidR="004E14C9" w:rsidRPr="00EC742F">
        <w:rPr>
          <w:sz w:val="22"/>
          <w:szCs w:val="22"/>
          <w:lang w:val="sr-Latn-ME"/>
        </w:rPr>
        <w:t>i</w:t>
      </w:r>
      <w:r w:rsidR="00F47C5B" w:rsidRPr="00EC742F">
        <w:rPr>
          <w:sz w:val="22"/>
          <w:szCs w:val="22"/>
          <w:lang w:val="sr-Latn-ME"/>
        </w:rPr>
        <w:t>j</w:t>
      </w:r>
      <w:r w:rsidRPr="00EC742F">
        <w:rPr>
          <w:sz w:val="22"/>
          <w:szCs w:val="22"/>
          <w:lang w:val="sr-Latn-ME"/>
        </w:rPr>
        <w:t>enjenim (dodatim) l</w:t>
      </w:r>
      <w:r w:rsidR="00F47C5B" w:rsidRPr="00EC742F">
        <w:rPr>
          <w:sz w:val="22"/>
          <w:szCs w:val="22"/>
          <w:lang w:val="sr-Latn-ME"/>
        </w:rPr>
        <w:t>ij</w:t>
      </w:r>
      <w:r w:rsidRPr="00EC742F">
        <w:rPr>
          <w:sz w:val="22"/>
          <w:szCs w:val="22"/>
          <w:lang w:val="sr-Latn-ME"/>
        </w:rPr>
        <w:t>ekom.</w:t>
      </w:r>
    </w:p>
    <w:p w:rsidR="006D62D7" w:rsidRPr="00EC742F" w:rsidRDefault="006D62D7" w:rsidP="00EC742F">
      <w:pPr>
        <w:pStyle w:val="Header"/>
        <w:tabs>
          <w:tab w:val="left" w:pos="284"/>
        </w:tabs>
        <w:jc w:val="both"/>
        <w:rPr>
          <w:bCs/>
          <w:sz w:val="22"/>
          <w:szCs w:val="22"/>
          <w:lang w:val="sr-Latn-ME"/>
        </w:rPr>
      </w:pPr>
    </w:p>
    <w:p w:rsidR="006D62D7" w:rsidRPr="00EC742F" w:rsidRDefault="006D62D7" w:rsidP="006D62D7">
      <w:pPr>
        <w:pStyle w:val="Header"/>
        <w:tabs>
          <w:tab w:val="left" w:pos="284"/>
        </w:tabs>
        <w:spacing w:before="80" w:after="80"/>
        <w:jc w:val="both"/>
        <w:rPr>
          <w:bCs/>
          <w:sz w:val="22"/>
          <w:szCs w:val="22"/>
          <w:lang w:val="sr-Latn-ME"/>
        </w:rPr>
      </w:pPr>
      <w:r w:rsidRPr="00EC742F">
        <w:rPr>
          <w:bCs/>
          <w:sz w:val="22"/>
          <w:szCs w:val="22"/>
          <w:lang w:val="sr-Latn-ME"/>
        </w:rPr>
        <w:t>Odgovarajuće simptomatske i suportivne m</w:t>
      </w:r>
      <w:r w:rsidR="00F47C5B" w:rsidRPr="00EC742F">
        <w:rPr>
          <w:bCs/>
          <w:sz w:val="22"/>
          <w:szCs w:val="22"/>
          <w:lang w:val="sr-Latn-ME"/>
        </w:rPr>
        <w:t>j</w:t>
      </w:r>
      <w:r w:rsidRPr="00EC742F">
        <w:rPr>
          <w:bCs/>
          <w:sz w:val="22"/>
          <w:szCs w:val="22"/>
          <w:lang w:val="sr-Latn-ME"/>
        </w:rPr>
        <w:t>ere treba da se prim</w:t>
      </w:r>
      <w:r w:rsidR="004E14C9" w:rsidRPr="00EC742F">
        <w:rPr>
          <w:bCs/>
          <w:sz w:val="22"/>
          <w:szCs w:val="22"/>
          <w:lang w:val="sr-Latn-ME"/>
        </w:rPr>
        <w:t>i</w:t>
      </w:r>
      <w:r w:rsidR="00F47C5B" w:rsidRPr="00EC742F">
        <w:rPr>
          <w:bCs/>
          <w:sz w:val="22"/>
          <w:szCs w:val="22"/>
          <w:lang w:val="sr-Latn-ME"/>
        </w:rPr>
        <w:t>j</w:t>
      </w:r>
      <w:r w:rsidRPr="00EC742F">
        <w:rPr>
          <w:bCs/>
          <w:sz w:val="22"/>
          <w:szCs w:val="22"/>
          <w:lang w:val="sr-Latn-ME"/>
        </w:rPr>
        <w:t xml:space="preserve">ene po potrebi. </w:t>
      </w:r>
    </w:p>
    <w:p w:rsidR="00F656A5" w:rsidRPr="00EC742F" w:rsidRDefault="00F656A5" w:rsidP="006D62D7">
      <w:pPr>
        <w:tabs>
          <w:tab w:val="left" w:pos="540"/>
          <w:tab w:val="left" w:pos="569"/>
        </w:tabs>
        <w:jc w:val="both"/>
        <w:rPr>
          <w:b/>
          <w:bCs/>
          <w:sz w:val="22"/>
          <w:szCs w:val="22"/>
          <w:lang w:val="sr-Latn-ME"/>
        </w:rPr>
      </w:pPr>
    </w:p>
    <w:p w:rsidR="00895CCF" w:rsidRPr="00EC742F" w:rsidRDefault="00895CCF" w:rsidP="006D62D7">
      <w:pPr>
        <w:tabs>
          <w:tab w:val="left" w:pos="540"/>
          <w:tab w:val="left" w:pos="569"/>
        </w:tabs>
        <w:jc w:val="both"/>
        <w:rPr>
          <w:b/>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5. </w:t>
      </w:r>
      <w:r w:rsidR="00480FB1" w:rsidRPr="00EC742F">
        <w:rPr>
          <w:b/>
          <w:bCs/>
          <w:sz w:val="22"/>
          <w:szCs w:val="22"/>
          <w:lang w:val="sr-Latn-ME"/>
        </w:rPr>
        <w:tab/>
      </w:r>
      <w:r w:rsidRPr="00EC742F">
        <w:rPr>
          <w:b/>
          <w:bCs/>
          <w:sz w:val="22"/>
          <w:szCs w:val="22"/>
          <w:lang w:val="sr-Latn-ME"/>
        </w:rPr>
        <w:t>FARMAKOLOŠK</w:t>
      </w:r>
      <w:r w:rsidR="000D425A" w:rsidRPr="00EC742F">
        <w:rPr>
          <w:b/>
          <w:bCs/>
          <w:sz w:val="22"/>
          <w:szCs w:val="22"/>
          <w:lang w:val="sr-Latn-ME"/>
        </w:rPr>
        <w:t>I</w:t>
      </w:r>
      <w:r w:rsidRPr="00EC742F">
        <w:rPr>
          <w:b/>
          <w:bCs/>
          <w:sz w:val="22"/>
          <w:szCs w:val="22"/>
          <w:lang w:val="sr-Latn-ME"/>
        </w:rPr>
        <w:t xml:space="preserve"> PODACI</w:t>
      </w:r>
    </w:p>
    <w:p w:rsidR="0072020E" w:rsidRPr="00EC742F" w:rsidRDefault="0072020E" w:rsidP="00480FB1">
      <w:pPr>
        <w:tabs>
          <w:tab w:val="left" w:pos="540"/>
          <w:tab w:val="left" w:pos="569"/>
        </w:tabs>
        <w:rPr>
          <w:b/>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5.1. </w:t>
      </w:r>
      <w:r w:rsidR="00480FB1" w:rsidRPr="00EC742F">
        <w:rPr>
          <w:b/>
          <w:bCs/>
          <w:sz w:val="22"/>
          <w:szCs w:val="22"/>
          <w:lang w:val="sr-Latn-ME"/>
        </w:rPr>
        <w:tab/>
      </w:r>
      <w:r w:rsidRPr="00EC742F">
        <w:rPr>
          <w:b/>
          <w:bCs/>
          <w:sz w:val="22"/>
          <w:szCs w:val="22"/>
          <w:lang w:val="sr-Latn-ME"/>
        </w:rPr>
        <w:t>Farmakodinamski podaci</w:t>
      </w:r>
      <w:r w:rsidR="003A7059" w:rsidRPr="00EC742F">
        <w:rPr>
          <w:b/>
          <w:bCs/>
          <w:sz w:val="22"/>
          <w:szCs w:val="22"/>
          <w:lang w:val="sr-Latn-ME"/>
        </w:rPr>
        <w:t xml:space="preserve"> </w:t>
      </w:r>
    </w:p>
    <w:p w:rsidR="00F45F77" w:rsidRPr="00EC742F" w:rsidRDefault="00F45F77" w:rsidP="00480FB1">
      <w:pPr>
        <w:tabs>
          <w:tab w:val="left" w:pos="540"/>
          <w:tab w:val="left" w:pos="569"/>
        </w:tabs>
        <w:rPr>
          <w:b/>
          <w:bCs/>
          <w:sz w:val="22"/>
          <w:szCs w:val="22"/>
          <w:lang w:val="sr-Latn-ME"/>
        </w:rPr>
      </w:pPr>
    </w:p>
    <w:p w:rsidR="0072020E" w:rsidRPr="00EC742F" w:rsidRDefault="0072020E" w:rsidP="00480FB1">
      <w:pPr>
        <w:tabs>
          <w:tab w:val="left" w:pos="540"/>
          <w:tab w:val="left" w:pos="569"/>
        </w:tabs>
        <w:rPr>
          <w:bCs/>
          <w:sz w:val="22"/>
          <w:szCs w:val="22"/>
          <w:lang w:val="sr-Latn-ME"/>
        </w:rPr>
      </w:pPr>
      <w:r w:rsidRPr="00EC742F">
        <w:rPr>
          <w:bCs/>
          <w:sz w:val="22"/>
          <w:szCs w:val="22"/>
          <w:lang w:val="sr-Latn-ME"/>
        </w:rPr>
        <w:t>Farmakoterapijska grupa:</w:t>
      </w:r>
      <w:r w:rsidR="000F5D5F" w:rsidRPr="00EC742F">
        <w:rPr>
          <w:bCs/>
          <w:sz w:val="22"/>
          <w:szCs w:val="22"/>
          <w:lang w:val="sr-Latn-ME"/>
        </w:rPr>
        <w:t xml:space="preserve"> Rastvori za elektrolitni disbalans.</w:t>
      </w:r>
    </w:p>
    <w:p w:rsidR="0072020E" w:rsidRPr="00EC742F" w:rsidRDefault="0072020E" w:rsidP="00480FB1">
      <w:pPr>
        <w:tabs>
          <w:tab w:val="left" w:pos="540"/>
          <w:tab w:val="left" w:pos="569"/>
        </w:tabs>
        <w:rPr>
          <w:bCs/>
          <w:sz w:val="22"/>
          <w:szCs w:val="22"/>
          <w:lang w:val="sr-Latn-ME"/>
        </w:rPr>
      </w:pPr>
    </w:p>
    <w:p w:rsidR="0072020E" w:rsidRPr="00EC742F" w:rsidRDefault="000F5D5F" w:rsidP="00480FB1">
      <w:pPr>
        <w:tabs>
          <w:tab w:val="left" w:pos="540"/>
          <w:tab w:val="left" w:pos="569"/>
        </w:tabs>
        <w:rPr>
          <w:bCs/>
          <w:sz w:val="22"/>
          <w:szCs w:val="22"/>
          <w:lang w:val="sr-Latn-ME"/>
        </w:rPr>
      </w:pPr>
      <w:r w:rsidRPr="00EC742F">
        <w:rPr>
          <w:bCs/>
          <w:sz w:val="22"/>
          <w:szCs w:val="22"/>
          <w:lang w:val="sr-Latn-ME"/>
        </w:rPr>
        <w:t xml:space="preserve">ATC </w:t>
      </w:r>
      <w:r w:rsidR="00D03331" w:rsidRPr="00EC742F">
        <w:rPr>
          <w:bCs/>
          <w:sz w:val="22"/>
          <w:szCs w:val="22"/>
          <w:lang w:val="sr-Latn-ME"/>
        </w:rPr>
        <w:t>kod</w:t>
      </w:r>
      <w:r w:rsidR="0072020E" w:rsidRPr="00EC742F">
        <w:rPr>
          <w:bCs/>
          <w:sz w:val="22"/>
          <w:szCs w:val="22"/>
          <w:lang w:val="sr-Latn-ME"/>
        </w:rPr>
        <w:t>:</w:t>
      </w:r>
      <w:r w:rsidRPr="00EC742F">
        <w:rPr>
          <w:bCs/>
          <w:sz w:val="22"/>
          <w:szCs w:val="22"/>
          <w:lang w:val="sr-Latn-ME"/>
        </w:rPr>
        <w:t xml:space="preserve"> B05BB01</w:t>
      </w:r>
    </w:p>
    <w:p w:rsidR="004E14C9" w:rsidRPr="00EC742F" w:rsidRDefault="004E14C9" w:rsidP="000A0D2B">
      <w:pPr>
        <w:jc w:val="both"/>
        <w:rPr>
          <w:sz w:val="22"/>
          <w:szCs w:val="22"/>
          <w:lang w:val="sr-Latn-ME"/>
        </w:rPr>
      </w:pPr>
    </w:p>
    <w:p w:rsidR="000A0D2B" w:rsidRPr="00EC742F" w:rsidRDefault="000A0D2B" w:rsidP="000A0D2B">
      <w:pPr>
        <w:jc w:val="both"/>
        <w:rPr>
          <w:sz w:val="22"/>
          <w:szCs w:val="22"/>
          <w:lang w:val="sr-Latn-ME"/>
        </w:rPr>
      </w:pPr>
      <w:r w:rsidRPr="00EC742F">
        <w:rPr>
          <w:sz w:val="22"/>
          <w:szCs w:val="22"/>
          <w:lang w:val="sr-Latn-ME"/>
        </w:rPr>
        <w:t>L</w:t>
      </w:r>
      <w:r w:rsidR="00F96BD7" w:rsidRPr="00EC742F">
        <w:rPr>
          <w:sz w:val="22"/>
          <w:szCs w:val="22"/>
          <w:lang w:val="sr-Latn-ME"/>
        </w:rPr>
        <w:t>ij</w:t>
      </w:r>
      <w:r w:rsidRPr="00EC742F">
        <w:rPr>
          <w:sz w:val="22"/>
          <w:szCs w:val="22"/>
          <w:lang w:val="sr-Latn-ME"/>
        </w:rPr>
        <w:t>ek Ringerov rastvor B. Braun ima sličan sadržaj elektrolita koji je i prirodno prisutan u t</w:t>
      </w:r>
      <w:r w:rsidR="00F96BD7" w:rsidRPr="00EC742F">
        <w:rPr>
          <w:sz w:val="22"/>
          <w:szCs w:val="22"/>
          <w:lang w:val="sr-Latn-ME"/>
        </w:rPr>
        <w:t>ij</w:t>
      </w:r>
      <w:r w:rsidRPr="00EC742F">
        <w:rPr>
          <w:sz w:val="22"/>
          <w:szCs w:val="22"/>
          <w:lang w:val="sr-Latn-ME"/>
        </w:rPr>
        <w:t>elu. Prema sadržaju elektrolita, ovaj rastvor je izotoničan i prim</w:t>
      </w:r>
      <w:r w:rsidR="00F96BD7" w:rsidRPr="00EC742F">
        <w:rPr>
          <w:sz w:val="22"/>
          <w:szCs w:val="22"/>
          <w:lang w:val="sr-Latn-ME"/>
        </w:rPr>
        <w:t>j</w:t>
      </w:r>
      <w:r w:rsidRPr="00EC742F">
        <w:rPr>
          <w:sz w:val="22"/>
          <w:szCs w:val="22"/>
          <w:lang w:val="sr-Latn-ME"/>
        </w:rPr>
        <w:t xml:space="preserve">enjuje se intravenskom infuzijom kao tretman gubitaka tečnosti. </w:t>
      </w:r>
      <w:r w:rsidR="004447A3" w:rsidRPr="00EC742F">
        <w:rPr>
          <w:sz w:val="22"/>
          <w:szCs w:val="22"/>
          <w:lang w:val="sr-Latn-ME"/>
        </w:rPr>
        <w:t xml:space="preserve">Lijek </w:t>
      </w:r>
      <w:r w:rsidRPr="00EC742F">
        <w:rPr>
          <w:sz w:val="22"/>
          <w:szCs w:val="22"/>
          <w:lang w:val="sr-Latn-ME"/>
        </w:rPr>
        <w:t>Ringerov rastvor sadrži istu koncentraciju natrijuma, kalijuma, kalcijuma i hlorida kao plazma.</w:t>
      </w:r>
    </w:p>
    <w:p w:rsidR="000A0D2B" w:rsidRPr="00EC742F" w:rsidRDefault="000A0D2B" w:rsidP="000A0D2B">
      <w:pPr>
        <w:shd w:val="clear" w:color="auto" w:fill="FFFFFF"/>
        <w:jc w:val="both"/>
        <w:textAlignment w:val="top"/>
        <w:rPr>
          <w:sz w:val="22"/>
          <w:szCs w:val="22"/>
          <w:lang w:val="sr-Latn-ME"/>
        </w:rPr>
      </w:pPr>
    </w:p>
    <w:p w:rsidR="000A0D2B" w:rsidRPr="00EC742F" w:rsidRDefault="000A0D2B" w:rsidP="000A0D2B">
      <w:pPr>
        <w:shd w:val="clear" w:color="auto" w:fill="FFFFFF"/>
        <w:jc w:val="both"/>
        <w:textAlignment w:val="top"/>
        <w:rPr>
          <w:sz w:val="22"/>
          <w:szCs w:val="22"/>
          <w:lang w:val="sr-Latn-ME"/>
        </w:rPr>
      </w:pPr>
      <w:r w:rsidRPr="00EC742F">
        <w:rPr>
          <w:sz w:val="22"/>
          <w:szCs w:val="22"/>
          <w:lang w:val="sr-Latn-ME"/>
        </w:rPr>
        <w:t>Stoga, upotreba l</w:t>
      </w:r>
      <w:r w:rsidR="00F96BD7" w:rsidRPr="00EC742F">
        <w:rPr>
          <w:sz w:val="22"/>
          <w:szCs w:val="22"/>
          <w:lang w:val="sr-Latn-ME"/>
        </w:rPr>
        <w:t>ij</w:t>
      </w:r>
      <w:r w:rsidRPr="00EC742F">
        <w:rPr>
          <w:sz w:val="22"/>
          <w:szCs w:val="22"/>
          <w:lang w:val="sr-Latn-ME"/>
        </w:rPr>
        <w:t>eka Ringerov rastvor B. Braun ne dovodi do povećanja koncentracije navedenih elektrolita u plazmi kada se posmatraju indikacije i kontraindikacije.</w:t>
      </w:r>
    </w:p>
    <w:p w:rsidR="00D84F27" w:rsidRPr="00EC742F" w:rsidRDefault="00D84F27" w:rsidP="00D84F27">
      <w:pPr>
        <w:shd w:val="clear" w:color="auto" w:fill="FFFFFF"/>
        <w:jc w:val="both"/>
        <w:textAlignment w:val="top"/>
        <w:rPr>
          <w:sz w:val="22"/>
          <w:szCs w:val="22"/>
          <w:lang w:val="sr-Latn-ME"/>
        </w:rPr>
      </w:pPr>
      <w:r w:rsidRPr="00EC742F">
        <w:rPr>
          <w:sz w:val="22"/>
          <w:szCs w:val="22"/>
          <w:lang w:val="sr-Latn-ME"/>
        </w:rPr>
        <w:t>Elektroliti Na</w:t>
      </w:r>
      <w:r w:rsidRPr="00EC742F">
        <w:rPr>
          <w:sz w:val="22"/>
          <w:szCs w:val="22"/>
          <w:vertAlign w:val="superscript"/>
          <w:lang w:val="sr-Latn-ME"/>
        </w:rPr>
        <w:t>+</w:t>
      </w:r>
      <w:r w:rsidRPr="00EC742F">
        <w:rPr>
          <w:sz w:val="22"/>
          <w:szCs w:val="22"/>
          <w:lang w:val="sr-Latn-ME"/>
        </w:rPr>
        <w:t>, K</w:t>
      </w:r>
      <w:r w:rsidRPr="00EC742F">
        <w:rPr>
          <w:sz w:val="22"/>
          <w:szCs w:val="22"/>
          <w:vertAlign w:val="superscript"/>
          <w:lang w:val="sr-Latn-ME"/>
        </w:rPr>
        <w:t>+</w:t>
      </w:r>
      <w:r w:rsidRPr="00EC742F">
        <w:rPr>
          <w:sz w:val="22"/>
          <w:szCs w:val="22"/>
          <w:lang w:val="sr-Latn-ME"/>
        </w:rPr>
        <w:t>, Ca</w:t>
      </w:r>
      <w:r w:rsidRPr="00EC742F">
        <w:rPr>
          <w:sz w:val="22"/>
          <w:szCs w:val="22"/>
          <w:vertAlign w:val="superscript"/>
          <w:lang w:val="sr-Latn-ME"/>
        </w:rPr>
        <w:t>2+</w:t>
      </w:r>
      <w:r w:rsidRPr="00EC742F">
        <w:rPr>
          <w:sz w:val="22"/>
          <w:szCs w:val="22"/>
          <w:lang w:val="sr-Latn-ME"/>
        </w:rPr>
        <w:t xml:space="preserve"> i Cl</w:t>
      </w:r>
      <w:r w:rsidRPr="00EC742F">
        <w:rPr>
          <w:sz w:val="22"/>
          <w:szCs w:val="22"/>
          <w:vertAlign w:val="superscript"/>
          <w:lang w:val="sr-Latn-ME"/>
        </w:rPr>
        <w:t xml:space="preserve">- </w:t>
      </w:r>
      <w:r w:rsidRPr="00EC742F">
        <w:rPr>
          <w:sz w:val="22"/>
          <w:szCs w:val="22"/>
          <w:lang w:val="sr-Latn-ME"/>
        </w:rPr>
        <w:t>se koriste da održe ili koriguju ravnotežu vode i elektrolita (uključujući volumen krvi, osmotsku ravnotežu, acido-baznu ravnotežu i efekte specifičnih jona).</w:t>
      </w:r>
    </w:p>
    <w:p w:rsidR="00D84F27" w:rsidRPr="00EC742F" w:rsidRDefault="00D84F27" w:rsidP="00D84F27">
      <w:pPr>
        <w:jc w:val="both"/>
        <w:rPr>
          <w:sz w:val="22"/>
          <w:szCs w:val="22"/>
          <w:lang w:val="sr-Latn-ME"/>
        </w:rPr>
      </w:pPr>
    </w:p>
    <w:p w:rsidR="00D84F27" w:rsidRPr="00EC742F" w:rsidRDefault="00D84F27" w:rsidP="00D84F27">
      <w:pPr>
        <w:jc w:val="both"/>
        <w:rPr>
          <w:sz w:val="22"/>
          <w:szCs w:val="22"/>
          <w:lang w:val="sr-Latn-ME"/>
        </w:rPr>
      </w:pPr>
      <w:r w:rsidRPr="00EC742F">
        <w:rPr>
          <w:sz w:val="22"/>
          <w:szCs w:val="22"/>
          <w:lang w:val="sr-Latn-ME"/>
        </w:rPr>
        <w:t>Zbog relativno visokog sadržaja hlorida, ovaj rastvor ima blago kiseli efekat.</w:t>
      </w:r>
    </w:p>
    <w:p w:rsidR="00D84F27" w:rsidRPr="00EC742F" w:rsidRDefault="00D84F27" w:rsidP="00D84F27">
      <w:pPr>
        <w:jc w:val="both"/>
        <w:rPr>
          <w:sz w:val="22"/>
          <w:szCs w:val="22"/>
          <w:lang w:val="sr-Latn-ME"/>
        </w:rPr>
      </w:pPr>
    </w:p>
    <w:p w:rsidR="00EC742F" w:rsidRDefault="00EC742F" w:rsidP="00480FB1">
      <w:pPr>
        <w:tabs>
          <w:tab w:val="left" w:pos="540"/>
          <w:tab w:val="left" w:pos="569"/>
        </w:tabs>
        <w:rPr>
          <w:b/>
          <w:bCs/>
          <w:sz w:val="22"/>
          <w:szCs w:val="22"/>
          <w:lang w:val="sr-Latn-ME"/>
        </w:rPr>
      </w:pPr>
    </w:p>
    <w:p w:rsidR="00EC742F" w:rsidRDefault="00EC742F" w:rsidP="00480FB1">
      <w:pPr>
        <w:tabs>
          <w:tab w:val="left" w:pos="540"/>
          <w:tab w:val="left" w:pos="569"/>
        </w:tabs>
        <w:rPr>
          <w:b/>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lastRenderedPageBreak/>
        <w:t xml:space="preserve">5.2. </w:t>
      </w:r>
      <w:r w:rsidR="00480FB1" w:rsidRPr="00EC742F">
        <w:rPr>
          <w:b/>
          <w:bCs/>
          <w:sz w:val="22"/>
          <w:szCs w:val="22"/>
          <w:lang w:val="sr-Latn-ME"/>
        </w:rPr>
        <w:tab/>
      </w:r>
      <w:r w:rsidRPr="00EC742F">
        <w:rPr>
          <w:b/>
          <w:bCs/>
          <w:sz w:val="22"/>
          <w:szCs w:val="22"/>
          <w:lang w:val="sr-Latn-ME"/>
        </w:rPr>
        <w:t>Farmakokinetički podaci</w:t>
      </w:r>
      <w:r w:rsidR="003A7059" w:rsidRPr="00EC742F">
        <w:rPr>
          <w:b/>
          <w:bCs/>
          <w:sz w:val="22"/>
          <w:szCs w:val="22"/>
          <w:lang w:val="sr-Latn-ME"/>
        </w:rPr>
        <w:t xml:space="preserve"> </w:t>
      </w:r>
    </w:p>
    <w:p w:rsidR="00B53955" w:rsidRPr="00EC742F" w:rsidRDefault="00B53955" w:rsidP="00480FB1">
      <w:pPr>
        <w:tabs>
          <w:tab w:val="left" w:pos="540"/>
          <w:tab w:val="left" w:pos="569"/>
        </w:tabs>
        <w:rPr>
          <w:b/>
          <w:bCs/>
          <w:sz w:val="22"/>
          <w:szCs w:val="22"/>
          <w:lang w:val="sr-Latn-ME"/>
        </w:rPr>
      </w:pPr>
    </w:p>
    <w:p w:rsidR="00B53955" w:rsidRPr="00EC742F" w:rsidRDefault="00B53955" w:rsidP="00B53955">
      <w:pPr>
        <w:spacing w:line="276" w:lineRule="auto"/>
        <w:jc w:val="both"/>
        <w:rPr>
          <w:bCs/>
          <w:sz w:val="22"/>
          <w:szCs w:val="22"/>
          <w:lang w:val="sr-Latn-ME"/>
        </w:rPr>
      </w:pPr>
      <w:r w:rsidRPr="00EC742F">
        <w:rPr>
          <w:bCs/>
          <w:sz w:val="22"/>
          <w:szCs w:val="22"/>
          <w:lang w:val="sr-Latn-ME"/>
        </w:rPr>
        <w:t>Kako se l</w:t>
      </w:r>
      <w:r w:rsidR="009D17E9" w:rsidRPr="00EC742F">
        <w:rPr>
          <w:bCs/>
          <w:sz w:val="22"/>
          <w:szCs w:val="22"/>
          <w:lang w:val="sr-Latn-ME"/>
        </w:rPr>
        <w:t>ij</w:t>
      </w:r>
      <w:r w:rsidRPr="00EC742F">
        <w:rPr>
          <w:bCs/>
          <w:sz w:val="22"/>
          <w:szCs w:val="22"/>
          <w:lang w:val="sr-Latn-ME"/>
        </w:rPr>
        <w:t>ek Ringerov rastvor B. Braun prim</w:t>
      </w:r>
      <w:r w:rsidR="009D17E9" w:rsidRPr="00EC742F">
        <w:rPr>
          <w:bCs/>
          <w:sz w:val="22"/>
          <w:szCs w:val="22"/>
          <w:lang w:val="sr-Latn-ME"/>
        </w:rPr>
        <w:t>j</w:t>
      </w:r>
      <w:r w:rsidRPr="00EC742F">
        <w:rPr>
          <w:bCs/>
          <w:sz w:val="22"/>
          <w:szCs w:val="22"/>
          <w:lang w:val="sr-Latn-ME"/>
        </w:rPr>
        <w:t>enjuje kao intravenska infuzija, bioraspoloživost je 100%.</w:t>
      </w:r>
    </w:p>
    <w:p w:rsidR="00B53955" w:rsidRPr="00EC742F" w:rsidRDefault="00B53955" w:rsidP="00B53955">
      <w:pPr>
        <w:spacing w:before="120"/>
        <w:jc w:val="both"/>
        <w:rPr>
          <w:sz w:val="22"/>
          <w:szCs w:val="22"/>
          <w:lang w:val="sr-Latn-ME"/>
        </w:rPr>
      </w:pPr>
      <w:r w:rsidRPr="00EC742F">
        <w:rPr>
          <w:sz w:val="22"/>
          <w:szCs w:val="22"/>
          <w:lang w:val="sr-Latn-ME"/>
        </w:rPr>
        <w:t>Natrijum i hlorid se uglavnom distribuiraju u ekstracelularnom prostoru, dok se kalijum i kalcijum uglavnom distribuiraju u intracelularnom prostoru.</w:t>
      </w:r>
    </w:p>
    <w:p w:rsidR="00B53955" w:rsidRPr="00EC742F" w:rsidRDefault="00B53955" w:rsidP="00B53955">
      <w:pPr>
        <w:shd w:val="clear" w:color="auto" w:fill="FFFFFF"/>
        <w:jc w:val="both"/>
        <w:textAlignment w:val="top"/>
        <w:rPr>
          <w:sz w:val="22"/>
          <w:szCs w:val="22"/>
          <w:lang w:val="sr-Latn-ME"/>
        </w:rPr>
      </w:pPr>
    </w:p>
    <w:p w:rsidR="00B53955" w:rsidRPr="00EC742F" w:rsidRDefault="00B53955" w:rsidP="00B53955">
      <w:pPr>
        <w:shd w:val="clear" w:color="auto" w:fill="FFFFFF"/>
        <w:jc w:val="both"/>
        <w:textAlignment w:val="top"/>
        <w:rPr>
          <w:sz w:val="22"/>
          <w:szCs w:val="22"/>
          <w:lang w:val="sr-Latn-ME"/>
        </w:rPr>
      </w:pPr>
      <w:r w:rsidRPr="00EC742F">
        <w:rPr>
          <w:sz w:val="22"/>
          <w:szCs w:val="22"/>
          <w:lang w:val="sr-Latn-ME"/>
        </w:rPr>
        <w:t>Bubrezi predstavljaju glavni regulator balansa tečnosti. Natrijum i hlorid se uglavnom izlučuju bubrezima, iako se male količine mogu izlučiti i putem stolice i znoja. Kalijum se izlučuje 90% urinarnim traktom i 10% gastrointestinalnim. Približno jednake količine kalcijuma izlučuju se putem bubrega i preko stolice.</w:t>
      </w:r>
    </w:p>
    <w:p w:rsidR="00B53955" w:rsidRPr="00EC742F" w:rsidRDefault="00B53955" w:rsidP="00B53955">
      <w:pPr>
        <w:pStyle w:val="Header"/>
        <w:tabs>
          <w:tab w:val="left" w:pos="284"/>
        </w:tabs>
        <w:jc w:val="both"/>
        <w:rPr>
          <w:sz w:val="22"/>
          <w:szCs w:val="22"/>
          <w:lang w:val="sr-Latn-ME"/>
        </w:rPr>
      </w:pPr>
    </w:p>
    <w:p w:rsidR="00B53955" w:rsidRPr="00EC742F" w:rsidRDefault="00B53955" w:rsidP="00B53955">
      <w:pPr>
        <w:shd w:val="clear" w:color="auto" w:fill="FFFFFF"/>
        <w:jc w:val="both"/>
        <w:textAlignment w:val="top"/>
        <w:rPr>
          <w:sz w:val="22"/>
          <w:szCs w:val="22"/>
          <w:lang w:val="sr-Latn-ME"/>
        </w:rPr>
      </w:pPr>
      <w:r w:rsidRPr="00EC742F">
        <w:rPr>
          <w:sz w:val="22"/>
          <w:szCs w:val="22"/>
          <w:lang w:val="sr-Latn-ME"/>
        </w:rPr>
        <w:t>Farmakokinetika pojedinačnih komponenti rastvora nije narušena istovremenom prim</w:t>
      </w:r>
      <w:r w:rsidR="009D17E9" w:rsidRPr="00EC742F">
        <w:rPr>
          <w:sz w:val="22"/>
          <w:szCs w:val="22"/>
          <w:lang w:val="sr-Latn-ME"/>
        </w:rPr>
        <w:t>j</w:t>
      </w:r>
      <w:r w:rsidRPr="00EC742F">
        <w:rPr>
          <w:sz w:val="22"/>
          <w:szCs w:val="22"/>
          <w:lang w:val="sr-Latn-ME"/>
        </w:rPr>
        <w:t>enom u rastvoru za infuziju.</w:t>
      </w:r>
    </w:p>
    <w:p w:rsidR="00B53955" w:rsidRPr="00EC742F" w:rsidRDefault="00B53955" w:rsidP="00480FB1">
      <w:pPr>
        <w:tabs>
          <w:tab w:val="left" w:pos="540"/>
          <w:tab w:val="left" w:pos="569"/>
        </w:tabs>
        <w:rPr>
          <w:b/>
          <w:bCs/>
          <w:sz w:val="22"/>
          <w:szCs w:val="22"/>
          <w:lang w:val="sr-Latn-ME"/>
        </w:rPr>
      </w:pPr>
    </w:p>
    <w:p w:rsidR="0072020E" w:rsidRPr="00EC742F" w:rsidRDefault="0072020E" w:rsidP="00D522A9">
      <w:pPr>
        <w:tabs>
          <w:tab w:val="left" w:pos="540"/>
          <w:tab w:val="left" w:pos="569"/>
          <w:tab w:val="center" w:pos="4536"/>
        </w:tabs>
        <w:rPr>
          <w:b/>
          <w:bCs/>
          <w:sz w:val="22"/>
          <w:szCs w:val="22"/>
          <w:lang w:val="sr-Latn-ME"/>
        </w:rPr>
      </w:pPr>
      <w:r w:rsidRPr="00EC742F">
        <w:rPr>
          <w:b/>
          <w:bCs/>
          <w:sz w:val="22"/>
          <w:szCs w:val="22"/>
          <w:lang w:val="sr-Latn-ME"/>
        </w:rPr>
        <w:t xml:space="preserve">5.3. </w:t>
      </w:r>
      <w:r w:rsidR="00480FB1" w:rsidRPr="00EC742F">
        <w:rPr>
          <w:b/>
          <w:bCs/>
          <w:sz w:val="22"/>
          <w:szCs w:val="22"/>
          <w:lang w:val="sr-Latn-ME"/>
        </w:rPr>
        <w:tab/>
      </w:r>
      <w:r w:rsidRPr="00EC742F">
        <w:rPr>
          <w:b/>
          <w:bCs/>
          <w:sz w:val="22"/>
          <w:szCs w:val="22"/>
          <w:lang w:val="sr-Latn-ME"/>
        </w:rPr>
        <w:t xml:space="preserve">Pretklinički podaci o bezbjednosti </w:t>
      </w:r>
      <w:r w:rsidR="00D522A9" w:rsidRPr="00EC742F">
        <w:rPr>
          <w:b/>
          <w:bCs/>
          <w:sz w:val="22"/>
          <w:szCs w:val="22"/>
          <w:lang w:val="sr-Latn-ME"/>
        </w:rPr>
        <w:tab/>
      </w:r>
    </w:p>
    <w:p w:rsidR="00D522A9" w:rsidRPr="00EC742F" w:rsidRDefault="00D522A9" w:rsidP="00D522A9">
      <w:pPr>
        <w:tabs>
          <w:tab w:val="left" w:pos="540"/>
          <w:tab w:val="left" w:pos="569"/>
          <w:tab w:val="center" w:pos="4536"/>
        </w:tabs>
        <w:rPr>
          <w:b/>
          <w:bCs/>
          <w:sz w:val="22"/>
          <w:szCs w:val="22"/>
          <w:lang w:val="sr-Latn-ME"/>
        </w:rPr>
      </w:pPr>
    </w:p>
    <w:p w:rsidR="00D522A9" w:rsidRPr="00EC742F" w:rsidRDefault="00D522A9" w:rsidP="00D522A9">
      <w:pPr>
        <w:pStyle w:val="Header"/>
        <w:tabs>
          <w:tab w:val="left" w:pos="284"/>
        </w:tabs>
        <w:jc w:val="both"/>
        <w:rPr>
          <w:sz w:val="22"/>
          <w:szCs w:val="22"/>
          <w:lang w:val="sr-Latn-ME"/>
        </w:rPr>
      </w:pPr>
      <w:r w:rsidRPr="00EC742F">
        <w:rPr>
          <w:sz w:val="22"/>
          <w:szCs w:val="22"/>
          <w:lang w:val="sr-Latn-ME"/>
        </w:rPr>
        <w:t xml:space="preserve">Nema sprovedenih pretkliničkih studija za lijek Ringerov rastvor B. Braun. </w:t>
      </w:r>
    </w:p>
    <w:p w:rsidR="00D522A9" w:rsidRPr="00EC742F" w:rsidRDefault="00D522A9" w:rsidP="00D522A9">
      <w:pPr>
        <w:jc w:val="both"/>
        <w:rPr>
          <w:sz w:val="22"/>
          <w:szCs w:val="22"/>
          <w:lang w:val="sr-Latn-ME"/>
        </w:rPr>
      </w:pPr>
      <w:r w:rsidRPr="00EC742F">
        <w:rPr>
          <w:sz w:val="22"/>
          <w:szCs w:val="22"/>
          <w:lang w:val="sr-Latn-ME"/>
        </w:rPr>
        <w:t>Pošto su sastojci lijeka Ringerov rastvor B. Braun normalno prisutni u ljudskom tijelu, ne očekuju se toksični efekti prilikom pravilne primjene ovog lijeka.</w:t>
      </w:r>
    </w:p>
    <w:p w:rsidR="00D522A9" w:rsidRPr="00EC742F" w:rsidRDefault="00D522A9" w:rsidP="00D522A9">
      <w:pPr>
        <w:tabs>
          <w:tab w:val="left" w:pos="540"/>
          <w:tab w:val="left" w:pos="569"/>
          <w:tab w:val="center" w:pos="4536"/>
        </w:tabs>
        <w:jc w:val="both"/>
        <w:rPr>
          <w:b/>
          <w:bCs/>
          <w:sz w:val="22"/>
          <w:szCs w:val="22"/>
          <w:lang w:val="sr-Latn-ME"/>
        </w:rPr>
      </w:pPr>
    </w:p>
    <w:p w:rsidR="00895CCF" w:rsidRPr="00EC742F" w:rsidRDefault="00895CCF" w:rsidP="00D522A9">
      <w:pPr>
        <w:tabs>
          <w:tab w:val="left" w:pos="540"/>
          <w:tab w:val="left" w:pos="569"/>
          <w:tab w:val="center" w:pos="4536"/>
        </w:tabs>
        <w:jc w:val="both"/>
        <w:rPr>
          <w:b/>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6. </w:t>
      </w:r>
      <w:r w:rsidR="00480FB1" w:rsidRPr="00EC742F">
        <w:rPr>
          <w:b/>
          <w:bCs/>
          <w:sz w:val="22"/>
          <w:szCs w:val="22"/>
          <w:lang w:val="sr-Latn-ME"/>
        </w:rPr>
        <w:tab/>
      </w:r>
      <w:r w:rsidRPr="00EC742F">
        <w:rPr>
          <w:b/>
          <w:bCs/>
          <w:sz w:val="22"/>
          <w:szCs w:val="22"/>
          <w:lang w:val="sr-Latn-ME"/>
        </w:rPr>
        <w:t>FARMACEUTSKI PODACI</w:t>
      </w:r>
    </w:p>
    <w:p w:rsidR="00836B35" w:rsidRPr="00EC742F" w:rsidRDefault="00836B35" w:rsidP="00480FB1">
      <w:pPr>
        <w:tabs>
          <w:tab w:val="left" w:pos="540"/>
          <w:tab w:val="left" w:pos="569"/>
        </w:tabs>
        <w:rPr>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6.1. </w:t>
      </w:r>
      <w:r w:rsidR="00480FB1" w:rsidRPr="00EC742F">
        <w:rPr>
          <w:b/>
          <w:bCs/>
          <w:sz w:val="22"/>
          <w:szCs w:val="22"/>
          <w:lang w:val="sr-Latn-ME"/>
        </w:rPr>
        <w:tab/>
      </w:r>
      <w:r w:rsidRPr="00EC742F">
        <w:rPr>
          <w:b/>
          <w:bCs/>
          <w:sz w:val="22"/>
          <w:szCs w:val="22"/>
          <w:lang w:val="sr-Latn-ME"/>
        </w:rPr>
        <w:t>Lista pomoćnih supstanci</w:t>
      </w:r>
      <w:r w:rsidR="002E0135" w:rsidRPr="00EC742F">
        <w:rPr>
          <w:b/>
          <w:bCs/>
          <w:sz w:val="22"/>
          <w:szCs w:val="22"/>
          <w:lang w:val="sr-Latn-ME"/>
        </w:rPr>
        <w:t xml:space="preserve"> (ekscipijenasa)</w:t>
      </w:r>
    </w:p>
    <w:p w:rsidR="00B10155" w:rsidRPr="00EC742F" w:rsidRDefault="00B10155" w:rsidP="00480FB1">
      <w:pPr>
        <w:tabs>
          <w:tab w:val="left" w:pos="540"/>
          <w:tab w:val="left" w:pos="569"/>
        </w:tabs>
        <w:rPr>
          <w:b/>
          <w:bCs/>
          <w:sz w:val="22"/>
          <w:szCs w:val="22"/>
          <w:lang w:val="sr-Latn-ME"/>
        </w:rPr>
      </w:pPr>
    </w:p>
    <w:p w:rsidR="00B10155" w:rsidRPr="00EC742F" w:rsidRDefault="00B10155" w:rsidP="00480FB1">
      <w:pPr>
        <w:tabs>
          <w:tab w:val="left" w:pos="540"/>
          <w:tab w:val="left" w:pos="569"/>
        </w:tabs>
        <w:rPr>
          <w:bCs/>
          <w:sz w:val="22"/>
          <w:szCs w:val="22"/>
          <w:lang w:val="sr-Latn-ME"/>
        </w:rPr>
      </w:pPr>
      <w:r w:rsidRPr="00EC742F">
        <w:rPr>
          <w:bCs/>
          <w:sz w:val="22"/>
          <w:szCs w:val="22"/>
          <w:lang w:val="sr-Latn-ME"/>
        </w:rPr>
        <w:t>Voda za injekcije.</w:t>
      </w:r>
    </w:p>
    <w:p w:rsidR="0072020E" w:rsidRPr="00EC742F" w:rsidRDefault="0072020E" w:rsidP="00480FB1">
      <w:pPr>
        <w:tabs>
          <w:tab w:val="left" w:pos="540"/>
          <w:tab w:val="left" w:pos="569"/>
        </w:tabs>
        <w:rPr>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6.2. </w:t>
      </w:r>
      <w:r w:rsidR="00480FB1" w:rsidRPr="00EC742F">
        <w:rPr>
          <w:b/>
          <w:bCs/>
          <w:sz w:val="22"/>
          <w:szCs w:val="22"/>
          <w:lang w:val="sr-Latn-ME"/>
        </w:rPr>
        <w:tab/>
      </w:r>
      <w:r w:rsidRPr="00EC742F">
        <w:rPr>
          <w:b/>
          <w:bCs/>
          <w:sz w:val="22"/>
          <w:szCs w:val="22"/>
          <w:lang w:val="sr-Latn-ME"/>
        </w:rPr>
        <w:t>Inkompatibilnost</w:t>
      </w:r>
      <w:r w:rsidR="002846DB" w:rsidRPr="00EC742F">
        <w:rPr>
          <w:b/>
          <w:bCs/>
          <w:sz w:val="22"/>
          <w:szCs w:val="22"/>
          <w:lang w:val="sr-Latn-ME"/>
        </w:rPr>
        <w:t>i</w:t>
      </w:r>
    </w:p>
    <w:p w:rsidR="00D177FE" w:rsidRPr="00EC742F" w:rsidRDefault="00D177FE" w:rsidP="00480FB1">
      <w:pPr>
        <w:tabs>
          <w:tab w:val="left" w:pos="540"/>
          <w:tab w:val="left" w:pos="569"/>
        </w:tabs>
        <w:rPr>
          <w:b/>
          <w:bCs/>
          <w:sz w:val="22"/>
          <w:szCs w:val="22"/>
          <w:lang w:val="sr-Latn-ME"/>
        </w:rPr>
      </w:pPr>
    </w:p>
    <w:p w:rsidR="00D177FE" w:rsidRPr="00EC742F" w:rsidRDefault="00D177FE" w:rsidP="00D177FE">
      <w:pPr>
        <w:pStyle w:val="Header"/>
        <w:tabs>
          <w:tab w:val="left" w:pos="284"/>
        </w:tabs>
        <w:spacing w:before="80" w:after="80"/>
        <w:jc w:val="both"/>
        <w:rPr>
          <w:bCs/>
          <w:sz w:val="22"/>
          <w:szCs w:val="22"/>
          <w:lang w:val="sr-Latn-ME"/>
        </w:rPr>
      </w:pPr>
      <w:r w:rsidRPr="00EC742F">
        <w:rPr>
          <w:bCs/>
          <w:sz w:val="22"/>
          <w:szCs w:val="22"/>
          <w:lang w:val="sr-Latn-ME"/>
        </w:rPr>
        <w:t>Ljekovi koji sadrže oksalate, fosfate ili karbonate/bikarbonate, posl</w:t>
      </w:r>
      <w:r w:rsidR="00333159" w:rsidRPr="00EC742F">
        <w:rPr>
          <w:bCs/>
          <w:sz w:val="22"/>
          <w:szCs w:val="22"/>
          <w:lang w:val="sr-Latn-ME"/>
        </w:rPr>
        <w:t>ij</w:t>
      </w:r>
      <w:r w:rsidRPr="00EC742F">
        <w:rPr>
          <w:bCs/>
          <w:sz w:val="22"/>
          <w:szCs w:val="22"/>
          <w:lang w:val="sr-Latn-ME"/>
        </w:rPr>
        <w:t xml:space="preserve">e miješanja sa lijekom Ringerov rastvor B. Braun rastvorom za infuziju, mogu da dovedu do precipitacije. </w:t>
      </w:r>
    </w:p>
    <w:p w:rsidR="0072020E" w:rsidRPr="00EC742F" w:rsidRDefault="0072020E" w:rsidP="00D177FE">
      <w:pPr>
        <w:tabs>
          <w:tab w:val="left" w:pos="540"/>
          <w:tab w:val="left" w:pos="569"/>
        </w:tabs>
        <w:jc w:val="both"/>
        <w:rPr>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6.3.</w:t>
      </w:r>
      <w:r w:rsidR="00C05DF8" w:rsidRPr="00EC742F">
        <w:rPr>
          <w:b/>
          <w:bCs/>
          <w:sz w:val="22"/>
          <w:szCs w:val="22"/>
          <w:lang w:val="sr-Latn-ME"/>
        </w:rPr>
        <w:t xml:space="preserve"> </w:t>
      </w:r>
      <w:r w:rsidR="00480FB1" w:rsidRPr="00EC742F">
        <w:rPr>
          <w:b/>
          <w:bCs/>
          <w:sz w:val="22"/>
          <w:szCs w:val="22"/>
          <w:lang w:val="sr-Latn-ME"/>
        </w:rPr>
        <w:tab/>
      </w:r>
      <w:r w:rsidRPr="00EC742F">
        <w:rPr>
          <w:b/>
          <w:bCs/>
          <w:sz w:val="22"/>
          <w:szCs w:val="22"/>
          <w:lang w:val="sr-Latn-ME"/>
        </w:rPr>
        <w:t>Rok upotrebe</w:t>
      </w:r>
    </w:p>
    <w:p w:rsidR="00DD65FD" w:rsidRPr="00EC742F" w:rsidRDefault="00DD65FD" w:rsidP="00480FB1">
      <w:pPr>
        <w:tabs>
          <w:tab w:val="left" w:pos="540"/>
          <w:tab w:val="left" w:pos="569"/>
        </w:tabs>
        <w:rPr>
          <w:b/>
          <w:bCs/>
          <w:sz w:val="22"/>
          <w:szCs w:val="22"/>
          <w:lang w:val="sr-Latn-ME"/>
        </w:rPr>
      </w:pPr>
    </w:p>
    <w:p w:rsidR="00C845DB" w:rsidRPr="00EC742F" w:rsidRDefault="00DD65FD" w:rsidP="00EC742F">
      <w:pPr>
        <w:pStyle w:val="Header"/>
        <w:tabs>
          <w:tab w:val="left" w:pos="284"/>
        </w:tabs>
        <w:jc w:val="both"/>
        <w:rPr>
          <w:sz w:val="22"/>
          <w:szCs w:val="22"/>
          <w:lang w:val="sr-Latn-ME"/>
        </w:rPr>
      </w:pPr>
      <w:r w:rsidRPr="00EC742F">
        <w:rPr>
          <w:sz w:val="22"/>
          <w:szCs w:val="22"/>
          <w:lang w:val="sr-Latn-ME"/>
        </w:rPr>
        <w:t>Rok upotrebe pr</w:t>
      </w:r>
      <w:r w:rsidR="00FB56F3" w:rsidRPr="00EC742F">
        <w:rPr>
          <w:sz w:val="22"/>
          <w:szCs w:val="22"/>
          <w:lang w:val="sr-Latn-ME"/>
        </w:rPr>
        <w:t>ij</w:t>
      </w:r>
      <w:r w:rsidRPr="00EC742F">
        <w:rPr>
          <w:sz w:val="22"/>
          <w:szCs w:val="22"/>
          <w:lang w:val="sr-Latn-ME"/>
        </w:rPr>
        <w:t>e prvog otvaranja l</w:t>
      </w:r>
      <w:r w:rsidR="00725D48" w:rsidRPr="00EC742F">
        <w:rPr>
          <w:sz w:val="22"/>
          <w:szCs w:val="22"/>
          <w:lang w:val="sr-Latn-ME"/>
        </w:rPr>
        <w:t>ij</w:t>
      </w:r>
      <w:r w:rsidRPr="00EC742F">
        <w:rPr>
          <w:sz w:val="22"/>
          <w:szCs w:val="22"/>
          <w:lang w:val="sr-Latn-ME"/>
        </w:rPr>
        <w:t>eka: 3 godine</w:t>
      </w:r>
    </w:p>
    <w:p w:rsidR="00C845DB" w:rsidRPr="00EC742F" w:rsidRDefault="00DD65FD" w:rsidP="00EC742F">
      <w:pPr>
        <w:pStyle w:val="Header"/>
        <w:tabs>
          <w:tab w:val="left" w:pos="284"/>
        </w:tabs>
        <w:jc w:val="both"/>
        <w:rPr>
          <w:sz w:val="22"/>
          <w:szCs w:val="22"/>
          <w:lang w:val="sr-Latn-ME"/>
        </w:rPr>
      </w:pPr>
      <w:r w:rsidRPr="00EC742F">
        <w:rPr>
          <w:sz w:val="22"/>
          <w:szCs w:val="22"/>
          <w:lang w:val="sr-Latn-ME"/>
        </w:rPr>
        <w:t xml:space="preserve">Rok upotrebe nakon prvog otvaranja: </w:t>
      </w:r>
      <w:r w:rsidR="00952E4F" w:rsidRPr="00EC742F">
        <w:rPr>
          <w:sz w:val="22"/>
          <w:szCs w:val="22"/>
          <w:lang w:val="sr-Latn-ME"/>
        </w:rPr>
        <w:t>upotrije</w:t>
      </w:r>
      <w:r w:rsidRPr="00EC742F">
        <w:rPr>
          <w:sz w:val="22"/>
          <w:szCs w:val="22"/>
          <w:lang w:val="sr-Latn-ME"/>
        </w:rPr>
        <w:t>biti odmah</w:t>
      </w:r>
    </w:p>
    <w:p w:rsidR="00DD65FD" w:rsidRPr="00EC742F" w:rsidRDefault="00DD65FD" w:rsidP="00EC742F">
      <w:pPr>
        <w:pStyle w:val="Header"/>
        <w:tabs>
          <w:tab w:val="left" w:pos="284"/>
        </w:tabs>
        <w:jc w:val="both"/>
        <w:rPr>
          <w:sz w:val="22"/>
          <w:szCs w:val="22"/>
          <w:lang w:val="sr-Latn-ME"/>
        </w:rPr>
      </w:pPr>
    </w:p>
    <w:p w:rsidR="00DD65FD" w:rsidRPr="00EC742F" w:rsidRDefault="00DD65FD" w:rsidP="00EC742F">
      <w:pPr>
        <w:pStyle w:val="Header"/>
        <w:tabs>
          <w:tab w:val="left" w:pos="284"/>
        </w:tabs>
        <w:jc w:val="both"/>
        <w:rPr>
          <w:i/>
          <w:sz w:val="22"/>
          <w:szCs w:val="22"/>
          <w:lang w:val="sr-Latn-ME"/>
        </w:rPr>
      </w:pPr>
      <w:r w:rsidRPr="00EC742F">
        <w:rPr>
          <w:i/>
          <w:sz w:val="22"/>
          <w:szCs w:val="22"/>
          <w:lang w:val="sr-Latn-ME"/>
        </w:rPr>
        <w:t>Rok upotrebe nakon m</w:t>
      </w:r>
      <w:r w:rsidR="00725D48" w:rsidRPr="00EC742F">
        <w:rPr>
          <w:i/>
          <w:sz w:val="22"/>
          <w:szCs w:val="22"/>
          <w:lang w:val="sr-Latn-ME"/>
        </w:rPr>
        <w:t>ij</w:t>
      </w:r>
      <w:r w:rsidRPr="00EC742F">
        <w:rPr>
          <w:i/>
          <w:sz w:val="22"/>
          <w:szCs w:val="22"/>
          <w:lang w:val="sr-Latn-ME"/>
        </w:rPr>
        <w:t>ešanja aditiva</w:t>
      </w:r>
    </w:p>
    <w:p w:rsidR="00C845DB" w:rsidRPr="00EC742F" w:rsidRDefault="00DD65FD" w:rsidP="00EC742F">
      <w:pPr>
        <w:pStyle w:val="Header"/>
        <w:tabs>
          <w:tab w:val="left" w:pos="284"/>
        </w:tabs>
        <w:jc w:val="both"/>
        <w:rPr>
          <w:sz w:val="22"/>
          <w:szCs w:val="22"/>
          <w:lang w:val="sr-Latn-ME"/>
        </w:rPr>
      </w:pPr>
      <w:r w:rsidRPr="00EC742F">
        <w:rPr>
          <w:sz w:val="22"/>
          <w:szCs w:val="22"/>
          <w:lang w:val="sr-Latn-ME"/>
        </w:rPr>
        <w:t>Sa mikrobiološke tačke gledi</w:t>
      </w:r>
      <w:r w:rsidR="00952E4F" w:rsidRPr="00EC742F">
        <w:rPr>
          <w:sz w:val="22"/>
          <w:szCs w:val="22"/>
          <w:lang w:val="sr-Latn-ME"/>
        </w:rPr>
        <w:t>šta, proizvod treba odmah upotrije</w:t>
      </w:r>
      <w:r w:rsidRPr="00EC742F">
        <w:rPr>
          <w:sz w:val="22"/>
          <w:szCs w:val="22"/>
          <w:lang w:val="sr-Latn-ME"/>
        </w:rPr>
        <w:t>biti. Ako se ne prim</w:t>
      </w:r>
      <w:r w:rsidR="00FB56F3" w:rsidRPr="00EC742F">
        <w:rPr>
          <w:sz w:val="22"/>
          <w:szCs w:val="22"/>
          <w:lang w:val="sr-Latn-ME"/>
        </w:rPr>
        <w:t>i</w:t>
      </w:r>
      <w:r w:rsidR="00725D48" w:rsidRPr="00EC742F">
        <w:rPr>
          <w:sz w:val="22"/>
          <w:szCs w:val="22"/>
          <w:lang w:val="sr-Latn-ME"/>
        </w:rPr>
        <w:t>j</w:t>
      </w:r>
      <w:r w:rsidRPr="00EC742F">
        <w:rPr>
          <w:sz w:val="22"/>
          <w:szCs w:val="22"/>
          <w:lang w:val="sr-Latn-ME"/>
        </w:rPr>
        <w:t>eni odmah, vr</w:t>
      </w:r>
      <w:r w:rsidR="00725D48" w:rsidRPr="00EC742F">
        <w:rPr>
          <w:sz w:val="22"/>
          <w:szCs w:val="22"/>
          <w:lang w:val="sr-Latn-ME"/>
        </w:rPr>
        <w:t>ij</w:t>
      </w:r>
      <w:r w:rsidRPr="00EC742F">
        <w:rPr>
          <w:sz w:val="22"/>
          <w:szCs w:val="22"/>
          <w:lang w:val="sr-Latn-ME"/>
        </w:rPr>
        <w:t>eme i uslovi skladištenja ranije pripremljene m</w:t>
      </w:r>
      <w:r w:rsidR="00725D48" w:rsidRPr="00EC742F">
        <w:rPr>
          <w:sz w:val="22"/>
          <w:szCs w:val="22"/>
          <w:lang w:val="sr-Latn-ME"/>
        </w:rPr>
        <w:t>j</w:t>
      </w:r>
      <w:r w:rsidRPr="00EC742F">
        <w:rPr>
          <w:sz w:val="22"/>
          <w:szCs w:val="22"/>
          <w:lang w:val="sr-Latn-ME"/>
        </w:rPr>
        <w:t>ešavine odgovornost su korisnika i normalno, ne bi trebalo da prelaze dužinu od 24 sata na temperaturi od 2</w:t>
      </w:r>
      <w:r w:rsidR="00FB56F3" w:rsidRPr="00EC742F">
        <w:rPr>
          <w:sz w:val="22"/>
          <w:szCs w:val="22"/>
          <w:lang w:val="sr-Latn-ME"/>
        </w:rPr>
        <w:t>-</w:t>
      </w:r>
      <w:r w:rsidRPr="00EC742F">
        <w:rPr>
          <w:sz w:val="22"/>
          <w:szCs w:val="22"/>
          <w:rtl/>
          <w:lang w:val="sr-Latn-ME"/>
        </w:rPr>
        <w:t xml:space="preserve"> 8</w:t>
      </w:r>
      <w:r w:rsidR="00FB56F3" w:rsidRPr="00EC742F">
        <w:rPr>
          <w:sz w:val="22"/>
          <w:szCs w:val="22"/>
          <w:lang w:val="sr-Latn-ME"/>
        </w:rPr>
        <w:t>º</w:t>
      </w:r>
      <w:r w:rsidRPr="00EC742F">
        <w:rPr>
          <w:sz w:val="22"/>
          <w:szCs w:val="22"/>
          <w:rtl/>
          <w:lang w:val="sr-Latn-ME"/>
        </w:rPr>
        <w:t>C</w:t>
      </w:r>
      <w:r w:rsidRPr="00EC742F">
        <w:rPr>
          <w:sz w:val="22"/>
          <w:szCs w:val="22"/>
          <w:lang w:val="sr-Latn-ME"/>
        </w:rPr>
        <w:t>, osim ako m</w:t>
      </w:r>
      <w:r w:rsidR="00725D48" w:rsidRPr="00EC742F">
        <w:rPr>
          <w:sz w:val="22"/>
          <w:szCs w:val="22"/>
          <w:lang w:val="sr-Latn-ME"/>
        </w:rPr>
        <w:t>ij</w:t>
      </w:r>
      <w:r w:rsidRPr="00EC742F">
        <w:rPr>
          <w:sz w:val="22"/>
          <w:szCs w:val="22"/>
          <w:lang w:val="sr-Latn-ME"/>
        </w:rPr>
        <w:t>ešanje nije izvedeno pod kontrolisanim i potvrđenim aseptičnim uslovima.</w:t>
      </w:r>
    </w:p>
    <w:p w:rsidR="0072020E" w:rsidRPr="00EC742F" w:rsidRDefault="0072020E" w:rsidP="00EC742F">
      <w:pPr>
        <w:tabs>
          <w:tab w:val="left" w:pos="540"/>
          <w:tab w:val="left" w:pos="569"/>
        </w:tabs>
        <w:jc w:val="both"/>
        <w:rPr>
          <w:bCs/>
          <w:sz w:val="22"/>
          <w:szCs w:val="22"/>
          <w:lang w:val="sr-Latn-ME"/>
        </w:rPr>
      </w:pPr>
    </w:p>
    <w:p w:rsidR="0072020E" w:rsidRPr="00EC742F" w:rsidRDefault="0072020E" w:rsidP="00EC742F">
      <w:pPr>
        <w:tabs>
          <w:tab w:val="left" w:pos="540"/>
          <w:tab w:val="left" w:pos="569"/>
        </w:tabs>
        <w:jc w:val="both"/>
        <w:rPr>
          <w:b/>
          <w:bCs/>
          <w:sz w:val="22"/>
          <w:szCs w:val="22"/>
          <w:lang w:val="sr-Latn-ME"/>
        </w:rPr>
      </w:pPr>
      <w:r w:rsidRPr="00EC742F">
        <w:rPr>
          <w:b/>
          <w:bCs/>
          <w:sz w:val="22"/>
          <w:szCs w:val="22"/>
          <w:lang w:val="sr-Latn-ME"/>
        </w:rPr>
        <w:t xml:space="preserve">6.4. </w:t>
      </w:r>
      <w:r w:rsidR="00480FB1" w:rsidRPr="00EC742F">
        <w:rPr>
          <w:b/>
          <w:bCs/>
          <w:sz w:val="22"/>
          <w:szCs w:val="22"/>
          <w:lang w:val="sr-Latn-ME"/>
        </w:rPr>
        <w:tab/>
      </w:r>
      <w:r w:rsidRPr="00EC742F">
        <w:rPr>
          <w:b/>
          <w:bCs/>
          <w:sz w:val="22"/>
          <w:szCs w:val="22"/>
          <w:lang w:val="sr-Latn-ME"/>
        </w:rPr>
        <w:t>Posebne mjere upozorenja pri čuvanju</w:t>
      </w:r>
      <w:r w:rsidR="00F8570A" w:rsidRPr="00EC742F">
        <w:rPr>
          <w:b/>
          <w:bCs/>
          <w:sz w:val="22"/>
          <w:szCs w:val="22"/>
          <w:lang w:val="sr-Latn-ME"/>
        </w:rPr>
        <w:t xml:space="preserve"> lijeka</w:t>
      </w:r>
    </w:p>
    <w:p w:rsidR="00C42105" w:rsidRPr="00EC742F" w:rsidRDefault="00C42105" w:rsidP="00EC742F">
      <w:pPr>
        <w:pStyle w:val="Header"/>
        <w:tabs>
          <w:tab w:val="left" w:pos="284"/>
        </w:tabs>
        <w:spacing w:before="80" w:after="80"/>
        <w:jc w:val="both"/>
        <w:rPr>
          <w:bCs/>
          <w:sz w:val="22"/>
          <w:szCs w:val="22"/>
          <w:lang w:val="sr-Latn-ME"/>
        </w:rPr>
      </w:pPr>
      <w:r w:rsidRPr="00EC742F">
        <w:rPr>
          <w:bCs/>
          <w:sz w:val="22"/>
          <w:szCs w:val="22"/>
          <w:lang w:val="sr-Latn-ME"/>
        </w:rPr>
        <w:t>Ovaj lijek ne zaht</w:t>
      </w:r>
      <w:r w:rsidR="00FB56F3" w:rsidRPr="00EC742F">
        <w:rPr>
          <w:bCs/>
          <w:sz w:val="22"/>
          <w:szCs w:val="22"/>
          <w:lang w:val="sr-Latn-ME"/>
        </w:rPr>
        <w:t>i</w:t>
      </w:r>
      <w:r w:rsidRPr="00EC742F">
        <w:rPr>
          <w:bCs/>
          <w:sz w:val="22"/>
          <w:szCs w:val="22"/>
          <w:lang w:val="sr-Latn-ME"/>
        </w:rPr>
        <w:t>jeva posebne uslove čuvanja.</w:t>
      </w:r>
    </w:p>
    <w:p w:rsidR="00C42105" w:rsidRPr="00EC742F" w:rsidRDefault="00C42105" w:rsidP="00EC742F">
      <w:pPr>
        <w:pStyle w:val="Header"/>
        <w:tabs>
          <w:tab w:val="left" w:pos="284"/>
        </w:tabs>
        <w:jc w:val="both"/>
        <w:rPr>
          <w:bCs/>
          <w:sz w:val="22"/>
          <w:szCs w:val="22"/>
          <w:lang w:val="sr-Latn-ME"/>
        </w:rPr>
      </w:pPr>
      <w:r w:rsidRPr="00EC742F">
        <w:rPr>
          <w:bCs/>
          <w:sz w:val="22"/>
          <w:szCs w:val="22"/>
          <w:lang w:val="sr-Latn-ME"/>
        </w:rPr>
        <w:t>Za čuvanje lijeka posl</w:t>
      </w:r>
      <w:r w:rsidR="00DA7048" w:rsidRPr="00EC742F">
        <w:rPr>
          <w:bCs/>
          <w:sz w:val="22"/>
          <w:szCs w:val="22"/>
          <w:lang w:val="sr-Latn-ME"/>
        </w:rPr>
        <w:t>ij</w:t>
      </w:r>
      <w:r w:rsidRPr="00EC742F">
        <w:rPr>
          <w:bCs/>
          <w:sz w:val="22"/>
          <w:szCs w:val="22"/>
          <w:lang w:val="sr-Latn-ME"/>
        </w:rPr>
        <w:t>e dodavanja aditiva, vidjeti odjeljak 6.3.</w:t>
      </w:r>
    </w:p>
    <w:p w:rsidR="00C42105" w:rsidRPr="00EC742F" w:rsidRDefault="00C42105" w:rsidP="00EC742F">
      <w:pPr>
        <w:jc w:val="both"/>
        <w:rPr>
          <w:b/>
          <w:bCs/>
          <w:sz w:val="22"/>
          <w:szCs w:val="22"/>
          <w:lang w:val="sr-Latn-ME"/>
        </w:rPr>
      </w:pPr>
    </w:p>
    <w:p w:rsidR="0072020E" w:rsidRPr="00EC742F" w:rsidRDefault="0072020E" w:rsidP="00EC742F">
      <w:pPr>
        <w:tabs>
          <w:tab w:val="left" w:pos="540"/>
          <w:tab w:val="left" w:pos="569"/>
        </w:tabs>
        <w:jc w:val="both"/>
        <w:rPr>
          <w:b/>
          <w:bCs/>
          <w:sz w:val="22"/>
          <w:szCs w:val="22"/>
          <w:lang w:val="sr-Latn-ME"/>
        </w:rPr>
      </w:pPr>
      <w:r w:rsidRPr="00EC742F">
        <w:rPr>
          <w:b/>
          <w:bCs/>
          <w:sz w:val="22"/>
          <w:szCs w:val="22"/>
          <w:lang w:val="sr-Latn-ME"/>
        </w:rPr>
        <w:t xml:space="preserve">6.5. </w:t>
      </w:r>
      <w:r w:rsidR="00480FB1" w:rsidRPr="00EC742F">
        <w:rPr>
          <w:b/>
          <w:bCs/>
          <w:sz w:val="22"/>
          <w:szCs w:val="22"/>
          <w:lang w:val="sr-Latn-ME"/>
        </w:rPr>
        <w:tab/>
      </w:r>
      <w:r w:rsidR="002846DB" w:rsidRPr="00EC742F">
        <w:rPr>
          <w:b/>
          <w:bCs/>
          <w:sz w:val="22"/>
          <w:szCs w:val="22"/>
          <w:lang w:val="sr-Latn-ME"/>
        </w:rPr>
        <w:t xml:space="preserve">Vrsta i sadržaj </w:t>
      </w:r>
      <w:r w:rsidR="00F8570A" w:rsidRPr="00EC742F">
        <w:rPr>
          <w:b/>
          <w:bCs/>
          <w:sz w:val="22"/>
          <w:szCs w:val="22"/>
          <w:lang w:val="sr-Latn-ME"/>
        </w:rPr>
        <w:t>pakovanja</w:t>
      </w:r>
      <w:r w:rsidR="00C06864" w:rsidRPr="00EC742F">
        <w:rPr>
          <w:b/>
          <w:bCs/>
          <w:sz w:val="22"/>
          <w:szCs w:val="22"/>
          <w:lang w:val="sr-Latn-ME"/>
        </w:rPr>
        <w:t xml:space="preserve"> </w:t>
      </w:r>
    </w:p>
    <w:p w:rsidR="006976AF" w:rsidRPr="00EC742F" w:rsidRDefault="006976AF" w:rsidP="00EC742F">
      <w:pPr>
        <w:tabs>
          <w:tab w:val="left" w:pos="540"/>
          <w:tab w:val="left" w:pos="569"/>
        </w:tabs>
        <w:jc w:val="both"/>
        <w:rPr>
          <w:b/>
          <w:bCs/>
          <w:sz w:val="22"/>
          <w:szCs w:val="22"/>
          <w:lang w:val="sr-Latn-ME"/>
        </w:rPr>
      </w:pPr>
    </w:p>
    <w:p w:rsidR="00C845DB" w:rsidRPr="00EC742F" w:rsidRDefault="006976AF" w:rsidP="00EC742F">
      <w:pPr>
        <w:widowControl w:val="0"/>
        <w:autoSpaceDE w:val="0"/>
        <w:autoSpaceDN w:val="0"/>
        <w:jc w:val="both"/>
        <w:rPr>
          <w:bCs/>
          <w:sz w:val="22"/>
          <w:szCs w:val="22"/>
          <w:lang w:val="sr-Latn-ME"/>
        </w:rPr>
      </w:pPr>
      <w:r w:rsidRPr="00EC742F">
        <w:rPr>
          <w:bCs/>
          <w:sz w:val="22"/>
          <w:szCs w:val="22"/>
          <w:lang w:val="sr-Latn-ME"/>
        </w:rPr>
        <w:t>Unutrašnje pakovanje je boca od polietilena niske gustine (LDPE) Ecoflac plus sa Twin cap zatvaračem koja sadrži 500 m</w:t>
      </w:r>
      <w:r w:rsidR="00581658" w:rsidRPr="00EC742F">
        <w:rPr>
          <w:bCs/>
          <w:sz w:val="22"/>
          <w:szCs w:val="22"/>
          <w:lang w:val="sr-Latn-ME"/>
        </w:rPr>
        <w:t>l</w:t>
      </w:r>
      <w:r w:rsidRPr="00EC742F">
        <w:rPr>
          <w:bCs/>
          <w:sz w:val="22"/>
          <w:szCs w:val="22"/>
          <w:lang w:val="sr-Latn-ME"/>
        </w:rPr>
        <w:t xml:space="preserve"> rastvora za infuziju.</w:t>
      </w:r>
    </w:p>
    <w:p w:rsidR="00C845DB" w:rsidRPr="00EC742F" w:rsidRDefault="006976AF" w:rsidP="00EC742F">
      <w:pPr>
        <w:widowControl w:val="0"/>
        <w:autoSpaceDE w:val="0"/>
        <w:autoSpaceDN w:val="0"/>
        <w:jc w:val="both"/>
        <w:rPr>
          <w:bCs/>
          <w:sz w:val="22"/>
          <w:szCs w:val="22"/>
          <w:lang w:val="sr-Latn-ME"/>
        </w:rPr>
      </w:pPr>
      <w:r w:rsidRPr="00EC742F">
        <w:rPr>
          <w:bCs/>
          <w:sz w:val="22"/>
          <w:szCs w:val="22"/>
          <w:lang w:val="sr-Latn-ME"/>
        </w:rPr>
        <w:t xml:space="preserve">Spoljašnje pakovanje je složiva kartonska kutija u kojoj se nalazi 10 boca od 500 </w:t>
      </w:r>
      <w:r w:rsidR="00581658" w:rsidRPr="00EC742F">
        <w:rPr>
          <w:bCs/>
          <w:sz w:val="22"/>
          <w:szCs w:val="22"/>
          <w:lang w:val="sr-Latn-ME"/>
        </w:rPr>
        <w:t xml:space="preserve">ml </w:t>
      </w:r>
      <w:r w:rsidRPr="00EC742F">
        <w:rPr>
          <w:bCs/>
          <w:sz w:val="22"/>
          <w:szCs w:val="22"/>
          <w:lang w:val="sr-Latn-ME"/>
        </w:rPr>
        <w:t>rastvora</w:t>
      </w:r>
      <w:r w:rsidR="00DA7048" w:rsidRPr="00EC742F">
        <w:rPr>
          <w:bCs/>
          <w:sz w:val="22"/>
          <w:szCs w:val="22"/>
          <w:lang w:val="sr-Latn-ME"/>
        </w:rPr>
        <w:t>.</w:t>
      </w:r>
      <w:r w:rsidRPr="00EC742F">
        <w:rPr>
          <w:bCs/>
          <w:sz w:val="22"/>
          <w:szCs w:val="22"/>
          <w:lang w:val="sr-Latn-ME"/>
        </w:rPr>
        <w:t xml:space="preserve"> </w:t>
      </w:r>
    </w:p>
    <w:p w:rsidR="0072020E" w:rsidRPr="00EC742F" w:rsidRDefault="0072020E" w:rsidP="00EC742F">
      <w:pPr>
        <w:tabs>
          <w:tab w:val="left" w:pos="540"/>
          <w:tab w:val="left" w:pos="569"/>
        </w:tabs>
        <w:jc w:val="both"/>
        <w:rPr>
          <w:bCs/>
          <w:sz w:val="22"/>
          <w:szCs w:val="22"/>
          <w:lang w:val="sr-Latn-ME"/>
        </w:rPr>
      </w:pPr>
    </w:p>
    <w:p w:rsidR="00EC742F" w:rsidRDefault="00EC742F" w:rsidP="00EC742F">
      <w:pPr>
        <w:tabs>
          <w:tab w:val="left" w:pos="540"/>
          <w:tab w:val="left" w:pos="569"/>
        </w:tabs>
        <w:jc w:val="both"/>
        <w:rPr>
          <w:b/>
          <w:bCs/>
          <w:sz w:val="22"/>
          <w:szCs w:val="22"/>
          <w:lang w:val="sr-Latn-ME"/>
        </w:rPr>
      </w:pPr>
    </w:p>
    <w:p w:rsidR="00EC742F" w:rsidRDefault="00EC742F" w:rsidP="00EC742F">
      <w:pPr>
        <w:tabs>
          <w:tab w:val="left" w:pos="540"/>
          <w:tab w:val="left" w:pos="569"/>
        </w:tabs>
        <w:jc w:val="both"/>
        <w:rPr>
          <w:b/>
          <w:bCs/>
          <w:sz w:val="22"/>
          <w:szCs w:val="22"/>
          <w:lang w:val="sr-Latn-ME"/>
        </w:rPr>
      </w:pPr>
    </w:p>
    <w:p w:rsidR="002846DB" w:rsidRPr="00EC742F" w:rsidRDefault="0072020E" w:rsidP="00EC742F">
      <w:pPr>
        <w:tabs>
          <w:tab w:val="left" w:pos="540"/>
          <w:tab w:val="left" w:pos="569"/>
        </w:tabs>
        <w:jc w:val="both"/>
        <w:rPr>
          <w:b/>
          <w:bCs/>
          <w:sz w:val="22"/>
          <w:szCs w:val="22"/>
          <w:lang w:val="sr-Latn-ME"/>
        </w:rPr>
      </w:pPr>
      <w:r w:rsidRPr="00EC742F">
        <w:rPr>
          <w:b/>
          <w:bCs/>
          <w:sz w:val="22"/>
          <w:szCs w:val="22"/>
          <w:lang w:val="sr-Latn-ME"/>
        </w:rPr>
        <w:lastRenderedPageBreak/>
        <w:t xml:space="preserve">6.6. </w:t>
      </w:r>
      <w:r w:rsidR="00480FB1" w:rsidRPr="00EC742F">
        <w:rPr>
          <w:b/>
          <w:bCs/>
          <w:sz w:val="22"/>
          <w:szCs w:val="22"/>
          <w:lang w:val="sr-Latn-ME"/>
        </w:rPr>
        <w:tab/>
      </w:r>
      <w:r w:rsidRPr="00EC742F">
        <w:rPr>
          <w:b/>
          <w:bCs/>
          <w:color w:val="000000"/>
          <w:sz w:val="22"/>
          <w:szCs w:val="22"/>
          <w:lang w:val="sr-Latn-ME"/>
        </w:rPr>
        <w:t>Posebne mjere opreza pri odlaganju materijala koji treba odbaciti nakon primjene lijeka</w:t>
      </w:r>
      <w:r w:rsidRPr="00EC742F">
        <w:rPr>
          <w:b/>
          <w:bCs/>
          <w:sz w:val="22"/>
          <w:szCs w:val="22"/>
          <w:lang w:val="sr-Latn-ME"/>
        </w:rPr>
        <w:t xml:space="preserve"> </w:t>
      </w:r>
      <w:r w:rsidR="00310F03" w:rsidRPr="00EC742F">
        <w:rPr>
          <w:b/>
          <w:bCs/>
          <w:sz w:val="22"/>
          <w:szCs w:val="22"/>
          <w:lang w:val="sr-Latn-ME"/>
        </w:rPr>
        <w:t>(i druga uputs</w:t>
      </w:r>
      <w:r w:rsidR="004109FA" w:rsidRPr="00EC742F">
        <w:rPr>
          <w:b/>
          <w:bCs/>
          <w:sz w:val="22"/>
          <w:szCs w:val="22"/>
          <w:lang w:val="sr-Latn-ME"/>
        </w:rPr>
        <w:t>t</w:t>
      </w:r>
      <w:r w:rsidR="00310F03" w:rsidRPr="00EC742F">
        <w:rPr>
          <w:b/>
          <w:bCs/>
          <w:sz w:val="22"/>
          <w:szCs w:val="22"/>
          <w:lang w:val="sr-Latn-ME"/>
        </w:rPr>
        <w:t xml:space="preserve">va za rukovanje lijekom) </w:t>
      </w:r>
    </w:p>
    <w:p w:rsidR="00A906A0" w:rsidRPr="00EC742F" w:rsidRDefault="00A906A0" w:rsidP="00480FB1">
      <w:pPr>
        <w:tabs>
          <w:tab w:val="left" w:pos="540"/>
          <w:tab w:val="left" w:pos="569"/>
        </w:tabs>
        <w:rPr>
          <w:b/>
          <w:bCs/>
          <w:sz w:val="22"/>
          <w:szCs w:val="22"/>
          <w:lang w:val="sr-Latn-ME"/>
        </w:rPr>
      </w:pPr>
    </w:p>
    <w:p w:rsidR="00C845DB" w:rsidRPr="00EC742F" w:rsidRDefault="00A906A0" w:rsidP="00EC742F">
      <w:pPr>
        <w:pStyle w:val="Header"/>
        <w:tabs>
          <w:tab w:val="left" w:pos="284"/>
        </w:tabs>
        <w:spacing w:before="80" w:after="80"/>
        <w:jc w:val="both"/>
        <w:rPr>
          <w:bCs/>
          <w:sz w:val="22"/>
          <w:szCs w:val="22"/>
          <w:lang w:val="sr-Latn-ME"/>
        </w:rPr>
      </w:pPr>
      <w:bookmarkStart w:id="0" w:name="_GoBack"/>
      <w:r w:rsidRPr="00EC742F">
        <w:rPr>
          <w:bCs/>
          <w:sz w:val="22"/>
          <w:szCs w:val="22"/>
          <w:lang w:val="sr-Latn-ME"/>
        </w:rPr>
        <w:t>Boce su samo za jednokratnu upotrebu. Posl</w:t>
      </w:r>
      <w:r w:rsidR="00C579ED" w:rsidRPr="00EC742F">
        <w:rPr>
          <w:bCs/>
          <w:sz w:val="22"/>
          <w:szCs w:val="22"/>
          <w:lang w:val="sr-Latn-ME"/>
        </w:rPr>
        <w:t>ij</w:t>
      </w:r>
      <w:r w:rsidRPr="00EC742F">
        <w:rPr>
          <w:bCs/>
          <w:sz w:val="22"/>
          <w:szCs w:val="22"/>
          <w:lang w:val="sr-Latn-ME"/>
        </w:rPr>
        <w:t xml:space="preserve">e upotrebe, baciti bocu i eventualno neiskorišćeni sadržaj. </w:t>
      </w:r>
      <w:r w:rsidRPr="00EC742F">
        <w:rPr>
          <w:bCs/>
          <w:sz w:val="22"/>
          <w:szCs w:val="22"/>
          <w:lang w:val="sr-Latn-ME"/>
        </w:rPr>
        <w:br/>
        <w:t>Boce sa d</w:t>
      </w:r>
      <w:r w:rsidR="00284B39" w:rsidRPr="00EC742F">
        <w:rPr>
          <w:bCs/>
          <w:sz w:val="22"/>
          <w:szCs w:val="22"/>
          <w:lang w:val="sr-Latn-ME"/>
        </w:rPr>
        <w:t>j</w:t>
      </w:r>
      <w:r w:rsidRPr="00EC742F">
        <w:rPr>
          <w:bCs/>
          <w:sz w:val="22"/>
          <w:szCs w:val="22"/>
          <w:lang w:val="sr-Latn-ME"/>
        </w:rPr>
        <w:t>elimično iskorišćenim sadržajem ne priključivati ponovo na sistem za infuziju.</w:t>
      </w:r>
    </w:p>
    <w:p w:rsidR="00C845DB" w:rsidRPr="00EC742F" w:rsidRDefault="00A906A0" w:rsidP="00EC742F">
      <w:pPr>
        <w:pStyle w:val="Header"/>
        <w:tabs>
          <w:tab w:val="left" w:pos="284"/>
        </w:tabs>
        <w:jc w:val="both"/>
        <w:rPr>
          <w:bCs/>
          <w:sz w:val="22"/>
          <w:szCs w:val="22"/>
          <w:lang w:val="sr-Latn-ME"/>
        </w:rPr>
      </w:pPr>
      <w:r w:rsidRPr="00EC742F">
        <w:rPr>
          <w:bCs/>
          <w:sz w:val="22"/>
          <w:szCs w:val="22"/>
          <w:lang w:val="sr-Latn-ME"/>
        </w:rPr>
        <w:t>Upotr</w:t>
      </w:r>
      <w:r w:rsidR="00284B39" w:rsidRPr="00EC742F">
        <w:rPr>
          <w:bCs/>
          <w:sz w:val="22"/>
          <w:szCs w:val="22"/>
          <w:lang w:val="sr-Latn-ME"/>
        </w:rPr>
        <w:t>ij</w:t>
      </w:r>
      <w:r w:rsidRPr="00EC742F">
        <w:rPr>
          <w:bCs/>
          <w:sz w:val="22"/>
          <w:szCs w:val="22"/>
          <w:lang w:val="sr-Latn-ME"/>
        </w:rPr>
        <w:t>ebiti samo ako je rastvor bistar, a boca ili njen zatvarač ne pokazuju vidljive znake oštećenja.</w:t>
      </w:r>
    </w:p>
    <w:p w:rsidR="00C845DB" w:rsidRPr="00EC742F" w:rsidRDefault="00C845DB" w:rsidP="00EC742F">
      <w:pPr>
        <w:pStyle w:val="Header"/>
        <w:tabs>
          <w:tab w:val="left" w:pos="284"/>
        </w:tabs>
        <w:jc w:val="both"/>
        <w:rPr>
          <w:bCs/>
          <w:sz w:val="22"/>
          <w:szCs w:val="22"/>
          <w:lang w:val="sr-Latn-ME"/>
        </w:rPr>
      </w:pPr>
    </w:p>
    <w:p w:rsidR="00C845DB" w:rsidRPr="00EC742F" w:rsidRDefault="00A906A0" w:rsidP="00EC742F">
      <w:pPr>
        <w:pStyle w:val="Header"/>
        <w:tabs>
          <w:tab w:val="left" w:pos="284"/>
        </w:tabs>
        <w:jc w:val="both"/>
        <w:rPr>
          <w:bCs/>
          <w:sz w:val="22"/>
          <w:szCs w:val="22"/>
          <w:lang w:val="sr-Latn-ME"/>
        </w:rPr>
      </w:pPr>
      <w:r w:rsidRPr="00EC742F">
        <w:rPr>
          <w:bCs/>
          <w:sz w:val="22"/>
          <w:szCs w:val="22"/>
          <w:lang w:val="sr-Latn-ME"/>
        </w:rPr>
        <w:t>Svu neiskorišćenu količinu l</w:t>
      </w:r>
      <w:r w:rsidR="00284B39" w:rsidRPr="00EC742F">
        <w:rPr>
          <w:bCs/>
          <w:sz w:val="22"/>
          <w:szCs w:val="22"/>
          <w:lang w:val="sr-Latn-ME"/>
        </w:rPr>
        <w:t>ij</w:t>
      </w:r>
      <w:r w:rsidRPr="00EC742F">
        <w:rPr>
          <w:bCs/>
          <w:sz w:val="22"/>
          <w:szCs w:val="22"/>
          <w:lang w:val="sr-Latn-ME"/>
        </w:rPr>
        <w:t>eka ili otpadnog mater</w:t>
      </w:r>
      <w:r w:rsidR="00C579ED" w:rsidRPr="00EC742F">
        <w:rPr>
          <w:bCs/>
          <w:sz w:val="22"/>
          <w:szCs w:val="22"/>
          <w:lang w:val="sr-Latn-ME"/>
        </w:rPr>
        <w:t>i</w:t>
      </w:r>
      <w:r w:rsidRPr="00EC742F">
        <w:rPr>
          <w:bCs/>
          <w:sz w:val="22"/>
          <w:szCs w:val="22"/>
          <w:lang w:val="sr-Latn-ME"/>
        </w:rPr>
        <w:t>jala nakon njegove upotrebe treba ukloniti, u skladu sa važećim propisima.</w:t>
      </w:r>
    </w:p>
    <w:bookmarkEnd w:id="0"/>
    <w:p w:rsidR="00D60C0B" w:rsidRPr="00EC742F" w:rsidRDefault="00D60C0B" w:rsidP="00480FB1">
      <w:pPr>
        <w:tabs>
          <w:tab w:val="left" w:pos="540"/>
          <w:tab w:val="left" w:pos="569"/>
        </w:tabs>
        <w:rPr>
          <w:b/>
          <w:bCs/>
          <w:sz w:val="22"/>
          <w:szCs w:val="22"/>
          <w:lang w:val="sr-Latn-ME"/>
        </w:rPr>
      </w:pPr>
    </w:p>
    <w:p w:rsidR="00D60C0B" w:rsidRPr="00EC742F" w:rsidRDefault="00D60C0B" w:rsidP="00480FB1">
      <w:pPr>
        <w:tabs>
          <w:tab w:val="left" w:pos="540"/>
          <w:tab w:val="left" w:pos="569"/>
        </w:tabs>
        <w:rPr>
          <w:b/>
          <w:bCs/>
          <w:sz w:val="22"/>
          <w:szCs w:val="22"/>
          <w:lang w:val="sr-Latn-ME"/>
        </w:rPr>
      </w:pPr>
    </w:p>
    <w:p w:rsidR="00F8570A"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7. </w:t>
      </w:r>
      <w:r w:rsidR="00480FB1" w:rsidRPr="00EC742F">
        <w:rPr>
          <w:b/>
          <w:bCs/>
          <w:sz w:val="22"/>
          <w:szCs w:val="22"/>
          <w:lang w:val="sr-Latn-ME"/>
        </w:rPr>
        <w:tab/>
      </w:r>
      <w:r w:rsidRPr="00EC742F">
        <w:rPr>
          <w:b/>
          <w:bCs/>
          <w:sz w:val="22"/>
          <w:szCs w:val="22"/>
          <w:lang w:val="sr-Latn-ME"/>
        </w:rPr>
        <w:t>NOSILAC DOZVOLE</w:t>
      </w:r>
      <w:r w:rsidR="00483928" w:rsidRPr="00EC742F">
        <w:rPr>
          <w:b/>
          <w:bCs/>
          <w:sz w:val="22"/>
          <w:szCs w:val="22"/>
          <w:lang w:val="sr-Latn-ME"/>
        </w:rPr>
        <w:t xml:space="preserve"> </w:t>
      </w:r>
    </w:p>
    <w:p w:rsidR="00D60C0B" w:rsidRPr="00EC742F" w:rsidRDefault="00D60C0B" w:rsidP="00480FB1">
      <w:pPr>
        <w:tabs>
          <w:tab w:val="left" w:pos="540"/>
          <w:tab w:val="left" w:pos="569"/>
        </w:tabs>
        <w:rPr>
          <w:b/>
          <w:bCs/>
          <w:sz w:val="22"/>
          <w:szCs w:val="22"/>
          <w:lang w:val="sr-Latn-ME"/>
        </w:rPr>
      </w:pPr>
    </w:p>
    <w:p w:rsidR="00D60C0B" w:rsidRPr="00EC742F" w:rsidRDefault="00581658">
      <w:pPr>
        <w:jc w:val="both"/>
        <w:rPr>
          <w:sz w:val="22"/>
          <w:szCs w:val="22"/>
          <w:lang w:val="sr-Latn-ME"/>
        </w:rPr>
      </w:pPr>
      <w:r w:rsidRPr="00EC742F">
        <w:rPr>
          <w:sz w:val="22"/>
          <w:szCs w:val="22"/>
          <w:lang w:val="sr-Latn-ME"/>
        </w:rPr>
        <w:t xml:space="preserve">B. Braun Adria d.o.o. </w:t>
      </w:r>
      <w:r w:rsidR="00D60C0B" w:rsidRPr="00EC742F">
        <w:rPr>
          <w:sz w:val="22"/>
          <w:szCs w:val="22"/>
          <w:lang w:val="sr-Latn-ME"/>
        </w:rPr>
        <w:t>za proizvodnju</w:t>
      </w:r>
      <w:r w:rsidRPr="00EC742F">
        <w:rPr>
          <w:sz w:val="22"/>
          <w:szCs w:val="22"/>
          <w:lang w:val="sr-Latn-ME"/>
        </w:rPr>
        <w:t>,</w:t>
      </w:r>
      <w:r w:rsidR="00D60C0B" w:rsidRPr="00EC742F">
        <w:rPr>
          <w:sz w:val="22"/>
          <w:szCs w:val="22"/>
          <w:lang w:val="sr-Latn-ME"/>
        </w:rPr>
        <w:t xml:space="preserve"> trgovinu i usluge dio stranog društva u Crnoj Gori</w:t>
      </w:r>
      <w:r w:rsidR="00F406F9" w:rsidRPr="00EC742F">
        <w:rPr>
          <w:sz w:val="22"/>
          <w:szCs w:val="22"/>
          <w:lang w:val="sr-Latn-ME"/>
        </w:rPr>
        <w:t xml:space="preserve"> </w:t>
      </w:r>
      <w:r w:rsidR="00D60C0B" w:rsidRPr="00EC742F">
        <w:rPr>
          <w:sz w:val="22"/>
          <w:szCs w:val="22"/>
          <w:lang w:val="sr-Latn-ME"/>
        </w:rPr>
        <w:t>Podgorica</w:t>
      </w:r>
      <w:r w:rsidR="006A3881" w:rsidRPr="00EC742F">
        <w:rPr>
          <w:sz w:val="22"/>
          <w:szCs w:val="22"/>
          <w:lang w:val="sr-Latn-ME"/>
        </w:rPr>
        <w:t xml:space="preserve">, </w:t>
      </w:r>
      <w:r w:rsidR="00C02FA1" w:rsidRPr="00EC742F">
        <w:rPr>
          <w:sz w:val="22"/>
          <w:szCs w:val="22"/>
          <w:lang w:val="sr-Latn-ME"/>
        </w:rPr>
        <w:t>Radosava Burića 33, 81 000</w:t>
      </w:r>
      <w:r w:rsidR="006A3881" w:rsidRPr="00EC742F">
        <w:rPr>
          <w:sz w:val="22"/>
          <w:szCs w:val="22"/>
          <w:lang w:val="sr-Latn-ME"/>
        </w:rPr>
        <w:t xml:space="preserve"> </w:t>
      </w:r>
      <w:r w:rsidR="00C02FA1" w:rsidRPr="00EC742F">
        <w:rPr>
          <w:sz w:val="22"/>
          <w:szCs w:val="22"/>
          <w:lang w:val="sr-Latn-ME"/>
        </w:rPr>
        <w:t>Podgorica, Crna Gora</w:t>
      </w:r>
    </w:p>
    <w:p w:rsidR="00C845DB" w:rsidRPr="00EC742F" w:rsidRDefault="00C845DB">
      <w:pPr>
        <w:tabs>
          <w:tab w:val="left" w:pos="540"/>
          <w:tab w:val="left" w:pos="569"/>
        </w:tabs>
        <w:jc w:val="both"/>
        <w:rPr>
          <w:bCs/>
          <w:sz w:val="22"/>
          <w:szCs w:val="22"/>
          <w:lang w:val="sr-Latn-ME"/>
        </w:rPr>
      </w:pPr>
    </w:p>
    <w:p w:rsidR="00C37FD7" w:rsidRPr="00EC742F" w:rsidRDefault="00C37FD7" w:rsidP="00480FB1">
      <w:pPr>
        <w:tabs>
          <w:tab w:val="left" w:pos="540"/>
          <w:tab w:val="left" w:pos="569"/>
        </w:tabs>
        <w:rPr>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8. </w:t>
      </w:r>
      <w:r w:rsidR="00480FB1" w:rsidRPr="00EC742F">
        <w:rPr>
          <w:b/>
          <w:bCs/>
          <w:sz w:val="22"/>
          <w:szCs w:val="22"/>
          <w:lang w:val="sr-Latn-ME"/>
        </w:rPr>
        <w:tab/>
      </w:r>
      <w:r w:rsidRPr="00EC742F">
        <w:rPr>
          <w:b/>
          <w:bCs/>
          <w:sz w:val="22"/>
          <w:szCs w:val="22"/>
          <w:lang w:val="sr-Latn-ME"/>
        </w:rPr>
        <w:t>BROJ DOZVOLE</w:t>
      </w:r>
      <w:r w:rsidR="008A6D43" w:rsidRPr="00EC742F">
        <w:rPr>
          <w:b/>
          <w:bCs/>
          <w:sz w:val="22"/>
          <w:szCs w:val="22"/>
          <w:lang w:val="sr-Latn-ME"/>
        </w:rPr>
        <w:t xml:space="preserve"> ZA STAVLJANJE LIJEKA U PROMET</w:t>
      </w:r>
    </w:p>
    <w:p w:rsidR="00083E76" w:rsidRPr="00EC742F" w:rsidRDefault="00083E76" w:rsidP="00480FB1">
      <w:pPr>
        <w:tabs>
          <w:tab w:val="left" w:pos="540"/>
          <w:tab w:val="left" w:pos="569"/>
        </w:tabs>
        <w:rPr>
          <w:bCs/>
          <w:sz w:val="22"/>
          <w:szCs w:val="22"/>
          <w:lang w:val="sr-Latn-ME"/>
        </w:rPr>
      </w:pPr>
    </w:p>
    <w:p w:rsidR="0072020E" w:rsidRPr="00EC742F" w:rsidRDefault="00083E76" w:rsidP="00480FB1">
      <w:pPr>
        <w:tabs>
          <w:tab w:val="left" w:pos="540"/>
          <w:tab w:val="left" w:pos="569"/>
        </w:tabs>
        <w:rPr>
          <w:bCs/>
          <w:sz w:val="22"/>
          <w:szCs w:val="22"/>
          <w:lang w:val="sr-Latn-ME"/>
        </w:rPr>
      </w:pPr>
      <w:r w:rsidRPr="00EC742F">
        <w:rPr>
          <w:bCs/>
          <w:sz w:val="22"/>
          <w:szCs w:val="22"/>
          <w:lang w:val="sr-Latn-ME"/>
        </w:rPr>
        <w:t>2030/22/879 - 451</w:t>
      </w:r>
    </w:p>
    <w:p w:rsidR="00F45F77" w:rsidRPr="00EC742F" w:rsidRDefault="00F45F77" w:rsidP="00480FB1">
      <w:pPr>
        <w:tabs>
          <w:tab w:val="left" w:pos="540"/>
          <w:tab w:val="left" w:pos="569"/>
        </w:tabs>
        <w:rPr>
          <w:bCs/>
          <w:sz w:val="22"/>
          <w:szCs w:val="22"/>
          <w:lang w:val="sr-Latn-ME"/>
        </w:rPr>
      </w:pPr>
    </w:p>
    <w:p w:rsidR="00083E76" w:rsidRPr="00EC742F" w:rsidRDefault="00083E76" w:rsidP="00480FB1">
      <w:pPr>
        <w:tabs>
          <w:tab w:val="left" w:pos="540"/>
          <w:tab w:val="left" w:pos="569"/>
        </w:tabs>
        <w:rPr>
          <w:bCs/>
          <w:sz w:val="22"/>
          <w:szCs w:val="22"/>
          <w:lang w:val="sr-Latn-ME"/>
        </w:rPr>
      </w:pPr>
    </w:p>
    <w:p w:rsidR="0072020E" w:rsidRPr="00EC742F" w:rsidRDefault="0072020E" w:rsidP="00480FB1">
      <w:pPr>
        <w:tabs>
          <w:tab w:val="left" w:pos="540"/>
          <w:tab w:val="left" w:pos="569"/>
        </w:tabs>
        <w:rPr>
          <w:b/>
          <w:bCs/>
          <w:sz w:val="22"/>
          <w:szCs w:val="22"/>
          <w:lang w:val="sr-Latn-ME"/>
        </w:rPr>
      </w:pPr>
      <w:r w:rsidRPr="00EC742F">
        <w:rPr>
          <w:b/>
          <w:bCs/>
          <w:sz w:val="22"/>
          <w:szCs w:val="22"/>
          <w:lang w:val="sr-Latn-ME"/>
        </w:rPr>
        <w:t xml:space="preserve">9. </w:t>
      </w:r>
      <w:r w:rsidR="00480FB1" w:rsidRPr="00EC742F">
        <w:rPr>
          <w:b/>
          <w:bCs/>
          <w:sz w:val="22"/>
          <w:szCs w:val="22"/>
          <w:lang w:val="sr-Latn-ME"/>
        </w:rPr>
        <w:tab/>
      </w:r>
      <w:r w:rsidRPr="00EC742F">
        <w:rPr>
          <w:b/>
          <w:bCs/>
          <w:sz w:val="22"/>
          <w:szCs w:val="22"/>
          <w:lang w:val="sr-Latn-ME"/>
        </w:rPr>
        <w:t xml:space="preserve">DATUM </w:t>
      </w:r>
      <w:r w:rsidR="00C05DF8" w:rsidRPr="00EC742F">
        <w:rPr>
          <w:b/>
          <w:bCs/>
          <w:sz w:val="22"/>
          <w:szCs w:val="22"/>
          <w:lang w:val="sr-Latn-ME"/>
        </w:rPr>
        <w:t xml:space="preserve">PRVE </w:t>
      </w:r>
      <w:r w:rsidR="008A6D43" w:rsidRPr="00EC742F">
        <w:rPr>
          <w:b/>
          <w:bCs/>
          <w:sz w:val="22"/>
          <w:szCs w:val="22"/>
          <w:lang w:val="sr-Latn-ME"/>
        </w:rPr>
        <w:t>DOZVOLE</w:t>
      </w:r>
      <w:r w:rsidR="00C05DF8" w:rsidRPr="00EC742F">
        <w:rPr>
          <w:b/>
          <w:bCs/>
          <w:sz w:val="22"/>
          <w:szCs w:val="22"/>
          <w:lang w:val="sr-Latn-ME"/>
        </w:rPr>
        <w:t>/OBNOVE DOZVOLE</w:t>
      </w:r>
      <w:r w:rsidR="008A6D43" w:rsidRPr="00EC742F">
        <w:rPr>
          <w:b/>
          <w:bCs/>
          <w:sz w:val="22"/>
          <w:szCs w:val="22"/>
          <w:lang w:val="sr-Latn-ME"/>
        </w:rPr>
        <w:t xml:space="preserve"> ZA STAVLJANJE LIJEKA U PROMET</w:t>
      </w:r>
    </w:p>
    <w:p w:rsidR="0072020E" w:rsidRPr="00EC742F" w:rsidRDefault="0072020E" w:rsidP="00480FB1">
      <w:pPr>
        <w:tabs>
          <w:tab w:val="left" w:pos="540"/>
          <w:tab w:val="left" w:pos="569"/>
        </w:tabs>
        <w:rPr>
          <w:bCs/>
          <w:sz w:val="22"/>
          <w:szCs w:val="22"/>
          <w:lang w:val="sr-Latn-ME"/>
        </w:rPr>
      </w:pPr>
    </w:p>
    <w:p w:rsidR="00836B35" w:rsidRPr="00EC742F" w:rsidRDefault="00083E76" w:rsidP="00480FB1">
      <w:pPr>
        <w:tabs>
          <w:tab w:val="left" w:pos="540"/>
          <w:tab w:val="left" w:pos="569"/>
        </w:tabs>
        <w:rPr>
          <w:bCs/>
          <w:sz w:val="22"/>
          <w:szCs w:val="22"/>
          <w:lang w:val="sr-Latn-ME"/>
        </w:rPr>
      </w:pPr>
      <w:r w:rsidRPr="00EC742F">
        <w:rPr>
          <w:bCs/>
          <w:sz w:val="22"/>
          <w:szCs w:val="22"/>
          <w:lang w:val="sr-Latn-ME"/>
        </w:rPr>
        <w:t>28.04.2022. godine</w:t>
      </w:r>
    </w:p>
    <w:p w:rsidR="00083E76" w:rsidRPr="00EC742F" w:rsidRDefault="00083E76" w:rsidP="00480FB1">
      <w:pPr>
        <w:tabs>
          <w:tab w:val="left" w:pos="540"/>
          <w:tab w:val="left" w:pos="569"/>
        </w:tabs>
        <w:rPr>
          <w:bCs/>
          <w:sz w:val="22"/>
          <w:szCs w:val="22"/>
          <w:lang w:val="sr-Latn-ME"/>
        </w:rPr>
      </w:pPr>
    </w:p>
    <w:p w:rsidR="00083E76" w:rsidRPr="00EC742F" w:rsidRDefault="00083E76" w:rsidP="00480FB1">
      <w:pPr>
        <w:tabs>
          <w:tab w:val="left" w:pos="540"/>
          <w:tab w:val="left" w:pos="569"/>
        </w:tabs>
        <w:rPr>
          <w:bCs/>
          <w:sz w:val="22"/>
          <w:szCs w:val="22"/>
          <w:lang w:val="sr-Latn-ME"/>
        </w:rPr>
      </w:pPr>
    </w:p>
    <w:p w:rsidR="003F6A59" w:rsidRPr="00EC742F" w:rsidRDefault="0072020E" w:rsidP="00C05DF8">
      <w:pPr>
        <w:tabs>
          <w:tab w:val="left" w:pos="540"/>
          <w:tab w:val="left" w:pos="569"/>
        </w:tabs>
        <w:ind w:left="540" w:hanging="540"/>
        <w:rPr>
          <w:bCs/>
          <w:sz w:val="22"/>
          <w:szCs w:val="22"/>
          <w:lang w:val="sr-Latn-ME"/>
        </w:rPr>
      </w:pPr>
      <w:r w:rsidRPr="00EC742F">
        <w:rPr>
          <w:b/>
          <w:bCs/>
          <w:sz w:val="22"/>
          <w:szCs w:val="22"/>
          <w:lang w:val="sr-Latn-ME"/>
        </w:rPr>
        <w:t xml:space="preserve">10. </w:t>
      </w:r>
      <w:r w:rsidR="00480FB1" w:rsidRPr="00EC742F">
        <w:rPr>
          <w:b/>
          <w:bCs/>
          <w:sz w:val="22"/>
          <w:szCs w:val="22"/>
          <w:lang w:val="sr-Latn-ME"/>
        </w:rPr>
        <w:tab/>
      </w:r>
      <w:r w:rsidR="002846DB" w:rsidRPr="00EC742F">
        <w:rPr>
          <w:b/>
          <w:bCs/>
          <w:sz w:val="22"/>
          <w:szCs w:val="22"/>
          <w:lang w:val="sr-Latn-ME"/>
        </w:rPr>
        <w:t>D</w:t>
      </w:r>
      <w:r w:rsidR="00EC2532" w:rsidRPr="00EC742F">
        <w:rPr>
          <w:b/>
          <w:bCs/>
          <w:sz w:val="22"/>
          <w:szCs w:val="22"/>
          <w:lang w:val="sr-Latn-ME"/>
        </w:rPr>
        <w:t xml:space="preserve">ATUM REVIZIJE TEKSTA </w:t>
      </w:r>
    </w:p>
    <w:p w:rsidR="003F6A59" w:rsidRPr="00EC742F" w:rsidRDefault="003F6A59" w:rsidP="00480FB1">
      <w:pPr>
        <w:tabs>
          <w:tab w:val="left" w:pos="540"/>
          <w:tab w:val="left" w:pos="569"/>
        </w:tabs>
        <w:rPr>
          <w:bCs/>
          <w:sz w:val="22"/>
          <w:szCs w:val="22"/>
          <w:lang w:val="sr-Latn-ME"/>
        </w:rPr>
      </w:pPr>
    </w:p>
    <w:p w:rsidR="008A6D43" w:rsidRPr="00EC742F" w:rsidRDefault="00083E76" w:rsidP="00480FB1">
      <w:pPr>
        <w:tabs>
          <w:tab w:val="left" w:pos="540"/>
          <w:tab w:val="left" w:pos="569"/>
        </w:tabs>
        <w:rPr>
          <w:bCs/>
          <w:sz w:val="22"/>
          <w:szCs w:val="22"/>
          <w:lang w:val="sr-Latn-ME"/>
        </w:rPr>
      </w:pPr>
      <w:r w:rsidRPr="00EC742F">
        <w:rPr>
          <w:bCs/>
          <w:sz w:val="22"/>
          <w:szCs w:val="22"/>
          <w:lang w:val="sr-Latn-ME"/>
        </w:rPr>
        <w:t>April, 2022. godine</w:t>
      </w:r>
    </w:p>
    <w:p w:rsidR="003F6A59" w:rsidRPr="00EC742F" w:rsidRDefault="003F6A59" w:rsidP="00DE3F5C">
      <w:pPr>
        <w:rPr>
          <w:sz w:val="22"/>
          <w:szCs w:val="22"/>
          <w:lang w:val="sr-Latn-ME"/>
        </w:rPr>
      </w:pPr>
    </w:p>
    <w:sectPr w:rsidR="003F6A59" w:rsidRPr="00EC742F" w:rsidSect="00491DDF">
      <w:footerReference w:type="default" r:id="rId10"/>
      <w:pgSz w:w="11909" w:h="16834" w:code="9"/>
      <w:pgMar w:top="1134" w:right="1418" w:bottom="142"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590" w:rsidRDefault="00585590">
      <w:r>
        <w:separator/>
      </w:r>
    </w:p>
  </w:endnote>
  <w:endnote w:type="continuationSeparator" w:id="0">
    <w:p w:rsidR="00585590" w:rsidRDefault="0058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8E6450" w:rsidP="00B23F69">
    <w:pPr>
      <w:pStyle w:val="Footer"/>
      <w:jc w:val="center"/>
      <w:rPr>
        <w:sz w:val="22"/>
        <w:szCs w:val="22"/>
      </w:rPr>
    </w:pPr>
    <w:r w:rsidRPr="00B23F69">
      <w:rPr>
        <w:sz w:val="22"/>
        <w:szCs w:val="22"/>
      </w:rPr>
      <w:fldChar w:fldCharType="begin"/>
    </w:r>
    <w:r w:rsidR="00EF3B86" w:rsidRPr="00B23F69">
      <w:rPr>
        <w:sz w:val="22"/>
        <w:szCs w:val="22"/>
      </w:rPr>
      <w:instrText xml:space="preserve"> PAGE </w:instrText>
    </w:r>
    <w:r w:rsidRPr="00B23F69">
      <w:rPr>
        <w:sz w:val="22"/>
        <w:szCs w:val="22"/>
      </w:rPr>
      <w:fldChar w:fldCharType="separate"/>
    </w:r>
    <w:r w:rsidR="00EC742F">
      <w:rPr>
        <w:noProof/>
        <w:sz w:val="22"/>
        <w:szCs w:val="22"/>
      </w:rPr>
      <w:t>7</w:t>
    </w:r>
    <w:r w:rsidRPr="00B23F69">
      <w:rPr>
        <w:sz w:val="22"/>
        <w:szCs w:val="22"/>
      </w:rPr>
      <w:fldChar w:fldCharType="end"/>
    </w:r>
    <w:r w:rsidR="00EF3B86" w:rsidRPr="00B23F69">
      <w:rPr>
        <w:sz w:val="22"/>
        <w:szCs w:val="22"/>
      </w:rPr>
      <w:t xml:space="preserve"> / </w:t>
    </w:r>
    <w:r w:rsidRPr="00B23F69">
      <w:rPr>
        <w:sz w:val="22"/>
        <w:szCs w:val="22"/>
      </w:rPr>
      <w:fldChar w:fldCharType="begin"/>
    </w:r>
    <w:r w:rsidR="00EF3B86" w:rsidRPr="00B23F69">
      <w:rPr>
        <w:sz w:val="22"/>
        <w:szCs w:val="22"/>
      </w:rPr>
      <w:instrText xml:space="preserve"> NUMPAGES </w:instrText>
    </w:r>
    <w:r w:rsidRPr="00B23F69">
      <w:rPr>
        <w:sz w:val="22"/>
        <w:szCs w:val="22"/>
      </w:rPr>
      <w:fldChar w:fldCharType="separate"/>
    </w:r>
    <w:r w:rsidR="00EC742F">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590" w:rsidRDefault="00585590">
      <w:r>
        <w:separator/>
      </w:r>
    </w:p>
  </w:footnote>
  <w:footnote w:type="continuationSeparator" w:id="0">
    <w:p w:rsidR="00585590" w:rsidRDefault="00585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6pt;height:14.5pt;visibility:visible" o:bullet="t">
        <v:imagedata r:id="rId1" o:title="BT_1000x858px"/>
      </v:shape>
    </w:pict>
  </w:numPicBullet>
  <w:abstractNum w:abstractNumId="0" w15:restartNumberingAfterBreak="0">
    <w:nsid w:val="0A4F17FA"/>
    <w:multiLevelType w:val="hybridMultilevel"/>
    <w:tmpl w:val="144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0B152D"/>
    <w:multiLevelType w:val="hybridMultilevel"/>
    <w:tmpl w:val="43A4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B953FD"/>
    <w:multiLevelType w:val="hybridMultilevel"/>
    <w:tmpl w:val="1D6E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DE1430C"/>
    <w:multiLevelType w:val="hybridMultilevel"/>
    <w:tmpl w:val="E7AA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01613"/>
    <w:multiLevelType w:val="hybridMultilevel"/>
    <w:tmpl w:val="8F486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3"/>
  </w:num>
  <w:num w:numId="5">
    <w:abstractNumId w:val="7"/>
  </w:num>
  <w:num w:numId="6">
    <w:abstractNumId w:val="3"/>
  </w:num>
  <w:num w:numId="7">
    <w:abstractNumId w:val="12"/>
  </w:num>
  <w:num w:numId="8">
    <w:abstractNumId w:val="6"/>
  </w:num>
  <w:num w:numId="9">
    <w:abstractNumId w:val="9"/>
  </w:num>
  <w:num w:numId="10">
    <w:abstractNumId w:val="15"/>
  </w:num>
  <w:num w:numId="11">
    <w:abstractNumId w:val="8"/>
  </w:num>
  <w:num w:numId="12">
    <w:abstractNumId w:val="2"/>
  </w:num>
  <w:num w:numId="13">
    <w:abstractNumId w:val="10"/>
  </w:num>
  <w:num w:numId="14">
    <w:abstractNumId w:val="11"/>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00A3"/>
    <w:rsid w:val="0003443C"/>
    <w:rsid w:val="00036FA0"/>
    <w:rsid w:val="0003793F"/>
    <w:rsid w:val="00045178"/>
    <w:rsid w:val="00057E35"/>
    <w:rsid w:val="00076726"/>
    <w:rsid w:val="00080303"/>
    <w:rsid w:val="00083E76"/>
    <w:rsid w:val="00097999"/>
    <w:rsid w:val="000A0D2B"/>
    <w:rsid w:val="000A3F58"/>
    <w:rsid w:val="000D2343"/>
    <w:rsid w:val="000D3449"/>
    <w:rsid w:val="000D425A"/>
    <w:rsid w:val="000D60CC"/>
    <w:rsid w:val="000E2084"/>
    <w:rsid w:val="000E6F55"/>
    <w:rsid w:val="000F5D5F"/>
    <w:rsid w:val="000F77FA"/>
    <w:rsid w:val="0010463C"/>
    <w:rsid w:val="00107BF7"/>
    <w:rsid w:val="00111401"/>
    <w:rsid w:val="00117A55"/>
    <w:rsid w:val="00122AF9"/>
    <w:rsid w:val="00126F53"/>
    <w:rsid w:val="0013520C"/>
    <w:rsid w:val="0014766D"/>
    <w:rsid w:val="001536CC"/>
    <w:rsid w:val="001838E1"/>
    <w:rsid w:val="001A3FBA"/>
    <w:rsid w:val="001A5518"/>
    <w:rsid w:val="001B0AA6"/>
    <w:rsid w:val="001B1C6A"/>
    <w:rsid w:val="001C1263"/>
    <w:rsid w:val="001C1417"/>
    <w:rsid w:val="001E390B"/>
    <w:rsid w:val="001F42FB"/>
    <w:rsid w:val="001F719A"/>
    <w:rsid w:val="002031B3"/>
    <w:rsid w:val="0021337F"/>
    <w:rsid w:val="002133BD"/>
    <w:rsid w:val="00215931"/>
    <w:rsid w:val="00224C91"/>
    <w:rsid w:val="00227BDB"/>
    <w:rsid w:val="00231E10"/>
    <w:rsid w:val="00234CB1"/>
    <w:rsid w:val="002352F8"/>
    <w:rsid w:val="002510A5"/>
    <w:rsid w:val="00254A0A"/>
    <w:rsid w:val="00266046"/>
    <w:rsid w:val="00270965"/>
    <w:rsid w:val="002846DB"/>
    <w:rsid w:val="00284B39"/>
    <w:rsid w:val="00284CCD"/>
    <w:rsid w:val="00290EC2"/>
    <w:rsid w:val="002A576F"/>
    <w:rsid w:val="002C6637"/>
    <w:rsid w:val="002E0135"/>
    <w:rsid w:val="002E37A5"/>
    <w:rsid w:val="002F011D"/>
    <w:rsid w:val="00310F03"/>
    <w:rsid w:val="00312DAF"/>
    <w:rsid w:val="00316EC9"/>
    <w:rsid w:val="003247D2"/>
    <w:rsid w:val="00333159"/>
    <w:rsid w:val="003445C1"/>
    <w:rsid w:val="00355B61"/>
    <w:rsid w:val="00362686"/>
    <w:rsid w:val="00371510"/>
    <w:rsid w:val="00396DFD"/>
    <w:rsid w:val="003A1B53"/>
    <w:rsid w:val="003A7059"/>
    <w:rsid w:val="003B7A36"/>
    <w:rsid w:val="003C17AB"/>
    <w:rsid w:val="003C7823"/>
    <w:rsid w:val="003E1DCC"/>
    <w:rsid w:val="003F11A1"/>
    <w:rsid w:val="003F6A59"/>
    <w:rsid w:val="00404627"/>
    <w:rsid w:val="004065C8"/>
    <w:rsid w:val="004109FA"/>
    <w:rsid w:val="00411B4B"/>
    <w:rsid w:val="00415BEE"/>
    <w:rsid w:val="00425BCF"/>
    <w:rsid w:val="00427F85"/>
    <w:rsid w:val="00436F42"/>
    <w:rsid w:val="004378B4"/>
    <w:rsid w:val="004447A3"/>
    <w:rsid w:val="00451314"/>
    <w:rsid w:val="00452E9D"/>
    <w:rsid w:val="004534C7"/>
    <w:rsid w:val="00466BA6"/>
    <w:rsid w:val="004671AA"/>
    <w:rsid w:val="00480FB1"/>
    <w:rsid w:val="00483928"/>
    <w:rsid w:val="00491DDF"/>
    <w:rsid w:val="004C17BE"/>
    <w:rsid w:val="004C331F"/>
    <w:rsid w:val="004D6103"/>
    <w:rsid w:val="004E14C9"/>
    <w:rsid w:val="004E3BCE"/>
    <w:rsid w:val="004E70AD"/>
    <w:rsid w:val="004F0E97"/>
    <w:rsid w:val="00501DD1"/>
    <w:rsid w:val="00515C21"/>
    <w:rsid w:val="00530BD7"/>
    <w:rsid w:val="00535ACD"/>
    <w:rsid w:val="00545CD2"/>
    <w:rsid w:val="005476F3"/>
    <w:rsid w:val="00572527"/>
    <w:rsid w:val="00573E40"/>
    <w:rsid w:val="00576348"/>
    <w:rsid w:val="00581658"/>
    <w:rsid w:val="00585590"/>
    <w:rsid w:val="005A0B2E"/>
    <w:rsid w:val="005A23D2"/>
    <w:rsid w:val="005A36CB"/>
    <w:rsid w:val="005B49B8"/>
    <w:rsid w:val="005C0741"/>
    <w:rsid w:val="005C0D2B"/>
    <w:rsid w:val="005C5EF4"/>
    <w:rsid w:val="005E2E0B"/>
    <w:rsid w:val="005E7A7D"/>
    <w:rsid w:val="005F264D"/>
    <w:rsid w:val="00602457"/>
    <w:rsid w:val="00612030"/>
    <w:rsid w:val="00644FC3"/>
    <w:rsid w:val="00646BD1"/>
    <w:rsid w:val="006561C2"/>
    <w:rsid w:val="00671CB3"/>
    <w:rsid w:val="00674BAF"/>
    <w:rsid w:val="00682200"/>
    <w:rsid w:val="0068632A"/>
    <w:rsid w:val="00692BF6"/>
    <w:rsid w:val="006976AF"/>
    <w:rsid w:val="006A1497"/>
    <w:rsid w:val="006A3881"/>
    <w:rsid w:val="006B0BD1"/>
    <w:rsid w:val="006B5404"/>
    <w:rsid w:val="006C2086"/>
    <w:rsid w:val="006C5FCC"/>
    <w:rsid w:val="006D20A5"/>
    <w:rsid w:val="006D37BF"/>
    <w:rsid w:val="006D62D7"/>
    <w:rsid w:val="00702E22"/>
    <w:rsid w:val="00706F06"/>
    <w:rsid w:val="0072020E"/>
    <w:rsid w:val="00725D48"/>
    <w:rsid w:val="00743B52"/>
    <w:rsid w:val="00760A0C"/>
    <w:rsid w:val="00783251"/>
    <w:rsid w:val="00786071"/>
    <w:rsid w:val="00787FEA"/>
    <w:rsid w:val="007A3ECB"/>
    <w:rsid w:val="007D7BB3"/>
    <w:rsid w:val="007E60DC"/>
    <w:rsid w:val="00824121"/>
    <w:rsid w:val="00824AB9"/>
    <w:rsid w:val="00830EAC"/>
    <w:rsid w:val="00836B35"/>
    <w:rsid w:val="00843BDE"/>
    <w:rsid w:val="00850217"/>
    <w:rsid w:val="00864C30"/>
    <w:rsid w:val="0087588C"/>
    <w:rsid w:val="00887A19"/>
    <w:rsid w:val="0089120F"/>
    <w:rsid w:val="00895CCF"/>
    <w:rsid w:val="0089705C"/>
    <w:rsid w:val="008A6D43"/>
    <w:rsid w:val="008A6FED"/>
    <w:rsid w:val="008B491E"/>
    <w:rsid w:val="008C1A28"/>
    <w:rsid w:val="008C2E98"/>
    <w:rsid w:val="008D2D83"/>
    <w:rsid w:val="008E4605"/>
    <w:rsid w:val="008E49BD"/>
    <w:rsid w:val="008E53E9"/>
    <w:rsid w:val="008E5771"/>
    <w:rsid w:val="008E6450"/>
    <w:rsid w:val="008F16BE"/>
    <w:rsid w:val="008F4ACF"/>
    <w:rsid w:val="008F70A2"/>
    <w:rsid w:val="00923D2E"/>
    <w:rsid w:val="00924166"/>
    <w:rsid w:val="00927C9A"/>
    <w:rsid w:val="00936F0E"/>
    <w:rsid w:val="00940B9B"/>
    <w:rsid w:val="00952E4F"/>
    <w:rsid w:val="0095676E"/>
    <w:rsid w:val="00956983"/>
    <w:rsid w:val="00963CF0"/>
    <w:rsid w:val="00964BB1"/>
    <w:rsid w:val="00970CB8"/>
    <w:rsid w:val="009714E4"/>
    <w:rsid w:val="00973F3C"/>
    <w:rsid w:val="009775D9"/>
    <w:rsid w:val="00997175"/>
    <w:rsid w:val="009A1847"/>
    <w:rsid w:val="009B062A"/>
    <w:rsid w:val="009B7C8F"/>
    <w:rsid w:val="009D17E9"/>
    <w:rsid w:val="009E7C6F"/>
    <w:rsid w:val="009F1793"/>
    <w:rsid w:val="009F2D23"/>
    <w:rsid w:val="00A01D69"/>
    <w:rsid w:val="00A02335"/>
    <w:rsid w:val="00A03745"/>
    <w:rsid w:val="00A26818"/>
    <w:rsid w:val="00A46C9A"/>
    <w:rsid w:val="00A619F3"/>
    <w:rsid w:val="00A62A73"/>
    <w:rsid w:val="00A76367"/>
    <w:rsid w:val="00A86731"/>
    <w:rsid w:val="00A87FF6"/>
    <w:rsid w:val="00A90273"/>
    <w:rsid w:val="00A906A0"/>
    <w:rsid w:val="00AA0A3B"/>
    <w:rsid w:val="00AA2763"/>
    <w:rsid w:val="00AA33B6"/>
    <w:rsid w:val="00AB50CA"/>
    <w:rsid w:val="00AB6D64"/>
    <w:rsid w:val="00AC53CE"/>
    <w:rsid w:val="00AD2193"/>
    <w:rsid w:val="00AF1B9E"/>
    <w:rsid w:val="00AF2AC7"/>
    <w:rsid w:val="00AF74CE"/>
    <w:rsid w:val="00B10155"/>
    <w:rsid w:val="00B13ACF"/>
    <w:rsid w:val="00B208DB"/>
    <w:rsid w:val="00B23F69"/>
    <w:rsid w:val="00B444C9"/>
    <w:rsid w:val="00B53955"/>
    <w:rsid w:val="00B60619"/>
    <w:rsid w:val="00B60BA0"/>
    <w:rsid w:val="00B66A70"/>
    <w:rsid w:val="00B67366"/>
    <w:rsid w:val="00B80EE1"/>
    <w:rsid w:val="00B84135"/>
    <w:rsid w:val="00B92CF5"/>
    <w:rsid w:val="00BA16B1"/>
    <w:rsid w:val="00BD257A"/>
    <w:rsid w:val="00BF55B2"/>
    <w:rsid w:val="00C02FA1"/>
    <w:rsid w:val="00C04D34"/>
    <w:rsid w:val="00C054C1"/>
    <w:rsid w:val="00C05DF8"/>
    <w:rsid w:val="00C06864"/>
    <w:rsid w:val="00C10F54"/>
    <w:rsid w:val="00C23D8D"/>
    <w:rsid w:val="00C37AA3"/>
    <w:rsid w:val="00C37FD7"/>
    <w:rsid w:val="00C42105"/>
    <w:rsid w:val="00C43419"/>
    <w:rsid w:val="00C44CF3"/>
    <w:rsid w:val="00C579ED"/>
    <w:rsid w:val="00C61BE0"/>
    <w:rsid w:val="00C6707E"/>
    <w:rsid w:val="00C70B0E"/>
    <w:rsid w:val="00C773CA"/>
    <w:rsid w:val="00C83785"/>
    <w:rsid w:val="00C8444F"/>
    <w:rsid w:val="00C845DB"/>
    <w:rsid w:val="00C94C0D"/>
    <w:rsid w:val="00CA0FA5"/>
    <w:rsid w:val="00CA1FEB"/>
    <w:rsid w:val="00CD4F85"/>
    <w:rsid w:val="00CD6F02"/>
    <w:rsid w:val="00CE246D"/>
    <w:rsid w:val="00CF07A0"/>
    <w:rsid w:val="00CF34D5"/>
    <w:rsid w:val="00CF3E03"/>
    <w:rsid w:val="00D0082A"/>
    <w:rsid w:val="00D02957"/>
    <w:rsid w:val="00D03331"/>
    <w:rsid w:val="00D177FE"/>
    <w:rsid w:val="00D21455"/>
    <w:rsid w:val="00D3188D"/>
    <w:rsid w:val="00D47634"/>
    <w:rsid w:val="00D522A9"/>
    <w:rsid w:val="00D60C0B"/>
    <w:rsid w:val="00D65A27"/>
    <w:rsid w:val="00D65B2C"/>
    <w:rsid w:val="00D709B3"/>
    <w:rsid w:val="00D84E73"/>
    <w:rsid w:val="00D84F27"/>
    <w:rsid w:val="00DA249E"/>
    <w:rsid w:val="00DA2ED6"/>
    <w:rsid w:val="00DA7048"/>
    <w:rsid w:val="00DB76B8"/>
    <w:rsid w:val="00DC2EA1"/>
    <w:rsid w:val="00DD5A26"/>
    <w:rsid w:val="00DD65FD"/>
    <w:rsid w:val="00DD6AAF"/>
    <w:rsid w:val="00DE3F5C"/>
    <w:rsid w:val="00DF1D20"/>
    <w:rsid w:val="00E21324"/>
    <w:rsid w:val="00E246B9"/>
    <w:rsid w:val="00E31FEA"/>
    <w:rsid w:val="00E45169"/>
    <w:rsid w:val="00E47787"/>
    <w:rsid w:val="00E51C30"/>
    <w:rsid w:val="00E60684"/>
    <w:rsid w:val="00E64180"/>
    <w:rsid w:val="00E72937"/>
    <w:rsid w:val="00E74AEE"/>
    <w:rsid w:val="00E868E5"/>
    <w:rsid w:val="00E9237A"/>
    <w:rsid w:val="00E939FA"/>
    <w:rsid w:val="00E971B9"/>
    <w:rsid w:val="00EA0BBA"/>
    <w:rsid w:val="00EA5765"/>
    <w:rsid w:val="00EA70F5"/>
    <w:rsid w:val="00EC2532"/>
    <w:rsid w:val="00EC742F"/>
    <w:rsid w:val="00ED7812"/>
    <w:rsid w:val="00EE31BA"/>
    <w:rsid w:val="00EF190D"/>
    <w:rsid w:val="00EF3B86"/>
    <w:rsid w:val="00F317E9"/>
    <w:rsid w:val="00F34554"/>
    <w:rsid w:val="00F35376"/>
    <w:rsid w:val="00F406F9"/>
    <w:rsid w:val="00F44579"/>
    <w:rsid w:val="00F45F77"/>
    <w:rsid w:val="00F47C5B"/>
    <w:rsid w:val="00F5167F"/>
    <w:rsid w:val="00F52258"/>
    <w:rsid w:val="00F656A5"/>
    <w:rsid w:val="00F8570A"/>
    <w:rsid w:val="00F91C7B"/>
    <w:rsid w:val="00F96BD7"/>
    <w:rsid w:val="00FB56F3"/>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86892"/>
  <w15:docId w15:val="{9254C8AA-E5A6-4951-93E8-0B351742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43C"/>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9B7C8F"/>
    <w:rPr>
      <w:sz w:val="24"/>
      <w:szCs w:val="24"/>
      <w:lang w:val="en-US" w:eastAsia="en-US"/>
    </w:rPr>
  </w:style>
  <w:style w:type="paragraph" w:styleId="ListParagraph">
    <w:name w:val="List Paragraph"/>
    <w:basedOn w:val="Normal"/>
    <w:uiPriority w:val="34"/>
    <w:qFormat/>
    <w:rsid w:val="009B7C8F"/>
    <w:pPr>
      <w:tabs>
        <w:tab w:val="left" w:pos="284"/>
      </w:tabs>
      <w:ind w:left="720"/>
      <w:contextualSpacing/>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9C78-3579-4FEC-9664-4CF082FD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16843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3</cp:revision>
  <cp:lastPrinted>2021-11-22T13:12:00Z</cp:lastPrinted>
  <dcterms:created xsi:type="dcterms:W3CDTF">2022-04-27T19:07:00Z</dcterms:created>
  <dcterms:modified xsi:type="dcterms:W3CDTF">2022-04-27T19:16:00Z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