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25DF3" w14:textId="77777777" w:rsidR="002510A5" w:rsidRPr="00C20670" w:rsidRDefault="002510A5" w:rsidP="00C20670">
      <w:pPr>
        <w:jc w:val="center"/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</w:pPr>
      <w:r w:rsidRPr="00C20670"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2B2E8D5" w14:textId="77777777" w:rsidR="0084701F" w:rsidRPr="00C20670" w:rsidRDefault="0084701F" w:rsidP="00C20670">
      <w:pPr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07F2D613" w14:textId="77777777" w:rsidR="00C37FD7" w:rsidRPr="00C20670" w:rsidRDefault="00C37FD7" w:rsidP="00C20670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0A0B5ADE" w14:textId="77777777" w:rsidR="00411B4B" w:rsidRPr="00C20670" w:rsidRDefault="00411B4B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1.</w:t>
      </w:r>
      <w:r w:rsidR="00F5167F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="002846DB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NAZIV </w:t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LIJEKA</w:t>
      </w:r>
    </w:p>
    <w:p w14:paraId="70A9A075" w14:textId="77777777" w:rsidR="00EC2532" w:rsidRPr="00C20670" w:rsidRDefault="00EC2532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67D8FFB" w14:textId="43FB1E19" w:rsidR="00A34EC3" w:rsidRPr="00C20670" w:rsidRDefault="00A34EC3" w:rsidP="00C20670">
      <w:pPr>
        <w:pStyle w:val="NoSpacing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sz w:val="22"/>
          <w:szCs w:val="22"/>
          <w:lang w:val="sr-Latn-ME"/>
        </w:rPr>
        <w:t>DIBASE</w:t>
      </w:r>
      <w:r w:rsidRPr="00C20670">
        <w:rPr>
          <w:rFonts w:asciiTheme="majorBidi" w:hAnsiTheme="majorBidi" w:cstheme="majorBidi"/>
          <w:b/>
          <w:sz w:val="22"/>
          <w:szCs w:val="22"/>
          <w:vertAlign w:val="superscript"/>
          <w:lang w:val="sr-Latn-ME"/>
        </w:rPr>
        <w:t>®</w:t>
      </w:r>
      <w:r w:rsidRPr="00C20670">
        <w:rPr>
          <w:rFonts w:asciiTheme="majorBidi" w:hAnsiTheme="majorBidi" w:cstheme="majorBidi"/>
          <w:b/>
          <w:sz w:val="22"/>
          <w:szCs w:val="22"/>
          <w:lang w:val="sr-Latn-ME"/>
        </w:rPr>
        <w:t>, 100 000 i.j./m</w:t>
      </w:r>
      <w:r w:rsidR="00B61213" w:rsidRPr="00C20670">
        <w:rPr>
          <w:rFonts w:asciiTheme="majorBidi" w:hAnsiTheme="majorBidi" w:cstheme="majorBidi"/>
          <w:b/>
          <w:sz w:val="22"/>
          <w:szCs w:val="22"/>
          <w:lang w:val="sr-Latn-ME"/>
        </w:rPr>
        <w:t>l</w:t>
      </w:r>
      <w:r w:rsidRPr="00C20670">
        <w:rPr>
          <w:rFonts w:asciiTheme="majorBidi" w:hAnsiTheme="majorBidi" w:cstheme="majorBidi"/>
          <w:b/>
          <w:sz w:val="22"/>
          <w:szCs w:val="22"/>
          <w:lang w:val="sr-Latn-ME"/>
        </w:rPr>
        <w:t>, rastvor za injekciju</w:t>
      </w:r>
    </w:p>
    <w:p w14:paraId="0A09642F" w14:textId="5EFDC561" w:rsidR="0084701F" w:rsidRPr="00C20670" w:rsidRDefault="0084701F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INN: holekalciferol </w:t>
      </w:r>
    </w:p>
    <w:p w14:paraId="255503F1" w14:textId="2EC18C67" w:rsidR="00530BD7" w:rsidRDefault="00530BD7" w:rsidP="00C2067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52341286" w14:textId="77777777" w:rsidR="00C20670" w:rsidRPr="00C20670" w:rsidRDefault="00C20670" w:rsidP="00C2067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4984F61D" w14:textId="77777777" w:rsidR="00411B4B" w:rsidRPr="00C20670" w:rsidRDefault="00411B4B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2. </w:t>
      </w:r>
      <w:r w:rsidR="00F5167F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KVALITATIVNI I KVANTITATIVNI SASTAV</w:t>
      </w:r>
    </w:p>
    <w:p w14:paraId="0CE28DE8" w14:textId="77777777" w:rsidR="005A0B2E" w:rsidRPr="00C20670" w:rsidRDefault="005A0B2E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A6AA8D0" w14:textId="6557C92D" w:rsidR="00A34EC3" w:rsidRPr="00C20670" w:rsidRDefault="00A34EC3" w:rsidP="00C20670">
      <w:pPr>
        <w:pStyle w:val="NoSpacing"/>
        <w:jc w:val="both"/>
        <w:rPr>
          <w:rFonts w:asciiTheme="majorBidi" w:hAnsiTheme="majorBidi" w:cstheme="majorBidi"/>
          <w:sz w:val="22"/>
          <w:szCs w:val="22"/>
          <w:u w:color="444444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u w:color="444444"/>
          <w:lang w:val="sr-Latn-ME"/>
        </w:rPr>
        <w:t>Jedna ampula sadrži 2.5 mg aktivne supstance holekalciferol, što odgovara 100.000 i.j.</w:t>
      </w:r>
    </w:p>
    <w:p w14:paraId="657D8930" w14:textId="77777777" w:rsidR="00B36CEC" w:rsidRPr="00C20670" w:rsidRDefault="00B36CEC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8DB21DC" w14:textId="1D587497" w:rsidR="0003793F" w:rsidRPr="00C20670" w:rsidRDefault="0003793F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Za spisak svih ekscipijenasa, pogledati dio 6.1.</w:t>
      </w:r>
    </w:p>
    <w:p w14:paraId="29AEB6C9" w14:textId="4D45D7C7" w:rsidR="00C37FD7" w:rsidRDefault="00C37FD7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B73C38A" w14:textId="77777777" w:rsidR="00C20670" w:rsidRPr="00C20670" w:rsidRDefault="00C20670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EA709E6" w14:textId="77777777" w:rsidR="00411B4B" w:rsidRPr="00C20670" w:rsidRDefault="00411B4B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3. </w:t>
      </w:r>
      <w:r w:rsidR="00F5167F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FARMACEUTSKI OBLIK</w:t>
      </w:r>
      <w:r w:rsidR="009F2D23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14:paraId="7CC564D4" w14:textId="77777777" w:rsidR="005D4F8D" w:rsidRPr="00C20670" w:rsidRDefault="005D4F8D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9337DF7" w14:textId="07665B33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Rastvor za injekciju.</w:t>
      </w:r>
    </w:p>
    <w:p w14:paraId="27745C86" w14:textId="112674E1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Bistar uljani rastvor, bezbojni do zelenkasto-žute boje.</w:t>
      </w:r>
    </w:p>
    <w:p w14:paraId="360E5AD2" w14:textId="0AE96881" w:rsidR="00EC2532" w:rsidRDefault="00EC2532" w:rsidP="00C2067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375AC733" w14:textId="77777777" w:rsidR="00C20670" w:rsidRPr="00C20670" w:rsidRDefault="00C20670" w:rsidP="00C2067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5FBEF178" w14:textId="77777777" w:rsidR="00411B4B" w:rsidRPr="00C20670" w:rsidRDefault="00411B4B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KLINIČKI PODACI</w:t>
      </w:r>
    </w:p>
    <w:p w14:paraId="3B4277DD" w14:textId="77777777" w:rsidR="00CD6F02" w:rsidRPr="00C20670" w:rsidRDefault="00CD6F02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7FFD2901" w14:textId="77777777" w:rsidR="00411B4B" w:rsidRPr="00C20670" w:rsidRDefault="00411B4B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4.1.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Terapijske indikacije</w:t>
      </w:r>
    </w:p>
    <w:p w14:paraId="2E1B15C2" w14:textId="77777777" w:rsidR="0084701F" w:rsidRPr="00C20670" w:rsidRDefault="0084701F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01E79D5" w14:textId="6829977B" w:rsidR="0084701F" w:rsidRPr="00C20670" w:rsidRDefault="00C81F3E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="0084701F" w:rsidRPr="00C20670">
        <w:rPr>
          <w:rFonts w:asciiTheme="majorBidi" w:hAnsiTheme="majorBidi" w:cstheme="majorBidi"/>
          <w:sz w:val="22"/>
          <w:szCs w:val="22"/>
          <w:lang w:val="sr-Latn-ME"/>
        </w:rPr>
        <w:t>ečenje deficita vitamina D.</w:t>
      </w:r>
    </w:p>
    <w:p w14:paraId="0C34CFBA" w14:textId="77777777" w:rsidR="0084701F" w:rsidRPr="00C20670" w:rsidRDefault="0084701F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6111C2E6" w14:textId="04B2342C" w:rsidR="00411B4B" w:rsidRPr="00C20670" w:rsidRDefault="00411B4B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4.2.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Doziranje i način primjene</w:t>
      </w:r>
    </w:p>
    <w:p w14:paraId="1382CC24" w14:textId="77777777" w:rsidR="005D4F8D" w:rsidRPr="00C20670" w:rsidRDefault="005D4F8D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38822F3" w14:textId="403A3151" w:rsidR="00C81F3E" w:rsidRPr="00C20670" w:rsidRDefault="00C81F3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="00E07C34" w:rsidRPr="00C20670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ječenje injektibilnim intramuskularnim putem je indikovano u slučaju sindroma malapsorpcije.</w:t>
      </w:r>
    </w:p>
    <w:p w14:paraId="016ED178" w14:textId="77777777" w:rsidR="0072020E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136688E4" w14:textId="77777777" w:rsidR="00A34EC3" w:rsidRPr="00C20670" w:rsidRDefault="00A34EC3" w:rsidP="00C20670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sz w:val="22"/>
          <w:szCs w:val="22"/>
          <w:lang w:val="sr-Latn-ME"/>
        </w:rPr>
        <w:t>Doziranje</w:t>
      </w:r>
    </w:p>
    <w:p w14:paraId="0265EFF1" w14:textId="77777777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F05B441" w14:textId="0EC0E6DE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u w:val="single"/>
          <w:lang w:val="sr-Latn-ME"/>
        </w:rPr>
        <w:t>L</w:t>
      </w:r>
      <w:r w:rsidR="008A2C0A" w:rsidRPr="00C20670">
        <w:rPr>
          <w:rFonts w:asciiTheme="majorBidi" w:hAnsiTheme="majorBidi" w:cstheme="majorBidi"/>
          <w:sz w:val="22"/>
          <w:szCs w:val="22"/>
          <w:u w:val="single"/>
          <w:lang w:val="sr-Latn-ME"/>
        </w:rPr>
        <w:t>ij</w:t>
      </w:r>
      <w:r w:rsidRPr="00C20670">
        <w:rPr>
          <w:rFonts w:asciiTheme="majorBidi" w:hAnsiTheme="majorBidi" w:cstheme="majorBidi"/>
          <w:sz w:val="22"/>
          <w:szCs w:val="22"/>
          <w:u w:val="single"/>
          <w:lang w:val="sr-Latn-ME"/>
        </w:rPr>
        <w:t>ečenje deficita vitamina D: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Deficit vitamina D mora da se identifikuje klinički i/ili na osnovu laboratorijskih analiza. Terapija je osmišljena tako da nadoknadi rezerve vitamina D, a ukoliko rizik od deficita i dalje postoji, nastavlja se terapija održavanja, u dozama koje se koriste za prevenciju</w:t>
      </w:r>
      <w:r w:rsidR="00B11FEA" w:rsidRPr="00C20670">
        <w:rPr>
          <w:rFonts w:asciiTheme="majorBidi" w:hAnsiTheme="majorBidi" w:cstheme="majorBidi"/>
          <w:sz w:val="22"/>
          <w:szCs w:val="22"/>
          <w:lang w:val="sr-Latn-ME"/>
        </w:rPr>
        <w:t>.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U većini slučajeva, tokom faze l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ečenja, preporučuje se da se ne prekoračuju kumulativne doze od </w:t>
      </w:r>
      <w:r w:rsidR="00B11FEA" w:rsidRPr="00C20670">
        <w:rPr>
          <w:rFonts w:asciiTheme="majorBidi" w:hAnsiTheme="majorBidi" w:cstheme="majorBidi"/>
          <w:sz w:val="22"/>
          <w:szCs w:val="22"/>
          <w:lang w:val="sr-Latn-ME"/>
        </w:rPr>
        <w:t>3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00 000 i.j., osim ukoliko drugačije nije propisao l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ekar.</w:t>
      </w:r>
    </w:p>
    <w:p w14:paraId="58E10557" w14:textId="23238A1B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Navedena šema doziranja se može koristiti kao pr</w:t>
      </w:r>
      <w:r w:rsidR="00526F1D" w:rsidRPr="00C20670">
        <w:rPr>
          <w:rFonts w:asciiTheme="majorBidi" w:hAnsiTheme="majorBidi" w:cstheme="majorBidi"/>
          <w:sz w:val="22"/>
          <w:szCs w:val="22"/>
          <w:lang w:val="sr-Latn-ME"/>
        </w:rPr>
        <w:t>edlog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i l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ekar je može prilagoditi na osnovu vrste i težine deficita vitamina D (vid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eti </w:t>
      </w:r>
      <w:r w:rsidR="00054B30" w:rsidRPr="00C20670">
        <w:rPr>
          <w:rFonts w:asciiTheme="majorBidi" w:hAnsiTheme="majorBidi" w:cstheme="majorBidi"/>
          <w:sz w:val="22"/>
          <w:szCs w:val="22"/>
          <w:lang w:val="sr-Latn-ME"/>
        </w:rPr>
        <w:t>dio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4.4).</w:t>
      </w:r>
    </w:p>
    <w:p w14:paraId="1286244F" w14:textId="50431087" w:rsidR="00B11FEA" w:rsidRPr="00C20670" w:rsidRDefault="00B11FEA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7DDFA76" w14:textId="38CC5F03" w:rsidR="00B11FEA" w:rsidRPr="00C20670" w:rsidRDefault="00B11FEA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="00526F1D" w:rsidRPr="00C20670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ječenje:</w:t>
      </w:r>
    </w:p>
    <w:p w14:paraId="7678EE29" w14:textId="7F565B08" w:rsidR="00B11FEA" w:rsidRPr="00C20670" w:rsidRDefault="00B11FEA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DIBASE 100 000 i.j.: 1 ampula (što odgovara 100 000 i.j. vitamina D</w:t>
      </w:r>
      <w:r w:rsidRPr="00C20670">
        <w:rPr>
          <w:rFonts w:asciiTheme="majorBidi" w:hAnsiTheme="majorBidi" w:cstheme="majorBidi"/>
          <w:sz w:val="22"/>
          <w:szCs w:val="22"/>
          <w:vertAlign w:val="subscript"/>
          <w:lang w:val="sr-Latn-ME"/>
        </w:rPr>
        <w:t>3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)</w:t>
      </w:r>
      <w:r w:rsidR="005432E5"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jednom mjesečno tokom najviše 3 mjeseca.</w:t>
      </w:r>
    </w:p>
    <w:p w14:paraId="4B96D1BE" w14:textId="77777777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A006F79" w14:textId="5D1E7E6B" w:rsidR="00C774C2" w:rsidRPr="00C20670" w:rsidRDefault="00C774C2" w:rsidP="00C20670">
      <w:pPr>
        <w:jc w:val="both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  <w:r w:rsidRPr="00C20670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Pedijatrijska populacija</w:t>
      </w:r>
    </w:p>
    <w:p w14:paraId="6DC14D72" w14:textId="1C22E3B1" w:rsidR="00C774C2" w:rsidRPr="00C20670" w:rsidRDefault="00C774C2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Primjena lijeka DIBASE u </w:t>
      </w:r>
      <w:r w:rsidR="008656C5" w:rsidRPr="00C20670">
        <w:rPr>
          <w:rFonts w:asciiTheme="majorBidi" w:hAnsiTheme="majorBidi" w:cstheme="majorBidi"/>
          <w:sz w:val="22"/>
          <w:szCs w:val="22"/>
          <w:lang w:val="sr-Latn-ME"/>
        </w:rPr>
        <w:t>ovoj dozi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nije preporučljiva kod novorođenčadi, djece i adolescenata ispod 18 godina starosti, zbog nedostataka kliničkih podataka.</w:t>
      </w:r>
    </w:p>
    <w:p w14:paraId="2BC4FC1C" w14:textId="77777777" w:rsidR="00C774C2" w:rsidRPr="00C20670" w:rsidRDefault="00C774C2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F089504" w14:textId="77777777" w:rsidR="00C774C2" w:rsidRPr="00C20670" w:rsidRDefault="00C774C2" w:rsidP="00C20670">
      <w:pPr>
        <w:jc w:val="both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  <w:r w:rsidRPr="00C20670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Trudnice</w:t>
      </w:r>
    </w:p>
    <w:p w14:paraId="474981EF" w14:textId="2A79F184" w:rsidR="00C774C2" w:rsidRPr="00C20670" w:rsidRDefault="00C774C2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Primjena lijeka Dibase nije preporučljiva </w:t>
      </w:r>
      <w:r w:rsidR="008656C5" w:rsidRPr="00C20670">
        <w:rPr>
          <w:rFonts w:asciiTheme="majorBidi" w:hAnsiTheme="majorBidi" w:cstheme="majorBidi"/>
          <w:sz w:val="22"/>
          <w:szCs w:val="22"/>
          <w:lang w:val="sr-Latn-ME"/>
        </w:rPr>
        <w:t>u ovoj dozi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u trudnoći</w:t>
      </w:r>
      <w:r w:rsidR="002161EB" w:rsidRPr="00C20670">
        <w:rPr>
          <w:rFonts w:asciiTheme="majorBidi" w:hAnsiTheme="majorBidi" w:cstheme="majorBidi"/>
          <w:sz w:val="22"/>
          <w:szCs w:val="22"/>
          <w:lang w:val="sr-Latn-ME"/>
        </w:rPr>
        <w:t>, zbog nedostataka kliničkih podataka (pogledati dio 4.6.)</w:t>
      </w:r>
    </w:p>
    <w:p w14:paraId="069D2ACB" w14:textId="296CBA5E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67F6DD0" w14:textId="77777777" w:rsidR="00A34EC3" w:rsidRPr="00C20670" w:rsidRDefault="00A34EC3" w:rsidP="00C20670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sz w:val="22"/>
          <w:szCs w:val="22"/>
          <w:lang w:val="sr-Latn-ME"/>
        </w:rPr>
        <w:t>Način prim</w:t>
      </w:r>
      <w:r w:rsidR="008A2C0A" w:rsidRPr="00C20670">
        <w:rPr>
          <w:rFonts w:asciiTheme="majorBidi" w:hAnsiTheme="majorBidi" w:cstheme="majorBidi"/>
          <w:b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b/>
          <w:sz w:val="22"/>
          <w:szCs w:val="22"/>
          <w:lang w:val="sr-Latn-ME"/>
        </w:rPr>
        <w:t>ene</w:t>
      </w:r>
    </w:p>
    <w:p w14:paraId="38D3612B" w14:textId="77777777" w:rsid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Doze se </w:t>
      </w:r>
      <w:r w:rsidR="00215946"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moraju 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prim</w:t>
      </w:r>
      <w:r w:rsidR="00526F1D" w:rsidRPr="00C20670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eniti intramuskularno.</w:t>
      </w:r>
    </w:p>
    <w:p w14:paraId="44865392" w14:textId="77777777" w:rsidR="00C20670" w:rsidRDefault="00C20670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E3A8520" w14:textId="22662AD8" w:rsidR="005E7978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lastRenderedPageBreak/>
        <w:t>Ampule imaju prsten za otvaranje i otvaraju se na sl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edeći način: </w:t>
      </w:r>
    </w:p>
    <w:p w14:paraId="38A5240D" w14:textId="607FB0B6" w:rsidR="005E7978" w:rsidRPr="00C20670" w:rsidRDefault="00A34EC3" w:rsidP="00C20670">
      <w:pPr>
        <w:pStyle w:val="NoSpacing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uhvatite </w:t>
      </w:r>
      <w:r w:rsidR="00215946"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dno 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ampul</w:t>
      </w:r>
      <w:r w:rsidR="00215946" w:rsidRPr="00C20670">
        <w:rPr>
          <w:rFonts w:asciiTheme="majorBidi" w:hAnsiTheme="majorBidi" w:cstheme="majorBidi"/>
          <w:sz w:val="22"/>
          <w:szCs w:val="22"/>
          <w:lang w:val="sr-Latn-ME"/>
        </w:rPr>
        <w:t>e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jednom rukom</w:t>
      </w:r>
      <w:r w:rsidR="005E7978" w:rsidRPr="00C20670">
        <w:rPr>
          <w:rFonts w:asciiTheme="majorBidi" w:hAnsiTheme="majorBidi" w:cstheme="majorBidi"/>
          <w:sz w:val="22"/>
          <w:szCs w:val="22"/>
          <w:lang w:val="sr-Latn-ME"/>
        </w:rPr>
        <w:t>;</w:t>
      </w:r>
    </w:p>
    <w:p w14:paraId="01E9E088" w14:textId="3784CE78" w:rsidR="00215946" w:rsidRPr="00C20670" w:rsidRDefault="00A34EC3" w:rsidP="00C20670">
      <w:pPr>
        <w:pStyle w:val="NoSpacing"/>
        <w:numPr>
          <w:ilvl w:val="0"/>
          <w:numId w:val="17"/>
        </w:num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drugom </w:t>
      </w:r>
      <w:r w:rsidR="005E7978"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rukom 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uhvatite vrh ampule, držeći palac iznad prstena</w:t>
      </w:r>
      <w:r w:rsidR="00215946" w:rsidRPr="00C20670">
        <w:rPr>
          <w:rFonts w:asciiTheme="majorBidi" w:hAnsiTheme="majorBidi" w:cstheme="majorBidi"/>
          <w:sz w:val="22"/>
          <w:szCs w:val="22"/>
          <w:lang w:val="sr-Latn-ME"/>
        </w:rPr>
        <w:t>.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5E7978"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Da biste otvorili ampulu, </w:t>
      </w:r>
      <w:r w:rsidR="00215946" w:rsidRPr="00C20670">
        <w:rPr>
          <w:rFonts w:asciiTheme="majorBidi" w:hAnsiTheme="majorBidi" w:cstheme="majorBidi"/>
          <w:sz w:val="22"/>
          <w:szCs w:val="22"/>
          <w:lang w:val="sr-Latn-ME"/>
        </w:rPr>
        <w:t>držite donji d</w:t>
      </w:r>
      <w:r w:rsidR="006D50E0" w:rsidRPr="00C20670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="00215946"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o ampule čvrsto u jednoj ruci, </w:t>
      </w:r>
      <w:r w:rsidR="005E7978"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a drugom rukom  </w:t>
      </w:r>
      <w:r w:rsidR="00215946" w:rsidRPr="00C20670">
        <w:rPr>
          <w:rFonts w:asciiTheme="majorBidi" w:hAnsiTheme="majorBidi" w:cstheme="majorBidi"/>
          <w:sz w:val="22"/>
          <w:szCs w:val="22"/>
          <w:lang w:val="sr-Latn-ME"/>
        </w:rPr>
        <w:t>prim</w:t>
      </w:r>
      <w:r w:rsidR="00526F1D" w:rsidRPr="00C20670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="00215946" w:rsidRPr="00C20670">
        <w:rPr>
          <w:rFonts w:asciiTheme="majorBidi" w:hAnsiTheme="majorBidi" w:cstheme="majorBidi"/>
          <w:sz w:val="22"/>
          <w:szCs w:val="22"/>
          <w:lang w:val="sr-Latn-ME"/>
        </w:rPr>
        <w:t>jenite pritisak nadol</w:t>
      </w:r>
      <w:r w:rsidR="00526F1D" w:rsidRPr="00C20670">
        <w:rPr>
          <w:rFonts w:asciiTheme="majorBidi" w:hAnsiTheme="majorBidi" w:cstheme="majorBidi"/>
          <w:sz w:val="22"/>
          <w:szCs w:val="22"/>
          <w:lang w:val="sr-Latn-ME"/>
        </w:rPr>
        <w:t>je i istovremeno okrećite</w:t>
      </w:r>
      <w:r w:rsidR="00215946"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vrh ampule</w:t>
      </w:r>
      <w:r w:rsidR="005E7978" w:rsidRPr="00C20670">
        <w:rPr>
          <w:rFonts w:asciiTheme="majorBidi" w:hAnsiTheme="majorBidi" w:cstheme="majorBidi"/>
          <w:sz w:val="22"/>
          <w:szCs w:val="22"/>
          <w:lang w:val="sr-Latn-ME"/>
        </w:rPr>
        <w:t>.</w:t>
      </w:r>
      <w:r w:rsidR="00215946"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0BADA7DA" w14:textId="23711935" w:rsidR="005E7978" w:rsidRPr="00C20670" w:rsidRDefault="005E7978" w:rsidP="00C20670">
      <w:pPr>
        <w:pStyle w:val="NoSpacing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Da biste izb</w:t>
      </w:r>
      <w:r w:rsidR="00526F1D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egli rizik od pos</w:t>
      </w:r>
      <w:r w:rsidR="00526F1D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ekotina</w:t>
      </w:r>
      <w:r w:rsidR="006D50E0" w:rsidRPr="00C20670">
        <w:rPr>
          <w:rFonts w:asciiTheme="majorBidi" w:hAnsiTheme="majorBidi" w:cstheme="majorBidi"/>
          <w:sz w:val="22"/>
          <w:szCs w:val="22"/>
          <w:lang w:val="sr-Latn-ME"/>
        </w:rPr>
        <w:t>, savjetuje se korišćenje sredstava za zaštitu prsta (npr. čista odjeća, pamučni tu</w:t>
      </w:r>
      <w:r w:rsidR="00B36CEC" w:rsidRPr="00C20670">
        <w:rPr>
          <w:rFonts w:asciiTheme="majorBidi" w:hAnsiTheme="majorBidi" w:cstheme="majorBidi"/>
          <w:sz w:val="22"/>
          <w:szCs w:val="22"/>
          <w:lang w:val="sr-Latn-ME"/>
        </w:rPr>
        <w:t>p</w:t>
      </w:r>
      <w:r w:rsidR="006D50E0"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fer) kao i da 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ne dodirujte oštre ivice ili šiljke koji su nastali pri odlamanju.</w:t>
      </w:r>
    </w:p>
    <w:p w14:paraId="33556706" w14:textId="34E24F68" w:rsidR="00452E9D" w:rsidRPr="00C20670" w:rsidRDefault="00452E9D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E5A4858" w14:textId="77777777" w:rsidR="00411B4B" w:rsidRPr="00C20670" w:rsidRDefault="00411B4B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4.3.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Kontraindikacije</w:t>
      </w:r>
    </w:p>
    <w:p w14:paraId="589613FC" w14:textId="77777777" w:rsidR="0084701F" w:rsidRPr="00C20670" w:rsidRDefault="0084701F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10899759" w14:textId="35F47E93" w:rsidR="00A34EC3" w:rsidRPr="00C20670" w:rsidRDefault="00A34EC3" w:rsidP="00C2067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Cs w:val="22"/>
          <w:lang w:val="sr-Latn-ME"/>
        </w:rPr>
      </w:pPr>
      <w:r w:rsidRPr="00C20670">
        <w:rPr>
          <w:rFonts w:asciiTheme="majorBidi" w:hAnsiTheme="majorBidi" w:cstheme="majorBidi"/>
          <w:szCs w:val="22"/>
          <w:lang w:val="sr-Latn-ME"/>
        </w:rPr>
        <w:t>Preos</w:t>
      </w:r>
      <w:r w:rsidR="008A2C0A" w:rsidRPr="00C20670">
        <w:rPr>
          <w:rFonts w:asciiTheme="majorBidi" w:hAnsiTheme="majorBidi" w:cstheme="majorBidi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Cs w:val="22"/>
          <w:lang w:val="sr-Latn-ME"/>
        </w:rPr>
        <w:t xml:space="preserve">etljivost na holekalciferol ili bilo koji od ekscipijenasa navedenih u </w:t>
      </w:r>
      <w:r w:rsidR="00526F1D" w:rsidRPr="00C20670">
        <w:rPr>
          <w:rFonts w:asciiTheme="majorBidi" w:hAnsiTheme="majorBidi" w:cstheme="majorBidi"/>
          <w:szCs w:val="22"/>
          <w:lang w:val="sr-Latn-ME"/>
        </w:rPr>
        <w:t>dijelu</w:t>
      </w:r>
      <w:r w:rsidRPr="00C20670">
        <w:rPr>
          <w:rFonts w:asciiTheme="majorBidi" w:hAnsiTheme="majorBidi" w:cstheme="majorBidi"/>
          <w:szCs w:val="22"/>
          <w:lang w:val="sr-Latn-ME"/>
        </w:rPr>
        <w:t xml:space="preserve"> 6.1.</w:t>
      </w:r>
    </w:p>
    <w:p w14:paraId="097FDAEC" w14:textId="77777777" w:rsidR="00A34EC3" w:rsidRPr="00C20670" w:rsidRDefault="00A34EC3" w:rsidP="00C2067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Cs w:val="22"/>
          <w:lang w:val="sr-Latn-ME"/>
        </w:rPr>
      </w:pPr>
      <w:r w:rsidRPr="00C20670">
        <w:rPr>
          <w:rFonts w:asciiTheme="majorBidi" w:hAnsiTheme="majorBidi" w:cstheme="majorBidi"/>
          <w:szCs w:val="22"/>
          <w:lang w:val="sr-Latn-ME"/>
        </w:rPr>
        <w:t>Hiperkalcemija, hiperkalciurija.</w:t>
      </w:r>
    </w:p>
    <w:p w14:paraId="08FE3BF2" w14:textId="77777777" w:rsidR="00A34EC3" w:rsidRPr="00C20670" w:rsidRDefault="00A34EC3" w:rsidP="00C2067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Cs w:val="22"/>
          <w:lang w:val="sr-Latn-ME"/>
        </w:rPr>
      </w:pPr>
      <w:r w:rsidRPr="00C20670">
        <w:rPr>
          <w:rFonts w:asciiTheme="majorBidi" w:hAnsiTheme="majorBidi" w:cstheme="majorBidi"/>
          <w:szCs w:val="22"/>
          <w:lang w:val="sr-Latn-ME"/>
        </w:rPr>
        <w:t>Kamen u bubregu (nefrolitijaza, nefrokalcinoza).</w:t>
      </w:r>
    </w:p>
    <w:p w14:paraId="1C4E6CD6" w14:textId="180B27E7" w:rsidR="00A34EC3" w:rsidRPr="00C20670" w:rsidRDefault="00A34EC3" w:rsidP="00C2067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Cs w:val="22"/>
          <w:lang w:val="sr-Latn-ME"/>
        </w:rPr>
      </w:pPr>
      <w:r w:rsidRPr="00C20670">
        <w:rPr>
          <w:rFonts w:asciiTheme="majorBidi" w:hAnsiTheme="majorBidi" w:cstheme="majorBidi"/>
          <w:szCs w:val="22"/>
          <w:lang w:val="sr-Latn-ME"/>
        </w:rPr>
        <w:t xml:space="preserve">Insuficijencija </w:t>
      </w:r>
      <w:r w:rsidR="00991054" w:rsidRPr="00C20670">
        <w:rPr>
          <w:rFonts w:asciiTheme="majorBidi" w:hAnsiTheme="majorBidi" w:cstheme="majorBidi"/>
          <w:szCs w:val="22"/>
          <w:lang w:val="sr-Latn-ME"/>
        </w:rPr>
        <w:t xml:space="preserve">bubrega </w:t>
      </w:r>
      <w:r w:rsidRPr="00C20670">
        <w:rPr>
          <w:rFonts w:asciiTheme="majorBidi" w:hAnsiTheme="majorBidi" w:cstheme="majorBidi"/>
          <w:szCs w:val="22"/>
          <w:lang w:val="sr-Latn-ME"/>
        </w:rPr>
        <w:t>(vid</w:t>
      </w:r>
      <w:r w:rsidR="008A2C0A" w:rsidRPr="00C20670">
        <w:rPr>
          <w:rFonts w:asciiTheme="majorBidi" w:hAnsiTheme="majorBidi" w:cstheme="majorBidi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Cs w:val="22"/>
          <w:lang w:val="sr-Latn-ME"/>
        </w:rPr>
        <w:t xml:space="preserve">eti </w:t>
      </w:r>
      <w:r w:rsidR="00054B30" w:rsidRPr="00C20670">
        <w:rPr>
          <w:rFonts w:asciiTheme="majorBidi" w:hAnsiTheme="majorBidi" w:cstheme="majorBidi"/>
          <w:szCs w:val="22"/>
          <w:lang w:val="sr-Latn-ME"/>
        </w:rPr>
        <w:t>dio</w:t>
      </w:r>
      <w:r w:rsidRPr="00C20670">
        <w:rPr>
          <w:rFonts w:asciiTheme="majorBidi" w:hAnsiTheme="majorBidi" w:cstheme="majorBidi"/>
          <w:szCs w:val="22"/>
          <w:lang w:val="sr-Latn-ME"/>
        </w:rPr>
        <w:t xml:space="preserve"> 4.4).</w:t>
      </w:r>
    </w:p>
    <w:p w14:paraId="07B210E2" w14:textId="77777777" w:rsidR="0072020E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553E57FC" w14:textId="77777777" w:rsidR="00411B4B" w:rsidRPr="00C20670" w:rsidRDefault="00411B4B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4.4.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Posebna upozorenja i mjere opreza pri upotrebi lijeka</w:t>
      </w:r>
    </w:p>
    <w:p w14:paraId="53C24CFE" w14:textId="77777777" w:rsidR="0072020E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60107C12" w14:textId="13BE6FDD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U slučaju produžene prim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ene visokih doza, preporučuje se praćenje serumskog nivoa 25-hidroksi-holekalciferola. Prekinite sa prim</w:t>
      </w:r>
      <w:r w:rsidR="001366AC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enom l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eka DIBASE kada nivo 25-hidroksi-holekalciferola pređe 100 ng/m</w:t>
      </w:r>
      <w:r w:rsidR="00B61213" w:rsidRPr="00C20670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(što odgovara 250 nmol/</w:t>
      </w:r>
      <w:r w:rsidR="00B36CEC" w:rsidRPr="00C20670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).</w:t>
      </w:r>
    </w:p>
    <w:p w14:paraId="7374A989" w14:textId="77777777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D98D54B" w14:textId="77777777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Kod starijih pacijenata koji su na terapiji kardiotoničnim glikozidima ili diureticima, važno je pratiti kalcemiju i kalciuriju. U slučaju hiperkalcemije ili bubrežne insuficijencije, treba smanjiti dozu ili prekinuti terapiju.</w:t>
      </w:r>
    </w:p>
    <w:p w14:paraId="4B3B8712" w14:textId="77777777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Da bi se izb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eglo predoziranje, treba uzeti u obzir ukupnu dozu vitamina D, ukoliko se uz terapiju vitaminom D unosi i hrana obogaćena vitaminom D ili ml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eko obogaćeno vitaminom D.</w:t>
      </w:r>
    </w:p>
    <w:p w14:paraId="45B99BCD" w14:textId="77777777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C9ACE47" w14:textId="77777777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U sl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edećim slučajevima, može biti potrebno da se povećaju navedene doze:</w:t>
      </w:r>
    </w:p>
    <w:p w14:paraId="59E86C95" w14:textId="77777777" w:rsidR="00A34EC3" w:rsidRPr="00C20670" w:rsidRDefault="00A34EC3" w:rsidP="00C20670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Cs w:val="22"/>
          <w:lang w:val="sr-Latn-ME"/>
        </w:rPr>
      </w:pPr>
      <w:r w:rsidRPr="00C20670">
        <w:rPr>
          <w:rFonts w:asciiTheme="majorBidi" w:hAnsiTheme="majorBidi" w:cstheme="majorBidi"/>
          <w:szCs w:val="22"/>
          <w:lang w:val="sr-Latn-ME"/>
        </w:rPr>
        <w:t>kod pacijenta koji primaju terapiju antikonvulzivima i barbituratima (vid</w:t>
      </w:r>
      <w:r w:rsidR="008A2C0A" w:rsidRPr="00C20670">
        <w:rPr>
          <w:rFonts w:asciiTheme="majorBidi" w:hAnsiTheme="majorBidi" w:cstheme="majorBidi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Cs w:val="22"/>
          <w:lang w:val="sr-Latn-ME"/>
        </w:rPr>
        <w:t xml:space="preserve">eti </w:t>
      </w:r>
      <w:r w:rsidR="00054B30" w:rsidRPr="00C20670">
        <w:rPr>
          <w:rFonts w:asciiTheme="majorBidi" w:hAnsiTheme="majorBidi" w:cstheme="majorBidi"/>
          <w:szCs w:val="22"/>
          <w:lang w:val="sr-Latn-ME"/>
        </w:rPr>
        <w:t>dio</w:t>
      </w:r>
      <w:r w:rsidRPr="00C20670">
        <w:rPr>
          <w:rFonts w:asciiTheme="majorBidi" w:hAnsiTheme="majorBidi" w:cstheme="majorBidi"/>
          <w:szCs w:val="22"/>
          <w:lang w:val="sr-Latn-ME"/>
        </w:rPr>
        <w:t xml:space="preserve"> 4.5),</w:t>
      </w:r>
    </w:p>
    <w:p w14:paraId="449A7475" w14:textId="77777777" w:rsidR="00A34EC3" w:rsidRPr="00C20670" w:rsidRDefault="00A34EC3" w:rsidP="00C20670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Cs w:val="22"/>
          <w:lang w:val="sr-Latn-ME"/>
        </w:rPr>
      </w:pPr>
      <w:r w:rsidRPr="00C20670">
        <w:rPr>
          <w:rFonts w:asciiTheme="majorBidi" w:hAnsiTheme="majorBidi" w:cstheme="majorBidi"/>
          <w:szCs w:val="22"/>
          <w:lang w:val="sr-Latn-ME"/>
        </w:rPr>
        <w:t>kod pacijenta koji primaju terapiju kortikosteroidima (vid</w:t>
      </w:r>
      <w:r w:rsidR="008A2C0A" w:rsidRPr="00C20670">
        <w:rPr>
          <w:rFonts w:asciiTheme="majorBidi" w:hAnsiTheme="majorBidi" w:cstheme="majorBidi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Cs w:val="22"/>
          <w:lang w:val="sr-Latn-ME"/>
        </w:rPr>
        <w:t xml:space="preserve">eti </w:t>
      </w:r>
      <w:r w:rsidR="00054B30" w:rsidRPr="00C20670">
        <w:rPr>
          <w:rFonts w:asciiTheme="majorBidi" w:hAnsiTheme="majorBidi" w:cstheme="majorBidi"/>
          <w:szCs w:val="22"/>
          <w:lang w:val="sr-Latn-ME"/>
        </w:rPr>
        <w:t>dio</w:t>
      </w:r>
      <w:r w:rsidRPr="00C20670">
        <w:rPr>
          <w:rFonts w:asciiTheme="majorBidi" w:hAnsiTheme="majorBidi" w:cstheme="majorBidi"/>
          <w:szCs w:val="22"/>
          <w:lang w:val="sr-Latn-ME"/>
        </w:rPr>
        <w:t xml:space="preserve"> 4.5.),</w:t>
      </w:r>
    </w:p>
    <w:p w14:paraId="74728EA8" w14:textId="77777777" w:rsidR="00A34EC3" w:rsidRPr="00C20670" w:rsidRDefault="00A34EC3" w:rsidP="00C20670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Cs w:val="22"/>
          <w:lang w:val="sr-Latn-ME"/>
        </w:rPr>
      </w:pPr>
      <w:r w:rsidRPr="00C20670">
        <w:rPr>
          <w:rFonts w:asciiTheme="majorBidi" w:hAnsiTheme="majorBidi" w:cstheme="majorBidi"/>
          <w:szCs w:val="22"/>
          <w:lang w:val="sr-Latn-ME"/>
        </w:rPr>
        <w:t>kod pacijenta koji primaju terapiju l</w:t>
      </w:r>
      <w:r w:rsidR="008A2C0A" w:rsidRPr="00C20670">
        <w:rPr>
          <w:rFonts w:asciiTheme="majorBidi" w:hAnsiTheme="majorBidi" w:cstheme="majorBidi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Cs w:val="22"/>
          <w:lang w:val="sr-Latn-ME"/>
        </w:rPr>
        <w:t>ekovima za snižavanje masnoća, kao što su holestipol, holestiramin i orlistat (vid</w:t>
      </w:r>
      <w:r w:rsidR="008A2C0A" w:rsidRPr="00C20670">
        <w:rPr>
          <w:rFonts w:asciiTheme="majorBidi" w:hAnsiTheme="majorBidi" w:cstheme="majorBidi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Cs w:val="22"/>
          <w:lang w:val="sr-Latn-ME"/>
        </w:rPr>
        <w:t xml:space="preserve">eti </w:t>
      </w:r>
      <w:r w:rsidR="00054B30" w:rsidRPr="00C20670">
        <w:rPr>
          <w:rFonts w:asciiTheme="majorBidi" w:hAnsiTheme="majorBidi" w:cstheme="majorBidi"/>
          <w:szCs w:val="22"/>
          <w:lang w:val="sr-Latn-ME"/>
        </w:rPr>
        <w:t>dio</w:t>
      </w:r>
      <w:r w:rsidRPr="00C20670">
        <w:rPr>
          <w:rFonts w:asciiTheme="majorBidi" w:hAnsiTheme="majorBidi" w:cstheme="majorBidi"/>
          <w:szCs w:val="22"/>
          <w:lang w:val="sr-Latn-ME"/>
        </w:rPr>
        <w:t xml:space="preserve"> 4.5),</w:t>
      </w:r>
    </w:p>
    <w:p w14:paraId="69D7C148" w14:textId="77777777" w:rsidR="00A34EC3" w:rsidRPr="00C20670" w:rsidRDefault="00A34EC3" w:rsidP="00C20670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Cs w:val="22"/>
          <w:lang w:val="sr-Latn-ME"/>
        </w:rPr>
      </w:pPr>
      <w:r w:rsidRPr="00C20670">
        <w:rPr>
          <w:rFonts w:asciiTheme="majorBidi" w:hAnsiTheme="majorBidi" w:cstheme="majorBidi"/>
          <w:szCs w:val="22"/>
          <w:lang w:val="sr-Latn-ME"/>
        </w:rPr>
        <w:t>kod pacijenta na terapiji antacidima koji sadrže aluminijum (vid</w:t>
      </w:r>
      <w:r w:rsidR="008A2C0A" w:rsidRPr="00C20670">
        <w:rPr>
          <w:rFonts w:asciiTheme="majorBidi" w:hAnsiTheme="majorBidi" w:cstheme="majorBidi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Cs w:val="22"/>
          <w:lang w:val="sr-Latn-ME"/>
        </w:rPr>
        <w:t xml:space="preserve">eti </w:t>
      </w:r>
      <w:r w:rsidR="00054B30" w:rsidRPr="00C20670">
        <w:rPr>
          <w:rFonts w:asciiTheme="majorBidi" w:hAnsiTheme="majorBidi" w:cstheme="majorBidi"/>
          <w:szCs w:val="22"/>
          <w:lang w:val="sr-Latn-ME"/>
        </w:rPr>
        <w:t>dio</w:t>
      </w:r>
      <w:r w:rsidRPr="00C20670">
        <w:rPr>
          <w:rFonts w:asciiTheme="majorBidi" w:hAnsiTheme="majorBidi" w:cstheme="majorBidi"/>
          <w:szCs w:val="22"/>
          <w:lang w:val="sr-Latn-ME"/>
        </w:rPr>
        <w:t xml:space="preserve"> 4.5),</w:t>
      </w:r>
    </w:p>
    <w:p w14:paraId="151EE9E9" w14:textId="43D9025F" w:rsidR="00A34EC3" w:rsidRPr="00C20670" w:rsidRDefault="00A34EC3" w:rsidP="00C20670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Cs w:val="22"/>
          <w:lang w:val="sr-Latn-ME"/>
        </w:rPr>
      </w:pPr>
      <w:r w:rsidRPr="00C20670">
        <w:rPr>
          <w:rFonts w:asciiTheme="majorBidi" w:hAnsiTheme="majorBidi" w:cstheme="majorBidi"/>
          <w:szCs w:val="22"/>
          <w:lang w:val="sr-Latn-ME"/>
        </w:rPr>
        <w:t>kod gojaznih pacijenata (vid</w:t>
      </w:r>
      <w:r w:rsidR="008A2C0A" w:rsidRPr="00C20670">
        <w:rPr>
          <w:rFonts w:asciiTheme="majorBidi" w:hAnsiTheme="majorBidi" w:cstheme="majorBidi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Cs w:val="22"/>
          <w:lang w:val="sr-Latn-ME"/>
        </w:rPr>
        <w:t xml:space="preserve">eti </w:t>
      </w:r>
      <w:r w:rsidR="00054B30" w:rsidRPr="00C20670">
        <w:rPr>
          <w:rFonts w:asciiTheme="majorBidi" w:hAnsiTheme="majorBidi" w:cstheme="majorBidi"/>
          <w:szCs w:val="22"/>
          <w:lang w:val="sr-Latn-ME"/>
        </w:rPr>
        <w:t>dio</w:t>
      </w:r>
      <w:r w:rsidRPr="00C20670">
        <w:rPr>
          <w:rFonts w:asciiTheme="majorBidi" w:hAnsiTheme="majorBidi" w:cstheme="majorBidi"/>
          <w:szCs w:val="22"/>
          <w:lang w:val="sr-Latn-ME"/>
        </w:rPr>
        <w:t xml:space="preserve"> </w:t>
      </w:r>
      <w:r w:rsidR="00DA5022" w:rsidRPr="00C20670">
        <w:rPr>
          <w:rFonts w:asciiTheme="majorBidi" w:hAnsiTheme="majorBidi" w:cstheme="majorBidi"/>
          <w:szCs w:val="22"/>
          <w:lang w:val="sr-Latn-ME"/>
        </w:rPr>
        <w:t>5.2</w:t>
      </w:r>
      <w:r w:rsidRPr="00C20670">
        <w:rPr>
          <w:rFonts w:asciiTheme="majorBidi" w:hAnsiTheme="majorBidi" w:cstheme="majorBidi"/>
          <w:szCs w:val="22"/>
          <w:lang w:val="sr-Latn-ME"/>
        </w:rPr>
        <w:t>),</w:t>
      </w:r>
    </w:p>
    <w:p w14:paraId="5E0041B2" w14:textId="77777777" w:rsidR="00A34EC3" w:rsidRPr="00C20670" w:rsidRDefault="00A34EC3" w:rsidP="00C20670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Cs w:val="22"/>
          <w:lang w:val="sr-Latn-ME"/>
        </w:rPr>
      </w:pPr>
      <w:r w:rsidRPr="00C20670">
        <w:rPr>
          <w:rFonts w:asciiTheme="majorBidi" w:hAnsiTheme="majorBidi" w:cstheme="majorBidi"/>
          <w:szCs w:val="22"/>
          <w:lang w:val="sr-Latn-ME"/>
        </w:rPr>
        <w:t>poremećaja varenja (intestinalna malapsorpcija, mukoviscidoza ili cistična fibroza),</w:t>
      </w:r>
    </w:p>
    <w:p w14:paraId="4AE53064" w14:textId="77777777" w:rsidR="00A34EC3" w:rsidRPr="00C20670" w:rsidRDefault="00A34EC3" w:rsidP="00C20670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Cs w:val="22"/>
          <w:lang w:val="sr-Latn-ME"/>
        </w:rPr>
      </w:pPr>
      <w:r w:rsidRPr="00C20670">
        <w:rPr>
          <w:rFonts w:asciiTheme="majorBidi" w:hAnsiTheme="majorBidi" w:cstheme="majorBidi"/>
          <w:szCs w:val="22"/>
          <w:lang w:val="sr-Latn-ME"/>
        </w:rPr>
        <w:t>insuficijencija jetre.</w:t>
      </w:r>
    </w:p>
    <w:p w14:paraId="557E474A" w14:textId="77777777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ek treba propisivati sa oprezom kod pacijenata sa sarkoidozom, zbog mogućeg povećanja metabolizma vitamina D u aktivnom obliku. Neophodno je praćenje nivoa kalcijuma u serumu i urinu kod ovih pacijenata.</w:t>
      </w:r>
    </w:p>
    <w:p w14:paraId="6881CF5A" w14:textId="395E4C23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Pacijenti sa insuficijencijom bubrega imaju izm</w:t>
      </w:r>
      <w:r w:rsidR="001366AC" w:rsidRPr="00C20670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enjen metabolizam vita</w:t>
      </w:r>
      <w:r w:rsidR="001366AC" w:rsidRPr="00C20670">
        <w:rPr>
          <w:rFonts w:asciiTheme="majorBidi" w:hAnsiTheme="majorBidi" w:cstheme="majorBidi"/>
          <w:sz w:val="22"/>
          <w:szCs w:val="22"/>
          <w:lang w:val="sr-Latn-ME"/>
        </w:rPr>
        <w:t>mina D, stoga, ukoliko treba da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primaju terapiju holekalciferolom, neophodno je pratiti uticaj na homeostazu kalcijuma i fosfata.</w:t>
      </w:r>
    </w:p>
    <w:p w14:paraId="56FC97FF" w14:textId="77777777" w:rsidR="00057E35" w:rsidRPr="00C20670" w:rsidRDefault="00057E35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335FE57C" w14:textId="77777777" w:rsidR="00411B4B" w:rsidRPr="00C20670" w:rsidRDefault="00411B4B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4.5.</w:t>
      </w:r>
      <w:r w:rsidR="000D60CC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Interakcije sa drugim ljekovima i druge vrste interakcija</w:t>
      </w:r>
    </w:p>
    <w:p w14:paraId="00F38358" w14:textId="77777777" w:rsidR="0072020E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19026A6A" w14:textId="77777777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Istovremena prim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ena antikonvulziva ili barbiturata može da smanji efekat vitamina D</w:t>
      </w:r>
      <w:r w:rsidRPr="00C20670">
        <w:rPr>
          <w:rFonts w:asciiTheme="majorBidi" w:hAnsiTheme="majorBidi" w:cstheme="majorBidi"/>
          <w:sz w:val="22"/>
          <w:szCs w:val="22"/>
          <w:vertAlign w:val="subscript"/>
          <w:lang w:val="sr-Latn-ME"/>
        </w:rPr>
        <w:t>3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putem metaboličke inaktivacije.</w:t>
      </w:r>
    </w:p>
    <w:p w14:paraId="0CB914C4" w14:textId="796533CB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U slučaju l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="00A12AB7" w:rsidRPr="00C20670">
        <w:rPr>
          <w:rFonts w:asciiTheme="majorBidi" w:hAnsiTheme="majorBidi" w:cstheme="majorBidi"/>
          <w:sz w:val="22"/>
          <w:szCs w:val="22"/>
          <w:lang w:val="sr-Latn-ME"/>
        </w:rPr>
        <w:t>ečenja ti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azidnim diureticima, koji smanjuju izlučivanje kalcijuma putem urina, preporučuje se praćenje serumskog kalcijuma.</w:t>
      </w:r>
    </w:p>
    <w:p w14:paraId="46C6E095" w14:textId="7D3AB3F5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Istovremena prim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ena glukokortikosteroida može da umanji efekat vitamina D</w:t>
      </w:r>
      <w:r w:rsidRPr="00C20670">
        <w:rPr>
          <w:rFonts w:asciiTheme="majorBidi" w:hAnsiTheme="majorBidi" w:cstheme="majorBidi"/>
          <w:sz w:val="22"/>
          <w:szCs w:val="22"/>
          <w:vertAlign w:val="subscript"/>
          <w:lang w:val="sr-Latn-ME"/>
        </w:rPr>
        <w:t>3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56A29905" w14:textId="77777777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U slučaju terapije l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ekovima koji sadrže digitalis, oralna prim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ena kalcijuma u kombinaciji sa vitaminom D povećava rizik od toksičnosti digitalisa (aritmija). Stoga je potrebno strogo praćenje ovih pacijenata i po potrebi, praćenje EKG i nivoa kalcijuma u serumu.</w:t>
      </w:r>
    </w:p>
    <w:p w14:paraId="36D531BA" w14:textId="77777777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Istovremena prim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ena antacida koji sadrže aluminijum može da utiče na efikasnost ovog l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eka, smanjujući apsorpciju vitamina D, dok l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ekovi koji sadrže magnezijum mogu da dovedu do rizika od hipermagnezijemije.</w:t>
      </w:r>
    </w:p>
    <w:p w14:paraId="2BE18F67" w14:textId="77777777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lastRenderedPageBreak/>
        <w:t>Studije na životinjama ukazuju na moguće pojačavanje dejstva varfarina, kada se prim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eni sa kalciferolom. Iako ne postoje slični dokazi kod prim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ene holekalciferola, sav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etuje se oprez pri istovremenoj prim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eni ova dva l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eka.</w:t>
      </w:r>
    </w:p>
    <w:p w14:paraId="07472C4D" w14:textId="77777777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Holestiramin, holestipol i orlistat smanjuju apsorpciju vitamina D, dok hronični alkoholizam smanjuje rezerve vitamina D u jetri.</w:t>
      </w:r>
    </w:p>
    <w:p w14:paraId="507B3D32" w14:textId="77777777" w:rsidR="00A34EC3" w:rsidRPr="00C20670" w:rsidRDefault="00A34EC3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22E77BFC" w14:textId="77777777" w:rsidR="0072020E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4.6.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="006D20A5" w:rsidRPr="00C20670">
        <w:rPr>
          <w:rFonts w:asciiTheme="majorBidi" w:hAnsiTheme="majorBidi" w:cstheme="majorBidi"/>
          <w:b/>
          <w:sz w:val="22"/>
          <w:szCs w:val="22"/>
          <w:lang w:val="sr-Latn-ME"/>
        </w:rPr>
        <w:t>Plodnost, trudnoća i dojenje</w:t>
      </w:r>
    </w:p>
    <w:p w14:paraId="258C3DB4" w14:textId="77777777" w:rsidR="002031B3" w:rsidRPr="00C20670" w:rsidRDefault="002031B3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</w:p>
    <w:p w14:paraId="1027DCFD" w14:textId="77777777" w:rsidR="00A34EC3" w:rsidRPr="00C20670" w:rsidRDefault="00A34EC3" w:rsidP="00C20670">
      <w:pPr>
        <w:jc w:val="both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  <w:bookmarkStart w:id="0" w:name="_Hlk5614099"/>
      <w:r w:rsidRPr="00C20670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Trudnoća</w:t>
      </w:r>
    </w:p>
    <w:p w14:paraId="64558B08" w14:textId="4C3E071B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Tokom prvih 6 m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eseci trudnoće, vitamin D treba uzimati sa oprezom zbog mogućeg rizika od teratogenih efekata (vid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eti </w:t>
      </w:r>
      <w:r w:rsidR="00054B30" w:rsidRPr="00C20670">
        <w:rPr>
          <w:rFonts w:asciiTheme="majorBidi" w:hAnsiTheme="majorBidi" w:cstheme="majorBidi"/>
          <w:sz w:val="22"/>
          <w:szCs w:val="22"/>
          <w:lang w:val="sr-Latn-ME"/>
        </w:rPr>
        <w:t>dio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4.9).</w:t>
      </w:r>
    </w:p>
    <w:p w14:paraId="54F83E71" w14:textId="3C23791E" w:rsidR="007C404D" w:rsidRPr="00C20670" w:rsidRDefault="007C404D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Primjena lijeka Dibase nije preporučljiva u ovoj dozi u trudnoći, zbog nedostataka kliničkih podataka. Međutim, kako je nedostatak vitamina D štetan za oboje, i majku i fetus, vitamin D se može propisati tokom trudnoće u nižoj dozi, kada je potrebno.</w:t>
      </w:r>
    </w:p>
    <w:p w14:paraId="40C3A9CB" w14:textId="77777777" w:rsidR="00A34EC3" w:rsidRPr="00C20670" w:rsidRDefault="00A34EC3" w:rsidP="00C20670">
      <w:pPr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</w:p>
    <w:p w14:paraId="2D559C33" w14:textId="5043D7CA" w:rsidR="00A34EC3" w:rsidRPr="00C20670" w:rsidRDefault="00A34EC3" w:rsidP="00C20670">
      <w:pPr>
        <w:jc w:val="both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  <w:r w:rsidRPr="00C20670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Dojenje</w:t>
      </w:r>
    </w:p>
    <w:p w14:paraId="55BA4D54" w14:textId="3974DCA6" w:rsidR="007C404D" w:rsidRPr="00C20670" w:rsidRDefault="007C404D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Primjena lijeka Dibase nije preporučljiva u ovoj dozi tokom dojenja, zbog nedostataka kliničkih podataka</w:t>
      </w:r>
      <w:r w:rsidR="00A12AB7" w:rsidRPr="00C20670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74DB4D65" w14:textId="3D6D3C1D" w:rsidR="007C404D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Ukoliko je potrebno vitamin D se može propisivati tokom dojenja</w:t>
      </w:r>
      <w:r w:rsidR="007C404D"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u manjoj dozi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. Ova suplementacija ne zam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enjuje prim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enu vitamina D kod odojčadi.</w:t>
      </w:r>
      <w:r w:rsidR="007C404D"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7C404D"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Vitamin D i njegovi metaboliti su pronađeni u majčinom mlijeku. </w:t>
      </w:r>
      <w:bookmarkStart w:id="1" w:name="_Hlk102730310"/>
      <w:r w:rsidR="007C404D"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Ovo se mora uzeti u obzir </w:t>
      </w:r>
      <w:r w:rsidR="00A87E14"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kada se </w:t>
      </w:r>
      <w:r w:rsidR="007C404D" w:rsidRPr="00C20670">
        <w:rPr>
          <w:rFonts w:asciiTheme="majorBidi" w:hAnsiTheme="majorBidi" w:cstheme="majorBidi"/>
          <w:sz w:val="22"/>
          <w:szCs w:val="22"/>
          <w:lang w:val="sr-Latn-ME"/>
        </w:rPr>
        <w:t>vitamina D</w:t>
      </w:r>
      <w:r w:rsidR="00A87E14"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primjenjuje</w:t>
      </w:r>
      <w:r w:rsidR="007C404D"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kod djeteta.</w:t>
      </w:r>
    </w:p>
    <w:bookmarkEnd w:id="1"/>
    <w:p w14:paraId="485626FF" w14:textId="1C35136E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bookmarkEnd w:id="0"/>
    <w:p w14:paraId="4E849999" w14:textId="77777777" w:rsidR="0072020E" w:rsidRPr="00C20670" w:rsidRDefault="0072020E" w:rsidP="00C20670">
      <w:pPr>
        <w:tabs>
          <w:tab w:val="left" w:pos="540"/>
          <w:tab w:val="left" w:pos="569"/>
        </w:tabs>
        <w:ind w:left="540" w:hanging="54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4.7.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Uticaj na </w:t>
      </w:r>
      <w:r w:rsidR="002031B3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sposobnost </w:t>
      </w:r>
      <w:r w:rsidR="00F34554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upravljanja vozili</w:t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m</w:t>
      </w:r>
      <w:r w:rsidR="00F34554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a</w:t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i </w:t>
      </w:r>
      <w:r w:rsidR="000D3449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rukovanje </w:t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mašinama</w:t>
      </w:r>
    </w:p>
    <w:p w14:paraId="50056650" w14:textId="77777777" w:rsidR="00636033" w:rsidRPr="00C20670" w:rsidRDefault="00636033" w:rsidP="00C20670">
      <w:pPr>
        <w:tabs>
          <w:tab w:val="left" w:pos="540"/>
          <w:tab w:val="left" w:pos="569"/>
        </w:tabs>
        <w:ind w:left="540" w:hanging="54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7A32DBD5" w14:textId="2D186E1D" w:rsidR="00636033" w:rsidRPr="00C20670" w:rsidRDefault="00636033" w:rsidP="00C20670">
      <w:pPr>
        <w:jc w:val="both"/>
        <w:rPr>
          <w:rFonts w:asciiTheme="majorBidi" w:hAnsiTheme="majorBidi" w:cstheme="majorBidi"/>
          <w:bCs/>
          <w:spacing w:val="-8"/>
          <w:sz w:val="22"/>
          <w:szCs w:val="22"/>
          <w:lang w:val="sr-Latn-ME"/>
        </w:rPr>
      </w:pPr>
      <w:bookmarkStart w:id="2" w:name="_Hlk5621263"/>
      <w:r w:rsidRPr="00C20670">
        <w:rPr>
          <w:rFonts w:asciiTheme="majorBidi" w:hAnsiTheme="majorBidi" w:cstheme="majorBidi"/>
          <w:sz w:val="22"/>
          <w:szCs w:val="22"/>
          <w:lang w:val="sr-Latn-ME"/>
        </w:rPr>
        <w:t>Nema dostupnih podataka o uticajima ovog l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eka na </w:t>
      </w:r>
      <w:r w:rsidRPr="00C20670">
        <w:rPr>
          <w:rFonts w:asciiTheme="majorBidi" w:hAnsiTheme="majorBidi" w:cstheme="majorBidi"/>
          <w:bCs/>
          <w:spacing w:val="-8"/>
          <w:sz w:val="22"/>
          <w:szCs w:val="22"/>
          <w:lang w:val="sr-Latn-ME"/>
        </w:rPr>
        <w:t xml:space="preserve">sposobnost upravljanja vozilima. Ipak, 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malo je v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="006743EA" w:rsidRPr="00C20670">
        <w:rPr>
          <w:rFonts w:asciiTheme="majorBidi" w:hAnsiTheme="majorBidi" w:cstheme="majorBidi"/>
          <w:sz w:val="22"/>
          <w:szCs w:val="22"/>
          <w:lang w:val="sr-Latn-ME"/>
        </w:rPr>
        <w:t>erovatno da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l</w:t>
      </w:r>
      <w:r w:rsidR="008A2C0A" w:rsidRPr="00C20670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ek DIBASE utiče</w:t>
      </w:r>
      <w:r w:rsidRPr="00C20670">
        <w:rPr>
          <w:rFonts w:asciiTheme="majorBidi" w:hAnsiTheme="majorBidi" w:cstheme="majorBidi"/>
          <w:bCs/>
          <w:spacing w:val="-8"/>
          <w:sz w:val="22"/>
          <w:szCs w:val="22"/>
          <w:lang w:val="sr-Latn-ME"/>
        </w:rPr>
        <w:t xml:space="preserve"> na navedene sposobnosti.</w:t>
      </w:r>
      <w:bookmarkEnd w:id="2"/>
    </w:p>
    <w:p w14:paraId="06D9C48E" w14:textId="77777777" w:rsidR="00054B30" w:rsidRPr="00C20670" w:rsidRDefault="00054B30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6B562372" w14:textId="77777777" w:rsidR="0072020E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4.8.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Neželjena dejstva</w:t>
      </w:r>
    </w:p>
    <w:p w14:paraId="629ABE87" w14:textId="77777777" w:rsidR="00A34EC3" w:rsidRPr="00C20670" w:rsidRDefault="00A34EC3" w:rsidP="00C20670">
      <w:pPr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bookmarkStart w:id="3" w:name="_Hlk5621356"/>
    </w:p>
    <w:bookmarkEnd w:id="3"/>
    <w:p w14:paraId="658C3375" w14:textId="77777777" w:rsidR="00A34EC3" w:rsidRPr="00C20670" w:rsidRDefault="00A34EC3" w:rsidP="00C20670">
      <w:pPr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Kada se doziranje uskladi sa stvarnim potrebama pojedinca, l</w:t>
      </w:r>
      <w:r w:rsidR="008A2C0A"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ij</w:t>
      </w:r>
      <w:r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ek DIBASE se dobro podnosi, d</w:t>
      </w:r>
      <w:r w:rsidR="008A2C0A"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ij</w:t>
      </w:r>
      <w:r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elom i zahvaljujući sposobnosti organizma da skladišti holekalciferol u masnom i mišićnom tkivu (vid</w:t>
      </w:r>
      <w:r w:rsidR="008A2C0A"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eti </w:t>
      </w:r>
      <w:r w:rsidR="00054B30"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dio</w:t>
      </w:r>
      <w:r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5.2).</w:t>
      </w:r>
    </w:p>
    <w:p w14:paraId="4E9EF75B" w14:textId="77777777" w:rsidR="00A34EC3" w:rsidRPr="00C20670" w:rsidRDefault="00A34EC3" w:rsidP="00C20670">
      <w:pPr>
        <w:jc w:val="both"/>
        <w:rPr>
          <w:rFonts w:asciiTheme="majorBidi" w:hAnsiTheme="majorBidi" w:cstheme="majorBidi"/>
          <w:noProof/>
          <w:sz w:val="22"/>
          <w:szCs w:val="22"/>
          <w:u w:val="single"/>
          <w:lang w:val="sr-Latn-ME"/>
        </w:rPr>
      </w:pPr>
    </w:p>
    <w:p w14:paraId="43842E75" w14:textId="77777777" w:rsidR="00A34EC3" w:rsidRPr="00C20670" w:rsidRDefault="00A34EC3" w:rsidP="00C20670">
      <w:pPr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Neželjene reakcije prijavljene usl</w:t>
      </w:r>
      <w:r w:rsidR="008A2C0A"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ed prim</w:t>
      </w:r>
      <w:r w:rsidR="008A2C0A"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ene vitamina D su navedene ispod:</w:t>
      </w:r>
    </w:p>
    <w:p w14:paraId="40F71486" w14:textId="77777777" w:rsidR="00A34EC3" w:rsidRPr="00C20670" w:rsidRDefault="00A34EC3" w:rsidP="00C20670">
      <w:pPr>
        <w:jc w:val="both"/>
        <w:rPr>
          <w:rFonts w:asciiTheme="majorBidi" w:hAnsiTheme="majorBidi" w:cstheme="majorBidi"/>
          <w:noProof/>
          <w:sz w:val="22"/>
          <w:szCs w:val="22"/>
          <w:u w:val="single"/>
          <w:lang w:val="sr-Latn-ME"/>
        </w:rPr>
      </w:pPr>
    </w:p>
    <w:p w14:paraId="61DB203C" w14:textId="77777777" w:rsidR="00A34EC3" w:rsidRPr="00C20670" w:rsidRDefault="00A34EC3" w:rsidP="00C20670">
      <w:pPr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Poremećaji imunog sistema:</w:t>
      </w:r>
    </w:p>
    <w:p w14:paraId="2E70898C" w14:textId="77777777" w:rsidR="00A34EC3" w:rsidRPr="00C20670" w:rsidRDefault="00A34EC3" w:rsidP="00C20670">
      <w:pPr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Reakcije preos</w:t>
      </w:r>
      <w:r w:rsidR="008A2C0A"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etljivosti.</w:t>
      </w:r>
    </w:p>
    <w:p w14:paraId="2E597AFB" w14:textId="77777777" w:rsidR="00A34EC3" w:rsidRPr="00C20670" w:rsidRDefault="00A34EC3" w:rsidP="00C20670">
      <w:pPr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14:paraId="39CFAEB9" w14:textId="77777777" w:rsidR="00A34EC3" w:rsidRPr="00C20670" w:rsidRDefault="00A34EC3" w:rsidP="00C20670">
      <w:pPr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Poremećaji metabolizma i ishrane:</w:t>
      </w:r>
    </w:p>
    <w:p w14:paraId="6F6ECA3E" w14:textId="77777777" w:rsidR="00A34EC3" w:rsidRPr="00C20670" w:rsidRDefault="00A34EC3" w:rsidP="00C20670">
      <w:pPr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Slabost, anoreksija, žeđ.</w:t>
      </w:r>
    </w:p>
    <w:p w14:paraId="0851A0F7" w14:textId="77777777" w:rsidR="00A34EC3" w:rsidRPr="00C20670" w:rsidRDefault="00A34EC3" w:rsidP="00C20670">
      <w:pPr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14:paraId="3E98E1B2" w14:textId="77777777" w:rsidR="00A34EC3" w:rsidRPr="00C20670" w:rsidRDefault="00A34EC3" w:rsidP="00C20670">
      <w:pPr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Psihijatrijski poremećaji:</w:t>
      </w:r>
    </w:p>
    <w:p w14:paraId="0A174BD3" w14:textId="77777777" w:rsidR="00A34EC3" w:rsidRPr="00C20670" w:rsidRDefault="00A34EC3" w:rsidP="00C20670">
      <w:pPr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Pospanost, konfuzija.</w:t>
      </w:r>
    </w:p>
    <w:p w14:paraId="3AC48F2E" w14:textId="77777777" w:rsidR="00A34EC3" w:rsidRPr="00C20670" w:rsidRDefault="00A34EC3" w:rsidP="00C20670">
      <w:pPr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14:paraId="21B5B406" w14:textId="77777777" w:rsidR="00A34EC3" w:rsidRPr="00C20670" w:rsidRDefault="00A34EC3" w:rsidP="00C20670">
      <w:pPr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Poremećaji nervnog sistema:</w:t>
      </w:r>
    </w:p>
    <w:p w14:paraId="52C81BA0" w14:textId="77777777" w:rsidR="00A34EC3" w:rsidRPr="00C20670" w:rsidRDefault="00A34EC3" w:rsidP="00C20670">
      <w:pPr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Glavobolja.</w:t>
      </w:r>
    </w:p>
    <w:p w14:paraId="61D8B3F9" w14:textId="77777777" w:rsidR="00A34EC3" w:rsidRPr="00C20670" w:rsidRDefault="00A34EC3" w:rsidP="00C20670">
      <w:pPr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14:paraId="517D320B" w14:textId="77777777" w:rsidR="00A34EC3" w:rsidRPr="00C20670" w:rsidRDefault="00A34EC3" w:rsidP="00C20670">
      <w:pPr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Poremećaji gastrointestinalnog sistema: </w:t>
      </w:r>
    </w:p>
    <w:p w14:paraId="4AF5C0FD" w14:textId="0BD62F67" w:rsidR="00A34EC3" w:rsidRPr="00C20670" w:rsidRDefault="00A34EC3" w:rsidP="00C20670">
      <w:pPr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Konstipacija, </w:t>
      </w:r>
      <w:r w:rsidR="003A10EC"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gasovi (flatulencija)</w:t>
      </w:r>
      <w:r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, bol u abdomenu, mučnina, povraćanje, dijareja, metal</w:t>
      </w:r>
      <w:r w:rsidR="00DE0047"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ni </w:t>
      </w:r>
      <w:r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ukus</w:t>
      </w:r>
      <w:r w:rsidR="00DE0047"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u ustima</w:t>
      </w:r>
      <w:r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, suva usta.</w:t>
      </w:r>
    </w:p>
    <w:p w14:paraId="50F98074" w14:textId="77777777" w:rsidR="00A34EC3" w:rsidRPr="00C20670" w:rsidRDefault="00A34EC3" w:rsidP="00C20670">
      <w:pPr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14:paraId="0EC1B41E" w14:textId="77777777" w:rsidR="00A34EC3" w:rsidRPr="00C20670" w:rsidRDefault="00A34EC3" w:rsidP="00C20670">
      <w:pPr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Poremećaji kože i potkožnog tkiva:</w:t>
      </w:r>
    </w:p>
    <w:p w14:paraId="38278B6F" w14:textId="77777777" w:rsidR="00A34EC3" w:rsidRPr="00C20670" w:rsidRDefault="00A34EC3" w:rsidP="00C20670">
      <w:pPr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Osip, svrab.</w:t>
      </w:r>
    </w:p>
    <w:p w14:paraId="601D056D" w14:textId="77777777" w:rsidR="00A34EC3" w:rsidRPr="00C20670" w:rsidRDefault="00A34EC3" w:rsidP="00C20670">
      <w:pPr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14:paraId="54661A36" w14:textId="77777777" w:rsidR="00A34EC3" w:rsidRPr="00C20670" w:rsidRDefault="00A34EC3" w:rsidP="00C20670">
      <w:pPr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Poremećaji bubrega i urinarnog trakta:</w:t>
      </w:r>
    </w:p>
    <w:p w14:paraId="6C086DDE" w14:textId="77777777" w:rsidR="00A34EC3" w:rsidRPr="00C20670" w:rsidRDefault="00A34EC3" w:rsidP="00C20670">
      <w:pPr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Nefrokalcinoza, poliurija, polidipsija, insuficijencija bubrega.</w:t>
      </w:r>
    </w:p>
    <w:p w14:paraId="1A6BDF34" w14:textId="77777777" w:rsidR="00A34EC3" w:rsidRPr="00C20670" w:rsidRDefault="00A34EC3" w:rsidP="00C20670">
      <w:pPr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14:paraId="375E839D" w14:textId="77777777" w:rsidR="00A34EC3" w:rsidRPr="00C20670" w:rsidRDefault="00A34EC3" w:rsidP="00C20670">
      <w:pPr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lastRenderedPageBreak/>
        <w:t>Laboratorijska ispitivanja:</w:t>
      </w:r>
    </w:p>
    <w:p w14:paraId="3FEC00F1" w14:textId="77777777" w:rsidR="00A34EC3" w:rsidRPr="00C20670" w:rsidRDefault="00A34EC3" w:rsidP="00C20670">
      <w:pPr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noProof/>
          <w:sz w:val="22"/>
          <w:szCs w:val="22"/>
          <w:lang w:val="sr-Latn-ME"/>
        </w:rPr>
        <w:t>Hiperkalciurija, hiperkalcemija.</w:t>
      </w:r>
    </w:p>
    <w:p w14:paraId="5BECEE66" w14:textId="77777777" w:rsidR="00A34EC3" w:rsidRPr="00C20670" w:rsidRDefault="00A34EC3" w:rsidP="00C20670">
      <w:pPr>
        <w:jc w:val="both"/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</w:pPr>
    </w:p>
    <w:p w14:paraId="2B829885" w14:textId="77777777" w:rsidR="005A23D2" w:rsidRPr="00C20670" w:rsidRDefault="005A23D2" w:rsidP="00C20670">
      <w:pPr>
        <w:spacing w:after="200"/>
        <w:jc w:val="both"/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</w:pPr>
      <w:r w:rsidRPr="00C20670"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  <w:t>Prijavljivanje sumnji na neželjena dejstva</w:t>
      </w:r>
    </w:p>
    <w:p w14:paraId="4C21FB82" w14:textId="5F7E3C3D" w:rsidR="005A23D2" w:rsidRPr="00C20670" w:rsidRDefault="005A23D2" w:rsidP="00C20670">
      <w:pPr>
        <w:spacing w:after="200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C20670">
        <w:rPr>
          <w:rFonts w:asciiTheme="majorBidi" w:eastAsia="Calibri" w:hAnsiTheme="majorBidi" w:cstheme="majorBid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C20670">
        <w:rPr>
          <w:rFonts w:asciiTheme="majorBidi" w:eastAsia="Calibri" w:hAnsiTheme="majorBidi" w:cstheme="majorBidi"/>
          <w:sz w:val="22"/>
          <w:szCs w:val="22"/>
          <w:lang w:val="sr-Latn-ME"/>
        </w:rPr>
        <w:t>inuirano praćenje odnosa korist</w:t>
      </w:r>
      <w:r w:rsidRPr="00C20670">
        <w:rPr>
          <w:rFonts w:asciiTheme="majorBidi" w:eastAsia="Calibri" w:hAnsiTheme="majorBidi" w:cstheme="majorBid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C20670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C20670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dejstvo ovog lijeka </w:t>
      </w:r>
      <w:r w:rsidR="003A10EC" w:rsidRPr="00C20670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Institutu </w:t>
      </w:r>
      <w:r w:rsidRPr="00C20670">
        <w:rPr>
          <w:rFonts w:asciiTheme="majorBidi" w:eastAsia="Calibri" w:hAnsiTheme="majorBidi" w:cstheme="majorBidi"/>
          <w:sz w:val="22"/>
          <w:szCs w:val="22"/>
          <w:lang w:val="sr-Latn-ME"/>
        </w:rPr>
        <w:t>za ljekove i medicinska sredstva (</w:t>
      </w:r>
      <w:r w:rsidR="003A10EC" w:rsidRPr="00C20670">
        <w:rPr>
          <w:rFonts w:asciiTheme="majorBidi" w:eastAsia="Calibri" w:hAnsiTheme="majorBidi" w:cstheme="majorBidi"/>
          <w:sz w:val="22"/>
          <w:szCs w:val="22"/>
          <w:lang w:val="sr-Latn-ME"/>
        </w:rPr>
        <w:t>CInMED</w:t>
      </w:r>
      <w:r w:rsidRPr="00C20670">
        <w:rPr>
          <w:rFonts w:asciiTheme="majorBidi" w:eastAsia="Calibri" w:hAnsiTheme="majorBidi" w:cstheme="majorBidi"/>
          <w:sz w:val="22"/>
          <w:szCs w:val="22"/>
          <w:lang w:val="sr-Latn-ME"/>
        </w:rPr>
        <w:t>):</w:t>
      </w:r>
    </w:p>
    <w:p w14:paraId="4EBA9839" w14:textId="154B33C8" w:rsidR="005A23D2" w:rsidRPr="00C20670" w:rsidRDefault="003A10EC" w:rsidP="00C20670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C20670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Institut </w:t>
      </w:r>
      <w:r w:rsidR="005A23D2" w:rsidRPr="00C20670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za ljekove i medicinska sredstva </w:t>
      </w:r>
    </w:p>
    <w:p w14:paraId="676E8F0F" w14:textId="77777777" w:rsidR="005A23D2" w:rsidRPr="00C20670" w:rsidRDefault="005A23D2" w:rsidP="00C20670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C20670">
        <w:rPr>
          <w:rFonts w:asciiTheme="majorBidi" w:eastAsia="Calibri" w:hAnsiTheme="majorBidi" w:cstheme="majorBidi"/>
          <w:sz w:val="22"/>
          <w:szCs w:val="22"/>
          <w:lang w:val="sr-Latn-ME"/>
        </w:rPr>
        <w:t>Odjeljenje za farmakovigilancu</w:t>
      </w:r>
    </w:p>
    <w:p w14:paraId="17730FD0" w14:textId="77777777" w:rsidR="00EA5765" w:rsidRPr="00C20670" w:rsidRDefault="005A23D2" w:rsidP="00C20670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C20670">
        <w:rPr>
          <w:rFonts w:asciiTheme="majorBidi" w:eastAsia="Calibri" w:hAnsiTheme="majorBidi" w:cstheme="majorBidi"/>
          <w:sz w:val="22"/>
          <w:szCs w:val="22"/>
          <w:lang w:val="sr-Latn-ME"/>
        </w:rPr>
        <w:t>Bulevar Ivana Crnojevića 64a, 81000 Podgorica</w:t>
      </w:r>
    </w:p>
    <w:p w14:paraId="34325E7A" w14:textId="77777777" w:rsidR="00EA5765" w:rsidRPr="00C20670" w:rsidRDefault="00EA5765" w:rsidP="00C20670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0B5F45D7" w14:textId="77777777" w:rsidR="005A23D2" w:rsidRPr="00C20670" w:rsidRDefault="005A23D2" w:rsidP="00C20670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C20670">
        <w:rPr>
          <w:rFonts w:asciiTheme="majorBidi" w:eastAsia="Calibri" w:hAnsiTheme="majorBidi" w:cstheme="majorBidi"/>
          <w:sz w:val="22"/>
          <w:szCs w:val="22"/>
          <w:lang w:val="sr-Latn-ME"/>
        </w:rPr>
        <w:t>tel: +382 (0) 20 310 280</w:t>
      </w:r>
    </w:p>
    <w:p w14:paraId="64FAA774" w14:textId="32E54C26" w:rsidR="000D7522" w:rsidRPr="00C20670" w:rsidRDefault="005A23D2" w:rsidP="00C20670">
      <w:pPr>
        <w:pStyle w:val="NoSpacing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eastAsia="Calibri" w:hAnsiTheme="majorBidi" w:cstheme="majorBidi"/>
          <w:sz w:val="22"/>
          <w:szCs w:val="22"/>
          <w:lang w:val="sr-Latn-ME"/>
        </w:rPr>
        <w:t>fax:</w:t>
      </w:r>
      <w:r w:rsidR="00EA5765" w:rsidRPr="00C20670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C20670">
        <w:rPr>
          <w:rFonts w:asciiTheme="majorBidi" w:eastAsia="Calibri" w:hAnsiTheme="majorBidi" w:cstheme="majorBidi"/>
          <w:sz w:val="22"/>
          <w:szCs w:val="22"/>
          <w:lang w:val="sr-Latn-ME"/>
        </w:rPr>
        <w:t>+382 (0) 20 310 581</w:t>
      </w:r>
    </w:p>
    <w:p w14:paraId="7EF6F61D" w14:textId="3CDEB55C" w:rsidR="005A23D2" w:rsidRPr="00C20670" w:rsidRDefault="00EF277A" w:rsidP="00C20670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hyperlink r:id="rId8" w:history="1">
        <w:r w:rsidR="003A10EC" w:rsidRPr="00C20670">
          <w:rPr>
            <w:rStyle w:val="Hyperlink"/>
            <w:rFonts w:asciiTheme="majorBidi" w:eastAsia="Calibri" w:hAnsiTheme="majorBidi" w:cstheme="majorBidi"/>
            <w:sz w:val="22"/>
            <w:szCs w:val="22"/>
            <w:lang w:val="sr-Latn-ME"/>
          </w:rPr>
          <w:t>www.cinmed.me</w:t>
        </w:r>
      </w:hyperlink>
    </w:p>
    <w:p w14:paraId="634CA2BB" w14:textId="45A2A397" w:rsidR="00EA5765" w:rsidRPr="00C20670" w:rsidRDefault="00EF277A" w:rsidP="00C20670">
      <w:pPr>
        <w:pStyle w:val="NoSpacing"/>
        <w:jc w:val="both"/>
        <w:rPr>
          <w:rFonts w:asciiTheme="majorBidi" w:eastAsia="Calibri" w:hAnsiTheme="majorBidi" w:cstheme="majorBidi"/>
          <w:color w:val="0000FF"/>
          <w:sz w:val="22"/>
          <w:szCs w:val="22"/>
          <w:u w:val="single"/>
          <w:lang w:val="sr-Latn-ME"/>
        </w:rPr>
      </w:pPr>
      <w:hyperlink r:id="rId9" w:history="1">
        <w:r w:rsidR="003A10EC" w:rsidRPr="00C20670">
          <w:rPr>
            <w:rStyle w:val="Hyperlink"/>
            <w:rFonts w:asciiTheme="majorBidi" w:eastAsia="Calibri" w:hAnsiTheme="majorBidi" w:cstheme="majorBidi"/>
            <w:sz w:val="22"/>
            <w:szCs w:val="22"/>
            <w:lang w:val="sr-Latn-ME"/>
          </w:rPr>
          <w:t>nezeljenadejstva@cinmed.me</w:t>
        </w:r>
      </w:hyperlink>
    </w:p>
    <w:p w14:paraId="0E0BC4DE" w14:textId="77777777" w:rsidR="005A23D2" w:rsidRPr="00C20670" w:rsidRDefault="005A23D2" w:rsidP="00C20670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C20670">
        <w:rPr>
          <w:rFonts w:asciiTheme="majorBidi" w:eastAsia="Calibri" w:hAnsiTheme="majorBidi" w:cstheme="majorBidi"/>
          <w:sz w:val="22"/>
          <w:szCs w:val="22"/>
          <w:lang w:val="sr-Latn-ME"/>
        </w:rPr>
        <w:t>putem IS zdravstvene zaštite</w:t>
      </w:r>
    </w:p>
    <w:p w14:paraId="748C1F75" w14:textId="77777777" w:rsidR="00636033" w:rsidRPr="00C20670" w:rsidRDefault="00636033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3E9FCF27" w14:textId="77777777" w:rsidR="00CD6F02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4.9.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Predoziranje</w:t>
      </w:r>
      <w:r w:rsidR="002846DB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14:paraId="13DAEA8E" w14:textId="77777777" w:rsidR="00636033" w:rsidRPr="00C20670" w:rsidRDefault="00636033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506505D4" w14:textId="550977A4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Prekinite sa prim</w:t>
      </w:r>
      <w:r w:rsidR="00A83219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enom l</w:t>
      </w:r>
      <w:r w:rsidR="00A83219" w:rsidRPr="00C20670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eka DIBASE</w:t>
      </w:r>
      <w:r w:rsidR="00FC3348"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kada kalcemija pređe 10.6 mg/dl (2.65 mmol/l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) ili ukoliko kalciurija pređe 300 mg/24 sata kod odraslih ili 4-6 mg/kg/dnevno kod d</w:t>
      </w:r>
      <w:r w:rsidR="00A83219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ece. Predoziranje se manifestuje kao hiperkalciurija i hiperkalcemija, sa sl</w:t>
      </w:r>
      <w:r w:rsidR="00A83219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edećim simptomima: mučnina, povraćanje, žeđ, polidipsija, poliurija, zatvor i dehidratacija.</w:t>
      </w:r>
    </w:p>
    <w:p w14:paraId="4E9D715A" w14:textId="77777777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Hronično predoziranje može da dovede do kalcifikacije krvnih sudova i organa usl</w:t>
      </w:r>
      <w:r w:rsidR="00A83219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ed hiperkalcijemije.</w:t>
      </w:r>
    </w:p>
    <w:p w14:paraId="091273A6" w14:textId="77777777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Predoziranje tokom prvih 6 m</w:t>
      </w:r>
      <w:r w:rsidR="00A83219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eseci trudnoće može da ima toksično dejstvo na fetus: postoji povezanost između prekom</w:t>
      </w:r>
      <w:r w:rsidR="00A83219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ernog unosa ili pojačane os</w:t>
      </w:r>
      <w:r w:rsidR="00A83219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etljivosti majke na vitamin D tokom trudnoće i odloženog mentalnog i fizičkog razvoja d</w:t>
      </w:r>
      <w:r w:rsidR="00A83219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eteta, supravalvularne stenoze aorte i retinopatije. Hiperkalcemija kod majke može takođe da dovede do supresije paratiroidne funkcije kod odojčadi, što može da dovede do hipokalcemije, tetanije i konvulzija.</w:t>
      </w:r>
    </w:p>
    <w:p w14:paraId="23EB54A3" w14:textId="77777777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61AC6F0" w14:textId="77777777" w:rsidR="00A34EC3" w:rsidRPr="00C20670" w:rsidRDefault="00A34EC3" w:rsidP="00C20670">
      <w:pPr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i/>
          <w:sz w:val="22"/>
          <w:szCs w:val="22"/>
          <w:lang w:val="sr-Latn-ME"/>
        </w:rPr>
        <w:t>L</w:t>
      </w:r>
      <w:r w:rsidR="00A83219" w:rsidRPr="00C20670">
        <w:rPr>
          <w:rFonts w:asciiTheme="majorBidi" w:hAnsiTheme="majorBidi" w:cstheme="majorBidi"/>
          <w:i/>
          <w:sz w:val="22"/>
          <w:szCs w:val="22"/>
          <w:lang w:val="sr-Latn-ME"/>
        </w:rPr>
        <w:t>ij</w:t>
      </w:r>
      <w:r w:rsidRPr="00C20670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ečenje u slučaju predoziranja </w:t>
      </w:r>
    </w:p>
    <w:p w14:paraId="1C4E90E0" w14:textId="77777777" w:rsidR="00A34EC3" w:rsidRPr="00C20670" w:rsidRDefault="00A34EC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Prekinite sa prim</w:t>
      </w:r>
      <w:r w:rsidR="00A83219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enom l</w:t>
      </w:r>
      <w:r w:rsidR="00A83219" w:rsidRPr="00C20670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eka DIBASE i nastavite sa rehidratacijom.</w:t>
      </w:r>
    </w:p>
    <w:p w14:paraId="0D1890E2" w14:textId="5E62F9B2" w:rsidR="00A34EC3" w:rsidRDefault="00A34EC3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16120B8A" w14:textId="77777777" w:rsidR="00C20670" w:rsidRPr="00C20670" w:rsidRDefault="00C20670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027AE7BA" w14:textId="77777777" w:rsidR="0072020E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5.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FARMAKOLOŠK</w:t>
      </w:r>
      <w:r w:rsidR="000D425A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I</w:t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PODACI</w:t>
      </w:r>
    </w:p>
    <w:p w14:paraId="401871D5" w14:textId="77777777" w:rsidR="0072020E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04D3D91E" w14:textId="77777777" w:rsidR="0072020E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5.1.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Farmakodinamski podaci</w:t>
      </w:r>
      <w:r w:rsidR="003A7059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14:paraId="4E3D0B1F" w14:textId="77777777" w:rsidR="00F45F77" w:rsidRPr="00C20670" w:rsidRDefault="00F45F77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16E07915" w14:textId="77777777" w:rsidR="0072020E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>Farmakoterapijska grupa:</w:t>
      </w:r>
      <w:r w:rsidR="00636033"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636033"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>vitamin D i analozi vitamina D, holekalciferol</w:t>
      </w:r>
    </w:p>
    <w:p w14:paraId="3C91E5C8" w14:textId="77777777" w:rsidR="0072020E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>ATC kod:</w:t>
      </w:r>
      <w:r w:rsidR="00636033"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636033"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>A11CC05</w:t>
      </w:r>
    </w:p>
    <w:p w14:paraId="44290A9D" w14:textId="77777777" w:rsidR="00A34EC3" w:rsidRPr="00C20670" w:rsidRDefault="00A34EC3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75890485" w14:textId="5BB2D4E7" w:rsidR="00636033" w:rsidRPr="00C20670" w:rsidRDefault="0083308A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>Vitamin D k</w:t>
      </w:r>
      <w:r w:rsidR="00636033"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>origuje deficit vitamina D i pojačava apsorpcij</w:t>
      </w:r>
      <w:r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>u</w:t>
      </w:r>
      <w:r w:rsidR="00636033"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kalcijuma u cr</w:t>
      </w:r>
      <w:r w:rsidR="00395CB9"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="00636033"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>evima.</w:t>
      </w:r>
    </w:p>
    <w:p w14:paraId="247F5A34" w14:textId="77777777" w:rsidR="002E37A5" w:rsidRPr="00C20670" w:rsidRDefault="002E37A5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44B44858" w14:textId="77777777" w:rsidR="0072020E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5.2.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Farmakokinetički podaci</w:t>
      </w:r>
      <w:r w:rsidR="003A7059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14:paraId="53482E6F" w14:textId="77777777" w:rsidR="00636033" w:rsidRPr="00C20670" w:rsidRDefault="00636033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132A49B2" w14:textId="26A23AA4" w:rsidR="00220CA2" w:rsidRPr="00C20670" w:rsidRDefault="00220CA2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Kao i kod drugih vitamina rastvorljivih u masti, </w:t>
      </w:r>
      <w:r w:rsidR="00395CB9" w:rsidRPr="00C20670">
        <w:rPr>
          <w:rFonts w:asciiTheme="majorBidi" w:hAnsiTheme="majorBidi" w:cstheme="majorBidi"/>
          <w:sz w:val="22"/>
          <w:szCs w:val="22"/>
          <w:lang w:val="sr-Latn-ME"/>
        </w:rPr>
        <w:t>resorpcija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holekalciferola u cr</w:t>
      </w:r>
      <w:r w:rsidR="00A83219" w:rsidRPr="00C20670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evima je potpomognuta istovremenim unosom hrane koja sadrži masnoće.</w:t>
      </w:r>
    </w:p>
    <w:p w14:paraId="0AB2D386" w14:textId="6899A7E0" w:rsidR="00220CA2" w:rsidRPr="00C20670" w:rsidRDefault="00220CA2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Holekalciferol je prisutan u krvotoku zajedno sa specifičnim α-globulinima, koji ga transportuju do jetre</w:t>
      </w:r>
      <w:r w:rsidR="0083308A"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gd</w:t>
      </w:r>
      <w:r w:rsidR="00395CB9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 dolazi do hidroksilacije do 25-hidroksiholekalciferola. Druga hidroksilacija se događa u bubrezima, gd</w:t>
      </w:r>
      <w:r w:rsidR="00395CB9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 se 25-hidroksiholekalciferol transformiše u 1,25-dihidroksiholekalciferol, aktivni metabolit vitamina D, koji je odgovoran za uticaj na metabolizam fosfata i kalcijuma.</w:t>
      </w:r>
    </w:p>
    <w:p w14:paraId="09696618" w14:textId="2F66D705" w:rsidR="00220CA2" w:rsidRPr="00C20670" w:rsidRDefault="00220CA2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Nemetabolisani holekalciferol se akumulira u masnom i mišićnom tkivu kako bi bio dostupan u slučaju potreba organizma: iz tog razloga l</w:t>
      </w:r>
      <w:r w:rsidR="00A83219" w:rsidRPr="00C20670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ek DIBASE može da se prim</w:t>
      </w:r>
      <w:r w:rsidR="00A83219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enjuje na ned</w:t>
      </w:r>
      <w:r w:rsidR="00A83219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eljnom, m</w:t>
      </w:r>
      <w:r w:rsidR="00A83219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esečnom ili godišnjem nivou. Kod gojaznih ljudi, bioraspoloživost vitamina D je smanjena zbog viška masnog tkiva.</w:t>
      </w:r>
    </w:p>
    <w:p w14:paraId="2B7E52DA" w14:textId="77777777" w:rsidR="00220CA2" w:rsidRPr="00C20670" w:rsidRDefault="00220CA2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Vitamin D se eliminiše putem fecesa i urina.</w:t>
      </w:r>
    </w:p>
    <w:p w14:paraId="52F9BED9" w14:textId="77777777" w:rsidR="0072020E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lastRenderedPageBreak/>
        <w:t xml:space="preserve">5.3.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Pretklinički podaci o bezbjednosti </w:t>
      </w:r>
    </w:p>
    <w:p w14:paraId="521B5AB4" w14:textId="77777777" w:rsidR="00836B35" w:rsidRPr="00C20670" w:rsidRDefault="00836B35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7E739D5A" w14:textId="6D840F3B" w:rsidR="00220CA2" w:rsidRPr="00C20670" w:rsidRDefault="00220CA2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Pre</w:t>
      </w:r>
      <w:r w:rsidR="00395CB9" w:rsidRPr="00C20670">
        <w:rPr>
          <w:rFonts w:asciiTheme="majorBidi" w:hAnsiTheme="majorBidi" w:cstheme="majorBidi"/>
          <w:sz w:val="22"/>
          <w:szCs w:val="22"/>
          <w:lang w:val="sr-Latn-ME"/>
        </w:rPr>
        <w:t>t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kliničke studije sprovedene na raznim vrstama životinja su pokazale da se toksični efekti javljaju kod životinja pri dozama mnogo višim od doza potrebnih za terapijsku upotrebu kod ljudi. </w:t>
      </w:r>
    </w:p>
    <w:p w14:paraId="34689077" w14:textId="77777777" w:rsidR="00220CA2" w:rsidRPr="00C20670" w:rsidRDefault="00220CA2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U studijama toksičnosti ponovljene doze, najčešći uticaji su bili: pojačana kalciurija, smanjena fosfaturija i proteinurija.</w:t>
      </w:r>
    </w:p>
    <w:p w14:paraId="4822CF0B" w14:textId="2FA4F969" w:rsidR="00054B30" w:rsidRPr="00C20670" w:rsidRDefault="00220CA2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Hiperkalcemija je prijavljena pri prim</w:t>
      </w:r>
      <w:r w:rsidR="00A83219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eni visokih doza. U slučajevima produžene hiperkalcemije, najčešće histološke alteracije (kalcifikacija) su uključivale bubrege, srce, aortu, testise, timus i cr</w:t>
      </w:r>
      <w:r w:rsidR="00395CB9" w:rsidRPr="00C20670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evnu sluznicu.</w:t>
      </w:r>
    </w:p>
    <w:p w14:paraId="7A6DB5AE" w14:textId="77777777" w:rsidR="00220CA2" w:rsidRPr="00C20670" w:rsidRDefault="00220CA2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Studije reproduktivne toksičnosti su pokazale da holekalciferol nema negativne uticaje na plodnost i reprodukciju.</w:t>
      </w:r>
    </w:p>
    <w:p w14:paraId="5DDFC880" w14:textId="77777777" w:rsidR="00220CA2" w:rsidRPr="00C20670" w:rsidRDefault="00220CA2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Pri dozama sličnim terapijskim dozama, holekalciferol nema teratogeno dejstvo.</w:t>
      </w:r>
    </w:p>
    <w:p w14:paraId="6D1BACBD" w14:textId="613E3512" w:rsidR="00636033" w:rsidRPr="00C20670" w:rsidRDefault="00220CA2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Holekalciferol nema mutageni niti karcinogeni potencijal</w:t>
      </w:r>
      <w:r w:rsidR="00395CB9" w:rsidRPr="00C20670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59BED17C" w14:textId="3432B464" w:rsidR="00636033" w:rsidRPr="00C20670" w:rsidRDefault="00636033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183F2B42" w14:textId="77777777" w:rsidR="005D4F8D" w:rsidRPr="00C20670" w:rsidRDefault="005D4F8D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08776196" w14:textId="77777777" w:rsidR="0072020E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6.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FARMACEUTSKI PODACI</w:t>
      </w:r>
    </w:p>
    <w:p w14:paraId="66E75B4E" w14:textId="77777777" w:rsidR="00836B35" w:rsidRPr="00C20670" w:rsidRDefault="00836B35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54A6B8CB" w14:textId="77777777" w:rsidR="0072020E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6.1.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Lista pomoćnih supstanci</w:t>
      </w:r>
      <w:r w:rsidR="002E0135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(ekscipijenasa)</w:t>
      </w:r>
    </w:p>
    <w:p w14:paraId="44BC28A6" w14:textId="77777777" w:rsidR="005D4F8D" w:rsidRPr="00C20670" w:rsidRDefault="005D4F8D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B0C2E72" w14:textId="6F73B38D" w:rsidR="00636033" w:rsidRPr="00C20670" w:rsidRDefault="007378F8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M</w:t>
      </w:r>
      <w:r w:rsidR="00636033" w:rsidRPr="00C20670">
        <w:rPr>
          <w:rFonts w:asciiTheme="majorBidi" w:hAnsiTheme="majorBidi" w:cstheme="majorBidi"/>
          <w:sz w:val="22"/>
          <w:szCs w:val="22"/>
          <w:lang w:val="sr-Latn-ME"/>
        </w:rPr>
        <w:t>aslinovo ulje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, rafinisano</w:t>
      </w:r>
    </w:p>
    <w:p w14:paraId="3D5E9811" w14:textId="77777777" w:rsidR="00636033" w:rsidRPr="00C20670" w:rsidRDefault="00636033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70FC970B" w14:textId="77777777" w:rsidR="0072020E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6.2.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Inkompatibilnost</w:t>
      </w:r>
      <w:r w:rsidR="002846DB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i</w:t>
      </w:r>
    </w:p>
    <w:p w14:paraId="1DE7B280" w14:textId="77777777" w:rsidR="005D4F8D" w:rsidRPr="00C20670" w:rsidRDefault="005D4F8D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53B7D27" w14:textId="20EC222C" w:rsidR="00636033" w:rsidRPr="00C20670" w:rsidRDefault="0063603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Ne postoje poznate inkompatibilnosti sa drugim l</w:t>
      </w:r>
      <w:r w:rsidR="00A83219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ekovima.</w:t>
      </w:r>
    </w:p>
    <w:p w14:paraId="763D1A41" w14:textId="77777777" w:rsidR="00636033" w:rsidRPr="00C20670" w:rsidRDefault="00636033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21252EB2" w14:textId="77777777" w:rsidR="0072020E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6.3.</w:t>
      </w:r>
      <w:r w:rsidR="00C05DF8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Rok upotrebe</w:t>
      </w:r>
    </w:p>
    <w:p w14:paraId="67258E82" w14:textId="77777777" w:rsidR="005D4F8D" w:rsidRPr="00C20670" w:rsidRDefault="005D4F8D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A7D188A" w14:textId="3019C19E" w:rsidR="00636033" w:rsidRPr="00C20670" w:rsidRDefault="00220CA2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3</w:t>
      </w:r>
      <w:r w:rsidR="00636033" w:rsidRPr="00C20670">
        <w:rPr>
          <w:rFonts w:asciiTheme="majorBidi" w:hAnsiTheme="majorBidi" w:cstheme="majorBidi"/>
          <w:sz w:val="22"/>
          <w:szCs w:val="22"/>
          <w:lang w:val="sr-Latn-ME"/>
        </w:rPr>
        <w:t xml:space="preserve"> godine.</w:t>
      </w:r>
    </w:p>
    <w:p w14:paraId="1C23309D" w14:textId="77777777" w:rsidR="00636033" w:rsidRPr="00C20670" w:rsidRDefault="00636033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0D0CBFA5" w14:textId="77777777" w:rsidR="0072020E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6.4.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Posebne mjere upozorenja pri čuvanju</w:t>
      </w:r>
      <w:r w:rsidR="00F8570A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lijeka</w:t>
      </w:r>
    </w:p>
    <w:p w14:paraId="5E0795E4" w14:textId="77777777" w:rsidR="005D4F8D" w:rsidRPr="00C20670" w:rsidRDefault="005D4F8D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bookmarkStart w:id="4" w:name="_Hlk273693"/>
    </w:p>
    <w:p w14:paraId="3D20D0CB" w14:textId="5F586AD7" w:rsidR="00636033" w:rsidRPr="00C20670" w:rsidRDefault="0063603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sz w:val="22"/>
          <w:szCs w:val="22"/>
          <w:lang w:val="sr-Latn-ME"/>
        </w:rPr>
        <w:t>Čuvati na temperaturi do 30°C u originalnom pakovanju, zaštićeno od sv</w:t>
      </w:r>
      <w:r w:rsidR="00A83219" w:rsidRPr="00C206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etlosti. Ne zamrzavati.</w:t>
      </w:r>
      <w:bookmarkEnd w:id="4"/>
    </w:p>
    <w:p w14:paraId="2EF6C9E6" w14:textId="77777777" w:rsidR="00636033" w:rsidRPr="00C20670" w:rsidRDefault="00636033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4CAC4157" w14:textId="77777777" w:rsidR="0072020E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6.5.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="002846DB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Vrsta i sadržaj </w:t>
      </w:r>
      <w:r w:rsidR="00F8570A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pakovanja</w:t>
      </w:r>
      <w:r w:rsidR="00C06864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14:paraId="0AFC91B7" w14:textId="77777777" w:rsidR="005D4F8D" w:rsidRPr="00C20670" w:rsidRDefault="005D4F8D" w:rsidP="00C20670">
      <w:pPr>
        <w:jc w:val="both"/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</w:pPr>
    </w:p>
    <w:p w14:paraId="075376B5" w14:textId="620A3D4B" w:rsidR="00220CA2" w:rsidRPr="00C20670" w:rsidRDefault="00220CA2" w:rsidP="00C2067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Unutrašnje pakovanje</w:t>
      </w:r>
      <w:r w:rsidR="00B36CEC"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: </w:t>
      </w:r>
      <w:r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>ampula boje ćilibara od neutralnog stakla tipa I sa b</w:t>
      </w:r>
      <w:r w:rsidR="00A83219"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>elim prstenom na kome se lomi ampula i b</w:t>
      </w:r>
      <w:r w:rsidR="00A83219"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>elim identifikacionim prstenom.</w:t>
      </w:r>
    </w:p>
    <w:p w14:paraId="27FDB7E6" w14:textId="747F223D" w:rsidR="00220CA2" w:rsidRPr="00C20670" w:rsidRDefault="00220CA2" w:rsidP="00C2067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Spoljašnje pakovanje:</w:t>
      </w:r>
      <w:r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kartonska kutija u kojoj se nalazi 6 pojedinačnih doznih kontejnera (ampule sa rastvorom) i Uputstvo za l</w:t>
      </w:r>
      <w:r w:rsidR="00A83219"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>ek.</w:t>
      </w:r>
    </w:p>
    <w:p w14:paraId="4B84CA98" w14:textId="77777777" w:rsidR="0072020E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405D1378" w14:textId="77777777" w:rsidR="002846DB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6.6.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  <w:r w:rsidR="00310F03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(i druga uputsva za rukovanje lijekom) </w:t>
      </w:r>
    </w:p>
    <w:p w14:paraId="4DC0ABCC" w14:textId="77777777" w:rsidR="00220CA2" w:rsidRPr="00C20670" w:rsidRDefault="00220CA2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738B9CB4" w14:textId="7398F065" w:rsidR="00636033" w:rsidRPr="00C20670" w:rsidRDefault="00636033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bookmarkStart w:id="5" w:name="_Hlk5621704"/>
      <w:r w:rsidRPr="00C20670">
        <w:rPr>
          <w:rFonts w:asciiTheme="majorBidi" w:hAnsiTheme="majorBidi" w:cstheme="majorBidi"/>
          <w:sz w:val="22"/>
          <w:szCs w:val="22"/>
          <w:lang w:val="sr-Latn-ME"/>
        </w:rPr>
        <w:t>Svu neiskorišćenu količinu l</w:t>
      </w:r>
      <w:r w:rsidR="00A83219" w:rsidRPr="00C20670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C20670">
        <w:rPr>
          <w:rFonts w:asciiTheme="majorBidi" w:hAnsiTheme="majorBidi" w:cstheme="majorBidi"/>
          <w:sz w:val="22"/>
          <w:szCs w:val="22"/>
          <w:lang w:val="sr-Latn-ME"/>
        </w:rPr>
        <w:t>eka ili otpadnog materijala nakon njegove upotrebe treba ukloniti, u skladu sa važećim propisima.</w:t>
      </w:r>
      <w:bookmarkEnd w:id="5"/>
    </w:p>
    <w:p w14:paraId="4E079F4C" w14:textId="07319AB7" w:rsidR="0072020E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150924EA" w14:textId="77777777" w:rsidR="00C20670" w:rsidRPr="00C20670" w:rsidRDefault="00C20670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157714D5" w14:textId="77777777" w:rsidR="00F8570A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7.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NOSILAC DOZVOLE</w:t>
      </w:r>
      <w:r w:rsidR="00483928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14:paraId="34C8F065" w14:textId="77777777" w:rsidR="005D4F8D" w:rsidRPr="00C20670" w:rsidRDefault="005D4F8D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1466EA47" w14:textId="76059978" w:rsidR="00636033" w:rsidRPr="00C20670" w:rsidRDefault="00B36CEC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Amicus </w:t>
      </w:r>
      <w:r w:rsidR="00636033"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>Pharma d.o.o.</w:t>
      </w:r>
    </w:p>
    <w:p w14:paraId="4B36506D" w14:textId="77777777" w:rsidR="00636033" w:rsidRPr="00C20670" w:rsidRDefault="00636033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>Bulevar Džordža Vašingtona 51</w:t>
      </w:r>
    </w:p>
    <w:p w14:paraId="7DB84CFF" w14:textId="615445B2" w:rsidR="00C61BE0" w:rsidRPr="00C20670" w:rsidRDefault="00636033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>81000 Podgorica</w:t>
      </w:r>
      <w:r w:rsidR="00B36CEC"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>, Crna Gora</w:t>
      </w:r>
    </w:p>
    <w:p w14:paraId="226EC5F4" w14:textId="77777777" w:rsidR="00C37FD7" w:rsidRPr="00C20670" w:rsidRDefault="00C37FD7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0EACEA1A" w14:textId="77777777" w:rsidR="0072020E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8.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BROJ DOZVOLE</w:t>
      </w:r>
      <w:r w:rsidR="008A6D43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ZA STAVLJANJE LIJEKA U PROMET</w:t>
      </w:r>
    </w:p>
    <w:p w14:paraId="586D6CC3" w14:textId="77777777" w:rsidR="005D4F8D" w:rsidRPr="00C20670" w:rsidRDefault="005D4F8D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bookmarkStart w:id="6" w:name="_Hlk273834"/>
    </w:p>
    <w:bookmarkEnd w:id="6"/>
    <w:p w14:paraId="2944D8D1" w14:textId="432F0F93" w:rsidR="00F45F77" w:rsidRPr="00C20670" w:rsidRDefault="00C20670" w:rsidP="00C2067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Cs/>
          <w:sz w:val="22"/>
          <w:szCs w:val="22"/>
          <w:lang w:val="sr-Latn-ME"/>
        </w:rPr>
        <w:t>2030/22/1793 - 4130</w:t>
      </w:r>
    </w:p>
    <w:p w14:paraId="513E8DF6" w14:textId="77777777" w:rsidR="0072020E" w:rsidRPr="00C20670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lastRenderedPageBreak/>
        <w:t xml:space="preserve">9.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DATUM </w:t>
      </w:r>
      <w:r w:rsidR="00C05DF8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PRVE </w:t>
      </w:r>
      <w:r w:rsidR="008A6D43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DOZVOLE</w:t>
      </w:r>
      <w:r w:rsidR="00C05DF8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/OBNOVE DOZVOLE</w:t>
      </w:r>
      <w:r w:rsidR="008A6D43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ZA STAVLJANJE LIJEKA U PROMET</w:t>
      </w:r>
    </w:p>
    <w:p w14:paraId="67D8ED82" w14:textId="69DA0614" w:rsidR="0072020E" w:rsidRDefault="0072020E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6C282C31" w14:textId="67FE63BE" w:rsidR="00C20670" w:rsidRDefault="00C20670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>
        <w:rPr>
          <w:rFonts w:asciiTheme="majorBidi" w:hAnsiTheme="majorBidi" w:cstheme="majorBidi"/>
          <w:bCs/>
          <w:sz w:val="22"/>
          <w:szCs w:val="22"/>
          <w:lang w:val="sr-Latn-ME"/>
        </w:rPr>
        <w:t>18.08.2022. godine</w:t>
      </w:r>
    </w:p>
    <w:p w14:paraId="254566DD" w14:textId="77777777" w:rsidR="00C20670" w:rsidRDefault="00C20670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2C767A76" w14:textId="77777777" w:rsidR="00C20670" w:rsidRPr="00C20670" w:rsidRDefault="00C20670" w:rsidP="00C2067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081C7796" w14:textId="77777777" w:rsidR="003F6A59" w:rsidRPr="00C20670" w:rsidRDefault="0072020E" w:rsidP="00C20670">
      <w:pPr>
        <w:tabs>
          <w:tab w:val="left" w:pos="540"/>
          <w:tab w:val="left" w:pos="569"/>
        </w:tabs>
        <w:ind w:left="540" w:hanging="54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10. </w:t>
      </w:r>
      <w:r w:rsidR="00480FB1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="002846DB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>D</w:t>
      </w:r>
      <w:r w:rsidR="00EC2532" w:rsidRPr="00C20670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ATUM REVIZIJE TEKSTA </w:t>
      </w:r>
    </w:p>
    <w:p w14:paraId="5A070D56" w14:textId="6688F170" w:rsidR="003F6A59" w:rsidRDefault="003F6A59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EA347A8" w14:textId="3D1C6274" w:rsidR="00C20670" w:rsidRPr="00C20670" w:rsidRDefault="00C20670" w:rsidP="00C206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>
        <w:rPr>
          <w:rFonts w:asciiTheme="majorBidi" w:hAnsiTheme="majorBidi" w:cstheme="majorBidi"/>
          <w:sz w:val="22"/>
          <w:szCs w:val="22"/>
          <w:lang w:val="sr-Latn-ME"/>
        </w:rPr>
        <w:t>Avgust, 2022. godine</w:t>
      </w:r>
      <w:bookmarkStart w:id="7" w:name="_GoBack"/>
      <w:bookmarkEnd w:id="7"/>
    </w:p>
    <w:sectPr w:rsidR="00C20670" w:rsidRPr="00C20670" w:rsidSect="00EF3B86">
      <w:footerReference w:type="default" r:id="rId10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BEAB0" w14:textId="77777777" w:rsidR="00EF277A" w:rsidRDefault="00EF277A">
      <w:r>
        <w:separator/>
      </w:r>
    </w:p>
  </w:endnote>
  <w:endnote w:type="continuationSeparator" w:id="0">
    <w:p w14:paraId="20684BFC" w14:textId="77777777" w:rsidR="00EF277A" w:rsidRDefault="00EF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1D874" w14:textId="1C2B78C0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C20670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C20670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FF4D3" w14:textId="77777777" w:rsidR="00EF277A" w:rsidRDefault="00EF277A">
      <w:r>
        <w:separator/>
      </w:r>
    </w:p>
  </w:footnote>
  <w:footnote w:type="continuationSeparator" w:id="0">
    <w:p w14:paraId="2FDD94D8" w14:textId="77777777" w:rsidR="00EF277A" w:rsidRDefault="00EF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5.55pt;height:13.2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DF1F99"/>
    <w:multiLevelType w:val="hybridMultilevel"/>
    <w:tmpl w:val="90C2F35A"/>
    <w:lvl w:ilvl="0" w:tplc="F45277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92F1023"/>
    <w:multiLevelType w:val="hybridMultilevel"/>
    <w:tmpl w:val="666CBE9E"/>
    <w:lvl w:ilvl="0" w:tplc="F4EA71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481350C7"/>
    <w:multiLevelType w:val="hybridMultilevel"/>
    <w:tmpl w:val="69208624"/>
    <w:lvl w:ilvl="0" w:tplc="0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1" w15:restartNumberingAfterBreak="0">
    <w:nsid w:val="4E4E3E92"/>
    <w:multiLevelType w:val="hybridMultilevel"/>
    <w:tmpl w:val="6E8A21E6"/>
    <w:lvl w:ilvl="0" w:tplc="F362BFD8">
      <w:start w:val="20"/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A2787C"/>
    <w:multiLevelType w:val="hybridMultilevel"/>
    <w:tmpl w:val="90022D66"/>
    <w:lvl w:ilvl="0" w:tplc="7E261B0A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A731B"/>
    <w:multiLevelType w:val="hybridMultilevel"/>
    <w:tmpl w:val="64EC3232"/>
    <w:lvl w:ilvl="0" w:tplc="086A2076">
      <w:numFmt w:val="bullet"/>
      <w:lvlText w:val="-"/>
      <w:lvlJc w:val="right"/>
      <w:pPr>
        <w:ind w:left="1080" w:hanging="360"/>
      </w:pPr>
      <w:rPr>
        <w:rFonts w:ascii="Symbol" w:hAnsi="Symbol" w:cs="Symbol" w:hint="default"/>
        <w:i/>
        <w:iCs/>
        <w:color w:val="008000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2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15"/>
  </w:num>
  <w:num w:numId="11">
    <w:abstractNumId w:val="6"/>
  </w:num>
  <w:num w:numId="12">
    <w:abstractNumId w:val="11"/>
  </w:num>
  <w:num w:numId="13">
    <w:abstractNumId w:val="10"/>
  </w:num>
  <w:num w:numId="14">
    <w:abstractNumId w:val="8"/>
  </w:num>
  <w:num w:numId="15">
    <w:abstractNumId w:val="14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12CF"/>
    <w:rsid w:val="000176CA"/>
    <w:rsid w:val="00036FA0"/>
    <w:rsid w:val="0003793F"/>
    <w:rsid w:val="00054B30"/>
    <w:rsid w:val="00057E35"/>
    <w:rsid w:val="00076726"/>
    <w:rsid w:val="00080303"/>
    <w:rsid w:val="000A3F58"/>
    <w:rsid w:val="000D2343"/>
    <w:rsid w:val="000D3449"/>
    <w:rsid w:val="000D425A"/>
    <w:rsid w:val="000D60CC"/>
    <w:rsid w:val="000D7522"/>
    <w:rsid w:val="000E2084"/>
    <w:rsid w:val="000E6F55"/>
    <w:rsid w:val="000F77FA"/>
    <w:rsid w:val="001064DA"/>
    <w:rsid w:val="00107BF7"/>
    <w:rsid w:val="00125E72"/>
    <w:rsid w:val="00126F53"/>
    <w:rsid w:val="001366AC"/>
    <w:rsid w:val="0014766D"/>
    <w:rsid w:val="001536CC"/>
    <w:rsid w:val="001A3FBA"/>
    <w:rsid w:val="001A5518"/>
    <w:rsid w:val="001B1C6A"/>
    <w:rsid w:val="001C1263"/>
    <w:rsid w:val="001C1417"/>
    <w:rsid w:val="001D4168"/>
    <w:rsid w:val="001E390B"/>
    <w:rsid w:val="001F42FB"/>
    <w:rsid w:val="001F719A"/>
    <w:rsid w:val="002031B3"/>
    <w:rsid w:val="00215931"/>
    <w:rsid w:val="00215946"/>
    <w:rsid w:val="002161EB"/>
    <w:rsid w:val="00220CA2"/>
    <w:rsid w:val="00227BDB"/>
    <w:rsid w:val="002303CD"/>
    <w:rsid w:val="00234CB1"/>
    <w:rsid w:val="002352F8"/>
    <w:rsid w:val="002510A5"/>
    <w:rsid w:val="00254A0A"/>
    <w:rsid w:val="00257A11"/>
    <w:rsid w:val="00266046"/>
    <w:rsid w:val="002846DB"/>
    <w:rsid w:val="00284CCD"/>
    <w:rsid w:val="002C6637"/>
    <w:rsid w:val="002E0135"/>
    <w:rsid w:val="002E37A5"/>
    <w:rsid w:val="00310F03"/>
    <w:rsid w:val="003247D2"/>
    <w:rsid w:val="003445C1"/>
    <w:rsid w:val="00355B61"/>
    <w:rsid w:val="00362686"/>
    <w:rsid w:val="00371510"/>
    <w:rsid w:val="00374242"/>
    <w:rsid w:val="00395CB9"/>
    <w:rsid w:val="00396DFD"/>
    <w:rsid w:val="003A10EC"/>
    <w:rsid w:val="003A7059"/>
    <w:rsid w:val="003B7A36"/>
    <w:rsid w:val="003C17AB"/>
    <w:rsid w:val="003C722F"/>
    <w:rsid w:val="003C7823"/>
    <w:rsid w:val="003E1DCC"/>
    <w:rsid w:val="003F6A59"/>
    <w:rsid w:val="004065C8"/>
    <w:rsid w:val="00411B4B"/>
    <w:rsid w:val="00415BEE"/>
    <w:rsid w:val="00427F85"/>
    <w:rsid w:val="00436F42"/>
    <w:rsid w:val="004378B4"/>
    <w:rsid w:val="00451314"/>
    <w:rsid w:val="00452E9D"/>
    <w:rsid w:val="004534C7"/>
    <w:rsid w:val="004671AA"/>
    <w:rsid w:val="00480FB1"/>
    <w:rsid w:val="00483928"/>
    <w:rsid w:val="004D6103"/>
    <w:rsid w:val="004E3BCE"/>
    <w:rsid w:val="004F0E97"/>
    <w:rsid w:val="00515C21"/>
    <w:rsid w:val="00526F1D"/>
    <w:rsid w:val="00530BD7"/>
    <w:rsid w:val="005432E5"/>
    <w:rsid w:val="00545CD2"/>
    <w:rsid w:val="005476F3"/>
    <w:rsid w:val="00572527"/>
    <w:rsid w:val="00573E40"/>
    <w:rsid w:val="00576348"/>
    <w:rsid w:val="005A0B2E"/>
    <w:rsid w:val="005A23D2"/>
    <w:rsid w:val="005A36CB"/>
    <w:rsid w:val="005B2153"/>
    <w:rsid w:val="005B49B8"/>
    <w:rsid w:val="005C0741"/>
    <w:rsid w:val="005C5EF4"/>
    <w:rsid w:val="005D4F8D"/>
    <w:rsid w:val="005E2E0B"/>
    <w:rsid w:val="005E7978"/>
    <w:rsid w:val="005E7A7D"/>
    <w:rsid w:val="00636033"/>
    <w:rsid w:val="00646BD1"/>
    <w:rsid w:val="006551F8"/>
    <w:rsid w:val="006561C2"/>
    <w:rsid w:val="00671CB3"/>
    <w:rsid w:val="006743EA"/>
    <w:rsid w:val="00674BAF"/>
    <w:rsid w:val="00682200"/>
    <w:rsid w:val="006A1497"/>
    <w:rsid w:val="006B0BD1"/>
    <w:rsid w:val="006B5777"/>
    <w:rsid w:val="006D20A5"/>
    <w:rsid w:val="006D37BF"/>
    <w:rsid w:val="006D50E0"/>
    <w:rsid w:val="00702E22"/>
    <w:rsid w:val="0072020E"/>
    <w:rsid w:val="007378F8"/>
    <w:rsid w:val="00745530"/>
    <w:rsid w:val="00786071"/>
    <w:rsid w:val="007A3ECB"/>
    <w:rsid w:val="007C404D"/>
    <w:rsid w:val="00805642"/>
    <w:rsid w:val="0081132C"/>
    <w:rsid w:val="00824AB9"/>
    <w:rsid w:val="0083308A"/>
    <w:rsid w:val="00836B35"/>
    <w:rsid w:val="00843BDE"/>
    <w:rsid w:val="0084701F"/>
    <w:rsid w:val="008656C5"/>
    <w:rsid w:val="008923AA"/>
    <w:rsid w:val="0089705C"/>
    <w:rsid w:val="008A2C0A"/>
    <w:rsid w:val="008A6D43"/>
    <w:rsid w:val="008A7058"/>
    <w:rsid w:val="008B491E"/>
    <w:rsid w:val="008C1A28"/>
    <w:rsid w:val="008C2E98"/>
    <w:rsid w:val="008E49BD"/>
    <w:rsid w:val="008E53E9"/>
    <w:rsid w:val="008E5771"/>
    <w:rsid w:val="00940B9B"/>
    <w:rsid w:val="00943485"/>
    <w:rsid w:val="0095676E"/>
    <w:rsid w:val="00956983"/>
    <w:rsid w:val="00963CF0"/>
    <w:rsid w:val="00964BB1"/>
    <w:rsid w:val="009775D9"/>
    <w:rsid w:val="00991054"/>
    <w:rsid w:val="00997175"/>
    <w:rsid w:val="009A1847"/>
    <w:rsid w:val="009B062A"/>
    <w:rsid w:val="009E7C6F"/>
    <w:rsid w:val="009F1793"/>
    <w:rsid w:val="009F2D23"/>
    <w:rsid w:val="00A01D69"/>
    <w:rsid w:val="00A02335"/>
    <w:rsid w:val="00A12AB7"/>
    <w:rsid w:val="00A20BFD"/>
    <w:rsid w:val="00A34EC3"/>
    <w:rsid w:val="00A46C9A"/>
    <w:rsid w:val="00A619F3"/>
    <w:rsid w:val="00A62A73"/>
    <w:rsid w:val="00A83219"/>
    <w:rsid w:val="00A87E14"/>
    <w:rsid w:val="00A87FF6"/>
    <w:rsid w:val="00AA0A3B"/>
    <w:rsid w:val="00AB50CA"/>
    <w:rsid w:val="00AB5A54"/>
    <w:rsid w:val="00AC53CE"/>
    <w:rsid w:val="00AD2193"/>
    <w:rsid w:val="00AF2AC7"/>
    <w:rsid w:val="00AF74CE"/>
    <w:rsid w:val="00B11FEA"/>
    <w:rsid w:val="00B12D1B"/>
    <w:rsid w:val="00B208DB"/>
    <w:rsid w:val="00B23F69"/>
    <w:rsid w:val="00B36CEC"/>
    <w:rsid w:val="00B60619"/>
    <w:rsid w:val="00B61213"/>
    <w:rsid w:val="00B66A70"/>
    <w:rsid w:val="00B67366"/>
    <w:rsid w:val="00B80EE1"/>
    <w:rsid w:val="00B84135"/>
    <w:rsid w:val="00BB753B"/>
    <w:rsid w:val="00C04D34"/>
    <w:rsid w:val="00C05DF8"/>
    <w:rsid w:val="00C06864"/>
    <w:rsid w:val="00C10F54"/>
    <w:rsid w:val="00C1382C"/>
    <w:rsid w:val="00C20670"/>
    <w:rsid w:val="00C23D8D"/>
    <w:rsid w:val="00C37AA3"/>
    <w:rsid w:val="00C37FD7"/>
    <w:rsid w:val="00C43419"/>
    <w:rsid w:val="00C44CF3"/>
    <w:rsid w:val="00C61BE0"/>
    <w:rsid w:val="00C70B0E"/>
    <w:rsid w:val="00C773CA"/>
    <w:rsid w:val="00C774C2"/>
    <w:rsid w:val="00C81F3E"/>
    <w:rsid w:val="00C83785"/>
    <w:rsid w:val="00C94C0D"/>
    <w:rsid w:val="00CA1FEB"/>
    <w:rsid w:val="00CD4F85"/>
    <w:rsid w:val="00CD6F02"/>
    <w:rsid w:val="00CE106C"/>
    <w:rsid w:val="00CE246D"/>
    <w:rsid w:val="00CF07A0"/>
    <w:rsid w:val="00CF3E03"/>
    <w:rsid w:val="00CF7C89"/>
    <w:rsid w:val="00D0082A"/>
    <w:rsid w:val="00D21455"/>
    <w:rsid w:val="00D47634"/>
    <w:rsid w:val="00D709B3"/>
    <w:rsid w:val="00D82AA1"/>
    <w:rsid w:val="00DA2ED6"/>
    <w:rsid w:val="00DA5022"/>
    <w:rsid w:val="00DB76B8"/>
    <w:rsid w:val="00DC2EA1"/>
    <w:rsid w:val="00DD6AAF"/>
    <w:rsid w:val="00DE0047"/>
    <w:rsid w:val="00DE3F5C"/>
    <w:rsid w:val="00DF1D20"/>
    <w:rsid w:val="00E07C34"/>
    <w:rsid w:val="00E10A05"/>
    <w:rsid w:val="00E21324"/>
    <w:rsid w:val="00E246B9"/>
    <w:rsid w:val="00E31FEA"/>
    <w:rsid w:val="00E45169"/>
    <w:rsid w:val="00E47787"/>
    <w:rsid w:val="00E51C30"/>
    <w:rsid w:val="00E64180"/>
    <w:rsid w:val="00E74AEE"/>
    <w:rsid w:val="00E868E5"/>
    <w:rsid w:val="00E9237A"/>
    <w:rsid w:val="00E939FA"/>
    <w:rsid w:val="00EA5765"/>
    <w:rsid w:val="00EC2532"/>
    <w:rsid w:val="00ED7812"/>
    <w:rsid w:val="00EF277A"/>
    <w:rsid w:val="00EF3B86"/>
    <w:rsid w:val="00F317E9"/>
    <w:rsid w:val="00F34554"/>
    <w:rsid w:val="00F45F77"/>
    <w:rsid w:val="00F5167F"/>
    <w:rsid w:val="00F52258"/>
    <w:rsid w:val="00F8570A"/>
    <w:rsid w:val="00F91C7B"/>
    <w:rsid w:val="00F97AD4"/>
    <w:rsid w:val="00FA4368"/>
    <w:rsid w:val="00FC3348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69601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84701F"/>
    <w:pPr>
      <w:tabs>
        <w:tab w:val="left" w:pos="284"/>
      </w:tabs>
      <w:ind w:left="720"/>
      <w:contextualSpacing/>
      <w:jc w:val="both"/>
    </w:pPr>
    <w:rPr>
      <w:sz w:val="22"/>
    </w:rPr>
  </w:style>
  <w:style w:type="character" w:styleId="Hyperlink">
    <w:name w:val="Hyperlink"/>
    <w:basedOn w:val="DefaultParagraphFont"/>
    <w:rsid w:val="000D75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75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51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C4AA3-7C9C-4AE9-AD80-1EC0C7B3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12260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Gordana Boljević</cp:lastModifiedBy>
  <cp:revision>3</cp:revision>
  <dcterms:created xsi:type="dcterms:W3CDTF">2022-08-16T08:36:00Z</dcterms:created>
  <dcterms:modified xsi:type="dcterms:W3CDTF">2022-08-18T07:12:00Z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