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FD7" w:rsidRPr="00BB0A8B" w:rsidRDefault="002510A5" w:rsidP="00BB0A8B">
      <w:pPr>
        <w:jc w:val="center"/>
        <w:rPr>
          <w:rFonts w:asciiTheme="majorBidi" w:hAnsiTheme="majorBidi" w:cstheme="majorBidi"/>
          <w:b/>
          <w:bCs/>
          <w:iCs/>
          <w:sz w:val="22"/>
          <w:szCs w:val="22"/>
          <w:u w:val="single"/>
          <w:lang w:val="sr-Latn-ME"/>
        </w:rPr>
      </w:pPr>
      <w:r w:rsidRPr="00BB0A8B">
        <w:rPr>
          <w:rFonts w:asciiTheme="majorBidi" w:hAnsiTheme="majorBidi" w:cstheme="majorBidi"/>
          <w:b/>
          <w:bCs/>
          <w:iCs/>
          <w:sz w:val="22"/>
          <w:szCs w:val="22"/>
          <w:u w:val="single"/>
          <w:lang w:val="sr-Latn-ME"/>
        </w:rPr>
        <w:t>SAŽETAK KARAKTERISTIKA LIJEKA</w:t>
      </w:r>
    </w:p>
    <w:p w:rsidR="003C17AB" w:rsidRPr="00BB0A8B" w:rsidRDefault="003C17AB" w:rsidP="00BB0A8B">
      <w:pPr>
        <w:tabs>
          <w:tab w:val="left" w:pos="540"/>
          <w:tab w:val="left" w:pos="569"/>
        </w:tabs>
        <w:rPr>
          <w:rFonts w:asciiTheme="majorBidi" w:hAnsiTheme="majorBidi" w:cstheme="majorBidi"/>
          <w:noProof/>
          <w:sz w:val="22"/>
          <w:szCs w:val="22"/>
          <w:lang w:val="sr-Latn-ME"/>
        </w:rPr>
      </w:pPr>
    </w:p>
    <w:p w:rsidR="00C37FD7" w:rsidRPr="00BB0A8B" w:rsidRDefault="00C37FD7" w:rsidP="00BB0A8B">
      <w:pPr>
        <w:tabs>
          <w:tab w:val="left" w:pos="540"/>
          <w:tab w:val="left" w:pos="569"/>
        </w:tabs>
        <w:rPr>
          <w:rFonts w:asciiTheme="majorBidi" w:hAnsiTheme="majorBidi" w:cstheme="majorBidi"/>
          <w:bCs/>
          <w:sz w:val="22"/>
          <w:szCs w:val="22"/>
          <w:lang w:val="sr-Latn-ME"/>
        </w:rPr>
      </w:pPr>
    </w:p>
    <w:p w:rsidR="00411B4B" w:rsidRPr="00BB0A8B" w:rsidRDefault="00411B4B"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1.</w:t>
      </w:r>
      <w:r w:rsidR="00F5167F" w:rsidRPr="00BB0A8B">
        <w:rPr>
          <w:rFonts w:asciiTheme="majorBidi" w:hAnsiTheme="majorBidi" w:cstheme="majorBidi"/>
          <w:b/>
          <w:bCs/>
          <w:sz w:val="22"/>
          <w:szCs w:val="22"/>
          <w:lang w:val="sr-Latn-ME"/>
        </w:rPr>
        <w:tab/>
      </w:r>
      <w:r w:rsidR="002846DB" w:rsidRPr="00BB0A8B">
        <w:rPr>
          <w:rFonts w:asciiTheme="majorBidi" w:hAnsiTheme="majorBidi" w:cstheme="majorBidi"/>
          <w:b/>
          <w:bCs/>
          <w:sz w:val="22"/>
          <w:szCs w:val="22"/>
          <w:lang w:val="sr-Latn-ME"/>
        </w:rPr>
        <w:t xml:space="preserve">NAZIV </w:t>
      </w:r>
      <w:r w:rsidRPr="00BB0A8B">
        <w:rPr>
          <w:rFonts w:asciiTheme="majorBidi" w:hAnsiTheme="majorBidi" w:cstheme="majorBidi"/>
          <w:b/>
          <w:bCs/>
          <w:sz w:val="22"/>
          <w:szCs w:val="22"/>
          <w:lang w:val="sr-Latn-ME"/>
        </w:rPr>
        <w:t>LIJEKA</w:t>
      </w:r>
    </w:p>
    <w:p w:rsidR="00EC2532" w:rsidRPr="00BB0A8B" w:rsidRDefault="00EC2532" w:rsidP="00BB0A8B">
      <w:pPr>
        <w:rPr>
          <w:rFonts w:asciiTheme="majorBidi" w:hAnsiTheme="majorBidi" w:cstheme="majorBidi"/>
          <w:sz w:val="22"/>
          <w:szCs w:val="22"/>
          <w:lang w:val="sr-Latn-ME"/>
        </w:rPr>
      </w:pPr>
    </w:p>
    <w:p w:rsidR="00107BF7" w:rsidRPr="00BB0A8B" w:rsidRDefault="00250526" w:rsidP="00BB0A8B">
      <w:pPr>
        <w:rPr>
          <w:rFonts w:asciiTheme="majorBidi" w:hAnsiTheme="majorBidi" w:cstheme="majorBidi"/>
          <w:iCs/>
          <w:sz w:val="22"/>
          <w:szCs w:val="22"/>
          <w:lang w:val="sr-Latn-ME"/>
        </w:rPr>
      </w:pPr>
      <w:r w:rsidRPr="00BB0A8B">
        <w:rPr>
          <w:rFonts w:asciiTheme="majorBidi" w:hAnsiTheme="majorBidi" w:cstheme="majorBidi"/>
          <w:iCs/>
          <w:sz w:val="22"/>
          <w:szCs w:val="22"/>
          <w:lang w:val="sr-Latn-ME"/>
        </w:rPr>
        <w:t>Erlotinib Actavis</w:t>
      </w:r>
      <w:r w:rsidR="00C37FD7" w:rsidRPr="00BB0A8B">
        <w:rPr>
          <w:rFonts w:asciiTheme="majorBidi" w:hAnsiTheme="majorBidi" w:cstheme="majorBidi"/>
          <w:iCs/>
          <w:sz w:val="22"/>
          <w:szCs w:val="22"/>
          <w:lang w:val="sr-Latn-ME"/>
        </w:rPr>
        <w:t xml:space="preserve">, </w:t>
      </w:r>
      <w:r w:rsidRPr="00BB0A8B">
        <w:rPr>
          <w:rFonts w:asciiTheme="majorBidi" w:hAnsiTheme="majorBidi" w:cstheme="majorBidi"/>
          <w:iCs/>
          <w:sz w:val="22"/>
          <w:szCs w:val="22"/>
          <w:lang w:val="sr-Latn-ME"/>
        </w:rPr>
        <w:t>25</w:t>
      </w:r>
      <w:r w:rsidR="00315453" w:rsidRPr="00BB0A8B">
        <w:rPr>
          <w:rFonts w:asciiTheme="majorBidi" w:hAnsiTheme="majorBidi" w:cstheme="majorBidi"/>
          <w:iCs/>
          <w:sz w:val="22"/>
          <w:szCs w:val="22"/>
          <w:lang w:val="sr-Latn-ME"/>
        </w:rPr>
        <w:t xml:space="preserve"> </w:t>
      </w:r>
      <w:r w:rsidRPr="00BB0A8B">
        <w:rPr>
          <w:rFonts w:asciiTheme="majorBidi" w:hAnsiTheme="majorBidi" w:cstheme="majorBidi"/>
          <w:iCs/>
          <w:sz w:val="22"/>
          <w:szCs w:val="22"/>
          <w:lang w:val="sr-Latn-ME"/>
        </w:rPr>
        <w:t>mg, film tableta</w:t>
      </w:r>
    </w:p>
    <w:p w:rsidR="00250526" w:rsidRPr="00BB0A8B" w:rsidRDefault="00250526" w:rsidP="00BB0A8B">
      <w:pPr>
        <w:rPr>
          <w:rFonts w:asciiTheme="majorBidi" w:hAnsiTheme="majorBidi" w:cstheme="majorBidi"/>
          <w:iCs/>
          <w:sz w:val="22"/>
          <w:szCs w:val="22"/>
          <w:lang w:val="sr-Latn-ME"/>
        </w:rPr>
      </w:pPr>
      <w:r w:rsidRPr="00BB0A8B">
        <w:rPr>
          <w:rFonts w:asciiTheme="majorBidi" w:hAnsiTheme="majorBidi" w:cstheme="majorBidi"/>
          <w:iCs/>
          <w:sz w:val="22"/>
          <w:szCs w:val="22"/>
          <w:lang w:val="sr-Latn-ME"/>
        </w:rPr>
        <w:t>Erlotinib Actavis, 100</w:t>
      </w:r>
      <w:r w:rsidR="00315453" w:rsidRPr="00BB0A8B">
        <w:rPr>
          <w:rFonts w:asciiTheme="majorBidi" w:hAnsiTheme="majorBidi" w:cstheme="majorBidi"/>
          <w:iCs/>
          <w:sz w:val="22"/>
          <w:szCs w:val="22"/>
          <w:lang w:val="sr-Latn-ME"/>
        </w:rPr>
        <w:t xml:space="preserve"> </w:t>
      </w:r>
      <w:r w:rsidRPr="00BB0A8B">
        <w:rPr>
          <w:rFonts w:asciiTheme="majorBidi" w:hAnsiTheme="majorBidi" w:cstheme="majorBidi"/>
          <w:iCs/>
          <w:sz w:val="22"/>
          <w:szCs w:val="22"/>
          <w:lang w:val="sr-Latn-ME"/>
        </w:rPr>
        <w:t>mg, film tableta</w:t>
      </w:r>
    </w:p>
    <w:p w:rsidR="00250526" w:rsidRPr="00BB0A8B" w:rsidRDefault="00250526" w:rsidP="00BB0A8B">
      <w:pPr>
        <w:rPr>
          <w:rFonts w:asciiTheme="majorBidi" w:hAnsiTheme="majorBidi" w:cstheme="majorBidi"/>
          <w:iCs/>
          <w:sz w:val="22"/>
          <w:szCs w:val="22"/>
          <w:lang w:val="sr-Latn-ME"/>
        </w:rPr>
      </w:pPr>
      <w:r w:rsidRPr="00BB0A8B">
        <w:rPr>
          <w:rFonts w:asciiTheme="majorBidi" w:hAnsiTheme="majorBidi" w:cstheme="majorBidi"/>
          <w:iCs/>
          <w:sz w:val="22"/>
          <w:szCs w:val="22"/>
          <w:lang w:val="sr-Latn-ME"/>
        </w:rPr>
        <w:t>Erlotinib Actavis, 150</w:t>
      </w:r>
      <w:r w:rsidR="00315453" w:rsidRPr="00BB0A8B">
        <w:rPr>
          <w:rFonts w:asciiTheme="majorBidi" w:hAnsiTheme="majorBidi" w:cstheme="majorBidi"/>
          <w:iCs/>
          <w:sz w:val="22"/>
          <w:szCs w:val="22"/>
          <w:lang w:val="sr-Latn-ME"/>
        </w:rPr>
        <w:t xml:space="preserve"> </w:t>
      </w:r>
      <w:r w:rsidRPr="00BB0A8B">
        <w:rPr>
          <w:rFonts w:asciiTheme="majorBidi" w:hAnsiTheme="majorBidi" w:cstheme="majorBidi"/>
          <w:iCs/>
          <w:sz w:val="22"/>
          <w:szCs w:val="22"/>
          <w:lang w:val="sr-Latn-ME"/>
        </w:rPr>
        <w:t>mg, film tableta</w:t>
      </w:r>
    </w:p>
    <w:p w:rsidR="000D425A" w:rsidRPr="00BB0A8B" w:rsidRDefault="000D425A" w:rsidP="00BB0A8B">
      <w:pPr>
        <w:rPr>
          <w:rFonts w:asciiTheme="majorBidi" w:hAnsiTheme="majorBidi" w:cstheme="majorBidi"/>
          <w:bCs/>
          <w:sz w:val="22"/>
          <w:szCs w:val="22"/>
          <w:lang w:val="sr-Latn-ME"/>
        </w:rPr>
      </w:pPr>
    </w:p>
    <w:p w:rsidR="006D20A5" w:rsidRPr="00BB0A8B" w:rsidRDefault="006D20A5" w:rsidP="00BB0A8B">
      <w:pPr>
        <w:rPr>
          <w:rFonts w:asciiTheme="majorBidi" w:hAnsiTheme="majorBidi" w:cstheme="majorBidi"/>
          <w:sz w:val="22"/>
          <w:szCs w:val="22"/>
          <w:lang w:val="sr-Latn-ME"/>
        </w:rPr>
      </w:pPr>
      <w:r w:rsidRPr="00BB0A8B">
        <w:rPr>
          <w:rFonts w:asciiTheme="majorBidi" w:hAnsiTheme="majorBidi" w:cstheme="majorBidi"/>
          <w:sz w:val="22"/>
          <w:szCs w:val="22"/>
          <w:lang w:val="sr-Latn-ME"/>
        </w:rPr>
        <w:t>INN:</w:t>
      </w:r>
      <w:r w:rsidR="00250526" w:rsidRPr="00BB0A8B">
        <w:rPr>
          <w:rFonts w:asciiTheme="majorBidi" w:hAnsiTheme="majorBidi" w:cstheme="majorBidi"/>
          <w:sz w:val="22"/>
          <w:szCs w:val="22"/>
          <w:lang w:val="sr-Latn-ME"/>
        </w:rPr>
        <w:t xml:space="preserve"> erlotinib</w:t>
      </w:r>
    </w:p>
    <w:p w:rsidR="006D20A5" w:rsidRPr="00BB0A8B" w:rsidRDefault="006D20A5" w:rsidP="00BB0A8B">
      <w:pPr>
        <w:rPr>
          <w:rFonts w:asciiTheme="majorBidi" w:hAnsiTheme="majorBidi" w:cstheme="majorBidi"/>
          <w:bCs/>
          <w:sz w:val="22"/>
          <w:szCs w:val="22"/>
          <w:lang w:val="sr-Latn-ME"/>
        </w:rPr>
      </w:pPr>
    </w:p>
    <w:p w:rsidR="00530BD7" w:rsidRPr="00BB0A8B" w:rsidRDefault="00530BD7" w:rsidP="00BB0A8B">
      <w:pPr>
        <w:rPr>
          <w:rFonts w:asciiTheme="majorBidi" w:hAnsiTheme="majorBidi" w:cstheme="majorBidi"/>
          <w:bCs/>
          <w:sz w:val="22"/>
          <w:szCs w:val="22"/>
          <w:lang w:val="sr-Latn-ME"/>
        </w:rPr>
      </w:pPr>
    </w:p>
    <w:p w:rsidR="00411B4B" w:rsidRPr="00BB0A8B" w:rsidRDefault="00411B4B"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2. </w:t>
      </w:r>
      <w:r w:rsidR="00F5167F"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KVALITATIVNI I KVANTITATIVNI SASTAV</w:t>
      </w:r>
    </w:p>
    <w:p w:rsidR="005A0B2E" w:rsidRPr="00BB0A8B" w:rsidRDefault="005A0B2E" w:rsidP="00BB0A8B">
      <w:pPr>
        <w:rPr>
          <w:rFonts w:asciiTheme="majorBidi" w:hAnsiTheme="majorBidi" w:cstheme="majorBidi"/>
          <w:sz w:val="22"/>
          <w:szCs w:val="22"/>
          <w:lang w:val="sr-Latn-ME"/>
        </w:rPr>
      </w:pPr>
    </w:p>
    <w:p w:rsidR="00996D14" w:rsidRPr="00BB0A8B" w:rsidRDefault="00996D14" w:rsidP="00BB0A8B">
      <w:pPr>
        <w:jc w:val="both"/>
        <w:rPr>
          <w:rFonts w:asciiTheme="majorBidi" w:hAnsiTheme="majorBidi" w:cstheme="majorBidi"/>
          <w:i/>
          <w:iCs/>
          <w:sz w:val="22"/>
          <w:szCs w:val="22"/>
          <w:lang w:val="sr-Latn-ME"/>
        </w:rPr>
      </w:pPr>
      <w:r w:rsidRPr="00BB0A8B">
        <w:rPr>
          <w:rFonts w:asciiTheme="majorBidi" w:hAnsiTheme="majorBidi" w:cstheme="majorBidi"/>
          <w:i/>
          <w:iCs/>
          <w:sz w:val="22"/>
          <w:szCs w:val="22"/>
          <w:lang w:val="sr-Latn-ME"/>
        </w:rPr>
        <w:t>Erlotinib Actavis, 25</w:t>
      </w:r>
      <w:r w:rsidR="00315453" w:rsidRPr="00BB0A8B">
        <w:rPr>
          <w:rFonts w:asciiTheme="majorBidi" w:hAnsiTheme="majorBidi" w:cstheme="majorBidi"/>
          <w:i/>
          <w:iCs/>
          <w:sz w:val="22"/>
          <w:szCs w:val="22"/>
          <w:lang w:val="sr-Latn-ME"/>
        </w:rPr>
        <w:t xml:space="preserve"> </w:t>
      </w:r>
      <w:r w:rsidRPr="00BB0A8B">
        <w:rPr>
          <w:rFonts w:asciiTheme="majorBidi" w:hAnsiTheme="majorBidi" w:cstheme="majorBidi"/>
          <w:i/>
          <w:iCs/>
          <w:sz w:val="22"/>
          <w:szCs w:val="22"/>
          <w:lang w:val="sr-Latn-ME"/>
        </w:rPr>
        <w:t>mg, film tableta</w:t>
      </w:r>
    </w:p>
    <w:p w:rsidR="00250526" w:rsidRPr="00BB0A8B" w:rsidRDefault="00250526" w:rsidP="00BB0A8B">
      <w:pPr>
        <w:jc w:val="both"/>
        <w:rPr>
          <w:rFonts w:asciiTheme="majorBidi" w:hAnsiTheme="majorBidi" w:cstheme="majorBidi"/>
          <w:sz w:val="22"/>
          <w:szCs w:val="22"/>
          <w:lang w:val="sr-Latn-ME"/>
        </w:rPr>
      </w:pPr>
      <w:r w:rsidRPr="00BB0A8B">
        <w:rPr>
          <w:rFonts w:asciiTheme="majorBidi" w:hAnsiTheme="majorBidi" w:cstheme="majorBidi"/>
          <w:sz w:val="22"/>
          <w:szCs w:val="22"/>
          <w:lang w:val="sr-Latn-ME"/>
        </w:rPr>
        <w:t>Jedna film tableta sadrži 25 mg erlotiniba (u obliku erlotinib hidrohlorida).</w:t>
      </w:r>
    </w:p>
    <w:p w:rsidR="00315453" w:rsidRPr="00BB0A8B" w:rsidRDefault="00315453" w:rsidP="00BB0A8B">
      <w:pPr>
        <w:jc w:val="both"/>
        <w:rPr>
          <w:rFonts w:asciiTheme="majorBidi" w:hAnsiTheme="majorBidi" w:cstheme="majorBidi"/>
          <w:sz w:val="22"/>
          <w:szCs w:val="22"/>
          <w:lang w:val="sr-Latn-ME"/>
        </w:rPr>
      </w:pPr>
    </w:p>
    <w:p w:rsidR="00996D14" w:rsidRPr="00BB0A8B" w:rsidRDefault="00996D14" w:rsidP="00BB0A8B">
      <w:pPr>
        <w:jc w:val="both"/>
        <w:rPr>
          <w:rFonts w:asciiTheme="majorBidi" w:hAnsiTheme="majorBidi" w:cstheme="majorBidi"/>
          <w:i/>
          <w:iCs/>
          <w:sz w:val="22"/>
          <w:szCs w:val="22"/>
          <w:lang w:val="sr-Latn-ME"/>
        </w:rPr>
      </w:pPr>
      <w:r w:rsidRPr="00BB0A8B">
        <w:rPr>
          <w:rFonts w:asciiTheme="majorBidi" w:hAnsiTheme="majorBidi" w:cstheme="majorBidi"/>
          <w:i/>
          <w:iCs/>
          <w:sz w:val="22"/>
          <w:szCs w:val="22"/>
          <w:lang w:val="sr-Latn-ME"/>
        </w:rPr>
        <w:t>Erlotinib Actavis, 100</w:t>
      </w:r>
      <w:r w:rsidR="00315453" w:rsidRPr="00BB0A8B">
        <w:rPr>
          <w:rFonts w:asciiTheme="majorBidi" w:hAnsiTheme="majorBidi" w:cstheme="majorBidi"/>
          <w:i/>
          <w:iCs/>
          <w:sz w:val="22"/>
          <w:szCs w:val="22"/>
          <w:lang w:val="sr-Latn-ME"/>
        </w:rPr>
        <w:t xml:space="preserve"> </w:t>
      </w:r>
      <w:r w:rsidRPr="00BB0A8B">
        <w:rPr>
          <w:rFonts w:asciiTheme="majorBidi" w:hAnsiTheme="majorBidi" w:cstheme="majorBidi"/>
          <w:i/>
          <w:iCs/>
          <w:sz w:val="22"/>
          <w:szCs w:val="22"/>
          <w:lang w:val="sr-Latn-ME"/>
        </w:rPr>
        <w:t>mg, film tableta</w:t>
      </w:r>
    </w:p>
    <w:p w:rsidR="00250526" w:rsidRPr="00BB0A8B" w:rsidRDefault="00250526" w:rsidP="00BB0A8B">
      <w:pPr>
        <w:jc w:val="both"/>
        <w:rPr>
          <w:rFonts w:asciiTheme="majorBidi" w:hAnsiTheme="majorBidi" w:cstheme="majorBidi"/>
          <w:sz w:val="22"/>
          <w:szCs w:val="22"/>
          <w:lang w:val="sr-Latn-ME"/>
        </w:rPr>
      </w:pPr>
      <w:r w:rsidRPr="00BB0A8B">
        <w:rPr>
          <w:rFonts w:asciiTheme="majorBidi" w:hAnsiTheme="majorBidi" w:cstheme="majorBidi"/>
          <w:sz w:val="22"/>
          <w:szCs w:val="22"/>
          <w:lang w:val="sr-Latn-ME"/>
        </w:rPr>
        <w:t>Jedna film tableta sadrži 100 mg erlotiniba (u obliku erlotinib hidrohlorida).</w:t>
      </w:r>
    </w:p>
    <w:p w:rsidR="00315453" w:rsidRPr="00BB0A8B" w:rsidRDefault="00315453" w:rsidP="00BB0A8B">
      <w:pPr>
        <w:jc w:val="both"/>
        <w:rPr>
          <w:rFonts w:asciiTheme="majorBidi" w:hAnsiTheme="majorBidi" w:cstheme="majorBidi"/>
          <w:sz w:val="22"/>
          <w:szCs w:val="22"/>
          <w:lang w:val="sr-Latn-ME"/>
        </w:rPr>
      </w:pPr>
    </w:p>
    <w:p w:rsidR="00996D14" w:rsidRPr="00BB0A8B" w:rsidRDefault="00996D14" w:rsidP="00BB0A8B">
      <w:pPr>
        <w:jc w:val="both"/>
        <w:rPr>
          <w:rFonts w:asciiTheme="majorBidi" w:hAnsiTheme="majorBidi" w:cstheme="majorBidi"/>
          <w:i/>
          <w:iCs/>
          <w:sz w:val="22"/>
          <w:szCs w:val="22"/>
          <w:lang w:val="sr-Latn-ME"/>
        </w:rPr>
      </w:pPr>
      <w:r w:rsidRPr="00BB0A8B">
        <w:rPr>
          <w:rFonts w:asciiTheme="majorBidi" w:hAnsiTheme="majorBidi" w:cstheme="majorBidi"/>
          <w:i/>
          <w:iCs/>
          <w:sz w:val="22"/>
          <w:szCs w:val="22"/>
          <w:lang w:val="sr-Latn-ME"/>
        </w:rPr>
        <w:t>Erlotinib Actavis, 150</w:t>
      </w:r>
      <w:r w:rsidR="00315453" w:rsidRPr="00BB0A8B">
        <w:rPr>
          <w:rFonts w:asciiTheme="majorBidi" w:hAnsiTheme="majorBidi" w:cstheme="majorBidi"/>
          <w:i/>
          <w:iCs/>
          <w:sz w:val="22"/>
          <w:szCs w:val="22"/>
          <w:lang w:val="sr-Latn-ME"/>
        </w:rPr>
        <w:t xml:space="preserve"> </w:t>
      </w:r>
      <w:r w:rsidRPr="00BB0A8B">
        <w:rPr>
          <w:rFonts w:asciiTheme="majorBidi" w:hAnsiTheme="majorBidi" w:cstheme="majorBidi"/>
          <w:i/>
          <w:iCs/>
          <w:sz w:val="22"/>
          <w:szCs w:val="22"/>
          <w:lang w:val="sr-Latn-ME"/>
        </w:rPr>
        <w:t>mg, film tableta</w:t>
      </w:r>
    </w:p>
    <w:p w:rsidR="00250526" w:rsidRPr="00BB0A8B" w:rsidRDefault="00250526" w:rsidP="00BB0A8B">
      <w:pPr>
        <w:jc w:val="both"/>
        <w:rPr>
          <w:rFonts w:asciiTheme="majorBidi" w:hAnsiTheme="majorBidi" w:cstheme="majorBidi"/>
          <w:sz w:val="22"/>
          <w:szCs w:val="22"/>
          <w:lang w:val="sr-Latn-ME"/>
        </w:rPr>
      </w:pPr>
      <w:r w:rsidRPr="00BB0A8B">
        <w:rPr>
          <w:rFonts w:asciiTheme="majorBidi" w:hAnsiTheme="majorBidi" w:cstheme="majorBidi"/>
          <w:sz w:val="22"/>
          <w:szCs w:val="22"/>
          <w:lang w:val="sr-Latn-ME"/>
        </w:rPr>
        <w:t>Jedna film tableta sadrži 150 mg erlotiniba (u obliku erlotinib hidrohlorida).</w:t>
      </w:r>
    </w:p>
    <w:p w:rsidR="00250526" w:rsidRPr="00BB0A8B" w:rsidRDefault="00250526" w:rsidP="00BB0A8B">
      <w:pPr>
        <w:jc w:val="both"/>
        <w:rPr>
          <w:rFonts w:asciiTheme="majorBidi" w:hAnsiTheme="majorBidi" w:cstheme="majorBidi"/>
          <w:sz w:val="22"/>
          <w:szCs w:val="22"/>
          <w:lang w:val="sr-Latn-ME"/>
        </w:rPr>
      </w:pPr>
    </w:p>
    <w:p w:rsidR="00250526" w:rsidRPr="00BB0A8B" w:rsidRDefault="00250526" w:rsidP="00BB0A8B">
      <w:pPr>
        <w:jc w:val="both"/>
        <w:rPr>
          <w:rFonts w:asciiTheme="majorBidi" w:hAnsiTheme="majorBidi" w:cstheme="majorBidi"/>
          <w:sz w:val="22"/>
          <w:szCs w:val="22"/>
          <w:lang w:val="sr-Latn-ME"/>
        </w:rPr>
      </w:pPr>
      <w:r w:rsidRPr="00BB0A8B">
        <w:rPr>
          <w:rFonts w:asciiTheme="majorBidi" w:hAnsiTheme="majorBidi" w:cstheme="majorBidi"/>
          <w:sz w:val="22"/>
          <w:szCs w:val="22"/>
          <w:lang w:val="sr-Latn-ME"/>
        </w:rPr>
        <w:t xml:space="preserve">Pomoćne supstance </w:t>
      </w:r>
      <w:r w:rsidR="00315453" w:rsidRPr="00BB0A8B">
        <w:rPr>
          <w:rFonts w:asciiTheme="majorBidi" w:hAnsiTheme="majorBidi" w:cstheme="majorBidi"/>
          <w:sz w:val="22"/>
          <w:szCs w:val="22"/>
          <w:lang w:val="sr-Latn-ME"/>
        </w:rPr>
        <w:t xml:space="preserve">sa </w:t>
      </w:r>
      <w:r w:rsidRPr="00BB0A8B">
        <w:rPr>
          <w:rFonts w:asciiTheme="majorBidi" w:hAnsiTheme="majorBidi" w:cstheme="majorBidi"/>
          <w:sz w:val="22"/>
          <w:szCs w:val="22"/>
          <w:lang w:val="sr-Latn-ME"/>
        </w:rPr>
        <w:t>poznatim dejstvom:</w:t>
      </w:r>
    </w:p>
    <w:p w:rsidR="00315453" w:rsidRPr="00BB0A8B" w:rsidRDefault="00315453" w:rsidP="00BB0A8B">
      <w:pPr>
        <w:jc w:val="both"/>
        <w:rPr>
          <w:rFonts w:asciiTheme="majorBidi" w:hAnsiTheme="majorBidi" w:cstheme="majorBidi"/>
          <w:sz w:val="22"/>
          <w:szCs w:val="22"/>
          <w:lang w:val="sr-Latn-ME"/>
        </w:rPr>
      </w:pPr>
    </w:p>
    <w:p w:rsidR="00996D14" w:rsidRPr="00BB0A8B" w:rsidRDefault="00996D14" w:rsidP="00BB0A8B">
      <w:pPr>
        <w:jc w:val="both"/>
        <w:rPr>
          <w:rFonts w:asciiTheme="majorBidi" w:hAnsiTheme="majorBidi" w:cstheme="majorBidi"/>
          <w:i/>
          <w:iCs/>
          <w:sz w:val="22"/>
          <w:szCs w:val="22"/>
          <w:lang w:val="sr-Latn-ME"/>
        </w:rPr>
      </w:pPr>
      <w:r w:rsidRPr="00BB0A8B">
        <w:rPr>
          <w:rFonts w:asciiTheme="majorBidi" w:hAnsiTheme="majorBidi" w:cstheme="majorBidi"/>
          <w:i/>
          <w:iCs/>
          <w:sz w:val="22"/>
          <w:szCs w:val="22"/>
          <w:lang w:val="sr-Latn-ME"/>
        </w:rPr>
        <w:t>Erlotinib Actavis, 25</w:t>
      </w:r>
      <w:r w:rsidR="00315453" w:rsidRPr="00BB0A8B">
        <w:rPr>
          <w:rFonts w:asciiTheme="majorBidi" w:hAnsiTheme="majorBidi" w:cstheme="majorBidi"/>
          <w:i/>
          <w:iCs/>
          <w:sz w:val="22"/>
          <w:szCs w:val="22"/>
          <w:lang w:val="sr-Latn-ME"/>
        </w:rPr>
        <w:t xml:space="preserve"> </w:t>
      </w:r>
      <w:r w:rsidRPr="00BB0A8B">
        <w:rPr>
          <w:rFonts w:asciiTheme="majorBidi" w:hAnsiTheme="majorBidi" w:cstheme="majorBidi"/>
          <w:i/>
          <w:iCs/>
          <w:sz w:val="22"/>
          <w:szCs w:val="22"/>
          <w:lang w:val="sr-Latn-ME"/>
        </w:rPr>
        <w:t>mg, film tableta</w:t>
      </w:r>
    </w:p>
    <w:p w:rsidR="00250526" w:rsidRPr="00BB0A8B" w:rsidRDefault="00250526" w:rsidP="00BB0A8B">
      <w:pPr>
        <w:jc w:val="both"/>
        <w:rPr>
          <w:rFonts w:asciiTheme="majorBidi" w:hAnsiTheme="majorBidi" w:cstheme="majorBidi"/>
          <w:sz w:val="22"/>
          <w:szCs w:val="22"/>
          <w:lang w:val="sr-Latn-ME"/>
        </w:rPr>
      </w:pPr>
      <w:r w:rsidRPr="00BB0A8B">
        <w:rPr>
          <w:rFonts w:asciiTheme="majorBidi" w:hAnsiTheme="majorBidi" w:cstheme="majorBidi"/>
          <w:sz w:val="22"/>
          <w:szCs w:val="22"/>
          <w:lang w:val="sr-Latn-ME"/>
        </w:rPr>
        <w:t>Svaka film tableta sadrž</w:t>
      </w:r>
      <w:r w:rsidR="00176468" w:rsidRPr="00BB0A8B">
        <w:rPr>
          <w:rFonts w:asciiTheme="majorBidi" w:hAnsiTheme="majorBidi" w:cstheme="majorBidi"/>
          <w:sz w:val="22"/>
          <w:szCs w:val="22"/>
          <w:lang w:val="sr-Latn-ME"/>
        </w:rPr>
        <w:t>i 20,9</w:t>
      </w:r>
      <w:r w:rsidRPr="00BB0A8B">
        <w:rPr>
          <w:rFonts w:asciiTheme="majorBidi" w:hAnsiTheme="majorBidi" w:cstheme="majorBidi"/>
          <w:sz w:val="22"/>
          <w:szCs w:val="22"/>
          <w:lang w:val="sr-Latn-ME"/>
        </w:rPr>
        <w:t xml:space="preserve"> mg laktoze, bezvodne.</w:t>
      </w:r>
    </w:p>
    <w:p w:rsidR="00315453" w:rsidRPr="00BB0A8B" w:rsidRDefault="00315453" w:rsidP="00BB0A8B">
      <w:pPr>
        <w:jc w:val="both"/>
        <w:rPr>
          <w:rFonts w:asciiTheme="majorBidi" w:hAnsiTheme="majorBidi" w:cstheme="majorBidi"/>
          <w:sz w:val="22"/>
          <w:szCs w:val="22"/>
          <w:lang w:val="sr-Latn-ME"/>
        </w:rPr>
      </w:pPr>
    </w:p>
    <w:p w:rsidR="00996D14" w:rsidRPr="00BB0A8B" w:rsidRDefault="00996D14" w:rsidP="00BB0A8B">
      <w:pPr>
        <w:jc w:val="both"/>
        <w:rPr>
          <w:rFonts w:asciiTheme="majorBidi" w:hAnsiTheme="majorBidi" w:cstheme="majorBidi"/>
          <w:i/>
          <w:iCs/>
          <w:sz w:val="22"/>
          <w:szCs w:val="22"/>
          <w:lang w:val="sr-Latn-ME"/>
        </w:rPr>
      </w:pPr>
      <w:r w:rsidRPr="00BB0A8B">
        <w:rPr>
          <w:rFonts w:asciiTheme="majorBidi" w:hAnsiTheme="majorBidi" w:cstheme="majorBidi"/>
          <w:i/>
          <w:iCs/>
          <w:sz w:val="22"/>
          <w:szCs w:val="22"/>
          <w:lang w:val="sr-Latn-ME"/>
        </w:rPr>
        <w:t>Erlotinib Actavis, 100</w:t>
      </w:r>
      <w:r w:rsidR="00315453" w:rsidRPr="00BB0A8B">
        <w:rPr>
          <w:rFonts w:asciiTheme="majorBidi" w:hAnsiTheme="majorBidi" w:cstheme="majorBidi"/>
          <w:i/>
          <w:iCs/>
          <w:sz w:val="22"/>
          <w:szCs w:val="22"/>
          <w:lang w:val="sr-Latn-ME"/>
        </w:rPr>
        <w:t xml:space="preserve"> </w:t>
      </w:r>
      <w:r w:rsidRPr="00BB0A8B">
        <w:rPr>
          <w:rFonts w:asciiTheme="majorBidi" w:hAnsiTheme="majorBidi" w:cstheme="majorBidi"/>
          <w:i/>
          <w:iCs/>
          <w:sz w:val="22"/>
          <w:szCs w:val="22"/>
          <w:lang w:val="sr-Latn-ME"/>
        </w:rPr>
        <w:t>mg, film tableta</w:t>
      </w:r>
    </w:p>
    <w:p w:rsidR="00250526" w:rsidRPr="00BB0A8B" w:rsidRDefault="00250526" w:rsidP="00BB0A8B">
      <w:pPr>
        <w:jc w:val="both"/>
        <w:rPr>
          <w:rFonts w:asciiTheme="majorBidi" w:hAnsiTheme="majorBidi" w:cstheme="majorBidi"/>
          <w:sz w:val="22"/>
          <w:szCs w:val="22"/>
          <w:lang w:val="sr-Latn-ME"/>
        </w:rPr>
      </w:pPr>
      <w:r w:rsidRPr="00BB0A8B">
        <w:rPr>
          <w:rFonts w:asciiTheme="majorBidi" w:hAnsiTheme="majorBidi" w:cstheme="majorBidi"/>
          <w:sz w:val="22"/>
          <w:szCs w:val="22"/>
          <w:lang w:val="sr-Latn-ME"/>
        </w:rPr>
        <w:t>Svaka film tableta sadrž</w:t>
      </w:r>
      <w:r w:rsidR="00176468" w:rsidRPr="00BB0A8B">
        <w:rPr>
          <w:rFonts w:asciiTheme="majorBidi" w:hAnsiTheme="majorBidi" w:cstheme="majorBidi"/>
          <w:sz w:val="22"/>
          <w:szCs w:val="22"/>
          <w:lang w:val="sr-Latn-ME"/>
        </w:rPr>
        <w:t>i 83,8</w:t>
      </w:r>
      <w:r w:rsidRPr="00BB0A8B">
        <w:rPr>
          <w:rFonts w:asciiTheme="majorBidi" w:hAnsiTheme="majorBidi" w:cstheme="majorBidi"/>
          <w:sz w:val="22"/>
          <w:szCs w:val="22"/>
          <w:lang w:val="sr-Latn-ME"/>
        </w:rPr>
        <w:t xml:space="preserve"> mg laktoze, bezvodne.</w:t>
      </w:r>
    </w:p>
    <w:p w:rsidR="00315453" w:rsidRPr="00BB0A8B" w:rsidRDefault="00315453" w:rsidP="00BB0A8B">
      <w:pPr>
        <w:jc w:val="both"/>
        <w:rPr>
          <w:rFonts w:asciiTheme="majorBidi" w:hAnsiTheme="majorBidi" w:cstheme="majorBidi"/>
          <w:sz w:val="22"/>
          <w:szCs w:val="22"/>
          <w:lang w:val="sr-Latn-ME"/>
        </w:rPr>
      </w:pPr>
    </w:p>
    <w:p w:rsidR="00996D14" w:rsidRPr="00BB0A8B" w:rsidRDefault="00996D14" w:rsidP="00BB0A8B">
      <w:pPr>
        <w:jc w:val="both"/>
        <w:rPr>
          <w:rFonts w:asciiTheme="majorBidi" w:hAnsiTheme="majorBidi" w:cstheme="majorBidi"/>
          <w:i/>
          <w:iCs/>
          <w:sz w:val="22"/>
          <w:szCs w:val="22"/>
          <w:lang w:val="sr-Latn-ME"/>
        </w:rPr>
      </w:pPr>
      <w:r w:rsidRPr="00BB0A8B">
        <w:rPr>
          <w:rFonts w:asciiTheme="majorBidi" w:hAnsiTheme="majorBidi" w:cstheme="majorBidi"/>
          <w:i/>
          <w:iCs/>
          <w:sz w:val="22"/>
          <w:szCs w:val="22"/>
          <w:lang w:val="sr-Latn-ME"/>
        </w:rPr>
        <w:t>Erlotinib Actavis, 150</w:t>
      </w:r>
      <w:r w:rsidR="00315453" w:rsidRPr="00BB0A8B">
        <w:rPr>
          <w:rFonts w:asciiTheme="majorBidi" w:hAnsiTheme="majorBidi" w:cstheme="majorBidi"/>
          <w:i/>
          <w:iCs/>
          <w:sz w:val="22"/>
          <w:szCs w:val="22"/>
          <w:lang w:val="sr-Latn-ME"/>
        </w:rPr>
        <w:t xml:space="preserve"> </w:t>
      </w:r>
      <w:r w:rsidRPr="00BB0A8B">
        <w:rPr>
          <w:rFonts w:asciiTheme="majorBidi" w:hAnsiTheme="majorBidi" w:cstheme="majorBidi"/>
          <w:i/>
          <w:iCs/>
          <w:sz w:val="22"/>
          <w:szCs w:val="22"/>
          <w:lang w:val="sr-Latn-ME"/>
        </w:rPr>
        <w:t>mg, film tableta</w:t>
      </w:r>
    </w:p>
    <w:p w:rsidR="00250526" w:rsidRPr="00BB0A8B" w:rsidRDefault="00250526" w:rsidP="00BB0A8B">
      <w:pPr>
        <w:jc w:val="both"/>
        <w:rPr>
          <w:rFonts w:asciiTheme="majorBidi" w:hAnsiTheme="majorBidi" w:cstheme="majorBidi"/>
          <w:sz w:val="22"/>
          <w:szCs w:val="22"/>
          <w:lang w:val="sr-Latn-ME"/>
        </w:rPr>
      </w:pPr>
      <w:r w:rsidRPr="00BB0A8B">
        <w:rPr>
          <w:rFonts w:asciiTheme="majorBidi" w:hAnsiTheme="majorBidi" w:cstheme="majorBidi"/>
          <w:sz w:val="22"/>
          <w:szCs w:val="22"/>
          <w:lang w:val="sr-Latn-ME"/>
        </w:rPr>
        <w:t xml:space="preserve">Svaka film tableta sadrži </w:t>
      </w:r>
      <w:r w:rsidR="00176468" w:rsidRPr="00BB0A8B">
        <w:rPr>
          <w:rFonts w:asciiTheme="majorBidi" w:hAnsiTheme="majorBidi" w:cstheme="majorBidi"/>
          <w:sz w:val="22"/>
          <w:szCs w:val="22"/>
          <w:lang w:val="sr-Latn-ME"/>
        </w:rPr>
        <w:t>125,7</w:t>
      </w:r>
      <w:r w:rsidRPr="00BB0A8B">
        <w:rPr>
          <w:rFonts w:asciiTheme="majorBidi" w:hAnsiTheme="majorBidi" w:cstheme="majorBidi"/>
          <w:sz w:val="22"/>
          <w:szCs w:val="22"/>
          <w:lang w:val="sr-Latn-ME"/>
        </w:rPr>
        <w:t xml:space="preserve"> mg laktoze, bezvodne.</w:t>
      </w:r>
    </w:p>
    <w:p w:rsidR="00250526" w:rsidRPr="00BB0A8B" w:rsidRDefault="00250526" w:rsidP="00BB0A8B">
      <w:pPr>
        <w:rPr>
          <w:rFonts w:asciiTheme="majorBidi" w:hAnsiTheme="majorBidi" w:cstheme="majorBidi"/>
          <w:sz w:val="22"/>
          <w:szCs w:val="22"/>
          <w:lang w:val="sr-Latn-ME"/>
        </w:rPr>
      </w:pPr>
    </w:p>
    <w:p w:rsidR="0003793F" w:rsidRPr="00BB0A8B" w:rsidRDefault="0003793F" w:rsidP="00BB0A8B">
      <w:pPr>
        <w:rPr>
          <w:rFonts w:asciiTheme="majorBidi" w:hAnsiTheme="majorBidi" w:cstheme="majorBidi"/>
          <w:sz w:val="22"/>
          <w:szCs w:val="22"/>
          <w:lang w:val="sr-Latn-ME"/>
        </w:rPr>
      </w:pPr>
      <w:r w:rsidRPr="00BB0A8B">
        <w:rPr>
          <w:rFonts w:asciiTheme="majorBidi" w:hAnsiTheme="majorBidi" w:cstheme="majorBidi"/>
          <w:sz w:val="22"/>
          <w:szCs w:val="22"/>
          <w:lang w:val="sr-Latn-ME"/>
        </w:rPr>
        <w:t>Za spisak svih ekscipijenasa, pogledati dio 6.1.</w:t>
      </w:r>
    </w:p>
    <w:p w:rsidR="0003793F" w:rsidRPr="00BB0A8B" w:rsidRDefault="0003793F" w:rsidP="00BB0A8B">
      <w:pPr>
        <w:rPr>
          <w:rFonts w:asciiTheme="majorBidi" w:hAnsiTheme="majorBidi" w:cstheme="majorBidi"/>
          <w:sz w:val="22"/>
          <w:szCs w:val="22"/>
          <w:lang w:val="sr-Latn-ME"/>
        </w:rPr>
      </w:pPr>
    </w:p>
    <w:p w:rsidR="00C37FD7" w:rsidRPr="00BB0A8B" w:rsidRDefault="00C37FD7" w:rsidP="00BB0A8B">
      <w:pPr>
        <w:rPr>
          <w:rFonts w:asciiTheme="majorBidi" w:hAnsiTheme="majorBidi" w:cstheme="majorBidi"/>
          <w:sz w:val="22"/>
          <w:szCs w:val="22"/>
          <w:lang w:val="sr-Latn-ME"/>
        </w:rPr>
      </w:pPr>
    </w:p>
    <w:p w:rsidR="00411B4B" w:rsidRPr="00BB0A8B" w:rsidRDefault="00411B4B"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3. </w:t>
      </w:r>
      <w:r w:rsidR="00F5167F"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FARMACEUTSKI OBLIK</w:t>
      </w:r>
      <w:r w:rsidR="009F2D23" w:rsidRPr="00BB0A8B">
        <w:rPr>
          <w:rFonts w:asciiTheme="majorBidi" w:hAnsiTheme="majorBidi" w:cstheme="majorBidi"/>
          <w:b/>
          <w:bCs/>
          <w:sz w:val="22"/>
          <w:szCs w:val="22"/>
          <w:lang w:val="sr-Latn-ME"/>
        </w:rPr>
        <w:t xml:space="preserve"> </w:t>
      </w:r>
    </w:p>
    <w:p w:rsidR="006021B6" w:rsidRPr="00BB0A8B" w:rsidRDefault="006021B6" w:rsidP="00BB0A8B">
      <w:pPr>
        <w:tabs>
          <w:tab w:val="left" w:pos="540"/>
          <w:tab w:val="left" w:pos="569"/>
        </w:tabs>
        <w:rPr>
          <w:rFonts w:asciiTheme="majorBidi" w:hAnsiTheme="majorBidi" w:cstheme="majorBidi"/>
          <w:b/>
          <w:bCs/>
          <w:sz w:val="22"/>
          <w:szCs w:val="22"/>
          <w:lang w:val="sr-Latn-ME"/>
        </w:rPr>
      </w:pPr>
    </w:p>
    <w:p w:rsidR="006021B6" w:rsidRPr="00BB0A8B" w:rsidRDefault="006021B6" w:rsidP="00BB0A8B">
      <w:pPr>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Film tableta.</w:t>
      </w:r>
    </w:p>
    <w:p w:rsidR="006021B6" w:rsidRPr="00BB0A8B" w:rsidRDefault="006021B6" w:rsidP="00BB0A8B">
      <w:pPr>
        <w:rPr>
          <w:rFonts w:asciiTheme="majorBidi" w:hAnsiTheme="majorBidi" w:cstheme="majorBidi"/>
          <w:bCs/>
          <w:sz w:val="22"/>
          <w:szCs w:val="22"/>
          <w:lang w:val="sr-Latn-ME"/>
        </w:rPr>
      </w:pPr>
    </w:p>
    <w:p w:rsidR="006021B6" w:rsidRPr="00BB0A8B" w:rsidRDefault="006021B6" w:rsidP="00BB0A8B">
      <w:pPr>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Erlotinib Actavis 25 mg film tablete: Bijele, okrugle, bikonveksne tablete od 6 mm, sa ujednačenim izgledom </w:t>
      </w:r>
      <w:r w:rsidR="00315453" w:rsidRPr="00BB0A8B">
        <w:rPr>
          <w:rFonts w:asciiTheme="majorBidi" w:hAnsiTheme="majorBidi" w:cstheme="majorBidi"/>
          <w:bCs/>
          <w:sz w:val="22"/>
          <w:szCs w:val="22"/>
          <w:lang w:val="sr-Latn-ME"/>
        </w:rPr>
        <w:t xml:space="preserve">i </w:t>
      </w:r>
      <w:r w:rsidRPr="00BB0A8B">
        <w:rPr>
          <w:rFonts w:asciiTheme="majorBidi" w:hAnsiTheme="majorBidi" w:cstheme="majorBidi"/>
          <w:bCs/>
          <w:sz w:val="22"/>
          <w:szCs w:val="22"/>
          <w:lang w:val="sr-Latn-ME"/>
        </w:rPr>
        <w:t xml:space="preserve">neoštećenim ivicama, </w:t>
      </w:r>
      <w:r w:rsidR="00315453" w:rsidRPr="00BB0A8B">
        <w:rPr>
          <w:rFonts w:asciiTheme="majorBidi" w:hAnsiTheme="majorBidi" w:cstheme="majorBidi"/>
          <w:bCs/>
          <w:sz w:val="22"/>
          <w:szCs w:val="22"/>
          <w:lang w:val="sr-Latn-ME"/>
        </w:rPr>
        <w:t xml:space="preserve">sa </w:t>
      </w:r>
      <w:r w:rsidRPr="00BB0A8B">
        <w:rPr>
          <w:rFonts w:asciiTheme="majorBidi" w:hAnsiTheme="majorBidi" w:cstheme="majorBidi"/>
          <w:bCs/>
          <w:sz w:val="22"/>
          <w:szCs w:val="22"/>
          <w:lang w:val="sr-Latn-ME"/>
        </w:rPr>
        <w:t xml:space="preserve">utisnutom oznakom A105 na jednoj strani tablete. </w:t>
      </w:r>
    </w:p>
    <w:p w:rsidR="006021B6" w:rsidRPr="00BB0A8B" w:rsidRDefault="006021B6" w:rsidP="00BB0A8B">
      <w:pPr>
        <w:rPr>
          <w:rFonts w:asciiTheme="majorBidi" w:hAnsiTheme="majorBidi" w:cstheme="majorBidi"/>
          <w:bCs/>
          <w:sz w:val="22"/>
          <w:szCs w:val="22"/>
          <w:lang w:val="sr-Latn-ME"/>
        </w:rPr>
      </w:pPr>
    </w:p>
    <w:p w:rsidR="006021B6" w:rsidRPr="00BB0A8B" w:rsidRDefault="006021B6" w:rsidP="00BB0A8B">
      <w:pPr>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Erlotinib Actavis 100 mg film tablete: Bijele, okrugle, bikonveksne tablete od 10 mm, sa ujednačenim izgledom </w:t>
      </w:r>
      <w:r w:rsidR="00315453" w:rsidRPr="00BB0A8B">
        <w:rPr>
          <w:rFonts w:asciiTheme="majorBidi" w:hAnsiTheme="majorBidi" w:cstheme="majorBidi"/>
          <w:bCs/>
          <w:sz w:val="22"/>
          <w:szCs w:val="22"/>
          <w:lang w:val="sr-Latn-ME"/>
        </w:rPr>
        <w:t>i</w:t>
      </w:r>
      <w:r w:rsidRPr="00BB0A8B">
        <w:rPr>
          <w:rFonts w:asciiTheme="majorBidi" w:hAnsiTheme="majorBidi" w:cstheme="majorBidi"/>
          <w:bCs/>
          <w:sz w:val="22"/>
          <w:szCs w:val="22"/>
          <w:lang w:val="sr-Latn-ME"/>
        </w:rPr>
        <w:t xml:space="preserve"> neoštećenim ivicama, </w:t>
      </w:r>
      <w:r w:rsidR="00315453" w:rsidRPr="00BB0A8B">
        <w:rPr>
          <w:rFonts w:asciiTheme="majorBidi" w:hAnsiTheme="majorBidi" w:cstheme="majorBidi"/>
          <w:bCs/>
          <w:sz w:val="22"/>
          <w:szCs w:val="22"/>
          <w:lang w:val="sr-Latn-ME"/>
        </w:rPr>
        <w:t xml:space="preserve">sa </w:t>
      </w:r>
      <w:r w:rsidRPr="00BB0A8B">
        <w:rPr>
          <w:rFonts w:asciiTheme="majorBidi" w:hAnsiTheme="majorBidi" w:cstheme="majorBidi"/>
          <w:bCs/>
          <w:sz w:val="22"/>
          <w:szCs w:val="22"/>
          <w:lang w:val="sr-Latn-ME"/>
        </w:rPr>
        <w:t xml:space="preserve">utisnutom oznakom A116 na jednoj strani tablete. </w:t>
      </w:r>
    </w:p>
    <w:p w:rsidR="006021B6" w:rsidRPr="00BB0A8B" w:rsidRDefault="006021B6" w:rsidP="00BB0A8B">
      <w:pPr>
        <w:rPr>
          <w:rFonts w:asciiTheme="majorBidi" w:hAnsiTheme="majorBidi" w:cstheme="majorBidi"/>
          <w:bCs/>
          <w:sz w:val="22"/>
          <w:szCs w:val="22"/>
          <w:lang w:val="sr-Latn-ME"/>
        </w:rPr>
      </w:pPr>
    </w:p>
    <w:p w:rsidR="006021B6" w:rsidRPr="00BB0A8B" w:rsidRDefault="006021B6" w:rsidP="00BB0A8B">
      <w:pPr>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Erlotinib Actavis 150 mg film tablete: Bijele, okrugle, bikonveksne tablete od 11 mm, s</w:t>
      </w:r>
      <w:r w:rsidR="00315453" w:rsidRPr="00BB0A8B">
        <w:rPr>
          <w:rFonts w:asciiTheme="majorBidi" w:hAnsiTheme="majorBidi" w:cstheme="majorBidi"/>
          <w:bCs/>
          <w:sz w:val="22"/>
          <w:szCs w:val="22"/>
          <w:lang w:val="sr-Latn-ME"/>
        </w:rPr>
        <w:t>a</w:t>
      </w:r>
      <w:r w:rsidRPr="00BB0A8B">
        <w:rPr>
          <w:rFonts w:asciiTheme="majorBidi" w:hAnsiTheme="majorBidi" w:cstheme="majorBidi"/>
          <w:bCs/>
          <w:sz w:val="22"/>
          <w:szCs w:val="22"/>
          <w:lang w:val="sr-Latn-ME"/>
        </w:rPr>
        <w:t xml:space="preserve"> ujednačenim izgledom </w:t>
      </w:r>
      <w:r w:rsidR="00315453" w:rsidRPr="00BB0A8B">
        <w:rPr>
          <w:rFonts w:asciiTheme="majorBidi" w:hAnsiTheme="majorBidi" w:cstheme="majorBidi"/>
          <w:bCs/>
          <w:sz w:val="22"/>
          <w:szCs w:val="22"/>
          <w:lang w:val="sr-Latn-ME"/>
        </w:rPr>
        <w:t>i</w:t>
      </w:r>
      <w:r w:rsidRPr="00BB0A8B">
        <w:rPr>
          <w:rFonts w:asciiTheme="majorBidi" w:hAnsiTheme="majorBidi" w:cstheme="majorBidi"/>
          <w:bCs/>
          <w:sz w:val="22"/>
          <w:szCs w:val="22"/>
          <w:lang w:val="sr-Latn-ME"/>
        </w:rPr>
        <w:t xml:space="preserve"> neoštećenim ivicama</w:t>
      </w:r>
      <w:r w:rsidR="00315453" w:rsidRPr="00BB0A8B">
        <w:rPr>
          <w:rFonts w:asciiTheme="majorBidi" w:hAnsiTheme="majorBidi" w:cstheme="majorBidi"/>
          <w:bCs/>
          <w:sz w:val="22"/>
          <w:szCs w:val="22"/>
          <w:lang w:val="sr-Latn-ME"/>
        </w:rPr>
        <w:t>,</w:t>
      </w:r>
      <w:r w:rsidRPr="00BB0A8B">
        <w:rPr>
          <w:rFonts w:asciiTheme="majorBidi" w:hAnsiTheme="majorBidi" w:cstheme="majorBidi"/>
          <w:bCs/>
          <w:sz w:val="22"/>
          <w:szCs w:val="22"/>
          <w:lang w:val="sr-Latn-ME"/>
        </w:rPr>
        <w:t xml:space="preserve"> </w:t>
      </w:r>
      <w:r w:rsidR="00315453" w:rsidRPr="00BB0A8B">
        <w:rPr>
          <w:rFonts w:asciiTheme="majorBidi" w:hAnsiTheme="majorBidi" w:cstheme="majorBidi"/>
          <w:bCs/>
          <w:sz w:val="22"/>
          <w:szCs w:val="22"/>
          <w:lang w:val="sr-Latn-ME"/>
        </w:rPr>
        <w:t>sa</w:t>
      </w:r>
      <w:r w:rsidRPr="00BB0A8B">
        <w:rPr>
          <w:rFonts w:asciiTheme="majorBidi" w:hAnsiTheme="majorBidi" w:cstheme="majorBidi"/>
          <w:bCs/>
          <w:sz w:val="22"/>
          <w:szCs w:val="22"/>
          <w:lang w:val="sr-Latn-ME"/>
        </w:rPr>
        <w:t xml:space="preserve"> utisnutom oznakom A127 na jednoj strani tablete.</w:t>
      </w:r>
    </w:p>
    <w:p w:rsidR="00411B4B" w:rsidRPr="00BB0A8B" w:rsidRDefault="00411B4B" w:rsidP="00BB0A8B">
      <w:pPr>
        <w:rPr>
          <w:rFonts w:asciiTheme="majorBidi" w:hAnsiTheme="majorBidi" w:cstheme="majorBidi"/>
          <w:bCs/>
          <w:sz w:val="22"/>
          <w:szCs w:val="22"/>
          <w:lang w:val="sr-Latn-ME"/>
        </w:rPr>
      </w:pPr>
    </w:p>
    <w:p w:rsidR="00EC2532" w:rsidRPr="00BB0A8B" w:rsidRDefault="00EC2532" w:rsidP="00BB0A8B">
      <w:pPr>
        <w:rPr>
          <w:rFonts w:asciiTheme="majorBidi" w:hAnsiTheme="majorBidi" w:cstheme="majorBidi"/>
          <w:bCs/>
          <w:sz w:val="22"/>
          <w:szCs w:val="22"/>
          <w:lang w:val="sr-Latn-ME"/>
        </w:rPr>
      </w:pPr>
    </w:p>
    <w:p w:rsidR="00411B4B" w:rsidRPr="00BB0A8B" w:rsidRDefault="00411B4B"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4.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KLINIČKI PODACI</w:t>
      </w:r>
    </w:p>
    <w:p w:rsidR="00CD6F02" w:rsidRPr="00BB0A8B" w:rsidRDefault="00CD6F02" w:rsidP="00BB0A8B">
      <w:pPr>
        <w:tabs>
          <w:tab w:val="left" w:pos="540"/>
          <w:tab w:val="left" w:pos="569"/>
        </w:tabs>
        <w:rPr>
          <w:rFonts w:asciiTheme="majorBidi" w:hAnsiTheme="majorBidi" w:cstheme="majorBidi"/>
          <w:bCs/>
          <w:sz w:val="22"/>
          <w:szCs w:val="22"/>
          <w:lang w:val="sr-Latn-ME"/>
        </w:rPr>
      </w:pPr>
    </w:p>
    <w:p w:rsidR="00411B4B" w:rsidRPr="00BB0A8B" w:rsidRDefault="00411B4B"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4.1.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Terapijske indikacije</w:t>
      </w:r>
    </w:p>
    <w:p w:rsidR="00996D14" w:rsidRDefault="00996D14" w:rsidP="00BB0A8B">
      <w:pPr>
        <w:tabs>
          <w:tab w:val="left" w:pos="540"/>
          <w:tab w:val="left" w:pos="569"/>
        </w:tabs>
        <w:rPr>
          <w:rFonts w:asciiTheme="majorBidi" w:hAnsiTheme="majorBidi" w:cstheme="majorBidi"/>
          <w:b/>
          <w:bCs/>
          <w:sz w:val="22"/>
          <w:szCs w:val="22"/>
          <w:lang w:val="sr-Latn-ME"/>
        </w:rPr>
      </w:pPr>
    </w:p>
    <w:p w:rsidR="00BB0A8B" w:rsidRDefault="00BB0A8B" w:rsidP="00BB0A8B">
      <w:pPr>
        <w:tabs>
          <w:tab w:val="left" w:pos="540"/>
          <w:tab w:val="left" w:pos="569"/>
        </w:tabs>
        <w:rPr>
          <w:rFonts w:asciiTheme="majorBidi" w:hAnsiTheme="majorBidi" w:cstheme="majorBidi"/>
          <w:b/>
          <w:bCs/>
          <w:sz w:val="22"/>
          <w:szCs w:val="22"/>
          <w:lang w:val="sr-Latn-ME"/>
        </w:rPr>
      </w:pPr>
    </w:p>
    <w:p w:rsidR="00BB0A8B" w:rsidRPr="00BB0A8B" w:rsidRDefault="00BB0A8B" w:rsidP="00BB0A8B">
      <w:pPr>
        <w:tabs>
          <w:tab w:val="left" w:pos="540"/>
          <w:tab w:val="left" w:pos="569"/>
        </w:tabs>
        <w:rPr>
          <w:rFonts w:asciiTheme="majorBidi" w:hAnsiTheme="majorBidi" w:cstheme="majorBidi"/>
          <w:b/>
          <w:bCs/>
          <w:sz w:val="22"/>
          <w:szCs w:val="22"/>
          <w:lang w:val="sr-Latn-ME"/>
        </w:rPr>
      </w:pPr>
    </w:p>
    <w:p w:rsidR="00BB0A8B" w:rsidRDefault="00996D14" w:rsidP="00BB0A8B">
      <w:pPr>
        <w:tabs>
          <w:tab w:val="left" w:pos="540"/>
          <w:tab w:val="left" w:pos="569"/>
        </w:tabs>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lastRenderedPageBreak/>
        <w:t>Nemikrocelularni karcinom pluća</w:t>
      </w:r>
    </w:p>
    <w:p w:rsidR="00996D14" w:rsidRPr="00BB0A8B" w:rsidRDefault="00996D14" w:rsidP="00BB0A8B">
      <w:pPr>
        <w:tabs>
          <w:tab w:val="left" w:pos="540"/>
          <w:tab w:val="left" w:pos="569"/>
        </w:tabs>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 </w:t>
      </w:r>
    </w:p>
    <w:p w:rsidR="00996D14" w:rsidRPr="00BB0A8B" w:rsidRDefault="00300BB8"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Lijek </w:t>
      </w:r>
      <w:r w:rsidR="00996D14" w:rsidRPr="00BB0A8B">
        <w:rPr>
          <w:rFonts w:asciiTheme="majorBidi" w:hAnsiTheme="majorBidi" w:cstheme="majorBidi"/>
          <w:bCs/>
          <w:sz w:val="22"/>
          <w:szCs w:val="22"/>
          <w:lang w:val="sr-Latn-ME"/>
        </w:rPr>
        <w:t xml:space="preserve">Erlotinib Actavis je indikovan kao terapija prvog izbora </w:t>
      </w:r>
      <w:r w:rsidR="009F5A38" w:rsidRPr="00BB0A8B">
        <w:rPr>
          <w:rFonts w:asciiTheme="majorBidi" w:hAnsiTheme="majorBidi" w:cstheme="majorBidi"/>
          <w:bCs/>
          <w:sz w:val="22"/>
          <w:szCs w:val="22"/>
          <w:lang w:val="sr-Latn-ME"/>
        </w:rPr>
        <w:t xml:space="preserve">kod </w:t>
      </w:r>
      <w:r w:rsidR="00996D14" w:rsidRPr="00BB0A8B">
        <w:rPr>
          <w:rFonts w:asciiTheme="majorBidi" w:hAnsiTheme="majorBidi" w:cstheme="majorBidi"/>
          <w:bCs/>
          <w:sz w:val="22"/>
          <w:szCs w:val="22"/>
          <w:lang w:val="sr-Latn-ME"/>
        </w:rPr>
        <w:t xml:space="preserve">pacijenata sa lokalno uznapredovalim ili metastatskim nemikrocelularnim karcinomom pluća (engl. </w:t>
      </w:r>
      <w:r w:rsidR="00996D14" w:rsidRPr="00BB0A8B">
        <w:rPr>
          <w:rFonts w:asciiTheme="majorBidi" w:hAnsiTheme="majorBidi" w:cstheme="majorBidi"/>
          <w:bCs/>
          <w:i/>
          <w:sz w:val="22"/>
          <w:szCs w:val="22"/>
          <w:lang w:val="sr-Latn-ME"/>
        </w:rPr>
        <w:t>non-small cell lung cancer</w:t>
      </w:r>
      <w:r w:rsidR="00996D14" w:rsidRPr="00BB0A8B">
        <w:rPr>
          <w:rFonts w:asciiTheme="majorBidi" w:hAnsiTheme="majorBidi" w:cstheme="majorBidi"/>
          <w:bCs/>
          <w:sz w:val="22"/>
          <w:szCs w:val="22"/>
          <w:lang w:val="sr-Latn-ME"/>
        </w:rPr>
        <w:t>, NSCLC) sa EGFR aktivirajućim mutacijama.</w:t>
      </w:r>
    </w:p>
    <w:p w:rsidR="00996D14" w:rsidRPr="00BB0A8B" w:rsidRDefault="00996D14" w:rsidP="00BB0A8B">
      <w:pPr>
        <w:tabs>
          <w:tab w:val="left" w:pos="540"/>
          <w:tab w:val="left" w:pos="569"/>
        </w:tabs>
        <w:jc w:val="both"/>
        <w:rPr>
          <w:rFonts w:asciiTheme="majorBidi" w:hAnsiTheme="majorBidi" w:cstheme="majorBidi"/>
          <w:bCs/>
          <w:sz w:val="22"/>
          <w:szCs w:val="22"/>
          <w:lang w:val="sr-Latn-ME"/>
        </w:rPr>
      </w:pPr>
    </w:p>
    <w:p w:rsidR="00996D14" w:rsidRPr="00BB0A8B" w:rsidRDefault="00300BB8"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Lijek </w:t>
      </w:r>
      <w:r w:rsidR="00996D14" w:rsidRPr="00BB0A8B">
        <w:rPr>
          <w:rFonts w:asciiTheme="majorBidi" w:hAnsiTheme="majorBidi" w:cstheme="majorBidi"/>
          <w:bCs/>
          <w:sz w:val="22"/>
          <w:szCs w:val="22"/>
          <w:lang w:val="sr-Latn-ME"/>
        </w:rPr>
        <w:t>Erlotinib Actavis je takođe indikovan kao terapija održavanja kod pacijenata sa lokalno uznapredovalim ili metastatskim NSCLC-om sa EGFR aktivirajućim mutacijama i stabilnom bolešću nakon prve linije hem</w:t>
      </w:r>
      <w:r w:rsidR="00C86467" w:rsidRPr="00BB0A8B">
        <w:rPr>
          <w:rFonts w:asciiTheme="majorBidi" w:hAnsiTheme="majorBidi" w:cstheme="majorBidi"/>
          <w:bCs/>
          <w:sz w:val="22"/>
          <w:szCs w:val="22"/>
          <w:lang w:val="sr-Latn-ME"/>
        </w:rPr>
        <w:t>i</w:t>
      </w:r>
      <w:r w:rsidR="00996D14" w:rsidRPr="00BB0A8B">
        <w:rPr>
          <w:rFonts w:asciiTheme="majorBidi" w:hAnsiTheme="majorBidi" w:cstheme="majorBidi"/>
          <w:bCs/>
          <w:sz w:val="22"/>
          <w:szCs w:val="22"/>
          <w:lang w:val="sr-Latn-ME"/>
        </w:rPr>
        <w:t xml:space="preserve">oterapije (engl. </w:t>
      </w:r>
      <w:r w:rsidR="00996D14" w:rsidRPr="00BB0A8B">
        <w:rPr>
          <w:rFonts w:asciiTheme="majorBidi" w:hAnsiTheme="majorBidi" w:cstheme="majorBidi"/>
          <w:bCs/>
          <w:i/>
          <w:sz w:val="22"/>
          <w:szCs w:val="22"/>
          <w:lang w:val="sr-Latn-ME"/>
        </w:rPr>
        <w:t>switch maintenance</w:t>
      </w:r>
      <w:r w:rsidR="00996D14" w:rsidRPr="00BB0A8B">
        <w:rPr>
          <w:rFonts w:asciiTheme="majorBidi" w:hAnsiTheme="majorBidi" w:cstheme="majorBidi"/>
          <w:bCs/>
          <w:sz w:val="22"/>
          <w:szCs w:val="22"/>
          <w:lang w:val="sr-Latn-ME"/>
        </w:rPr>
        <w:t>).</w:t>
      </w:r>
    </w:p>
    <w:p w:rsidR="00996D14" w:rsidRPr="00BB0A8B" w:rsidRDefault="00996D14" w:rsidP="00BB0A8B">
      <w:pPr>
        <w:tabs>
          <w:tab w:val="left" w:pos="540"/>
          <w:tab w:val="left" w:pos="569"/>
        </w:tabs>
        <w:jc w:val="both"/>
        <w:rPr>
          <w:rFonts w:asciiTheme="majorBidi" w:hAnsiTheme="majorBidi" w:cstheme="majorBidi"/>
          <w:bCs/>
          <w:sz w:val="22"/>
          <w:szCs w:val="22"/>
          <w:lang w:val="sr-Latn-ME"/>
        </w:rPr>
      </w:pPr>
    </w:p>
    <w:p w:rsidR="00996D14" w:rsidRPr="00BB0A8B" w:rsidRDefault="00300BB8"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Lijek </w:t>
      </w:r>
      <w:r w:rsidR="00996D14" w:rsidRPr="00BB0A8B">
        <w:rPr>
          <w:rFonts w:asciiTheme="majorBidi" w:hAnsiTheme="majorBidi" w:cstheme="majorBidi"/>
          <w:bCs/>
          <w:sz w:val="22"/>
          <w:szCs w:val="22"/>
          <w:lang w:val="sr-Latn-ME"/>
        </w:rPr>
        <w:t>Erlotinib Actavis je tak</w:t>
      </w:r>
      <w:r w:rsidRPr="00BB0A8B">
        <w:rPr>
          <w:rFonts w:asciiTheme="majorBidi" w:hAnsiTheme="majorBidi" w:cstheme="majorBidi"/>
          <w:bCs/>
          <w:sz w:val="22"/>
          <w:szCs w:val="22"/>
          <w:lang w:val="sr-Latn-ME"/>
        </w:rPr>
        <w:t>o</w:t>
      </w:r>
      <w:r w:rsidR="00996D14" w:rsidRPr="00BB0A8B">
        <w:rPr>
          <w:rFonts w:asciiTheme="majorBidi" w:hAnsiTheme="majorBidi" w:cstheme="majorBidi"/>
          <w:bCs/>
          <w:sz w:val="22"/>
          <w:szCs w:val="22"/>
          <w:lang w:val="sr-Latn-ME"/>
        </w:rPr>
        <w:t xml:space="preserve">đe indikovan kao terapija pacijenata sa lokalno </w:t>
      </w:r>
      <w:r w:rsidRPr="00BB0A8B">
        <w:rPr>
          <w:rFonts w:asciiTheme="majorBidi" w:hAnsiTheme="majorBidi" w:cstheme="majorBidi"/>
          <w:bCs/>
          <w:sz w:val="22"/>
          <w:szCs w:val="22"/>
          <w:lang w:val="sr-Latn-ME"/>
        </w:rPr>
        <w:t xml:space="preserve">uznapredovalim </w:t>
      </w:r>
      <w:r w:rsidR="00996D14" w:rsidRPr="00BB0A8B">
        <w:rPr>
          <w:rFonts w:asciiTheme="majorBidi" w:hAnsiTheme="majorBidi" w:cstheme="majorBidi"/>
          <w:bCs/>
          <w:sz w:val="22"/>
          <w:szCs w:val="22"/>
          <w:lang w:val="sr-Latn-ME"/>
        </w:rPr>
        <w:t xml:space="preserve">ili metastatskim nemikrocelularnim karcinomom pluća nakon neuspjeha najmanje jednog prethodnog hemioterapijskog režima. Kod pacijenata sa tumorima bez aktivirajućih mutacija EGFR-a, </w:t>
      </w:r>
      <w:r w:rsidRPr="00BB0A8B">
        <w:rPr>
          <w:rFonts w:asciiTheme="majorBidi" w:hAnsiTheme="majorBidi" w:cstheme="majorBidi"/>
          <w:bCs/>
          <w:sz w:val="22"/>
          <w:szCs w:val="22"/>
          <w:lang w:val="sr-Latn-ME"/>
        </w:rPr>
        <w:t xml:space="preserve">lijek </w:t>
      </w:r>
      <w:r w:rsidR="00996D14" w:rsidRPr="00BB0A8B">
        <w:rPr>
          <w:rFonts w:asciiTheme="majorBidi" w:hAnsiTheme="majorBidi" w:cstheme="majorBidi"/>
          <w:bCs/>
          <w:sz w:val="22"/>
          <w:szCs w:val="22"/>
          <w:lang w:val="sr-Latn-ME"/>
        </w:rPr>
        <w:t>Erlotinib Actavis je indikovan kada se druge opcije li</w:t>
      </w:r>
      <w:r w:rsidRPr="00BB0A8B">
        <w:rPr>
          <w:rFonts w:asciiTheme="majorBidi" w:hAnsiTheme="majorBidi" w:cstheme="majorBidi"/>
          <w:bCs/>
          <w:sz w:val="22"/>
          <w:szCs w:val="22"/>
          <w:lang w:val="sr-Latn-ME"/>
        </w:rPr>
        <w:t>j</w:t>
      </w:r>
      <w:r w:rsidR="00996D14" w:rsidRPr="00BB0A8B">
        <w:rPr>
          <w:rFonts w:asciiTheme="majorBidi" w:hAnsiTheme="majorBidi" w:cstheme="majorBidi"/>
          <w:bCs/>
          <w:sz w:val="22"/>
          <w:szCs w:val="22"/>
          <w:lang w:val="sr-Latn-ME"/>
        </w:rPr>
        <w:t>ečenja ne smatraju prikladnim.</w:t>
      </w:r>
    </w:p>
    <w:p w:rsidR="00996D14" w:rsidRPr="00BB0A8B" w:rsidRDefault="00996D14" w:rsidP="00BB0A8B">
      <w:pPr>
        <w:tabs>
          <w:tab w:val="left" w:pos="540"/>
          <w:tab w:val="left" w:pos="569"/>
        </w:tabs>
        <w:jc w:val="both"/>
        <w:rPr>
          <w:rFonts w:asciiTheme="majorBidi" w:hAnsiTheme="majorBidi" w:cstheme="majorBidi"/>
          <w:bCs/>
          <w:sz w:val="22"/>
          <w:szCs w:val="22"/>
          <w:lang w:val="sr-Latn-ME"/>
        </w:rPr>
      </w:pPr>
    </w:p>
    <w:p w:rsidR="00996D14" w:rsidRPr="00BB0A8B" w:rsidRDefault="00996D14"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Prilikom propisivanja lijeka Erlotinib Actavis treba uzeti u obzir faktore povezane sa produženim preživljavanjem.</w:t>
      </w:r>
    </w:p>
    <w:p w:rsidR="00996D14" w:rsidRPr="00BB0A8B" w:rsidRDefault="00996D14" w:rsidP="00BB0A8B">
      <w:pPr>
        <w:tabs>
          <w:tab w:val="left" w:pos="540"/>
          <w:tab w:val="left" w:pos="569"/>
        </w:tabs>
        <w:jc w:val="both"/>
        <w:rPr>
          <w:rFonts w:asciiTheme="majorBidi" w:hAnsiTheme="majorBidi" w:cstheme="majorBidi"/>
          <w:bCs/>
          <w:sz w:val="22"/>
          <w:szCs w:val="22"/>
          <w:lang w:val="sr-Latn-ME"/>
        </w:rPr>
      </w:pPr>
    </w:p>
    <w:p w:rsidR="00996D14" w:rsidRPr="00BB0A8B" w:rsidRDefault="00996D14"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Kod pacijenata sa EGFR-IHC negativnim tumorima (EGFR - receptor za epidermalni faktor rasta) nije dokazano produženje preživljavanja ni drugi klinički relevantni efekti liječenja (vidjeti </w:t>
      </w:r>
      <w:r w:rsidR="00300BB8"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5.1).</w:t>
      </w:r>
    </w:p>
    <w:p w:rsidR="00996D14" w:rsidRPr="00BB0A8B" w:rsidRDefault="00996D14" w:rsidP="00BB0A8B">
      <w:pPr>
        <w:tabs>
          <w:tab w:val="left" w:pos="540"/>
          <w:tab w:val="left" w:pos="569"/>
        </w:tabs>
        <w:jc w:val="both"/>
        <w:rPr>
          <w:rFonts w:asciiTheme="majorBidi" w:hAnsiTheme="majorBidi" w:cstheme="majorBidi"/>
          <w:bCs/>
          <w:sz w:val="22"/>
          <w:szCs w:val="22"/>
          <w:lang w:val="sr-Latn-ME"/>
        </w:rPr>
      </w:pPr>
    </w:p>
    <w:p w:rsidR="00996D14" w:rsidRDefault="00996D14"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Karcinom pankreasa </w:t>
      </w:r>
    </w:p>
    <w:p w:rsidR="00BB0A8B" w:rsidRPr="00BB0A8B" w:rsidRDefault="00BB0A8B" w:rsidP="00BB0A8B">
      <w:pPr>
        <w:tabs>
          <w:tab w:val="left" w:pos="540"/>
          <w:tab w:val="left" w:pos="569"/>
        </w:tabs>
        <w:jc w:val="both"/>
        <w:rPr>
          <w:rFonts w:asciiTheme="majorBidi" w:hAnsiTheme="majorBidi" w:cstheme="majorBidi"/>
          <w:bCs/>
          <w:sz w:val="22"/>
          <w:szCs w:val="22"/>
          <w:u w:val="single"/>
          <w:lang w:val="sr-Latn-ME"/>
        </w:rPr>
      </w:pPr>
    </w:p>
    <w:p w:rsidR="00996D14" w:rsidRPr="00BB0A8B" w:rsidRDefault="00300BB8"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Lijek </w:t>
      </w:r>
      <w:r w:rsidR="00996D14" w:rsidRPr="00BB0A8B">
        <w:rPr>
          <w:rFonts w:asciiTheme="majorBidi" w:hAnsiTheme="majorBidi" w:cstheme="majorBidi"/>
          <w:bCs/>
          <w:sz w:val="22"/>
          <w:szCs w:val="22"/>
          <w:lang w:val="sr-Latn-ME"/>
        </w:rPr>
        <w:t>Erlotinib Actavis je u kombinaciji sa gemcitabinom indikovan za liječenje pacijenata sa metastatskim karcinomom pankreasa.</w:t>
      </w:r>
    </w:p>
    <w:p w:rsidR="00996D14" w:rsidRPr="00BB0A8B" w:rsidRDefault="00996D14" w:rsidP="00BB0A8B">
      <w:pPr>
        <w:tabs>
          <w:tab w:val="left" w:pos="540"/>
          <w:tab w:val="left" w:pos="569"/>
        </w:tabs>
        <w:jc w:val="both"/>
        <w:rPr>
          <w:rFonts w:asciiTheme="majorBidi" w:hAnsiTheme="majorBidi" w:cstheme="majorBidi"/>
          <w:bCs/>
          <w:sz w:val="22"/>
          <w:szCs w:val="22"/>
          <w:lang w:val="sr-Latn-ME"/>
        </w:rPr>
      </w:pPr>
    </w:p>
    <w:p w:rsidR="00996D14" w:rsidRPr="00BB0A8B" w:rsidRDefault="00996D14"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Prilikom propisivanja lijeka Erlotinib Actavis trebalo bi uzeti u obzir faktore povezane sa produženim preživljavanjem (vidjeti </w:t>
      </w:r>
      <w:r w:rsidR="00300BB8" w:rsidRPr="00BB0A8B">
        <w:rPr>
          <w:rFonts w:asciiTheme="majorBidi" w:hAnsiTheme="majorBidi" w:cstheme="majorBidi"/>
          <w:bCs/>
          <w:sz w:val="22"/>
          <w:szCs w:val="22"/>
          <w:lang w:val="sr-Latn-ME"/>
        </w:rPr>
        <w:t xml:space="preserve">djelove </w:t>
      </w:r>
      <w:r w:rsidRPr="00BB0A8B">
        <w:rPr>
          <w:rFonts w:asciiTheme="majorBidi" w:hAnsiTheme="majorBidi" w:cstheme="majorBidi"/>
          <w:bCs/>
          <w:sz w:val="22"/>
          <w:szCs w:val="22"/>
          <w:lang w:val="sr-Latn-ME"/>
        </w:rPr>
        <w:t>4.2 i 5.1).</w:t>
      </w:r>
    </w:p>
    <w:p w:rsidR="00996D14" w:rsidRPr="00BB0A8B" w:rsidRDefault="00996D14" w:rsidP="00BB0A8B">
      <w:pPr>
        <w:tabs>
          <w:tab w:val="left" w:pos="540"/>
          <w:tab w:val="left" w:pos="569"/>
        </w:tabs>
        <w:jc w:val="both"/>
        <w:rPr>
          <w:rFonts w:asciiTheme="majorBidi" w:hAnsiTheme="majorBidi" w:cstheme="majorBidi"/>
          <w:bCs/>
          <w:sz w:val="22"/>
          <w:szCs w:val="22"/>
          <w:lang w:val="sr-Latn-ME"/>
        </w:rPr>
      </w:pPr>
    </w:p>
    <w:p w:rsidR="00996D14" w:rsidRPr="00BB0A8B" w:rsidRDefault="00996D14"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Kod pacijenata sa lokalno uznapredovalom bolešću nije dokazano produženje preživljavanja.</w:t>
      </w:r>
    </w:p>
    <w:p w:rsidR="00411B4B" w:rsidRPr="00BB0A8B" w:rsidRDefault="00411B4B" w:rsidP="00BB0A8B">
      <w:pPr>
        <w:tabs>
          <w:tab w:val="left" w:pos="540"/>
          <w:tab w:val="left" w:pos="569"/>
        </w:tabs>
        <w:rPr>
          <w:rFonts w:asciiTheme="majorBidi" w:hAnsiTheme="majorBidi" w:cstheme="majorBidi"/>
          <w:bCs/>
          <w:sz w:val="22"/>
          <w:szCs w:val="22"/>
          <w:lang w:val="sr-Latn-ME"/>
        </w:rPr>
      </w:pPr>
    </w:p>
    <w:p w:rsidR="00411B4B" w:rsidRPr="00BB0A8B" w:rsidRDefault="00411B4B"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4.2.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Doziranje i način primjene</w:t>
      </w:r>
    </w:p>
    <w:p w:rsidR="0072020E" w:rsidRPr="00BB0A8B" w:rsidRDefault="0072020E" w:rsidP="00BB0A8B">
      <w:pPr>
        <w:tabs>
          <w:tab w:val="left" w:pos="540"/>
          <w:tab w:val="left" w:pos="569"/>
        </w:tabs>
        <w:rPr>
          <w:rFonts w:asciiTheme="majorBidi" w:hAnsiTheme="majorBidi" w:cstheme="majorBidi"/>
          <w:bCs/>
          <w:sz w:val="22"/>
          <w:szCs w:val="22"/>
          <w:lang w:val="sr-Latn-ME"/>
        </w:rPr>
      </w:pP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Terapiju lijekom Erlotinib Actavis trebalo bi da nadzire ljekar sa iskustvom u primjeni </w:t>
      </w:r>
      <w:r w:rsidR="001E3D7C" w:rsidRPr="00BB0A8B">
        <w:rPr>
          <w:rFonts w:asciiTheme="majorBidi" w:hAnsiTheme="majorBidi" w:cstheme="majorBidi"/>
          <w:bCs/>
          <w:sz w:val="22"/>
          <w:szCs w:val="22"/>
          <w:lang w:val="sr-Latn-ME"/>
        </w:rPr>
        <w:t xml:space="preserve">antikarcinomske </w:t>
      </w:r>
      <w:r w:rsidRPr="00BB0A8B">
        <w:rPr>
          <w:rFonts w:asciiTheme="majorBidi" w:hAnsiTheme="majorBidi" w:cstheme="majorBidi"/>
          <w:bCs/>
          <w:sz w:val="22"/>
          <w:szCs w:val="22"/>
          <w:lang w:val="sr-Latn-ME"/>
        </w:rPr>
        <w:t>terapije.</w:t>
      </w: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p>
    <w:p w:rsidR="00740054" w:rsidRDefault="00740054"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Pacijenti sa nemikrocelularnim karcinomom pluća</w:t>
      </w:r>
    </w:p>
    <w:p w:rsidR="00BB0A8B" w:rsidRPr="00BB0A8B" w:rsidRDefault="00BB0A8B" w:rsidP="00BB0A8B">
      <w:pPr>
        <w:tabs>
          <w:tab w:val="left" w:pos="540"/>
          <w:tab w:val="left" w:pos="569"/>
        </w:tabs>
        <w:jc w:val="both"/>
        <w:rPr>
          <w:rFonts w:asciiTheme="majorBidi" w:hAnsiTheme="majorBidi" w:cstheme="majorBidi"/>
          <w:bCs/>
          <w:sz w:val="22"/>
          <w:szCs w:val="22"/>
          <w:u w:val="single"/>
          <w:lang w:val="sr-Latn-ME"/>
        </w:rPr>
      </w:pP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Potrebno je uraditi testiranje na EGFR mutaciju u skladu sa odobrenim indikacijama (vidjeti </w:t>
      </w:r>
      <w:r w:rsidR="001E3D7C"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4.1).</w:t>
      </w: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Preporučena dnevna doza lijeka Erlotinib Actavis iznosi 150 mg, a uzima se najmanje sat vremena prije ili dva sata nakon unošenja hrane.</w:t>
      </w: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p>
    <w:p w:rsidR="00740054" w:rsidRDefault="00740054"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Pacijenti sa karcinomom pankreasa</w:t>
      </w:r>
    </w:p>
    <w:p w:rsidR="00BB0A8B" w:rsidRPr="00BB0A8B" w:rsidRDefault="00BB0A8B" w:rsidP="00BB0A8B">
      <w:pPr>
        <w:tabs>
          <w:tab w:val="left" w:pos="540"/>
          <w:tab w:val="left" w:pos="569"/>
        </w:tabs>
        <w:jc w:val="both"/>
        <w:rPr>
          <w:rFonts w:asciiTheme="majorBidi" w:hAnsiTheme="majorBidi" w:cstheme="majorBidi"/>
          <w:bCs/>
          <w:sz w:val="22"/>
          <w:szCs w:val="22"/>
          <w:u w:val="single"/>
          <w:lang w:val="sr-Latn-ME"/>
        </w:rPr>
      </w:pP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Preporučena dnevna doza lijeka Erlotinib Actavis iznosi 100 mg prim</w:t>
      </w:r>
      <w:r w:rsidR="001E3D7C" w:rsidRPr="00BB0A8B">
        <w:rPr>
          <w:rFonts w:asciiTheme="majorBidi" w:hAnsiTheme="majorBidi" w:cstheme="majorBidi"/>
          <w:bCs/>
          <w:sz w:val="22"/>
          <w:szCs w:val="22"/>
          <w:lang w:val="sr-Latn-ME"/>
        </w:rPr>
        <w:t>i</w:t>
      </w:r>
      <w:r w:rsidRPr="00BB0A8B">
        <w:rPr>
          <w:rFonts w:asciiTheme="majorBidi" w:hAnsiTheme="majorBidi" w:cstheme="majorBidi"/>
          <w:bCs/>
          <w:sz w:val="22"/>
          <w:szCs w:val="22"/>
          <w:lang w:val="sr-Latn-ME"/>
        </w:rPr>
        <w:t xml:space="preserve">jenjena najmanje jedan sat prije ili dva sata nakon obroka, u kombinaciji sa gemcitabinom (pogledajte Sažetak karakteristika lijeka gemcitabina za indikaciju karcinom pankreasa). Kod pacijenata kod kojih se ne razvije osip u prvih 4 do 8 nedjelja terapije, dalje </w:t>
      </w:r>
      <w:r w:rsidR="001E3D7C" w:rsidRPr="00BB0A8B">
        <w:rPr>
          <w:rFonts w:asciiTheme="majorBidi" w:hAnsiTheme="majorBidi" w:cstheme="majorBidi"/>
          <w:bCs/>
          <w:sz w:val="22"/>
          <w:szCs w:val="22"/>
          <w:lang w:val="sr-Latn-ME"/>
        </w:rPr>
        <w:t xml:space="preserve">liječenje </w:t>
      </w:r>
      <w:r w:rsidRPr="00BB0A8B">
        <w:rPr>
          <w:rFonts w:asciiTheme="majorBidi" w:hAnsiTheme="majorBidi" w:cstheme="majorBidi"/>
          <w:bCs/>
          <w:sz w:val="22"/>
          <w:szCs w:val="22"/>
          <w:lang w:val="sr-Latn-ME"/>
        </w:rPr>
        <w:t xml:space="preserve">lijekom Erlotinib Actavis je potrebno ponovo procijeniti (vidjeti </w:t>
      </w:r>
      <w:r w:rsidR="001E3D7C"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5.1).</w:t>
      </w: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Kada je potrebno prilagođavanje doze, treba </w:t>
      </w:r>
      <w:r w:rsidR="001E3D7C" w:rsidRPr="00BB0A8B">
        <w:rPr>
          <w:rFonts w:asciiTheme="majorBidi" w:hAnsiTheme="majorBidi" w:cstheme="majorBidi"/>
          <w:bCs/>
          <w:sz w:val="22"/>
          <w:szCs w:val="22"/>
          <w:lang w:val="sr-Latn-ME"/>
        </w:rPr>
        <w:t xml:space="preserve">je </w:t>
      </w:r>
      <w:r w:rsidRPr="00BB0A8B">
        <w:rPr>
          <w:rFonts w:asciiTheme="majorBidi" w:hAnsiTheme="majorBidi" w:cstheme="majorBidi"/>
          <w:bCs/>
          <w:sz w:val="22"/>
          <w:szCs w:val="22"/>
          <w:lang w:val="sr-Latn-ME"/>
        </w:rPr>
        <w:t xml:space="preserve">postupno smanjivati za 50 mg (vidjeti </w:t>
      </w:r>
      <w:r w:rsidR="001E3D7C"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4.4).</w:t>
      </w: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p>
    <w:p w:rsidR="00740054" w:rsidRPr="00BB0A8B" w:rsidRDefault="001E3D7C"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Lijek </w:t>
      </w:r>
      <w:r w:rsidR="00740054" w:rsidRPr="00BB0A8B">
        <w:rPr>
          <w:rFonts w:asciiTheme="majorBidi" w:hAnsiTheme="majorBidi" w:cstheme="majorBidi"/>
          <w:bCs/>
          <w:sz w:val="22"/>
          <w:szCs w:val="22"/>
          <w:lang w:val="sr-Latn-ME"/>
        </w:rPr>
        <w:t>Erlotinib Actavis je dostupan u jačinama od 25 mg, 100 mg i 150 mg.</w:t>
      </w: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Pri istovremenoj primjeni supstrata i modulatora CYP3A4 možda će biti potrebno prilagođavanje doze</w:t>
      </w: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(vidjeti </w:t>
      </w:r>
      <w:r w:rsidR="001E3D7C"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4.5).</w:t>
      </w: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p>
    <w:p w:rsidR="00740054" w:rsidRDefault="00740054"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lastRenderedPageBreak/>
        <w:t>Pacijenti sa oštećenom funkcijom jetre</w:t>
      </w:r>
    </w:p>
    <w:p w:rsidR="00BB0A8B" w:rsidRPr="00BB0A8B" w:rsidRDefault="00BB0A8B" w:rsidP="00BB0A8B">
      <w:pPr>
        <w:tabs>
          <w:tab w:val="left" w:pos="540"/>
          <w:tab w:val="left" w:pos="569"/>
        </w:tabs>
        <w:jc w:val="both"/>
        <w:rPr>
          <w:rFonts w:asciiTheme="majorBidi" w:hAnsiTheme="majorBidi" w:cstheme="majorBidi"/>
          <w:bCs/>
          <w:sz w:val="22"/>
          <w:szCs w:val="22"/>
          <w:u w:val="single"/>
          <w:lang w:val="sr-Latn-ME"/>
        </w:rPr>
      </w:pP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Erlotinib se eliminiše metaboliziranjem u jetri i bilijarnom ekskrecijom. Iako je izloženost erlotinibu kod pacijenata sa umjerenim oštećenjem funkcije jetre (</w:t>
      </w:r>
      <w:r w:rsidRPr="00BB0A8B">
        <w:rPr>
          <w:rFonts w:asciiTheme="majorBidi" w:hAnsiTheme="majorBidi" w:cstheme="majorBidi"/>
          <w:bCs/>
          <w:i/>
          <w:sz w:val="22"/>
          <w:szCs w:val="22"/>
          <w:lang w:val="sr-Latn-ME"/>
        </w:rPr>
        <w:t>Child-Pugh</w:t>
      </w:r>
      <w:r w:rsidRPr="00BB0A8B">
        <w:rPr>
          <w:rFonts w:asciiTheme="majorBidi" w:hAnsiTheme="majorBidi" w:cstheme="majorBidi"/>
          <w:bCs/>
          <w:sz w:val="22"/>
          <w:szCs w:val="22"/>
          <w:lang w:val="sr-Latn-ME"/>
        </w:rPr>
        <w:t xml:space="preserve"> indeks 7 – 9) bila slična onoj kod pacijenata sa normalnom funkcijom jetre, potreban je oprez prilikom primjene lijeka Erlotinib Actavis kod pacijenata sa oštećenjem funkcije jetre. Ako se pojave </w:t>
      </w:r>
      <w:r w:rsidR="001E3D7C" w:rsidRPr="00BB0A8B">
        <w:rPr>
          <w:rFonts w:asciiTheme="majorBidi" w:hAnsiTheme="majorBidi" w:cstheme="majorBidi"/>
          <w:bCs/>
          <w:sz w:val="22"/>
          <w:szCs w:val="22"/>
          <w:lang w:val="sr-Latn-ME"/>
        </w:rPr>
        <w:t xml:space="preserve">teška </w:t>
      </w:r>
      <w:r w:rsidRPr="00BB0A8B">
        <w:rPr>
          <w:rFonts w:asciiTheme="majorBidi" w:hAnsiTheme="majorBidi" w:cstheme="majorBidi"/>
          <w:bCs/>
          <w:sz w:val="22"/>
          <w:szCs w:val="22"/>
          <w:lang w:val="sr-Latn-ME"/>
        </w:rPr>
        <w:t xml:space="preserve">neželjena dejstva trebalo bi razmotriti smanjenje doze ili prekid terapije lijekom Erlotinib Actavis. Bezbjednost i efikasnost erlotiniba kod pacijenata sa </w:t>
      </w:r>
      <w:r w:rsidR="001E3D7C" w:rsidRPr="00BB0A8B">
        <w:rPr>
          <w:rFonts w:asciiTheme="majorBidi" w:hAnsiTheme="majorBidi" w:cstheme="majorBidi"/>
          <w:bCs/>
          <w:sz w:val="22"/>
          <w:szCs w:val="22"/>
          <w:lang w:val="sr-Latn-ME"/>
        </w:rPr>
        <w:t xml:space="preserve">teškim </w:t>
      </w:r>
      <w:r w:rsidRPr="00BB0A8B">
        <w:rPr>
          <w:rFonts w:asciiTheme="majorBidi" w:hAnsiTheme="majorBidi" w:cstheme="majorBidi"/>
          <w:bCs/>
          <w:sz w:val="22"/>
          <w:szCs w:val="22"/>
          <w:lang w:val="sr-Latn-ME"/>
        </w:rPr>
        <w:t xml:space="preserve">poremećajima funkcije jetre (AST/SGOT i ALT/SGPT &gt; 5 x gornja granica normale) nije ispitana. Ne preporučuje se primjena kod pacijenata sa </w:t>
      </w:r>
      <w:r w:rsidR="001E3D7C" w:rsidRPr="00BB0A8B">
        <w:rPr>
          <w:rFonts w:asciiTheme="majorBidi" w:hAnsiTheme="majorBidi" w:cstheme="majorBidi"/>
          <w:bCs/>
          <w:sz w:val="22"/>
          <w:szCs w:val="22"/>
          <w:lang w:val="sr-Latn-ME"/>
        </w:rPr>
        <w:t xml:space="preserve">teškim </w:t>
      </w:r>
      <w:r w:rsidRPr="00BB0A8B">
        <w:rPr>
          <w:rFonts w:asciiTheme="majorBidi" w:hAnsiTheme="majorBidi" w:cstheme="majorBidi"/>
          <w:bCs/>
          <w:sz w:val="22"/>
          <w:szCs w:val="22"/>
          <w:lang w:val="sr-Latn-ME"/>
        </w:rPr>
        <w:t xml:space="preserve">poremećajima funkcije jetre (vidjeti </w:t>
      </w:r>
      <w:r w:rsidR="001E3D7C"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5.2).</w:t>
      </w: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p>
    <w:p w:rsidR="00740054" w:rsidRDefault="00740054"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Pacijenti sa oštećenom funkcijom bubrega</w:t>
      </w:r>
    </w:p>
    <w:p w:rsidR="00BB0A8B" w:rsidRPr="00BB0A8B" w:rsidRDefault="00BB0A8B" w:rsidP="00BB0A8B">
      <w:pPr>
        <w:tabs>
          <w:tab w:val="left" w:pos="540"/>
          <w:tab w:val="left" w:pos="569"/>
        </w:tabs>
        <w:jc w:val="both"/>
        <w:rPr>
          <w:rFonts w:asciiTheme="majorBidi" w:hAnsiTheme="majorBidi" w:cstheme="majorBidi"/>
          <w:bCs/>
          <w:sz w:val="22"/>
          <w:szCs w:val="22"/>
          <w:u w:val="single"/>
          <w:lang w:val="sr-Latn-ME"/>
        </w:rPr>
      </w:pP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Bezbjednost i efikasnost erlotiniba nije ispitana kod pacijenata sa oštećenom funkcijom bubrega (koncentracija serumskog kreatinina &gt; 1,5 puta od gornje granice normale). Na osnovu farmakokinetičkih podataka nije potrebno prilagođavanje doze kod pacijenata sa blagim ili</w:t>
      </w:r>
      <w:r w:rsidR="001E3D7C" w:rsidRPr="00BB0A8B">
        <w:rPr>
          <w:rFonts w:asciiTheme="majorBidi" w:hAnsiTheme="majorBidi" w:cstheme="majorBidi"/>
          <w:bCs/>
          <w:sz w:val="22"/>
          <w:szCs w:val="22"/>
          <w:lang w:val="sr-Latn-ME"/>
        </w:rPr>
        <w:t xml:space="preserve"> </w:t>
      </w:r>
      <w:r w:rsidRPr="00BB0A8B">
        <w:rPr>
          <w:rFonts w:asciiTheme="majorBidi" w:hAnsiTheme="majorBidi" w:cstheme="majorBidi"/>
          <w:bCs/>
          <w:sz w:val="22"/>
          <w:szCs w:val="22"/>
          <w:lang w:val="sr-Latn-ME"/>
        </w:rPr>
        <w:t xml:space="preserve">umjerenim oštećenjem bubrega (vidjeti </w:t>
      </w:r>
      <w:r w:rsidR="001E3D7C"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 xml:space="preserve">5.2). Ne preporučuje se primjena </w:t>
      </w:r>
      <w:r w:rsidR="001E3D7C" w:rsidRPr="00BB0A8B">
        <w:rPr>
          <w:rFonts w:asciiTheme="majorBidi" w:hAnsiTheme="majorBidi" w:cstheme="majorBidi"/>
          <w:bCs/>
          <w:sz w:val="22"/>
          <w:szCs w:val="22"/>
          <w:lang w:val="sr-Latn-ME"/>
        </w:rPr>
        <w:t xml:space="preserve">lijeka </w:t>
      </w:r>
      <w:r w:rsidRPr="00BB0A8B">
        <w:rPr>
          <w:rFonts w:asciiTheme="majorBidi" w:hAnsiTheme="majorBidi" w:cstheme="majorBidi"/>
          <w:bCs/>
          <w:sz w:val="22"/>
          <w:szCs w:val="22"/>
          <w:lang w:val="sr-Latn-ME"/>
        </w:rPr>
        <w:t>Erlotinib Actavis kod pacijenata s teškim oštećenjem bubrega.</w:t>
      </w: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p>
    <w:p w:rsidR="00740054" w:rsidRDefault="00740054"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Pedijatrijska populacija</w:t>
      </w:r>
    </w:p>
    <w:p w:rsidR="00BB0A8B" w:rsidRPr="00BB0A8B" w:rsidRDefault="00BB0A8B" w:rsidP="00BB0A8B">
      <w:pPr>
        <w:tabs>
          <w:tab w:val="left" w:pos="540"/>
          <w:tab w:val="left" w:pos="569"/>
        </w:tabs>
        <w:jc w:val="both"/>
        <w:rPr>
          <w:rFonts w:asciiTheme="majorBidi" w:hAnsiTheme="majorBidi" w:cstheme="majorBidi"/>
          <w:bCs/>
          <w:sz w:val="22"/>
          <w:szCs w:val="22"/>
          <w:u w:val="single"/>
          <w:lang w:val="sr-Latn-ME"/>
        </w:rPr>
      </w:pP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Bezbjednost i efikasnost erlotiniba u odobrenim indikacijama kod pacijenata mlađih od 18 godina nijesu dokazane. Primjena lijeka Erlotinib Actavis se ne preporučuje se kod pedijatrijskih pacijenata.</w:t>
      </w:r>
    </w:p>
    <w:p w:rsidR="00740054" w:rsidRPr="00BB0A8B" w:rsidRDefault="00740054" w:rsidP="00BB0A8B">
      <w:pPr>
        <w:tabs>
          <w:tab w:val="left" w:pos="540"/>
          <w:tab w:val="left" w:pos="569"/>
        </w:tabs>
        <w:jc w:val="both"/>
        <w:rPr>
          <w:rFonts w:asciiTheme="majorBidi" w:hAnsiTheme="majorBidi" w:cstheme="majorBidi"/>
          <w:bCs/>
          <w:sz w:val="22"/>
          <w:szCs w:val="22"/>
          <w:lang w:val="sr-Latn-ME"/>
        </w:rPr>
      </w:pPr>
    </w:p>
    <w:p w:rsidR="00740054" w:rsidRDefault="00740054"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Pušači</w:t>
      </w:r>
    </w:p>
    <w:p w:rsidR="00BB0A8B" w:rsidRPr="00BB0A8B" w:rsidRDefault="00BB0A8B" w:rsidP="00BB0A8B">
      <w:pPr>
        <w:tabs>
          <w:tab w:val="left" w:pos="540"/>
          <w:tab w:val="left" w:pos="569"/>
        </w:tabs>
        <w:jc w:val="both"/>
        <w:rPr>
          <w:rFonts w:asciiTheme="majorBidi" w:hAnsiTheme="majorBidi" w:cstheme="majorBidi"/>
          <w:bCs/>
          <w:sz w:val="22"/>
          <w:szCs w:val="22"/>
          <w:u w:val="single"/>
          <w:lang w:val="sr-Latn-ME"/>
        </w:rPr>
      </w:pPr>
    </w:p>
    <w:p w:rsidR="00452E9D" w:rsidRPr="00BB0A8B" w:rsidRDefault="00740054"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Pokazalo se da pušenje cigareta smanjuje izloženost erlotinibu za 50 do 60%. Maksimalna podnošljiva doza lijeka Erlotinib Actavis kod pacijenata pušača sa nemikrocelularnim karcinomom pluća iznosi 300 mg. Doza od 300 mg nije povećala efikasnost terapije druge linije nakon neuspjeha hemioterapije u poređenju sa dozom od 150 mg kod pacijenata koji nastave sa pušenjem cigareta. Podaci o bezbjednosti su bili uporedivi među dozama od 300 mg i 150 mg; ipak</w:t>
      </w:r>
      <w:r w:rsidR="001E3D7C" w:rsidRPr="00BB0A8B">
        <w:rPr>
          <w:rFonts w:asciiTheme="majorBidi" w:hAnsiTheme="majorBidi" w:cstheme="majorBidi"/>
          <w:bCs/>
          <w:sz w:val="22"/>
          <w:szCs w:val="22"/>
          <w:lang w:val="sr-Latn-ME"/>
        </w:rPr>
        <w:t>,</w:t>
      </w:r>
      <w:r w:rsidRPr="00BB0A8B">
        <w:rPr>
          <w:rFonts w:asciiTheme="majorBidi" w:hAnsiTheme="majorBidi" w:cstheme="majorBidi"/>
          <w:bCs/>
          <w:sz w:val="22"/>
          <w:szCs w:val="22"/>
          <w:lang w:val="sr-Latn-ME"/>
        </w:rPr>
        <w:t xml:space="preserve"> postojao je značajan porast incidence osipa, intersticijalne bolesti pluća i dijereje kod pacijenata koji su primili veće doze erlotiniba. Pušačima treba savjetovati da prestanu sa pušenjem (vidjeti </w:t>
      </w:r>
      <w:r w:rsidR="001E3D7C" w:rsidRPr="00BB0A8B">
        <w:rPr>
          <w:rFonts w:asciiTheme="majorBidi" w:hAnsiTheme="majorBidi" w:cstheme="majorBidi"/>
          <w:bCs/>
          <w:sz w:val="22"/>
          <w:szCs w:val="22"/>
          <w:lang w:val="sr-Latn-ME"/>
        </w:rPr>
        <w:t xml:space="preserve">djelove </w:t>
      </w:r>
      <w:r w:rsidRPr="00BB0A8B">
        <w:rPr>
          <w:rFonts w:asciiTheme="majorBidi" w:hAnsiTheme="majorBidi" w:cstheme="majorBidi"/>
          <w:bCs/>
          <w:sz w:val="22"/>
          <w:szCs w:val="22"/>
          <w:lang w:val="sr-Latn-ME"/>
        </w:rPr>
        <w:t>4.4, 4.5, 5.1 i 5.2).</w:t>
      </w:r>
    </w:p>
    <w:p w:rsidR="00740054" w:rsidRPr="00BB0A8B" w:rsidRDefault="00740054" w:rsidP="00BB0A8B">
      <w:pPr>
        <w:tabs>
          <w:tab w:val="left" w:pos="540"/>
          <w:tab w:val="left" w:pos="569"/>
        </w:tabs>
        <w:rPr>
          <w:rFonts w:asciiTheme="majorBidi" w:hAnsiTheme="majorBidi" w:cstheme="majorBidi"/>
          <w:b/>
          <w:bCs/>
          <w:sz w:val="22"/>
          <w:szCs w:val="22"/>
          <w:lang w:val="sr-Latn-ME"/>
        </w:rPr>
      </w:pPr>
    </w:p>
    <w:p w:rsidR="00411B4B" w:rsidRPr="00BB0A8B" w:rsidRDefault="00411B4B"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4.3.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Kontraindikacije</w:t>
      </w:r>
    </w:p>
    <w:p w:rsidR="0072020E" w:rsidRPr="00BB0A8B" w:rsidRDefault="0072020E" w:rsidP="00BB0A8B">
      <w:pPr>
        <w:tabs>
          <w:tab w:val="left" w:pos="540"/>
          <w:tab w:val="left" w:pos="569"/>
        </w:tabs>
        <w:rPr>
          <w:rFonts w:asciiTheme="majorBidi" w:hAnsiTheme="majorBidi" w:cstheme="majorBidi"/>
          <w:bCs/>
          <w:sz w:val="22"/>
          <w:szCs w:val="22"/>
          <w:lang w:val="sr-Latn-ME"/>
        </w:rPr>
      </w:pPr>
    </w:p>
    <w:p w:rsidR="00740054" w:rsidRPr="00BB0A8B" w:rsidRDefault="00740054" w:rsidP="00BB0A8B">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Preosjetljivost na erlotinib ili </w:t>
      </w:r>
      <w:r w:rsidR="00872866" w:rsidRPr="00BB0A8B">
        <w:rPr>
          <w:rFonts w:asciiTheme="majorBidi" w:hAnsiTheme="majorBidi" w:cstheme="majorBidi"/>
          <w:bCs/>
          <w:sz w:val="22"/>
          <w:szCs w:val="22"/>
          <w:lang w:val="sr-Latn-ME"/>
        </w:rPr>
        <w:t xml:space="preserve">na </w:t>
      </w:r>
      <w:r w:rsidRPr="00BB0A8B">
        <w:rPr>
          <w:rFonts w:asciiTheme="majorBidi" w:hAnsiTheme="majorBidi" w:cstheme="majorBidi"/>
          <w:bCs/>
          <w:sz w:val="22"/>
          <w:szCs w:val="22"/>
          <w:lang w:val="sr-Latn-ME"/>
        </w:rPr>
        <w:t xml:space="preserve">neku od pomoćnih supstanci navedenih u </w:t>
      </w:r>
      <w:r w:rsidR="00872866" w:rsidRPr="00BB0A8B">
        <w:rPr>
          <w:rFonts w:asciiTheme="majorBidi" w:hAnsiTheme="majorBidi" w:cstheme="majorBidi"/>
          <w:bCs/>
          <w:sz w:val="22"/>
          <w:szCs w:val="22"/>
          <w:lang w:val="sr-Latn-ME"/>
        </w:rPr>
        <w:t xml:space="preserve">dijelu </w:t>
      </w:r>
      <w:r w:rsidRPr="00BB0A8B">
        <w:rPr>
          <w:rFonts w:asciiTheme="majorBidi" w:hAnsiTheme="majorBidi" w:cstheme="majorBidi"/>
          <w:bCs/>
          <w:sz w:val="22"/>
          <w:szCs w:val="22"/>
          <w:lang w:val="sr-Latn-ME"/>
        </w:rPr>
        <w:t>6.1.</w:t>
      </w:r>
    </w:p>
    <w:p w:rsidR="00740054" w:rsidRPr="00BB0A8B" w:rsidRDefault="00740054" w:rsidP="00BB0A8B">
      <w:pPr>
        <w:tabs>
          <w:tab w:val="left" w:pos="540"/>
          <w:tab w:val="left" w:pos="569"/>
        </w:tabs>
        <w:rPr>
          <w:rFonts w:asciiTheme="majorBidi" w:hAnsiTheme="majorBidi" w:cstheme="majorBidi"/>
          <w:bCs/>
          <w:sz w:val="22"/>
          <w:szCs w:val="22"/>
          <w:lang w:val="sr-Latn-ME"/>
        </w:rPr>
      </w:pPr>
    </w:p>
    <w:p w:rsidR="00411B4B" w:rsidRPr="00BB0A8B" w:rsidRDefault="00411B4B"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4.4.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Posebna upozorenja i mjere opreza pri upotrebi lijeka</w:t>
      </w:r>
    </w:p>
    <w:p w:rsidR="0072020E" w:rsidRPr="00BB0A8B" w:rsidRDefault="0072020E" w:rsidP="00BB0A8B">
      <w:pPr>
        <w:tabs>
          <w:tab w:val="left" w:pos="540"/>
          <w:tab w:val="left" w:pos="569"/>
        </w:tabs>
        <w:rPr>
          <w:rFonts w:asciiTheme="majorBidi" w:hAnsiTheme="majorBidi" w:cstheme="majorBidi"/>
          <w:bCs/>
          <w:sz w:val="22"/>
          <w:szCs w:val="22"/>
          <w:lang w:val="sr-Latn-ME"/>
        </w:rPr>
      </w:pPr>
    </w:p>
    <w:p w:rsidR="000F3979" w:rsidRPr="00BB0A8B" w:rsidRDefault="000F3979" w:rsidP="00BB0A8B">
      <w:pPr>
        <w:tabs>
          <w:tab w:val="left" w:pos="540"/>
          <w:tab w:val="left" w:pos="569"/>
        </w:tabs>
        <w:jc w:val="both"/>
        <w:rPr>
          <w:rFonts w:asciiTheme="majorBidi" w:hAnsiTheme="majorBidi" w:cstheme="majorBidi"/>
          <w:sz w:val="22"/>
          <w:szCs w:val="22"/>
          <w:u w:val="single"/>
          <w:lang w:val="sr-Latn-ME"/>
        </w:rPr>
      </w:pPr>
      <w:r w:rsidRPr="00BB0A8B">
        <w:rPr>
          <w:rFonts w:asciiTheme="majorBidi" w:hAnsiTheme="majorBidi" w:cstheme="majorBidi"/>
          <w:sz w:val="22"/>
          <w:szCs w:val="22"/>
          <w:u w:val="single"/>
          <w:lang w:val="sr-Latn-ME"/>
        </w:rPr>
        <w:t xml:space="preserve">Procjena statusa EGFR mutacija </w:t>
      </w:r>
    </w:p>
    <w:p w:rsidR="007E53C2" w:rsidRPr="00BB0A8B" w:rsidRDefault="007E53C2" w:rsidP="00BB0A8B">
      <w:pPr>
        <w:tabs>
          <w:tab w:val="left" w:pos="540"/>
          <w:tab w:val="left" w:pos="569"/>
        </w:tabs>
        <w:jc w:val="both"/>
        <w:rPr>
          <w:rFonts w:asciiTheme="majorBidi" w:hAnsiTheme="majorBidi" w:cstheme="majorBidi"/>
          <w:sz w:val="22"/>
          <w:szCs w:val="22"/>
          <w:u w:val="single"/>
          <w:lang w:val="sr-Latn-ME"/>
        </w:rPr>
      </w:pPr>
    </w:p>
    <w:p w:rsidR="000F3979" w:rsidRPr="00BB0A8B" w:rsidRDefault="000F3979" w:rsidP="00BB0A8B">
      <w:pPr>
        <w:tabs>
          <w:tab w:val="left" w:pos="540"/>
          <w:tab w:val="left" w:pos="569"/>
        </w:tabs>
        <w:jc w:val="both"/>
        <w:rPr>
          <w:rFonts w:asciiTheme="majorBidi" w:hAnsiTheme="majorBidi" w:cstheme="majorBidi"/>
          <w:sz w:val="22"/>
          <w:szCs w:val="22"/>
          <w:lang w:val="sr-Latn-ME"/>
        </w:rPr>
      </w:pPr>
      <w:r w:rsidRPr="00BB0A8B">
        <w:rPr>
          <w:rFonts w:asciiTheme="majorBidi" w:hAnsiTheme="majorBidi" w:cstheme="majorBidi"/>
          <w:sz w:val="22"/>
          <w:szCs w:val="22"/>
          <w:lang w:val="sr-Latn-ME"/>
        </w:rPr>
        <w:t>Kada se razmatra primjena lijeka Erlotinib Actavis kao terapije prvog izbora ili terapije održavanja kod pacijenata sa lokalno uznapredovalim ili metastatskim nemikrocelularnim karcinomom pluća, važno je odrediti status EGFR mutacija.</w:t>
      </w:r>
    </w:p>
    <w:p w:rsidR="000F3979" w:rsidRPr="00BB0A8B" w:rsidRDefault="000F3979" w:rsidP="00BB0A8B">
      <w:pPr>
        <w:tabs>
          <w:tab w:val="left" w:pos="540"/>
          <w:tab w:val="left" w:pos="569"/>
        </w:tabs>
        <w:jc w:val="both"/>
        <w:rPr>
          <w:rFonts w:asciiTheme="majorBidi" w:hAnsiTheme="majorBidi" w:cstheme="majorBidi"/>
          <w:sz w:val="22"/>
          <w:szCs w:val="22"/>
          <w:lang w:val="sr-Latn-ME"/>
        </w:rPr>
      </w:pPr>
    </w:p>
    <w:p w:rsidR="000F3979" w:rsidRPr="00BB0A8B" w:rsidRDefault="000F3979" w:rsidP="00BB0A8B">
      <w:pPr>
        <w:tabs>
          <w:tab w:val="left" w:pos="540"/>
          <w:tab w:val="left" w:pos="569"/>
        </w:tabs>
        <w:jc w:val="both"/>
        <w:rPr>
          <w:rFonts w:asciiTheme="majorBidi" w:hAnsiTheme="majorBidi" w:cstheme="majorBidi"/>
          <w:sz w:val="22"/>
          <w:szCs w:val="22"/>
          <w:lang w:val="sr-Latn-ME"/>
        </w:rPr>
      </w:pPr>
      <w:r w:rsidRPr="00BB0A8B">
        <w:rPr>
          <w:rFonts w:asciiTheme="majorBidi" w:hAnsiTheme="majorBidi" w:cstheme="majorBidi"/>
          <w:sz w:val="22"/>
          <w:szCs w:val="22"/>
          <w:lang w:val="sr-Latn-ME"/>
        </w:rPr>
        <w:t xml:space="preserve">Potrebno je koristiti validiranu, robusnu, pouzdanu i osjetljivu metodu sa prethodno predviđenim pragom pozitivnosti i dokazanom korisnošću za određivanje statusa EGFR mutacija koristeći ili tumorski DNK iz uzorka tkiva ili </w:t>
      </w:r>
      <w:r w:rsidR="00634507" w:rsidRPr="00BB0A8B">
        <w:rPr>
          <w:rFonts w:asciiTheme="majorBidi" w:hAnsiTheme="majorBidi" w:cstheme="majorBidi"/>
          <w:sz w:val="22"/>
          <w:szCs w:val="22"/>
          <w:lang w:val="sr-Latn-ME"/>
        </w:rPr>
        <w:t xml:space="preserve">cirkulišuću slobodnu </w:t>
      </w:r>
      <w:r w:rsidRPr="00BB0A8B">
        <w:rPr>
          <w:rFonts w:asciiTheme="majorBidi" w:hAnsiTheme="majorBidi" w:cstheme="majorBidi"/>
          <w:sz w:val="22"/>
          <w:szCs w:val="22"/>
          <w:lang w:val="sr-Latn-ME"/>
        </w:rPr>
        <w:t xml:space="preserve">DNK (cfDNK) </w:t>
      </w:r>
      <w:r w:rsidR="00261193" w:rsidRPr="00BB0A8B">
        <w:rPr>
          <w:rFonts w:asciiTheme="majorBidi" w:hAnsiTheme="majorBidi" w:cstheme="majorBidi"/>
          <w:sz w:val="22"/>
          <w:szCs w:val="22"/>
          <w:lang w:val="sr-Latn-ME"/>
        </w:rPr>
        <w:t xml:space="preserve">dobijenu </w:t>
      </w:r>
      <w:r w:rsidRPr="00BB0A8B">
        <w:rPr>
          <w:rFonts w:asciiTheme="majorBidi" w:hAnsiTheme="majorBidi" w:cstheme="majorBidi"/>
          <w:sz w:val="22"/>
          <w:szCs w:val="22"/>
          <w:lang w:val="sr-Latn-ME"/>
        </w:rPr>
        <w:t>iz uzorka krvi (plazme), koju je potrebno obaviti u skladu sa lokalnom medicin</w:t>
      </w:r>
      <w:r w:rsidR="00634507" w:rsidRPr="00BB0A8B">
        <w:rPr>
          <w:rFonts w:asciiTheme="majorBidi" w:hAnsiTheme="majorBidi" w:cstheme="majorBidi"/>
          <w:sz w:val="22"/>
          <w:szCs w:val="22"/>
          <w:lang w:val="sr-Latn-ME"/>
        </w:rPr>
        <w:t>s</w:t>
      </w:r>
      <w:r w:rsidRPr="00BB0A8B">
        <w:rPr>
          <w:rFonts w:asciiTheme="majorBidi" w:hAnsiTheme="majorBidi" w:cstheme="majorBidi"/>
          <w:sz w:val="22"/>
          <w:szCs w:val="22"/>
          <w:lang w:val="sr-Latn-ME"/>
        </w:rPr>
        <w:t>kom praksom.</w:t>
      </w:r>
    </w:p>
    <w:p w:rsidR="000F3979" w:rsidRPr="00BB0A8B" w:rsidRDefault="000F3979" w:rsidP="00BB0A8B">
      <w:pPr>
        <w:tabs>
          <w:tab w:val="left" w:pos="540"/>
          <w:tab w:val="left" w:pos="569"/>
        </w:tabs>
        <w:jc w:val="both"/>
        <w:rPr>
          <w:rFonts w:asciiTheme="majorBidi" w:hAnsiTheme="majorBidi" w:cstheme="majorBidi"/>
          <w:sz w:val="22"/>
          <w:szCs w:val="22"/>
          <w:lang w:val="sr-Latn-ME"/>
        </w:rPr>
      </w:pPr>
    </w:p>
    <w:p w:rsidR="000F3979" w:rsidRPr="00BB0A8B" w:rsidRDefault="000F3979" w:rsidP="00BB0A8B">
      <w:pPr>
        <w:tabs>
          <w:tab w:val="left" w:pos="540"/>
          <w:tab w:val="left" w:pos="569"/>
        </w:tabs>
        <w:jc w:val="both"/>
        <w:rPr>
          <w:rFonts w:asciiTheme="majorBidi" w:hAnsiTheme="majorBidi" w:cstheme="majorBidi"/>
          <w:sz w:val="22"/>
          <w:szCs w:val="22"/>
          <w:lang w:val="sr-Latn-ME"/>
        </w:rPr>
      </w:pPr>
      <w:r w:rsidRPr="00BB0A8B">
        <w:rPr>
          <w:rFonts w:asciiTheme="majorBidi" w:hAnsiTheme="majorBidi" w:cstheme="majorBidi"/>
          <w:sz w:val="22"/>
          <w:szCs w:val="22"/>
          <w:lang w:val="sr-Latn-ME"/>
        </w:rPr>
        <w:t xml:space="preserve">Ako se koristi cfDNK test na osnovu plazmatskog uzorka i rezultat je negativan na aktivirajuće mutacije, </w:t>
      </w:r>
      <w:r w:rsidR="00261193" w:rsidRPr="00BB0A8B">
        <w:rPr>
          <w:rFonts w:asciiTheme="majorBidi" w:hAnsiTheme="majorBidi" w:cstheme="majorBidi"/>
          <w:sz w:val="22"/>
          <w:szCs w:val="22"/>
          <w:lang w:val="sr-Latn-ME"/>
        </w:rPr>
        <w:t>spro</w:t>
      </w:r>
      <w:r w:rsidR="00634507" w:rsidRPr="00BB0A8B">
        <w:rPr>
          <w:rFonts w:asciiTheme="majorBidi" w:hAnsiTheme="majorBidi" w:cstheme="majorBidi"/>
          <w:sz w:val="22"/>
          <w:szCs w:val="22"/>
          <w:lang w:val="sr-Latn-ME"/>
        </w:rPr>
        <w:t xml:space="preserve">vesti </w:t>
      </w:r>
      <w:r w:rsidRPr="00BB0A8B">
        <w:rPr>
          <w:rFonts w:asciiTheme="majorBidi" w:hAnsiTheme="majorBidi" w:cstheme="majorBidi"/>
          <w:sz w:val="22"/>
          <w:szCs w:val="22"/>
          <w:lang w:val="sr-Latn-ME"/>
        </w:rPr>
        <w:t>test na osnovu uzorka tkiva kada god je to moguće</w:t>
      </w:r>
      <w:r w:rsidR="00261193" w:rsidRPr="00BB0A8B">
        <w:rPr>
          <w:rFonts w:asciiTheme="majorBidi" w:hAnsiTheme="majorBidi" w:cstheme="majorBidi"/>
          <w:sz w:val="22"/>
          <w:szCs w:val="22"/>
          <w:lang w:val="sr-Latn-ME"/>
        </w:rPr>
        <w:t>,</w:t>
      </w:r>
      <w:r w:rsidRPr="00BB0A8B">
        <w:rPr>
          <w:rFonts w:asciiTheme="majorBidi" w:hAnsiTheme="majorBidi" w:cstheme="majorBidi"/>
          <w:sz w:val="22"/>
          <w:szCs w:val="22"/>
          <w:lang w:val="sr-Latn-ME"/>
        </w:rPr>
        <w:t xml:space="preserve"> zbog potencijalno lažnih negativnih rezultata iz testa na osnovu uzorka plazme.</w:t>
      </w:r>
    </w:p>
    <w:p w:rsidR="00BB0A8B" w:rsidRDefault="00BB0A8B" w:rsidP="00BB0A8B">
      <w:pPr>
        <w:tabs>
          <w:tab w:val="left" w:pos="540"/>
          <w:tab w:val="left" w:pos="569"/>
        </w:tabs>
        <w:jc w:val="both"/>
        <w:rPr>
          <w:rFonts w:asciiTheme="majorBidi" w:hAnsiTheme="majorBidi" w:cstheme="majorBidi"/>
          <w:sz w:val="22"/>
          <w:szCs w:val="22"/>
          <w:u w:val="single"/>
          <w:lang w:val="sr-Latn-ME"/>
        </w:rPr>
      </w:pPr>
    </w:p>
    <w:p w:rsidR="000F3979" w:rsidRPr="00BB0A8B" w:rsidRDefault="000F3979" w:rsidP="00BB0A8B">
      <w:pPr>
        <w:tabs>
          <w:tab w:val="left" w:pos="540"/>
          <w:tab w:val="left" w:pos="569"/>
        </w:tabs>
        <w:jc w:val="both"/>
        <w:rPr>
          <w:rFonts w:asciiTheme="majorBidi" w:hAnsiTheme="majorBidi" w:cstheme="majorBidi"/>
          <w:sz w:val="22"/>
          <w:szCs w:val="22"/>
          <w:u w:val="single"/>
          <w:lang w:val="sr-Latn-ME"/>
        </w:rPr>
      </w:pPr>
      <w:r w:rsidRPr="00BB0A8B">
        <w:rPr>
          <w:rFonts w:asciiTheme="majorBidi" w:hAnsiTheme="majorBidi" w:cstheme="majorBidi"/>
          <w:sz w:val="22"/>
          <w:szCs w:val="22"/>
          <w:u w:val="single"/>
          <w:lang w:val="sr-Latn-ME"/>
        </w:rPr>
        <w:t xml:space="preserve">Pušači </w:t>
      </w:r>
    </w:p>
    <w:p w:rsidR="007E53C2" w:rsidRPr="00BB0A8B" w:rsidRDefault="007E53C2" w:rsidP="00BB0A8B">
      <w:pPr>
        <w:tabs>
          <w:tab w:val="left" w:pos="540"/>
          <w:tab w:val="left" w:pos="569"/>
        </w:tabs>
        <w:jc w:val="both"/>
        <w:rPr>
          <w:rFonts w:asciiTheme="majorBidi" w:hAnsiTheme="majorBidi" w:cstheme="majorBidi"/>
          <w:sz w:val="22"/>
          <w:szCs w:val="22"/>
          <w:u w:val="single"/>
          <w:lang w:val="sr-Latn-ME"/>
        </w:rPr>
      </w:pPr>
    </w:p>
    <w:p w:rsidR="000F3979" w:rsidRPr="00BB0A8B" w:rsidRDefault="000F3979" w:rsidP="00BB0A8B">
      <w:pPr>
        <w:tabs>
          <w:tab w:val="left" w:pos="540"/>
          <w:tab w:val="left" w:pos="569"/>
        </w:tabs>
        <w:jc w:val="both"/>
        <w:rPr>
          <w:rFonts w:asciiTheme="majorBidi" w:hAnsiTheme="majorBidi" w:cstheme="majorBidi"/>
          <w:sz w:val="22"/>
          <w:szCs w:val="22"/>
          <w:lang w:val="sr-Latn-ME"/>
        </w:rPr>
      </w:pPr>
      <w:r w:rsidRPr="00BB0A8B">
        <w:rPr>
          <w:rFonts w:asciiTheme="majorBidi" w:hAnsiTheme="majorBidi" w:cstheme="majorBidi"/>
          <w:sz w:val="22"/>
          <w:szCs w:val="22"/>
          <w:lang w:val="sr-Latn-ME"/>
        </w:rPr>
        <w:lastRenderedPageBreak/>
        <w:t xml:space="preserve">Pušačima treba savjetovati da prestanu sa pušenjem jer je ustanovljeno da je koncentracija erlotiniba u plazmi pušača značajno manja u poređenju sa koncentracijom kod nepušača. Stepen smanjenja je vjerovatno klinički značajan (vidjeti </w:t>
      </w:r>
      <w:r w:rsidR="00634507" w:rsidRPr="00BB0A8B">
        <w:rPr>
          <w:rFonts w:asciiTheme="majorBidi" w:hAnsiTheme="majorBidi" w:cstheme="majorBidi"/>
          <w:sz w:val="22"/>
          <w:szCs w:val="22"/>
          <w:lang w:val="sr-Latn-ME"/>
        </w:rPr>
        <w:t xml:space="preserve">djelove </w:t>
      </w:r>
      <w:r w:rsidRPr="00BB0A8B">
        <w:rPr>
          <w:rFonts w:asciiTheme="majorBidi" w:hAnsiTheme="majorBidi" w:cstheme="majorBidi"/>
          <w:sz w:val="22"/>
          <w:szCs w:val="22"/>
          <w:lang w:val="sr-Latn-ME"/>
        </w:rPr>
        <w:t xml:space="preserve">4.2, 4.5, 5.1 i 5.2). </w:t>
      </w:r>
    </w:p>
    <w:p w:rsidR="00D74D18" w:rsidRPr="00BB0A8B" w:rsidRDefault="00D74D18" w:rsidP="00BB0A8B">
      <w:pPr>
        <w:tabs>
          <w:tab w:val="left" w:pos="540"/>
          <w:tab w:val="left" w:pos="569"/>
        </w:tabs>
        <w:rPr>
          <w:rFonts w:asciiTheme="majorBidi" w:hAnsiTheme="majorBidi" w:cstheme="majorBidi"/>
          <w:bCs/>
          <w:sz w:val="22"/>
          <w:szCs w:val="22"/>
          <w:u w:val="single"/>
          <w:lang w:val="sr-Latn-ME"/>
        </w:rPr>
      </w:pPr>
    </w:p>
    <w:p w:rsidR="00D74D18" w:rsidRPr="00BB0A8B" w:rsidRDefault="00D74D18" w:rsidP="00BB0A8B">
      <w:pPr>
        <w:tabs>
          <w:tab w:val="left" w:pos="540"/>
          <w:tab w:val="left" w:pos="569"/>
        </w:tabs>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Intersticijalna bolest pluća </w:t>
      </w:r>
    </w:p>
    <w:p w:rsidR="00D74D18" w:rsidRPr="00BB0A8B" w:rsidRDefault="00D74D18" w:rsidP="00BB0A8B">
      <w:pPr>
        <w:tabs>
          <w:tab w:val="left" w:pos="540"/>
          <w:tab w:val="left" w:pos="569"/>
        </w:tabs>
        <w:rPr>
          <w:rFonts w:asciiTheme="majorBidi" w:hAnsiTheme="majorBidi" w:cstheme="majorBidi"/>
          <w:bCs/>
          <w:sz w:val="22"/>
          <w:szCs w:val="22"/>
          <w:lang w:val="sr-Latn-ME"/>
        </w:rPr>
      </w:pPr>
    </w:p>
    <w:p w:rsidR="00D74D18" w:rsidRPr="00BB0A8B" w:rsidRDefault="00D74D18"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Slučajevi slični intersticijalnoj bolesti pluća (ILD, eng</w:t>
      </w:r>
      <w:r w:rsidR="00634507" w:rsidRPr="00BB0A8B">
        <w:rPr>
          <w:rFonts w:asciiTheme="majorBidi" w:hAnsiTheme="majorBidi" w:cstheme="majorBidi"/>
          <w:bCs/>
          <w:sz w:val="22"/>
          <w:szCs w:val="22"/>
          <w:lang w:val="sr-Latn-ME"/>
        </w:rPr>
        <w:t>l</w:t>
      </w:r>
      <w:r w:rsidRPr="00BB0A8B">
        <w:rPr>
          <w:rFonts w:asciiTheme="majorBidi" w:hAnsiTheme="majorBidi" w:cstheme="majorBidi"/>
          <w:bCs/>
          <w:sz w:val="22"/>
          <w:szCs w:val="22"/>
          <w:lang w:val="sr-Latn-ME"/>
        </w:rPr>
        <w:t>.</w:t>
      </w:r>
      <w:r w:rsidRPr="00BB0A8B">
        <w:rPr>
          <w:rFonts w:asciiTheme="majorBidi" w:hAnsiTheme="majorBidi" w:cstheme="majorBidi"/>
          <w:bCs/>
          <w:i/>
          <w:sz w:val="22"/>
          <w:szCs w:val="22"/>
          <w:lang w:val="sr-Latn-ME"/>
        </w:rPr>
        <w:t xml:space="preserve"> Interstitial Lung Desease</w:t>
      </w:r>
      <w:r w:rsidRPr="00BB0A8B">
        <w:rPr>
          <w:rFonts w:asciiTheme="majorBidi" w:hAnsiTheme="majorBidi" w:cstheme="majorBidi"/>
          <w:bCs/>
          <w:sz w:val="22"/>
          <w:szCs w:val="22"/>
          <w:lang w:val="sr-Latn-ME"/>
        </w:rPr>
        <w:t>), uključujući i slučajeve sa smrtnim ishodom, su povremeno prijavljivani kod pacijenata koji primaju erlotinib za liječenje nemikrocelularnog karcinoma pluća (NSCLC), karcinoma pankreasa ili drugih uznapredovalih solidnih tumora. U pivotalnoj studiji BR.21 kod pacijenata sa nemikrocelularnim karcinomom pluća incidenca pojave intersticijalne bolesti pluća (0,8%) bila je ista u grupama koje su primale placebo i grupama koje su primale erlotinib. U meta</w:t>
      </w:r>
      <w:r w:rsidR="00634507" w:rsidRPr="00BB0A8B">
        <w:rPr>
          <w:rFonts w:asciiTheme="majorBidi" w:hAnsiTheme="majorBidi" w:cstheme="majorBidi"/>
          <w:bCs/>
          <w:sz w:val="22"/>
          <w:szCs w:val="22"/>
          <w:lang w:val="sr-Latn-ME"/>
        </w:rPr>
        <w:t>-</w:t>
      </w:r>
      <w:r w:rsidRPr="00BB0A8B">
        <w:rPr>
          <w:rFonts w:asciiTheme="majorBidi" w:hAnsiTheme="majorBidi" w:cstheme="majorBidi"/>
          <w:bCs/>
          <w:sz w:val="22"/>
          <w:szCs w:val="22"/>
          <w:lang w:val="sr-Latn-ME"/>
        </w:rPr>
        <w:t xml:space="preserve">analizi kontrolisanih kliničkih ispitivanja kod nemikrocelularnog karcinoma pluća (isključujući studije faze I </w:t>
      </w:r>
      <w:r w:rsidR="00634507" w:rsidRPr="00BB0A8B">
        <w:rPr>
          <w:rFonts w:asciiTheme="majorBidi" w:hAnsiTheme="majorBidi" w:cstheme="majorBidi"/>
          <w:bCs/>
          <w:sz w:val="22"/>
          <w:szCs w:val="22"/>
          <w:lang w:val="sr-Latn-ME"/>
        </w:rPr>
        <w:t xml:space="preserve">i </w:t>
      </w:r>
      <w:r w:rsidRPr="00BB0A8B">
        <w:rPr>
          <w:rFonts w:asciiTheme="majorBidi" w:hAnsiTheme="majorBidi" w:cstheme="majorBidi"/>
          <w:bCs/>
          <w:sz w:val="22"/>
          <w:szCs w:val="22"/>
          <w:lang w:val="sr-Latn-ME"/>
        </w:rPr>
        <w:t>studije faze II sa jednom grupom, usl</w:t>
      </w:r>
      <w:r w:rsidR="00634507" w:rsidRPr="00BB0A8B">
        <w:rPr>
          <w:rFonts w:asciiTheme="majorBidi" w:hAnsiTheme="majorBidi" w:cstheme="majorBidi"/>
          <w:bCs/>
          <w:sz w:val="22"/>
          <w:szCs w:val="22"/>
          <w:lang w:val="sr-Latn-ME"/>
        </w:rPr>
        <w:t>j</w:t>
      </w:r>
      <w:r w:rsidRPr="00BB0A8B">
        <w:rPr>
          <w:rFonts w:asciiTheme="majorBidi" w:hAnsiTheme="majorBidi" w:cstheme="majorBidi"/>
          <w:bCs/>
          <w:sz w:val="22"/>
          <w:szCs w:val="22"/>
          <w:lang w:val="sr-Latn-ME"/>
        </w:rPr>
        <w:t>ed nedostatka kontrolne grupe) incidenca slučajeva sličnih intersticijalnoj bolesti pluća iznosila je 0,9 % u grupi koja je primala erlotinib u odnosu na 0,4% kod pacijenata u kontrolnoj grupi. U kliničkoj studiji sa pacijenatima sa karcinomom pankreasa incidenca</w:t>
      </w:r>
      <w:r w:rsidR="00634507" w:rsidRPr="00BB0A8B">
        <w:rPr>
          <w:rFonts w:asciiTheme="majorBidi" w:hAnsiTheme="majorBidi" w:cstheme="majorBidi"/>
          <w:bCs/>
          <w:sz w:val="22"/>
          <w:szCs w:val="22"/>
          <w:lang w:val="sr-Latn-ME"/>
        </w:rPr>
        <w:t xml:space="preserve"> </w:t>
      </w:r>
      <w:r w:rsidRPr="00BB0A8B">
        <w:rPr>
          <w:rFonts w:asciiTheme="majorBidi" w:hAnsiTheme="majorBidi" w:cstheme="majorBidi"/>
          <w:bCs/>
          <w:sz w:val="22"/>
          <w:szCs w:val="22"/>
          <w:lang w:val="sr-Latn-ME"/>
        </w:rPr>
        <w:t>slučajeva sličnih ILD iznosila je 2,5 % kod pacijenata koji su primali gemcitabin u kombinaciji sa erlotinibom, u odnosu na 0</w:t>
      </w:r>
      <w:r w:rsidR="00634507" w:rsidRPr="00BB0A8B">
        <w:rPr>
          <w:rFonts w:asciiTheme="majorBidi" w:hAnsiTheme="majorBidi" w:cstheme="majorBidi"/>
          <w:bCs/>
          <w:sz w:val="22"/>
          <w:szCs w:val="22"/>
          <w:lang w:val="sr-Latn-ME"/>
        </w:rPr>
        <w:t>,</w:t>
      </w:r>
      <w:r w:rsidRPr="00BB0A8B">
        <w:rPr>
          <w:rFonts w:asciiTheme="majorBidi" w:hAnsiTheme="majorBidi" w:cstheme="majorBidi"/>
          <w:bCs/>
          <w:sz w:val="22"/>
          <w:szCs w:val="22"/>
          <w:lang w:val="sr-Latn-ME"/>
        </w:rPr>
        <w:t xml:space="preserve">4% kod pacijenata koji su primali gemcitabin u kombinaciji sa placebom. Kod pacijenata za koje se sumnjalo da imaju simptome slične ILD, prijavljene su sljedeće dijagnoze: pneumonitis, radijacioni pneumonitis, alergijski pneumonitis, intersticijalna pneumonija, intersticijalna bolest pluća, obliterativni bronhiolitis, plućna fibroza, akutni respiratorni distres sindrom (ARDS), alveolitis i infiltracija pluća. Simptomi su započinjali od nekoliko dana do nekoliko mjeseci od početka terapije </w:t>
      </w:r>
      <w:r w:rsidR="00261193" w:rsidRPr="00BB0A8B">
        <w:rPr>
          <w:rFonts w:asciiTheme="majorBidi" w:hAnsiTheme="majorBidi" w:cstheme="majorBidi"/>
          <w:bCs/>
          <w:sz w:val="22"/>
          <w:szCs w:val="22"/>
          <w:lang w:val="sr-Latn-ME"/>
        </w:rPr>
        <w:t>erlotinibom</w:t>
      </w:r>
      <w:r w:rsidRPr="00BB0A8B">
        <w:rPr>
          <w:rFonts w:asciiTheme="majorBidi" w:hAnsiTheme="majorBidi" w:cstheme="majorBidi"/>
          <w:bCs/>
          <w:sz w:val="22"/>
          <w:szCs w:val="22"/>
          <w:lang w:val="sr-Latn-ME"/>
        </w:rPr>
        <w:t xml:space="preserve">. Učestali su bili i ometajući faktori (engl. </w:t>
      </w:r>
      <w:r w:rsidRPr="00BB0A8B">
        <w:rPr>
          <w:rFonts w:asciiTheme="majorBidi" w:hAnsiTheme="majorBidi" w:cstheme="majorBidi"/>
          <w:bCs/>
          <w:i/>
          <w:sz w:val="22"/>
          <w:szCs w:val="22"/>
          <w:lang w:val="sr-Latn-ME"/>
        </w:rPr>
        <w:t>confounding factor</w:t>
      </w:r>
      <w:r w:rsidR="00261193" w:rsidRPr="00BB0A8B">
        <w:rPr>
          <w:rFonts w:asciiTheme="majorBidi" w:hAnsiTheme="majorBidi" w:cstheme="majorBidi"/>
          <w:bCs/>
          <w:i/>
          <w:sz w:val="22"/>
          <w:szCs w:val="22"/>
          <w:lang w:val="sr-Latn-ME"/>
        </w:rPr>
        <w:t>s</w:t>
      </w:r>
      <w:r w:rsidRPr="00BB0A8B">
        <w:rPr>
          <w:rFonts w:asciiTheme="majorBidi" w:hAnsiTheme="majorBidi" w:cstheme="majorBidi"/>
          <w:bCs/>
          <w:sz w:val="22"/>
          <w:szCs w:val="22"/>
          <w:lang w:val="sr-Latn-ME"/>
        </w:rPr>
        <w:t xml:space="preserve">) ili doprinoseći faktori (engl. </w:t>
      </w:r>
      <w:r w:rsidRPr="00BB0A8B">
        <w:rPr>
          <w:rFonts w:asciiTheme="majorBidi" w:hAnsiTheme="majorBidi" w:cstheme="majorBidi"/>
          <w:bCs/>
          <w:i/>
          <w:sz w:val="22"/>
          <w:szCs w:val="22"/>
          <w:lang w:val="sr-Latn-ME"/>
        </w:rPr>
        <w:t>contributing factor</w:t>
      </w:r>
      <w:r w:rsidR="00261193" w:rsidRPr="00BB0A8B">
        <w:rPr>
          <w:rFonts w:asciiTheme="majorBidi" w:hAnsiTheme="majorBidi" w:cstheme="majorBidi"/>
          <w:bCs/>
          <w:i/>
          <w:sz w:val="22"/>
          <w:szCs w:val="22"/>
          <w:lang w:val="sr-Latn-ME"/>
        </w:rPr>
        <w:t>s</w:t>
      </w:r>
      <w:r w:rsidRPr="00BB0A8B">
        <w:rPr>
          <w:rFonts w:asciiTheme="majorBidi" w:hAnsiTheme="majorBidi" w:cstheme="majorBidi"/>
          <w:bCs/>
          <w:sz w:val="22"/>
          <w:szCs w:val="22"/>
          <w:lang w:val="sr-Latn-ME"/>
        </w:rPr>
        <w:t>), kao što su istovremena ili prethodna hem</w:t>
      </w:r>
      <w:r w:rsidR="00261193" w:rsidRPr="00BB0A8B">
        <w:rPr>
          <w:rFonts w:asciiTheme="majorBidi" w:hAnsiTheme="majorBidi" w:cstheme="majorBidi"/>
          <w:bCs/>
          <w:sz w:val="22"/>
          <w:szCs w:val="22"/>
          <w:lang w:val="sr-Latn-ME"/>
        </w:rPr>
        <w:t>i</w:t>
      </w:r>
      <w:r w:rsidRPr="00BB0A8B">
        <w:rPr>
          <w:rFonts w:asciiTheme="majorBidi" w:hAnsiTheme="majorBidi" w:cstheme="majorBidi"/>
          <w:bCs/>
          <w:sz w:val="22"/>
          <w:szCs w:val="22"/>
          <w:lang w:val="sr-Latn-ME"/>
        </w:rPr>
        <w:t>oterapija, prethodna radijaciona terapija, prethodno postojeće oboljenje plućnog parenhima, metastatsko oboljenje pluća ili plućne infekcije. Veća incidenca ILD (približno 5% sa stopom smrtnosti 1,5%) uočava se među pacijentima u kliničkim studijama koje su se sprovodile u Japanu.</w:t>
      </w:r>
    </w:p>
    <w:p w:rsidR="00D74D18" w:rsidRPr="00BB0A8B" w:rsidRDefault="00D74D18" w:rsidP="00BB0A8B">
      <w:pPr>
        <w:tabs>
          <w:tab w:val="left" w:pos="540"/>
          <w:tab w:val="left" w:pos="569"/>
        </w:tabs>
        <w:jc w:val="both"/>
        <w:rPr>
          <w:rFonts w:asciiTheme="majorBidi" w:hAnsiTheme="majorBidi" w:cstheme="majorBidi"/>
          <w:bCs/>
          <w:sz w:val="22"/>
          <w:szCs w:val="22"/>
          <w:lang w:val="sr-Latn-ME"/>
        </w:rPr>
      </w:pPr>
    </w:p>
    <w:p w:rsidR="00D74D18" w:rsidRPr="00BB0A8B" w:rsidRDefault="00D74D18"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Kod pacijenata kod kojih se razviju akutni novi i/ili progresivni neobjašnjeni plućni simptomi, kao što su dispnea, kašalj ili groznica, potrebno je obustaviti terapiju erlotinibom dok se ne uradi dijagnostička procjena. </w:t>
      </w:r>
      <w:r w:rsidR="00634507" w:rsidRPr="00BB0A8B">
        <w:rPr>
          <w:rFonts w:asciiTheme="majorBidi" w:hAnsiTheme="majorBidi" w:cstheme="majorBidi"/>
          <w:bCs/>
          <w:sz w:val="22"/>
          <w:szCs w:val="22"/>
          <w:lang w:val="sr-Latn-ME"/>
        </w:rPr>
        <w:t xml:space="preserve">Pacijente </w:t>
      </w:r>
      <w:r w:rsidRPr="00BB0A8B">
        <w:rPr>
          <w:rFonts w:asciiTheme="majorBidi" w:hAnsiTheme="majorBidi" w:cstheme="majorBidi"/>
          <w:bCs/>
          <w:sz w:val="22"/>
          <w:szCs w:val="22"/>
          <w:lang w:val="sr-Latn-ME"/>
        </w:rPr>
        <w:t xml:space="preserve">koji su istovremeno liječeni erlotinibom i gemcitabinom treba </w:t>
      </w:r>
      <w:r w:rsidR="00634507" w:rsidRPr="00BB0A8B">
        <w:rPr>
          <w:rFonts w:asciiTheme="majorBidi" w:hAnsiTheme="majorBidi" w:cstheme="majorBidi"/>
          <w:bCs/>
          <w:sz w:val="22"/>
          <w:szCs w:val="22"/>
          <w:lang w:val="sr-Latn-ME"/>
        </w:rPr>
        <w:t xml:space="preserve">pažljivo </w:t>
      </w:r>
      <w:r w:rsidRPr="00BB0A8B">
        <w:rPr>
          <w:rFonts w:asciiTheme="majorBidi" w:hAnsiTheme="majorBidi" w:cstheme="majorBidi"/>
          <w:bCs/>
          <w:sz w:val="22"/>
          <w:szCs w:val="22"/>
          <w:lang w:val="sr-Latn-ME"/>
        </w:rPr>
        <w:t xml:space="preserve">pratiti zbog mogućnosti razvoja toksičnih simptoma sličnih intersticijalnoj bolesti pluća. Ako se dijagnostikuje ILD, potrebno je prekinuti terapiju lijekom Erlotinib Actavis i započeti odgovarajuće liječenje po potrebi (vidjeti </w:t>
      </w:r>
      <w:r w:rsidR="00634507"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4.8).</w:t>
      </w:r>
    </w:p>
    <w:p w:rsidR="00057E35" w:rsidRPr="00BB0A8B" w:rsidRDefault="00057E35" w:rsidP="00BB0A8B">
      <w:pPr>
        <w:tabs>
          <w:tab w:val="left" w:pos="540"/>
          <w:tab w:val="left" w:pos="569"/>
        </w:tabs>
        <w:jc w:val="both"/>
        <w:rPr>
          <w:rFonts w:asciiTheme="majorBidi" w:hAnsiTheme="majorBidi" w:cstheme="majorBidi"/>
          <w:bCs/>
          <w:sz w:val="22"/>
          <w:szCs w:val="22"/>
          <w:lang w:val="sr-Latn-ME"/>
        </w:rPr>
      </w:pPr>
    </w:p>
    <w:p w:rsidR="007E53C2" w:rsidRPr="00BB0A8B" w:rsidRDefault="007E53C2"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Dijareja, dehidracija, disbalans elektrolita i bubrežna insuficijencija </w:t>
      </w:r>
    </w:p>
    <w:p w:rsidR="007E53C2" w:rsidRPr="00BB0A8B" w:rsidRDefault="007E53C2" w:rsidP="00BB0A8B">
      <w:pPr>
        <w:tabs>
          <w:tab w:val="left" w:pos="540"/>
          <w:tab w:val="left" w:pos="569"/>
        </w:tabs>
        <w:jc w:val="both"/>
        <w:rPr>
          <w:rFonts w:asciiTheme="majorBidi" w:hAnsiTheme="majorBidi" w:cstheme="majorBidi"/>
          <w:bCs/>
          <w:sz w:val="22"/>
          <w:szCs w:val="22"/>
          <w:u w:val="single"/>
          <w:lang w:val="sr-Latn-ME"/>
        </w:rPr>
      </w:pPr>
    </w:p>
    <w:p w:rsidR="007E53C2" w:rsidRPr="00BB0A8B" w:rsidRDefault="007E53C2"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Dijareja (uključujući veoma r</w:t>
      </w:r>
      <w:r w:rsidR="00634507" w:rsidRPr="00BB0A8B">
        <w:rPr>
          <w:rFonts w:asciiTheme="majorBidi" w:hAnsiTheme="majorBidi" w:cstheme="majorBidi"/>
          <w:bCs/>
          <w:sz w:val="22"/>
          <w:szCs w:val="22"/>
          <w:lang w:val="sr-Latn-ME"/>
        </w:rPr>
        <w:t>ij</w:t>
      </w:r>
      <w:r w:rsidRPr="00BB0A8B">
        <w:rPr>
          <w:rFonts w:asciiTheme="majorBidi" w:hAnsiTheme="majorBidi" w:cstheme="majorBidi"/>
          <w:bCs/>
          <w:sz w:val="22"/>
          <w:szCs w:val="22"/>
          <w:lang w:val="sr-Latn-ME"/>
        </w:rPr>
        <w:t xml:space="preserve">etke slučajeve sa fatalnim ishodom) zabilježena je kod približno 50% pacijenata na terapiji </w:t>
      </w:r>
      <w:r w:rsidR="00261193" w:rsidRPr="00BB0A8B">
        <w:rPr>
          <w:rFonts w:asciiTheme="majorBidi" w:hAnsiTheme="majorBidi" w:cstheme="majorBidi"/>
          <w:bCs/>
          <w:sz w:val="22"/>
          <w:szCs w:val="22"/>
          <w:lang w:val="sr-Latn-ME"/>
        </w:rPr>
        <w:t>erlotinibom</w:t>
      </w:r>
      <w:r w:rsidRPr="00BB0A8B">
        <w:rPr>
          <w:rFonts w:asciiTheme="majorBidi" w:hAnsiTheme="majorBidi" w:cstheme="majorBidi"/>
          <w:bCs/>
          <w:sz w:val="22"/>
          <w:szCs w:val="22"/>
          <w:lang w:val="sr-Latn-ME"/>
        </w:rPr>
        <w:t xml:space="preserve">, a umjerenu ili tešku dijareju treba liječiti npr. loperamidom. U nekim slučajevima može biti potrebno smanjenje doze. U kliničkim studijama doze su smanjivane postepeno, za po 50 mg. Smanjenje doze za po 25 mg nije ispitivano. U slučaju teške ili perzistentne dijareje, mučnine, anoreksije ili povraćanja praćenih dehidratacijom, terapiju </w:t>
      </w:r>
      <w:r w:rsidR="00126758" w:rsidRPr="00BB0A8B">
        <w:rPr>
          <w:rFonts w:asciiTheme="majorBidi" w:hAnsiTheme="majorBidi" w:cstheme="majorBidi"/>
          <w:bCs/>
          <w:sz w:val="22"/>
          <w:szCs w:val="22"/>
          <w:lang w:val="sr-Latn-ME"/>
        </w:rPr>
        <w:t>erlotinibom</w:t>
      </w:r>
      <w:r w:rsidRPr="00BB0A8B">
        <w:rPr>
          <w:rFonts w:asciiTheme="majorBidi" w:hAnsiTheme="majorBidi" w:cstheme="majorBidi"/>
          <w:bCs/>
          <w:sz w:val="22"/>
          <w:szCs w:val="22"/>
          <w:lang w:val="sr-Latn-ME"/>
        </w:rPr>
        <w:t xml:space="preserve"> treba prekinuti i preduzeti odgovarajuće mjere u cilju liječenja dehidratacije (vidjeti </w:t>
      </w:r>
      <w:r w:rsidR="00634507"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4.8). Prijavljeni su rijetki slučajevi hipokalijemije i bubrežne insuficijencije (uključujući smrtne slučajeve). Neki slučajevi bili su posljedica teške dehidratacije usl</w:t>
      </w:r>
      <w:r w:rsidR="00634507" w:rsidRPr="00BB0A8B">
        <w:rPr>
          <w:rFonts w:asciiTheme="majorBidi" w:hAnsiTheme="majorBidi" w:cstheme="majorBidi"/>
          <w:bCs/>
          <w:sz w:val="22"/>
          <w:szCs w:val="22"/>
          <w:lang w:val="sr-Latn-ME"/>
        </w:rPr>
        <w:t>j</w:t>
      </w:r>
      <w:r w:rsidRPr="00BB0A8B">
        <w:rPr>
          <w:rFonts w:asciiTheme="majorBidi" w:hAnsiTheme="majorBidi" w:cstheme="majorBidi"/>
          <w:bCs/>
          <w:sz w:val="22"/>
          <w:szCs w:val="22"/>
          <w:lang w:val="sr-Latn-ME"/>
        </w:rPr>
        <w:t>ed dijareje, povraćanja i/ili anoreksije, dok je u drugim slučajevima istovremena hem</w:t>
      </w:r>
      <w:r w:rsidR="00C86467" w:rsidRPr="00BB0A8B">
        <w:rPr>
          <w:rFonts w:asciiTheme="majorBidi" w:hAnsiTheme="majorBidi" w:cstheme="majorBidi"/>
          <w:bCs/>
          <w:sz w:val="22"/>
          <w:szCs w:val="22"/>
          <w:lang w:val="sr-Latn-ME"/>
        </w:rPr>
        <w:t>i</w:t>
      </w:r>
      <w:r w:rsidRPr="00BB0A8B">
        <w:rPr>
          <w:rFonts w:asciiTheme="majorBidi" w:hAnsiTheme="majorBidi" w:cstheme="majorBidi"/>
          <w:bCs/>
          <w:sz w:val="22"/>
          <w:szCs w:val="22"/>
          <w:lang w:val="sr-Latn-ME"/>
        </w:rPr>
        <w:t>oterapija bila doprinoseći faktor. U mnogo težim dijarejama ili koje traju duže ili dovode do dehidratacije, naročito u grupi pacijenata sa otežavajućim faktorima rizika (istovremena hemioterapija ili primjena drugih ljekova, simptomi ili oboljenja ili druga predisponirajuća stanja, uključujući i starije životno doba) terapiju lijekom Erlotinib Actavis treba prekinuti i sprovesti adekvatne mjere, u cilju intenzivne rehidratacije pacijenta intravenskim putem. Dodatno, u cilju prevencije rizika od dehidratacije treba pratiti funkciju bubrega i elektrolite u serumu, uključujući kalijum.</w:t>
      </w:r>
    </w:p>
    <w:p w:rsidR="007E53C2" w:rsidRPr="00BB0A8B" w:rsidRDefault="007E53C2" w:rsidP="00BB0A8B">
      <w:pPr>
        <w:tabs>
          <w:tab w:val="left" w:pos="540"/>
          <w:tab w:val="left" w:pos="569"/>
        </w:tabs>
        <w:jc w:val="both"/>
        <w:rPr>
          <w:rFonts w:asciiTheme="majorBidi" w:hAnsiTheme="majorBidi" w:cstheme="majorBidi"/>
          <w:bCs/>
          <w:sz w:val="22"/>
          <w:szCs w:val="22"/>
          <w:lang w:val="sr-Latn-ME"/>
        </w:rPr>
      </w:pPr>
    </w:p>
    <w:p w:rsidR="007E53C2" w:rsidRPr="00BB0A8B" w:rsidRDefault="007E53C2"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Hepatitis, insuficijencija jetre </w:t>
      </w:r>
    </w:p>
    <w:p w:rsidR="007E53C2" w:rsidRPr="00BB0A8B" w:rsidRDefault="007E53C2" w:rsidP="00BB0A8B">
      <w:pPr>
        <w:tabs>
          <w:tab w:val="left" w:pos="540"/>
          <w:tab w:val="left" w:pos="569"/>
        </w:tabs>
        <w:jc w:val="both"/>
        <w:rPr>
          <w:rFonts w:asciiTheme="majorBidi" w:hAnsiTheme="majorBidi" w:cstheme="majorBidi"/>
          <w:bCs/>
          <w:sz w:val="22"/>
          <w:szCs w:val="22"/>
          <w:u w:val="single"/>
          <w:lang w:val="sr-Latn-ME"/>
        </w:rPr>
      </w:pPr>
    </w:p>
    <w:p w:rsidR="007E53C2" w:rsidRPr="00BB0A8B" w:rsidRDefault="007E53C2"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Prijavljeni su rijetki slučajevi insuficijencije jetre (uključujući smrtne slučajeve) tokom primjene </w:t>
      </w:r>
      <w:r w:rsidR="00121F52" w:rsidRPr="00BB0A8B">
        <w:rPr>
          <w:rFonts w:asciiTheme="majorBidi" w:hAnsiTheme="majorBidi" w:cstheme="majorBidi"/>
          <w:bCs/>
          <w:sz w:val="22"/>
          <w:szCs w:val="22"/>
          <w:lang w:val="sr-Latn-ME"/>
        </w:rPr>
        <w:t>erlotiniba</w:t>
      </w:r>
      <w:r w:rsidRPr="00BB0A8B">
        <w:rPr>
          <w:rFonts w:asciiTheme="majorBidi" w:hAnsiTheme="majorBidi" w:cstheme="majorBidi"/>
          <w:bCs/>
          <w:sz w:val="22"/>
          <w:szCs w:val="22"/>
          <w:lang w:val="sr-Latn-ME"/>
        </w:rPr>
        <w:t xml:space="preserve">. Doprinoseći faktori koji otežavaju tumačenje uključivali su prethodno postojeća oboljenja jetre ili istovremenu primjenu hepatotoksičnih ljekova. Stoga, kod ovakvih pacijenata, treba razmotriti </w:t>
      </w:r>
      <w:r w:rsidRPr="00BB0A8B">
        <w:rPr>
          <w:rFonts w:asciiTheme="majorBidi" w:hAnsiTheme="majorBidi" w:cstheme="majorBidi"/>
          <w:bCs/>
          <w:sz w:val="22"/>
          <w:szCs w:val="22"/>
          <w:lang w:val="sr-Latn-ME"/>
        </w:rPr>
        <w:lastRenderedPageBreak/>
        <w:t xml:space="preserve">periodično testiranje funkcije jetre. Terapiju lijekom Erlotinib Actavis treba prekinuti ukoliko su promjene funkcije jetre teške (vidjeti </w:t>
      </w:r>
      <w:r w:rsidR="00634507"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4.8). Ne preporučuje se primjena lijeka Erlotinib Actavis kod pacijenata sa teškom disfunkcijom jetre.</w:t>
      </w:r>
    </w:p>
    <w:p w:rsidR="007E53C2" w:rsidRPr="00BB0A8B" w:rsidRDefault="007E53C2" w:rsidP="00BB0A8B">
      <w:pPr>
        <w:tabs>
          <w:tab w:val="left" w:pos="540"/>
          <w:tab w:val="left" w:pos="569"/>
        </w:tabs>
        <w:jc w:val="both"/>
        <w:rPr>
          <w:rFonts w:asciiTheme="majorBidi" w:hAnsiTheme="majorBidi" w:cstheme="majorBidi"/>
          <w:bCs/>
          <w:sz w:val="22"/>
          <w:szCs w:val="22"/>
          <w:lang w:val="sr-Latn-ME"/>
        </w:rPr>
      </w:pPr>
    </w:p>
    <w:p w:rsidR="007E53C2" w:rsidRPr="00BB0A8B" w:rsidRDefault="007E53C2"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Gastrointestinalna perforacija </w:t>
      </w:r>
    </w:p>
    <w:p w:rsidR="007E53C2" w:rsidRPr="00BB0A8B" w:rsidRDefault="007E53C2" w:rsidP="00BB0A8B">
      <w:pPr>
        <w:tabs>
          <w:tab w:val="left" w:pos="540"/>
          <w:tab w:val="left" w:pos="569"/>
        </w:tabs>
        <w:jc w:val="both"/>
        <w:rPr>
          <w:rFonts w:asciiTheme="majorBidi" w:hAnsiTheme="majorBidi" w:cstheme="majorBidi"/>
          <w:bCs/>
          <w:sz w:val="22"/>
          <w:szCs w:val="22"/>
          <w:u w:val="single"/>
          <w:lang w:val="sr-Latn-ME"/>
        </w:rPr>
      </w:pPr>
    </w:p>
    <w:p w:rsidR="007E53C2" w:rsidRPr="00BB0A8B" w:rsidRDefault="007E53C2"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Pacijenti koji primaju </w:t>
      </w:r>
      <w:r w:rsidR="00121F52" w:rsidRPr="00BB0A8B">
        <w:rPr>
          <w:rFonts w:asciiTheme="majorBidi" w:hAnsiTheme="majorBidi" w:cstheme="majorBidi"/>
          <w:bCs/>
          <w:sz w:val="22"/>
          <w:szCs w:val="22"/>
          <w:lang w:val="sr-Latn-ME"/>
        </w:rPr>
        <w:t>erlotinib</w:t>
      </w:r>
      <w:r w:rsidRPr="00BB0A8B">
        <w:rPr>
          <w:rFonts w:asciiTheme="majorBidi" w:hAnsiTheme="majorBidi" w:cstheme="majorBidi"/>
          <w:bCs/>
          <w:sz w:val="22"/>
          <w:szCs w:val="22"/>
          <w:lang w:val="sr-Latn-ME"/>
        </w:rPr>
        <w:t xml:space="preserve"> imaju povećan rizik od razvoja gastrointestinalne perforacije, koja je uočena povremeno (uključujući neke slučajeve sa smrtnim ishodom). Povećan rizik imaju pacijenti koji istovremeno primaju neki od antiangiogenih ljekova, kortikosteroide, NSAIL i/ili hem</w:t>
      </w:r>
      <w:r w:rsidR="00C86467" w:rsidRPr="00BB0A8B">
        <w:rPr>
          <w:rFonts w:asciiTheme="majorBidi" w:hAnsiTheme="majorBidi" w:cstheme="majorBidi"/>
          <w:bCs/>
          <w:sz w:val="22"/>
          <w:szCs w:val="22"/>
          <w:lang w:val="sr-Latn-ME"/>
        </w:rPr>
        <w:t>i</w:t>
      </w:r>
      <w:r w:rsidRPr="00BB0A8B">
        <w:rPr>
          <w:rFonts w:asciiTheme="majorBidi" w:hAnsiTheme="majorBidi" w:cstheme="majorBidi"/>
          <w:bCs/>
          <w:sz w:val="22"/>
          <w:szCs w:val="22"/>
          <w:lang w:val="sr-Latn-ME"/>
        </w:rPr>
        <w:t xml:space="preserve">oterapiju taksanima, ili oni koji u anamnezi imaju peptički ulkus ili divertikularnu bolest. Primjenu lijeka Erlotinib Actavis treba trajno prekinuti kod pacijenata kod kojih se razvije gastrointestinalna perforacija (vidjeti </w:t>
      </w:r>
      <w:r w:rsidR="00634507"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4.8).</w:t>
      </w:r>
    </w:p>
    <w:p w:rsidR="007E53C2" w:rsidRPr="00BB0A8B" w:rsidRDefault="007E53C2" w:rsidP="00BB0A8B">
      <w:pPr>
        <w:tabs>
          <w:tab w:val="left" w:pos="540"/>
          <w:tab w:val="left" w:pos="569"/>
        </w:tabs>
        <w:jc w:val="both"/>
        <w:rPr>
          <w:rFonts w:asciiTheme="majorBidi" w:hAnsiTheme="majorBidi" w:cstheme="majorBidi"/>
          <w:bCs/>
          <w:sz w:val="22"/>
          <w:szCs w:val="22"/>
          <w:lang w:val="sr-Latn-ME"/>
        </w:rPr>
      </w:pPr>
    </w:p>
    <w:p w:rsidR="007E53C2" w:rsidRPr="00BB0A8B" w:rsidRDefault="007E53C2"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Bulozne i eksfolijativne promjene na koži </w:t>
      </w:r>
    </w:p>
    <w:p w:rsidR="007E53C2" w:rsidRPr="00BB0A8B" w:rsidRDefault="007E53C2" w:rsidP="00BB0A8B">
      <w:pPr>
        <w:tabs>
          <w:tab w:val="left" w:pos="540"/>
          <w:tab w:val="left" w:pos="569"/>
        </w:tabs>
        <w:jc w:val="both"/>
        <w:rPr>
          <w:rFonts w:asciiTheme="majorBidi" w:hAnsiTheme="majorBidi" w:cstheme="majorBidi"/>
          <w:bCs/>
          <w:sz w:val="22"/>
          <w:szCs w:val="22"/>
          <w:u w:val="single"/>
          <w:lang w:val="sr-Latn-ME"/>
        </w:rPr>
      </w:pPr>
    </w:p>
    <w:p w:rsidR="007E53C2" w:rsidRPr="00BB0A8B" w:rsidRDefault="007E53C2"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Prijavljene su bulozne, eksfolijativne i </w:t>
      </w:r>
      <w:r w:rsidR="00634507" w:rsidRPr="00BB0A8B">
        <w:rPr>
          <w:rFonts w:asciiTheme="majorBidi" w:hAnsiTheme="majorBidi" w:cstheme="majorBidi"/>
          <w:bCs/>
          <w:sz w:val="22"/>
          <w:szCs w:val="22"/>
          <w:lang w:val="sr-Latn-ME"/>
        </w:rPr>
        <w:t xml:space="preserve">vezikularne </w:t>
      </w:r>
      <w:r w:rsidRPr="00BB0A8B">
        <w:rPr>
          <w:rFonts w:asciiTheme="majorBidi" w:hAnsiTheme="majorBidi" w:cstheme="majorBidi"/>
          <w:bCs/>
          <w:sz w:val="22"/>
          <w:szCs w:val="22"/>
          <w:lang w:val="sr-Latn-ME"/>
        </w:rPr>
        <w:t xml:space="preserve">promjene na koži, uključujući vrlo rijetke slučajeve koji upućuju na </w:t>
      </w:r>
      <w:r w:rsidRPr="00BB0A8B">
        <w:rPr>
          <w:rFonts w:asciiTheme="majorBidi" w:hAnsiTheme="majorBidi" w:cstheme="majorBidi"/>
          <w:bCs/>
          <w:i/>
          <w:sz w:val="22"/>
          <w:szCs w:val="22"/>
          <w:lang w:val="sr-Latn-ME"/>
        </w:rPr>
        <w:t>Stevens-Johnson</w:t>
      </w:r>
      <w:r w:rsidR="00634507" w:rsidRPr="00BB0A8B">
        <w:rPr>
          <w:rFonts w:asciiTheme="majorBidi" w:hAnsiTheme="majorBidi" w:cstheme="majorBidi"/>
          <w:bCs/>
          <w:sz w:val="22"/>
          <w:szCs w:val="22"/>
          <w:lang w:val="sr-Latn-ME"/>
        </w:rPr>
        <w:t>-</w:t>
      </w:r>
      <w:r w:rsidRPr="00BB0A8B">
        <w:rPr>
          <w:rFonts w:asciiTheme="majorBidi" w:hAnsiTheme="majorBidi" w:cstheme="majorBidi"/>
          <w:bCs/>
          <w:sz w:val="22"/>
          <w:szCs w:val="22"/>
          <w:lang w:val="sr-Latn-ME"/>
        </w:rPr>
        <w:t xml:space="preserve">ov sindrom/toksičnu epidermalnu nekrolizu, koji su u nekim slučajevima imali smrtni ishod (vidjeti </w:t>
      </w:r>
      <w:r w:rsidR="00634507"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 xml:space="preserve">4.8). Liječenje </w:t>
      </w:r>
      <w:r w:rsidR="00121F52" w:rsidRPr="00BB0A8B">
        <w:rPr>
          <w:rFonts w:asciiTheme="majorBidi" w:hAnsiTheme="majorBidi" w:cstheme="majorBidi"/>
          <w:bCs/>
          <w:sz w:val="22"/>
          <w:szCs w:val="22"/>
          <w:lang w:val="sr-Latn-ME"/>
        </w:rPr>
        <w:t>lijekom Erlotinib Actavis</w:t>
      </w:r>
      <w:r w:rsidRPr="00BB0A8B">
        <w:rPr>
          <w:rFonts w:asciiTheme="majorBidi" w:hAnsiTheme="majorBidi" w:cstheme="majorBidi"/>
          <w:bCs/>
          <w:sz w:val="22"/>
          <w:szCs w:val="22"/>
          <w:lang w:val="sr-Latn-ME"/>
        </w:rPr>
        <w:t xml:space="preserve"> treba trajno ili privremeno prekinuti ukoliko pacijent razvije teške bulozne, eksfolijativne kao i </w:t>
      </w:r>
      <w:r w:rsidR="00634507" w:rsidRPr="00BB0A8B">
        <w:rPr>
          <w:rFonts w:asciiTheme="majorBidi" w:hAnsiTheme="majorBidi" w:cstheme="majorBidi"/>
          <w:bCs/>
          <w:sz w:val="22"/>
          <w:szCs w:val="22"/>
          <w:lang w:val="sr-Latn-ME"/>
        </w:rPr>
        <w:t xml:space="preserve">vezikularne </w:t>
      </w:r>
      <w:r w:rsidRPr="00BB0A8B">
        <w:rPr>
          <w:rFonts w:asciiTheme="majorBidi" w:hAnsiTheme="majorBidi" w:cstheme="majorBidi"/>
          <w:bCs/>
          <w:sz w:val="22"/>
          <w:szCs w:val="22"/>
          <w:lang w:val="sr-Latn-ME"/>
        </w:rPr>
        <w:t xml:space="preserve">promjene na koži. Pacijente sa buloznim ili eksfolijativnim promjenama na koži treba testirati na kožne infekcije i liječiti u skladu sa lokalnim smjernicama. </w:t>
      </w:r>
    </w:p>
    <w:p w:rsidR="007E53C2" w:rsidRPr="00BB0A8B" w:rsidRDefault="007E53C2" w:rsidP="00BB0A8B">
      <w:pPr>
        <w:tabs>
          <w:tab w:val="left" w:pos="540"/>
          <w:tab w:val="left" w:pos="569"/>
        </w:tabs>
        <w:jc w:val="both"/>
        <w:rPr>
          <w:rFonts w:asciiTheme="majorBidi" w:hAnsiTheme="majorBidi" w:cstheme="majorBidi"/>
          <w:bCs/>
          <w:sz w:val="22"/>
          <w:szCs w:val="22"/>
          <w:lang w:val="sr-Latn-ME"/>
        </w:rPr>
      </w:pPr>
    </w:p>
    <w:p w:rsidR="007E53C2" w:rsidRPr="00BB0A8B" w:rsidRDefault="007E53C2"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Poremećaji oka</w:t>
      </w:r>
    </w:p>
    <w:p w:rsidR="007E53C2" w:rsidRPr="00BB0A8B" w:rsidRDefault="007E53C2" w:rsidP="00BB0A8B">
      <w:pPr>
        <w:tabs>
          <w:tab w:val="left" w:pos="540"/>
          <w:tab w:val="left" w:pos="569"/>
        </w:tabs>
        <w:jc w:val="both"/>
        <w:rPr>
          <w:rFonts w:asciiTheme="majorBidi" w:hAnsiTheme="majorBidi" w:cstheme="majorBidi"/>
          <w:bCs/>
          <w:sz w:val="22"/>
          <w:szCs w:val="22"/>
          <w:lang w:val="sr-Latn-ME"/>
        </w:rPr>
      </w:pPr>
    </w:p>
    <w:p w:rsidR="007E53C2" w:rsidRPr="00BB0A8B" w:rsidRDefault="007E53C2"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Pacijente sa znacima i simptomima koji ukazuju na keratitis, poput akutnog ili pogoršanja postojećeg: zapaljenja oka, suzenja, osjetljivosti na svjetlost, zamagljenog vida, bola u oku i/ili crvenila oka, treba odmah uputiti oftalmologu. Ukoliko se potvrdi dijagnoza ulceroznog keratitisa, terapiju lijekom Erlotinib Atcavis treba prekinuti/obustaviti. U slučaju dijagnoze keratitisa, treba dobro procijeniti odnos između koristi i rizika od dalje primjene lijeka Erlotinib Actavis. Potreban je oprez pri primjeni lijeka Erlotinib Actavis kod pacijenata koji su imali keratitis, ulcerozni keratitis ili teži oblik suvog oka u istoriji bolesti. Primjena kontaktnih sočiva takođe je faktor rizika za pojavu keratitisa ili ulceracija. Tokom primjene lijeka Erlotinib Actavis, prijavljeni su veoma rijetki slučajevi perforacije ili ulceracije rožnjače (vidjeti </w:t>
      </w:r>
      <w:r w:rsidR="00634507"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4.8).</w:t>
      </w:r>
    </w:p>
    <w:p w:rsidR="007E53C2" w:rsidRPr="00BB0A8B" w:rsidRDefault="007E53C2" w:rsidP="00BB0A8B">
      <w:pPr>
        <w:tabs>
          <w:tab w:val="left" w:pos="540"/>
          <w:tab w:val="left" w:pos="569"/>
        </w:tabs>
        <w:jc w:val="both"/>
        <w:rPr>
          <w:rFonts w:asciiTheme="majorBidi" w:hAnsiTheme="majorBidi" w:cstheme="majorBidi"/>
          <w:bCs/>
          <w:sz w:val="22"/>
          <w:szCs w:val="22"/>
          <w:lang w:val="sr-Latn-ME"/>
        </w:rPr>
      </w:pPr>
    </w:p>
    <w:p w:rsidR="007E53C2" w:rsidRPr="00BB0A8B" w:rsidRDefault="007E53C2"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Interakcije sa drugim ljekovima </w:t>
      </w:r>
    </w:p>
    <w:p w:rsidR="007E53C2" w:rsidRPr="00BB0A8B" w:rsidRDefault="007E53C2" w:rsidP="00BB0A8B">
      <w:pPr>
        <w:tabs>
          <w:tab w:val="left" w:pos="540"/>
          <w:tab w:val="left" w:pos="569"/>
        </w:tabs>
        <w:jc w:val="both"/>
        <w:rPr>
          <w:rFonts w:asciiTheme="majorBidi" w:hAnsiTheme="majorBidi" w:cstheme="majorBidi"/>
          <w:bCs/>
          <w:sz w:val="22"/>
          <w:szCs w:val="22"/>
          <w:u w:val="single"/>
          <w:lang w:val="sr-Latn-ME"/>
        </w:rPr>
      </w:pPr>
    </w:p>
    <w:p w:rsidR="007E53C2" w:rsidRPr="00BB0A8B" w:rsidRDefault="007E53C2"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Snažni induktori CYP3A4 mogu da smanje efikasnost erlotiniba, a snažni inhibitori CYP3A4 mogu dovesti do povećane toksičnosti. Potrebno izbjegavati istovremenu primjenu ovih agenasa (vidjeti </w:t>
      </w:r>
      <w:r w:rsidR="00634507"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4.5).</w:t>
      </w:r>
    </w:p>
    <w:p w:rsidR="007E53C2" w:rsidRPr="00BB0A8B" w:rsidRDefault="007E53C2" w:rsidP="00BB0A8B">
      <w:pPr>
        <w:tabs>
          <w:tab w:val="left" w:pos="540"/>
          <w:tab w:val="left" w:pos="569"/>
        </w:tabs>
        <w:jc w:val="both"/>
        <w:rPr>
          <w:rFonts w:asciiTheme="majorBidi" w:hAnsiTheme="majorBidi" w:cstheme="majorBidi"/>
          <w:b/>
          <w:bCs/>
          <w:sz w:val="22"/>
          <w:szCs w:val="22"/>
          <w:lang w:val="sr-Latn-ME"/>
        </w:rPr>
      </w:pPr>
    </w:p>
    <w:p w:rsidR="007E53C2" w:rsidRPr="00BB0A8B" w:rsidRDefault="007E53C2"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Druge vrste interakcija </w:t>
      </w:r>
    </w:p>
    <w:p w:rsidR="007E53C2" w:rsidRPr="00BB0A8B" w:rsidRDefault="007E53C2" w:rsidP="00BB0A8B">
      <w:pPr>
        <w:tabs>
          <w:tab w:val="left" w:pos="540"/>
          <w:tab w:val="left" w:pos="569"/>
        </w:tabs>
        <w:jc w:val="both"/>
        <w:rPr>
          <w:rFonts w:asciiTheme="majorBidi" w:hAnsiTheme="majorBidi" w:cstheme="majorBidi"/>
          <w:bCs/>
          <w:sz w:val="22"/>
          <w:szCs w:val="22"/>
          <w:u w:val="single"/>
          <w:lang w:val="sr-Latn-ME"/>
        </w:rPr>
      </w:pPr>
    </w:p>
    <w:p w:rsidR="007E53C2" w:rsidRPr="00BB0A8B" w:rsidRDefault="007E53C2"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Osobina erlotiniba je smanjena rastvorljivost pri vrijednostima pH iznad 5. Ljekovi koji mijenjaju pH vrijednost u gornjim djelovima gastrointestinalnog trakta, kao ihibitori protonske pumpe, H2 antagonisti i antacidi, mogu prom</w:t>
      </w:r>
      <w:r w:rsidR="00634507" w:rsidRPr="00BB0A8B">
        <w:rPr>
          <w:rFonts w:asciiTheme="majorBidi" w:hAnsiTheme="majorBidi" w:cstheme="majorBidi"/>
          <w:bCs/>
          <w:sz w:val="22"/>
          <w:szCs w:val="22"/>
          <w:lang w:val="sr-Latn-ME"/>
        </w:rPr>
        <w:t>i</w:t>
      </w:r>
      <w:r w:rsidRPr="00BB0A8B">
        <w:rPr>
          <w:rFonts w:asciiTheme="majorBidi" w:hAnsiTheme="majorBidi" w:cstheme="majorBidi"/>
          <w:bCs/>
          <w:sz w:val="22"/>
          <w:szCs w:val="22"/>
          <w:lang w:val="sr-Latn-ME"/>
        </w:rPr>
        <w:t xml:space="preserve">jeniti rastvorljivost erlotiniba, a time i njegovu biološku raspoloživost. Povećanje doze lijeka Erlotinib Actavis pri istovremenoj primjeni sa ovim ljekovima, </w:t>
      </w:r>
      <w:r w:rsidR="00121F52" w:rsidRPr="00BB0A8B">
        <w:rPr>
          <w:rFonts w:asciiTheme="majorBidi" w:hAnsiTheme="majorBidi" w:cstheme="majorBidi"/>
          <w:bCs/>
          <w:sz w:val="22"/>
          <w:szCs w:val="22"/>
          <w:lang w:val="sr-Latn-ME"/>
        </w:rPr>
        <w:t xml:space="preserve">vjerovatno </w:t>
      </w:r>
      <w:r w:rsidRPr="00BB0A8B">
        <w:rPr>
          <w:rFonts w:asciiTheme="majorBidi" w:hAnsiTheme="majorBidi" w:cstheme="majorBidi"/>
          <w:bCs/>
          <w:sz w:val="22"/>
          <w:szCs w:val="22"/>
          <w:lang w:val="sr-Latn-ME"/>
        </w:rPr>
        <w:t xml:space="preserve">neće kompenzovati smanjenu izloženost erlotinibu. Kombinaciju erlotiniba i inhibitora protonske pumpe treba izbjegavati. Iako efekti istovremene primjene erlotiniba sa H2 antagonistima i antacidima nijesu sasvim poznati, smanjenje biološke raspoloživosti je moguće. Stoga, ovakve kombinacije takođe treba izbjegavati (vidjeti </w:t>
      </w:r>
      <w:r w:rsidR="00634507"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 xml:space="preserve">4.5). Ukoliko je tokom terapije lijekom Erlotinib Actavis, neophodna i primjena antacida, tada ih treba uzimati najmanje 4 sata prije ili 2 sata nakon primjene dnevne doze lijeka Erlotinib Actavis. </w:t>
      </w:r>
    </w:p>
    <w:p w:rsidR="007E53C2" w:rsidRPr="00BB0A8B" w:rsidRDefault="007E53C2" w:rsidP="00BB0A8B">
      <w:pPr>
        <w:tabs>
          <w:tab w:val="left" w:pos="540"/>
          <w:tab w:val="left" w:pos="569"/>
        </w:tabs>
        <w:jc w:val="both"/>
        <w:rPr>
          <w:rFonts w:asciiTheme="majorBidi" w:hAnsiTheme="majorBidi" w:cstheme="majorBidi"/>
          <w:bCs/>
          <w:sz w:val="22"/>
          <w:szCs w:val="22"/>
          <w:lang w:val="sr-Latn-ME"/>
        </w:rPr>
      </w:pPr>
    </w:p>
    <w:p w:rsidR="007E53C2" w:rsidRPr="00BB0A8B" w:rsidRDefault="007E53C2"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Pomoćne supstance</w:t>
      </w:r>
    </w:p>
    <w:p w:rsidR="007E53C2" w:rsidRPr="00BB0A8B" w:rsidRDefault="007E53C2" w:rsidP="00BB0A8B">
      <w:pPr>
        <w:tabs>
          <w:tab w:val="left" w:pos="540"/>
          <w:tab w:val="left" w:pos="569"/>
        </w:tabs>
        <w:jc w:val="both"/>
        <w:rPr>
          <w:rFonts w:asciiTheme="majorBidi" w:hAnsiTheme="majorBidi" w:cstheme="majorBidi"/>
          <w:bCs/>
          <w:sz w:val="22"/>
          <w:szCs w:val="22"/>
          <w:u w:val="single"/>
          <w:lang w:val="sr-Latn-ME"/>
        </w:rPr>
      </w:pPr>
    </w:p>
    <w:p w:rsidR="007E53C2" w:rsidRPr="00BB0A8B" w:rsidRDefault="007E53C2" w:rsidP="00BB0A8B">
      <w:pPr>
        <w:tabs>
          <w:tab w:val="left" w:pos="540"/>
          <w:tab w:val="left" w:pos="569"/>
        </w:tabs>
        <w:jc w:val="both"/>
        <w:rPr>
          <w:rFonts w:asciiTheme="majorBidi" w:hAnsiTheme="majorBidi" w:cstheme="majorBidi"/>
          <w:bCs/>
          <w:i/>
          <w:sz w:val="22"/>
          <w:szCs w:val="22"/>
          <w:lang w:val="sr-Latn-ME"/>
        </w:rPr>
      </w:pPr>
      <w:r w:rsidRPr="00BB0A8B">
        <w:rPr>
          <w:rFonts w:asciiTheme="majorBidi" w:hAnsiTheme="majorBidi" w:cstheme="majorBidi"/>
          <w:bCs/>
          <w:i/>
          <w:sz w:val="22"/>
          <w:szCs w:val="22"/>
          <w:lang w:val="sr-Latn-ME"/>
        </w:rPr>
        <w:t>Laktoza</w:t>
      </w:r>
    </w:p>
    <w:p w:rsidR="007E53C2" w:rsidRPr="00BB0A8B" w:rsidRDefault="007E53C2"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lastRenderedPageBreak/>
        <w:t>Tablete lijeka Erlotinib Actavis sadrže laktozu i ne smiju se primjenjivati kod pacijenata sa rijetkim nasl</w:t>
      </w:r>
      <w:r w:rsidR="00634507" w:rsidRPr="00BB0A8B">
        <w:rPr>
          <w:rFonts w:asciiTheme="majorBidi" w:hAnsiTheme="majorBidi" w:cstheme="majorBidi"/>
          <w:bCs/>
          <w:sz w:val="22"/>
          <w:szCs w:val="22"/>
          <w:lang w:val="sr-Latn-ME"/>
        </w:rPr>
        <w:t>j</w:t>
      </w:r>
      <w:r w:rsidRPr="00BB0A8B">
        <w:rPr>
          <w:rFonts w:asciiTheme="majorBidi" w:hAnsiTheme="majorBidi" w:cstheme="majorBidi"/>
          <w:bCs/>
          <w:sz w:val="22"/>
          <w:szCs w:val="22"/>
          <w:lang w:val="sr-Latn-ME"/>
        </w:rPr>
        <w:t xml:space="preserve">ednim oboljenjem intolerancije na galaktozu, </w:t>
      </w:r>
      <w:r w:rsidR="003D7127" w:rsidRPr="00BB0A8B">
        <w:rPr>
          <w:rFonts w:asciiTheme="majorBidi" w:hAnsiTheme="majorBidi" w:cstheme="majorBidi"/>
          <w:bCs/>
          <w:sz w:val="22"/>
          <w:szCs w:val="22"/>
          <w:lang w:val="sr-Latn-ME"/>
        </w:rPr>
        <w:t xml:space="preserve">potpunim </w:t>
      </w:r>
      <w:r w:rsidRPr="00BB0A8B">
        <w:rPr>
          <w:rFonts w:asciiTheme="majorBidi" w:hAnsiTheme="majorBidi" w:cstheme="majorBidi"/>
          <w:bCs/>
          <w:sz w:val="22"/>
          <w:szCs w:val="22"/>
          <w:lang w:val="sr-Latn-ME"/>
        </w:rPr>
        <w:t>nedostatkom laktaze ili glukozno-galaktoznom malapsorpcijom.</w:t>
      </w:r>
    </w:p>
    <w:p w:rsidR="007E53C2" w:rsidRPr="00BB0A8B" w:rsidRDefault="007E53C2" w:rsidP="00BB0A8B">
      <w:pPr>
        <w:tabs>
          <w:tab w:val="left" w:pos="540"/>
          <w:tab w:val="left" w:pos="569"/>
        </w:tabs>
        <w:jc w:val="both"/>
        <w:rPr>
          <w:rFonts w:asciiTheme="majorBidi" w:hAnsiTheme="majorBidi" w:cstheme="majorBidi"/>
          <w:bCs/>
          <w:sz w:val="22"/>
          <w:szCs w:val="22"/>
          <w:lang w:val="sr-Latn-ME"/>
        </w:rPr>
      </w:pPr>
    </w:p>
    <w:p w:rsidR="007E53C2" w:rsidRPr="00BB0A8B" w:rsidRDefault="007E53C2" w:rsidP="00BB0A8B">
      <w:pPr>
        <w:tabs>
          <w:tab w:val="left" w:pos="540"/>
          <w:tab w:val="left" w:pos="569"/>
        </w:tabs>
        <w:jc w:val="both"/>
        <w:rPr>
          <w:rFonts w:asciiTheme="majorBidi" w:hAnsiTheme="majorBidi" w:cstheme="majorBidi"/>
          <w:bCs/>
          <w:i/>
          <w:sz w:val="22"/>
          <w:szCs w:val="22"/>
          <w:lang w:val="sr-Latn-ME"/>
        </w:rPr>
      </w:pPr>
      <w:r w:rsidRPr="00BB0A8B">
        <w:rPr>
          <w:rFonts w:asciiTheme="majorBidi" w:hAnsiTheme="majorBidi" w:cstheme="majorBidi"/>
          <w:bCs/>
          <w:i/>
          <w:sz w:val="22"/>
          <w:szCs w:val="22"/>
          <w:lang w:val="sr-Latn-ME"/>
        </w:rPr>
        <w:t>Natrijum</w:t>
      </w:r>
    </w:p>
    <w:p w:rsidR="007E53C2" w:rsidRPr="00BB0A8B" w:rsidRDefault="00176468"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Ovaj lijek </w:t>
      </w:r>
      <w:r w:rsidR="00634507" w:rsidRPr="00BB0A8B">
        <w:rPr>
          <w:rFonts w:asciiTheme="majorBidi" w:hAnsiTheme="majorBidi" w:cstheme="majorBidi"/>
          <w:bCs/>
          <w:sz w:val="22"/>
          <w:szCs w:val="22"/>
          <w:lang w:val="sr-Latn-ME"/>
        </w:rPr>
        <w:t xml:space="preserve">sadrži </w:t>
      </w:r>
      <w:r w:rsidRPr="00BB0A8B">
        <w:rPr>
          <w:rFonts w:asciiTheme="majorBidi" w:hAnsiTheme="majorBidi" w:cstheme="majorBidi"/>
          <w:bCs/>
          <w:sz w:val="22"/>
          <w:szCs w:val="22"/>
          <w:lang w:val="sr-Latn-ME"/>
        </w:rPr>
        <w:t>manje od 1 mmol (23 mg) natrijuma po film tableti, tj. zanemarljive količine natrijuma.</w:t>
      </w:r>
    </w:p>
    <w:p w:rsidR="00D74D18" w:rsidRPr="00BB0A8B" w:rsidRDefault="00D74D18" w:rsidP="00BB0A8B">
      <w:pPr>
        <w:tabs>
          <w:tab w:val="left" w:pos="540"/>
          <w:tab w:val="left" w:pos="569"/>
        </w:tabs>
        <w:jc w:val="both"/>
        <w:rPr>
          <w:rFonts w:asciiTheme="majorBidi" w:hAnsiTheme="majorBidi" w:cstheme="majorBidi"/>
          <w:bCs/>
          <w:sz w:val="22"/>
          <w:szCs w:val="22"/>
          <w:lang w:val="sr-Latn-ME"/>
        </w:rPr>
      </w:pPr>
    </w:p>
    <w:p w:rsidR="00411B4B" w:rsidRPr="00BB0A8B" w:rsidRDefault="00411B4B"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4.5.</w:t>
      </w:r>
      <w:r w:rsidR="000D60CC"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Interakcije sa drugim ljekovima i druge vrste interakcija</w:t>
      </w:r>
    </w:p>
    <w:p w:rsidR="0072020E" w:rsidRPr="00BB0A8B" w:rsidRDefault="0072020E" w:rsidP="00BB0A8B">
      <w:pPr>
        <w:tabs>
          <w:tab w:val="left" w:pos="540"/>
          <w:tab w:val="left" w:pos="569"/>
        </w:tabs>
        <w:rPr>
          <w:rFonts w:asciiTheme="majorBidi" w:hAnsiTheme="majorBidi" w:cstheme="majorBidi"/>
          <w:bCs/>
          <w:sz w:val="22"/>
          <w:szCs w:val="22"/>
          <w:lang w:val="sr-Latn-ME"/>
        </w:rPr>
      </w:pPr>
    </w:p>
    <w:p w:rsidR="0020077A" w:rsidRPr="00BB0A8B" w:rsidRDefault="0020077A" w:rsidP="00BB0A8B">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Ispitivanja interakcija sprovedena su samo </w:t>
      </w:r>
      <w:r w:rsidR="00E06C57" w:rsidRPr="00BB0A8B">
        <w:rPr>
          <w:rFonts w:asciiTheme="majorBidi" w:hAnsiTheme="majorBidi" w:cstheme="majorBidi"/>
          <w:bCs/>
          <w:sz w:val="22"/>
          <w:szCs w:val="22"/>
          <w:lang w:val="sr-Latn-ME"/>
        </w:rPr>
        <w:t>kod odraslih</w:t>
      </w:r>
      <w:r w:rsidRPr="00BB0A8B">
        <w:rPr>
          <w:rFonts w:asciiTheme="majorBidi" w:hAnsiTheme="majorBidi" w:cstheme="majorBidi"/>
          <w:bCs/>
          <w:sz w:val="22"/>
          <w:szCs w:val="22"/>
          <w:lang w:val="sr-Latn-ME"/>
        </w:rPr>
        <w:t xml:space="preserve">. </w:t>
      </w:r>
    </w:p>
    <w:p w:rsidR="0020077A" w:rsidRPr="00BB0A8B" w:rsidRDefault="0020077A" w:rsidP="00BB0A8B">
      <w:pPr>
        <w:tabs>
          <w:tab w:val="left" w:pos="540"/>
          <w:tab w:val="left" w:pos="569"/>
        </w:tabs>
        <w:rPr>
          <w:rFonts w:asciiTheme="majorBidi" w:hAnsiTheme="majorBidi" w:cstheme="majorBidi"/>
          <w:bCs/>
          <w:sz w:val="22"/>
          <w:szCs w:val="22"/>
          <w:lang w:val="sr-Latn-ME"/>
        </w:rPr>
      </w:pPr>
    </w:p>
    <w:p w:rsidR="0020077A" w:rsidRPr="00BB0A8B" w:rsidRDefault="0020077A" w:rsidP="00BB0A8B">
      <w:pPr>
        <w:tabs>
          <w:tab w:val="left" w:pos="540"/>
          <w:tab w:val="left" w:pos="569"/>
        </w:tabs>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Erlotinib i drugi CYP supstrati </w:t>
      </w:r>
    </w:p>
    <w:p w:rsidR="0020077A" w:rsidRPr="00BB0A8B" w:rsidRDefault="0020077A" w:rsidP="00BB0A8B">
      <w:pPr>
        <w:tabs>
          <w:tab w:val="left" w:pos="540"/>
          <w:tab w:val="left" w:pos="569"/>
        </w:tabs>
        <w:rPr>
          <w:rFonts w:asciiTheme="majorBidi" w:hAnsiTheme="majorBidi" w:cstheme="majorBidi"/>
          <w:bCs/>
          <w:sz w:val="22"/>
          <w:szCs w:val="22"/>
          <w:lang w:val="sr-Latn-ME"/>
        </w:rPr>
      </w:pPr>
    </w:p>
    <w:p w:rsidR="0020077A" w:rsidRPr="00BB0A8B" w:rsidRDefault="0020077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Erlotinib je snažan inhibitor CYP1A1 i umjereni inhibitor CYP3A4 i CYP2C8, kao i snažan inhibitor glukorinidacije UGT1A1 </w:t>
      </w:r>
      <w:r w:rsidRPr="00BB0A8B">
        <w:rPr>
          <w:rFonts w:asciiTheme="majorBidi" w:hAnsiTheme="majorBidi" w:cstheme="majorBidi"/>
          <w:bCs/>
          <w:i/>
          <w:sz w:val="22"/>
          <w:szCs w:val="22"/>
          <w:lang w:val="sr-Latn-ME"/>
        </w:rPr>
        <w:t>in vitro</w:t>
      </w:r>
      <w:r w:rsidRPr="00BB0A8B">
        <w:rPr>
          <w:rFonts w:asciiTheme="majorBidi" w:hAnsiTheme="majorBidi" w:cstheme="majorBidi"/>
          <w:bCs/>
          <w:sz w:val="22"/>
          <w:szCs w:val="22"/>
          <w:lang w:val="sr-Latn-ME"/>
        </w:rPr>
        <w:t xml:space="preserve">. Fiziološki značaj snažne inhibicije CYP1A1 nije poznat zbog veoma ograničene ekspresije CYP1A1 u tkivima čovjeka. </w:t>
      </w:r>
    </w:p>
    <w:p w:rsidR="0020077A" w:rsidRPr="00BB0A8B" w:rsidRDefault="0020077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Kada se erlotinib primjenjuje istovremeno sa ciprofloksacinom, umjerenim CYP1A2 inhibitorom, izloženost erlotinibu [PIK] značajno se poveća za 39%, dok nije uočena statistički značajna promjena C</w:t>
      </w:r>
      <w:r w:rsidRPr="00BB0A8B">
        <w:rPr>
          <w:rFonts w:asciiTheme="majorBidi" w:hAnsiTheme="majorBidi" w:cstheme="majorBidi"/>
          <w:bCs/>
          <w:sz w:val="22"/>
          <w:szCs w:val="22"/>
          <w:vertAlign w:val="subscript"/>
          <w:lang w:val="sr-Latn-ME"/>
        </w:rPr>
        <w:t>max</w:t>
      </w:r>
      <w:r w:rsidRPr="00BB0A8B">
        <w:rPr>
          <w:rFonts w:asciiTheme="majorBidi" w:hAnsiTheme="majorBidi" w:cstheme="majorBidi"/>
          <w:bCs/>
          <w:sz w:val="22"/>
          <w:szCs w:val="22"/>
          <w:lang w:val="sr-Latn-ME"/>
        </w:rPr>
        <w:t>. Slično, izloženost aktivnim metabolitima se povećala za oko 60% i 48% za PIK, odnosno C</w:t>
      </w:r>
      <w:r w:rsidRPr="00BB0A8B">
        <w:rPr>
          <w:rFonts w:asciiTheme="majorBidi" w:hAnsiTheme="majorBidi" w:cstheme="majorBidi"/>
          <w:bCs/>
          <w:sz w:val="22"/>
          <w:szCs w:val="22"/>
          <w:vertAlign w:val="subscript"/>
          <w:lang w:val="sr-Latn-ME"/>
        </w:rPr>
        <w:t>max</w:t>
      </w:r>
      <w:r w:rsidRPr="00BB0A8B">
        <w:rPr>
          <w:rFonts w:asciiTheme="majorBidi" w:hAnsiTheme="majorBidi" w:cstheme="majorBidi"/>
          <w:bCs/>
          <w:sz w:val="22"/>
          <w:szCs w:val="22"/>
          <w:lang w:val="sr-Latn-ME"/>
        </w:rPr>
        <w:t>. Nije utvrđen klinički značaj ovih povećanja. Potreban je oprez kada se ciprofloksacin ili snažni CYP1A2 inibitori (npr. fluvoksamin) primjenjuju u kombinaciji sa erlotinibom. Ukoliko se prim</w:t>
      </w:r>
      <w:r w:rsidR="00E06C57" w:rsidRPr="00BB0A8B">
        <w:rPr>
          <w:rFonts w:asciiTheme="majorBidi" w:hAnsiTheme="majorBidi" w:cstheme="majorBidi"/>
          <w:bCs/>
          <w:sz w:val="22"/>
          <w:szCs w:val="22"/>
          <w:lang w:val="sr-Latn-ME"/>
        </w:rPr>
        <w:t>i</w:t>
      </w:r>
      <w:r w:rsidRPr="00BB0A8B">
        <w:rPr>
          <w:rFonts w:asciiTheme="majorBidi" w:hAnsiTheme="majorBidi" w:cstheme="majorBidi"/>
          <w:bCs/>
          <w:sz w:val="22"/>
          <w:szCs w:val="22"/>
          <w:lang w:val="sr-Latn-ME"/>
        </w:rPr>
        <w:t xml:space="preserve">jete neželjena dejstva povezana sa erlotinibom, doza erlotiniba se može smanjiti. </w:t>
      </w:r>
    </w:p>
    <w:p w:rsidR="0020077A" w:rsidRPr="00BB0A8B" w:rsidRDefault="0020077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Prethodna ili istovremena primjena </w:t>
      </w:r>
      <w:r w:rsidR="00E06C57" w:rsidRPr="00BB0A8B">
        <w:rPr>
          <w:rFonts w:asciiTheme="majorBidi" w:hAnsiTheme="majorBidi" w:cstheme="majorBidi"/>
          <w:bCs/>
          <w:sz w:val="22"/>
          <w:szCs w:val="22"/>
          <w:lang w:val="sr-Latn-ME"/>
        </w:rPr>
        <w:t>erlotiniba</w:t>
      </w:r>
      <w:r w:rsidRPr="00BB0A8B">
        <w:rPr>
          <w:rFonts w:asciiTheme="majorBidi" w:hAnsiTheme="majorBidi" w:cstheme="majorBidi"/>
          <w:bCs/>
          <w:sz w:val="22"/>
          <w:szCs w:val="22"/>
          <w:lang w:val="sr-Latn-ME"/>
        </w:rPr>
        <w:t xml:space="preserve"> nije mijenjala klirens prototipnih supstrata CYP3A4, midazolama i eritromicina, ali se dešavalo da snižava oralnu biorasploživost midazolama do 24%. U drugoj kliničkoj studiji, erlotinib nije pokazao uticaj na farmakokinetiku istovremeno prim</w:t>
      </w:r>
      <w:r w:rsidR="00E06C57" w:rsidRPr="00BB0A8B">
        <w:rPr>
          <w:rFonts w:asciiTheme="majorBidi" w:hAnsiTheme="majorBidi" w:cstheme="majorBidi"/>
          <w:bCs/>
          <w:sz w:val="22"/>
          <w:szCs w:val="22"/>
          <w:lang w:val="sr-Latn-ME"/>
        </w:rPr>
        <w:t>i</w:t>
      </w:r>
      <w:r w:rsidRPr="00BB0A8B">
        <w:rPr>
          <w:rFonts w:asciiTheme="majorBidi" w:hAnsiTheme="majorBidi" w:cstheme="majorBidi"/>
          <w:bCs/>
          <w:sz w:val="22"/>
          <w:szCs w:val="22"/>
          <w:lang w:val="sr-Latn-ME"/>
        </w:rPr>
        <w:t xml:space="preserve">jenjenog supstrata CYP3A4/2C8 paklitaksela. Stoga nije vjerovatan značajan uticaj na klirens drugih CYP3A4 supstrata. </w:t>
      </w:r>
    </w:p>
    <w:p w:rsidR="0020077A" w:rsidRPr="00BB0A8B" w:rsidRDefault="0020077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Inhibicija </w:t>
      </w:r>
      <w:r w:rsidR="00E06C57" w:rsidRPr="00BB0A8B">
        <w:rPr>
          <w:rFonts w:asciiTheme="majorBidi" w:hAnsiTheme="majorBidi" w:cstheme="majorBidi"/>
          <w:bCs/>
          <w:sz w:val="22"/>
          <w:szCs w:val="22"/>
          <w:lang w:val="sr-Latn-ME"/>
        </w:rPr>
        <w:t xml:space="preserve">glukuronidacije </w:t>
      </w:r>
      <w:r w:rsidRPr="00BB0A8B">
        <w:rPr>
          <w:rFonts w:asciiTheme="majorBidi" w:hAnsiTheme="majorBidi" w:cstheme="majorBidi"/>
          <w:bCs/>
          <w:sz w:val="22"/>
          <w:szCs w:val="22"/>
          <w:lang w:val="sr-Latn-ME"/>
        </w:rPr>
        <w:t>može da izazove interakcije sa ljekovima koji su supstrati UGT1A1 i njihova eliminacija se odvija isključivo ovim putem. Kod pacijen</w:t>
      </w:r>
      <w:r w:rsidR="00E06C57" w:rsidRPr="00BB0A8B">
        <w:rPr>
          <w:rFonts w:asciiTheme="majorBidi" w:hAnsiTheme="majorBidi" w:cstheme="majorBidi"/>
          <w:bCs/>
          <w:sz w:val="22"/>
          <w:szCs w:val="22"/>
          <w:lang w:val="sr-Latn-ME"/>
        </w:rPr>
        <w:t>a</w:t>
      </w:r>
      <w:r w:rsidRPr="00BB0A8B">
        <w:rPr>
          <w:rFonts w:asciiTheme="majorBidi" w:hAnsiTheme="majorBidi" w:cstheme="majorBidi"/>
          <w:bCs/>
          <w:sz w:val="22"/>
          <w:szCs w:val="22"/>
          <w:lang w:val="sr-Latn-ME"/>
        </w:rPr>
        <w:t xml:space="preserve">ta sa niskim nivoom ekspresije UGT1A1 ili genetskim poremećajima glukorinidacije (npr. </w:t>
      </w:r>
      <w:r w:rsidRPr="00BB0A8B">
        <w:rPr>
          <w:rFonts w:asciiTheme="majorBidi" w:hAnsiTheme="majorBidi" w:cstheme="majorBidi"/>
          <w:bCs/>
          <w:i/>
          <w:sz w:val="22"/>
          <w:szCs w:val="22"/>
          <w:lang w:val="sr-Latn-ME"/>
        </w:rPr>
        <w:t>Gilbert</w:t>
      </w:r>
      <w:r w:rsidR="00E06C57" w:rsidRPr="00BB0A8B">
        <w:rPr>
          <w:rFonts w:asciiTheme="majorBidi" w:hAnsiTheme="majorBidi" w:cstheme="majorBidi"/>
          <w:bCs/>
          <w:sz w:val="22"/>
          <w:szCs w:val="22"/>
          <w:lang w:val="sr-Latn-ME"/>
        </w:rPr>
        <w:t>-</w:t>
      </w:r>
      <w:r w:rsidRPr="00BB0A8B">
        <w:rPr>
          <w:rFonts w:asciiTheme="majorBidi" w:hAnsiTheme="majorBidi" w:cstheme="majorBidi"/>
          <w:bCs/>
          <w:sz w:val="22"/>
          <w:szCs w:val="22"/>
          <w:lang w:val="sr-Latn-ME"/>
        </w:rPr>
        <w:t xml:space="preserve">ova bolest) može doći do povišene koncentracije bilirubina u serumu, pa je potreban oprez pri liječenju. </w:t>
      </w:r>
    </w:p>
    <w:p w:rsidR="0020077A" w:rsidRPr="00BB0A8B" w:rsidRDefault="0020077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Erlotinib se kod ljudi metaboliše u jetri posredstvom hepatičkih citohroma, prvenstveno CYP3A4 i u manjoj mjeri CYP1A2. Ekstrahepatički metabolizam preko CYP3A4 u crijevima, CYP1A1 u plućima i CYP1B1 u tumorskom tkivu takođe potencijalno doprinosi metaboličkom klirensu erlotiniba. Potencijalne interakcije mogu nastati sa aktivnim supstancama koje se metabolišu preko ovih enzima ili su njihovi inhibitori ili ih indukuju.</w:t>
      </w:r>
    </w:p>
    <w:p w:rsidR="0020077A" w:rsidRPr="00BB0A8B" w:rsidRDefault="0020077A" w:rsidP="00BB0A8B">
      <w:pPr>
        <w:tabs>
          <w:tab w:val="left" w:pos="540"/>
          <w:tab w:val="left" w:pos="569"/>
        </w:tabs>
        <w:rPr>
          <w:rFonts w:asciiTheme="majorBidi" w:hAnsiTheme="majorBidi" w:cstheme="majorBidi"/>
          <w:bCs/>
          <w:sz w:val="22"/>
          <w:szCs w:val="22"/>
          <w:lang w:val="sr-Latn-ME"/>
        </w:rPr>
      </w:pPr>
    </w:p>
    <w:p w:rsidR="0020077A" w:rsidRPr="00BB0A8B" w:rsidRDefault="0020077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Snažni inhibitori aktivnosti CYP3A4 smanjuju metabolizam erlotiniba i povećavaju koncentraciju erlotiniba u plazmi. U jednoj kliničkoj studiji, istovremena upotreba erlotiniba sa ketokonazolom (200 mg oralno, dva puta na dan tokom 5 dana), koji je snažan inhibitor CYP3A4, dovela je do povećane izloženosti erlotinibu (86% PIK i 69% C</w:t>
      </w:r>
      <w:r w:rsidRPr="00BB0A8B">
        <w:rPr>
          <w:rFonts w:asciiTheme="majorBidi" w:hAnsiTheme="majorBidi" w:cstheme="majorBidi"/>
          <w:bCs/>
          <w:sz w:val="22"/>
          <w:szCs w:val="22"/>
          <w:vertAlign w:val="subscript"/>
          <w:lang w:val="sr-Latn-ME"/>
        </w:rPr>
        <w:t>max</w:t>
      </w:r>
      <w:r w:rsidRPr="00BB0A8B">
        <w:rPr>
          <w:rFonts w:asciiTheme="majorBidi" w:hAnsiTheme="majorBidi" w:cstheme="majorBidi"/>
          <w:bCs/>
          <w:sz w:val="22"/>
          <w:szCs w:val="22"/>
          <w:lang w:val="sr-Latn-ME"/>
        </w:rPr>
        <w:t>). Prema tome, potreban je oprez kada se erlotinib kombinuje sa snažnim inhibitorom CYP3A4, npr. azolnim antimikoticima (tj. ketokonazolom, itrakonazolom, vorikonazolom), inhibitorima proteaze, eritromicinom ili klaritromicinom. Ako je neophodno, dozu erlotiniba treba smanjiti, posebno ako se prim</w:t>
      </w:r>
      <w:r w:rsidR="00E06C57" w:rsidRPr="00BB0A8B">
        <w:rPr>
          <w:rFonts w:asciiTheme="majorBidi" w:hAnsiTheme="majorBidi" w:cstheme="majorBidi"/>
          <w:bCs/>
          <w:sz w:val="22"/>
          <w:szCs w:val="22"/>
          <w:lang w:val="sr-Latn-ME"/>
        </w:rPr>
        <w:t>i</w:t>
      </w:r>
      <w:r w:rsidRPr="00BB0A8B">
        <w:rPr>
          <w:rFonts w:asciiTheme="majorBidi" w:hAnsiTheme="majorBidi" w:cstheme="majorBidi"/>
          <w:bCs/>
          <w:sz w:val="22"/>
          <w:szCs w:val="22"/>
          <w:lang w:val="sr-Latn-ME"/>
        </w:rPr>
        <w:t>jete znaci toksičnosti.</w:t>
      </w:r>
    </w:p>
    <w:p w:rsidR="0020077A" w:rsidRPr="00BB0A8B" w:rsidRDefault="0020077A" w:rsidP="00BB0A8B">
      <w:pPr>
        <w:tabs>
          <w:tab w:val="left" w:pos="540"/>
          <w:tab w:val="left" w:pos="569"/>
        </w:tabs>
        <w:jc w:val="both"/>
        <w:rPr>
          <w:rFonts w:asciiTheme="majorBidi" w:hAnsiTheme="majorBidi" w:cstheme="majorBidi"/>
          <w:bCs/>
          <w:sz w:val="22"/>
          <w:szCs w:val="22"/>
          <w:lang w:val="sr-Latn-ME"/>
        </w:rPr>
      </w:pPr>
    </w:p>
    <w:p w:rsidR="0020077A" w:rsidRPr="00BB0A8B" w:rsidRDefault="0020077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Snažni induktori aktivnosti CYP3A4 pojačavaju metabolizam erlotiniba i značajno smanjuju koncentracije erlotiniba u plazmi. U jednoj kliničkoj studiji, istovremena upotreba erlotiniba i rifampicina (600 mg oralno, jednom dnevno tokom 7 dana), snažnog induktora CYP3A4, dovelo je do 69% smanjenja medijane vrijednosti PIK erlotiniba. Istovremena primjena rifampicina sa pojedinačnom dozom od 450 mg </w:t>
      </w:r>
      <w:r w:rsidR="00CC64C5" w:rsidRPr="00BB0A8B">
        <w:rPr>
          <w:rFonts w:asciiTheme="majorBidi" w:hAnsiTheme="majorBidi" w:cstheme="majorBidi"/>
          <w:bCs/>
          <w:sz w:val="22"/>
          <w:szCs w:val="22"/>
          <w:lang w:val="sr-Latn-ME"/>
        </w:rPr>
        <w:t>erlotiniba</w:t>
      </w:r>
      <w:r w:rsidRPr="00BB0A8B">
        <w:rPr>
          <w:rFonts w:asciiTheme="majorBidi" w:hAnsiTheme="majorBidi" w:cstheme="majorBidi"/>
          <w:bCs/>
          <w:sz w:val="22"/>
          <w:szCs w:val="22"/>
          <w:lang w:val="sr-Latn-ME"/>
        </w:rPr>
        <w:t xml:space="preserve"> dovela je do srednje izloženosti erlotinibu (PIK) od 57,5% izloženosti nakon pojedinačne doze od 150 mg </w:t>
      </w:r>
      <w:r w:rsidR="00CC64C5" w:rsidRPr="00BB0A8B">
        <w:rPr>
          <w:rFonts w:asciiTheme="majorBidi" w:hAnsiTheme="majorBidi" w:cstheme="majorBidi"/>
          <w:bCs/>
          <w:sz w:val="22"/>
          <w:szCs w:val="22"/>
          <w:lang w:val="sr-Latn-ME"/>
        </w:rPr>
        <w:t>erlotiniba</w:t>
      </w:r>
      <w:r w:rsidRPr="00BB0A8B">
        <w:rPr>
          <w:rFonts w:asciiTheme="majorBidi" w:hAnsiTheme="majorBidi" w:cstheme="majorBidi"/>
          <w:bCs/>
          <w:sz w:val="22"/>
          <w:szCs w:val="22"/>
          <w:lang w:val="sr-Latn-ME"/>
        </w:rPr>
        <w:t xml:space="preserve"> bez rifampicina. Stoga</w:t>
      </w:r>
      <w:r w:rsidR="00CC64C5" w:rsidRPr="00BB0A8B">
        <w:rPr>
          <w:rFonts w:asciiTheme="majorBidi" w:hAnsiTheme="majorBidi" w:cstheme="majorBidi"/>
          <w:bCs/>
          <w:sz w:val="22"/>
          <w:szCs w:val="22"/>
          <w:lang w:val="sr-Latn-ME"/>
        </w:rPr>
        <w:t xml:space="preserve"> je potrebno</w:t>
      </w:r>
      <w:r w:rsidRPr="00BB0A8B">
        <w:rPr>
          <w:rFonts w:asciiTheme="majorBidi" w:hAnsiTheme="majorBidi" w:cstheme="majorBidi"/>
          <w:bCs/>
          <w:sz w:val="22"/>
          <w:szCs w:val="22"/>
          <w:lang w:val="sr-Latn-ME"/>
        </w:rPr>
        <w:t xml:space="preserve"> izbjegavati istovremenu primjenu lijeka Erlotinib Actavis sa CYP3A4 induktorima. Za pacijente koji zaht</w:t>
      </w:r>
      <w:r w:rsidR="00E06C57" w:rsidRPr="00BB0A8B">
        <w:rPr>
          <w:rFonts w:asciiTheme="majorBidi" w:hAnsiTheme="majorBidi" w:cstheme="majorBidi"/>
          <w:bCs/>
          <w:sz w:val="22"/>
          <w:szCs w:val="22"/>
          <w:lang w:val="sr-Latn-ME"/>
        </w:rPr>
        <w:t>i</w:t>
      </w:r>
      <w:r w:rsidR="00CC64C5" w:rsidRPr="00BB0A8B">
        <w:rPr>
          <w:rFonts w:asciiTheme="majorBidi" w:hAnsiTheme="majorBidi" w:cstheme="majorBidi"/>
          <w:bCs/>
          <w:sz w:val="22"/>
          <w:szCs w:val="22"/>
          <w:lang w:val="sr-Latn-ME"/>
        </w:rPr>
        <w:t>j</w:t>
      </w:r>
      <w:r w:rsidRPr="00BB0A8B">
        <w:rPr>
          <w:rFonts w:asciiTheme="majorBidi" w:hAnsiTheme="majorBidi" w:cstheme="majorBidi"/>
          <w:bCs/>
          <w:sz w:val="22"/>
          <w:szCs w:val="22"/>
          <w:lang w:val="sr-Latn-ME"/>
        </w:rPr>
        <w:t>evaju istovremeno l</w:t>
      </w:r>
      <w:r w:rsidR="00CC64C5" w:rsidRPr="00BB0A8B">
        <w:rPr>
          <w:rFonts w:asciiTheme="majorBidi" w:hAnsiTheme="majorBidi" w:cstheme="majorBidi"/>
          <w:bCs/>
          <w:sz w:val="22"/>
          <w:szCs w:val="22"/>
          <w:lang w:val="sr-Latn-ME"/>
        </w:rPr>
        <w:t>ij</w:t>
      </w:r>
      <w:r w:rsidRPr="00BB0A8B">
        <w:rPr>
          <w:rFonts w:asciiTheme="majorBidi" w:hAnsiTheme="majorBidi" w:cstheme="majorBidi"/>
          <w:bCs/>
          <w:sz w:val="22"/>
          <w:szCs w:val="22"/>
          <w:lang w:val="sr-Latn-ME"/>
        </w:rPr>
        <w:t>ečenje l</w:t>
      </w:r>
      <w:r w:rsidR="00CC64C5" w:rsidRPr="00BB0A8B">
        <w:rPr>
          <w:rFonts w:asciiTheme="majorBidi" w:hAnsiTheme="majorBidi" w:cstheme="majorBidi"/>
          <w:bCs/>
          <w:sz w:val="22"/>
          <w:szCs w:val="22"/>
          <w:lang w:val="sr-Latn-ME"/>
        </w:rPr>
        <w:t>ij</w:t>
      </w:r>
      <w:r w:rsidRPr="00BB0A8B">
        <w:rPr>
          <w:rFonts w:asciiTheme="majorBidi" w:hAnsiTheme="majorBidi" w:cstheme="majorBidi"/>
          <w:bCs/>
          <w:sz w:val="22"/>
          <w:szCs w:val="22"/>
          <w:lang w:val="sr-Latn-ME"/>
        </w:rPr>
        <w:t>ekom Erlotinib Actavis i snažnim CYP3A4 induktorima, kao što je rifampicin, treba razmotriti povećanje doze na 300 mg</w:t>
      </w:r>
      <w:r w:rsidR="00E06C57" w:rsidRPr="00BB0A8B">
        <w:rPr>
          <w:rFonts w:asciiTheme="majorBidi" w:hAnsiTheme="majorBidi" w:cstheme="majorBidi"/>
          <w:bCs/>
          <w:sz w:val="22"/>
          <w:szCs w:val="22"/>
          <w:lang w:val="sr-Latn-ME"/>
        </w:rPr>
        <w:t>, i</w:t>
      </w:r>
      <w:r w:rsidRPr="00BB0A8B">
        <w:rPr>
          <w:rFonts w:asciiTheme="majorBidi" w:hAnsiTheme="majorBidi" w:cstheme="majorBidi"/>
          <w:bCs/>
          <w:sz w:val="22"/>
          <w:szCs w:val="22"/>
          <w:lang w:val="sr-Latn-ME"/>
        </w:rPr>
        <w:t xml:space="preserve"> pritom pažljivo pratiti bezbjednost pacijenta (uključujući funkcije bubrega i jetre i elektrolite u serumu), i ukoliko se dobro podnosi u periodu dužem od dvije nedjelje, treba razmotriti dalje povećanje na 450 mg uz pažljivo praćenje bezbjednosti terapije. Do smanjene izloženosti erlotinibu može doći i pri istovremenoj upotrebi drugih induktora, npr. fenitoina, </w:t>
      </w:r>
      <w:r w:rsidRPr="00BB0A8B">
        <w:rPr>
          <w:rFonts w:asciiTheme="majorBidi" w:hAnsiTheme="majorBidi" w:cstheme="majorBidi"/>
          <w:bCs/>
          <w:sz w:val="22"/>
          <w:szCs w:val="22"/>
          <w:lang w:val="sr-Latn-ME"/>
        </w:rPr>
        <w:lastRenderedPageBreak/>
        <w:t>karbamazepina, barbiturata ili kantariona (</w:t>
      </w:r>
      <w:r w:rsidRPr="00BB0A8B">
        <w:rPr>
          <w:rFonts w:asciiTheme="majorBidi" w:hAnsiTheme="majorBidi" w:cstheme="majorBidi"/>
          <w:bCs/>
          <w:i/>
          <w:sz w:val="22"/>
          <w:szCs w:val="22"/>
          <w:lang w:val="sr-Latn-ME"/>
        </w:rPr>
        <w:t>Hypericum perforatum</w:t>
      </w:r>
      <w:r w:rsidRPr="00BB0A8B">
        <w:rPr>
          <w:rFonts w:asciiTheme="majorBidi" w:hAnsiTheme="majorBidi" w:cstheme="majorBidi"/>
          <w:bCs/>
          <w:sz w:val="22"/>
          <w:szCs w:val="22"/>
          <w:lang w:val="sr-Latn-ME"/>
        </w:rPr>
        <w:t>). Treba biti oprezan i kada se ove aktivne supstance kombinuju sa erlotinibom. Treba uzeti u obzir i druge terapijske opcije koje nemaju snažnu CYP3A4 indukcionu aktivnost, kad god je to moguće.</w:t>
      </w:r>
    </w:p>
    <w:p w:rsidR="0020077A" w:rsidRPr="00BB0A8B" w:rsidRDefault="0020077A" w:rsidP="00BB0A8B">
      <w:pPr>
        <w:tabs>
          <w:tab w:val="left" w:pos="540"/>
          <w:tab w:val="left" w:pos="569"/>
        </w:tabs>
        <w:rPr>
          <w:rFonts w:asciiTheme="majorBidi" w:hAnsiTheme="majorBidi" w:cstheme="majorBidi"/>
          <w:bCs/>
          <w:sz w:val="22"/>
          <w:szCs w:val="22"/>
          <w:u w:val="single"/>
          <w:lang w:val="sr-Latn-ME"/>
        </w:rPr>
      </w:pPr>
    </w:p>
    <w:p w:rsidR="0020077A" w:rsidRPr="00BB0A8B" w:rsidRDefault="0020077A" w:rsidP="00BB0A8B">
      <w:pPr>
        <w:tabs>
          <w:tab w:val="left" w:pos="540"/>
          <w:tab w:val="left" w:pos="569"/>
        </w:tabs>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Erlotinib i kumarinski antikoagulansi </w:t>
      </w:r>
    </w:p>
    <w:p w:rsidR="0020077A" w:rsidRPr="00BB0A8B" w:rsidRDefault="0020077A" w:rsidP="00BB0A8B">
      <w:pPr>
        <w:tabs>
          <w:tab w:val="left" w:pos="540"/>
          <w:tab w:val="left" w:pos="569"/>
        </w:tabs>
        <w:rPr>
          <w:rFonts w:asciiTheme="majorBidi" w:hAnsiTheme="majorBidi" w:cstheme="majorBidi"/>
          <w:bCs/>
          <w:sz w:val="22"/>
          <w:szCs w:val="22"/>
          <w:u w:val="single"/>
          <w:lang w:val="sr-Latn-ME"/>
        </w:rPr>
      </w:pPr>
    </w:p>
    <w:p w:rsidR="0020077A" w:rsidRPr="00BB0A8B" w:rsidRDefault="0020077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Kod pacijenata koji su primali </w:t>
      </w:r>
      <w:r w:rsidR="00E06C57" w:rsidRPr="00BB0A8B">
        <w:rPr>
          <w:rFonts w:asciiTheme="majorBidi" w:hAnsiTheme="majorBidi" w:cstheme="majorBidi"/>
          <w:bCs/>
          <w:sz w:val="22"/>
          <w:szCs w:val="22"/>
          <w:lang w:val="sr-Latn-ME"/>
        </w:rPr>
        <w:t xml:space="preserve">erlotinib </w:t>
      </w:r>
      <w:r w:rsidRPr="00BB0A8B">
        <w:rPr>
          <w:rFonts w:asciiTheme="majorBidi" w:hAnsiTheme="majorBidi" w:cstheme="majorBidi"/>
          <w:bCs/>
          <w:sz w:val="22"/>
          <w:szCs w:val="22"/>
          <w:lang w:val="sr-Latn-ME"/>
        </w:rPr>
        <w:t xml:space="preserve">prijavljene su </w:t>
      </w:r>
      <w:r w:rsidR="00E06C57" w:rsidRPr="00BB0A8B">
        <w:rPr>
          <w:rFonts w:asciiTheme="majorBidi" w:hAnsiTheme="majorBidi" w:cstheme="majorBidi"/>
          <w:bCs/>
          <w:sz w:val="22"/>
          <w:szCs w:val="22"/>
          <w:lang w:val="sr-Latn-ME"/>
        </w:rPr>
        <w:t xml:space="preserve">interakcije </w:t>
      </w:r>
      <w:r w:rsidRPr="00BB0A8B">
        <w:rPr>
          <w:rFonts w:asciiTheme="majorBidi" w:hAnsiTheme="majorBidi" w:cstheme="majorBidi"/>
          <w:bCs/>
          <w:sz w:val="22"/>
          <w:szCs w:val="22"/>
          <w:lang w:val="sr-Latn-ME"/>
        </w:rPr>
        <w:t xml:space="preserve">sa kumarinskim antikoagulansima, uključujući varfarin, koje su dovele do povećanja INR-a i pojave krvarenja, koja su u nekim slučajevima imala smrtni ishod. Pacijente koji uzimaju kumarinske antikoagulanse treba pažljivo pratiti kako bi se uočile </w:t>
      </w:r>
      <w:r w:rsidR="00A70E6A" w:rsidRPr="00BB0A8B">
        <w:rPr>
          <w:rFonts w:asciiTheme="majorBidi" w:hAnsiTheme="majorBidi" w:cstheme="majorBidi"/>
          <w:bCs/>
          <w:sz w:val="22"/>
          <w:szCs w:val="22"/>
          <w:lang w:val="sr-Latn-ME"/>
        </w:rPr>
        <w:t xml:space="preserve">bilo kakve </w:t>
      </w:r>
      <w:r w:rsidRPr="00BB0A8B">
        <w:rPr>
          <w:rFonts w:asciiTheme="majorBidi" w:hAnsiTheme="majorBidi" w:cstheme="majorBidi"/>
          <w:bCs/>
          <w:sz w:val="22"/>
          <w:szCs w:val="22"/>
          <w:lang w:val="sr-Latn-ME"/>
        </w:rPr>
        <w:t xml:space="preserve">promjene u protrombinskom vremenu ili INR. </w:t>
      </w:r>
    </w:p>
    <w:p w:rsidR="0020077A" w:rsidRPr="00BB0A8B" w:rsidRDefault="0020077A" w:rsidP="00BB0A8B">
      <w:pPr>
        <w:tabs>
          <w:tab w:val="left" w:pos="540"/>
          <w:tab w:val="left" w:pos="569"/>
        </w:tabs>
        <w:rPr>
          <w:rFonts w:asciiTheme="majorBidi" w:hAnsiTheme="majorBidi" w:cstheme="majorBidi"/>
          <w:bCs/>
          <w:sz w:val="22"/>
          <w:szCs w:val="22"/>
          <w:lang w:val="sr-Latn-ME"/>
        </w:rPr>
      </w:pPr>
    </w:p>
    <w:p w:rsidR="0020077A" w:rsidRDefault="0020077A"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Erlotinib i statini </w:t>
      </w:r>
    </w:p>
    <w:p w:rsidR="00BB0A8B" w:rsidRPr="00BB0A8B" w:rsidRDefault="00BB0A8B" w:rsidP="00BB0A8B">
      <w:pPr>
        <w:tabs>
          <w:tab w:val="left" w:pos="540"/>
          <w:tab w:val="left" w:pos="569"/>
        </w:tabs>
        <w:jc w:val="both"/>
        <w:rPr>
          <w:rFonts w:asciiTheme="majorBidi" w:hAnsiTheme="majorBidi" w:cstheme="majorBidi"/>
          <w:bCs/>
          <w:sz w:val="22"/>
          <w:szCs w:val="22"/>
          <w:u w:val="single"/>
          <w:lang w:val="sr-Latn-ME"/>
        </w:rPr>
      </w:pPr>
    </w:p>
    <w:p w:rsidR="0020077A" w:rsidRPr="00BB0A8B" w:rsidRDefault="0020077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Kombinacija </w:t>
      </w:r>
      <w:r w:rsidR="00A70E6A" w:rsidRPr="00BB0A8B">
        <w:rPr>
          <w:rFonts w:asciiTheme="majorBidi" w:hAnsiTheme="majorBidi" w:cstheme="majorBidi"/>
          <w:bCs/>
          <w:sz w:val="22"/>
          <w:szCs w:val="22"/>
          <w:lang w:val="sr-Latn-ME"/>
        </w:rPr>
        <w:t>erlotiniba</w:t>
      </w:r>
      <w:r w:rsidRPr="00BB0A8B">
        <w:rPr>
          <w:rFonts w:asciiTheme="majorBidi" w:hAnsiTheme="majorBidi" w:cstheme="majorBidi"/>
          <w:bCs/>
          <w:sz w:val="22"/>
          <w:szCs w:val="22"/>
          <w:lang w:val="sr-Latn-ME"/>
        </w:rPr>
        <w:t xml:space="preserve"> i statina može da poveća mogućnost razvoja miopatije indukovane statinima, uključujući rabdomiolizu, što je rijetko zabilježeno. </w:t>
      </w:r>
    </w:p>
    <w:p w:rsidR="0020077A" w:rsidRPr="00BB0A8B" w:rsidRDefault="0020077A" w:rsidP="00BB0A8B">
      <w:pPr>
        <w:tabs>
          <w:tab w:val="left" w:pos="540"/>
          <w:tab w:val="left" w:pos="569"/>
        </w:tabs>
        <w:jc w:val="both"/>
        <w:rPr>
          <w:rFonts w:asciiTheme="majorBidi" w:hAnsiTheme="majorBidi" w:cstheme="majorBidi"/>
          <w:bCs/>
          <w:sz w:val="22"/>
          <w:szCs w:val="22"/>
          <w:lang w:val="sr-Latn-ME"/>
        </w:rPr>
      </w:pPr>
    </w:p>
    <w:p w:rsidR="0020077A" w:rsidRPr="00BB0A8B" w:rsidRDefault="0020077A"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Erlotinib i pušači </w:t>
      </w:r>
    </w:p>
    <w:p w:rsidR="0020077A" w:rsidRPr="00BB0A8B" w:rsidRDefault="0020077A" w:rsidP="00BB0A8B">
      <w:pPr>
        <w:tabs>
          <w:tab w:val="left" w:pos="540"/>
          <w:tab w:val="left" w:pos="569"/>
        </w:tabs>
        <w:jc w:val="both"/>
        <w:rPr>
          <w:rFonts w:asciiTheme="majorBidi" w:hAnsiTheme="majorBidi" w:cstheme="majorBidi"/>
          <w:bCs/>
          <w:sz w:val="22"/>
          <w:szCs w:val="22"/>
          <w:u w:val="single"/>
          <w:lang w:val="sr-Latn-ME"/>
        </w:rPr>
      </w:pPr>
    </w:p>
    <w:p w:rsidR="0020077A" w:rsidRPr="00BB0A8B" w:rsidRDefault="0020077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Rezultati ispitivanja farmakokinetičkih interakcija kod zdravih ispitanika pokazali su značajno smanjenje PIK</w:t>
      </w:r>
      <w:r w:rsidRPr="00BB0A8B">
        <w:rPr>
          <w:rFonts w:asciiTheme="majorBidi" w:hAnsiTheme="majorBidi" w:cstheme="majorBidi"/>
          <w:bCs/>
          <w:sz w:val="22"/>
          <w:szCs w:val="22"/>
          <w:vertAlign w:val="subscript"/>
          <w:lang w:val="sr-Latn-ME"/>
        </w:rPr>
        <w:t>inf</w:t>
      </w:r>
      <w:r w:rsidRPr="00BB0A8B">
        <w:rPr>
          <w:rFonts w:asciiTheme="majorBidi" w:hAnsiTheme="majorBidi" w:cstheme="majorBidi"/>
          <w:bCs/>
          <w:sz w:val="22"/>
          <w:szCs w:val="22"/>
          <w:lang w:val="sr-Latn-ME"/>
        </w:rPr>
        <w:t>, C</w:t>
      </w:r>
      <w:r w:rsidRPr="00BB0A8B">
        <w:rPr>
          <w:rFonts w:asciiTheme="majorBidi" w:hAnsiTheme="majorBidi" w:cstheme="majorBidi"/>
          <w:bCs/>
          <w:sz w:val="22"/>
          <w:szCs w:val="22"/>
          <w:vertAlign w:val="subscript"/>
          <w:lang w:val="sr-Latn-ME"/>
        </w:rPr>
        <w:t>max</w:t>
      </w:r>
      <w:r w:rsidRPr="00BB0A8B">
        <w:rPr>
          <w:rFonts w:asciiTheme="majorBidi" w:hAnsiTheme="majorBidi" w:cstheme="majorBidi"/>
          <w:bCs/>
          <w:sz w:val="22"/>
          <w:szCs w:val="22"/>
          <w:lang w:val="sr-Latn-ME"/>
        </w:rPr>
        <w:t xml:space="preserve"> i koncentracije u plazmi nakon 24 sata (2</w:t>
      </w:r>
      <w:r w:rsidR="00A70E6A" w:rsidRPr="00BB0A8B">
        <w:rPr>
          <w:rFonts w:asciiTheme="majorBidi" w:hAnsiTheme="majorBidi" w:cstheme="majorBidi"/>
          <w:bCs/>
          <w:sz w:val="22"/>
          <w:szCs w:val="22"/>
          <w:lang w:val="sr-Latn-ME"/>
        </w:rPr>
        <w:t>,</w:t>
      </w:r>
      <w:r w:rsidRPr="00BB0A8B">
        <w:rPr>
          <w:rFonts w:asciiTheme="majorBidi" w:hAnsiTheme="majorBidi" w:cstheme="majorBidi"/>
          <w:bCs/>
          <w:sz w:val="22"/>
          <w:szCs w:val="22"/>
          <w:lang w:val="sr-Latn-ME"/>
        </w:rPr>
        <w:t>8, 1</w:t>
      </w:r>
      <w:r w:rsidR="00663E23" w:rsidRPr="00BB0A8B">
        <w:rPr>
          <w:rFonts w:asciiTheme="majorBidi" w:hAnsiTheme="majorBidi" w:cstheme="majorBidi"/>
          <w:bCs/>
          <w:sz w:val="22"/>
          <w:szCs w:val="22"/>
          <w:lang w:val="sr-Latn-ME"/>
        </w:rPr>
        <w:t>,</w:t>
      </w:r>
      <w:r w:rsidRPr="00BB0A8B">
        <w:rPr>
          <w:rFonts w:asciiTheme="majorBidi" w:hAnsiTheme="majorBidi" w:cstheme="majorBidi"/>
          <w:bCs/>
          <w:sz w:val="22"/>
          <w:szCs w:val="22"/>
          <w:lang w:val="sr-Latn-ME"/>
        </w:rPr>
        <w:t xml:space="preserve">5 odnosno 9 puta), respektivno, nakon primjene </w:t>
      </w:r>
      <w:r w:rsidR="00A552F1" w:rsidRPr="00BB0A8B">
        <w:rPr>
          <w:rFonts w:asciiTheme="majorBidi" w:hAnsiTheme="majorBidi" w:cstheme="majorBidi"/>
          <w:bCs/>
          <w:sz w:val="22"/>
          <w:szCs w:val="22"/>
          <w:lang w:val="sr-Latn-ME"/>
        </w:rPr>
        <w:t>erlotiniba</w:t>
      </w:r>
      <w:r w:rsidRPr="00BB0A8B">
        <w:rPr>
          <w:rFonts w:asciiTheme="majorBidi" w:hAnsiTheme="majorBidi" w:cstheme="majorBidi"/>
          <w:bCs/>
          <w:sz w:val="22"/>
          <w:szCs w:val="22"/>
          <w:lang w:val="sr-Latn-ME"/>
        </w:rPr>
        <w:t xml:space="preserve"> kod pušača u poređenju sa primjenom kod nepušača. Stoga pacijente koji puše treba podstaknuti da prestanu da puše, što je prije moguće, prije početka terapije lijekom Erlotinib Actavis, jer u </w:t>
      </w:r>
      <w:r w:rsidR="00A552F1" w:rsidRPr="00BB0A8B">
        <w:rPr>
          <w:rFonts w:asciiTheme="majorBidi" w:hAnsiTheme="majorBidi" w:cstheme="majorBidi"/>
          <w:bCs/>
          <w:sz w:val="22"/>
          <w:szCs w:val="22"/>
          <w:lang w:val="sr-Latn-ME"/>
        </w:rPr>
        <w:t xml:space="preserve">suprotnom </w:t>
      </w:r>
      <w:r w:rsidRPr="00BB0A8B">
        <w:rPr>
          <w:rFonts w:asciiTheme="majorBidi" w:hAnsiTheme="majorBidi" w:cstheme="majorBidi"/>
          <w:bCs/>
          <w:sz w:val="22"/>
          <w:szCs w:val="22"/>
          <w:lang w:val="sr-Latn-ME"/>
        </w:rPr>
        <w:t xml:space="preserve">može doći do smanjenja koncentracija erlotiniba u plazmi. </w:t>
      </w:r>
    </w:p>
    <w:p w:rsidR="0020077A" w:rsidRPr="00BB0A8B" w:rsidRDefault="0020077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Prema podacima iz studije CURRENTS, nije bilo dokaza da je korist liječenja kod aktivnih pušača veća prilikom primjene veće doze erlotiniba (300 mg) nego prilikom primjene preporučene doze od 150 mg. Podaci o bezbjednosti za doze od 300 mg i 150 mg bili su uporedivi, međutim, kod pacijenata koji su primali veću dozu erlotiniba zabilježeno je brojčano povećanje incidencije osipa, intersticijske bolesti pluća i dijareje (vidjeti </w:t>
      </w:r>
      <w:r w:rsidR="00A552F1" w:rsidRPr="00BB0A8B">
        <w:rPr>
          <w:rFonts w:asciiTheme="majorBidi" w:hAnsiTheme="majorBidi" w:cstheme="majorBidi"/>
          <w:bCs/>
          <w:sz w:val="22"/>
          <w:szCs w:val="22"/>
          <w:lang w:val="sr-Latn-ME"/>
        </w:rPr>
        <w:t xml:space="preserve">djelove </w:t>
      </w:r>
      <w:r w:rsidRPr="00BB0A8B">
        <w:rPr>
          <w:rFonts w:asciiTheme="majorBidi" w:hAnsiTheme="majorBidi" w:cstheme="majorBidi"/>
          <w:bCs/>
          <w:sz w:val="22"/>
          <w:szCs w:val="22"/>
          <w:lang w:val="sr-Latn-ME"/>
        </w:rPr>
        <w:t>4.2, 4.4, 5.1 i 5.2).</w:t>
      </w: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Erlotinib i inhibitori P-glikoproteina </w:t>
      </w: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Erlotinib je supstrat za P-glikoprotein, nosač za aktivne supstance. Istovremena primjena inhibitora Pgp, npr. ciklosporina i verapamila, može da dovede do izmijenjene distribucije i/ili izmijenjene eliminacije erlotiniba. Posljedice ove interakcije za npr. CNS toksičnost nijesu utvrđene. U svim ovim situacijama potreban je oprez.</w:t>
      </w: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Erlotinib i ljekovi koji mijenjaju pH </w:t>
      </w: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Karakteristika erlotiniba je smanjena rastvorljivost pri vrijednostima pH iznad 5. Stoga, ljekovi koji mijenjaju pH vrijednost u gornjem dijelu gastrointestinalnog trakta (GIT) mogu promijeniti rastvorljivost erlotiniba i time njegovu biološku raspoloživost. Istovremena primjena erlotiniba i omeprazola, inhibitora protonske pumpe (PPI), smanjuje izloženost erlotinibu [PIK] i maksimalnu koncentraciju [C</w:t>
      </w:r>
      <w:r w:rsidRPr="00BB0A8B">
        <w:rPr>
          <w:rFonts w:asciiTheme="majorBidi" w:hAnsiTheme="majorBidi" w:cstheme="majorBidi"/>
          <w:bCs/>
          <w:sz w:val="22"/>
          <w:szCs w:val="22"/>
          <w:vertAlign w:val="subscript"/>
          <w:lang w:val="sr-Latn-ME"/>
        </w:rPr>
        <w:t>max</w:t>
      </w:r>
      <w:r w:rsidRPr="00BB0A8B">
        <w:rPr>
          <w:rFonts w:asciiTheme="majorBidi" w:hAnsiTheme="majorBidi" w:cstheme="majorBidi"/>
          <w:bCs/>
          <w:sz w:val="22"/>
          <w:szCs w:val="22"/>
          <w:lang w:val="sr-Latn-ME"/>
        </w:rPr>
        <w:t>] za 46% odnosno za 61%. Nije bilo promjene u T</w:t>
      </w:r>
      <w:r w:rsidRPr="00BB0A8B">
        <w:rPr>
          <w:rFonts w:asciiTheme="majorBidi" w:hAnsiTheme="majorBidi" w:cstheme="majorBidi"/>
          <w:bCs/>
          <w:sz w:val="22"/>
          <w:szCs w:val="22"/>
          <w:vertAlign w:val="subscript"/>
          <w:lang w:val="sr-Latn-ME"/>
        </w:rPr>
        <w:t>max</w:t>
      </w:r>
      <w:r w:rsidRPr="00BB0A8B">
        <w:rPr>
          <w:rFonts w:asciiTheme="majorBidi" w:hAnsiTheme="majorBidi" w:cstheme="majorBidi"/>
          <w:bCs/>
          <w:sz w:val="22"/>
          <w:szCs w:val="22"/>
          <w:lang w:val="sr-Latn-ME"/>
        </w:rPr>
        <w:t xml:space="preserve"> ili poluvremenu eliminacije. Istovremena primjena </w:t>
      </w:r>
      <w:r w:rsidR="00A552F1" w:rsidRPr="00BB0A8B">
        <w:rPr>
          <w:rFonts w:asciiTheme="majorBidi" w:hAnsiTheme="majorBidi" w:cstheme="majorBidi"/>
          <w:bCs/>
          <w:sz w:val="22"/>
          <w:szCs w:val="22"/>
          <w:lang w:val="sr-Latn-ME"/>
        </w:rPr>
        <w:t>erlotiniba</w:t>
      </w:r>
      <w:r w:rsidRPr="00BB0A8B">
        <w:rPr>
          <w:rFonts w:asciiTheme="majorBidi" w:hAnsiTheme="majorBidi" w:cstheme="majorBidi"/>
          <w:bCs/>
          <w:sz w:val="22"/>
          <w:szCs w:val="22"/>
          <w:lang w:val="sr-Latn-ME"/>
        </w:rPr>
        <w:t xml:space="preserve"> sa 300 mg ranitidina, antagoniste H2 receptora, smanjila je izloženost erlotinibu [PIK] i maksimalnu koncentraciju [C</w:t>
      </w:r>
      <w:r w:rsidRPr="00BB0A8B">
        <w:rPr>
          <w:rFonts w:asciiTheme="majorBidi" w:hAnsiTheme="majorBidi" w:cstheme="majorBidi"/>
          <w:bCs/>
          <w:sz w:val="22"/>
          <w:szCs w:val="22"/>
          <w:vertAlign w:val="subscript"/>
          <w:lang w:val="sr-Latn-ME"/>
        </w:rPr>
        <w:t>max</w:t>
      </w:r>
      <w:r w:rsidRPr="00BB0A8B">
        <w:rPr>
          <w:rFonts w:asciiTheme="majorBidi" w:hAnsiTheme="majorBidi" w:cstheme="majorBidi"/>
          <w:bCs/>
          <w:sz w:val="22"/>
          <w:szCs w:val="22"/>
          <w:lang w:val="sr-Latn-ME"/>
        </w:rPr>
        <w:t xml:space="preserve">] za 33% odnosno za 54%. Povećanje doze lijeka Erlotinib Actavis prilikom istovremene primjene sa ovim ljekovima vjerovatno neće nadoknaditi gubitak izloženosti lijeku. Međutim, kada se doze rasporede tako da se </w:t>
      </w:r>
      <w:r w:rsidR="00A552F1" w:rsidRPr="00BB0A8B">
        <w:rPr>
          <w:rFonts w:asciiTheme="majorBidi" w:hAnsiTheme="majorBidi" w:cstheme="majorBidi"/>
          <w:bCs/>
          <w:sz w:val="22"/>
          <w:szCs w:val="22"/>
          <w:lang w:val="sr-Latn-ME"/>
        </w:rPr>
        <w:t xml:space="preserve">erlotinib </w:t>
      </w:r>
      <w:r w:rsidRPr="00BB0A8B">
        <w:rPr>
          <w:rFonts w:asciiTheme="majorBidi" w:hAnsiTheme="majorBidi" w:cstheme="majorBidi"/>
          <w:bCs/>
          <w:sz w:val="22"/>
          <w:szCs w:val="22"/>
          <w:lang w:val="sr-Latn-ME"/>
        </w:rPr>
        <w:t>primjenjuje 2 sata prije ili 10 sati nakon ranitidina, koji se daje dva puta dnevno u dozi do 150 mg, izloženost erlotinibu [PIK] i maksimalnu koncentraciju [C</w:t>
      </w:r>
      <w:r w:rsidRPr="00BB0A8B">
        <w:rPr>
          <w:rFonts w:asciiTheme="majorBidi" w:hAnsiTheme="majorBidi" w:cstheme="majorBidi"/>
          <w:bCs/>
          <w:sz w:val="22"/>
          <w:szCs w:val="22"/>
          <w:vertAlign w:val="subscript"/>
          <w:lang w:val="sr-Latn-ME"/>
        </w:rPr>
        <w:t>ma</w:t>
      </w:r>
      <w:r w:rsidRPr="00BB0A8B">
        <w:rPr>
          <w:rFonts w:asciiTheme="majorBidi" w:hAnsiTheme="majorBidi" w:cstheme="majorBidi"/>
          <w:bCs/>
          <w:sz w:val="22"/>
          <w:szCs w:val="22"/>
          <w:lang w:val="sr-Latn-ME"/>
        </w:rPr>
        <w:t xml:space="preserve">x] smanjene su samo za 15% odnosno za 17%. Efekat antacida i H2 antagonista na resorpciju erlotiniba nije ispitivan ali resorpcija može biti narušena, što dovodi do nižih nivoa u plazmi. Kombinacija erlotiniba i inhibitora protonske pumpe bi trebalo da se izbjegava. Ukoliko je primjena antacida neophodna tokom terapije lijekom Erlotinib Actavis, trebalo bi ih uzeti najmanje 4 sata prije ili 2 sata nakon dnevne doze lijeka Erlotinib Actavis. Ukoliko se razmatra upotreba ranitidina, trebalo bi rasporediti doziranje tako da lijek Erlotinib Actavis treba uzeti najmanje 2 sata prije ili 10 sati nakon doze ranitidina. </w:t>
      </w:r>
    </w:p>
    <w:p w:rsidR="00E308EE" w:rsidRPr="00BB0A8B" w:rsidRDefault="00E308EE" w:rsidP="00BB0A8B">
      <w:pPr>
        <w:tabs>
          <w:tab w:val="left" w:pos="540"/>
          <w:tab w:val="left" w:pos="569"/>
        </w:tabs>
        <w:rPr>
          <w:rFonts w:asciiTheme="majorBidi" w:hAnsiTheme="majorBidi" w:cstheme="majorBidi"/>
          <w:bCs/>
          <w:sz w:val="22"/>
          <w:szCs w:val="22"/>
          <w:lang w:val="sr-Latn-ME"/>
        </w:rPr>
      </w:pPr>
    </w:p>
    <w:p w:rsidR="00BB0A8B" w:rsidRDefault="00BB0A8B" w:rsidP="00BB0A8B">
      <w:pPr>
        <w:tabs>
          <w:tab w:val="left" w:pos="540"/>
          <w:tab w:val="left" w:pos="569"/>
        </w:tabs>
        <w:jc w:val="both"/>
        <w:rPr>
          <w:rFonts w:asciiTheme="majorBidi" w:hAnsiTheme="majorBidi" w:cstheme="majorBidi"/>
          <w:bCs/>
          <w:sz w:val="22"/>
          <w:szCs w:val="22"/>
          <w:u w:val="single"/>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lastRenderedPageBreak/>
        <w:t xml:space="preserve">Erlotinib i gemcitabin </w:t>
      </w: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U jednoj studiji faze Ib, nije bilo značajnih dejstava gemcitabina na farmakokinetiku erlotiniba, niti je bilo značajnih dejstava erlotiniba na farmakokinetiku gemcitabina.</w:t>
      </w:r>
    </w:p>
    <w:p w:rsidR="00E308EE" w:rsidRPr="00BB0A8B" w:rsidRDefault="00E308EE" w:rsidP="00BB0A8B">
      <w:pPr>
        <w:tabs>
          <w:tab w:val="left" w:pos="540"/>
          <w:tab w:val="left" w:pos="569"/>
        </w:tabs>
        <w:jc w:val="both"/>
        <w:rPr>
          <w:rFonts w:asciiTheme="majorBidi" w:hAnsiTheme="majorBidi" w:cstheme="majorBidi"/>
          <w:bCs/>
          <w:sz w:val="22"/>
          <w:szCs w:val="22"/>
          <w:u w:val="single"/>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Erlotinib i karboplatin/paklitaksel </w:t>
      </w: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Erlotinib povećava koncentraciju platine. U kliničkoj studiji, istovremena upotreba erlotiniba sa karboplatinom i paklitakselom dovela je do povećanja ukupnog PIK</w:t>
      </w:r>
      <w:r w:rsidRPr="00BB0A8B">
        <w:rPr>
          <w:rFonts w:asciiTheme="majorBidi" w:hAnsiTheme="majorBidi" w:cstheme="majorBidi"/>
          <w:bCs/>
          <w:sz w:val="22"/>
          <w:szCs w:val="22"/>
          <w:vertAlign w:val="subscript"/>
          <w:lang w:val="sr-Latn-ME"/>
        </w:rPr>
        <w:t>0-48</w:t>
      </w:r>
      <w:r w:rsidRPr="00BB0A8B">
        <w:rPr>
          <w:rFonts w:asciiTheme="majorBidi" w:hAnsiTheme="majorBidi" w:cstheme="majorBidi"/>
          <w:bCs/>
          <w:sz w:val="22"/>
          <w:szCs w:val="22"/>
          <w:lang w:val="sr-Latn-ME"/>
        </w:rPr>
        <w:t xml:space="preserve"> platine za 10,6%. Iako statistički značajna, ova razlika nije smatrana klinički značajnom. U kliničkoj praksi, moguće je da postoje drugi kofaktori koji dovode do povećanja izloženosti karboplatinu</w:t>
      </w:r>
      <w:r w:rsidR="00A552F1" w:rsidRPr="00BB0A8B">
        <w:rPr>
          <w:rFonts w:asciiTheme="majorBidi" w:hAnsiTheme="majorBidi" w:cstheme="majorBidi"/>
          <w:bCs/>
          <w:sz w:val="22"/>
          <w:szCs w:val="22"/>
          <w:lang w:val="sr-Latn-ME"/>
        </w:rPr>
        <w:t>,</w:t>
      </w:r>
      <w:r w:rsidRPr="00BB0A8B">
        <w:rPr>
          <w:rFonts w:asciiTheme="majorBidi" w:hAnsiTheme="majorBidi" w:cstheme="majorBidi"/>
          <w:bCs/>
          <w:sz w:val="22"/>
          <w:szCs w:val="22"/>
          <w:lang w:val="sr-Latn-ME"/>
        </w:rPr>
        <w:t xml:space="preserve"> kao što je oštećenje funkcije bubrega. Nije bilo značajnih efekata karboplatina ili paklitaksela na farmakokinetiku erlotiniba. </w:t>
      </w:r>
    </w:p>
    <w:p w:rsidR="00E308EE" w:rsidRPr="00BB0A8B" w:rsidRDefault="00E308EE" w:rsidP="00BB0A8B">
      <w:pPr>
        <w:tabs>
          <w:tab w:val="left" w:pos="540"/>
          <w:tab w:val="left" w:pos="569"/>
        </w:tabs>
        <w:jc w:val="both"/>
        <w:rPr>
          <w:rFonts w:asciiTheme="majorBidi" w:hAnsiTheme="majorBidi" w:cstheme="majorBidi"/>
          <w:bCs/>
          <w:sz w:val="22"/>
          <w:szCs w:val="22"/>
          <w:u w:val="single"/>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Erlotinib i kapecitabin </w:t>
      </w: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Kapecitabin može da poveća koncentraciju erlotiniba. Kada je erlotinib dat u kombinaciji sa kapecitabinom, došlo je do statistički značajnog povećanja PIK-a erlotiniba i graničnog povećanja u C</w:t>
      </w:r>
      <w:r w:rsidRPr="00BB0A8B">
        <w:rPr>
          <w:rFonts w:asciiTheme="majorBidi" w:hAnsiTheme="majorBidi" w:cstheme="majorBidi"/>
          <w:bCs/>
          <w:sz w:val="22"/>
          <w:szCs w:val="22"/>
          <w:vertAlign w:val="subscript"/>
          <w:lang w:val="sr-Latn-ME"/>
        </w:rPr>
        <w:t>max</w:t>
      </w:r>
      <w:r w:rsidRPr="00BB0A8B">
        <w:rPr>
          <w:rFonts w:asciiTheme="majorBidi" w:hAnsiTheme="majorBidi" w:cstheme="majorBidi"/>
          <w:bCs/>
          <w:sz w:val="22"/>
          <w:szCs w:val="22"/>
          <w:lang w:val="sr-Latn-ME"/>
        </w:rPr>
        <w:t xml:space="preserve"> u poređenju sa vrijednostima uočenim u drugoj studiji gd</w:t>
      </w:r>
      <w:r w:rsidR="00A552F1" w:rsidRPr="00BB0A8B">
        <w:rPr>
          <w:rFonts w:asciiTheme="majorBidi" w:hAnsiTheme="majorBidi" w:cstheme="majorBidi"/>
          <w:bCs/>
          <w:sz w:val="22"/>
          <w:szCs w:val="22"/>
          <w:lang w:val="sr-Latn-ME"/>
        </w:rPr>
        <w:t>j</w:t>
      </w:r>
      <w:r w:rsidRPr="00BB0A8B">
        <w:rPr>
          <w:rFonts w:asciiTheme="majorBidi" w:hAnsiTheme="majorBidi" w:cstheme="majorBidi"/>
          <w:bCs/>
          <w:sz w:val="22"/>
          <w:szCs w:val="22"/>
          <w:lang w:val="sr-Latn-ME"/>
        </w:rPr>
        <w:t xml:space="preserve">e je erlotinib primjenjivan samostalno. Nije bilo značajnog uticaja erlotiniba na farmakokinetiku kapecitabina. </w:t>
      </w: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Erlotinib i inhibitori proteazoma </w:t>
      </w: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Usl</w:t>
      </w:r>
      <w:r w:rsidR="00A552F1" w:rsidRPr="00BB0A8B">
        <w:rPr>
          <w:rFonts w:asciiTheme="majorBidi" w:hAnsiTheme="majorBidi" w:cstheme="majorBidi"/>
          <w:bCs/>
          <w:sz w:val="22"/>
          <w:szCs w:val="22"/>
          <w:lang w:val="sr-Latn-ME"/>
        </w:rPr>
        <w:t>j</w:t>
      </w:r>
      <w:r w:rsidRPr="00BB0A8B">
        <w:rPr>
          <w:rFonts w:asciiTheme="majorBidi" w:hAnsiTheme="majorBidi" w:cstheme="majorBidi"/>
          <w:bCs/>
          <w:sz w:val="22"/>
          <w:szCs w:val="22"/>
          <w:lang w:val="sr-Latn-ME"/>
        </w:rPr>
        <w:t xml:space="preserve">ed mehanizma djelovanja, može se očekivati da inhibitori proteazoma, uključujući bortezomib, utiču na efekte inhibitora EGFR (engl. </w:t>
      </w:r>
      <w:r w:rsidRPr="00BB0A8B">
        <w:rPr>
          <w:rFonts w:asciiTheme="majorBidi" w:hAnsiTheme="majorBidi" w:cstheme="majorBidi"/>
          <w:bCs/>
          <w:i/>
          <w:sz w:val="22"/>
          <w:szCs w:val="22"/>
          <w:lang w:val="sr-Latn-ME"/>
        </w:rPr>
        <w:t>epidermal growth factor receptor</w:t>
      </w:r>
      <w:r w:rsidRPr="00BB0A8B">
        <w:rPr>
          <w:rFonts w:asciiTheme="majorBidi" w:hAnsiTheme="majorBidi" w:cstheme="majorBidi"/>
          <w:bCs/>
          <w:sz w:val="22"/>
          <w:szCs w:val="22"/>
          <w:lang w:val="sr-Latn-ME"/>
        </w:rPr>
        <w:t>), uključujući erlotinib. Ovakav uticaj podržavaju ograničeni klinički podaci i pretklinička ispitivanja koja pokazuju degradaciju EGFR preko proteazoma.</w:t>
      </w:r>
    </w:p>
    <w:p w:rsidR="0020077A" w:rsidRPr="00BB0A8B" w:rsidRDefault="0020077A" w:rsidP="00BB0A8B">
      <w:pPr>
        <w:tabs>
          <w:tab w:val="left" w:pos="540"/>
          <w:tab w:val="left" w:pos="569"/>
        </w:tabs>
        <w:rPr>
          <w:rFonts w:asciiTheme="majorBidi" w:hAnsiTheme="majorBidi" w:cstheme="majorBidi"/>
          <w:bCs/>
          <w:sz w:val="22"/>
          <w:szCs w:val="22"/>
          <w:lang w:val="sr-Latn-ME"/>
        </w:rPr>
      </w:pPr>
    </w:p>
    <w:p w:rsidR="0072020E" w:rsidRPr="00BB0A8B" w:rsidRDefault="0072020E" w:rsidP="00BB0A8B">
      <w:pPr>
        <w:tabs>
          <w:tab w:val="left" w:pos="540"/>
          <w:tab w:val="left" w:pos="569"/>
        </w:tabs>
        <w:rPr>
          <w:rFonts w:asciiTheme="majorBidi" w:hAnsiTheme="majorBidi" w:cstheme="majorBidi"/>
          <w:b/>
          <w:sz w:val="22"/>
          <w:szCs w:val="22"/>
          <w:lang w:val="sr-Latn-ME"/>
        </w:rPr>
      </w:pPr>
      <w:r w:rsidRPr="00BB0A8B">
        <w:rPr>
          <w:rFonts w:asciiTheme="majorBidi" w:hAnsiTheme="majorBidi" w:cstheme="majorBidi"/>
          <w:b/>
          <w:bCs/>
          <w:sz w:val="22"/>
          <w:szCs w:val="22"/>
          <w:lang w:val="sr-Latn-ME"/>
        </w:rPr>
        <w:t xml:space="preserve">4.6. </w:t>
      </w:r>
      <w:r w:rsidR="00480FB1" w:rsidRPr="00BB0A8B">
        <w:rPr>
          <w:rFonts w:asciiTheme="majorBidi" w:hAnsiTheme="majorBidi" w:cstheme="majorBidi"/>
          <w:b/>
          <w:bCs/>
          <w:sz w:val="22"/>
          <w:szCs w:val="22"/>
          <w:lang w:val="sr-Latn-ME"/>
        </w:rPr>
        <w:tab/>
      </w:r>
      <w:r w:rsidR="006D20A5" w:rsidRPr="00BB0A8B">
        <w:rPr>
          <w:rFonts w:asciiTheme="majorBidi" w:hAnsiTheme="majorBidi" w:cstheme="majorBidi"/>
          <w:b/>
          <w:sz w:val="22"/>
          <w:szCs w:val="22"/>
          <w:lang w:val="sr-Latn-ME"/>
        </w:rPr>
        <w:t>Plodnost, trudnoća i dojenje</w:t>
      </w:r>
    </w:p>
    <w:p w:rsidR="002031B3" w:rsidRPr="00BB0A8B" w:rsidRDefault="002031B3" w:rsidP="00BB0A8B">
      <w:pPr>
        <w:tabs>
          <w:tab w:val="left" w:pos="540"/>
          <w:tab w:val="left" w:pos="569"/>
        </w:tabs>
        <w:rPr>
          <w:rFonts w:asciiTheme="majorBidi" w:hAnsiTheme="majorBidi" w:cstheme="majorBidi"/>
          <w:sz w:val="22"/>
          <w:szCs w:val="22"/>
          <w:u w:val="single"/>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Trudnoća</w:t>
      </w:r>
    </w:p>
    <w:p w:rsidR="00E308EE" w:rsidRPr="00BB0A8B" w:rsidRDefault="00E308EE" w:rsidP="00BB0A8B">
      <w:pPr>
        <w:tabs>
          <w:tab w:val="left" w:pos="540"/>
          <w:tab w:val="left" w:pos="569"/>
        </w:tabs>
        <w:jc w:val="both"/>
        <w:rPr>
          <w:rFonts w:asciiTheme="majorBidi" w:hAnsiTheme="majorBidi" w:cstheme="majorBidi"/>
          <w:bCs/>
          <w:sz w:val="22"/>
          <w:szCs w:val="22"/>
          <w:u w:val="single"/>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Ne postoje odgovarajući podaci o primjeni erlotiniba kod trudnica. Studije na životinjama pokazale su da nema dokaza o teratogenosti i abnormalnosti porođaja. Međutim, štetan uticaj na trudnoću ne može se isključiti, pošto su studije na pacovima i kunićima pokazale povećani embriofetalni letalitet (vidjeti </w:t>
      </w:r>
      <w:r w:rsidR="006103AA"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 xml:space="preserve">5.3). Potencijalni rizik za ljude nije poznat. </w:t>
      </w: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Žene u reproduktivnom periodu </w:t>
      </w:r>
    </w:p>
    <w:p w:rsidR="00E308EE" w:rsidRPr="00BB0A8B" w:rsidRDefault="00E308EE" w:rsidP="00BB0A8B">
      <w:pPr>
        <w:tabs>
          <w:tab w:val="left" w:pos="540"/>
          <w:tab w:val="left" w:pos="569"/>
        </w:tabs>
        <w:jc w:val="both"/>
        <w:rPr>
          <w:rFonts w:asciiTheme="majorBidi" w:hAnsiTheme="majorBidi" w:cstheme="majorBidi"/>
          <w:bCs/>
          <w:sz w:val="22"/>
          <w:szCs w:val="22"/>
          <w:u w:val="single"/>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Ženama </w:t>
      </w:r>
      <w:r w:rsidR="006103AA" w:rsidRPr="00BB0A8B">
        <w:rPr>
          <w:rFonts w:asciiTheme="majorBidi" w:hAnsiTheme="majorBidi" w:cstheme="majorBidi"/>
          <w:bCs/>
          <w:sz w:val="22"/>
          <w:szCs w:val="22"/>
          <w:lang w:val="sr-Latn-ME"/>
        </w:rPr>
        <w:t>u reproduktivnom periodu</w:t>
      </w:r>
      <w:r w:rsidRPr="00BB0A8B">
        <w:rPr>
          <w:rFonts w:asciiTheme="majorBidi" w:hAnsiTheme="majorBidi" w:cstheme="majorBidi"/>
          <w:bCs/>
          <w:sz w:val="22"/>
          <w:szCs w:val="22"/>
          <w:lang w:val="sr-Latn-ME"/>
        </w:rPr>
        <w:t xml:space="preserve"> treba savjetovati da </w:t>
      </w:r>
      <w:r w:rsidR="006103AA" w:rsidRPr="00BB0A8B">
        <w:rPr>
          <w:rFonts w:asciiTheme="majorBidi" w:hAnsiTheme="majorBidi" w:cstheme="majorBidi"/>
          <w:bCs/>
          <w:sz w:val="22"/>
          <w:szCs w:val="22"/>
          <w:lang w:val="sr-Latn-ME"/>
        </w:rPr>
        <w:t xml:space="preserve">izbjegavaju </w:t>
      </w:r>
      <w:r w:rsidRPr="00BB0A8B">
        <w:rPr>
          <w:rFonts w:asciiTheme="majorBidi" w:hAnsiTheme="majorBidi" w:cstheme="majorBidi"/>
          <w:bCs/>
          <w:sz w:val="22"/>
          <w:szCs w:val="22"/>
          <w:lang w:val="sr-Latn-ME"/>
        </w:rPr>
        <w:t xml:space="preserve">trudnoću za vrijeme primjene erlotiniba. Tokom trajanja terapije treba koristiti odgovarajuću kontracepciju i sa njom nastaviti još najmanje 2 nedjelje nakon završetka ove terapije. Terapiju kod trudnica treba nastaviti samo ako je potencijalna korist za majku veća od rizika po fetus. </w:t>
      </w: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Dojenje </w:t>
      </w:r>
    </w:p>
    <w:p w:rsidR="00E308EE" w:rsidRPr="00BB0A8B" w:rsidRDefault="00E308EE" w:rsidP="00BB0A8B">
      <w:pPr>
        <w:tabs>
          <w:tab w:val="left" w:pos="540"/>
          <w:tab w:val="left" w:pos="569"/>
        </w:tabs>
        <w:jc w:val="both"/>
        <w:rPr>
          <w:rFonts w:asciiTheme="majorBidi" w:hAnsiTheme="majorBidi" w:cstheme="majorBidi"/>
          <w:bCs/>
          <w:sz w:val="22"/>
          <w:szCs w:val="22"/>
          <w:u w:val="single"/>
          <w:lang w:val="sr-Latn-ME"/>
        </w:rPr>
      </w:pP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Nije poznato da li se erlotinib izlučuje u majčino mlijeko. Nisu sprovedene studije koje bi ocijenile uticaj erlotiniba na proizvodnju mlijeka ili njegovu prisutnost u majčinom mlijeku. Budući da potencijalna opasnost po odojče nije poznata, </w:t>
      </w:r>
      <w:r w:rsidR="006103AA" w:rsidRPr="00BB0A8B">
        <w:rPr>
          <w:rFonts w:asciiTheme="majorBidi" w:hAnsiTheme="majorBidi" w:cstheme="majorBidi"/>
          <w:bCs/>
          <w:sz w:val="22"/>
          <w:szCs w:val="22"/>
          <w:lang w:val="sr-Latn-ME"/>
        </w:rPr>
        <w:t xml:space="preserve">majkama </w:t>
      </w:r>
      <w:r w:rsidRPr="00BB0A8B">
        <w:rPr>
          <w:rFonts w:asciiTheme="majorBidi" w:hAnsiTheme="majorBidi" w:cstheme="majorBidi"/>
          <w:bCs/>
          <w:sz w:val="22"/>
          <w:szCs w:val="22"/>
          <w:lang w:val="sr-Latn-ME"/>
        </w:rPr>
        <w:t xml:space="preserve">je potrebno savjetovati da ne doje za vrijeme primjene erlotiniba i još najmanje 2 </w:t>
      </w:r>
      <w:r w:rsidR="006103AA" w:rsidRPr="00BB0A8B">
        <w:rPr>
          <w:rFonts w:asciiTheme="majorBidi" w:hAnsiTheme="majorBidi" w:cstheme="majorBidi"/>
          <w:bCs/>
          <w:sz w:val="22"/>
          <w:szCs w:val="22"/>
          <w:lang w:val="sr-Latn-ME"/>
        </w:rPr>
        <w:t xml:space="preserve">nedjelje </w:t>
      </w:r>
      <w:r w:rsidRPr="00BB0A8B">
        <w:rPr>
          <w:rFonts w:asciiTheme="majorBidi" w:hAnsiTheme="majorBidi" w:cstheme="majorBidi"/>
          <w:bCs/>
          <w:sz w:val="22"/>
          <w:szCs w:val="22"/>
          <w:lang w:val="sr-Latn-ME"/>
        </w:rPr>
        <w:t xml:space="preserve">nakon posljednje doze lijeka. </w:t>
      </w:r>
    </w:p>
    <w:p w:rsidR="00E308EE" w:rsidRPr="00BB0A8B" w:rsidRDefault="00E308EE" w:rsidP="00BB0A8B">
      <w:pPr>
        <w:tabs>
          <w:tab w:val="left" w:pos="540"/>
          <w:tab w:val="left" w:pos="569"/>
        </w:tabs>
        <w:jc w:val="both"/>
        <w:rPr>
          <w:rFonts w:asciiTheme="majorBidi" w:hAnsiTheme="majorBidi" w:cstheme="majorBidi"/>
          <w:bCs/>
          <w:sz w:val="22"/>
          <w:szCs w:val="22"/>
          <w:lang w:val="sr-Latn-ME"/>
        </w:rPr>
      </w:pPr>
    </w:p>
    <w:p w:rsidR="00E308EE" w:rsidRPr="00BB0A8B" w:rsidRDefault="00300BB8"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Plodnost </w:t>
      </w:r>
    </w:p>
    <w:p w:rsidR="00E308EE" w:rsidRPr="00BB0A8B" w:rsidRDefault="00E308EE" w:rsidP="00BB0A8B">
      <w:pPr>
        <w:tabs>
          <w:tab w:val="left" w:pos="540"/>
          <w:tab w:val="left" w:pos="569"/>
        </w:tabs>
        <w:jc w:val="both"/>
        <w:rPr>
          <w:rFonts w:asciiTheme="majorBidi" w:hAnsiTheme="majorBidi" w:cstheme="majorBidi"/>
          <w:bCs/>
          <w:sz w:val="22"/>
          <w:szCs w:val="22"/>
          <w:u w:val="single"/>
          <w:lang w:val="sr-Latn-ME"/>
        </w:rPr>
      </w:pPr>
    </w:p>
    <w:p w:rsidR="00E308EE" w:rsidRPr="00BB0A8B" w:rsidRDefault="00E308EE" w:rsidP="00BB0A8B">
      <w:pPr>
        <w:tabs>
          <w:tab w:val="left" w:pos="540"/>
          <w:tab w:val="left" w:pos="569"/>
        </w:tabs>
        <w:jc w:val="both"/>
        <w:rPr>
          <w:rFonts w:asciiTheme="majorBidi" w:hAnsiTheme="majorBidi" w:cstheme="majorBidi"/>
          <w:b/>
          <w:bCs/>
          <w:sz w:val="22"/>
          <w:szCs w:val="22"/>
          <w:lang w:val="sr-Latn-ME"/>
        </w:rPr>
      </w:pPr>
      <w:r w:rsidRPr="00BB0A8B">
        <w:rPr>
          <w:rFonts w:asciiTheme="majorBidi" w:hAnsiTheme="majorBidi" w:cstheme="majorBidi"/>
          <w:bCs/>
          <w:sz w:val="22"/>
          <w:szCs w:val="22"/>
          <w:lang w:val="sr-Latn-ME"/>
        </w:rPr>
        <w:t xml:space="preserve">Studije na životinjama nijesu pokazale znake smanjene plodnosti. Međutim, štetan uticaj na plodnost se ne može isključiti, jer su studije na životinjama pokazale uticaj na reproduktivne parametre (vidjeti </w:t>
      </w:r>
      <w:r w:rsidR="006103AA"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5.3). Potencijalni rizik za ljude nije poznat.</w:t>
      </w:r>
    </w:p>
    <w:p w:rsidR="00227BDB" w:rsidRPr="00BB0A8B" w:rsidRDefault="00227BDB" w:rsidP="00BB0A8B">
      <w:pPr>
        <w:tabs>
          <w:tab w:val="left" w:pos="540"/>
          <w:tab w:val="left" w:pos="569"/>
        </w:tabs>
        <w:ind w:left="540" w:hanging="540"/>
        <w:rPr>
          <w:rFonts w:asciiTheme="majorBidi" w:hAnsiTheme="majorBidi" w:cstheme="majorBidi"/>
          <w:b/>
          <w:bCs/>
          <w:sz w:val="22"/>
          <w:szCs w:val="22"/>
          <w:lang w:val="sr-Latn-ME"/>
        </w:rPr>
      </w:pPr>
    </w:p>
    <w:p w:rsidR="00BB0A8B" w:rsidRDefault="00BB0A8B" w:rsidP="00BB0A8B">
      <w:pPr>
        <w:tabs>
          <w:tab w:val="left" w:pos="540"/>
          <w:tab w:val="left" w:pos="569"/>
        </w:tabs>
        <w:ind w:left="540" w:hanging="540"/>
        <w:rPr>
          <w:rFonts w:asciiTheme="majorBidi" w:hAnsiTheme="majorBidi" w:cstheme="majorBidi"/>
          <w:b/>
          <w:bCs/>
          <w:sz w:val="22"/>
          <w:szCs w:val="22"/>
          <w:lang w:val="sr-Latn-ME"/>
        </w:rPr>
      </w:pPr>
    </w:p>
    <w:p w:rsidR="0072020E" w:rsidRPr="00BB0A8B" w:rsidRDefault="0072020E" w:rsidP="00BB0A8B">
      <w:pPr>
        <w:tabs>
          <w:tab w:val="left" w:pos="540"/>
          <w:tab w:val="left" w:pos="569"/>
        </w:tabs>
        <w:ind w:left="540" w:hanging="540"/>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lastRenderedPageBreak/>
        <w:t xml:space="preserve">4.7.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 xml:space="preserve">Uticaj na </w:t>
      </w:r>
      <w:r w:rsidR="002031B3" w:rsidRPr="00BB0A8B">
        <w:rPr>
          <w:rFonts w:asciiTheme="majorBidi" w:hAnsiTheme="majorBidi" w:cstheme="majorBidi"/>
          <w:b/>
          <w:bCs/>
          <w:sz w:val="22"/>
          <w:szCs w:val="22"/>
          <w:lang w:val="sr-Latn-ME"/>
        </w:rPr>
        <w:t xml:space="preserve">sposobnost </w:t>
      </w:r>
      <w:r w:rsidR="00F34554" w:rsidRPr="00BB0A8B">
        <w:rPr>
          <w:rFonts w:asciiTheme="majorBidi" w:hAnsiTheme="majorBidi" w:cstheme="majorBidi"/>
          <w:b/>
          <w:bCs/>
          <w:sz w:val="22"/>
          <w:szCs w:val="22"/>
          <w:lang w:val="sr-Latn-ME"/>
        </w:rPr>
        <w:t>upravljanja vozili</w:t>
      </w:r>
      <w:r w:rsidRPr="00BB0A8B">
        <w:rPr>
          <w:rFonts w:asciiTheme="majorBidi" w:hAnsiTheme="majorBidi" w:cstheme="majorBidi"/>
          <w:b/>
          <w:bCs/>
          <w:sz w:val="22"/>
          <w:szCs w:val="22"/>
          <w:lang w:val="sr-Latn-ME"/>
        </w:rPr>
        <w:t>m</w:t>
      </w:r>
      <w:r w:rsidR="00F34554" w:rsidRPr="00BB0A8B">
        <w:rPr>
          <w:rFonts w:asciiTheme="majorBidi" w:hAnsiTheme="majorBidi" w:cstheme="majorBidi"/>
          <w:b/>
          <w:bCs/>
          <w:sz w:val="22"/>
          <w:szCs w:val="22"/>
          <w:lang w:val="sr-Latn-ME"/>
        </w:rPr>
        <w:t>a</w:t>
      </w:r>
      <w:r w:rsidRPr="00BB0A8B">
        <w:rPr>
          <w:rFonts w:asciiTheme="majorBidi" w:hAnsiTheme="majorBidi" w:cstheme="majorBidi"/>
          <w:b/>
          <w:bCs/>
          <w:sz w:val="22"/>
          <w:szCs w:val="22"/>
          <w:lang w:val="sr-Latn-ME"/>
        </w:rPr>
        <w:t xml:space="preserve"> i </w:t>
      </w:r>
      <w:r w:rsidR="000D3449" w:rsidRPr="00BB0A8B">
        <w:rPr>
          <w:rFonts w:asciiTheme="majorBidi" w:hAnsiTheme="majorBidi" w:cstheme="majorBidi"/>
          <w:b/>
          <w:bCs/>
          <w:sz w:val="22"/>
          <w:szCs w:val="22"/>
          <w:lang w:val="sr-Latn-ME"/>
        </w:rPr>
        <w:t xml:space="preserve">rukovanje </w:t>
      </w:r>
      <w:r w:rsidRPr="00BB0A8B">
        <w:rPr>
          <w:rFonts w:asciiTheme="majorBidi" w:hAnsiTheme="majorBidi" w:cstheme="majorBidi"/>
          <w:b/>
          <w:bCs/>
          <w:sz w:val="22"/>
          <w:szCs w:val="22"/>
          <w:lang w:val="sr-Latn-ME"/>
        </w:rPr>
        <w:t>mašinama</w:t>
      </w:r>
    </w:p>
    <w:p w:rsidR="00E308EE" w:rsidRPr="00BB0A8B" w:rsidRDefault="00E308EE" w:rsidP="00BB0A8B">
      <w:pPr>
        <w:tabs>
          <w:tab w:val="left" w:pos="540"/>
          <w:tab w:val="left" w:pos="569"/>
        </w:tabs>
        <w:ind w:left="540" w:hanging="540"/>
        <w:rPr>
          <w:rFonts w:asciiTheme="majorBidi" w:hAnsiTheme="majorBidi" w:cstheme="majorBidi"/>
          <w:b/>
          <w:bCs/>
          <w:sz w:val="22"/>
          <w:szCs w:val="22"/>
          <w:lang w:val="sr-Latn-ME"/>
        </w:rPr>
      </w:pPr>
    </w:p>
    <w:p w:rsidR="00E308EE" w:rsidRPr="00BB0A8B" w:rsidRDefault="00E308EE" w:rsidP="00BB0A8B">
      <w:pPr>
        <w:tabs>
          <w:tab w:val="left" w:pos="0"/>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Nijesu spovedena ispitivanja o uticaju na sposobnost </w:t>
      </w:r>
      <w:r w:rsidR="00EF55A4" w:rsidRPr="00BB0A8B">
        <w:rPr>
          <w:rFonts w:asciiTheme="majorBidi" w:hAnsiTheme="majorBidi" w:cstheme="majorBidi"/>
          <w:bCs/>
          <w:sz w:val="22"/>
          <w:szCs w:val="22"/>
          <w:lang w:val="sr-Latn-ME"/>
        </w:rPr>
        <w:t xml:space="preserve">upravljanja </w:t>
      </w:r>
      <w:r w:rsidRPr="00BB0A8B">
        <w:rPr>
          <w:rFonts w:asciiTheme="majorBidi" w:hAnsiTheme="majorBidi" w:cstheme="majorBidi"/>
          <w:bCs/>
          <w:sz w:val="22"/>
          <w:szCs w:val="22"/>
          <w:lang w:val="sr-Latn-ME"/>
        </w:rPr>
        <w:t>vozilima i rukovanje mašinama</w:t>
      </w:r>
      <w:r w:rsidR="006103AA" w:rsidRPr="00BB0A8B">
        <w:rPr>
          <w:rFonts w:asciiTheme="majorBidi" w:hAnsiTheme="majorBidi" w:cstheme="majorBidi"/>
          <w:bCs/>
          <w:sz w:val="22"/>
          <w:szCs w:val="22"/>
          <w:lang w:val="sr-Latn-ME"/>
        </w:rPr>
        <w:t>,</w:t>
      </w:r>
      <w:r w:rsidRPr="00BB0A8B">
        <w:rPr>
          <w:rFonts w:asciiTheme="majorBidi" w:hAnsiTheme="majorBidi" w:cstheme="majorBidi"/>
          <w:bCs/>
          <w:sz w:val="22"/>
          <w:szCs w:val="22"/>
          <w:lang w:val="sr-Latn-ME"/>
        </w:rPr>
        <w:t xml:space="preserve"> ali se erlotinib ne povezuje sa smanjenjem mentalnih sposobnosti.</w:t>
      </w:r>
    </w:p>
    <w:p w:rsidR="0072020E" w:rsidRPr="00BB0A8B" w:rsidRDefault="0072020E" w:rsidP="00BB0A8B">
      <w:pPr>
        <w:tabs>
          <w:tab w:val="left" w:pos="540"/>
          <w:tab w:val="left" w:pos="569"/>
        </w:tabs>
        <w:rPr>
          <w:rFonts w:asciiTheme="majorBidi" w:hAnsiTheme="majorBidi" w:cstheme="majorBidi"/>
          <w:b/>
          <w:bCs/>
          <w:sz w:val="22"/>
          <w:szCs w:val="22"/>
          <w:lang w:val="sr-Latn-ME"/>
        </w:rPr>
      </w:pPr>
    </w:p>
    <w:p w:rsidR="0072020E" w:rsidRPr="00BB0A8B" w:rsidRDefault="0072020E"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4.8.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Neželjena dejstva</w:t>
      </w:r>
    </w:p>
    <w:p w:rsidR="004E70AD" w:rsidRPr="00BB0A8B" w:rsidRDefault="004E70AD" w:rsidP="00BB0A8B">
      <w:pPr>
        <w:tabs>
          <w:tab w:val="left" w:pos="540"/>
          <w:tab w:val="left" w:pos="569"/>
        </w:tabs>
        <w:rPr>
          <w:rFonts w:asciiTheme="majorBidi" w:hAnsiTheme="majorBidi" w:cstheme="majorBidi"/>
          <w:b/>
          <w:bCs/>
          <w:sz w:val="22"/>
          <w:szCs w:val="22"/>
          <w:lang w:val="sr-Latn-ME"/>
        </w:rPr>
      </w:pPr>
    </w:p>
    <w:p w:rsidR="00CD2B8A" w:rsidRPr="00BB0A8B" w:rsidRDefault="00CD2B8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Procjena bezbjednosti erlotiniba se zasniva na podacima </w:t>
      </w:r>
      <w:r w:rsidR="006936CC" w:rsidRPr="00BB0A8B">
        <w:rPr>
          <w:rFonts w:asciiTheme="majorBidi" w:hAnsiTheme="majorBidi" w:cstheme="majorBidi"/>
          <w:bCs/>
          <w:sz w:val="22"/>
          <w:szCs w:val="22"/>
          <w:lang w:val="sr-Latn-ME"/>
        </w:rPr>
        <w:t xml:space="preserve">prikupljenim od </w:t>
      </w:r>
      <w:r w:rsidRPr="00BB0A8B">
        <w:rPr>
          <w:rFonts w:asciiTheme="majorBidi" w:hAnsiTheme="majorBidi" w:cstheme="majorBidi"/>
          <w:bCs/>
          <w:sz w:val="22"/>
          <w:szCs w:val="22"/>
          <w:lang w:val="sr-Latn-ME"/>
        </w:rPr>
        <w:t>više od 1500 pacijenata koji su bili na tretmanu najmanje jed</w:t>
      </w:r>
      <w:r w:rsidR="006936CC" w:rsidRPr="00BB0A8B">
        <w:rPr>
          <w:rFonts w:asciiTheme="majorBidi" w:hAnsiTheme="majorBidi" w:cstheme="majorBidi"/>
          <w:bCs/>
          <w:sz w:val="22"/>
          <w:szCs w:val="22"/>
          <w:lang w:val="sr-Latn-ME"/>
        </w:rPr>
        <w:t>nom</w:t>
      </w:r>
      <w:r w:rsidRPr="00BB0A8B">
        <w:rPr>
          <w:rFonts w:asciiTheme="majorBidi" w:hAnsiTheme="majorBidi" w:cstheme="majorBidi"/>
          <w:bCs/>
          <w:sz w:val="22"/>
          <w:szCs w:val="22"/>
          <w:lang w:val="sr-Latn-ME"/>
        </w:rPr>
        <w:t xml:space="preserve">  dozom od 150 mg erlotiniba kao monoterapije i više od 3000 pacijenata koji su primali 100 mg ili 150 mg erlotiniba u kombinaciji sa gemcitabinom.</w:t>
      </w:r>
    </w:p>
    <w:p w:rsidR="00CD2B8A" w:rsidRPr="00BB0A8B" w:rsidRDefault="00CD2B8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Incidenca neželjenih dejstava iz kliničkih studija koja su prijavljena kod primjene erlotiniba kao monoterapije ili u kombinaciji sa hemioterapijom prema gradusu toksičnosti u skladu sa opštim kriterijumima toksičnosti Nacionalnog instituta za rak ((engl. </w:t>
      </w:r>
      <w:r w:rsidRPr="00BB0A8B">
        <w:rPr>
          <w:rFonts w:asciiTheme="majorBidi" w:hAnsiTheme="majorBidi" w:cstheme="majorBidi"/>
          <w:bCs/>
          <w:i/>
          <w:iCs/>
          <w:sz w:val="22"/>
          <w:szCs w:val="22"/>
          <w:lang w:val="sr-Latn-ME"/>
        </w:rPr>
        <w:t>National Cancer Institute-Common Toxicity Criteria</w:t>
      </w:r>
      <w:r w:rsidRPr="00BB0A8B">
        <w:rPr>
          <w:rFonts w:asciiTheme="majorBidi" w:hAnsiTheme="majorBidi" w:cstheme="majorBidi"/>
          <w:bCs/>
          <w:sz w:val="22"/>
          <w:szCs w:val="22"/>
          <w:lang w:val="sr-Latn-ME"/>
        </w:rPr>
        <w:t>, NCI-CTC) sažeto je prikazana u Tabeli 1. Nevedena neželjena dejstva su bila ona koje su češće prim</w:t>
      </w:r>
      <w:r w:rsidR="006936CC" w:rsidRPr="00BB0A8B">
        <w:rPr>
          <w:rFonts w:asciiTheme="majorBidi" w:hAnsiTheme="majorBidi" w:cstheme="majorBidi"/>
          <w:bCs/>
          <w:sz w:val="22"/>
          <w:szCs w:val="22"/>
          <w:lang w:val="sr-Latn-ME"/>
        </w:rPr>
        <w:t>i</w:t>
      </w:r>
      <w:r w:rsidRPr="00BB0A8B">
        <w:rPr>
          <w:rFonts w:asciiTheme="majorBidi" w:hAnsiTheme="majorBidi" w:cstheme="majorBidi"/>
          <w:bCs/>
          <w:sz w:val="22"/>
          <w:szCs w:val="22"/>
          <w:lang w:val="sr-Latn-ME"/>
        </w:rPr>
        <w:t>jećena (≥3%) kod pacijenata u grupi koja je primala erlotinib nego u grupi koja je primala placebo i kod najmanje 10% pacijenata koji su primali erlotinib. Ostala neželjena dejstva, uključujući i ona iz drugih studija, sumirana su u Tabeli 2.</w:t>
      </w:r>
    </w:p>
    <w:p w:rsidR="00CD2B8A" w:rsidRPr="00BB0A8B" w:rsidRDefault="00CD2B8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Neželjena dejstva iz kliničkih studija (Tabela 1) su navedena prema MEdDRA klasama sistema organa. Sljedeći termini su korišćeni za rangiranje neželjenih dejstava prema učestalosti: veoma česta (≥1/10); česta (≥1/100 do &lt;1/10); povremena (≥1/1000 do &lt;1/100); rijetka (≥1/10000 do &lt;1/1000); veoma rijetka (&lt;1/10000).</w:t>
      </w:r>
    </w:p>
    <w:p w:rsidR="00CD2B8A" w:rsidRPr="00BB0A8B" w:rsidRDefault="00CD2B8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U svakoj grupi učestalosti, neželjene reakcije su prikazane </w:t>
      </w:r>
      <w:r w:rsidR="006936CC" w:rsidRPr="00BB0A8B">
        <w:rPr>
          <w:rFonts w:asciiTheme="majorBidi" w:hAnsiTheme="majorBidi" w:cstheme="majorBidi"/>
          <w:bCs/>
          <w:sz w:val="22"/>
          <w:szCs w:val="22"/>
          <w:lang w:val="sr-Latn-ME"/>
        </w:rPr>
        <w:t xml:space="preserve">po </w:t>
      </w:r>
      <w:r w:rsidRPr="00BB0A8B">
        <w:rPr>
          <w:rFonts w:asciiTheme="majorBidi" w:hAnsiTheme="majorBidi" w:cstheme="majorBidi"/>
          <w:bCs/>
          <w:sz w:val="22"/>
          <w:szCs w:val="22"/>
          <w:lang w:val="sr-Latn-ME"/>
        </w:rPr>
        <w:t>opadajuć</w:t>
      </w:r>
      <w:r w:rsidR="006936CC" w:rsidRPr="00BB0A8B">
        <w:rPr>
          <w:rFonts w:asciiTheme="majorBidi" w:hAnsiTheme="majorBidi" w:cstheme="majorBidi"/>
          <w:bCs/>
          <w:sz w:val="22"/>
          <w:szCs w:val="22"/>
          <w:lang w:val="sr-Latn-ME"/>
        </w:rPr>
        <w:t>oj</w:t>
      </w:r>
      <w:r w:rsidRPr="00BB0A8B">
        <w:rPr>
          <w:rFonts w:asciiTheme="majorBidi" w:hAnsiTheme="majorBidi" w:cstheme="majorBidi"/>
          <w:bCs/>
          <w:sz w:val="22"/>
          <w:szCs w:val="22"/>
          <w:lang w:val="sr-Latn-ME"/>
        </w:rPr>
        <w:t xml:space="preserve"> ozbiljnosti.</w:t>
      </w:r>
    </w:p>
    <w:p w:rsidR="00F7298E" w:rsidRPr="00BB0A8B" w:rsidRDefault="00F7298E" w:rsidP="00BB0A8B">
      <w:pPr>
        <w:tabs>
          <w:tab w:val="left" w:pos="540"/>
          <w:tab w:val="left" w:pos="569"/>
        </w:tabs>
        <w:jc w:val="both"/>
        <w:rPr>
          <w:rFonts w:asciiTheme="majorBidi" w:hAnsiTheme="majorBidi" w:cstheme="majorBidi"/>
          <w:bCs/>
          <w:sz w:val="22"/>
          <w:szCs w:val="22"/>
          <w:lang w:val="sr-Latn-ME"/>
        </w:rPr>
      </w:pPr>
    </w:p>
    <w:p w:rsidR="00CD2B8A" w:rsidRPr="00BB0A8B" w:rsidRDefault="00CD2B8A"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Nemikrocelularni karcinom pluća (prim</w:t>
      </w:r>
      <w:r w:rsidR="006936CC" w:rsidRPr="00BB0A8B">
        <w:rPr>
          <w:rFonts w:asciiTheme="majorBidi" w:hAnsiTheme="majorBidi" w:cstheme="majorBidi"/>
          <w:bCs/>
          <w:sz w:val="22"/>
          <w:szCs w:val="22"/>
          <w:u w:val="single"/>
          <w:lang w:val="sr-Latn-ME"/>
        </w:rPr>
        <w:t>j</w:t>
      </w:r>
      <w:r w:rsidRPr="00BB0A8B">
        <w:rPr>
          <w:rFonts w:asciiTheme="majorBidi" w:hAnsiTheme="majorBidi" w:cstheme="majorBidi"/>
          <w:bCs/>
          <w:sz w:val="22"/>
          <w:szCs w:val="22"/>
          <w:u w:val="single"/>
          <w:lang w:val="sr-Latn-ME"/>
        </w:rPr>
        <w:t>ena erlotiniba kao monoterapij</w:t>
      </w:r>
      <w:r w:rsidR="006936CC" w:rsidRPr="00BB0A8B">
        <w:rPr>
          <w:rFonts w:asciiTheme="majorBidi" w:hAnsiTheme="majorBidi" w:cstheme="majorBidi"/>
          <w:bCs/>
          <w:sz w:val="22"/>
          <w:szCs w:val="22"/>
          <w:u w:val="single"/>
          <w:lang w:val="sr-Latn-ME"/>
        </w:rPr>
        <w:t>e</w:t>
      </w:r>
      <w:r w:rsidRPr="00BB0A8B">
        <w:rPr>
          <w:rFonts w:asciiTheme="majorBidi" w:hAnsiTheme="majorBidi" w:cstheme="majorBidi"/>
          <w:bCs/>
          <w:sz w:val="22"/>
          <w:szCs w:val="22"/>
          <w:u w:val="single"/>
          <w:lang w:val="sr-Latn-ME"/>
        </w:rPr>
        <w:t>)</w:t>
      </w:r>
    </w:p>
    <w:p w:rsidR="00CD2B8A" w:rsidRPr="00BB0A8B" w:rsidRDefault="00CD2B8A" w:rsidP="00BB0A8B">
      <w:pPr>
        <w:tabs>
          <w:tab w:val="left" w:pos="540"/>
          <w:tab w:val="left" w:pos="569"/>
        </w:tabs>
        <w:jc w:val="both"/>
        <w:rPr>
          <w:rFonts w:asciiTheme="majorBidi" w:hAnsiTheme="majorBidi" w:cstheme="majorBidi"/>
          <w:bCs/>
          <w:sz w:val="22"/>
          <w:szCs w:val="22"/>
          <w:u w:val="single"/>
          <w:lang w:val="sr-Latn-ME"/>
        </w:rPr>
      </w:pPr>
    </w:p>
    <w:p w:rsidR="00CD2B8A" w:rsidRPr="00BB0A8B" w:rsidRDefault="00CD2B8A" w:rsidP="00BB0A8B">
      <w:pPr>
        <w:tabs>
          <w:tab w:val="left" w:pos="540"/>
          <w:tab w:val="left" w:pos="569"/>
        </w:tabs>
        <w:jc w:val="both"/>
        <w:rPr>
          <w:rFonts w:asciiTheme="majorBidi" w:hAnsiTheme="majorBidi" w:cstheme="majorBidi"/>
          <w:bCs/>
          <w:i/>
          <w:sz w:val="22"/>
          <w:szCs w:val="22"/>
          <w:u w:val="single"/>
          <w:lang w:val="sr-Latn-ME"/>
        </w:rPr>
      </w:pPr>
      <w:r w:rsidRPr="00BB0A8B">
        <w:rPr>
          <w:rFonts w:asciiTheme="majorBidi" w:hAnsiTheme="majorBidi" w:cstheme="majorBidi"/>
          <w:bCs/>
          <w:i/>
          <w:sz w:val="22"/>
          <w:szCs w:val="22"/>
          <w:u w:val="single"/>
          <w:lang w:val="sr-Latn-ME"/>
        </w:rPr>
        <w:t xml:space="preserve">Terapija prve linije kod pacijenata sa EGFR mutacijama </w:t>
      </w:r>
    </w:p>
    <w:p w:rsidR="00CD2B8A" w:rsidRPr="00BB0A8B" w:rsidRDefault="00CD2B8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U otvorenoj, randomizovanoj studiji faze III, ML20650 u kojoj je učestvovalo 154 pacijenta; bezbjednost erlotiniba kao prve linije terapije pacijenata sa nemikrocelularnim karcinomom pluća sa EGFR aktivirajućim mutacijama je ispitivana kod 75 pacijenata. Nijesu uočeni novi bezbjednosni signali kod ovih pacijenata. </w:t>
      </w:r>
    </w:p>
    <w:p w:rsidR="00CD2B8A" w:rsidRPr="00BB0A8B" w:rsidRDefault="00CD2B8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Najčešće prim</w:t>
      </w:r>
      <w:r w:rsidR="006936CC" w:rsidRPr="00BB0A8B">
        <w:rPr>
          <w:rFonts w:asciiTheme="majorBidi" w:hAnsiTheme="majorBidi" w:cstheme="majorBidi"/>
          <w:bCs/>
          <w:sz w:val="22"/>
          <w:szCs w:val="22"/>
          <w:lang w:val="sr-Latn-ME"/>
        </w:rPr>
        <w:t>i</w:t>
      </w:r>
      <w:r w:rsidRPr="00BB0A8B">
        <w:rPr>
          <w:rFonts w:asciiTheme="majorBidi" w:hAnsiTheme="majorBidi" w:cstheme="majorBidi"/>
          <w:bCs/>
          <w:sz w:val="22"/>
          <w:szCs w:val="22"/>
          <w:lang w:val="sr-Latn-ME"/>
        </w:rPr>
        <w:t>jećena neželjena dejstva kod pacijenata koji su primali erlotinib  u studiji ML20650 su bila osip i dijareja (bilo kod gradusa kod 80% , odnosno 57% pacijenata). Najčešća su bila gradusa 1/2, i ova neželjena dejstva su prolazila bez posebnog liječenja. Osip i dijareja gradusa 3 javili su se kod 9% odnosno kod 4% pacijenata koji su primali erlotinib. Osip i dijareja gradusa 4 nijesu primjećeni. Prekid terapije zbog osipa i dijareje bio je potreban kod 1% pacijenata. Modifikacije doze (privremeni prekid primjene ili smanjenje doze) zbog osipa i dijareje bile su potrebne kod 11% odnosno 7% pacijenata.</w:t>
      </w:r>
    </w:p>
    <w:p w:rsidR="00CD2B8A" w:rsidRPr="00BB0A8B" w:rsidRDefault="00CD2B8A" w:rsidP="00BB0A8B">
      <w:pPr>
        <w:tabs>
          <w:tab w:val="left" w:pos="540"/>
          <w:tab w:val="left" w:pos="569"/>
        </w:tabs>
        <w:jc w:val="both"/>
        <w:rPr>
          <w:rFonts w:asciiTheme="majorBidi" w:hAnsiTheme="majorBidi" w:cstheme="majorBidi"/>
          <w:bCs/>
          <w:sz w:val="22"/>
          <w:szCs w:val="22"/>
          <w:lang w:val="sr-Latn-ME"/>
        </w:rPr>
      </w:pPr>
    </w:p>
    <w:p w:rsidR="00CD2B8A" w:rsidRPr="00BB0A8B" w:rsidRDefault="00CD2B8A" w:rsidP="00BB0A8B">
      <w:pPr>
        <w:tabs>
          <w:tab w:val="left" w:pos="540"/>
          <w:tab w:val="left" w:pos="569"/>
        </w:tabs>
        <w:jc w:val="both"/>
        <w:rPr>
          <w:rFonts w:asciiTheme="majorBidi" w:hAnsiTheme="majorBidi" w:cstheme="majorBidi"/>
          <w:bCs/>
          <w:i/>
          <w:sz w:val="22"/>
          <w:szCs w:val="22"/>
          <w:u w:val="single"/>
          <w:lang w:val="sr-Latn-ME"/>
        </w:rPr>
      </w:pPr>
      <w:r w:rsidRPr="00BB0A8B">
        <w:rPr>
          <w:rFonts w:asciiTheme="majorBidi" w:hAnsiTheme="majorBidi" w:cstheme="majorBidi"/>
          <w:bCs/>
          <w:i/>
          <w:sz w:val="22"/>
          <w:szCs w:val="22"/>
          <w:u w:val="single"/>
          <w:lang w:val="sr-Latn-ME"/>
        </w:rPr>
        <w:t>Terapija održavanja</w:t>
      </w:r>
    </w:p>
    <w:p w:rsidR="00CD2B8A" w:rsidRPr="00BB0A8B" w:rsidRDefault="00CD2B8A" w:rsidP="00BB0A8B">
      <w:pPr>
        <w:tabs>
          <w:tab w:val="left" w:pos="540"/>
          <w:tab w:val="left" w:pos="569"/>
        </w:tabs>
        <w:jc w:val="both"/>
        <w:rPr>
          <w:rFonts w:asciiTheme="majorBidi" w:hAnsiTheme="majorBidi" w:cstheme="majorBidi"/>
          <w:bCs/>
          <w:i/>
          <w:sz w:val="22"/>
          <w:szCs w:val="22"/>
          <w:u w:val="single"/>
          <w:lang w:val="sr-Latn-ME"/>
        </w:rPr>
      </w:pPr>
      <w:r w:rsidRPr="00BB0A8B">
        <w:rPr>
          <w:rFonts w:asciiTheme="majorBidi" w:hAnsiTheme="majorBidi" w:cstheme="majorBidi"/>
          <w:bCs/>
          <w:sz w:val="22"/>
          <w:szCs w:val="22"/>
          <w:lang w:val="sr-Latn-ME"/>
        </w:rPr>
        <w:t>U druge dvije dvostruko slijepe, randomizovane, placebom kontrolisane studije faze III- BO18192 (SATURN) i BO25460 (IUNO) erlotinib je primijenjen kao terapija održavanja nakon prve linije hemioterapije. Ove studije su sprovedene na ukupno 1532 pacijenta sa uznapredovalim, rekurentnim ili metastatskim nemikrocelularnim karcinomom pluća poslije primjene prve linije standardne hemioterapije na bazi platine i nijesu uočeni novi bezbjednosni signali.</w:t>
      </w:r>
    </w:p>
    <w:p w:rsidR="00CD2B8A" w:rsidRPr="00BB0A8B" w:rsidRDefault="00CD2B8A" w:rsidP="00BB0A8B">
      <w:pPr>
        <w:tabs>
          <w:tab w:val="left" w:pos="540"/>
          <w:tab w:val="left" w:pos="569"/>
        </w:tabs>
        <w:jc w:val="both"/>
        <w:rPr>
          <w:rFonts w:asciiTheme="majorBidi" w:hAnsiTheme="majorBidi" w:cstheme="majorBidi"/>
          <w:bCs/>
          <w:sz w:val="22"/>
          <w:szCs w:val="22"/>
          <w:lang w:val="sr-Latn-ME"/>
        </w:rPr>
      </w:pPr>
    </w:p>
    <w:p w:rsidR="00CD2B8A" w:rsidRPr="00BB0A8B" w:rsidRDefault="00CD2B8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Najčešća neželjena dejstva kod pacijenata liječenih erlotinibom u studijama BO18192 i BO25460 bila su osip (BO18192 - bilo kog gradusa: 49,2%; gradusa 3: 6,0%; BO25460 - bilo kojeg gradusa: 39,4%; gradusa 3: 5,0%)  i dijareja (BO18192 - bilo kog gradusa: 20,3%; gradusa 3: 1,8%; BO25460 - bilo kog gradusa: 24,2%, gradusa 3: 2,5%).). Nijesu zabilježeni slučajevi osipa i dijareje gradusa 4 ni u jednoj od ove dvije studije. Osip i dijareja su bili uzrok obustavljanja terapije erlotinibom kod 1% i &lt;1% pacijenata, redom, u studiji BO18192, dok u studiji BO25460 nijednom pacijentu terapija nije bila obustavljena zbog osipa ili dijareje. Modifikacija doze (prekid ili smanjenje) zbog osipa i dijareje bila je neophodna kod 8,3% i 3% pacijenata, redom, u studiji BO18192 i kod 5,6% i 2,8% pacijenata, redom, u studiji BO25460.</w:t>
      </w:r>
    </w:p>
    <w:p w:rsidR="00CE4F97" w:rsidRPr="00BB0A8B" w:rsidRDefault="00CE4F97" w:rsidP="00BB0A8B">
      <w:pPr>
        <w:tabs>
          <w:tab w:val="left" w:pos="540"/>
          <w:tab w:val="left" w:pos="569"/>
        </w:tabs>
        <w:jc w:val="both"/>
        <w:rPr>
          <w:rFonts w:asciiTheme="majorBidi" w:hAnsiTheme="majorBidi" w:cstheme="majorBidi"/>
          <w:bCs/>
          <w:sz w:val="22"/>
          <w:szCs w:val="22"/>
          <w:lang w:val="sr-Latn-ME"/>
        </w:rPr>
      </w:pPr>
    </w:p>
    <w:p w:rsidR="00CE4F97" w:rsidRPr="00BB0A8B" w:rsidRDefault="00CE4F97"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U randomizovanoj dvostruko-slijepoj studiji (BR.21; erlotinib primjenjen kao druga linija terapije), osip (75%) i dijareja (54%) su bile najčešće prijavljena neželjena dejstva na ovaj lijek</w:t>
      </w:r>
      <w:r w:rsidR="006936CC" w:rsidRPr="00BB0A8B">
        <w:rPr>
          <w:rFonts w:asciiTheme="majorBidi" w:hAnsiTheme="majorBidi" w:cstheme="majorBidi"/>
          <w:bCs/>
          <w:sz w:val="22"/>
          <w:szCs w:val="22"/>
          <w:lang w:val="sr-Latn-ME"/>
        </w:rPr>
        <w:t>.</w:t>
      </w:r>
      <w:r w:rsidRPr="00BB0A8B">
        <w:rPr>
          <w:rFonts w:asciiTheme="majorBidi" w:hAnsiTheme="majorBidi" w:cstheme="majorBidi"/>
          <w:bCs/>
          <w:sz w:val="22"/>
          <w:szCs w:val="22"/>
          <w:lang w:val="sr-Latn-ME"/>
        </w:rPr>
        <w:t xml:space="preserve"> </w:t>
      </w:r>
      <w:r w:rsidRPr="00BB0A8B">
        <w:rPr>
          <w:rFonts w:asciiTheme="majorBidi" w:hAnsiTheme="majorBidi" w:cstheme="majorBidi"/>
          <w:bCs/>
          <w:i/>
          <w:sz w:val="22"/>
          <w:szCs w:val="22"/>
          <w:lang w:val="sr-Latn-ME"/>
        </w:rPr>
        <w:t>(engl. adverse drug reaction, ADR).</w:t>
      </w:r>
      <w:r w:rsidRPr="00BB0A8B">
        <w:rPr>
          <w:rFonts w:asciiTheme="majorBidi" w:hAnsiTheme="majorBidi" w:cstheme="majorBidi"/>
          <w:bCs/>
          <w:sz w:val="22"/>
          <w:szCs w:val="22"/>
          <w:lang w:val="sr-Latn-ME"/>
        </w:rPr>
        <w:t xml:space="preserve"> Najčešće su bila gradusa 1/2, i ova neželjena dejstva su prolazila bez posebnog liječenja. </w:t>
      </w:r>
      <w:r w:rsidRPr="00BB0A8B">
        <w:rPr>
          <w:rFonts w:asciiTheme="majorBidi" w:hAnsiTheme="majorBidi" w:cstheme="majorBidi"/>
          <w:bCs/>
          <w:sz w:val="22"/>
          <w:szCs w:val="22"/>
          <w:lang w:val="sr-Latn-ME"/>
        </w:rPr>
        <w:lastRenderedPageBreak/>
        <w:t>Osip i dijareja gradusa 3/4 javili su se kod 9% odnosno 6% pacijenata koji su primali lijek i kod oba slučaja do obustavljanja terapije došlo je kod 1% pacijenata. Smanjenje doze zbog osipa i dijareje bilo je potrebno kod 6% odnosno 1% pacijenata. U studiji BR.21 medijana vremena do pojave osipa iznosila je 8 dana, a medijana vremena do pojave dijareje iznosila je 12 dana.</w:t>
      </w:r>
    </w:p>
    <w:p w:rsidR="00CE4F97" w:rsidRPr="00BB0A8B" w:rsidRDefault="00CE4F97" w:rsidP="00BB0A8B">
      <w:pPr>
        <w:tabs>
          <w:tab w:val="left" w:pos="540"/>
          <w:tab w:val="left" w:pos="569"/>
        </w:tabs>
        <w:jc w:val="both"/>
        <w:rPr>
          <w:rFonts w:asciiTheme="majorBidi" w:hAnsiTheme="majorBidi" w:cstheme="majorBidi"/>
          <w:bCs/>
          <w:sz w:val="22"/>
          <w:szCs w:val="22"/>
          <w:lang w:val="sr-Latn-ME"/>
        </w:rPr>
      </w:pPr>
    </w:p>
    <w:p w:rsidR="00CE4F97" w:rsidRPr="00BB0A8B" w:rsidRDefault="00CE4F97"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Uopšteno, osip na koži se manifestuje kao blag do umjeren eritematozni ili papulopustulozni osip, koji se može pojaviti ili pogoršati na djelovima izloženim suncu. Za pacijente koji su izloženi suncu, može se preporučiti zaštitna odjeća, i/ili zaštitne kreme (npr. mineralnog sastava).</w:t>
      </w:r>
    </w:p>
    <w:p w:rsidR="00CE4F97" w:rsidRPr="00BB0A8B" w:rsidRDefault="00CE4F97" w:rsidP="00BB0A8B">
      <w:pPr>
        <w:tabs>
          <w:tab w:val="left" w:pos="540"/>
          <w:tab w:val="left" w:pos="569"/>
        </w:tabs>
        <w:jc w:val="both"/>
        <w:rPr>
          <w:rFonts w:asciiTheme="majorBidi" w:hAnsiTheme="majorBidi" w:cstheme="majorBidi"/>
          <w:bCs/>
          <w:sz w:val="22"/>
          <w:szCs w:val="22"/>
          <w:lang w:val="sr-Latn-ME"/>
        </w:rPr>
      </w:pPr>
    </w:p>
    <w:p w:rsidR="00CE4F97" w:rsidRPr="00BB0A8B" w:rsidRDefault="00CE4F97"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Karcinom pankreasa (primjena erlotiniba u kombinaciji sa gemcitabinom):</w:t>
      </w:r>
    </w:p>
    <w:p w:rsidR="00CE4F97" w:rsidRPr="00BB0A8B" w:rsidRDefault="00CE4F97"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Najčešća neželjena dejstva u pivotalnoj studiji PA.3 kod pacijenata oboljelih od karcinoma pankreasa koji su primali erlotinib 100 mg u kombinaciji sa gemcitabinom bila su zamor, kožni osip i dijareja. U grupi koja je primala erlotinib u kombinaciji sa gemcitabinom kod 5% pacijenata zabilježeni su osip i dijareja gradusa 3/4. Medijana vremena do pojave osipa i dijareje bila je 10 dana, odnosno 15 dana. Kod 2% pacijenata koji su primali erlotinib u kombinaciji sa gemcitabinom, zbog osipa i dijareje se morala smanjiti doza, dok je kod 1% pacijenata ispitivanje prekinuto.</w:t>
      </w:r>
    </w:p>
    <w:p w:rsidR="00CE4F97" w:rsidRPr="00BB0A8B" w:rsidRDefault="00CE4F97" w:rsidP="00BB0A8B">
      <w:pPr>
        <w:tabs>
          <w:tab w:val="left" w:pos="540"/>
          <w:tab w:val="left" w:pos="569"/>
        </w:tabs>
        <w:jc w:val="both"/>
        <w:rPr>
          <w:rFonts w:asciiTheme="majorBidi" w:hAnsiTheme="majorBidi" w:cstheme="majorBidi"/>
          <w:bCs/>
          <w:sz w:val="22"/>
          <w:szCs w:val="22"/>
          <w:lang w:val="sr-Latn-ME"/>
        </w:rPr>
      </w:pPr>
    </w:p>
    <w:p w:rsidR="00CE4F97" w:rsidRDefault="00CE4F97" w:rsidP="00BB0A8B">
      <w:pPr>
        <w:tabs>
          <w:tab w:val="left" w:pos="540"/>
          <w:tab w:val="left" w:pos="569"/>
        </w:tabs>
        <w:jc w:val="both"/>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Tabela 1. Neželjena dejstva koje su se javila kod ≥10% pacijenata u studijama BR.21 (liječenih erlotinibom) i PA.3 (liječenih erlotinibom i gemcitabinom) i neželjena dejstva koja su se javljala češće (≥ 3%) nego uz placebo u studijama BR.21 (liječenje erlotinibom) i PA.3 (liječenje erlotinibom i gemcitabinom)</w:t>
      </w:r>
    </w:p>
    <w:p w:rsidR="00BB0A8B" w:rsidRDefault="00BB0A8B" w:rsidP="00BB0A8B">
      <w:pPr>
        <w:tabs>
          <w:tab w:val="left" w:pos="540"/>
          <w:tab w:val="left" w:pos="569"/>
        </w:tabs>
        <w:jc w:val="both"/>
        <w:rPr>
          <w:rFonts w:asciiTheme="majorBidi" w:hAnsiTheme="majorBidi" w:cstheme="majorBidi"/>
          <w:b/>
          <w:bCs/>
          <w:sz w:val="22"/>
          <w:szCs w:val="22"/>
          <w:lang w:val="sr-Latn-ME"/>
        </w:rPr>
      </w:pPr>
    </w:p>
    <w:p w:rsidR="00BB0A8B" w:rsidRPr="00BB0A8B" w:rsidRDefault="00BB0A8B" w:rsidP="00BB0A8B">
      <w:pPr>
        <w:tabs>
          <w:tab w:val="left" w:pos="540"/>
          <w:tab w:val="left" w:pos="569"/>
        </w:tabs>
        <w:jc w:val="both"/>
        <w:rPr>
          <w:rFonts w:asciiTheme="majorBidi" w:hAnsiTheme="majorBidi" w:cstheme="majorBidi"/>
          <w:b/>
          <w:bCs/>
          <w:sz w:val="22"/>
          <w:szCs w:val="22"/>
          <w:lang w:val="sr-Latn-ME"/>
        </w:rPr>
      </w:pPr>
    </w:p>
    <w:tbl>
      <w:tblPr>
        <w:tblW w:w="5000" w:type="pct"/>
        <w:tblLook w:val="04A0" w:firstRow="1" w:lastRow="0" w:firstColumn="1" w:lastColumn="0" w:noHBand="0" w:noVBand="1"/>
      </w:tblPr>
      <w:tblGrid>
        <w:gridCol w:w="2040"/>
        <w:gridCol w:w="1031"/>
        <w:gridCol w:w="863"/>
        <w:gridCol w:w="857"/>
        <w:gridCol w:w="961"/>
        <w:gridCol w:w="857"/>
        <w:gridCol w:w="859"/>
        <w:gridCol w:w="1595"/>
      </w:tblGrid>
      <w:tr w:rsidR="0006558F" w:rsidRPr="00BB0A8B" w:rsidTr="0006558F">
        <w:trPr>
          <w:trHeight w:val="1130"/>
        </w:trPr>
        <w:tc>
          <w:tcPr>
            <w:tcW w:w="1125" w:type="pct"/>
            <w:tcBorders>
              <w:top w:val="single" w:sz="4" w:space="0" w:color="7B7B7B"/>
              <w:left w:val="single" w:sz="4" w:space="0" w:color="7B7B7B"/>
              <w:bottom w:val="nil"/>
              <w:right w:val="single" w:sz="4" w:space="0" w:color="000000"/>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rPr>
              <w:t> </w:t>
            </w:r>
          </w:p>
        </w:tc>
        <w:tc>
          <w:tcPr>
            <w:tcW w:w="1518" w:type="pct"/>
            <w:gridSpan w:val="3"/>
            <w:tcBorders>
              <w:top w:val="single" w:sz="4" w:space="0" w:color="7B7B7B"/>
              <w:left w:val="single" w:sz="4" w:space="0" w:color="7B7B7B"/>
              <w:bottom w:val="nil"/>
              <w:right w:val="single" w:sz="4" w:space="0" w:color="000000"/>
            </w:tcBorders>
            <w:shd w:val="clear" w:color="auto" w:fill="FFFFFF"/>
            <w:vAlign w:val="center"/>
            <w:hideMark/>
          </w:tcPr>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Erlotinib (BR.21)</w:t>
            </w:r>
          </w:p>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N = 485</w:t>
            </w:r>
          </w:p>
        </w:tc>
        <w:tc>
          <w:tcPr>
            <w:tcW w:w="1477" w:type="pct"/>
            <w:gridSpan w:val="3"/>
            <w:tcBorders>
              <w:top w:val="single" w:sz="4" w:space="0" w:color="auto"/>
              <w:left w:val="single" w:sz="4" w:space="0" w:color="auto"/>
              <w:bottom w:val="nil"/>
              <w:right w:val="single" w:sz="4" w:space="0" w:color="000000"/>
            </w:tcBorders>
            <w:shd w:val="clear" w:color="auto" w:fill="FFFFFF"/>
            <w:vAlign w:val="center"/>
            <w:hideMark/>
          </w:tcPr>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Erlotinib (PA.3)</w:t>
            </w:r>
          </w:p>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N = 259</w:t>
            </w:r>
          </w:p>
        </w:tc>
        <w:tc>
          <w:tcPr>
            <w:tcW w:w="880" w:type="pct"/>
            <w:tcBorders>
              <w:top w:val="single" w:sz="4" w:space="0" w:color="7B7B7B"/>
              <w:left w:val="nil"/>
              <w:bottom w:val="nil"/>
              <w:right w:val="single" w:sz="4" w:space="0" w:color="auto"/>
            </w:tcBorders>
            <w:shd w:val="clear" w:color="auto" w:fill="FFFFFF"/>
            <w:vAlign w:val="center"/>
            <w:hideMark/>
          </w:tcPr>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 xml:space="preserve">Kategorija najveće učestalosti </w:t>
            </w:r>
          </w:p>
        </w:tc>
      </w:tr>
      <w:tr w:rsidR="0006558F" w:rsidRPr="00BB0A8B" w:rsidTr="0006558F">
        <w:trPr>
          <w:trHeight w:val="510"/>
        </w:trPr>
        <w:tc>
          <w:tcPr>
            <w:tcW w:w="1125" w:type="pct"/>
            <w:tcBorders>
              <w:top w:val="nil"/>
              <w:left w:val="single" w:sz="4" w:space="0" w:color="7B7B7B"/>
              <w:bottom w:val="single" w:sz="4" w:space="0" w:color="7B7B7B"/>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NCI-CTC gradus</w:t>
            </w:r>
          </w:p>
        </w:tc>
        <w:tc>
          <w:tcPr>
            <w:tcW w:w="569" w:type="pct"/>
            <w:tcBorders>
              <w:top w:val="nil"/>
              <w:left w:val="single" w:sz="4" w:space="0" w:color="auto"/>
              <w:bottom w:val="single" w:sz="4" w:space="0" w:color="auto"/>
              <w:right w:val="single" w:sz="4" w:space="0" w:color="auto"/>
            </w:tcBorders>
            <w:shd w:val="clear" w:color="auto" w:fill="FFFFFF"/>
            <w:vAlign w:val="center"/>
            <w:hideMark/>
          </w:tcPr>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Bilo koji gradus</w:t>
            </w:r>
          </w:p>
        </w:tc>
        <w:tc>
          <w:tcPr>
            <w:tcW w:w="476" w:type="pct"/>
            <w:tcBorders>
              <w:top w:val="nil"/>
              <w:left w:val="single" w:sz="4" w:space="0" w:color="7B7B7B"/>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3</w:t>
            </w:r>
          </w:p>
        </w:tc>
        <w:tc>
          <w:tcPr>
            <w:tcW w:w="473"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4</w:t>
            </w:r>
          </w:p>
        </w:tc>
        <w:tc>
          <w:tcPr>
            <w:tcW w:w="530" w:type="pct"/>
            <w:tcBorders>
              <w:top w:val="nil"/>
              <w:left w:val="single" w:sz="4" w:space="0" w:color="auto"/>
              <w:bottom w:val="single" w:sz="4" w:space="0" w:color="auto"/>
              <w:right w:val="single" w:sz="4" w:space="0" w:color="auto"/>
            </w:tcBorders>
            <w:shd w:val="clear" w:color="auto" w:fill="FFFFFF"/>
            <w:vAlign w:val="center"/>
            <w:hideMark/>
          </w:tcPr>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Bilo koji  gradus</w:t>
            </w:r>
          </w:p>
        </w:tc>
        <w:tc>
          <w:tcPr>
            <w:tcW w:w="473" w:type="pct"/>
            <w:tcBorders>
              <w:top w:val="nil"/>
              <w:left w:val="nil"/>
              <w:bottom w:val="single" w:sz="4" w:space="0" w:color="auto"/>
              <w:right w:val="single" w:sz="4" w:space="0" w:color="auto"/>
            </w:tcBorders>
            <w:shd w:val="clear" w:color="auto" w:fill="FFFFFF"/>
            <w:vAlign w:val="center"/>
            <w:hideMark/>
          </w:tcPr>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3</w:t>
            </w:r>
          </w:p>
        </w:tc>
        <w:tc>
          <w:tcPr>
            <w:tcW w:w="474" w:type="pct"/>
            <w:tcBorders>
              <w:top w:val="nil"/>
              <w:left w:val="nil"/>
              <w:bottom w:val="single" w:sz="4" w:space="0" w:color="auto"/>
              <w:right w:val="nil"/>
            </w:tcBorders>
            <w:shd w:val="clear" w:color="auto" w:fill="FFFFFF"/>
            <w:vAlign w:val="center"/>
            <w:hideMark/>
          </w:tcPr>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4</w:t>
            </w:r>
          </w:p>
        </w:tc>
        <w:tc>
          <w:tcPr>
            <w:tcW w:w="880" w:type="pct"/>
            <w:tcBorders>
              <w:top w:val="nil"/>
              <w:left w:val="single" w:sz="4" w:space="0" w:color="auto"/>
              <w:bottom w:val="nil"/>
              <w:right w:val="single" w:sz="4" w:space="0" w:color="auto"/>
            </w:tcBorders>
            <w:shd w:val="clear" w:color="auto" w:fill="FFFFFF"/>
            <w:vAlign w:val="center"/>
            <w:hideMark/>
          </w:tcPr>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 </w:t>
            </w:r>
          </w:p>
        </w:tc>
      </w:tr>
      <w:tr w:rsidR="0006558F" w:rsidRPr="00BB0A8B" w:rsidTr="0006558F">
        <w:trPr>
          <w:trHeight w:val="765"/>
        </w:trPr>
        <w:tc>
          <w:tcPr>
            <w:tcW w:w="1125" w:type="pct"/>
            <w:tcBorders>
              <w:top w:val="nil"/>
              <w:left w:val="single" w:sz="4" w:space="0" w:color="7B7B7B"/>
              <w:bottom w:val="single" w:sz="4" w:space="0" w:color="7B7B7B"/>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MedDRA preporučeni izraz</w:t>
            </w:r>
          </w:p>
        </w:tc>
        <w:tc>
          <w:tcPr>
            <w:tcW w:w="569" w:type="pct"/>
            <w:tcBorders>
              <w:top w:val="single" w:sz="4" w:space="0" w:color="7B7B7B"/>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w:t>
            </w:r>
          </w:p>
        </w:tc>
        <w:tc>
          <w:tcPr>
            <w:tcW w:w="476"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w:t>
            </w:r>
          </w:p>
        </w:tc>
        <w:tc>
          <w:tcPr>
            <w:tcW w:w="473"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w:t>
            </w:r>
          </w:p>
        </w:tc>
        <w:tc>
          <w:tcPr>
            <w:tcW w:w="530" w:type="pct"/>
            <w:tcBorders>
              <w:top w:val="single" w:sz="4" w:space="0" w:color="7B7B7B"/>
              <w:left w:val="nil"/>
              <w:bottom w:val="single" w:sz="4" w:space="0" w:color="7B7B7B"/>
              <w:right w:val="nil"/>
            </w:tcBorders>
            <w:shd w:val="clear" w:color="auto" w:fill="FFFFFF"/>
            <w:vAlign w:val="center"/>
            <w:hideMark/>
          </w:tcPr>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w:t>
            </w:r>
          </w:p>
        </w:tc>
        <w:tc>
          <w:tcPr>
            <w:tcW w:w="473" w:type="pct"/>
            <w:tcBorders>
              <w:top w:val="nil"/>
              <w:left w:val="single" w:sz="4" w:space="0" w:color="auto"/>
              <w:bottom w:val="single" w:sz="4" w:space="0" w:color="auto"/>
              <w:right w:val="single" w:sz="4" w:space="0" w:color="auto"/>
            </w:tcBorders>
            <w:shd w:val="clear" w:color="auto" w:fill="FFFFFF"/>
            <w:vAlign w:val="center"/>
            <w:hideMark/>
          </w:tcPr>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w:t>
            </w:r>
          </w:p>
        </w:tc>
        <w:tc>
          <w:tcPr>
            <w:tcW w:w="474" w:type="pct"/>
            <w:tcBorders>
              <w:top w:val="nil"/>
              <w:left w:val="nil"/>
              <w:bottom w:val="single" w:sz="4" w:space="0" w:color="auto"/>
              <w:right w:val="single" w:sz="4" w:space="0" w:color="auto"/>
            </w:tcBorders>
            <w:shd w:val="clear" w:color="auto" w:fill="FFFFFF"/>
            <w:vAlign w:val="center"/>
            <w:hideMark/>
          </w:tcPr>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w:t>
            </w:r>
          </w:p>
        </w:tc>
        <w:tc>
          <w:tcPr>
            <w:tcW w:w="880"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b/>
                <w:bCs/>
                <w:color w:val="000000"/>
                <w:sz w:val="22"/>
                <w:szCs w:val="22"/>
                <w:lang w:val="sr-Latn-ME"/>
              </w:rPr>
            </w:pPr>
            <w:r w:rsidRPr="00BB0A8B">
              <w:rPr>
                <w:rFonts w:asciiTheme="majorBidi" w:hAnsiTheme="majorBidi" w:cstheme="majorBidi"/>
                <w:b/>
                <w:bCs/>
                <w:color w:val="000000"/>
                <w:sz w:val="22"/>
                <w:szCs w:val="22"/>
                <w:lang w:val="sr-Latn-ME"/>
              </w:rPr>
              <w:t> </w:t>
            </w:r>
          </w:p>
        </w:tc>
      </w:tr>
      <w:tr w:rsidR="0006558F" w:rsidRPr="00BB0A8B" w:rsidTr="002639BC">
        <w:trPr>
          <w:trHeight w:val="102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i/>
                <w:iCs/>
                <w:color w:val="000000"/>
                <w:sz w:val="22"/>
                <w:szCs w:val="22"/>
                <w:lang w:val="sr-Latn-ME"/>
              </w:rPr>
            </w:pPr>
            <w:r w:rsidRPr="00BB0A8B">
              <w:rPr>
                <w:rFonts w:asciiTheme="majorBidi" w:hAnsiTheme="majorBidi" w:cstheme="majorBidi"/>
                <w:i/>
                <w:iCs/>
                <w:color w:val="000000"/>
                <w:sz w:val="22"/>
                <w:szCs w:val="22"/>
                <w:lang w:val="sr-Latn-ME"/>
              </w:rPr>
              <w:t>Infekcije i infestacije</w:t>
            </w:r>
          </w:p>
        </w:tc>
        <w:tc>
          <w:tcPr>
            <w:tcW w:w="3875" w:type="pct"/>
            <w:gridSpan w:val="7"/>
            <w:tcBorders>
              <w:top w:val="nil"/>
              <w:left w:val="single" w:sz="4" w:space="0" w:color="7B7B7B"/>
              <w:bottom w:val="single" w:sz="4" w:space="0" w:color="auto"/>
              <w:right w:val="single" w:sz="4" w:space="0" w:color="7B7B7B"/>
            </w:tcBorders>
            <w:shd w:val="clear" w:color="auto" w:fill="FFFFFF"/>
            <w:vAlign w:val="center"/>
          </w:tcPr>
          <w:p w:rsidR="0006558F" w:rsidRPr="00BB0A8B" w:rsidRDefault="0006558F" w:rsidP="00BB0A8B">
            <w:pPr>
              <w:jc w:val="center"/>
              <w:rPr>
                <w:rFonts w:asciiTheme="majorBidi" w:hAnsiTheme="majorBidi" w:cstheme="majorBidi"/>
                <w:color w:val="000000"/>
                <w:sz w:val="22"/>
                <w:szCs w:val="22"/>
                <w:lang w:val="sr-Latn-ME"/>
              </w:rPr>
            </w:pPr>
          </w:p>
        </w:tc>
      </w:tr>
      <w:tr w:rsidR="0006558F" w:rsidRPr="00BB0A8B" w:rsidTr="002639BC">
        <w:trPr>
          <w:trHeight w:val="300"/>
        </w:trPr>
        <w:tc>
          <w:tcPr>
            <w:tcW w:w="1125" w:type="pct"/>
            <w:tcBorders>
              <w:top w:val="nil"/>
              <w:left w:val="single" w:sz="4" w:space="0" w:color="7B7B7B"/>
              <w:bottom w:val="single" w:sz="4" w:space="0" w:color="7B7B7B"/>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Infekcija*</w:t>
            </w:r>
          </w:p>
        </w:tc>
        <w:tc>
          <w:tcPr>
            <w:tcW w:w="0" w:type="auto"/>
            <w:tcBorders>
              <w:top w:val="single" w:sz="4" w:space="0" w:color="auto"/>
              <w:left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24</w:t>
            </w:r>
          </w:p>
        </w:tc>
        <w:tc>
          <w:tcPr>
            <w:tcW w:w="0" w:type="auto"/>
            <w:tcBorders>
              <w:top w:val="single" w:sz="4" w:space="0" w:color="auto"/>
              <w:left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4</w:t>
            </w:r>
          </w:p>
        </w:tc>
        <w:tc>
          <w:tcPr>
            <w:tcW w:w="0" w:type="auto"/>
            <w:tcBorders>
              <w:top w:val="single" w:sz="4" w:space="0" w:color="auto"/>
              <w:left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0" w:type="auto"/>
            <w:tcBorders>
              <w:top w:val="single" w:sz="4" w:space="0" w:color="auto"/>
              <w:left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31</w:t>
            </w:r>
          </w:p>
        </w:tc>
        <w:tc>
          <w:tcPr>
            <w:tcW w:w="0" w:type="auto"/>
            <w:tcBorders>
              <w:top w:val="single" w:sz="4" w:space="0" w:color="auto"/>
              <w:left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3</w:t>
            </w:r>
          </w:p>
        </w:tc>
        <w:tc>
          <w:tcPr>
            <w:tcW w:w="0" w:type="auto"/>
            <w:tcBorders>
              <w:top w:val="single" w:sz="4" w:space="0" w:color="auto"/>
              <w:left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&lt;1</w:t>
            </w:r>
          </w:p>
        </w:tc>
        <w:tc>
          <w:tcPr>
            <w:tcW w:w="0" w:type="auto"/>
            <w:tcBorders>
              <w:top w:val="single" w:sz="4" w:space="0" w:color="auto"/>
              <w:left w:val="single" w:sz="4" w:space="0" w:color="7B7B7B"/>
              <w:right w:val="single" w:sz="4" w:space="0" w:color="7B7B7B"/>
            </w:tcBorders>
            <w:shd w:val="clear" w:color="auto" w:fill="FFFFFF"/>
            <w:vAlign w:val="center"/>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102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i/>
                <w:iCs/>
                <w:color w:val="000000"/>
                <w:sz w:val="22"/>
                <w:szCs w:val="22"/>
                <w:lang w:val="sr-Latn-ME"/>
              </w:rPr>
            </w:pPr>
            <w:r w:rsidRPr="00BB0A8B">
              <w:rPr>
                <w:rFonts w:asciiTheme="majorBidi" w:hAnsiTheme="majorBidi" w:cstheme="majorBidi"/>
                <w:i/>
                <w:iCs/>
                <w:color w:val="000000"/>
                <w:sz w:val="22"/>
                <w:szCs w:val="22"/>
                <w:lang w:val="sr-Latn-ME"/>
              </w:rPr>
              <w:t>Poremećaji metabolizma i ishrane</w:t>
            </w:r>
          </w:p>
        </w:tc>
        <w:tc>
          <w:tcPr>
            <w:tcW w:w="3875" w:type="pct"/>
            <w:gridSpan w:val="7"/>
            <w:tcBorders>
              <w:top w:val="nil"/>
              <w:left w:val="nil"/>
              <w:bottom w:val="nil"/>
              <w:right w:val="single" w:sz="4" w:space="0" w:color="7B7B7B"/>
            </w:tcBorders>
            <w:shd w:val="clear" w:color="auto" w:fill="FFFFFF"/>
            <w:vAlign w:val="center"/>
          </w:tcPr>
          <w:p w:rsidR="0006558F" w:rsidRPr="00BB0A8B" w:rsidRDefault="0006558F" w:rsidP="00BB0A8B">
            <w:pPr>
              <w:rPr>
                <w:rFonts w:asciiTheme="majorBidi" w:hAnsiTheme="majorBidi" w:cstheme="majorBidi"/>
                <w:color w:val="000000"/>
                <w:sz w:val="22"/>
                <w:szCs w:val="22"/>
                <w:lang w:val="sr-Latn-ME"/>
              </w:rPr>
            </w:pPr>
          </w:p>
        </w:tc>
      </w:tr>
      <w:tr w:rsidR="0006558F" w:rsidRPr="00BB0A8B" w:rsidTr="0006558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Anoreksija</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52</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8</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765"/>
        </w:trPr>
        <w:tc>
          <w:tcPr>
            <w:tcW w:w="1125" w:type="pct"/>
            <w:tcBorders>
              <w:top w:val="nil"/>
              <w:left w:val="single" w:sz="4" w:space="0" w:color="7B7B7B"/>
              <w:bottom w:val="single" w:sz="4" w:space="0" w:color="7B7B7B"/>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Smanjenje tjelesne mase</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39</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2</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i/>
                <w:iCs/>
                <w:color w:val="000000"/>
                <w:sz w:val="22"/>
                <w:szCs w:val="22"/>
                <w:lang w:val="sr-Latn-ME"/>
              </w:rPr>
            </w:pPr>
            <w:r w:rsidRPr="00BB0A8B">
              <w:rPr>
                <w:rFonts w:asciiTheme="majorBidi" w:hAnsiTheme="majorBidi" w:cstheme="majorBidi"/>
                <w:i/>
                <w:iCs/>
                <w:color w:val="000000"/>
                <w:sz w:val="22"/>
                <w:szCs w:val="22"/>
                <w:lang w:val="sr-Latn-ME"/>
              </w:rPr>
              <w:t>Poremećaji oka</w:t>
            </w:r>
          </w:p>
        </w:tc>
        <w:tc>
          <w:tcPr>
            <w:tcW w:w="3875" w:type="pct"/>
            <w:gridSpan w:val="7"/>
            <w:tcBorders>
              <w:top w:val="nil"/>
              <w:left w:val="nil"/>
              <w:bottom w:val="nil"/>
              <w:right w:val="single" w:sz="4" w:space="0" w:color="7B7B7B"/>
            </w:tcBorders>
            <w:shd w:val="clear" w:color="auto" w:fill="FFFFFF"/>
            <w:vAlign w:val="center"/>
          </w:tcPr>
          <w:p w:rsidR="0006558F" w:rsidRPr="00BB0A8B" w:rsidRDefault="0006558F" w:rsidP="00BB0A8B">
            <w:pPr>
              <w:rPr>
                <w:rFonts w:asciiTheme="majorBidi" w:hAnsiTheme="majorBidi" w:cstheme="majorBidi"/>
                <w:color w:val="000000"/>
                <w:sz w:val="22"/>
                <w:szCs w:val="22"/>
                <w:lang w:val="sr-Latn-ME"/>
              </w:rPr>
            </w:pPr>
          </w:p>
        </w:tc>
      </w:tr>
      <w:tr w:rsidR="0006558F" w:rsidRPr="00BB0A8B" w:rsidTr="0006558F">
        <w:trPr>
          <w:trHeight w:val="765"/>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2639BC"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 xml:space="preserve">Keratokonjunktivitis </w:t>
            </w:r>
            <w:r w:rsidR="0006558F" w:rsidRPr="00BB0A8B">
              <w:rPr>
                <w:rFonts w:asciiTheme="majorBidi" w:hAnsiTheme="majorBidi" w:cstheme="majorBidi"/>
                <w:color w:val="000000"/>
                <w:sz w:val="22"/>
                <w:szCs w:val="22"/>
                <w:lang w:val="sr-Latn-ME"/>
              </w:rPr>
              <w:t>sicca</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12</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BB0A8B">
        <w:trPr>
          <w:trHeight w:val="510"/>
        </w:trPr>
        <w:tc>
          <w:tcPr>
            <w:tcW w:w="1125" w:type="pct"/>
            <w:tcBorders>
              <w:top w:val="nil"/>
              <w:left w:val="single" w:sz="4" w:space="0" w:color="7B7B7B"/>
              <w:bottom w:val="single" w:sz="4" w:space="0" w:color="auto"/>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Konju</w:t>
            </w:r>
            <w:r w:rsidR="002639BC" w:rsidRPr="00BB0A8B">
              <w:rPr>
                <w:rFonts w:asciiTheme="majorBidi" w:hAnsiTheme="majorBidi" w:cstheme="majorBidi"/>
                <w:color w:val="000000"/>
                <w:sz w:val="22"/>
                <w:szCs w:val="22"/>
                <w:lang w:val="sr-Latn-ME"/>
              </w:rPr>
              <w:t>n</w:t>
            </w:r>
            <w:r w:rsidRPr="00BB0A8B">
              <w:rPr>
                <w:rFonts w:asciiTheme="majorBidi" w:hAnsiTheme="majorBidi" w:cstheme="majorBidi"/>
                <w:color w:val="000000"/>
                <w:sz w:val="22"/>
                <w:szCs w:val="22"/>
                <w:lang w:val="sr-Latn-ME"/>
              </w:rPr>
              <w:t>ktivitis</w:t>
            </w:r>
          </w:p>
        </w:tc>
        <w:tc>
          <w:tcPr>
            <w:tcW w:w="569" w:type="pct"/>
            <w:tcBorders>
              <w:top w:val="nil"/>
              <w:left w:val="nil"/>
              <w:bottom w:val="single" w:sz="4" w:space="0" w:color="auto"/>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12</w:t>
            </w:r>
          </w:p>
        </w:tc>
        <w:tc>
          <w:tcPr>
            <w:tcW w:w="476" w:type="pct"/>
            <w:tcBorders>
              <w:top w:val="nil"/>
              <w:left w:val="nil"/>
              <w:bottom w:val="single" w:sz="4" w:space="0" w:color="auto"/>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&lt;1</w:t>
            </w:r>
          </w:p>
        </w:tc>
        <w:tc>
          <w:tcPr>
            <w:tcW w:w="473" w:type="pct"/>
            <w:tcBorders>
              <w:top w:val="nil"/>
              <w:left w:val="nil"/>
              <w:bottom w:val="single" w:sz="4" w:space="0" w:color="auto"/>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530" w:type="pct"/>
            <w:tcBorders>
              <w:top w:val="nil"/>
              <w:left w:val="nil"/>
              <w:bottom w:val="single" w:sz="4" w:space="0" w:color="auto"/>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bottom w:val="single" w:sz="4" w:space="0" w:color="auto"/>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4" w:type="pct"/>
            <w:tcBorders>
              <w:top w:val="nil"/>
              <w:left w:val="nil"/>
              <w:bottom w:val="single" w:sz="4" w:space="0" w:color="auto"/>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880" w:type="pct"/>
            <w:tcBorders>
              <w:top w:val="nil"/>
              <w:left w:val="nil"/>
              <w:bottom w:val="single" w:sz="4" w:space="0" w:color="auto"/>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BB0A8B">
        <w:trPr>
          <w:trHeight w:val="739"/>
        </w:trPr>
        <w:tc>
          <w:tcPr>
            <w:tcW w:w="1125" w:type="pct"/>
            <w:tcBorders>
              <w:top w:val="single" w:sz="4" w:space="0" w:color="auto"/>
              <w:left w:val="single" w:sz="4" w:space="0" w:color="7B7B7B"/>
              <w:bottom w:val="single" w:sz="4" w:space="0" w:color="7B7B7B"/>
              <w:right w:val="single" w:sz="4" w:space="0" w:color="7B7B7B"/>
            </w:tcBorders>
            <w:shd w:val="clear" w:color="auto" w:fill="FFFFFF"/>
            <w:vAlign w:val="center"/>
          </w:tcPr>
          <w:p w:rsidR="0006558F" w:rsidRPr="00BB0A8B" w:rsidRDefault="0006558F" w:rsidP="00BB0A8B">
            <w:pPr>
              <w:rPr>
                <w:rFonts w:asciiTheme="majorBidi" w:hAnsiTheme="majorBidi" w:cstheme="majorBidi"/>
                <w:i/>
                <w:color w:val="000000"/>
                <w:sz w:val="22"/>
                <w:szCs w:val="22"/>
                <w:lang w:val="sr-Latn-ME"/>
              </w:rPr>
            </w:pPr>
            <w:r w:rsidRPr="00BB0A8B">
              <w:rPr>
                <w:rFonts w:asciiTheme="majorBidi" w:hAnsiTheme="majorBidi" w:cstheme="majorBidi"/>
                <w:i/>
                <w:color w:val="000000"/>
                <w:sz w:val="22"/>
                <w:szCs w:val="22"/>
                <w:lang w:val="sr-Latn-ME"/>
              </w:rPr>
              <w:lastRenderedPageBreak/>
              <w:t>Psihijatrijski poremećaji</w:t>
            </w:r>
          </w:p>
        </w:tc>
        <w:tc>
          <w:tcPr>
            <w:tcW w:w="3875" w:type="pct"/>
            <w:gridSpan w:val="7"/>
            <w:tcBorders>
              <w:top w:val="single" w:sz="4" w:space="0" w:color="auto"/>
              <w:left w:val="nil"/>
              <w:bottom w:val="single" w:sz="4" w:space="0" w:color="7B7B7B"/>
              <w:right w:val="single" w:sz="4" w:space="0" w:color="7B7B7B"/>
            </w:tcBorders>
            <w:shd w:val="clear" w:color="auto" w:fill="FFFFFF"/>
            <w:vAlign w:val="center"/>
          </w:tcPr>
          <w:p w:rsidR="0006558F" w:rsidRPr="00BB0A8B" w:rsidRDefault="0006558F" w:rsidP="00BB0A8B">
            <w:pPr>
              <w:jc w:val="center"/>
              <w:rPr>
                <w:rFonts w:asciiTheme="majorBidi" w:hAnsiTheme="majorBidi" w:cstheme="majorBidi"/>
                <w:color w:val="000000"/>
                <w:sz w:val="22"/>
                <w:szCs w:val="22"/>
                <w:lang w:val="sr-Latn-ME"/>
              </w:rPr>
            </w:pPr>
          </w:p>
        </w:tc>
      </w:tr>
      <w:tr w:rsidR="0006558F" w:rsidRPr="00BB0A8B" w:rsidTr="0006558F">
        <w:trPr>
          <w:trHeight w:val="510"/>
        </w:trPr>
        <w:tc>
          <w:tcPr>
            <w:tcW w:w="1125" w:type="pct"/>
            <w:tcBorders>
              <w:top w:val="nil"/>
              <w:left w:val="single" w:sz="4" w:space="0" w:color="7B7B7B"/>
              <w:bottom w:val="single" w:sz="4" w:space="0" w:color="7B7B7B"/>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Depresija</w:t>
            </w:r>
          </w:p>
        </w:tc>
        <w:tc>
          <w:tcPr>
            <w:tcW w:w="569"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6"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530"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19</w:t>
            </w:r>
          </w:p>
        </w:tc>
        <w:tc>
          <w:tcPr>
            <w:tcW w:w="473"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2</w:t>
            </w:r>
          </w:p>
        </w:tc>
        <w:tc>
          <w:tcPr>
            <w:tcW w:w="474"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880"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743"/>
        </w:trPr>
        <w:tc>
          <w:tcPr>
            <w:tcW w:w="1125" w:type="pct"/>
            <w:tcBorders>
              <w:top w:val="nil"/>
              <w:left w:val="single" w:sz="4" w:space="0" w:color="7B7B7B"/>
              <w:bottom w:val="nil"/>
              <w:right w:val="single" w:sz="4" w:space="0" w:color="7B7B7B"/>
            </w:tcBorders>
            <w:shd w:val="clear" w:color="auto" w:fill="FFFFFF"/>
            <w:vAlign w:val="center"/>
          </w:tcPr>
          <w:p w:rsidR="0006558F" w:rsidRPr="00BB0A8B" w:rsidRDefault="0006558F" w:rsidP="00BB0A8B">
            <w:pPr>
              <w:rPr>
                <w:rFonts w:asciiTheme="majorBidi" w:hAnsiTheme="majorBidi" w:cstheme="majorBidi"/>
                <w:i/>
                <w:iCs/>
                <w:color w:val="000000"/>
                <w:sz w:val="22"/>
                <w:szCs w:val="22"/>
                <w:lang w:val="sr-Latn-ME"/>
              </w:rPr>
            </w:pPr>
            <w:r w:rsidRPr="00BB0A8B">
              <w:rPr>
                <w:rFonts w:asciiTheme="majorBidi" w:hAnsiTheme="majorBidi" w:cstheme="majorBidi"/>
                <w:i/>
                <w:iCs/>
                <w:color w:val="000000"/>
                <w:sz w:val="22"/>
                <w:szCs w:val="22"/>
                <w:lang w:val="sr-Latn-ME"/>
              </w:rPr>
              <w:t>Poremećaji nervnog sistema</w:t>
            </w:r>
          </w:p>
        </w:tc>
        <w:tc>
          <w:tcPr>
            <w:tcW w:w="3875" w:type="pct"/>
            <w:gridSpan w:val="7"/>
            <w:tcBorders>
              <w:top w:val="nil"/>
              <w:left w:val="nil"/>
              <w:bottom w:val="nil"/>
              <w:right w:val="single" w:sz="4" w:space="0" w:color="7B7B7B"/>
            </w:tcBorders>
            <w:shd w:val="clear" w:color="auto" w:fill="FFFFFF"/>
            <w:vAlign w:val="center"/>
          </w:tcPr>
          <w:p w:rsidR="0006558F" w:rsidRPr="00BB0A8B" w:rsidRDefault="0006558F" w:rsidP="00BB0A8B">
            <w:pPr>
              <w:rPr>
                <w:rFonts w:asciiTheme="majorBidi" w:hAnsiTheme="majorBidi" w:cstheme="majorBidi"/>
                <w:color w:val="000000"/>
                <w:sz w:val="22"/>
                <w:szCs w:val="22"/>
                <w:lang w:val="sr-Latn-ME"/>
              </w:rPr>
            </w:pPr>
          </w:p>
        </w:tc>
      </w:tr>
      <w:tr w:rsidR="0006558F" w:rsidRPr="00BB0A8B" w:rsidTr="0006558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Neuropatija</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13</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&lt;1</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510"/>
        </w:trPr>
        <w:tc>
          <w:tcPr>
            <w:tcW w:w="1125" w:type="pct"/>
            <w:tcBorders>
              <w:top w:val="nil"/>
              <w:left w:val="single" w:sz="4" w:space="0" w:color="7B7B7B"/>
              <w:bottom w:val="single" w:sz="4" w:space="0" w:color="7B7B7B"/>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Glavobolja</w:t>
            </w:r>
          </w:p>
        </w:tc>
        <w:tc>
          <w:tcPr>
            <w:tcW w:w="569"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6"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530"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15</w:t>
            </w:r>
          </w:p>
        </w:tc>
        <w:tc>
          <w:tcPr>
            <w:tcW w:w="473"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&lt;1</w:t>
            </w:r>
          </w:p>
        </w:tc>
        <w:tc>
          <w:tcPr>
            <w:tcW w:w="474"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880" w:type="pct"/>
            <w:tcBorders>
              <w:top w:val="nil"/>
              <w:left w:val="nil"/>
              <w:bottom w:val="single" w:sz="4" w:space="0" w:color="7B7B7B"/>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142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i/>
                <w:iCs/>
                <w:color w:val="000000"/>
                <w:sz w:val="22"/>
                <w:szCs w:val="22"/>
                <w:lang w:val="sr-Latn-ME"/>
              </w:rPr>
            </w:pPr>
            <w:r w:rsidRPr="00BB0A8B">
              <w:rPr>
                <w:rFonts w:asciiTheme="majorBidi" w:hAnsiTheme="majorBidi" w:cstheme="majorBidi"/>
                <w:i/>
                <w:iCs/>
                <w:color w:val="000000"/>
                <w:sz w:val="22"/>
                <w:szCs w:val="22"/>
                <w:lang w:val="sr-Latn-ME"/>
              </w:rPr>
              <w:t>Respiratorni, torakalni i medijastinalni poremećaji</w:t>
            </w:r>
          </w:p>
        </w:tc>
        <w:tc>
          <w:tcPr>
            <w:tcW w:w="3875" w:type="pct"/>
            <w:gridSpan w:val="7"/>
            <w:tcBorders>
              <w:top w:val="nil"/>
              <w:left w:val="nil"/>
              <w:bottom w:val="nil"/>
              <w:right w:val="single" w:sz="4" w:space="0" w:color="7B7B7B"/>
            </w:tcBorders>
            <w:shd w:val="clear" w:color="auto" w:fill="FFFFFF"/>
            <w:vAlign w:val="center"/>
          </w:tcPr>
          <w:p w:rsidR="0006558F" w:rsidRPr="00BB0A8B" w:rsidRDefault="0006558F" w:rsidP="00BB0A8B">
            <w:pPr>
              <w:jc w:val="center"/>
              <w:rPr>
                <w:rFonts w:asciiTheme="majorBidi" w:hAnsiTheme="majorBidi" w:cstheme="majorBidi"/>
                <w:color w:val="000000"/>
                <w:sz w:val="22"/>
                <w:szCs w:val="22"/>
                <w:lang w:val="sr-Latn-ME"/>
              </w:rPr>
            </w:pPr>
          </w:p>
        </w:tc>
      </w:tr>
      <w:tr w:rsidR="0006558F" w:rsidRPr="00BB0A8B" w:rsidTr="0006558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Dispneja</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41</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17</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11</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300"/>
        </w:trPr>
        <w:tc>
          <w:tcPr>
            <w:tcW w:w="1125" w:type="pct"/>
            <w:tcBorders>
              <w:top w:val="nil"/>
              <w:left w:val="single" w:sz="4" w:space="0" w:color="7B7B7B"/>
              <w:bottom w:val="single" w:sz="4" w:space="0" w:color="7B7B7B"/>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Kašalj</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33</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4</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16</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765"/>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i/>
                <w:iCs/>
                <w:color w:val="000000"/>
                <w:sz w:val="22"/>
                <w:szCs w:val="22"/>
                <w:lang w:val="sr-Latn-ME"/>
              </w:rPr>
            </w:pPr>
            <w:r w:rsidRPr="00BB0A8B">
              <w:rPr>
                <w:rFonts w:asciiTheme="majorBidi" w:hAnsiTheme="majorBidi" w:cstheme="majorBidi"/>
                <w:i/>
                <w:iCs/>
                <w:color w:val="000000"/>
                <w:sz w:val="22"/>
                <w:szCs w:val="22"/>
                <w:lang w:val="sr-Latn-ME"/>
              </w:rPr>
              <w:t>Gastrointestinalni poremećaji</w:t>
            </w:r>
          </w:p>
        </w:tc>
        <w:tc>
          <w:tcPr>
            <w:tcW w:w="3875" w:type="pct"/>
            <w:gridSpan w:val="7"/>
            <w:tcBorders>
              <w:top w:val="nil"/>
              <w:left w:val="nil"/>
              <w:bottom w:val="nil"/>
              <w:right w:val="single" w:sz="4" w:space="0" w:color="7B7B7B"/>
            </w:tcBorders>
            <w:shd w:val="clear" w:color="auto" w:fill="FFFFFF"/>
            <w:vAlign w:val="center"/>
          </w:tcPr>
          <w:p w:rsidR="0006558F" w:rsidRPr="00BB0A8B" w:rsidRDefault="0006558F" w:rsidP="00BB0A8B">
            <w:pPr>
              <w:jc w:val="center"/>
              <w:rPr>
                <w:rFonts w:asciiTheme="majorBidi" w:hAnsiTheme="majorBidi" w:cstheme="majorBidi"/>
                <w:color w:val="000000"/>
                <w:sz w:val="22"/>
                <w:szCs w:val="22"/>
                <w:lang w:val="sr-Latn-ME"/>
              </w:rPr>
            </w:pPr>
          </w:p>
        </w:tc>
      </w:tr>
      <w:tr w:rsidR="0006558F" w:rsidRPr="00BB0A8B" w:rsidTr="0006558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Dijareja**</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54</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6</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&lt;1</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48</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5</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&lt;1</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Mučnina</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33</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3</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Povraćanje</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23</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2</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&lt;1</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Stomatitis</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17</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&lt;1</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22</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&lt;1</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Abdominalni bol</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11</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2</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&lt;1</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Dispepsija</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17</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&lt;1</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510"/>
        </w:trPr>
        <w:tc>
          <w:tcPr>
            <w:tcW w:w="1125" w:type="pct"/>
            <w:tcBorders>
              <w:top w:val="nil"/>
              <w:left w:val="single" w:sz="4" w:space="0" w:color="7B7B7B"/>
              <w:bottom w:val="single" w:sz="4" w:space="0" w:color="7B7B7B"/>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Flatulencija</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13</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799"/>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i/>
                <w:iCs/>
                <w:color w:val="000000"/>
                <w:sz w:val="22"/>
                <w:szCs w:val="22"/>
                <w:lang w:val="sr-Latn-ME"/>
              </w:rPr>
            </w:pPr>
            <w:r w:rsidRPr="00BB0A8B">
              <w:rPr>
                <w:rFonts w:asciiTheme="majorBidi" w:hAnsiTheme="majorBidi" w:cstheme="majorBidi"/>
                <w:i/>
                <w:iCs/>
                <w:color w:val="000000"/>
                <w:sz w:val="22"/>
                <w:szCs w:val="22"/>
                <w:lang w:val="sr-Latn-ME"/>
              </w:rPr>
              <w:t>Poremećaji kože i potkožnog tkiva</w:t>
            </w:r>
          </w:p>
        </w:tc>
        <w:tc>
          <w:tcPr>
            <w:tcW w:w="3875" w:type="pct"/>
            <w:gridSpan w:val="7"/>
            <w:tcBorders>
              <w:top w:val="nil"/>
              <w:left w:val="nil"/>
              <w:bottom w:val="nil"/>
              <w:right w:val="single" w:sz="4" w:space="0" w:color="7B7B7B"/>
            </w:tcBorders>
            <w:shd w:val="clear" w:color="auto" w:fill="FFFFFF"/>
            <w:vAlign w:val="center"/>
          </w:tcPr>
          <w:p w:rsidR="0006558F" w:rsidRPr="00BB0A8B" w:rsidRDefault="0006558F" w:rsidP="00BB0A8B">
            <w:pPr>
              <w:jc w:val="center"/>
              <w:rPr>
                <w:rFonts w:asciiTheme="majorBidi" w:hAnsiTheme="majorBidi" w:cstheme="majorBidi"/>
                <w:color w:val="000000"/>
                <w:sz w:val="22"/>
                <w:szCs w:val="22"/>
                <w:lang w:val="sr-Latn-ME"/>
              </w:rPr>
            </w:pPr>
          </w:p>
        </w:tc>
      </w:tr>
      <w:tr w:rsidR="0006558F" w:rsidRPr="00BB0A8B" w:rsidTr="0006558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Osip***</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75</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8</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&lt;1</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69</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5</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Pruritus</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13</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&lt;1</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Suvoća kože</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12</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300"/>
        </w:trPr>
        <w:tc>
          <w:tcPr>
            <w:tcW w:w="1125" w:type="pct"/>
            <w:tcBorders>
              <w:top w:val="nil"/>
              <w:left w:val="single" w:sz="4" w:space="0" w:color="7B7B7B"/>
              <w:bottom w:val="single" w:sz="4" w:space="0" w:color="7B7B7B"/>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Alopecija</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14</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06558F">
        <w:trPr>
          <w:trHeight w:val="1134"/>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i/>
                <w:iCs/>
                <w:color w:val="000000"/>
                <w:sz w:val="22"/>
                <w:szCs w:val="22"/>
                <w:lang w:val="sr-Latn-ME"/>
              </w:rPr>
            </w:pPr>
            <w:r w:rsidRPr="00BB0A8B">
              <w:rPr>
                <w:rFonts w:asciiTheme="majorBidi" w:hAnsiTheme="majorBidi" w:cstheme="majorBidi"/>
                <w:i/>
                <w:iCs/>
                <w:color w:val="000000"/>
                <w:sz w:val="22"/>
                <w:szCs w:val="22"/>
                <w:lang w:val="sr-Latn-ME"/>
              </w:rPr>
              <w:t>Opšti poremećaji i reakcije na mjestu primjene</w:t>
            </w:r>
          </w:p>
        </w:tc>
        <w:tc>
          <w:tcPr>
            <w:tcW w:w="3875" w:type="pct"/>
            <w:gridSpan w:val="7"/>
            <w:tcBorders>
              <w:top w:val="nil"/>
              <w:left w:val="nil"/>
              <w:bottom w:val="nil"/>
              <w:right w:val="single" w:sz="4" w:space="0" w:color="7B7B7B"/>
            </w:tcBorders>
            <w:shd w:val="clear" w:color="auto" w:fill="FFFFFF"/>
            <w:vAlign w:val="center"/>
          </w:tcPr>
          <w:p w:rsidR="0006558F" w:rsidRPr="00BB0A8B" w:rsidRDefault="0006558F" w:rsidP="00BB0A8B">
            <w:pPr>
              <w:jc w:val="center"/>
              <w:rPr>
                <w:rFonts w:asciiTheme="majorBidi" w:hAnsiTheme="majorBidi" w:cstheme="majorBidi"/>
                <w:color w:val="000000"/>
                <w:sz w:val="22"/>
                <w:szCs w:val="22"/>
                <w:lang w:val="sr-Latn-ME"/>
              </w:rPr>
            </w:pPr>
          </w:p>
        </w:tc>
      </w:tr>
      <w:tr w:rsidR="0006558F" w:rsidRPr="00BB0A8B" w:rsidTr="0006558F">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Zamor</w:t>
            </w:r>
          </w:p>
        </w:tc>
        <w:tc>
          <w:tcPr>
            <w:tcW w:w="569"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52</w:t>
            </w:r>
          </w:p>
        </w:tc>
        <w:tc>
          <w:tcPr>
            <w:tcW w:w="476"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14</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4</w:t>
            </w:r>
          </w:p>
        </w:tc>
        <w:tc>
          <w:tcPr>
            <w:tcW w:w="53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73</w:t>
            </w:r>
          </w:p>
        </w:tc>
        <w:tc>
          <w:tcPr>
            <w:tcW w:w="473"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14</w:t>
            </w:r>
          </w:p>
        </w:tc>
        <w:tc>
          <w:tcPr>
            <w:tcW w:w="474"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2</w:t>
            </w:r>
          </w:p>
        </w:tc>
        <w:tc>
          <w:tcPr>
            <w:tcW w:w="880" w:type="pct"/>
            <w:tcBorders>
              <w:top w:val="nil"/>
              <w:left w:val="nil"/>
              <w:bottom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BB0A8B">
        <w:trPr>
          <w:trHeight w:val="510"/>
        </w:trPr>
        <w:tc>
          <w:tcPr>
            <w:tcW w:w="1125" w:type="pct"/>
            <w:tcBorders>
              <w:top w:val="nil"/>
              <w:left w:val="single" w:sz="4" w:space="0" w:color="7B7B7B"/>
              <w:bottom w:val="nil"/>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Pireksija</w:t>
            </w:r>
          </w:p>
        </w:tc>
        <w:tc>
          <w:tcPr>
            <w:tcW w:w="569" w:type="pct"/>
            <w:tcBorders>
              <w:top w:val="nil"/>
              <w:left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6" w:type="pct"/>
            <w:tcBorders>
              <w:top w:val="nil"/>
              <w:left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530" w:type="pct"/>
            <w:tcBorders>
              <w:top w:val="nil"/>
              <w:left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36</w:t>
            </w:r>
          </w:p>
        </w:tc>
        <w:tc>
          <w:tcPr>
            <w:tcW w:w="473" w:type="pct"/>
            <w:tcBorders>
              <w:top w:val="nil"/>
              <w:left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3</w:t>
            </w:r>
          </w:p>
        </w:tc>
        <w:tc>
          <w:tcPr>
            <w:tcW w:w="474" w:type="pct"/>
            <w:tcBorders>
              <w:top w:val="nil"/>
              <w:left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880" w:type="pct"/>
            <w:tcBorders>
              <w:top w:val="nil"/>
              <w:left w:val="nil"/>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r w:rsidR="0006558F" w:rsidRPr="00BB0A8B" w:rsidTr="00BB0A8B">
        <w:trPr>
          <w:trHeight w:val="300"/>
        </w:trPr>
        <w:tc>
          <w:tcPr>
            <w:tcW w:w="1125" w:type="pct"/>
            <w:tcBorders>
              <w:top w:val="nil"/>
              <w:left w:val="single" w:sz="4" w:space="0" w:color="7B7B7B"/>
              <w:bottom w:val="single" w:sz="4" w:space="0" w:color="7B7B7B"/>
              <w:right w:val="single" w:sz="4" w:space="0" w:color="7B7B7B"/>
            </w:tcBorders>
            <w:shd w:val="clear" w:color="auto" w:fill="FFFFFF"/>
            <w:vAlign w:val="center"/>
            <w:hideMark/>
          </w:tcPr>
          <w:p w:rsidR="0006558F" w:rsidRPr="00BB0A8B" w:rsidRDefault="0006558F" w:rsidP="00BB0A8B">
            <w:pP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lastRenderedPageBreak/>
              <w:t>Drhtavica</w:t>
            </w:r>
          </w:p>
        </w:tc>
        <w:tc>
          <w:tcPr>
            <w:tcW w:w="569" w:type="pct"/>
            <w:tcBorders>
              <w:top w:val="nil"/>
              <w:left w:val="nil"/>
              <w:bottom w:val="single" w:sz="4" w:space="0" w:color="auto"/>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6" w:type="pct"/>
            <w:tcBorders>
              <w:top w:val="nil"/>
              <w:left w:val="nil"/>
              <w:bottom w:val="single" w:sz="4" w:space="0" w:color="auto"/>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473" w:type="pct"/>
            <w:tcBorders>
              <w:top w:val="nil"/>
              <w:left w:val="nil"/>
              <w:bottom w:val="single" w:sz="4" w:space="0" w:color="auto"/>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w:t>
            </w:r>
          </w:p>
        </w:tc>
        <w:tc>
          <w:tcPr>
            <w:tcW w:w="530" w:type="pct"/>
            <w:tcBorders>
              <w:top w:val="nil"/>
              <w:left w:val="nil"/>
              <w:bottom w:val="single" w:sz="4" w:space="0" w:color="auto"/>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12</w:t>
            </w:r>
          </w:p>
        </w:tc>
        <w:tc>
          <w:tcPr>
            <w:tcW w:w="473" w:type="pct"/>
            <w:tcBorders>
              <w:top w:val="nil"/>
              <w:left w:val="nil"/>
              <w:bottom w:val="single" w:sz="4" w:space="0" w:color="auto"/>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474" w:type="pct"/>
            <w:tcBorders>
              <w:top w:val="nil"/>
              <w:left w:val="nil"/>
              <w:bottom w:val="single" w:sz="4" w:space="0" w:color="auto"/>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0</w:t>
            </w:r>
          </w:p>
        </w:tc>
        <w:tc>
          <w:tcPr>
            <w:tcW w:w="880" w:type="pct"/>
            <w:tcBorders>
              <w:top w:val="nil"/>
              <w:left w:val="nil"/>
              <w:bottom w:val="single" w:sz="4" w:space="0" w:color="auto"/>
              <w:right w:val="single" w:sz="4" w:space="0" w:color="7B7B7B"/>
            </w:tcBorders>
            <w:shd w:val="clear" w:color="auto" w:fill="FFFFFF"/>
            <w:vAlign w:val="center"/>
            <w:hideMark/>
          </w:tcPr>
          <w:p w:rsidR="0006558F" w:rsidRPr="00BB0A8B" w:rsidRDefault="0006558F" w:rsidP="00BB0A8B">
            <w:pPr>
              <w:jc w:val="center"/>
              <w:rPr>
                <w:rFonts w:asciiTheme="majorBidi" w:hAnsiTheme="majorBidi" w:cstheme="majorBidi"/>
                <w:color w:val="000000"/>
                <w:sz w:val="22"/>
                <w:szCs w:val="22"/>
                <w:lang w:val="sr-Latn-ME"/>
              </w:rPr>
            </w:pPr>
            <w:r w:rsidRPr="00BB0A8B">
              <w:rPr>
                <w:rFonts w:asciiTheme="majorBidi" w:hAnsiTheme="majorBidi" w:cstheme="majorBidi"/>
                <w:color w:val="000000"/>
                <w:sz w:val="22"/>
                <w:szCs w:val="22"/>
                <w:lang w:val="sr-Latn-ME"/>
              </w:rPr>
              <w:t>veoma česta</w:t>
            </w:r>
          </w:p>
        </w:tc>
      </w:tr>
    </w:tbl>
    <w:p w:rsidR="0006558F" w:rsidRPr="00BB0A8B" w:rsidRDefault="0006558F"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*Teške infekcije, sa neutropenijom ili bez nje, uključivale su pneumoniju, sepsu i celulitis.</w:t>
      </w:r>
    </w:p>
    <w:p w:rsidR="0006558F" w:rsidRPr="00BB0A8B" w:rsidRDefault="0006558F"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**Može da dovede do dehidracije, hipokalijemije i bubrežne insuficijencije.</w:t>
      </w:r>
    </w:p>
    <w:p w:rsidR="0006558F" w:rsidRPr="00BB0A8B" w:rsidRDefault="0006558F"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Osip uključuje i akneformni dermatitis.</w:t>
      </w:r>
    </w:p>
    <w:p w:rsidR="0006558F" w:rsidRPr="00BB0A8B" w:rsidRDefault="0006558F" w:rsidP="00BB0A8B">
      <w:pPr>
        <w:tabs>
          <w:tab w:val="left" w:pos="540"/>
          <w:tab w:val="left" w:pos="569"/>
        </w:tabs>
        <w:jc w:val="both"/>
        <w:rPr>
          <w:rFonts w:asciiTheme="majorBidi" w:hAnsiTheme="majorBidi" w:cstheme="majorBidi"/>
          <w:b/>
          <w:bCs/>
          <w:sz w:val="22"/>
          <w:szCs w:val="22"/>
          <w:lang w:val="sr-Latn-ME"/>
        </w:rPr>
      </w:pPr>
    </w:p>
    <w:p w:rsidR="0006558F" w:rsidRPr="00BB0A8B" w:rsidRDefault="0006558F" w:rsidP="00BB0A8B">
      <w:pPr>
        <w:tabs>
          <w:tab w:val="left" w:pos="540"/>
          <w:tab w:val="left" w:pos="569"/>
        </w:tabs>
        <w:jc w:val="both"/>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Tabela 2: Pregled neželjenih dejstava po kategorijama učestalosti:</w:t>
      </w:r>
    </w:p>
    <w:tbl>
      <w:tblPr>
        <w:tblW w:w="5000" w:type="pct"/>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1673"/>
        <w:gridCol w:w="1122"/>
        <w:gridCol w:w="1750"/>
        <w:gridCol w:w="1668"/>
        <w:gridCol w:w="1554"/>
        <w:gridCol w:w="1290"/>
      </w:tblGrid>
      <w:tr w:rsidR="0006558F" w:rsidRPr="00BB0A8B" w:rsidTr="00222BBD">
        <w:tc>
          <w:tcPr>
            <w:tcW w:w="924"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BB0A8B" w:rsidRDefault="0006558F" w:rsidP="00BB0A8B">
            <w:pPr>
              <w:spacing w:after="200"/>
              <w:rPr>
                <w:rFonts w:asciiTheme="majorBidi" w:eastAsia="Calibri" w:hAnsiTheme="majorBidi" w:cstheme="majorBidi"/>
                <w:sz w:val="22"/>
                <w:szCs w:val="22"/>
                <w:lang w:val="sr-Latn-ME"/>
              </w:rPr>
            </w:pPr>
            <w:r w:rsidRPr="00BB0A8B">
              <w:rPr>
                <w:rFonts w:asciiTheme="majorBidi" w:eastAsia="Calibri" w:hAnsiTheme="majorBidi" w:cstheme="majorBidi"/>
                <w:b/>
                <w:bCs/>
                <w:sz w:val="22"/>
                <w:szCs w:val="22"/>
                <w:lang w:val="sr-Latn-ME"/>
              </w:rPr>
              <w:t>Sistem organa</w:t>
            </w:r>
          </w:p>
        </w:tc>
        <w:tc>
          <w:tcPr>
            <w:tcW w:w="619"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BB0A8B" w:rsidRDefault="0006558F" w:rsidP="00BB0A8B">
            <w:pPr>
              <w:spacing w:after="200"/>
              <w:rPr>
                <w:rFonts w:asciiTheme="majorBidi" w:eastAsia="Calibri" w:hAnsiTheme="majorBidi" w:cstheme="majorBidi"/>
                <w:sz w:val="22"/>
                <w:szCs w:val="22"/>
                <w:lang w:val="sr-Latn-ME"/>
              </w:rPr>
            </w:pPr>
            <w:r w:rsidRPr="00BB0A8B">
              <w:rPr>
                <w:rFonts w:asciiTheme="majorBidi" w:eastAsia="Calibri" w:hAnsiTheme="majorBidi" w:cstheme="majorBidi"/>
                <w:b/>
                <w:bCs/>
                <w:sz w:val="22"/>
                <w:szCs w:val="22"/>
                <w:lang w:val="sr-Latn-ME"/>
              </w:rPr>
              <w:t>Veoma česta (≥1/10)</w:t>
            </w:r>
          </w:p>
        </w:tc>
        <w:tc>
          <w:tcPr>
            <w:tcW w:w="966"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BB0A8B" w:rsidRDefault="0006558F" w:rsidP="00BB0A8B">
            <w:pPr>
              <w:spacing w:after="200"/>
              <w:rPr>
                <w:rFonts w:asciiTheme="majorBidi" w:eastAsia="Calibri" w:hAnsiTheme="majorBidi" w:cstheme="majorBidi"/>
                <w:sz w:val="22"/>
                <w:szCs w:val="22"/>
                <w:lang w:val="sr-Latn-ME"/>
              </w:rPr>
            </w:pPr>
            <w:r w:rsidRPr="00BB0A8B">
              <w:rPr>
                <w:rFonts w:asciiTheme="majorBidi" w:eastAsia="Calibri" w:hAnsiTheme="majorBidi" w:cstheme="majorBidi"/>
                <w:b/>
                <w:bCs/>
                <w:sz w:val="22"/>
                <w:szCs w:val="22"/>
                <w:lang w:val="sr-Latn-ME"/>
              </w:rPr>
              <w:t>Česta (≥1/100 to &lt;1/10)</w:t>
            </w:r>
          </w:p>
        </w:tc>
        <w:tc>
          <w:tcPr>
            <w:tcW w:w="921"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BB0A8B" w:rsidRDefault="0006558F" w:rsidP="00BB0A8B">
            <w:pPr>
              <w:spacing w:after="200"/>
              <w:rPr>
                <w:rFonts w:asciiTheme="majorBidi" w:eastAsia="Calibri" w:hAnsiTheme="majorBidi" w:cstheme="majorBidi"/>
                <w:sz w:val="22"/>
                <w:szCs w:val="22"/>
                <w:lang w:val="sr-Latn-ME"/>
              </w:rPr>
            </w:pPr>
            <w:r w:rsidRPr="00BB0A8B">
              <w:rPr>
                <w:rFonts w:asciiTheme="majorBidi" w:eastAsia="Calibri" w:hAnsiTheme="majorBidi" w:cstheme="majorBidi"/>
                <w:b/>
                <w:bCs/>
                <w:sz w:val="22"/>
                <w:szCs w:val="22"/>
                <w:lang w:val="sr-Latn-ME"/>
              </w:rPr>
              <w:t>Povremena (≥1/1000 do &lt;1/100)</w:t>
            </w:r>
          </w:p>
        </w:tc>
        <w:tc>
          <w:tcPr>
            <w:tcW w:w="858"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BB0A8B" w:rsidRDefault="0006558F" w:rsidP="00BB0A8B">
            <w:pPr>
              <w:spacing w:after="200"/>
              <w:rPr>
                <w:rFonts w:asciiTheme="majorBidi" w:eastAsia="Calibri" w:hAnsiTheme="majorBidi" w:cstheme="majorBidi"/>
                <w:b/>
                <w:bCs/>
                <w:sz w:val="22"/>
                <w:szCs w:val="22"/>
                <w:lang w:val="sr-Latn-ME"/>
              </w:rPr>
            </w:pPr>
            <w:r w:rsidRPr="00BB0A8B">
              <w:rPr>
                <w:rFonts w:asciiTheme="majorBidi" w:eastAsia="Calibri" w:hAnsiTheme="majorBidi" w:cstheme="majorBidi"/>
                <w:b/>
                <w:bCs/>
                <w:sz w:val="22"/>
                <w:szCs w:val="22"/>
                <w:lang w:val="sr-Latn-ME"/>
              </w:rPr>
              <w:t xml:space="preserve">Rijetka </w:t>
            </w:r>
          </w:p>
          <w:p w:rsidR="0006558F" w:rsidRPr="00BB0A8B" w:rsidRDefault="0006558F" w:rsidP="00BB0A8B">
            <w:pPr>
              <w:spacing w:after="200"/>
              <w:rPr>
                <w:rFonts w:asciiTheme="majorBidi" w:eastAsia="Calibri" w:hAnsiTheme="majorBidi" w:cstheme="majorBidi"/>
                <w:sz w:val="22"/>
                <w:szCs w:val="22"/>
                <w:lang w:val="sr-Latn-ME"/>
              </w:rPr>
            </w:pPr>
            <w:r w:rsidRPr="00BB0A8B">
              <w:rPr>
                <w:rFonts w:asciiTheme="majorBidi" w:eastAsia="Calibri" w:hAnsiTheme="majorBidi" w:cstheme="majorBidi"/>
                <w:b/>
                <w:bCs/>
                <w:sz w:val="22"/>
                <w:szCs w:val="22"/>
                <w:lang w:val="sr-Latn-ME"/>
              </w:rPr>
              <w:t>(≥1/10 000 do &lt;1/1000)</w:t>
            </w:r>
          </w:p>
        </w:tc>
        <w:tc>
          <w:tcPr>
            <w:tcW w:w="712"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BB0A8B" w:rsidRDefault="0006558F" w:rsidP="00BB0A8B">
            <w:pPr>
              <w:spacing w:after="200"/>
              <w:rPr>
                <w:rFonts w:asciiTheme="majorBidi" w:eastAsia="Calibri" w:hAnsiTheme="majorBidi" w:cstheme="majorBidi"/>
                <w:sz w:val="22"/>
                <w:szCs w:val="22"/>
                <w:lang w:val="sr-Latn-ME"/>
              </w:rPr>
            </w:pPr>
            <w:r w:rsidRPr="00BB0A8B">
              <w:rPr>
                <w:rFonts w:asciiTheme="majorBidi" w:eastAsia="Calibri" w:hAnsiTheme="majorBidi" w:cstheme="majorBidi"/>
                <w:b/>
                <w:bCs/>
                <w:sz w:val="22"/>
                <w:szCs w:val="22"/>
                <w:lang w:val="sr-Latn-ME"/>
              </w:rPr>
              <w:t>Veoma rijetka (&lt;1/10,000)</w:t>
            </w:r>
          </w:p>
        </w:tc>
      </w:tr>
      <w:tr w:rsidR="0006558F" w:rsidRPr="00BB0A8B" w:rsidTr="00222BBD">
        <w:trPr>
          <w:trHeight w:val="35"/>
        </w:trPr>
        <w:tc>
          <w:tcPr>
            <w:tcW w:w="924"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BB0A8B" w:rsidRDefault="0006558F" w:rsidP="00BB0A8B">
            <w:pPr>
              <w:spacing w:after="200"/>
              <w:rPr>
                <w:rFonts w:asciiTheme="majorBidi" w:eastAsia="Calibri" w:hAnsiTheme="majorBidi" w:cstheme="majorBidi"/>
                <w:sz w:val="22"/>
                <w:szCs w:val="22"/>
                <w:lang w:val="sr-Latn-ME"/>
              </w:rPr>
            </w:pPr>
            <w:r w:rsidRPr="00BB0A8B">
              <w:rPr>
                <w:rFonts w:asciiTheme="majorBidi" w:eastAsia="Calibri" w:hAnsiTheme="majorBidi" w:cstheme="majorBidi"/>
                <w:sz w:val="22"/>
                <w:szCs w:val="22"/>
                <w:lang w:val="sr-Latn-ME"/>
              </w:rPr>
              <w:t>Poremećaji oka</w:t>
            </w:r>
          </w:p>
        </w:tc>
        <w:tc>
          <w:tcPr>
            <w:tcW w:w="619"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BB0A8B" w:rsidRDefault="0006558F" w:rsidP="00BB0A8B">
            <w:pPr>
              <w:rPr>
                <w:rFonts w:asciiTheme="majorBidi" w:eastAsia="Calibri" w:hAnsiTheme="majorBidi" w:cstheme="majorBidi"/>
                <w:sz w:val="22"/>
                <w:szCs w:val="22"/>
                <w:lang w:val="sr-Latn-ME"/>
              </w:rPr>
            </w:pPr>
          </w:p>
        </w:tc>
        <w:tc>
          <w:tcPr>
            <w:tcW w:w="966"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BB0A8B" w:rsidRDefault="0006558F" w:rsidP="00BB0A8B">
            <w:pPr>
              <w:spacing w:after="200"/>
              <w:rPr>
                <w:rFonts w:asciiTheme="majorBidi" w:eastAsia="Calibri" w:hAnsiTheme="majorBidi" w:cstheme="majorBidi"/>
                <w:sz w:val="22"/>
                <w:szCs w:val="22"/>
                <w:lang w:val="sr-Latn-ME"/>
              </w:rPr>
            </w:pPr>
            <w:r w:rsidRPr="00BB0A8B">
              <w:rPr>
                <w:rFonts w:asciiTheme="majorBidi" w:eastAsia="Calibri" w:hAnsiTheme="majorBidi" w:cstheme="majorBidi"/>
                <w:sz w:val="22"/>
                <w:szCs w:val="22"/>
                <w:lang w:val="sr-Latn-ME"/>
              </w:rPr>
              <w:t>Keratitis</w:t>
            </w:r>
          </w:p>
          <w:p w:rsidR="0006558F" w:rsidRPr="00BB0A8B" w:rsidRDefault="0006558F" w:rsidP="00BB0A8B">
            <w:pPr>
              <w:spacing w:after="200"/>
              <w:rPr>
                <w:rFonts w:asciiTheme="majorBidi" w:eastAsia="Calibri" w:hAnsiTheme="majorBidi" w:cstheme="majorBidi"/>
                <w:sz w:val="22"/>
                <w:szCs w:val="22"/>
                <w:lang w:val="sr-Latn-ME"/>
              </w:rPr>
            </w:pPr>
            <w:r w:rsidRPr="00BB0A8B">
              <w:rPr>
                <w:rFonts w:asciiTheme="majorBidi" w:eastAsia="Calibri" w:hAnsiTheme="majorBidi" w:cstheme="majorBidi"/>
                <w:sz w:val="22"/>
                <w:szCs w:val="22"/>
                <w:lang w:val="sr-Latn-ME"/>
              </w:rPr>
              <w:t>Konjunktivitis</w:t>
            </w:r>
            <w:r w:rsidRPr="00BB0A8B">
              <w:rPr>
                <w:rFonts w:asciiTheme="majorBidi" w:eastAsia="Calibri" w:hAnsiTheme="majorBidi" w:cstheme="majorBidi"/>
                <w:sz w:val="22"/>
                <w:szCs w:val="22"/>
                <w:vertAlign w:val="superscript"/>
                <w:lang w:val="sr-Latn-ME"/>
              </w:rPr>
              <w:t>1</w:t>
            </w:r>
          </w:p>
        </w:tc>
        <w:tc>
          <w:tcPr>
            <w:tcW w:w="921"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BB0A8B" w:rsidRDefault="0006558F" w:rsidP="00BB0A8B">
            <w:pPr>
              <w:spacing w:after="200"/>
              <w:rPr>
                <w:rFonts w:asciiTheme="majorBidi" w:eastAsia="Calibri" w:hAnsiTheme="majorBidi" w:cstheme="majorBidi"/>
                <w:sz w:val="22"/>
                <w:szCs w:val="22"/>
                <w:lang w:val="sr-Latn-ME"/>
              </w:rPr>
            </w:pPr>
            <w:r w:rsidRPr="00BB0A8B">
              <w:rPr>
                <w:rFonts w:asciiTheme="majorBidi" w:eastAsia="Calibri" w:hAnsiTheme="majorBidi" w:cstheme="majorBidi"/>
                <w:sz w:val="22"/>
                <w:szCs w:val="22"/>
                <w:lang w:val="sr-Latn-ME"/>
              </w:rPr>
              <w:t>Promjene na trepavicama</w:t>
            </w:r>
            <w:r w:rsidRPr="00BB0A8B">
              <w:rPr>
                <w:rFonts w:asciiTheme="majorBidi" w:eastAsia="Calibri" w:hAnsiTheme="majorBidi" w:cstheme="majorBidi"/>
                <w:sz w:val="22"/>
                <w:szCs w:val="22"/>
                <w:vertAlign w:val="superscript"/>
                <w:lang w:val="sr-Latn-ME"/>
              </w:rPr>
              <w:t xml:space="preserve"> 2</w:t>
            </w:r>
          </w:p>
        </w:tc>
        <w:tc>
          <w:tcPr>
            <w:tcW w:w="858"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BB0A8B" w:rsidRDefault="0006558F" w:rsidP="00BB0A8B">
            <w:pPr>
              <w:rPr>
                <w:rFonts w:asciiTheme="majorBidi" w:eastAsia="Calibri" w:hAnsiTheme="majorBidi" w:cstheme="majorBidi"/>
                <w:sz w:val="22"/>
                <w:szCs w:val="22"/>
                <w:lang w:val="sr-Latn-ME"/>
              </w:rPr>
            </w:pPr>
          </w:p>
        </w:tc>
        <w:tc>
          <w:tcPr>
            <w:tcW w:w="712" w:type="pct"/>
            <w:tcBorders>
              <w:top w:val="outset" w:sz="6" w:space="0" w:color="7B7B7B"/>
              <w:left w:val="outset" w:sz="6" w:space="0" w:color="7B7B7B"/>
              <w:bottom w:val="outset" w:sz="6" w:space="0" w:color="7B7B7B"/>
              <w:right w:val="outset" w:sz="6" w:space="0" w:color="7B7B7B"/>
            </w:tcBorders>
            <w:shd w:val="clear" w:color="auto" w:fill="FFFFFF"/>
            <w:hideMark/>
          </w:tcPr>
          <w:p w:rsidR="0006558F" w:rsidRPr="00BB0A8B" w:rsidRDefault="0006558F" w:rsidP="00BB0A8B">
            <w:pPr>
              <w:spacing w:after="200"/>
              <w:rPr>
                <w:rFonts w:asciiTheme="majorBidi" w:eastAsia="Calibri" w:hAnsiTheme="majorBidi" w:cstheme="majorBidi"/>
                <w:sz w:val="22"/>
                <w:szCs w:val="22"/>
                <w:lang w:val="sr-Latn-ME"/>
              </w:rPr>
            </w:pPr>
            <w:r w:rsidRPr="00BB0A8B">
              <w:rPr>
                <w:rFonts w:asciiTheme="majorBidi" w:eastAsia="Calibri" w:hAnsiTheme="majorBidi" w:cstheme="majorBidi"/>
                <w:sz w:val="22"/>
                <w:szCs w:val="22"/>
                <w:lang w:val="sr-Latn-ME"/>
              </w:rPr>
              <w:t>Perforacija kornee</w:t>
            </w:r>
          </w:p>
          <w:p w:rsidR="0006558F" w:rsidRPr="00BB0A8B" w:rsidRDefault="0006558F" w:rsidP="00BB0A8B">
            <w:pPr>
              <w:spacing w:after="200"/>
              <w:rPr>
                <w:rFonts w:asciiTheme="majorBidi" w:eastAsia="Calibri" w:hAnsiTheme="majorBidi" w:cstheme="majorBidi"/>
                <w:sz w:val="22"/>
                <w:szCs w:val="22"/>
                <w:lang w:val="sr-Latn-ME"/>
              </w:rPr>
            </w:pPr>
            <w:r w:rsidRPr="00BB0A8B">
              <w:rPr>
                <w:rFonts w:asciiTheme="majorBidi" w:eastAsia="Calibri" w:hAnsiTheme="majorBidi" w:cstheme="majorBidi"/>
                <w:sz w:val="22"/>
                <w:szCs w:val="22"/>
                <w:lang w:val="sr-Latn-ME"/>
              </w:rPr>
              <w:t>Ulceracije kornee</w:t>
            </w:r>
          </w:p>
          <w:p w:rsidR="0006558F" w:rsidRPr="00BB0A8B" w:rsidRDefault="0006558F" w:rsidP="00BB0A8B">
            <w:pPr>
              <w:spacing w:after="200"/>
              <w:rPr>
                <w:rFonts w:asciiTheme="majorBidi" w:eastAsia="Calibri" w:hAnsiTheme="majorBidi" w:cstheme="majorBidi"/>
                <w:sz w:val="22"/>
                <w:szCs w:val="22"/>
                <w:lang w:val="sr-Latn-ME"/>
              </w:rPr>
            </w:pPr>
            <w:r w:rsidRPr="00BB0A8B">
              <w:rPr>
                <w:rFonts w:asciiTheme="majorBidi" w:eastAsia="Calibri" w:hAnsiTheme="majorBidi" w:cstheme="majorBidi"/>
                <w:sz w:val="22"/>
                <w:szCs w:val="22"/>
                <w:lang w:val="sr-Latn-ME"/>
              </w:rPr>
              <w:t>Uveitis</w:t>
            </w:r>
          </w:p>
        </w:tc>
      </w:tr>
      <w:tr w:rsidR="0006558F" w:rsidRPr="00BB0A8B" w:rsidTr="00222BBD">
        <w:tc>
          <w:tcPr>
            <w:tcW w:w="924"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222BBD" w:rsidP="00BB0A8B">
            <w:pPr>
              <w:widowControl w:val="0"/>
              <w:kinsoku w:val="0"/>
              <w:overflowPunct w:val="0"/>
              <w:autoSpaceDE w:val="0"/>
              <w:autoSpaceDN w:val="0"/>
              <w:adjustRightInd w:val="0"/>
              <w:ind w:left="110" w:right="396"/>
              <w:rPr>
                <w:rFonts w:asciiTheme="majorBidi" w:hAnsiTheme="majorBidi" w:cstheme="majorBidi"/>
                <w:iCs/>
                <w:sz w:val="22"/>
                <w:szCs w:val="22"/>
                <w:lang w:val="sr-Latn-ME" w:eastAsia="en-GB"/>
              </w:rPr>
            </w:pPr>
            <w:r w:rsidRPr="00BB0A8B">
              <w:rPr>
                <w:rFonts w:asciiTheme="majorBidi" w:hAnsiTheme="majorBidi" w:cstheme="majorBidi"/>
                <w:iCs/>
                <w:sz w:val="22"/>
                <w:szCs w:val="22"/>
                <w:lang w:val="sr-Latn-ME" w:eastAsia="en-GB"/>
              </w:rPr>
              <w:t>Respiratorni t</w:t>
            </w:r>
            <w:r w:rsidR="0006558F" w:rsidRPr="00BB0A8B">
              <w:rPr>
                <w:rFonts w:asciiTheme="majorBidi" w:hAnsiTheme="majorBidi" w:cstheme="majorBidi"/>
                <w:iCs/>
                <w:sz w:val="22"/>
                <w:szCs w:val="22"/>
                <w:lang w:val="sr-Latn-ME" w:eastAsia="en-GB"/>
              </w:rPr>
              <w:t>orakalni i medijastinalni</w:t>
            </w:r>
          </w:p>
          <w:p w:rsidR="0006558F" w:rsidRPr="00BB0A8B" w:rsidRDefault="0006558F" w:rsidP="00BB0A8B">
            <w:pPr>
              <w:widowControl w:val="0"/>
              <w:kinsoku w:val="0"/>
              <w:overflowPunct w:val="0"/>
              <w:autoSpaceDE w:val="0"/>
              <w:autoSpaceDN w:val="0"/>
              <w:adjustRightInd w:val="0"/>
              <w:ind w:left="110"/>
              <w:rPr>
                <w:rFonts w:asciiTheme="majorBidi" w:hAnsiTheme="majorBidi" w:cstheme="majorBidi"/>
                <w:iCs/>
                <w:sz w:val="22"/>
                <w:szCs w:val="22"/>
                <w:lang w:val="sr-Latn-ME" w:eastAsia="en-GB"/>
              </w:rPr>
            </w:pPr>
            <w:r w:rsidRPr="00BB0A8B">
              <w:rPr>
                <w:rFonts w:asciiTheme="majorBidi" w:hAnsiTheme="majorBidi" w:cstheme="majorBidi"/>
                <w:iCs/>
                <w:sz w:val="22"/>
                <w:szCs w:val="22"/>
                <w:lang w:val="sr-Latn-ME" w:eastAsia="en-GB"/>
              </w:rPr>
              <w:t>poremećaji</w:t>
            </w:r>
          </w:p>
        </w:tc>
        <w:tc>
          <w:tcPr>
            <w:tcW w:w="619"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rPr>
                <w:rFonts w:asciiTheme="majorBidi" w:hAnsiTheme="majorBidi" w:cstheme="majorBidi"/>
                <w:iCs/>
                <w:sz w:val="22"/>
                <w:szCs w:val="22"/>
                <w:lang w:val="sr-Latn-ME"/>
              </w:rPr>
            </w:pPr>
          </w:p>
        </w:tc>
        <w:tc>
          <w:tcPr>
            <w:tcW w:w="966"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widowControl w:val="0"/>
              <w:kinsoku w:val="0"/>
              <w:overflowPunct w:val="0"/>
              <w:autoSpaceDE w:val="0"/>
              <w:autoSpaceDN w:val="0"/>
              <w:adjustRightInd w:val="0"/>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Epistaksa</w:t>
            </w:r>
          </w:p>
        </w:tc>
        <w:tc>
          <w:tcPr>
            <w:tcW w:w="921"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widowControl w:val="0"/>
              <w:kinsoku w:val="0"/>
              <w:overflowPunct w:val="0"/>
              <w:autoSpaceDE w:val="0"/>
              <w:autoSpaceDN w:val="0"/>
              <w:adjustRightInd w:val="0"/>
              <w:ind w:right="207"/>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Ozbiljna intersticijalna bolest pluća³</w:t>
            </w:r>
          </w:p>
        </w:tc>
        <w:tc>
          <w:tcPr>
            <w:tcW w:w="858"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rPr>
                <w:rFonts w:asciiTheme="majorBidi" w:hAnsiTheme="majorBidi" w:cstheme="majorBidi"/>
                <w:sz w:val="22"/>
                <w:szCs w:val="22"/>
                <w:lang w:val="sr-Latn-ME"/>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rPr>
                <w:rFonts w:asciiTheme="majorBidi" w:hAnsiTheme="majorBidi" w:cstheme="majorBidi"/>
                <w:sz w:val="22"/>
                <w:szCs w:val="22"/>
                <w:lang w:val="sr-Latn-ME" w:eastAsia="en-GB"/>
              </w:rPr>
            </w:pPr>
          </w:p>
        </w:tc>
      </w:tr>
      <w:tr w:rsidR="0006558F" w:rsidRPr="00BB0A8B" w:rsidTr="00222BBD">
        <w:tc>
          <w:tcPr>
            <w:tcW w:w="924"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widowControl w:val="0"/>
              <w:kinsoku w:val="0"/>
              <w:overflowPunct w:val="0"/>
              <w:autoSpaceDE w:val="0"/>
              <w:autoSpaceDN w:val="0"/>
              <w:adjustRightInd w:val="0"/>
              <w:ind w:left="110" w:right="163"/>
              <w:rPr>
                <w:rFonts w:asciiTheme="majorBidi" w:hAnsiTheme="majorBidi" w:cstheme="majorBidi"/>
                <w:iCs/>
                <w:sz w:val="22"/>
                <w:szCs w:val="22"/>
                <w:lang w:val="sr-Latn-ME" w:eastAsia="en-GB"/>
              </w:rPr>
            </w:pPr>
            <w:r w:rsidRPr="00BB0A8B">
              <w:rPr>
                <w:rFonts w:asciiTheme="majorBidi" w:hAnsiTheme="majorBidi" w:cstheme="majorBidi"/>
                <w:iCs/>
                <w:sz w:val="22"/>
                <w:szCs w:val="22"/>
                <w:lang w:val="sr-Latn-ME" w:eastAsia="en-GB"/>
              </w:rPr>
              <w:t>Gastrointestinalni poremećaji</w:t>
            </w:r>
          </w:p>
        </w:tc>
        <w:tc>
          <w:tcPr>
            <w:tcW w:w="619"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widowControl w:val="0"/>
              <w:kinsoku w:val="0"/>
              <w:overflowPunct w:val="0"/>
              <w:autoSpaceDE w:val="0"/>
              <w:autoSpaceDN w:val="0"/>
              <w:adjustRightInd w:val="0"/>
              <w:rPr>
                <w:rFonts w:asciiTheme="majorBidi" w:hAnsiTheme="majorBidi" w:cstheme="majorBidi"/>
                <w:sz w:val="22"/>
                <w:szCs w:val="22"/>
                <w:vertAlign w:val="superscript"/>
                <w:lang w:val="sr-Latn-ME" w:eastAsia="en-GB"/>
              </w:rPr>
            </w:pPr>
            <w:r w:rsidRPr="00BB0A8B">
              <w:rPr>
                <w:rFonts w:asciiTheme="majorBidi" w:hAnsiTheme="majorBidi" w:cstheme="majorBidi"/>
                <w:sz w:val="22"/>
                <w:szCs w:val="22"/>
                <w:lang w:val="sr-Latn-ME" w:eastAsia="en-GB"/>
              </w:rPr>
              <w:t>Dijareja</w:t>
            </w:r>
            <w:r w:rsidRPr="00BB0A8B">
              <w:rPr>
                <w:rFonts w:asciiTheme="majorBidi" w:hAnsiTheme="majorBidi" w:cstheme="majorBidi"/>
                <w:sz w:val="22"/>
                <w:szCs w:val="22"/>
                <w:vertAlign w:val="superscript"/>
                <w:lang w:val="sr-Latn-ME" w:eastAsia="en-GB"/>
              </w:rPr>
              <w:t>7</w:t>
            </w:r>
          </w:p>
        </w:tc>
        <w:tc>
          <w:tcPr>
            <w:tcW w:w="966"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widowControl w:val="0"/>
              <w:kinsoku w:val="0"/>
              <w:overflowPunct w:val="0"/>
              <w:autoSpaceDE w:val="0"/>
              <w:autoSpaceDN w:val="0"/>
              <w:adjustRightInd w:val="0"/>
              <w:ind w:left="105" w:right="207"/>
              <w:rPr>
                <w:rFonts w:asciiTheme="majorBidi" w:hAnsiTheme="majorBidi" w:cstheme="majorBidi"/>
                <w:sz w:val="22"/>
                <w:szCs w:val="22"/>
                <w:vertAlign w:val="superscript"/>
                <w:lang w:val="sr-Latn-ME" w:eastAsia="en-GB"/>
              </w:rPr>
            </w:pPr>
            <w:r w:rsidRPr="00BB0A8B">
              <w:rPr>
                <w:rFonts w:asciiTheme="majorBidi" w:hAnsiTheme="majorBidi" w:cstheme="majorBidi"/>
                <w:sz w:val="22"/>
                <w:szCs w:val="22"/>
                <w:lang w:val="sr-Latn-ME" w:eastAsia="en-GB"/>
              </w:rPr>
              <w:t>Gastrointestinalno krvarenje</w:t>
            </w:r>
            <w:r w:rsidRPr="00BB0A8B">
              <w:rPr>
                <w:rFonts w:asciiTheme="majorBidi" w:hAnsiTheme="majorBidi" w:cstheme="majorBidi"/>
                <w:sz w:val="22"/>
                <w:szCs w:val="22"/>
                <w:vertAlign w:val="superscript"/>
                <w:lang w:val="sr-Latn-ME" w:eastAsia="en-GB"/>
              </w:rPr>
              <w:t>4,7</w:t>
            </w:r>
          </w:p>
        </w:tc>
        <w:tc>
          <w:tcPr>
            <w:tcW w:w="921"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widowControl w:val="0"/>
              <w:kinsoku w:val="0"/>
              <w:overflowPunct w:val="0"/>
              <w:autoSpaceDE w:val="0"/>
              <w:autoSpaceDN w:val="0"/>
              <w:adjustRightInd w:val="0"/>
              <w:ind w:right="207"/>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Gastrointesti- nalne perforacije</w:t>
            </w:r>
            <w:r w:rsidRPr="00BB0A8B">
              <w:rPr>
                <w:rFonts w:asciiTheme="majorBidi" w:hAnsiTheme="majorBidi" w:cstheme="majorBidi"/>
                <w:sz w:val="22"/>
                <w:szCs w:val="22"/>
                <w:vertAlign w:val="superscript"/>
                <w:lang w:val="sr-Latn-ME" w:eastAsia="en-GB"/>
              </w:rPr>
              <w:t>7</w:t>
            </w:r>
          </w:p>
        </w:tc>
        <w:tc>
          <w:tcPr>
            <w:tcW w:w="858"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rPr>
                <w:rFonts w:asciiTheme="majorBidi" w:hAnsiTheme="majorBidi" w:cstheme="majorBidi"/>
                <w:sz w:val="22"/>
                <w:szCs w:val="22"/>
                <w:lang w:val="sr-Latn-ME"/>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rPr>
                <w:rFonts w:asciiTheme="majorBidi" w:hAnsiTheme="majorBidi" w:cstheme="majorBidi"/>
                <w:sz w:val="22"/>
                <w:szCs w:val="22"/>
                <w:lang w:val="sr-Latn-ME" w:eastAsia="en-GB"/>
              </w:rPr>
            </w:pPr>
          </w:p>
        </w:tc>
      </w:tr>
      <w:tr w:rsidR="0006558F" w:rsidRPr="00BB0A8B" w:rsidTr="00222BBD">
        <w:tc>
          <w:tcPr>
            <w:tcW w:w="924" w:type="pct"/>
            <w:tcBorders>
              <w:top w:val="single" w:sz="4" w:space="0" w:color="000000"/>
              <w:left w:val="single" w:sz="4" w:space="0" w:color="000000"/>
              <w:bottom w:val="single" w:sz="4" w:space="0" w:color="000000"/>
              <w:right w:val="single" w:sz="4" w:space="0" w:color="000000"/>
            </w:tcBorders>
            <w:shd w:val="clear" w:color="auto" w:fill="auto"/>
            <w:hideMark/>
          </w:tcPr>
          <w:p w:rsidR="002639BC" w:rsidRPr="00BB0A8B" w:rsidRDefault="0006558F" w:rsidP="00BB0A8B">
            <w:pPr>
              <w:widowControl w:val="0"/>
              <w:kinsoku w:val="0"/>
              <w:overflowPunct w:val="0"/>
              <w:autoSpaceDE w:val="0"/>
              <w:autoSpaceDN w:val="0"/>
              <w:adjustRightInd w:val="0"/>
              <w:ind w:left="110" w:right="286"/>
              <w:rPr>
                <w:rFonts w:asciiTheme="majorBidi" w:hAnsiTheme="majorBidi" w:cstheme="majorBidi"/>
                <w:iCs/>
                <w:sz w:val="22"/>
                <w:szCs w:val="22"/>
                <w:lang w:val="sr-Latn-ME" w:eastAsia="en-GB"/>
              </w:rPr>
            </w:pPr>
            <w:r w:rsidRPr="00BB0A8B">
              <w:rPr>
                <w:rFonts w:asciiTheme="majorBidi" w:hAnsiTheme="majorBidi" w:cstheme="majorBidi"/>
                <w:iCs/>
                <w:sz w:val="22"/>
                <w:szCs w:val="22"/>
                <w:lang w:val="sr-Latn-ME" w:eastAsia="en-GB"/>
              </w:rPr>
              <w:t>Hepatobili</w:t>
            </w:r>
          </w:p>
          <w:p w:rsidR="0006558F" w:rsidRPr="00BB0A8B" w:rsidRDefault="002639BC" w:rsidP="00BB0A8B">
            <w:pPr>
              <w:widowControl w:val="0"/>
              <w:kinsoku w:val="0"/>
              <w:overflowPunct w:val="0"/>
              <w:autoSpaceDE w:val="0"/>
              <w:autoSpaceDN w:val="0"/>
              <w:adjustRightInd w:val="0"/>
              <w:ind w:left="110" w:right="286"/>
              <w:rPr>
                <w:rFonts w:asciiTheme="majorBidi" w:hAnsiTheme="majorBidi" w:cstheme="majorBidi"/>
                <w:iCs/>
                <w:sz w:val="22"/>
                <w:szCs w:val="22"/>
                <w:lang w:val="sr-Latn-ME" w:eastAsia="en-GB"/>
              </w:rPr>
            </w:pPr>
            <w:r w:rsidRPr="00BB0A8B">
              <w:rPr>
                <w:rFonts w:asciiTheme="majorBidi" w:hAnsiTheme="majorBidi" w:cstheme="majorBidi"/>
                <w:iCs/>
                <w:sz w:val="22"/>
                <w:szCs w:val="22"/>
                <w:lang w:val="sr-Latn-ME" w:eastAsia="en-GB"/>
              </w:rPr>
              <w:t xml:space="preserve">jarni </w:t>
            </w:r>
            <w:r w:rsidR="0006558F" w:rsidRPr="00BB0A8B">
              <w:rPr>
                <w:rFonts w:asciiTheme="majorBidi" w:hAnsiTheme="majorBidi" w:cstheme="majorBidi"/>
                <w:iCs/>
                <w:sz w:val="22"/>
                <w:szCs w:val="22"/>
                <w:lang w:val="sr-Latn-ME" w:eastAsia="en-GB"/>
              </w:rPr>
              <w:t>poremećaji</w:t>
            </w:r>
          </w:p>
        </w:tc>
        <w:tc>
          <w:tcPr>
            <w:tcW w:w="619" w:type="pct"/>
            <w:tcBorders>
              <w:top w:val="single" w:sz="4" w:space="0" w:color="000000"/>
              <w:left w:val="single" w:sz="4" w:space="0" w:color="000000"/>
              <w:bottom w:val="single" w:sz="4" w:space="0" w:color="000000"/>
              <w:right w:val="single" w:sz="4" w:space="0" w:color="000000"/>
            </w:tcBorders>
            <w:shd w:val="clear" w:color="auto" w:fill="auto"/>
            <w:hideMark/>
          </w:tcPr>
          <w:p w:rsidR="002639BC" w:rsidRPr="00BB0A8B" w:rsidRDefault="0006558F" w:rsidP="00BB0A8B">
            <w:pPr>
              <w:widowControl w:val="0"/>
              <w:kinsoku w:val="0"/>
              <w:overflowPunct w:val="0"/>
              <w:autoSpaceDE w:val="0"/>
              <w:autoSpaceDN w:val="0"/>
              <w:adjustRightInd w:val="0"/>
              <w:ind w:right="146"/>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Abnormalni rezultati ispitiva</w:t>
            </w:r>
          </w:p>
          <w:p w:rsidR="0006558F" w:rsidRPr="00BB0A8B" w:rsidRDefault="002639BC" w:rsidP="00BB0A8B">
            <w:pPr>
              <w:widowControl w:val="0"/>
              <w:kinsoku w:val="0"/>
              <w:overflowPunct w:val="0"/>
              <w:autoSpaceDE w:val="0"/>
              <w:autoSpaceDN w:val="0"/>
              <w:adjustRightInd w:val="0"/>
              <w:ind w:right="146"/>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 xml:space="preserve">nja </w:t>
            </w:r>
            <w:r w:rsidR="0006558F" w:rsidRPr="00BB0A8B">
              <w:rPr>
                <w:rFonts w:asciiTheme="majorBidi" w:hAnsiTheme="majorBidi" w:cstheme="majorBidi"/>
                <w:sz w:val="22"/>
                <w:szCs w:val="22"/>
                <w:lang w:val="sr-Latn-ME" w:eastAsia="en-GB"/>
              </w:rPr>
              <w:t>funkcije jetre</w:t>
            </w:r>
            <w:r w:rsidR="0006558F" w:rsidRPr="00BB0A8B">
              <w:rPr>
                <w:rFonts w:asciiTheme="majorBidi" w:hAnsiTheme="majorBidi" w:cstheme="majorBidi"/>
                <w:sz w:val="22"/>
                <w:szCs w:val="22"/>
                <w:vertAlign w:val="superscript"/>
                <w:lang w:val="sr-Latn-ME" w:eastAsia="en-GB"/>
              </w:rPr>
              <w:t>5</w:t>
            </w:r>
          </w:p>
        </w:tc>
        <w:tc>
          <w:tcPr>
            <w:tcW w:w="966"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rPr>
                <w:rFonts w:asciiTheme="majorBidi" w:hAnsiTheme="majorBidi" w:cstheme="majorBidi"/>
                <w:sz w:val="22"/>
                <w:szCs w:val="22"/>
                <w:vertAlign w:val="superscript"/>
                <w:lang w:val="sr-Latn-ME"/>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rPr>
                <w:rFonts w:asciiTheme="majorBidi" w:hAnsiTheme="majorBidi" w:cstheme="majorBidi"/>
                <w:sz w:val="22"/>
                <w:szCs w:val="22"/>
                <w:lang w:val="sr-Latn-ME" w:eastAsia="en-GB"/>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hideMark/>
          </w:tcPr>
          <w:p w:rsidR="002639BC" w:rsidRPr="00BB0A8B" w:rsidRDefault="0006558F" w:rsidP="00BB0A8B">
            <w:pPr>
              <w:widowControl w:val="0"/>
              <w:kinsoku w:val="0"/>
              <w:overflowPunct w:val="0"/>
              <w:autoSpaceDE w:val="0"/>
              <w:autoSpaceDN w:val="0"/>
              <w:adjustRightInd w:val="0"/>
              <w:ind w:right="242"/>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Insuficijenci</w:t>
            </w:r>
          </w:p>
          <w:p w:rsidR="0006558F" w:rsidRPr="00BB0A8B" w:rsidRDefault="0006558F" w:rsidP="00BB0A8B">
            <w:pPr>
              <w:widowControl w:val="0"/>
              <w:kinsoku w:val="0"/>
              <w:overflowPunct w:val="0"/>
              <w:autoSpaceDE w:val="0"/>
              <w:autoSpaceDN w:val="0"/>
              <w:adjustRightInd w:val="0"/>
              <w:ind w:right="242"/>
              <w:rPr>
                <w:rFonts w:asciiTheme="majorBidi" w:hAnsiTheme="majorBidi" w:cstheme="majorBidi"/>
                <w:sz w:val="22"/>
                <w:szCs w:val="22"/>
                <w:vertAlign w:val="superscript"/>
                <w:lang w:val="sr-Latn-ME" w:eastAsia="en-GB"/>
              </w:rPr>
            </w:pPr>
            <w:r w:rsidRPr="00BB0A8B">
              <w:rPr>
                <w:rFonts w:asciiTheme="majorBidi" w:hAnsiTheme="majorBidi" w:cstheme="majorBidi"/>
                <w:sz w:val="22"/>
                <w:szCs w:val="22"/>
                <w:lang w:val="sr-Latn-ME" w:eastAsia="en-GB"/>
              </w:rPr>
              <w:t>ja jetre</w:t>
            </w:r>
            <w:r w:rsidRPr="00BB0A8B">
              <w:rPr>
                <w:rFonts w:asciiTheme="majorBidi" w:hAnsiTheme="majorBidi" w:cstheme="majorBidi"/>
                <w:sz w:val="22"/>
                <w:szCs w:val="22"/>
                <w:vertAlign w:val="superscript"/>
                <w:lang w:val="sr-Latn-ME" w:eastAsia="en-GB"/>
              </w:rPr>
              <w:t>6</w:t>
            </w:r>
          </w:p>
        </w:tc>
        <w:tc>
          <w:tcPr>
            <w:tcW w:w="712"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rPr>
                <w:rFonts w:asciiTheme="majorBidi" w:hAnsiTheme="majorBidi" w:cstheme="majorBidi"/>
                <w:sz w:val="22"/>
                <w:szCs w:val="22"/>
                <w:vertAlign w:val="superscript"/>
                <w:lang w:val="sr-Latn-ME"/>
              </w:rPr>
            </w:pPr>
          </w:p>
        </w:tc>
      </w:tr>
      <w:tr w:rsidR="0006558F" w:rsidRPr="00BB0A8B" w:rsidTr="00222BBD">
        <w:tc>
          <w:tcPr>
            <w:tcW w:w="924"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widowControl w:val="0"/>
              <w:kinsoku w:val="0"/>
              <w:overflowPunct w:val="0"/>
              <w:autoSpaceDE w:val="0"/>
              <w:autoSpaceDN w:val="0"/>
              <w:adjustRightInd w:val="0"/>
              <w:ind w:left="110" w:right="78"/>
              <w:rPr>
                <w:rFonts w:asciiTheme="majorBidi" w:hAnsiTheme="majorBidi" w:cstheme="majorBidi"/>
                <w:iCs/>
                <w:sz w:val="22"/>
                <w:szCs w:val="22"/>
                <w:lang w:val="sr-Latn-ME" w:eastAsia="en-GB"/>
              </w:rPr>
            </w:pPr>
            <w:r w:rsidRPr="00BB0A8B">
              <w:rPr>
                <w:rFonts w:asciiTheme="majorBidi" w:hAnsiTheme="majorBidi" w:cstheme="majorBidi"/>
                <w:iCs/>
                <w:sz w:val="22"/>
                <w:szCs w:val="22"/>
                <w:lang w:val="sr-Latn-ME" w:eastAsia="en-GB"/>
              </w:rPr>
              <w:t>Poremećaji kože i potkožnog tkiva</w:t>
            </w:r>
          </w:p>
        </w:tc>
        <w:tc>
          <w:tcPr>
            <w:tcW w:w="619"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widowControl w:val="0"/>
              <w:kinsoku w:val="0"/>
              <w:overflowPunct w:val="0"/>
              <w:autoSpaceDE w:val="0"/>
              <w:autoSpaceDN w:val="0"/>
              <w:adjustRightInd w:val="0"/>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Osip</w:t>
            </w:r>
          </w:p>
        </w:tc>
        <w:tc>
          <w:tcPr>
            <w:tcW w:w="966"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widowControl w:val="0"/>
              <w:kinsoku w:val="0"/>
              <w:overflowPunct w:val="0"/>
              <w:autoSpaceDE w:val="0"/>
              <w:autoSpaceDN w:val="0"/>
              <w:adjustRightInd w:val="0"/>
              <w:ind w:left="105"/>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Alopecija</w:t>
            </w:r>
          </w:p>
          <w:p w:rsidR="0006558F" w:rsidRPr="00BB0A8B" w:rsidRDefault="0006558F" w:rsidP="00BB0A8B">
            <w:pPr>
              <w:widowControl w:val="0"/>
              <w:kinsoku w:val="0"/>
              <w:overflowPunct w:val="0"/>
              <w:autoSpaceDE w:val="0"/>
              <w:autoSpaceDN w:val="0"/>
              <w:adjustRightInd w:val="0"/>
              <w:ind w:left="105"/>
              <w:rPr>
                <w:rFonts w:asciiTheme="majorBidi" w:hAnsiTheme="majorBidi" w:cstheme="majorBidi"/>
                <w:sz w:val="22"/>
                <w:szCs w:val="22"/>
                <w:vertAlign w:val="superscript"/>
                <w:lang w:val="sr-Latn-ME" w:eastAsia="en-GB"/>
              </w:rPr>
            </w:pPr>
            <w:r w:rsidRPr="00BB0A8B">
              <w:rPr>
                <w:rFonts w:asciiTheme="majorBidi" w:hAnsiTheme="majorBidi" w:cstheme="majorBidi"/>
                <w:sz w:val="22"/>
                <w:szCs w:val="22"/>
                <w:lang w:val="sr-Latn-ME" w:eastAsia="en-GB"/>
              </w:rPr>
              <w:t>Suva koža</w:t>
            </w:r>
            <w:r w:rsidRPr="00BB0A8B">
              <w:rPr>
                <w:rFonts w:asciiTheme="majorBidi" w:hAnsiTheme="majorBidi" w:cstheme="majorBidi"/>
                <w:sz w:val="22"/>
                <w:szCs w:val="22"/>
                <w:vertAlign w:val="superscript"/>
                <w:lang w:val="sr-Latn-ME" w:eastAsia="en-GB"/>
              </w:rPr>
              <w:t>1</w:t>
            </w:r>
          </w:p>
          <w:p w:rsidR="0006558F" w:rsidRPr="00BB0A8B" w:rsidRDefault="0006558F" w:rsidP="00BB0A8B">
            <w:pPr>
              <w:widowControl w:val="0"/>
              <w:kinsoku w:val="0"/>
              <w:overflowPunct w:val="0"/>
              <w:autoSpaceDE w:val="0"/>
              <w:autoSpaceDN w:val="0"/>
              <w:adjustRightInd w:val="0"/>
              <w:spacing w:before="1"/>
              <w:ind w:left="105"/>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Paronihija</w:t>
            </w:r>
          </w:p>
          <w:p w:rsidR="0006558F" w:rsidRPr="00BB0A8B" w:rsidRDefault="0006558F" w:rsidP="00BB0A8B">
            <w:pPr>
              <w:widowControl w:val="0"/>
              <w:kinsoku w:val="0"/>
              <w:overflowPunct w:val="0"/>
              <w:autoSpaceDE w:val="0"/>
              <w:autoSpaceDN w:val="0"/>
              <w:adjustRightInd w:val="0"/>
              <w:spacing w:before="2"/>
              <w:ind w:left="105"/>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Folikulitis</w:t>
            </w:r>
          </w:p>
          <w:p w:rsidR="0006558F" w:rsidRPr="00BB0A8B" w:rsidRDefault="0006558F" w:rsidP="00BB0A8B">
            <w:pPr>
              <w:widowControl w:val="0"/>
              <w:kinsoku w:val="0"/>
              <w:overflowPunct w:val="0"/>
              <w:autoSpaceDE w:val="0"/>
              <w:autoSpaceDN w:val="0"/>
              <w:adjustRightInd w:val="0"/>
              <w:ind w:left="105" w:right="207"/>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Akne/ Akneiformni dermatitis</w:t>
            </w:r>
          </w:p>
          <w:p w:rsidR="0006558F" w:rsidRPr="00BB0A8B" w:rsidRDefault="0006558F" w:rsidP="00BB0A8B">
            <w:pPr>
              <w:widowControl w:val="0"/>
              <w:kinsoku w:val="0"/>
              <w:overflowPunct w:val="0"/>
              <w:autoSpaceDE w:val="0"/>
              <w:autoSpaceDN w:val="0"/>
              <w:adjustRightInd w:val="0"/>
              <w:spacing w:before="2"/>
              <w:ind w:left="105"/>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Kožne fisure</w:t>
            </w:r>
          </w:p>
        </w:tc>
        <w:tc>
          <w:tcPr>
            <w:tcW w:w="921"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widowControl w:val="0"/>
              <w:kinsoku w:val="0"/>
              <w:overflowPunct w:val="0"/>
              <w:autoSpaceDE w:val="0"/>
              <w:autoSpaceDN w:val="0"/>
              <w:adjustRightInd w:val="0"/>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Hirzuitizam</w:t>
            </w:r>
          </w:p>
          <w:p w:rsidR="0006558F" w:rsidRPr="00BB0A8B" w:rsidRDefault="0006558F" w:rsidP="00BB0A8B">
            <w:pPr>
              <w:widowControl w:val="0"/>
              <w:kinsoku w:val="0"/>
              <w:overflowPunct w:val="0"/>
              <w:autoSpaceDE w:val="0"/>
              <w:autoSpaceDN w:val="0"/>
              <w:adjustRightInd w:val="0"/>
              <w:ind w:right="457"/>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Promjene na obrvama</w:t>
            </w:r>
          </w:p>
          <w:p w:rsidR="0006558F" w:rsidRPr="00BB0A8B" w:rsidRDefault="0006558F" w:rsidP="00BB0A8B">
            <w:pPr>
              <w:widowControl w:val="0"/>
              <w:kinsoku w:val="0"/>
              <w:overflowPunct w:val="0"/>
              <w:autoSpaceDE w:val="0"/>
              <w:autoSpaceDN w:val="0"/>
              <w:adjustRightInd w:val="0"/>
              <w:spacing w:before="3"/>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Lomljivi i krti nokti</w:t>
            </w:r>
          </w:p>
          <w:p w:rsidR="0006558F" w:rsidRPr="00BB0A8B" w:rsidRDefault="0006558F" w:rsidP="00BB0A8B">
            <w:pPr>
              <w:widowControl w:val="0"/>
              <w:kinsoku w:val="0"/>
              <w:overflowPunct w:val="0"/>
              <w:autoSpaceDE w:val="0"/>
              <w:autoSpaceDN w:val="0"/>
              <w:adjustRightInd w:val="0"/>
              <w:spacing w:before="1"/>
              <w:ind w:right="140"/>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Blaga reakcija kože poput</w:t>
            </w:r>
          </w:p>
          <w:p w:rsidR="0006558F" w:rsidRPr="00BB0A8B" w:rsidRDefault="0006558F" w:rsidP="00BB0A8B">
            <w:pPr>
              <w:widowControl w:val="0"/>
              <w:kinsoku w:val="0"/>
              <w:overflowPunct w:val="0"/>
              <w:autoSpaceDE w:val="0"/>
              <w:autoSpaceDN w:val="0"/>
              <w:adjustRightInd w:val="0"/>
              <w:spacing w:before="8"/>
              <w:ind w:left="110" w:right="134"/>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hiperpigmentacije</w:t>
            </w:r>
          </w:p>
        </w:tc>
        <w:tc>
          <w:tcPr>
            <w:tcW w:w="858"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widowControl w:val="0"/>
              <w:kinsoku w:val="0"/>
              <w:overflowPunct w:val="0"/>
              <w:autoSpaceDE w:val="0"/>
              <w:autoSpaceDN w:val="0"/>
              <w:adjustRightInd w:val="0"/>
              <w:ind w:left="110" w:right="187"/>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Sindrom palmarno- plantarne eritrodizestezije</w:t>
            </w:r>
          </w:p>
        </w:tc>
        <w:tc>
          <w:tcPr>
            <w:tcW w:w="712"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widowControl w:val="0"/>
              <w:kinsoku w:val="0"/>
              <w:overflowPunct w:val="0"/>
              <w:autoSpaceDE w:val="0"/>
              <w:autoSpaceDN w:val="0"/>
              <w:adjustRightInd w:val="0"/>
              <w:ind w:left="105" w:right="209"/>
              <w:rPr>
                <w:rFonts w:asciiTheme="majorBidi" w:hAnsiTheme="majorBidi" w:cstheme="majorBidi"/>
                <w:sz w:val="22"/>
                <w:szCs w:val="22"/>
                <w:vertAlign w:val="superscript"/>
                <w:lang w:val="sr-Latn-ME" w:eastAsia="en-GB"/>
              </w:rPr>
            </w:pPr>
            <w:r w:rsidRPr="00BB0A8B">
              <w:rPr>
                <w:rFonts w:asciiTheme="majorBidi" w:hAnsiTheme="majorBidi" w:cstheme="majorBidi"/>
                <w:sz w:val="22"/>
                <w:szCs w:val="22"/>
                <w:lang w:val="sr-Latn-ME" w:eastAsia="en-GB"/>
              </w:rPr>
              <w:t>-</w:t>
            </w:r>
            <w:r w:rsidRPr="00BB0A8B">
              <w:rPr>
                <w:rFonts w:asciiTheme="majorBidi" w:hAnsiTheme="majorBidi" w:cstheme="majorBidi"/>
                <w:i/>
                <w:iCs/>
                <w:sz w:val="22"/>
                <w:szCs w:val="22"/>
                <w:lang w:val="sr-Latn-ME" w:eastAsia="en-GB"/>
              </w:rPr>
              <w:t>Stevens- Johnson</w:t>
            </w:r>
            <w:r w:rsidRPr="00BB0A8B">
              <w:rPr>
                <w:rFonts w:asciiTheme="majorBidi" w:hAnsiTheme="majorBidi" w:cstheme="majorBidi"/>
                <w:sz w:val="22"/>
                <w:szCs w:val="22"/>
                <w:lang w:val="sr-Latn-ME" w:eastAsia="en-GB"/>
              </w:rPr>
              <w:t>-ov sindrom/ Toksična epidermalna nekroliza</w:t>
            </w:r>
            <w:r w:rsidRPr="00BB0A8B">
              <w:rPr>
                <w:rFonts w:asciiTheme="majorBidi" w:hAnsiTheme="majorBidi" w:cstheme="majorBidi"/>
                <w:sz w:val="22"/>
                <w:szCs w:val="22"/>
                <w:vertAlign w:val="superscript"/>
                <w:lang w:val="sr-Latn-ME" w:eastAsia="en-GB"/>
              </w:rPr>
              <w:t>7</w:t>
            </w:r>
          </w:p>
        </w:tc>
      </w:tr>
      <w:tr w:rsidR="0006558F" w:rsidRPr="00BB0A8B" w:rsidTr="00222BBD">
        <w:tc>
          <w:tcPr>
            <w:tcW w:w="924" w:type="pct"/>
            <w:tcBorders>
              <w:top w:val="single" w:sz="4" w:space="0" w:color="000000"/>
              <w:left w:val="single" w:sz="4" w:space="0" w:color="000000"/>
              <w:bottom w:val="single" w:sz="4" w:space="0" w:color="000000"/>
              <w:right w:val="single" w:sz="4" w:space="0" w:color="000000"/>
            </w:tcBorders>
            <w:shd w:val="clear" w:color="auto" w:fill="auto"/>
            <w:hideMark/>
          </w:tcPr>
          <w:p w:rsidR="002639BC" w:rsidRPr="00BB0A8B" w:rsidRDefault="0006558F" w:rsidP="00BB0A8B">
            <w:pPr>
              <w:widowControl w:val="0"/>
              <w:kinsoku w:val="0"/>
              <w:overflowPunct w:val="0"/>
              <w:autoSpaceDE w:val="0"/>
              <w:autoSpaceDN w:val="0"/>
              <w:adjustRightInd w:val="0"/>
              <w:ind w:left="110" w:right="640"/>
              <w:rPr>
                <w:rFonts w:asciiTheme="majorBidi" w:hAnsiTheme="majorBidi" w:cstheme="majorBidi"/>
                <w:iCs/>
                <w:sz w:val="22"/>
                <w:szCs w:val="22"/>
                <w:lang w:val="sr-Latn-ME" w:eastAsia="en-GB"/>
              </w:rPr>
            </w:pPr>
            <w:r w:rsidRPr="00BB0A8B">
              <w:rPr>
                <w:rFonts w:asciiTheme="majorBidi" w:hAnsiTheme="majorBidi" w:cstheme="majorBidi"/>
                <w:iCs/>
                <w:sz w:val="22"/>
                <w:szCs w:val="22"/>
                <w:lang w:val="sr-Latn-ME" w:eastAsia="en-GB"/>
              </w:rPr>
              <w:t>Porem</w:t>
            </w:r>
          </w:p>
          <w:p w:rsidR="0006558F" w:rsidRPr="00BB0A8B" w:rsidRDefault="0006558F" w:rsidP="00BB0A8B">
            <w:pPr>
              <w:widowControl w:val="0"/>
              <w:kinsoku w:val="0"/>
              <w:overflowPunct w:val="0"/>
              <w:autoSpaceDE w:val="0"/>
              <w:autoSpaceDN w:val="0"/>
              <w:adjustRightInd w:val="0"/>
              <w:ind w:left="110" w:right="640"/>
              <w:rPr>
                <w:rFonts w:asciiTheme="majorBidi" w:hAnsiTheme="majorBidi" w:cstheme="majorBidi"/>
                <w:iCs/>
                <w:sz w:val="22"/>
                <w:szCs w:val="22"/>
                <w:lang w:val="sr-Latn-ME" w:eastAsia="en-GB"/>
              </w:rPr>
            </w:pPr>
            <w:r w:rsidRPr="00BB0A8B">
              <w:rPr>
                <w:rFonts w:asciiTheme="majorBidi" w:hAnsiTheme="majorBidi" w:cstheme="majorBidi"/>
                <w:iCs/>
                <w:sz w:val="22"/>
                <w:szCs w:val="22"/>
                <w:lang w:val="sr-Latn-ME" w:eastAsia="en-GB"/>
              </w:rPr>
              <w:t>ećaji bubrega i urinarnog</w:t>
            </w:r>
          </w:p>
          <w:p w:rsidR="0006558F" w:rsidRPr="00BB0A8B" w:rsidRDefault="0006558F" w:rsidP="00BB0A8B">
            <w:pPr>
              <w:widowControl w:val="0"/>
              <w:kinsoku w:val="0"/>
              <w:overflowPunct w:val="0"/>
              <w:autoSpaceDE w:val="0"/>
              <w:autoSpaceDN w:val="0"/>
              <w:adjustRightInd w:val="0"/>
              <w:ind w:left="110"/>
              <w:rPr>
                <w:rFonts w:asciiTheme="majorBidi" w:hAnsiTheme="majorBidi" w:cstheme="majorBidi"/>
                <w:iCs/>
                <w:sz w:val="22"/>
                <w:szCs w:val="22"/>
                <w:lang w:val="sr-Latn-ME" w:eastAsia="en-GB"/>
              </w:rPr>
            </w:pPr>
            <w:r w:rsidRPr="00BB0A8B">
              <w:rPr>
                <w:rFonts w:asciiTheme="majorBidi" w:hAnsiTheme="majorBidi" w:cstheme="majorBidi"/>
                <w:iCs/>
                <w:sz w:val="22"/>
                <w:szCs w:val="22"/>
                <w:lang w:val="sr-Latn-ME" w:eastAsia="en-GB"/>
              </w:rPr>
              <w:t>sistema</w:t>
            </w:r>
          </w:p>
        </w:tc>
        <w:tc>
          <w:tcPr>
            <w:tcW w:w="619"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rPr>
                <w:rFonts w:asciiTheme="majorBidi" w:hAnsiTheme="majorBidi" w:cstheme="majorBidi"/>
                <w:iCs/>
                <w:sz w:val="22"/>
                <w:szCs w:val="22"/>
                <w:lang w:val="sr-Latn-ME"/>
              </w:rPr>
            </w:pPr>
          </w:p>
        </w:tc>
        <w:tc>
          <w:tcPr>
            <w:tcW w:w="966"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widowControl w:val="0"/>
              <w:kinsoku w:val="0"/>
              <w:overflowPunct w:val="0"/>
              <w:autoSpaceDE w:val="0"/>
              <w:autoSpaceDN w:val="0"/>
              <w:adjustRightInd w:val="0"/>
              <w:ind w:left="105"/>
              <w:rPr>
                <w:rFonts w:asciiTheme="majorBidi" w:hAnsiTheme="majorBidi" w:cstheme="majorBidi"/>
                <w:sz w:val="22"/>
                <w:szCs w:val="22"/>
                <w:vertAlign w:val="superscript"/>
                <w:lang w:val="sr-Latn-ME" w:eastAsia="en-GB"/>
              </w:rPr>
            </w:pPr>
            <w:r w:rsidRPr="00BB0A8B">
              <w:rPr>
                <w:rFonts w:asciiTheme="majorBidi" w:hAnsiTheme="majorBidi" w:cstheme="majorBidi"/>
                <w:sz w:val="22"/>
                <w:szCs w:val="22"/>
                <w:lang w:val="sr-Latn-ME" w:eastAsia="en-GB"/>
              </w:rPr>
              <w:t>Renalna insuficijencija</w:t>
            </w:r>
            <w:r w:rsidRPr="00BB0A8B">
              <w:rPr>
                <w:rFonts w:asciiTheme="majorBidi" w:hAnsiTheme="majorBidi" w:cstheme="majorBidi"/>
                <w:sz w:val="22"/>
                <w:szCs w:val="22"/>
                <w:vertAlign w:val="superscript"/>
                <w:lang w:val="sr-Latn-ME" w:eastAsia="en-GB"/>
              </w:rPr>
              <w:t>1</w:t>
            </w:r>
          </w:p>
        </w:tc>
        <w:tc>
          <w:tcPr>
            <w:tcW w:w="921"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widowControl w:val="0"/>
              <w:kinsoku w:val="0"/>
              <w:overflowPunct w:val="0"/>
              <w:autoSpaceDE w:val="0"/>
              <w:autoSpaceDN w:val="0"/>
              <w:adjustRightInd w:val="0"/>
              <w:ind w:left="110"/>
              <w:rPr>
                <w:rFonts w:asciiTheme="majorBidi" w:hAnsiTheme="majorBidi" w:cstheme="majorBidi"/>
                <w:sz w:val="22"/>
                <w:szCs w:val="22"/>
                <w:vertAlign w:val="superscript"/>
                <w:lang w:val="sr-Latn-ME" w:eastAsia="en-GB"/>
              </w:rPr>
            </w:pPr>
            <w:r w:rsidRPr="00BB0A8B">
              <w:rPr>
                <w:rFonts w:asciiTheme="majorBidi" w:hAnsiTheme="majorBidi" w:cstheme="majorBidi"/>
                <w:sz w:val="22"/>
                <w:szCs w:val="22"/>
                <w:lang w:val="sr-Latn-ME" w:eastAsia="en-GB"/>
              </w:rPr>
              <w:t>Nefritis</w:t>
            </w:r>
            <w:r w:rsidRPr="00BB0A8B">
              <w:rPr>
                <w:rFonts w:asciiTheme="majorBidi" w:hAnsiTheme="majorBidi" w:cstheme="majorBidi"/>
                <w:sz w:val="22"/>
                <w:szCs w:val="22"/>
                <w:vertAlign w:val="superscript"/>
                <w:lang w:val="sr-Latn-ME" w:eastAsia="en-GB"/>
              </w:rPr>
              <w:t>1</w:t>
            </w:r>
          </w:p>
          <w:p w:rsidR="0006558F" w:rsidRPr="00BB0A8B" w:rsidRDefault="0006558F" w:rsidP="00BB0A8B">
            <w:pPr>
              <w:widowControl w:val="0"/>
              <w:kinsoku w:val="0"/>
              <w:overflowPunct w:val="0"/>
              <w:autoSpaceDE w:val="0"/>
              <w:autoSpaceDN w:val="0"/>
              <w:adjustRightInd w:val="0"/>
              <w:spacing w:before="1"/>
              <w:ind w:left="110"/>
              <w:rPr>
                <w:rFonts w:asciiTheme="majorBidi" w:hAnsiTheme="majorBidi" w:cstheme="majorBidi"/>
                <w:sz w:val="22"/>
                <w:szCs w:val="22"/>
                <w:vertAlign w:val="superscript"/>
                <w:lang w:val="sr-Latn-ME" w:eastAsia="en-GB"/>
              </w:rPr>
            </w:pPr>
            <w:r w:rsidRPr="00BB0A8B">
              <w:rPr>
                <w:rFonts w:asciiTheme="majorBidi" w:hAnsiTheme="majorBidi" w:cstheme="majorBidi"/>
                <w:sz w:val="22"/>
                <w:szCs w:val="22"/>
                <w:lang w:val="sr-Latn-ME" w:eastAsia="en-GB"/>
              </w:rPr>
              <w:t>Proteinurija</w:t>
            </w:r>
            <w:r w:rsidRPr="00BB0A8B">
              <w:rPr>
                <w:rFonts w:asciiTheme="majorBidi" w:hAnsiTheme="majorBidi" w:cstheme="majorBidi"/>
                <w:sz w:val="22"/>
                <w:szCs w:val="22"/>
                <w:vertAlign w:val="superscript"/>
                <w:lang w:val="sr-Latn-ME" w:eastAsia="en-GB"/>
              </w:rPr>
              <w:t>1</w:t>
            </w:r>
          </w:p>
        </w:tc>
        <w:tc>
          <w:tcPr>
            <w:tcW w:w="858"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rPr>
                <w:rFonts w:asciiTheme="majorBidi" w:hAnsiTheme="majorBidi" w:cstheme="majorBidi"/>
                <w:sz w:val="22"/>
                <w:szCs w:val="22"/>
                <w:vertAlign w:val="superscript"/>
                <w:lang w:val="sr-Latn-ME"/>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hideMark/>
          </w:tcPr>
          <w:p w:rsidR="0006558F" w:rsidRPr="00BB0A8B" w:rsidRDefault="0006558F" w:rsidP="00BB0A8B">
            <w:pPr>
              <w:rPr>
                <w:rFonts w:asciiTheme="majorBidi" w:hAnsiTheme="majorBidi" w:cstheme="majorBidi"/>
                <w:sz w:val="22"/>
                <w:szCs w:val="22"/>
                <w:lang w:val="sr-Latn-ME" w:eastAsia="en-GB"/>
              </w:rPr>
            </w:pPr>
          </w:p>
        </w:tc>
      </w:tr>
    </w:tbl>
    <w:p w:rsidR="00222BBD" w:rsidRPr="00BB0A8B" w:rsidRDefault="00222BB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¹ U kliničkoj studiji PA.3</w:t>
      </w:r>
    </w:p>
    <w:p w:rsidR="00222BBD" w:rsidRPr="00BB0A8B" w:rsidRDefault="00222BB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² Uključujući urastanje trepavica, pojačan rast i zadebljanje trepavica.</w:t>
      </w:r>
    </w:p>
    <w:p w:rsidR="00222BBD" w:rsidRPr="00BB0A8B" w:rsidRDefault="00222BB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³ Uključujući i smrtni ishod, kod pacijenata koji su primali erlotinib za terapiju NSCLC ili druge uznapredovale solidne tumore (vidjeti </w:t>
      </w:r>
      <w:r w:rsidR="002639BC"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 xml:space="preserve">4.4). Veća incidenca je uočena kod pacijenata u Japanu (vidjeti </w:t>
      </w:r>
      <w:r w:rsidR="002639BC"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4.4).</w:t>
      </w:r>
    </w:p>
    <w:p w:rsidR="00222BBD" w:rsidRPr="00BB0A8B" w:rsidRDefault="00222BB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vertAlign w:val="superscript"/>
          <w:lang w:val="sr-Latn-ME"/>
        </w:rPr>
        <w:t>4</w:t>
      </w:r>
      <w:r w:rsidRPr="00BB0A8B">
        <w:rPr>
          <w:rFonts w:asciiTheme="majorBidi" w:hAnsiTheme="majorBidi" w:cstheme="majorBidi"/>
          <w:bCs/>
          <w:sz w:val="22"/>
          <w:szCs w:val="22"/>
          <w:lang w:val="sr-Latn-ME"/>
        </w:rPr>
        <w:t xml:space="preserve"> U kliničkim studijama, neki slučajevi su povezani sa istovremenom primjenom varfarina, a neki sa istovremenom primjenom NSAIL (vidjeti </w:t>
      </w:r>
      <w:r w:rsidR="002639BC"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4.5).</w:t>
      </w:r>
    </w:p>
    <w:p w:rsidR="00222BBD" w:rsidRPr="00BB0A8B" w:rsidRDefault="00222BB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vertAlign w:val="superscript"/>
          <w:lang w:val="sr-Latn-ME"/>
        </w:rPr>
        <w:lastRenderedPageBreak/>
        <w:t>5</w:t>
      </w:r>
      <w:r w:rsidRPr="00BB0A8B">
        <w:rPr>
          <w:rFonts w:asciiTheme="majorBidi" w:hAnsiTheme="majorBidi" w:cstheme="majorBidi"/>
          <w:bCs/>
          <w:sz w:val="22"/>
          <w:szCs w:val="22"/>
          <w:lang w:val="sr-Latn-ME"/>
        </w:rPr>
        <w:t xml:space="preserve"> Uključujući povišene vrijednosti alanin aminotransferaze/ALT/, aspartat aminotransferaze/AST/ i bilirubina. One su bile veoma česte u kliničkoj studiji PA.3 i česte u kliničkoj studiji BR.21. One su bile uglavnom blage do umjereno teške, prolazne prirode ili povezane sa metastazama u jetri.</w:t>
      </w:r>
    </w:p>
    <w:p w:rsidR="00222BBD" w:rsidRPr="00BB0A8B" w:rsidRDefault="00222BB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vertAlign w:val="superscript"/>
          <w:lang w:val="sr-Latn-ME"/>
        </w:rPr>
        <w:t xml:space="preserve">6 </w:t>
      </w:r>
      <w:r w:rsidRPr="00BB0A8B">
        <w:rPr>
          <w:rFonts w:asciiTheme="majorBidi" w:hAnsiTheme="majorBidi" w:cstheme="majorBidi"/>
          <w:bCs/>
          <w:sz w:val="22"/>
          <w:szCs w:val="22"/>
          <w:lang w:val="sr-Latn-ME"/>
        </w:rPr>
        <w:t xml:space="preserve">Uključujući i smrtni ishod. Ometajući faktori su uključivali postojeću bolest jetre i istovremenu primjenu hepatotoksičnih ljekova (vidjeti </w:t>
      </w:r>
      <w:r w:rsidR="002639BC"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4.4.)</w:t>
      </w:r>
    </w:p>
    <w:p w:rsidR="00222BBD" w:rsidRPr="00BB0A8B" w:rsidRDefault="00222BB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vertAlign w:val="superscript"/>
          <w:lang w:val="sr-Latn-ME"/>
        </w:rPr>
        <w:t>7</w:t>
      </w:r>
      <w:r w:rsidRPr="00BB0A8B">
        <w:rPr>
          <w:rFonts w:asciiTheme="majorBidi" w:hAnsiTheme="majorBidi" w:cstheme="majorBidi"/>
          <w:bCs/>
          <w:sz w:val="22"/>
          <w:szCs w:val="22"/>
          <w:lang w:val="sr-Latn-ME"/>
        </w:rPr>
        <w:t xml:space="preserve"> Uključujići i smrtni ishod (vidjeti </w:t>
      </w:r>
      <w:r w:rsidR="002639BC"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4.4.)</w:t>
      </w:r>
    </w:p>
    <w:p w:rsidR="00F7298E" w:rsidRPr="00BB0A8B" w:rsidRDefault="00F7298E" w:rsidP="00BB0A8B">
      <w:pPr>
        <w:tabs>
          <w:tab w:val="left" w:pos="540"/>
          <w:tab w:val="left" w:pos="569"/>
        </w:tabs>
        <w:rPr>
          <w:rFonts w:asciiTheme="majorBidi" w:hAnsiTheme="majorBidi" w:cstheme="majorBidi"/>
          <w:b/>
          <w:bCs/>
          <w:sz w:val="22"/>
          <w:szCs w:val="22"/>
          <w:lang w:val="sr-Latn-ME"/>
        </w:rPr>
      </w:pPr>
    </w:p>
    <w:p w:rsidR="005A23D2" w:rsidRPr="00BB0A8B" w:rsidRDefault="005A23D2" w:rsidP="00BB0A8B">
      <w:pPr>
        <w:spacing w:after="200"/>
        <w:rPr>
          <w:rFonts w:asciiTheme="majorBidi" w:eastAsia="Calibri" w:hAnsiTheme="majorBidi" w:cstheme="majorBidi"/>
          <w:sz w:val="22"/>
          <w:szCs w:val="22"/>
          <w:u w:val="single"/>
          <w:lang w:val="sr-Latn-ME"/>
        </w:rPr>
      </w:pPr>
      <w:r w:rsidRPr="00BB0A8B">
        <w:rPr>
          <w:rFonts w:asciiTheme="majorBidi" w:eastAsia="Calibri" w:hAnsiTheme="majorBidi" w:cstheme="majorBidi"/>
          <w:sz w:val="22"/>
          <w:szCs w:val="22"/>
          <w:u w:val="single"/>
          <w:lang w:val="sr-Latn-ME"/>
        </w:rPr>
        <w:t>Prijavljivanje sumnji na neželjena dejstva</w:t>
      </w:r>
    </w:p>
    <w:p w:rsidR="005A23D2" w:rsidRPr="00BB0A8B" w:rsidRDefault="005A23D2" w:rsidP="00BB0A8B">
      <w:pPr>
        <w:spacing w:after="200"/>
        <w:jc w:val="both"/>
        <w:rPr>
          <w:rFonts w:asciiTheme="majorBidi" w:eastAsia="Calibri" w:hAnsiTheme="majorBidi" w:cstheme="majorBidi"/>
          <w:sz w:val="22"/>
          <w:szCs w:val="22"/>
          <w:lang w:val="sr-Latn-ME"/>
        </w:rPr>
      </w:pPr>
      <w:r w:rsidRPr="00BB0A8B">
        <w:rPr>
          <w:rFonts w:asciiTheme="majorBidi" w:eastAsia="Calibri" w:hAnsiTheme="majorBidi" w:cstheme="majorBidi"/>
          <w:sz w:val="22"/>
          <w:szCs w:val="22"/>
          <w:lang w:val="sr-Latn-ME"/>
        </w:rPr>
        <w:t>Prijavljivanje neželjenih dejstava nakon dobijanja dozvole je od velikog značaja jer obezbjeđuje kont</w:t>
      </w:r>
      <w:r w:rsidR="00EA5765" w:rsidRPr="00BB0A8B">
        <w:rPr>
          <w:rFonts w:asciiTheme="majorBidi" w:eastAsia="Calibri" w:hAnsiTheme="majorBidi" w:cstheme="majorBidi"/>
          <w:sz w:val="22"/>
          <w:szCs w:val="22"/>
          <w:lang w:val="sr-Latn-ME"/>
        </w:rPr>
        <w:t>inuirano praćenje odnosa korist</w:t>
      </w:r>
      <w:r w:rsidRPr="00BB0A8B">
        <w:rPr>
          <w:rFonts w:asciiTheme="majorBidi" w:eastAsia="Calibri" w:hAnsiTheme="majorBidi" w:cstheme="majorBidi"/>
          <w:sz w:val="22"/>
          <w:szCs w:val="22"/>
          <w:lang w:val="sr-Latn-ME"/>
        </w:rPr>
        <w:t>/rizik primjene lijeka. Zdravstveni radnici treba da prijave svaku sumnju na neželjeno</w:t>
      </w:r>
      <w:r w:rsidR="009B062A" w:rsidRPr="00BB0A8B">
        <w:rPr>
          <w:rFonts w:asciiTheme="majorBidi" w:eastAsia="Calibri" w:hAnsiTheme="majorBidi" w:cstheme="majorBidi"/>
          <w:sz w:val="22"/>
          <w:szCs w:val="22"/>
          <w:lang w:val="sr-Latn-ME"/>
        </w:rPr>
        <w:t xml:space="preserve"> </w:t>
      </w:r>
      <w:r w:rsidRPr="00BB0A8B">
        <w:rPr>
          <w:rFonts w:asciiTheme="majorBidi" w:eastAsia="Calibri" w:hAnsiTheme="majorBidi" w:cstheme="majorBidi"/>
          <w:sz w:val="22"/>
          <w:szCs w:val="22"/>
          <w:lang w:val="sr-Latn-ME"/>
        </w:rPr>
        <w:t xml:space="preserve">dejstvo ovog lijeka </w:t>
      </w:r>
      <w:r w:rsidR="004E70AD" w:rsidRPr="00BB0A8B">
        <w:rPr>
          <w:rFonts w:asciiTheme="majorBidi" w:eastAsia="Calibri" w:hAnsiTheme="majorBidi" w:cstheme="majorBidi"/>
          <w:sz w:val="22"/>
          <w:szCs w:val="22"/>
          <w:lang w:val="sr-Latn-ME"/>
        </w:rPr>
        <w:t>Institutu</w:t>
      </w:r>
      <w:r w:rsidRPr="00BB0A8B">
        <w:rPr>
          <w:rFonts w:asciiTheme="majorBidi" w:eastAsia="Calibri" w:hAnsiTheme="majorBidi" w:cstheme="majorBidi"/>
          <w:sz w:val="22"/>
          <w:szCs w:val="22"/>
          <w:lang w:val="sr-Latn-ME"/>
        </w:rPr>
        <w:t xml:space="preserve"> za ljekove i medicinska sredstva</w:t>
      </w:r>
      <w:r w:rsidR="004E70AD" w:rsidRPr="00BB0A8B">
        <w:rPr>
          <w:rFonts w:asciiTheme="majorBidi" w:eastAsia="Calibri" w:hAnsiTheme="majorBidi" w:cstheme="majorBidi"/>
          <w:sz w:val="22"/>
          <w:szCs w:val="22"/>
          <w:lang w:val="sr-Latn-ME"/>
        </w:rPr>
        <w:t xml:space="preserve"> </w:t>
      </w:r>
      <w:r w:rsidRPr="00BB0A8B">
        <w:rPr>
          <w:rFonts w:asciiTheme="majorBidi" w:eastAsia="Calibri" w:hAnsiTheme="majorBidi" w:cstheme="majorBidi"/>
          <w:sz w:val="22"/>
          <w:szCs w:val="22"/>
          <w:lang w:val="sr-Latn-ME"/>
        </w:rPr>
        <w:t>(</w:t>
      </w:r>
      <w:r w:rsidR="004E70AD" w:rsidRPr="00BB0A8B">
        <w:rPr>
          <w:rFonts w:asciiTheme="majorBidi" w:eastAsia="Calibri" w:hAnsiTheme="majorBidi" w:cstheme="majorBidi"/>
          <w:sz w:val="22"/>
          <w:szCs w:val="22"/>
          <w:lang w:val="sr-Latn-ME"/>
        </w:rPr>
        <w:t>CInMED</w:t>
      </w:r>
      <w:r w:rsidRPr="00BB0A8B">
        <w:rPr>
          <w:rFonts w:asciiTheme="majorBidi" w:eastAsia="Calibri" w:hAnsiTheme="majorBidi" w:cstheme="majorBidi"/>
          <w:sz w:val="22"/>
          <w:szCs w:val="22"/>
          <w:lang w:val="sr-Latn-ME"/>
        </w:rPr>
        <w:t>):</w:t>
      </w:r>
    </w:p>
    <w:p w:rsidR="005A23D2" w:rsidRPr="00BB0A8B" w:rsidRDefault="004E70AD" w:rsidP="00BB0A8B">
      <w:pPr>
        <w:pStyle w:val="NoSpacing"/>
        <w:jc w:val="both"/>
        <w:rPr>
          <w:rFonts w:asciiTheme="majorBidi" w:eastAsia="Calibri" w:hAnsiTheme="majorBidi" w:cstheme="majorBidi"/>
          <w:sz w:val="22"/>
          <w:szCs w:val="22"/>
          <w:lang w:val="sr-Latn-ME"/>
        </w:rPr>
      </w:pPr>
      <w:r w:rsidRPr="00BB0A8B">
        <w:rPr>
          <w:rFonts w:asciiTheme="majorBidi" w:eastAsia="Calibri" w:hAnsiTheme="majorBidi" w:cstheme="majorBidi"/>
          <w:sz w:val="22"/>
          <w:szCs w:val="22"/>
          <w:lang w:val="sr-Latn-ME"/>
        </w:rPr>
        <w:t xml:space="preserve">Institut </w:t>
      </w:r>
      <w:r w:rsidR="005A23D2" w:rsidRPr="00BB0A8B">
        <w:rPr>
          <w:rFonts w:asciiTheme="majorBidi" w:eastAsia="Calibri" w:hAnsiTheme="majorBidi" w:cstheme="majorBidi"/>
          <w:sz w:val="22"/>
          <w:szCs w:val="22"/>
          <w:lang w:val="sr-Latn-ME"/>
        </w:rPr>
        <w:t xml:space="preserve">za ljekove i medicinska sredstva </w:t>
      </w:r>
    </w:p>
    <w:p w:rsidR="005A23D2" w:rsidRPr="00BB0A8B" w:rsidRDefault="005A23D2" w:rsidP="00BB0A8B">
      <w:pPr>
        <w:pStyle w:val="NoSpacing"/>
        <w:jc w:val="both"/>
        <w:rPr>
          <w:rFonts w:asciiTheme="majorBidi" w:eastAsia="Calibri" w:hAnsiTheme="majorBidi" w:cstheme="majorBidi"/>
          <w:sz w:val="22"/>
          <w:szCs w:val="22"/>
          <w:lang w:val="sr-Latn-ME"/>
        </w:rPr>
      </w:pPr>
      <w:r w:rsidRPr="00BB0A8B">
        <w:rPr>
          <w:rFonts w:asciiTheme="majorBidi" w:eastAsia="Calibri" w:hAnsiTheme="majorBidi" w:cstheme="majorBidi"/>
          <w:sz w:val="22"/>
          <w:szCs w:val="22"/>
          <w:lang w:val="sr-Latn-ME"/>
        </w:rPr>
        <w:t>Odjeljenje za farmakovigilancu</w:t>
      </w:r>
    </w:p>
    <w:p w:rsidR="00EA5765" w:rsidRPr="00BB0A8B" w:rsidRDefault="005A23D2" w:rsidP="00BB0A8B">
      <w:pPr>
        <w:pStyle w:val="NoSpacing"/>
        <w:jc w:val="both"/>
        <w:rPr>
          <w:rFonts w:asciiTheme="majorBidi" w:eastAsia="Calibri" w:hAnsiTheme="majorBidi" w:cstheme="majorBidi"/>
          <w:sz w:val="22"/>
          <w:szCs w:val="22"/>
          <w:lang w:val="sr-Latn-ME"/>
        </w:rPr>
      </w:pPr>
      <w:r w:rsidRPr="00BB0A8B">
        <w:rPr>
          <w:rFonts w:asciiTheme="majorBidi" w:eastAsia="Calibri" w:hAnsiTheme="majorBidi" w:cstheme="majorBidi"/>
          <w:sz w:val="22"/>
          <w:szCs w:val="22"/>
          <w:lang w:val="sr-Latn-ME"/>
        </w:rPr>
        <w:t>Bulevar Ivana Crnojevića 64a, 81000 Podgorica</w:t>
      </w:r>
    </w:p>
    <w:p w:rsidR="00EA5765" w:rsidRPr="00BB0A8B" w:rsidRDefault="00EA5765" w:rsidP="00BB0A8B">
      <w:pPr>
        <w:pStyle w:val="NoSpacing"/>
        <w:rPr>
          <w:rFonts w:asciiTheme="majorBidi" w:eastAsia="Calibri" w:hAnsiTheme="majorBidi" w:cstheme="majorBidi"/>
          <w:sz w:val="22"/>
          <w:szCs w:val="22"/>
          <w:lang w:val="sr-Latn-ME"/>
        </w:rPr>
      </w:pPr>
    </w:p>
    <w:p w:rsidR="005A23D2" w:rsidRPr="00BB0A8B" w:rsidRDefault="005A23D2" w:rsidP="00BB0A8B">
      <w:pPr>
        <w:pStyle w:val="NoSpacing"/>
        <w:jc w:val="both"/>
        <w:rPr>
          <w:rFonts w:asciiTheme="majorBidi" w:eastAsia="Calibri" w:hAnsiTheme="majorBidi" w:cstheme="majorBidi"/>
          <w:sz w:val="22"/>
          <w:szCs w:val="22"/>
          <w:lang w:val="sr-Latn-ME"/>
        </w:rPr>
      </w:pPr>
      <w:r w:rsidRPr="00BB0A8B">
        <w:rPr>
          <w:rFonts w:asciiTheme="majorBidi" w:eastAsia="Calibri" w:hAnsiTheme="majorBidi" w:cstheme="majorBidi"/>
          <w:sz w:val="22"/>
          <w:szCs w:val="22"/>
          <w:lang w:val="sr-Latn-ME"/>
        </w:rPr>
        <w:t>tel: +382 (0) 20 310 280</w:t>
      </w:r>
    </w:p>
    <w:p w:rsidR="00EA5765" w:rsidRPr="00BB0A8B" w:rsidRDefault="005A23D2" w:rsidP="00BB0A8B">
      <w:pPr>
        <w:pStyle w:val="NoSpacing"/>
        <w:jc w:val="both"/>
        <w:rPr>
          <w:rFonts w:asciiTheme="majorBidi" w:eastAsia="Calibri" w:hAnsiTheme="majorBidi" w:cstheme="majorBidi"/>
          <w:sz w:val="22"/>
          <w:szCs w:val="22"/>
          <w:lang w:val="sr-Latn-ME"/>
        </w:rPr>
      </w:pPr>
      <w:r w:rsidRPr="00BB0A8B">
        <w:rPr>
          <w:rFonts w:asciiTheme="majorBidi" w:eastAsia="Calibri" w:hAnsiTheme="majorBidi" w:cstheme="majorBidi"/>
          <w:sz w:val="22"/>
          <w:szCs w:val="22"/>
          <w:lang w:val="sr-Latn-ME"/>
        </w:rPr>
        <w:t>fax:</w:t>
      </w:r>
      <w:r w:rsidR="00EA5765" w:rsidRPr="00BB0A8B">
        <w:rPr>
          <w:rFonts w:asciiTheme="majorBidi" w:eastAsia="Calibri" w:hAnsiTheme="majorBidi" w:cstheme="majorBidi"/>
          <w:sz w:val="22"/>
          <w:szCs w:val="22"/>
          <w:lang w:val="sr-Latn-ME"/>
        </w:rPr>
        <w:t xml:space="preserve"> </w:t>
      </w:r>
      <w:r w:rsidRPr="00BB0A8B">
        <w:rPr>
          <w:rFonts w:asciiTheme="majorBidi" w:eastAsia="Calibri" w:hAnsiTheme="majorBidi" w:cstheme="majorBidi"/>
          <w:sz w:val="22"/>
          <w:szCs w:val="22"/>
          <w:lang w:val="sr-Latn-ME"/>
        </w:rPr>
        <w:t>+382 (0) 20 310 581</w:t>
      </w:r>
    </w:p>
    <w:p w:rsidR="005A23D2" w:rsidRPr="00BB0A8B" w:rsidRDefault="00025BFB" w:rsidP="00BB0A8B">
      <w:pPr>
        <w:pStyle w:val="NoSpacing"/>
        <w:jc w:val="both"/>
        <w:rPr>
          <w:rFonts w:asciiTheme="majorBidi" w:eastAsia="Calibri" w:hAnsiTheme="majorBidi" w:cstheme="majorBidi"/>
          <w:sz w:val="22"/>
          <w:szCs w:val="22"/>
          <w:lang w:val="sr-Latn-ME"/>
        </w:rPr>
      </w:pPr>
      <w:hyperlink r:id="rId8" w:history="1">
        <w:r w:rsidR="004E70AD" w:rsidRPr="00BB0A8B">
          <w:rPr>
            <w:rStyle w:val="Hyperlink"/>
            <w:rFonts w:asciiTheme="majorBidi" w:eastAsia="Calibri" w:hAnsiTheme="majorBidi" w:cstheme="majorBidi"/>
            <w:sz w:val="22"/>
            <w:szCs w:val="22"/>
            <w:lang w:val="sr-Latn-ME"/>
          </w:rPr>
          <w:t>www.cinmed.me</w:t>
        </w:r>
      </w:hyperlink>
    </w:p>
    <w:p w:rsidR="00EA5765" w:rsidRPr="00BB0A8B" w:rsidRDefault="00025BFB" w:rsidP="00BB0A8B">
      <w:pPr>
        <w:pStyle w:val="NoSpacing"/>
        <w:jc w:val="both"/>
        <w:rPr>
          <w:rFonts w:asciiTheme="majorBidi" w:eastAsia="Calibri" w:hAnsiTheme="majorBidi" w:cstheme="majorBidi"/>
          <w:color w:val="0000FF"/>
          <w:sz w:val="22"/>
          <w:szCs w:val="22"/>
          <w:u w:val="single"/>
          <w:lang w:val="sr-Latn-ME"/>
        </w:rPr>
      </w:pPr>
      <w:hyperlink r:id="rId9" w:history="1">
        <w:r w:rsidR="004E70AD" w:rsidRPr="00BB0A8B">
          <w:rPr>
            <w:rStyle w:val="Hyperlink"/>
            <w:rFonts w:asciiTheme="majorBidi" w:eastAsia="Calibri" w:hAnsiTheme="majorBidi" w:cstheme="majorBidi"/>
            <w:sz w:val="22"/>
            <w:szCs w:val="22"/>
            <w:lang w:val="sr-Latn-ME"/>
          </w:rPr>
          <w:t>nezeljenadejstva@cinmed.me</w:t>
        </w:r>
      </w:hyperlink>
    </w:p>
    <w:p w:rsidR="005A23D2" w:rsidRPr="00BB0A8B" w:rsidRDefault="005A23D2" w:rsidP="00BB0A8B">
      <w:pPr>
        <w:pStyle w:val="NoSpacing"/>
        <w:jc w:val="both"/>
        <w:rPr>
          <w:rFonts w:asciiTheme="majorBidi" w:eastAsia="Calibri" w:hAnsiTheme="majorBidi" w:cstheme="majorBidi"/>
          <w:sz w:val="22"/>
          <w:szCs w:val="22"/>
          <w:lang w:val="sr-Latn-ME"/>
        </w:rPr>
      </w:pPr>
      <w:r w:rsidRPr="00BB0A8B">
        <w:rPr>
          <w:rFonts w:asciiTheme="majorBidi" w:eastAsia="Calibri" w:hAnsiTheme="majorBidi" w:cstheme="majorBidi"/>
          <w:sz w:val="22"/>
          <w:szCs w:val="22"/>
          <w:lang w:val="sr-Latn-ME"/>
        </w:rPr>
        <w:t>putem IS zdravstvene zaštite</w:t>
      </w:r>
    </w:p>
    <w:p w:rsidR="00836B35" w:rsidRPr="00BB0A8B" w:rsidRDefault="00836B35" w:rsidP="00BB0A8B">
      <w:pPr>
        <w:tabs>
          <w:tab w:val="left" w:pos="540"/>
          <w:tab w:val="left" w:pos="569"/>
        </w:tabs>
        <w:rPr>
          <w:rFonts w:asciiTheme="majorBidi" w:hAnsiTheme="majorBidi" w:cstheme="majorBidi"/>
          <w:b/>
          <w:bCs/>
          <w:sz w:val="22"/>
          <w:szCs w:val="22"/>
          <w:lang w:val="sr-Latn-ME"/>
        </w:rPr>
      </w:pPr>
    </w:p>
    <w:p w:rsidR="00CD6F02" w:rsidRPr="00BB0A8B" w:rsidRDefault="0072020E"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4.9.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Predoziranje</w:t>
      </w:r>
      <w:r w:rsidR="002846DB" w:rsidRPr="00BB0A8B">
        <w:rPr>
          <w:rFonts w:asciiTheme="majorBidi" w:hAnsiTheme="majorBidi" w:cstheme="majorBidi"/>
          <w:b/>
          <w:bCs/>
          <w:sz w:val="22"/>
          <w:szCs w:val="22"/>
          <w:lang w:val="sr-Latn-ME"/>
        </w:rPr>
        <w:t xml:space="preserve"> </w:t>
      </w:r>
    </w:p>
    <w:p w:rsidR="00222BBD" w:rsidRPr="00BB0A8B" w:rsidRDefault="00222BBD" w:rsidP="00BB0A8B">
      <w:pPr>
        <w:tabs>
          <w:tab w:val="left" w:pos="540"/>
          <w:tab w:val="left" w:pos="569"/>
        </w:tabs>
        <w:rPr>
          <w:rFonts w:asciiTheme="majorBidi" w:hAnsiTheme="majorBidi" w:cstheme="majorBidi"/>
          <w:b/>
          <w:bCs/>
          <w:sz w:val="22"/>
          <w:szCs w:val="22"/>
          <w:lang w:val="sr-Latn-ME"/>
        </w:rPr>
      </w:pPr>
    </w:p>
    <w:p w:rsidR="00222BBD" w:rsidRPr="00BB0A8B" w:rsidRDefault="00222BBD"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Simptomi </w:t>
      </w:r>
    </w:p>
    <w:p w:rsidR="00222BBD" w:rsidRPr="00BB0A8B" w:rsidRDefault="00222BBD" w:rsidP="00BB0A8B">
      <w:pPr>
        <w:tabs>
          <w:tab w:val="left" w:pos="540"/>
          <w:tab w:val="left" w:pos="569"/>
        </w:tabs>
        <w:jc w:val="both"/>
        <w:rPr>
          <w:rFonts w:asciiTheme="majorBidi" w:hAnsiTheme="majorBidi" w:cstheme="majorBidi"/>
          <w:bCs/>
          <w:sz w:val="22"/>
          <w:szCs w:val="22"/>
          <w:u w:val="single"/>
          <w:lang w:val="sr-Latn-ME"/>
        </w:rPr>
      </w:pPr>
    </w:p>
    <w:p w:rsidR="00222BBD" w:rsidRPr="00BB0A8B" w:rsidRDefault="00222BB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Pojedinačna oralna doza erlotiniba do 1000 mg kod zdravih osoba, i do 1600 mg kod pacijenata oboljelih od karcinoma dobro se podnosi</w:t>
      </w:r>
      <w:r w:rsidR="00EF55A4" w:rsidRPr="00BB0A8B">
        <w:rPr>
          <w:rFonts w:asciiTheme="majorBidi" w:hAnsiTheme="majorBidi" w:cstheme="majorBidi"/>
          <w:bCs/>
          <w:sz w:val="22"/>
          <w:szCs w:val="22"/>
          <w:lang w:val="sr-Latn-ME"/>
        </w:rPr>
        <w:t>la</w:t>
      </w:r>
      <w:r w:rsidRPr="00BB0A8B">
        <w:rPr>
          <w:rFonts w:asciiTheme="majorBidi" w:hAnsiTheme="majorBidi" w:cstheme="majorBidi"/>
          <w:bCs/>
          <w:sz w:val="22"/>
          <w:szCs w:val="22"/>
          <w:lang w:val="sr-Latn-ME"/>
        </w:rPr>
        <w:t xml:space="preserve">. Zdrave osobe su loše podnosile ponovljenu dvostruku dnevnu dozu od 200 mg poslije samo nekoliko dana doziranja. Na osnovu podataka iz ovih ispitivanja, teške neželjene reakcije kao što su dijareja, osip i moguća povećana aktivnost aminotransferaza jetre mogu da se pojave pri primjeni doze veće od preporučene. </w:t>
      </w:r>
    </w:p>
    <w:p w:rsidR="00222BBD" w:rsidRPr="00BB0A8B" w:rsidRDefault="00222BBD" w:rsidP="00BB0A8B">
      <w:pPr>
        <w:tabs>
          <w:tab w:val="left" w:pos="540"/>
          <w:tab w:val="left" w:pos="569"/>
        </w:tabs>
        <w:jc w:val="both"/>
        <w:rPr>
          <w:rFonts w:asciiTheme="majorBidi" w:hAnsiTheme="majorBidi" w:cstheme="majorBidi"/>
          <w:bCs/>
          <w:sz w:val="22"/>
          <w:szCs w:val="22"/>
          <w:lang w:val="sr-Latn-ME"/>
        </w:rPr>
      </w:pPr>
    </w:p>
    <w:p w:rsidR="00222BBD" w:rsidRPr="00BB0A8B" w:rsidRDefault="00222BBD"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Terapija </w:t>
      </w:r>
    </w:p>
    <w:p w:rsidR="00222BBD" w:rsidRPr="00BB0A8B" w:rsidRDefault="00222BBD" w:rsidP="00BB0A8B">
      <w:pPr>
        <w:tabs>
          <w:tab w:val="left" w:pos="540"/>
          <w:tab w:val="left" w:pos="569"/>
        </w:tabs>
        <w:jc w:val="both"/>
        <w:rPr>
          <w:rFonts w:asciiTheme="majorBidi" w:hAnsiTheme="majorBidi" w:cstheme="majorBidi"/>
          <w:bCs/>
          <w:sz w:val="22"/>
          <w:szCs w:val="22"/>
          <w:lang w:val="sr-Latn-ME"/>
        </w:rPr>
      </w:pPr>
    </w:p>
    <w:p w:rsidR="00222BBD" w:rsidRPr="00BB0A8B" w:rsidRDefault="00222BB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U slučaju sumnje na predoziranje, potrebno je obustaviti primjenu </w:t>
      </w:r>
      <w:r w:rsidR="00EF55A4" w:rsidRPr="00BB0A8B">
        <w:rPr>
          <w:rFonts w:asciiTheme="majorBidi" w:hAnsiTheme="majorBidi" w:cstheme="majorBidi"/>
          <w:bCs/>
          <w:sz w:val="22"/>
          <w:szCs w:val="22"/>
          <w:lang w:val="sr-Latn-ME"/>
        </w:rPr>
        <w:t xml:space="preserve">lijeka Erlotinib Actavis </w:t>
      </w:r>
      <w:r w:rsidRPr="00BB0A8B">
        <w:rPr>
          <w:rFonts w:asciiTheme="majorBidi" w:hAnsiTheme="majorBidi" w:cstheme="majorBidi"/>
          <w:bCs/>
          <w:sz w:val="22"/>
          <w:szCs w:val="22"/>
          <w:lang w:val="sr-Latn-ME"/>
        </w:rPr>
        <w:t>i započeti simptomatsku terapiju.</w:t>
      </w:r>
    </w:p>
    <w:p w:rsidR="00227BDB" w:rsidRDefault="00227BDB" w:rsidP="00BB0A8B">
      <w:pPr>
        <w:tabs>
          <w:tab w:val="left" w:pos="540"/>
          <w:tab w:val="left" w:pos="569"/>
        </w:tabs>
        <w:rPr>
          <w:rFonts w:asciiTheme="majorBidi" w:hAnsiTheme="majorBidi" w:cstheme="majorBidi"/>
          <w:b/>
          <w:bCs/>
          <w:sz w:val="22"/>
          <w:szCs w:val="22"/>
          <w:lang w:val="sr-Latn-ME"/>
        </w:rPr>
      </w:pPr>
    </w:p>
    <w:p w:rsidR="00BB0A8B" w:rsidRPr="00BB0A8B" w:rsidRDefault="00BB0A8B" w:rsidP="00BB0A8B">
      <w:pPr>
        <w:tabs>
          <w:tab w:val="left" w:pos="540"/>
          <w:tab w:val="left" w:pos="569"/>
        </w:tabs>
        <w:rPr>
          <w:rFonts w:asciiTheme="majorBidi" w:hAnsiTheme="majorBidi" w:cstheme="majorBidi"/>
          <w:b/>
          <w:bCs/>
          <w:sz w:val="22"/>
          <w:szCs w:val="22"/>
          <w:lang w:val="sr-Latn-ME"/>
        </w:rPr>
      </w:pPr>
    </w:p>
    <w:p w:rsidR="0072020E" w:rsidRPr="00BB0A8B" w:rsidRDefault="0072020E"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5.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FARMAKOLOŠK</w:t>
      </w:r>
      <w:r w:rsidR="000D425A" w:rsidRPr="00BB0A8B">
        <w:rPr>
          <w:rFonts w:asciiTheme="majorBidi" w:hAnsiTheme="majorBidi" w:cstheme="majorBidi"/>
          <w:b/>
          <w:bCs/>
          <w:sz w:val="22"/>
          <w:szCs w:val="22"/>
          <w:lang w:val="sr-Latn-ME"/>
        </w:rPr>
        <w:t>I</w:t>
      </w:r>
      <w:r w:rsidRPr="00BB0A8B">
        <w:rPr>
          <w:rFonts w:asciiTheme="majorBidi" w:hAnsiTheme="majorBidi" w:cstheme="majorBidi"/>
          <w:b/>
          <w:bCs/>
          <w:sz w:val="22"/>
          <w:szCs w:val="22"/>
          <w:lang w:val="sr-Latn-ME"/>
        </w:rPr>
        <w:t xml:space="preserve"> PODACI</w:t>
      </w:r>
    </w:p>
    <w:p w:rsidR="0072020E" w:rsidRPr="00BB0A8B" w:rsidRDefault="0072020E" w:rsidP="00BB0A8B">
      <w:pPr>
        <w:tabs>
          <w:tab w:val="left" w:pos="540"/>
          <w:tab w:val="left" w:pos="569"/>
        </w:tabs>
        <w:rPr>
          <w:rFonts w:asciiTheme="majorBidi" w:hAnsiTheme="majorBidi" w:cstheme="majorBidi"/>
          <w:b/>
          <w:bCs/>
          <w:sz w:val="22"/>
          <w:szCs w:val="22"/>
          <w:lang w:val="sr-Latn-ME"/>
        </w:rPr>
      </w:pPr>
    </w:p>
    <w:p w:rsidR="0072020E" w:rsidRPr="00BB0A8B" w:rsidRDefault="0072020E"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5.1.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Farmakodinamski podaci</w:t>
      </w:r>
      <w:r w:rsidR="003A7059" w:rsidRPr="00BB0A8B">
        <w:rPr>
          <w:rFonts w:asciiTheme="majorBidi" w:hAnsiTheme="majorBidi" w:cstheme="majorBidi"/>
          <w:b/>
          <w:bCs/>
          <w:sz w:val="22"/>
          <w:szCs w:val="22"/>
          <w:lang w:val="sr-Latn-ME"/>
        </w:rPr>
        <w:t xml:space="preserve"> </w:t>
      </w:r>
    </w:p>
    <w:p w:rsidR="00F45F77" w:rsidRPr="00BB0A8B" w:rsidRDefault="00F45F77" w:rsidP="00BB0A8B">
      <w:pPr>
        <w:tabs>
          <w:tab w:val="left" w:pos="540"/>
          <w:tab w:val="left" w:pos="569"/>
        </w:tabs>
        <w:rPr>
          <w:rFonts w:asciiTheme="majorBidi" w:hAnsiTheme="majorBidi" w:cstheme="majorBidi"/>
          <w:b/>
          <w:bCs/>
          <w:sz w:val="22"/>
          <w:szCs w:val="22"/>
          <w:lang w:val="sr-Latn-ME"/>
        </w:rPr>
      </w:pPr>
    </w:p>
    <w:p w:rsidR="00026E08" w:rsidRPr="00BB0A8B" w:rsidRDefault="00026E08" w:rsidP="00BB0A8B">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Farmakoterapijska grupa: Antineoplastici; inhibitori protein kinaze</w:t>
      </w:r>
    </w:p>
    <w:p w:rsidR="00026E08" w:rsidRPr="00BB0A8B" w:rsidRDefault="00026E08" w:rsidP="00BB0A8B">
      <w:pPr>
        <w:tabs>
          <w:tab w:val="left" w:pos="540"/>
          <w:tab w:val="left" w:pos="569"/>
        </w:tabs>
        <w:jc w:val="both"/>
        <w:rPr>
          <w:rFonts w:asciiTheme="majorBidi" w:hAnsiTheme="majorBidi" w:cstheme="majorBidi"/>
          <w:bCs/>
          <w:sz w:val="22"/>
          <w:szCs w:val="22"/>
          <w:lang w:val="sr-Latn-ME"/>
        </w:rPr>
      </w:pPr>
    </w:p>
    <w:p w:rsidR="00026E08" w:rsidRPr="00BB0A8B" w:rsidRDefault="00026E08"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ATC kod: L01EBO2</w:t>
      </w:r>
    </w:p>
    <w:p w:rsidR="00026E08" w:rsidRPr="00BB0A8B" w:rsidRDefault="00026E08" w:rsidP="00BB0A8B">
      <w:pPr>
        <w:tabs>
          <w:tab w:val="left" w:pos="540"/>
          <w:tab w:val="left" w:pos="569"/>
        </w:tabs>
        <w:jc w:val="both"/>
        <w:rPr>
          <w:rFonts w:asciiTheme="majorBidi" w:hAnsiTheme="majorBidi" w:cstheme="majorBidi"/>
          <w:b/>
          <w:bCs/>
          <w:sz w:val="22"/>
          <w:szCs w:val="22"/>
          <w:lang w:val="sr-Latn-ME"/>
        </w:rPr>
      </w:pPr>
    </w:p>
    <w:p w:rsidR="00026E08" w:rsidRPr="00BB0A8B" w:rsidRDefault="00026E08"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Mehanizam dejstva </w:t>
      </w:r>
    </w:p>
    <w:p w:rsidR="00026E08" w:rsidRPr="00BB0A8B" w:rsidRDefault="00026E08" w:rsidP="00BB0A8B">
      <w:pPr>
        <w:tabs>
          <w:tab w:val="left" w:pos="540"/>
          <w:tab w:val="left" w:pos="569"/>
        </w:tabs>
        <w:jc w:val="both"/>
        <w:rPr>
          <w:rFonts w:asciiTheme="majorBidi" w:hAnsiTheme="majorBidi" w:cstheme="majorBidi"/>
          <w:bCs/>
          <w:sz w:val="22"/>
          <w:szCs w:val="22"/>
          <w:u w:val="single"/>
          <w:lang w:val="sr-Latn-ME"/>
        </w:rPr>
      </w:pPr>
    </w:p>
    <w:p w:rsidR="00026E08" w:rsidRPr="00BB0A8B" w:rsidRDefault="00026E08"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Erlotinib je inhibitor tirozin kinaze receptora za epidermalni faktor rasta/humanog receptora za epidermalni faktor rasta tip 1 (engl.</w:t>
      </w:r>
      <w:r w:rsidRPr="00BB0A8B">
        <w:rPr>
          <w:rFonts w:asciiTheme="majorBidi" w:hAnsiTheme="majorBidi" w:cstheme="majorBidi"/>
          <w:bCs/>
          <w:i/>
          <w:sz w:val="22"/>
          <w:szCs w:val="22"/>
          <w:lang w:val="sr-Latn-ME"/>
        </w:rPr>
        <w:t xml:space="preserve"> epidermal growth factor receptor</w:t>
      </w:r>
      <w:r w:rsidRPr="00BB0A8B">
        <w:rPr>
          <w:rFonts w:asciiTheme="majorBidi" w:hAnsiTheme="majorBidi" w:cstheme="majorBidi"/>
          <w:bCs/>
          <w:sz w:val="22"/>
          <w:szCs w:val="22"/>
          <w:lang w:val="sr-Latn-ME"/>
        </w:rPr>
        <w:t xml:space="preserve">, EGFR koji je poznat i kao HER1). Erlotinib snažno inhibira intracelularnu fosforilaciju EGFR. EGFR je eksprimiran na površini normalnih ćelija i </w:t>
      </w:r>
      <w:r w:rsidR="00EF55A4" w:rsidRPr="00BB0A8B">
        <w:rPr>
          <w:rFonts w:asciiTheme="majorBidi" w:hAnsiTheme="majorBidi" w:cstheme="majorBidi"/>
          <w:bCs/>
          <w:sz w:val="22"/>
          <w:szCs w:val="22"/>
          <w:lang w:val="sr-Latn-ME"/>
        </w:rPr>
        <w:t xml:space="preserve">karcinomskih </w:t>
      </w:r>
      <w:r w:rsidRPr="00BB0A8B">
        <w:rPr>
          <w:rFonts w:asciiTheme="majorBidi" w:hAnsiTheme="majorBidi" w:cstheme="majorBidi"/>
          <w:bCs/>
          <w:sz w:val="22"/>
          <w:szCs w:val="22"/>
          <w:lang w:val="sr-Latn-ME"/>
        </w:rPr>
        <w:t xml:space="preserve">ćelija. U </w:t>
      </w:r>
      <w:r w:rsidR="00EF55A4" w:rsidRPr="00BB0A8B">
        <w:rPr>
          <w:rFonts w:asciiTheme="majorBidi" w:hAnsiTheme="majorBidi" w:cstheme="majorBidi"/>
          <w:bCs/>
          <w:sz w:val="22"/>
          <w:szCs w:val="22"/>
          <w:lang w:val="sr-Latn-ME"/>
        </w:rPr>
        <w:t xml:space="preserve">pretkliničkim </w:t>
      </w:r>
      <w:r w:rsidRPr="00BB0A8B">
        <w:rPr>
          <w:rFonts w:asciiTheme="majorBidi" w:hAnsiTheme="majorBidi" w:cstheme="majorBidi"/>
          <w:bCs/>
          <w:sz w:val="22"/>
          <w:szCs w:val="22"/>
          <w:lang w:val="sr-Latn-ME"/>
        </w:rPr>
        <w:t xml:space="preserve">modelima, inhibicija EGFR fosfotirozina dovodi do zastoja u rastu ćelija i/ili njihove smrti. </w:t>
      </w:r>
    </w:p>
    <w:p w:rsidR="00026E08" w:rsidRPr="00BB0A8B" w:rsidRDefault="00026E08"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EGFR mutacije mogu dovesti do konstitutivne aktivacije anti-apoptotskih i proliferativnih signalnih puteva. Snažna efikasnost erlotiniba u blokiranju EGFR posredovanih signala, u tumorima pozitivnim na EGFR mutacije, je posljedica čvrstog vezivanja erlotiniba za ATP vezujuće mjesto u mutiranom </w:t>
      </w:r>
      <w:r w:rsidRPr="00BB0A8B">
        <w:rPr>
          <w:rFonts w:asciiTheme="majorBidi" w:hAnsiTheme="majorBidi" w:cstheme="majorBidi"/>
          <w:bCs/>
          <w:sz w:val="22"/>
          <w:szCs w:val="22"/>
          <w:lang w:val="sr-Latn-ME"/>
        </w:rPr>
        <w:lastRenderedPageBreak/>
        <w:t>domenu EGFR kinaze. Usl</w:t>
      </w:r>
      <w:r w:rsidR="00EF55A4" w:rsidRPr="00BB0A8B">
        <w:rPr>
          <w:rFonts w:asciiTheme="majorBidi" w:hAnsiTheme="majorBidi" w:cstheme="majorBidi"/>
          <w:bCs/>
          <w:sz w:val="22"/>
          <w:szCs w:val="22"/>
          <w:lang w:val="sr-Latn-ME"/>
        </w:rPr>
        <w:t>j</w:t>
      </w:r>
      <w:r w:rsidRPr="00BB0A8B">
        <w:rPr>
          <w:rFonts w:asciiTheme="majorBidi" w:hAnsiTheme="majorBidi" w:cstheme="majorBidi"/>
          <w:bCs/>
          <w:sz w:val="22"/>
          <w:szCs w:val="22"/>
          <w:lang w:val="sr-Latn-ME"/>
        </w:rPr>
        <w:t>ed blokade nishodnog signala, proliferacija ćelija se zaustavlja i indukuje se ćelijska smrt aktivacijom intrinzičkog puta apoptoze. Prim</w:t>
      </w:r>
      <w:r w:rsidR="00EF55A4" w:rsidRPr="00BB0A8B">
        <w:rPr>
          <w:rFonts w:asciiTheme="majorBidi" w:hAnsiTheme="majorBidi" w:cstheme="majorBidi"/>
          <w:bCs/>
          <w:sz w:val="22"/>
          <w:szCs w:val="22"/>
          <w:lang w:val="sr-Latn-ME"/>
        </w:rPr>
        <w:t>i</w:t>
      </w:r>
      <w:r w:rsidRPr="00BB0A8B">
        <w:rPr>
          <w:rFonts w:asciiTheme="majorBidi" w:hAnsiTheme="majorBidi" w:cstheme="majorBidi"/>
          <w:bCs/>
          <w:sz w:val="22"/>
          <w:szCs w:val="22"/>
          <w:lang w:val="sr-Latn-ME"/>
        </w:rPr>
        <w:t xml:space="preserve">jećena je regresija tumora na mišjim modelima sa pojačanom ekspresijom ovih aktivirajućih mutacija EGFR. </w:t>
      </w:r>
    </w:p>
    <w:p w:rsidR="00026E08" w:rsidRPr="00BB0A8B" w:rsidRDefault="00026E08" w:rsidP="00BB0A8B">
      <w:pPr>
        <w:tabs>
          <w:tab w:val="left" w:pos="540"/>
          <w:tab w:val="left" w:pos="569"/>
        </w:tabs>
        <w:jc w:val="both"/>
        <w:rPr>
          <w:rFonts w:asciiTheme="majorBidi" w:hAnsiTheme="majorBidi" w:cstheme="majorBidi"/>
          <w:bCs/>
          <w:sz w:val="22"/>
          <w:szCs w:val="22"/>
          <w:lang w:val="sr-Latn-ME"/>
        </w:rPr>
      </w:pPr>
    </w:p>
    <w:p w:rsidR="00026E08" w:rsidRPr="00BB0A8B" w:rsidRDefault="00026E08"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Klinička efiksanost </w:t>
      </w:r>
    </w:p>
    <w:p w:rsidR="00026E08" w:rsidRPr="00BB0A8B" w:rsidRDefault="00026E08" w:rsidP="00BB0A8B">
      <w:pPr>
        <w:tabs>
          <w:tab w:val="left" w:pos="540"/>
          <w:tab w:val="left" w:pos="569"/>
        </w:tabs>
        <w:jc w:val="both"/>
        <w:rPr>
          <w:rFonts w:asciiTheme="majorBidi" w:hAnsiTheme="majorBidi" w:cstheme="majorBidi"/>
          <w:bCs/>
          <w:sz w:val="22"/>
          <w:szCs w:val="22"/>
          <w:lang w:val="sr-Latn-ME"/>
        </w:rPr>
      </w:pPr>
    </w:p>
    <w:p w:rsidR="00026E08" w:rsidRPr="00BB0A8B" w:rsidRDefault="00026E08" w:rsidP="00BB0A8B">
      <w:pPr>
        <w:tabs>
          <w:tab w:val="left" w:pos="540"/>
          <w:tab w:val="left" w:pos="569"/>
        </w:tabs>
        <w:jc w:val="both"/>
        <w:rPr>
          <w:rFonts w:asciiTheme="majorBidi" w:hAnsiTheme="majorBidi" w:cstheme="majorBidi"/>
          <w:bCs/>
          <w:i/>
          <w:sz w:val="22"/>
          <w:szCs w:val="22"/>
          <w:u w:val="single"/>
          <w:lang w:val="sr-Latn-ME"/>
        </w:rPr>
      </w:pPr>
      <w:r w:rsidRPr="00BB0A8B">
        <w:rPr>
          <w:rFonts w:asciiTheme="majorBidi" w:hAnsiTheme="majorBidi" w:cstheme="majorBidi"/>
          <w:bCs/>
          <w:i/>
          <w:sz w:val="22"/>
          <w:szCs w:val="22"/>
          <w:u w:val="single"/>
          <w:lang w:val="sr-Latn-ME"/>
        </w:rPr>
        <w:t>Prva linija terapije nemikrocelularnog karcinoma pluća (NSCLC) kod pacijenata sa EGFR aktivirajućim mutacijama (erlotinib prim</w:t>
      </w:r>
      <w:r w:rsidR="009B1A0E" w:rsidRPr="00BB0A8B">
        <w:rPr>
          <w:rFonts w:asciiTheme="majorBidi" w:hAnsiTheme="majorBidi" w:cstheme="majorBidi"/>
          <w:bCs/>
          <w:i/>
          <w:sz w:val="22"/>
          <w:szCs w:val="22"/>
          <w:u w:val="single"/>
          <w:lang w:val="sr-Latn-ME"/>
        </w:rPr>
        <w:t>i</w:t>
      </w:r>
      <w:r w:rsidRPr="00BB0A8B">
        <w:rPr>
          <w:rFonts w:asciiTheme="majorBidi" w:hAnsiTheme="majorBidi" w:cstheme="majorBidi"/>
          <w:bCs/>
          <w:i/>
          <w:sz w:val="22"/>
          <w:szCs w:val="22"/>
          <w:u w:val="single"/>
          <w:lang w:val="sr-Latn-ME"/>
        </w:rPr>
        <w:t xml:space="preserve">jenjen kao monoterapija): </w:t>
      </w:r>
    </w:p>
    <w:p w:rsidR="00026E08" w:rsidRPr="00BB0A8B" w:rsidRDefault="00026E08" w:rsidP="00BB0A8B">
      <w:pPr>
        <w:tabs>
          <w:tab w:val="left" w:pos="540"/>
          <w:tab w:val="left" w:pos="569"/>
        </w:tabs>
        <w:jc w:val="both"/>
        <w:rPr>
          <w:rFonts w:asciiTheme="majorBidi" w:hAnsiTheme="majorBidi" w:cstheme="majorBidi"/>
          <w:bCs/>
          <w:sz w:val="22"/>
          <w:szCs w:val="22"/>
          <w:lang w:val="sr-Latn-ME"/>
        </w:rPr>
      </w:pPr>
    </w:p>
    <w:p w:rsidR="00026E08" w:rsidRPr="00BB0A8B" w:rsidRDefault="00026E08" w:rsidP="00BB0A8B">
      <w:pPr>
        <w:tabs>
          <w:tab w:val="left" w:pos="540"/>
          <w:tab w:val="left" w:pos="569"/>
        </w:tabs>
        <w:jc w:val="both"/>
        <w:rPr>
          <w:rFonts w:asciiTheme="majorBidi" w:hAnsiTheme="majorBidi" w:cstheme="majorBidi"/>
          <w:b/>
          <w:bCs/>
          <w:sz w:val="22"/>
          <w:szCs w:val="22"/>
          <w:lang w:val="sr-Latn-ME"/>
        </w:rPr>
      </w:pPr>
      <w:r w:rsidRPr="00BB0A8B">
        <w:rPr>
          <w:rFonts w:asciiTheme="majorBidi" w:hAnsiTheme="majorBidi" w:cstheme="majorBidi"/>
          <w:bCs/>
          <w:sz w:val="22"/>
          <w:szCs w:val="22"/>
          <w:lang w:val="sr-Latn-ME"/>
        </w:rPr>
        <w:t>Efikasnost erlotiniba u prvoj liniji terapije pacijenata sa EGFR aktivirajućim mutacijama kod NSCLC pokazana je u randomizovanoj, otvorenoj studiji faze III (ML20650, EURTAC). Ova studija je sprovedena na pacijentima bijele rase sa metastatskim ili lokalno uznapedovalim NSCLC-om (stadijum IIIB i IV) koji prethodno nijesu primali hem</w:t>
      </w:r>
      <w:r w:rsidR="00C86467" w:rsidRPr="00BB0A8B">
        <w:rPr>
          <w:rFonts w:asciiTheme="majorBidi" w:hAnsiTheme="majorBidi" w:cstheme="majorBidi"/>
          <w:bCs/>
          <w:sz w:val="22"/>
          <w:szCs w:val="22"/>
          <w:lang w:val="sr-Latn-ME"/>
        </w:rPr>
        <w:t>i</w:t>
      </w:r>
      <w:r w:rsidRPr="00BB0A8B">
        <w:rPr>
          <w:rFonts w:asciiTheme="majorBidi" w:hAnsiTheme="majorBidi" w:cstheme="majorBidi"/>
          <w:bCs/>
          <w:sz w:val="22"/>
          <w:szCs w:val="22"/>
          <w:lang w:val="sr-Latn-ME"/>
        </w:rPr>
        <w:t>oterapiju ili drugu sistemsku antitumorsku terapiju za svoju uznapredovalu bolest, i koji ispoljavaju mutacije u domenu tirozin kinaze na EGF receptoru (deleciju egzona 19 ili mutaciju egzona 21). Pacijenti su bili randomizovani u odnosu 1:1 da primaju ili erlotinib u dozi 150 mg dnevno ili 4 ciklusa dvostruke hem</w:t>
      </w:r>
      <w:r w:rsidR="00C86467" w:rsidRPr="00BB0A8B">
        <w:rPr>
          <w:rFonts w:asciiTheme="majorBidi" w:hAnsiTheme="majorBidi" w:cstheme="majorBidi"/>
          <w:bCs/>
          <w:sz w:val="22"/>
          <w:szCs w:val="22"/>
          <w:lang w:val="sr-Latn-ME"/>
        </w:rPr>
        <w:t>i</w:t>
      </w:r>
      <w:r w:rsidRPr="00BB0A8B">
        <w:rPr>
          <w:rFonts w:asciiTheme="majorBidi" w:hAnsiTheme="majorBidi" w:cstheme="majorBidi"/>
          <w:bCs/>
          <w:sz w:val="22"/>
          <w:szCs w:val="22"/>
          <w:lang w:val="sr-Latn-ME"/>
        </w:rPr>
        <w:t>oterapije na bazi platine.</w:t>
      </w:r>
    </w:p>
    <w:p w:rsidR="00026E08" w:rsidRPr="00BB0A8B" w:rsidRDefault="00026E08" w:rsidP="00BB0A8B">
      <w:pPr>
        <w:tabs>
          <w:tab w:val="left" w:pos="540"/>
          <w:tab w:val="left" w:pos="569"/>
        </w:tabs>
        <w:jc w:val="both"/>
        <w:rPr>
          <w:rFonts w:asciiTheme="majorBidi" w:hAnsiTheme="majorBidi" w:cstheme="majorBidi"/>
          <w:bCs/>
          <w:sz w:val="22"/>
          <w:szCs w:val="22"/>
          <w:lang w:val="sr-Latn-ME"/>
        </w:rPr>
      </w:pPr>
    </w:p>
    <w:p w:rsidR="00026E08" w:rsidRPr="00BB0A8B" w:rsidRDefault="00026E08"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Primarni parametar praćenja ishoda je bio preživljavanje bez progresije bolesti (PFS) procijenjen od strane istraživača. Rezultati efikasnosti su sumirani u Tabeli 3. </w:t>
      </w:r>
    </w:p>
    <w:p w:rsidR="00026E08" w:rsidRPr="00BB0A8B" w:rsidRDefault="00026E08" w:rsidP="00BB0A8B">
      <w:pPr>
        <w:tabs>
          <w:tab w:val="left" w:pos="540"/>
          <w:tab w:val="left" w:pos="569"/>
        </w:tabs>
        <w:jc w:val="both"/>
        <w:rPr>
          <w:rFonts w:asciiTheme="majorBidi" w:hAnsiTheme="majorBidi" w:cstheme="majorBidi"/>
          <w:bCs/>
          <w:sz w:val="22"/>
          <w:szCs w:val="22"/>
          <w:lang w:val="sr-Latn-ME"/>
        </w:rPr>
      </w:pPr>
    </w:p>
    <w:p w:rsidR="00026E08" w:rsidRPr="00BB0A8B" w:rsidRDefault="00026E08"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Slika 1. </w:t>
      </w:r>
      <w:r w:rsidRPr="00BB0A8B">
        <w:rPr>
          <w:rFonts w:asciiTheme="majorBidi" w:hAnsiTheme="majorBidi" w:cstheme="majorBidi"/>
          <w:bCs/>
          <w:i/>
          <w:sz w:val="22"/>
          <w:szCs w:val="22"/>
          <w:lang w:val="sr-Latn-ME"/>
        </w:rPr>
        <w:t>Kaplan-Meier</w:t>
      </w:r>
      <w:r w:rsidRPr="00BB0A8B">
        <w:rPr>
          <w:rFonts w:asciiTheme="majorBidi" w:hAnsiTheme="majorBidi" w:cstheme="majorBidi"/>
          <w:bCs/>
          <w:sz w:val="22"/>
          <w:szCs w:val="22"/>
          <w:lang w:val="sr-Latn-ME"/>
        </w:rPr>
        <w:t>-ova kriva preživljavanja bez progresije bolesti (</w:t>
      </w:r>
      <w:r w:rsidR="00865FCD" w:rsidRPr="00BB0A8B">
        <w:rPr>
          <w:rFonts w:asciiTheme="majorBidi" w:hAnsiTheme="majorBidi" w:cstheme="majorBidi"/>
          <w:bCs/>
          <w:sz w:val="22"/>
          <w:szCs w:val="22"/>
          <w:lang w:val="sr-Latn-ME"/>
        </w:rPr>
        <w:t xml:space="preserve">engl. </w:t>
      </w:r>
      <w:r w:rsidRPr="00BB0A8B">
        <w:rPr>
          <w:rFonts w:asciiTheme="majorBidi" w:hAnsiTheme="majorBidi" w:cstheme="majorBidi"/>
          <w:bCs/>
          <w:i/>
          <w:sz w:val="22"/>
          <w:szCs w:val="22"/>
          <w:lang w:val="sr-Latn-ME"/>
        </w:rPr>
        <w:t>progression-free survival</w:t>
      </w:r>
      <w:r w:rsidRPr="00BB0A8B">
        <w:rPr>
          <w:rFonts w:asciiTheme="majorBidi" w:hAnsiTheme="majorBidi" w:cstheme="majorBidi"/>
          <w:bCs/>
          <w:sz w:val="22"/>
          <w:szCs w:val="22"/>
          <w:lang w:val="sr-Latn-ME"/>
        </w:rPr>
        <w:t>, PFS), procijenjena od strane istraživača u kliničkoj studiji ML20650 (EURTAC) (april 2012.</w:t>
      </w:r>
      <w:r w:rsidR="00865FCD" w:rsidRPr="00BB0A8B">
        <w:rPr>
          <w:rFonts w:asciiTheme="majorBidi" w:hAnsiTheme="majorBidi" w:cstheme="majorBidi"/>
          <w:bCs/>
          <w:sz w:val="22"/>
          <w:szCs w:val="22"/>
          <w:lang w:val="sr-Latn-ME"/>
        </w:rPr>
        <w:t>,</w:t>
      </w:r>
      <w:r w:rsidRPr="00BB0A8B">
        <w:rPr>
          <w:rFonts w:asciiTheme="majorBidi" w:hAnsiTheme="majorBidi" w:cstheme="majorBidi"/>
          <w:bCs/>
          <w:sz w:val="22"/>
          <w:szCs w:val="22"/>
          <w:lang w:val="sr-Latn-ME"/>
        </w:rPr>
        <w:t xml:space="preserve"> datum presjeka (</w:t>
      </w:r>
      <w:r w:rsidR="00865FCD" w:rsidRPr="00BB0A8B">
        <w:rPr>
          <w:rFonts w:asciiTheme="majorBidi" w:hAnsiTheme="majorBidi" w:cstheme="majorBidi"/>
          <w:bCs/>
          <w:sz w:val="22"/>
          <w:szCs w:val="22"/>
          <w:lang w:val="sr-Latn-ME"/>
        </w:rPr>
        <w:t xml:space="preserve">engl. </w:t>
      </w:r>
      <w:r w:rsidRPr="00BB0A8B">
        <w:rPr>
          <w:rFonts w:asciiTheme="majorBidi" w:hAnsiTheme="majorBidi" w:cstheme="majorBidi"/>
          <w:bCs/>
          <w:i/>
          <w:sz w:val="22"/>
          <w:szCs w:val="22"/>
          <w:lang w:val="sr-Latn-ME"/>
        </w:rPr>
        <w:t>cut</w:t>
      </w:r>
      <w:r w:rsidR="00865FCD" w:rsidRPr="00BB0A8B">
        <w:rPr>
          <w:rFonts w:asciiTheme="majorBidi" w:hAnsiTheme="majorBidi" w:cstheme="majorBidi"/>
          <w:bCs/>
          <w:i/>
          <w:sz w:val="22"/>
          <w:szCs w:val="22"/>
          <w:lang w:val="sr-Latn-ME"/>
        </w:rPr>
        <w:t>-</w:t>
      </w:r>
      <w:r w:rsidRPr="00BB0A8B">
        <w:rPr>
          <w:rFonts w:asciiTheme="majorBidi" w:hAnsiTheme="majorBidi" w:cstheme="majorBidi"/>
          <w:bCs/>
          <w:i/>
          <w:sz w:val="22"/>
          <w:szCs w:val="22"/>
          <w:lang w:val="sr-Latn-ME"/>
        </w:rPr>
        <w:t>off)</w:t>
      </w:r>
      <w:r w:rsidRPr="00BB0A8B">
        <w:rPr>
          <w:rFonts w:asciiTheme="majorBidi" w:hAnsiTheme="majorBidi" w:cstheme="majorBidi"/>
          <w:bCs/>
          <w:sz w:val="22"/>
          <w:szCs w:val="22"/>
          <w:lang w:val="sr-Latn-ME"/>
        </w:rPr>
        <w:t>)</w:t>
      </w:r>
    </w:p>
    <w:p w:rsidR="00026E08" w:rsidRPr="00BB0A8B" w:rsidRDefault="00026E08"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noProof/>
          <w:sz w:val="22"/>
          <w:szCs w:val="22"/>
        </w:rPr>
        <w:drawing>
          <wp:inline distT="0" distB="0" distL="0" distR="0" wp14:anchorId="46748AF9">
            <wp:extent cx="5466715" cy="33902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6715" cy="3390265"/>
                    </a:xfrm>
                    <a:prstGeom prst="rect">
                      <a:avLst/>
                    </a:prstGeom>
                    <a:noFill/>
                  </pic:spPr>
                </pic:pic>
              </a:graphicData>
            </a:graphic>
          </wp:inline>
        </w:drawing>
      </w:r>
    </w:p>
    <w:p w:rsidR="002E37A5" w:rsidRPr="00BB0A8B" w:rsidRDefault="002E37A5" w:rsidP="00BB0A8B">
      <w:pPr>
        <w:tabs>
          <w:tab w:val="left" w:pos="540"/>
          <w:tab w:val="left" w:pos="569"/>
        </w:tabs>
        <w:jc w:val="both"/>
        <w:rPr>
          <w:rFonts w:asciiTheme="majorBidi" w:hAnsiTheme="majorBidi" w:cstheme="majorBidi"/>
          <w:b/>
          <w:bCs/>
          <w:sz w:val="22"/>
          <w:szCs w:val="22"/>
          <w:lang w:val="sr-Latn-ME"/>
        </w:rPr>
      </w:pPr>
    </w:p>
    <w:p w:rsidR="00026E08" w:rsidRPr="00BB0A8B" w:rsidRDefault="00026E08" w:rsidP="00BB0A8B">
      <w:pPr>
        <w:tabs>
          <w:tab w:val="left" w:pos="540"/>
          <w:tab w:val="left" w:pos="569"/>
        </w:tabs>
        <w:jc w:val="both"/>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Tabela 3. Rezultati efikasnosti erlotiniba u odnosu na hemioterapiju u kliničkoj studiji ML20650 (EURTAC):</w:t>
      </w:r>
    </w:p>
    <w:tbl>
      <w:tblPr>
        <w:tblW w:w="5000" w:type="pct"/>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1830"/>
        <w:gridCol w:w="2994"/>
        <w:gridCol w:w="1181"/>
        <w:gridCol w:w="1052"/>
        <w:gridCol w:w="924"/>
        <w:gridCol w:w="1076"/>
      </w:tblGrid>
      <w:tr w:rsidR="00026E08" w:rsidRPr="00BB0A8B" w:rsidTr="00026E08">
        <w:tc>
          <w:tcPr>
            <w:tcW w:w="1010"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rPr>
              <w:br/>
            </w:r>
          </w:p>
        </w:tc>
        <w:tc>
          <w:tcPr>
            <w:tcW w:w="1653" w:type="pct"/>
            <w:tcBorders>
              <w:top w:val="outset" w:sz="6" w:space="0" w:color="7B7B7B"/>
              <w:left w:val="outset" w:sz="6" w:space="0" w:color="7B7B7B"/>
              <w:bottom w:val="outset" w:sz="6" w:space="0" w:color="7B7B7B"/>
              <w:right w:val="outset" w:sz="6" w:space="0" w:color="7B7B7B"/>
            </w:tcBorders>
            <w:shd w:val="clear" w:color="auto" w:fill="FFFFFF"/>
          </w:tcPr>
          <w:p w:rsidR="00026E08" w:rsidRPr="00BB0A8B" w:rsidRDefault="00026E08" w:rsidP="00BB0A8B">
            <w:pPr>
              <w:jc w:val="center"/>
              <w:rPr>
                <w:rFonts w:asciiTheme="majorBidi" w:hAnsiTheme="majorBidi" w:cstheme="majorBidi"/>
                <w:color w:val="000000"/>
                <w:sz w:val="22"/>
                <w:szCs w:val="22"/>
                <w:lang w:val="sr-Latn-ME" w:eastAsia="en-GB"/>
              </w:rPr>
            </w:pPr>
          </w:p>
        </w:tc>
        <w:tc>
          <w:tcPr>
            <w:tcW w:w="652"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BB0A8B" w:rsidRDefault="00026E08" w:rsidP="00BB0A8B">
            <w:pPr>
              <w:jc w:val="center"/>
              <w:rPr>
                <w:rFonts w:asciiTheme="majorBidi" w:hAnsiTheme="majorBidi" w:cstheme="majorBidi"/>
                <w:b/>
                <w:color w:val="000000"/>
                <w:sz w:val="22"/>
                <w:szCs w:val="22"/>
                <w:lang w:val="sr-Latn-ME" w:eastAsia="en-GB"/>
              </w:rPr>
            </w:pPr>
            <w:r w:rsidRPr="00BB0A8B">
              <w:rPr>
                <w:rFonts w:asciiTheme="majorBidi" w:hAnsiTheme="majorBidi" w:cstheme="majorBidi"/>
                <w:b/>
                <w:color w:val="000000"/>
                <w:sz w:val="22"/>
                <w:szCs w:val="22"/>
                <w:lang w:val="sr-Latn-ME" w:eastAsia="en-GB"/>
              </w:rPr>
              <w:t xml:space="preserve">Erlotinib </w:t>
            </w:r>
          </w:p>
        </w:tc>
        <w:tc>
          <w:tcPr>
            <w:tcW w:w="581"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b/>
                <w:bCs/>
                <w:color w:val="000000"/>
                <w:sz w:val="22"/>
                <w:szCs w:val="22"/>
                <w:lang w:val="sr-Latn-ME" w:eastAsia="en-GB"/>
              </w:rPr>
              <w:t>Hemio-terapija</w:t>
            </w:r>
          </w:p>
        </w:tc>
        <w:tc>
          <w:tcPr>
            <w:tcW w:w="510"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BB0A8B" w:rsidRDefault="00865FCD" w:rsidP="00BB0A8B">
            <w:pPr>
              <w:jc w:val="center"/>
              <w:rPr>
                <w:rFonts w:asciiTheme="majorBidi" w:hAnsiTheme="majorBidi" w:cstheme="majorBidi"/>
                <w:i/>
                <w:color w:val="000000"/>
                <w:sz w:val="22"/>
                <w:szCs w:val="22"/>
                <w:lang w:val="sr-Latn-ME" w:eastAsia="en-GB"/>
              </w:rPr>
            </w:pPr>
            <w:r w:rsidRPr="00BB0A8B">
              <w:rPr>
                <w:rFonts w:asciiTheme="majorBidi" w:hAnsiTheme="majorBidi" w:cstheme="majorBidi"/>
                <w:b/>
                <w:bCs/>
                <w:i/>
                <w:color w:val="000000"/>
                <w:sz w:val="22"/>
                <w:szCs w:val="22"/>
                <w:lang w:val="sr-Latn-ME" w:eastAsia="en-GB"/>
              </w:rPr>
              <w:t xml:space="preserve"> </w:t>
            </w:r>
            <w:r w:rsidRPr="00BB0A8B">
              <w:rPr>
                <w:rFonts w:asciiTheme="majorBidi" w:hAnsiTheme="majorBidi" w:cstheme="majorBidi"/>
                <w:b/>
                <w:bCs/>
                <w:color w:val="000000"/>
                <w:sz w:val="22"/>
                <w:szCs w:val="22"/>
                <w:lang w:val="sr-Latn-ME" w:eastAsia="en-GB"/>
              </w:rPr>
              <w:t>Odnos rizika</w:t>
            </w:r>
          </w:p>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b/>
                <w:bCs/>
                <w:color w:val="000000"/>
                <w:sz w:val="22"/>
                <w:szCs w:val="22"/>
                <w:lang w:val="sr-Latn-ME" w:eastAsia="en-GB"/>
              </w:rPr>
              <w:t>(95% CI)</w:t>
            </w:r>
          </w:p>
        </w:tc>
        <w:tc>
          <w:tcPr>
            <w:tcW w:w="594"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BB0A8B" w:rsidRDefault="00026E08" w:rsidP="00BB0A8B">
            <w:pPr>
              <w:rPr>
                <w:rFonts w:asciiTheme="majorBidi" w:hAnsiTheme="majorBidi" w:cstheme="majorBidi"/>
                <w:sz w:val="22"/>
                <w:szCs w:val="22"/>
                <w:lang w:val="sr-Latn-ME"/>
              </w:rPr>
            </w:pPr>
            <w:r w:rsidRPr="00BB0A8B">
              <w:rPr>
                <w:rFonts w:asciiTheme="majorBidi" w:hAnsiTheme="majorBidi" w:cstheme="majorBidi"/>
                <w:b/>
                <w:bCs/>
                <w:color w:val="000000"/>
                <w:sz w:val="22"/>
                <w:szCs w:val="22"/>
                <w:lang w:val="sr-Latn-ME"/>
              </w:rPr>
              <w:t>p-vrijednost</w:t>
            </w:r>
          </w:p>
        </w:tc>
      </w:tr>
      <w:tr w:rsidR="00026E08" w:rsidRPr="00BB0A8B" w:rsidTr="00026E08">
        <w:tc>
          <w:tcPr>
            <w:tcW w:w="1010" w:type="pct"/>
            <w:vMerge w:val="restart"/>
            <w:tcBorders>
              <w:top w:val="outset" w:sz="6" w:space="0" w:color="7B7B7B"/>
              <w:left w:val="outset" w:sz="6" w:space="0" w:color="7B7B7B"/>
              <w:bottom w:val="outset" w:sz="6" w:space="0" w:color="7B7B7B"/>
              <w:right w:val="outset" w:sz="6" w:space="0" w:color="7B7B7B"/>
            </w:tcBorders>
            <w:shd w:val="clear" w:color="auto" w:fill="FFFFFF"/>
          </w:tcPr>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Unaprijed planirana međuanaliza</w:t>
            </w:r>
          </w:p>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(sa 35% podataka za OS) (n=153)</w:t>
            </w:r>
          </w:p>
          <w:p w:rsidR="00026E08" w:rsidRPr="00BB0A8B" w:rsidRDefault="00026E08" w:rsidP="00BB0A8B">
            <w:pPr>
              <w:rPr>
                <w:rFonts w:asciiTheme="majorBidi" w:hAnsiTheme="majorBidi" w:cstheme="majorBidi"/>
                <w:color w:val="000000"/>
                <w:sz w:val="22"/>
                <w:szCs w:val="22"/>
                <w:lang w:val="sr-Latn-ME" w:eastAsia="en-GB"/>
              </w:rPr>
            </w:pPr>
          </w:p>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lastRenderedPageBreak/>
              <w:t xml:space="preserve">Datum presjeka: </w:t>
            </w:r>
          </w:p>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Avgust 2010.</w:t>
            </w: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rPr>
            </w:pP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n=77</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n=76</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rPr>
            </w:pP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sz w:val="22"/>
                <w:szCs w:val="22"/>
                <w:lang w:val="sr-Latn-ME" w:eastAsia="en-GB"/>
              </w:rPr>
            </w:pPr>
          </w:p>
        </w:tc>
      </w:tr>
      <w:tr w:rsidR="00026E08" w:rsidRPr="00BB0A8B" w:rsidTr="00026E08">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eastAsia="en-GB"/>
              </w:rPr>
            </w:pPr>
          </w:p>
        </w:tc>
        <w:tc>
          <w:tcPr>
            <w:tcW w:w="1653"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Primarni ishod:</w:t>
            </w:r>
          </w:p>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Preživljavanje bez progre</w:t>
            </w:r>
            <w:r w:rsidR="00865FCD" w:rsidRPr="00BB0A8B">
              <w:rPr>
                <w:rFonts w:asciiTheme="majorBidi" w:hAnsiTheme="majorBidi" w:cstheme="majorBidi"/>
                <w:color w:val="000000"/>
                <w:sz w:val="22"/>
                <w:szCs w:val="22"/>
                <w:lang w:val="sr-Latn-ME" w:eastAsia="en-GB"/>
              </w:rPr>
              <w:t>s</w:t>
            </w:r>
            <w:r w:rsidRPr="00BB0A8B">
              <w:rPr>
                <w:rFonts w:asciiTheme="majorBidi" w:hAnsiTheme="majorBidi" w:cstheme="majorBidi"/>
                <w:color w:val="000000"/>
                <w:sz w:val="22"/>
                <w:szCs w:val="22"/>
                <w:lang w:val="sr-Latn-ME" w:eastAsia="en-GB"/>
              </w:rPr>
              <w:t>ije bolesti (PFS,</w:t>
            </w:r>
            <w:r w:rsidR="00865FCD" w:rsidRPr="00BB0A8B">
              <w:rPr>
                <w:rFonts w:asciiTheme="majorBidi" w:hAnsiTheme="majorBidi" w:cstheme="majorBidi"/>
                <w:color w:val="000000"/>
                <w:sz w:val="22"/>
                <w:szCs w:val="22"/>
                <w:lang w:val="sr-Latn-ME" w:eastAsia="en-GB"/>
              </w:rPr>
              <w:t xml:space="preserve"> </w:t>
            </w:r>
            <w:r w:rsidRPr="00BB0A8B">
              <w:rPr>
                <w:rFonts w:asciiTheme="majorBidi" w:hAnsiTheme="majorBidi" w:cstheme="majorBidi"/>
                <w:color w:val="000000"/>
                <w:sz w:val="22"/>
                <w:szCs w:val="22"/>
                <w:lang w:val="sr-Latn-ME" w:eastAsia="en-GB"/>
              </w:rPr>
              <w:t>medijana u mjesecima)*</w:t>
            </w:r>
          </w:p>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lastRenderedPageBreak/>
              <w:t>Procjena istraživača**</w:t>
            </w:r>
          </w:p>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 </w:t>
            </w:r>
          </w:p>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Nezavisna procjena**</w:t>
            </w:r>
          </w:p>
        </w:tc>
        <w:tc>
          <w:tcPr>
            <w:tcW w:w="652"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lastRenderedPageBreak/>
              <w:t> </w:t>
            </w:r>
          </w:p>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9</w:t>
            </w:r>
            <w:r w:rsidR="00865FCD"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4</w:t>
            </w:r>
          </w:p>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 </w:t>
            </w:r>
          </w:p>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10</w:t>
            </w:r>
            <w:r w:rsidR="00865FCD"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4</w:t>
            </w:r>
          </w:p>
        </w:tc>
        <w:tc>
          <w:tcPr>
            <w:tcW w:w="581"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 </w:t>
            </w:r>
          </w:p>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5</w:t>
            </w:r>
            <w:r w:rsidR="00865FCD"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2</w:t>
            </w:r>
          </w:p>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 </w:t>
            </w:r>
          </w:p>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5</w:t>
            </w:r>
            <w:r w:rsidR="00865FCD"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4</w:t>
            </w:r>
          </w:p>
        </w:tc>
        <w:tc>
          <w:tcPr>
            <w:tcW w:w="510"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 </w:t>
            </w:r>
          </w:p>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0</w:t>
            </w:r>
            <w:r w:rsidR="00865FCD"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42</w:t>
            </w:r>
          </w:p>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[0</w:t>
            </w:r>
            <w:r w:rsidR="00865FCD"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27-0</w:t>
            </w:r>
            <w:r w:rsidR="00865FCD"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64]</w:t>
            </w:r>
          </w:p>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lastRenderedPageBreak/>
              <w:t>0</w:t>
            </w:r>
            <w:r w:rsidR="00865FCD"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47</w:t>
            </w:r>
          </w:p>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[0</w:t>
            </w:r>
            <w:r w:rsidR="00865FCD"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27-0</w:t>
            </w:r>
            <w:r w:rsidR="00865FCD"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78]</w:t>
            </w:r>
          </w:p>
        </w:tc>
        <w:tc>
          <w:tcPr>
            <w:tcW w:w="594" w:type="pct"/>
            <w:tcBorders>
              <w:top w:val="outset" w:sz="6" w:space="0" w:color="7B7B7B"/>
              <w:left w:val="outset" w:sz="6" w:space="0" w:color="7B7B7B"/>
              <w:bottom w:val="outset" w:sz="6" w:space="0" w:color="7B7B7B"/>
              <w:right w:val="outset" w:sz="6" w:space="0" w:color="7B7B7B"/>
            </w:tcBorders>
            <w:shd w:val="clear" w:color="auto" w:fill="FFFFFF"/>
            <w:hideMark/>
          </w:tcPr>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lastRenderedPageBreak/>
              <w:t> </w:t>
            </w:r>
          </w:p>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p&lt;0</w:t>
            </w:r>
            <w:r w:rsidR="00865FCD"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0001</w:t>
            </w:r>
          </w:p>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 </w:t>
            </w:r>
          </w:p>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p=0</w:t>
            </w:r>
            <w:r w:rsidR="00865FCD"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003</w:t>
            </w:r>
          </w:p>
        </w:tc>
      </w:tr>
      <w:tr w:rsidR="00026E08" w:rsidRPr="00BB0A8B" w:rsidTr="00026E08">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eastAsia="en-GB"/>
              </w:rPr>
            </w:pP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Najbolja ukupna stopa odgovora (CR/PR)</w:t>
            </w: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54</w:t>
            </w:r>
            <w:r w:rsidR="00865FCD"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5%</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10</w:t>
            </w:r>
            <w:r w:rsidR="00865FCD"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5%</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rPr>
            </w:pP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p&lt;0</w:t>
            </w:r>
            <w:r w:rsidR="00865FCD"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0001</w:t>
            </w:r>
          </w:p>
        </w:tc>
      </w:tr>
      <w:tr w:rsidR="00026E08" w:rsidRPr="00BB0A8B" w:rsidTr="00026E08">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eastAsia="en-GB"/>
              </w:rPr>
            </w:pP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Ukupno preživljavanje (OS) (mjeseci)</w:t>
            </w: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22</w:t>
            </w:r>
            <w:r w:rsidR="00BE08E0"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9</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18</w:t>
            </w:r>
            <w:r w:rsidR="00BE08E0"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8</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0</w:t>
            </w:r>
            <w:r w:rsidR="00BE08E0"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80</w:t>
            </w:r>
          </w:p>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[0</w:t>
            </w:r>
            <w:r w:rsidR="00BE08E0"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47-1</w:t>
            </w:r>
            <w:r w:rsidR="00BE08E0"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37]</w:t>
            </w: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p=0</w:t>
            </w:r>
            <w:r w:rsidR="00BE08E0"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4170</w:t>
            </w:r>
          </w:p>
        </w:tc>
      </w:tr>
      <w:tr w:rsidR="00026E08" w:rsidRPr="00BB0A8B" w:rsidTr="00026E08">
        <w:tc>
          <w:tcPr>
            <w:tcW w:w="1010" w:type="pct"/>
            <w:vMerge w:val="restart"/>
            <w:tcBorders>
              <w:top w:val="outset" w:sz="6" w:space="0" w:color="7B7B7B"/>
              <w:left w:val="outset" w:sz="6" w:space="0" w:color="7B7B7B"/>
              <w:bottom w:val="outset" w:sz="6" w:space="0" w:color="7B7B7B"/>
              <w:right w:val="outset" w:sz="6" w:space="0" w:color="7B7B7B"/>
            </w:tcBorders>
            <w:shd w:val="clear" w:color="auto" w:fill="FFFFFF"/>
          </w:tcPr>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Eksplorativna analiza (sa 40% podataka za OS )</w:t>
            </w:r>
          </w:p>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(n=173)</w:t>
            </w:r>
          </w:p>
          <w:p w:rsidR="00026E08" w:rsidRPr="00BB0A8B" w:rsidRDefault="00026E08" w:rsidP="00BB0A8B">
            <w:pPr>
              <w:rPr>
                <w:rFonts w:asciiTheme="majorBidi" w:hAnsiTheme="majorBidi" w:cstheme="majorBidi"/>
                <w:color w:val="000000"/>
                <w:sz w:val="22"/>
                <w:szCs w:val="22"/>
                <w:lang w:val="sr-Latn-ME" w:eastAsia="en-GB"/>
              </w:rPr>
            </w:pPr>
          </w:p>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Datum presjeka: Januar 2011.</w:t>
            </w: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rPr>
            </w:pP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n=86</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n=87</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rPr>
            </w:pP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sz w:val="22"/>
                <w:szCs w:val="22"/>
                <w:lang w:val="sr-Latn-ME" w:eastAsia="en-GB"/>
              </w:rPr>
            </w:pPr>
          </w:p>
        </w:tc>
      </w:tr>
      <w:tr w:rsidR="00026E08" w:rsidRPr="00BB0A8B" w:rsidTr="00026E08">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eastAsia="en-GB"/>
              </w:rPr>
            </w:pP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 xml:space="preserve">PFS (medijana u mjesecima), </w:t>
            </w:r>
          </w:p>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Procjena istraživača</w:t>
            </w: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9</w:t>
            </w:r>
            <w:r w:rsidR="00BE08E0"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7</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5</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2</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0</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37</w:t>
            </w:r>
          </w:p>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[0</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27-0</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54]</w:t>
            </w: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p&lt;0</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0001</w:t>
            </w:r>
          </w:p>
        </w:tc>
      </w:tr>
      <w:tr w:rsidR="00026E08" w:rsidRPr="00BB0A8B" w:rsidTr="00026E08">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eastAsia="en-GB"/>
              </w:rPr>
            </w:pP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Najbolja ukupna stopa odgovora (CR/PR)</w:t>
            </w: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58</w:t>
            </w:r>
            <w:r w:rsidR="00BE08E0"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1%</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14</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9%</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rPr>
            </w:pP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p&lt;0</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0001</w:t>
            </w:r>
          </w:p>
        </w:tc>
      </w:tr>
      <w:tr w:rsidR="00026E08" w:rsidRPr="00BB0A8B" w:rsidTr="00026E08">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eastAsia="en-GB"/>
              </w:rPr>
            </w:pP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OS (mjeseci)</w:t>
            </w: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19</w:t>
            </w:r>
            <w:r w:rsidR="00BE08E0"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3</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19</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5</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1</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04</w:t>
            </w:r>
          </w:p>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[0</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65-1</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68]</w:t>
            </w: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p=0</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8702</w:t>
            </w:r>
          </w:p>
        </w:tc>
      </w:tr>
      <w:tr w:rsidR="00026E08" w:rsidRPr="00BB0A8B" w:rsidTr="00026E08">
        <w:tc>
          <w:tcPr>
            <w:tcW w:w="1010" w:type="pct"/>
            <w:vMerge w:val="restart"/>
            <w:tcBorders>
              <w:top w:val="outset" w:sz="6" w:space="0" w:color="7B7B7B"/>
              <w:left w:val="outset" w:sz="6" w:space="0" w:color="7B7B7B"/>
              <w:bottom w:val="outset" w:sz="6" w:space="0" w:color="7B7B7B"/>
              <w:right w:val="outset" w:sz="6" w:space="0" w:color="7B7B7B"/>
            </w:tcBorders>
            <w:shd w:val="clear" w:color="auto" w:fill="FFFFFF"/>
          </w:tcPr>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Ažurirana analiza (sa 62% podataka za OS)</w:t>
            </w:r>
          </w:p>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(n=173)</w:t>
            </w:r>
          </w:p>
          <w:p w:rsidR="00026E08" w:rsidRPr="00BB0A8B" w:rsidRDefault="00026E08" w:rsidP="00BB0A8B">
            <w:pPr>
              <w:rPr>
                <w:rFonts w:asciiTheme="majorBidi" w:hAnsiTheme="majorBidi" w:cstheme="majorBidi"/>
                <w:color w:val="000000"/>
                <w:sz w:val="22"/>
                <w:szCs w:val="22"/>
                <w:lang w:val="sr-Latn-ME" w:eastAsia="en-GB"/>
              </w:rPr>
            </w:pPr>
          </w:p>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Datum presjeka: April 2012.</w:t>
            </w: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rPr>
            </w:pP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n=86</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n=87</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rPr>
            </w:pP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sz w:val="22"/>
                <w:szCs w:val="22"/>
                <w:lang w:val="sr-Latn-ME" w:eastAsia="en-GB"/>
              </w:rPr>
            </w:pPr>
          </w:p>
        </w:tc>
      </w:tr>
      <w:tr w:rsidR="00026E08" w:rsidRPr="00BB0A8B" w:rsidTr="00026E08">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eastAsia="en-GB"/>
              </w:rPr>
            </w:pP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PFS (medijana u mjesecima)</w:t>
            </w: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10</w:t>
            </w:r>
            <w:r w:rsidR="00BE08E0"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4</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5</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1</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0</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34</w:t>
            </w:r>
          </w:p>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[0</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23-0</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49]</w:t>
            </w: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p&lt;0</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0001</w:t>
            </w:r>
          </w:p>
        </w:tc>
      </w:tr>
      <w:tr w:rsidR="00026E08" w:rsidRPr="00BB0A8B" w:rsidTr="00026E08">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eastAsia="en-GB"/>
              </w:rPr>
            </w:pPr>
          </w:p>
        </w:tc>
        <w:tc>
          <w:tcPr>
            <w:tcW w:w="1653"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OS*** (mjeseci)</w:t>
            </w:r>
          </w:p>
        </w:tc>
        <w:tc>
          <w:tcPr>
            <w:tcW w:w="652"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22</w:t>
            </w:r>
            <w:r w:rsidR="00BE08E0"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9</w:t>
            </w:r>
          </w:p>
        </w:tc>
        <w:tc>
          <w:tcPr>
            <w:tcW w:w="581"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20</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8</w:t>
            </w:r>
          </w:p>
        </w:tc>
        <w:tc>
          <w:tcPr>
            <w:tcW w:w="51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0</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93</w:t>
            </w:r>
          </w:p>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[0</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64-1</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36]</w:t>
            </w:r>
          </w:p>
        </w:tc>
        <w:tc>
          <w:tcPr>
            <w:tcW w:w="594"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026E08" w:rsidRPr="00BB0A8B" w:rsidRDefault="00026E08" w:rsidP="00BB0A8B">
            <w:pPr>
              <w:jc w:val="center"/>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p=0</w:t>
            </w:r>
            <w:r w:rsidR="00CA6EE2" w:rsidRPr="00BB0A8B">
              <w:rPr>
                <w:rFonts w:asciiTheme="majorBidi" w:hAnsiTheme="majorBidi" w:cstheme="majorBidi"/>
                <w:color w:val="000000"/>
                <w:sz w:val="22"/>
                <w:szCs w:val="22"/>
                <w:lang w:val="sr-Latn-ME" w:eastAsia="en-GB"/>
              </w:rPr>
              <w:t>,</w:t>
            </w:r>
            <w:r w:rsidRPr="00BB0A8B">
              <w:rPr>
                <w:rFonts w:asciiTheme="majorBidi" w:hAnsiTheme="majorBidi" w:cstheme="majorBidi"/>
                <w:color w:val="000000"/>
                <w:sz w:val="22"/>
                <w:szCs w:val="22"/>
                <w:lang w:val="sr-Latn-ME" w:eastAsia="en-GB"/>
              </w:rPr>
              <w:t>7149</w:t>
            </w:r>
          </w:p>
        </w:tc>
      </w:tr>
    </w:tbl>
    <w:p w:rsidR="00026E08" w:rsidRPr="00BB0A8B" w:rsidRDefault="00026E08"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CR=kompletan odgovor; PR=parcijalni odgovor</w:t>
      </w:r>
    </w:p>
    <w:p w:rsidR="00026E08" w:rsidRPr="00BB0A8B" w:rsidRDefault="00026E08"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58%-tno smanjenje rizika od progresije bolesti ili smrtog ishoda je zabilježeno</w:t>
      </w:r>
    </w:p>
    <w:p w:rsidR="00026E08" w:rsidRPr="00BB0A8B" w:rsidRDefault="00026E08"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Ukupna stopa podudarnosti između ocjene istraživača (INV) i nezavisne komisije (IRC) je bila 70%</w:t>
      </w:r>
      <w:r w:rsidR="00CA6EE2" w:rsidRPr="00BB0A8B">
        <w:rPr>
          <w:rFonts w:asciiTheme="majorBidi" w:hAnsiTheme="majorBidi" w:cstheme="majorBidi"/>
          <w:bCs/>
          <w:sz w:val="22"/>
          <w:szCs w:val="22"/>
          <w:lang w:val="sr-Latn-ME"/>
        </w:rPr>
        <w:t>.</w:t>
      </w:r>
    </w:p>
    <w:p w:rsidR="00026E08" w:rsidRPr="00BB0A8B" w:rsidRDefault="00026E08"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Visoki procenat pacijenata (82%) iz grupe pacijenata na hemioterapiji je prešao u nastavku terapije na inhibitore EGFR tirozin kinaze i svi su oni, izuzev dva pacijenta, nastavili dalje terapiju erlotinibom.</w:t>
      </w:r>
    </w:p>
    <w:p w:rsidR="00026E08" w:rsidRPr="00BB0A8B" w:rsidRDefault="00026E08" w:rsidP="00BB0A8B">
      <w:pPr>
        <w:tabs>
          <w:tab w:val="left" w:pos="540"/>
          <w:tab w:val="left" w:pos="569"/>
        </w:tabs>
        <w:jc w:val="both"/>
        <w:rPr>
          <w:rFonts w:asciiTheme="majorBidi" w:hAnsiTheme="majorBidi" w:cstheme="majorBidi"/>
          <w:b/>
          <w:bCs/>
          <w:sz w:val="22"/>
          <w:szCs w:val="22"/>
          <w:lang w:val="sr-Latn-ME"/>
        </w:rPr>
      </w:pPr>
    </w:p>
    <w:p w:rsidR="00CC64C5" w:rsidRPr="00BB0A8B" w:rsidRDefault="00CC64C5" w:rsidP="00BB0A8B">
      <w:pPr>
        <w:tabs>
          <w:tab w:val="left" w:pos="540"/>
          <w:tab w:val="left" w:pos="569"/>
        </w:tabs>
        <w:jc w:val="both"/>
        <w:rPr>
          <w:rFonts w:asciiTheme="majorBidi" w:hAnsiTheme="majorBidi" w:cstheme="majorBidi"/>
          <w:bCs/>
          <w:i/>
          <w:sz w:val="22"/>
          <w:szCs w:val="22"/>
          <w:u w:val="single"/>
          <w:lang w:val="sr-Latn-ME"/>
        </w:rPr>
      </w:pPr>
      <w:r w:rsidRPr="00BB0A8B">
        <w:rPr>
          <w:rFonts w:asciiTheme="majorBidi" w:hAnsiTheme="majorBidi" w:cstheme="majorBidi"/>
          <w:bCs/>
          <w:i/>
          <w:sz w:val="22"/>
          <w:szCs w:val="22"/>
          <w:u w:val="single"/>
          <w:lang w:val="sr-Latn-ME"/>
        </w:rPr>
        <w:t>Terapija održavanja kod pacijenata sa NSCLC nakon prve linije hemioterapije (erlotin</w:t>
      </w:r>
      <w:r w:rsidR="00CE577D" w:rsidRPr="00BB0A8B">
        <w:rPr>
          <w:rFonts w:asciiTheme="majorBidi" w:hAnsiTheme="majorBidi" w:cstheme="majorBidi"/>
          <w:bCs/>
          <w:i/>
          <w:sz w:val="22"/>
          <w:szCs w:val="22"/>
          <w:u w:val="single"/>
          <w:lang w:val="sr-Latn-ME"/>
        </w:rPr>
        <w:t>ib prim</w:t>
      </w:r>
      <w:r w:rsidR="00CA6EE2" w:rsidRPr="00BB0A8B">
        <w:rPr>
          <w:rFonts w:asciiTheme="majorBidi" w:hAnsiTheme="majorBidi" w:cstheme="majorBidi"/>
          <w:bCs/>
          <w:i/>
          <w:sz w:val="22"/>
          <w:szCs w:val="22"/>
          <w:u w:val="single"/>
          <w:lang w:val="sr-Latn-ME"/>
        </w:rPr>
        <w:t>i</w:t>
      </w:r>
      <w:r w:rsidR="00CE577D" w:rsidRPr="00BB0A8B">
        <w:rPr>
          <w:rFonts w:asciiTheme="majorBidi" w:hAnsiTheme="majorBidi" w:cstheme="majorBidi"/>
          <w:bCs/>
          <w:i/>
          <w:sz w:val="22"/>
          <w:szCs w:val="22"/>
          <w:u w:val="single"/>
          <w:lang w:val="sr-Latn-ME"/>
        </w:rPr>
        <w:t>jenjen kao monoterapija)</w:t>
      </w:r>
    </w:p>
    <w:p w:rsidR="00CC64C5" w:rsidRPr="00BB0A8B" w:rsidRDefault="00CC64C5" w:rsidP="00BB0A8B">
      <w:pPr>
        <w:tabs>
          <w:tab w:val="left" w:pos="540"/>
          <w:tab w:val="left" w:pos="569"/>
        </w:tabs>
        <w:jc w:val="both"/>
        <w:rPr>
          <w:rFonts w:asciiTheme="majorBidi" w:hAnsiTheme="majorBidi" w:cstheme="majorBidi"/>
          <w:bCs/>
          <w:sz w:val="22"/>
          <w:szCs w:val="22"/>
          <w:lang w:val="sr-Latn-ME"/>
        </w:rPr>
      </w:pPr>
    </w:p>
    <w:p w:rsidR="00CC64C5" w:rsidRPr="00BB0A8B" w:rsidRDefault="00CC64C5"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Efikasnost i bezbjednost erlotiniba kao terapije održavanja nakon prve linije hemioterapije u liječenju NSCLC ispitivana je u randomizovanoj, dvostruko-slijepoj, placebom kontrolisanoj studiji (BO18192, SATURN). Ova studija sprovedena je na 889 pacijenata sa lokalno uznapredovalim ili metastatskim NSCLC kod kojih nije došlo do progresije bolesti nakon primjene 4 ciklusa hemioterapije na bazi platine. Pacijenti su bili randomizovani 1:1 da primaju erlotinib 150 mg ili placebo oralno jednom dnevno do progresije bolesti. Primarni parametar praćenja ishoda ispitivanja uključivao je PFS (preživljavanje bez progresije bolesti) kod svih pacijenata. Demografske i karakteristike bolesti pacijenata pri uključivanju u studiju bile su dobro ujednačene između dvije ispitivane grupe pacijenata. </w:t>
      </w:r>
    </w:p>
    <w:p w:rsidR="00CC64C5" w:rsidRPr="00BB0A8B" w:rsidRDefault="00CC64C5"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Pacijenti sa ECOG PS&gt;1, značajnim hepatičkim ili bubrežnim komorbiditetima nisu bili uključeni u studiju. </w:t>
      </w:r>
    </w:p>
    <w:p w:rsidR="00CC64C5" w:rsidRPr="00BB0A8B" w:rsidRDefault="00CC64C5" w:rsidP="00BB0A8B">
      <w:pPr>
        <w:tabs>
          <w:tab w:val="left" w:pos="540"/>
          <w:tab w:val="left" w:pos="569"/>
        </w:tabs>
        <w:jc w:val="both"/>
        <w:rPr>
          <w:rFonts w:asciiTheme="majorBidi" w:hAnsiTheme="majorBidi" w:cstheme="majorBidi"/>
          <w:bCs/>
          <w:sz w:val="22"/>
          <w:szCs w:val="22"/>
          <w:lang w:val="sr-Latn-ME"/>
        </w:rPr>
      </w:pPr>
    </w:p>
    <w:p w:rsidR="00CC64C5" w:rsidRPr="00BB0A8B" w:rsidRDefault="00CC64C5"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U ovoj studiji pokazana je korist u pogledu PFS kao primarnog parametra praćenja ishoda studije (HR = 0,71, p &lt;0,0001) i OS kao sekundarnog parametra praćenja ishoda studije (HR = 0,81; p = 0,0088) u ukupnoj populaciji pacijenata. Međutim, najveća je korist zabilježena u prethodno definisanoj eksploratornoj analizi sprovedenoj kod pacijenata sa EGFR aktivirajućim mutacijama (n=49), koja je pokazala značajnu korist u pogledu PFS-a (HR = 0,10; 95% CI, 0,04 – 0,25; p &lt; 0,0001), i HR za ukupno preživljavanje (OS) od 0,83 (95% CI, 0,34 – 2,02). 67% pacijenata koji su primali placebo, iz podgrupe pozitivne na mutaciju EGFR-a, primilo je drugu ili narednu liniju terapije sa inhibitorom EGFR tirozin kinaze (EGFR-TKI).</w:t>
      </w:r>
    </w:p>
    <w:p w:rsidR="00CC64C5" w:rsidRPr="00BB0A8B" w:rsidRDefault="00CC64C5" w:rsidP="00BB0A8B">
      <w:pPr>
        <w:tabs>
          <w:tab w:val="left" w:pos="540"/>
          <w:tab w:val="left" w:pos="569"/>
        </w:tabs>
        <w:jc w:val="both"/>
        <w:rPr>
          <w:rFonts w:asciiTheme="majorBidi" w:hAnsiTheme="majorBidi" w:cstheme="majorBidi"/>
          <w:bCs/>
          <w:sz w:val="22"/>
          <w:szCs w:val="22"/>
          <w:lang w:val="sr-Latn-ME"/>
        </w:rPr>
      </w:pPr>
    </w:p>
    <w:p w:rsidR="00CC64C5" w:rsidRPr="00BB0A8B" w:rsidRDefault="00CC64C5"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lastRenderedPageBreak/>
        <w:t>Studija BO25460 (IUNO) sprovedena je na 643 pacijenta sa uznapredovalim NSCLC čiji tumori nijesu imali EGFR aktivirajuće mutacije (deleciju u egzonu 19 ili mutaciju L858R na egzonu 21) i koji nijesu doživ</w:t>
      </w:r>
      <w:r w:rsidR="00CA6EE2" w:rsidRPr="00BB0A8B">
        <w:rPr>
          <w:rFonts w:asciiTheme="majorBidi" w:hAnsiTheme="majorBidi" w:cstheme="majorBidi"/>
          <w:bCs/>
          <w:sz w:val="22"/>
          <w:szCs w:val="22"/>
          <w:lang w:val="sr-Latn-ME"/>
        </w:rPr>
        <w:t>j</w:t>
      </w:r>
      <w:r w:rsidRPr="00BB0A8B">
        <w:rPr>
          <w:rFonts w:asciiTheme="majorBidi" w:hAnsiTheme="majorBidi" w:cstheme="majorBidi"/>
          <w:bCs/>
          <w:sz w:val="22"/>
          <w:szCs w:val="22"/>
          <w:lang w:val="sr-Latn-ME"/>
        </w:rPr>
        <w:t xml:space="preserve">eli progresiju bolesti nakon četiri ciklusa hemioterapije na bazi platine. </w:t>
      </w:r>
    </w:p>
    <w:p w:rsidR="00CC64C5" w:rsidRPr="00BB0A8B" w:rsidRDefault="00CC64C5" w:rsidP="00BB0A8B">
      <w:pPr>
        <w:tabs>
          <w:tab w:val="left" w:pos="540"/>
          <w:tab w:val="left" w:pos="569"/>
        </w:tabs>
        <w:jc w:val="both"/>
        <w:rPr>
          <w:rFonts w:asciiTheme="majorBidi" w:hAnsiTheme="majorBidi" w:cstheme="majorBidi"/>
          <w:bCs/>
          <w:sz w:val="22"/>
          <w:szCs w:val="22"/>
          <w:lang w:val="sr-Latn-ME"/>
        </w:rPr>
      </w:pPr>
    </w:p>
    <w:p w:rsidR="00CC64C5" w:rsidRPr="00BB0A8B" w:rsidRDefault="00CC64C5"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Cilj studije bilo je poređenje ukupnog preživljavanja (OS) terapije održavanja erlotinibom poslije prve linije hemioterapije u odnosu na primjenu erlotiniba u trenutku progresije bolesti. Primarni parametar praćenja ishoda studije nije postignut. Ukupno preživljavanje (OS) pri primjeni erlotiniba kao terapije održavanja poslije prve linije hemioterapije nije bilo superiorno u odnosu na OS ostvareno kada je erlotinib primijenjen kao druga linija terapije kod pacijenata čiji tumori nisu imali EGFR aktivirajuće mutacije (HR = 1,02; 95% CI, 0,85 – 1,22; p = 0,82). Sekundarni parametar praćenja ishoda (PFS) je pokazao da nema razlike između erlotiniba i placeba u terapiji održavanja (HR = 0,94; 95% CI, 0,80 – 1,11; p = 0,48). </w:t>
      </w:r>
    </w:p>
    <w:p w:rsidR="00CC64C5" w:rsidRPr="00BB0A8B" w:rsidRDefault="00CC64C5"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Na osnovu podataka iz studije BO25460 (IUNO), ne preporučuje se primjena erlotiniba za prvu liniju terapije održavanja kod pacijenata bez EGFR aktivirajućih mutacija. </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i/>
          <w:sz w:val="22"/>
          <w:szCs w:val="22"/>
          <w:u w:val="single"/>
          <w:lang w:val="sr-Latn-ME"/>
        </w:rPr>
      </w:pPr>
      <w:r w:rsidRPr="00BB0A8B">
        <w:rPr>
          <w:rFonts w:asciiTheme="majorBidi" w:hAnsiTheme="majorBidi" w:cstheme="majorBidi"/>
          <w:bCs/>
          <w:i/>
          <w:sz w:val="22"/>
          <w:szCs w:val="22"/>
          <w:u w:val="single"/>
          <w:lang w:val="sr-Latn-ME"/>
        </w:rPr>
        <w:t>Terapija NSCLC-a nakon neuspjeha primjene najmanje jednog hemioterapijskog režima (erlotinib primijenjen kao monoterapija)</w:t>
      </w:r>
    </w:p>
    <w:p w:rsidR="00CE577D" w:rsidRPr="00BB0A8B" w:rsidRDefault="00CE577D" w:rsidP="00BB0A8B">
      <w:pPr>
        <w:tabs>
          <w:tab w:val="left" w:pos="540"/>
          <w:tab w:val="left" w:pos="569"/>
        </w:tabs>
        <w:jc w:val="both"/>
        <w:rPr>
          <w:rFonts w:asciiTheme="majorBidi" w:hAnsiTheme="majorBidi" w:cstheme="majorBidi"/>
          <w:b/>
          <w:bCs/>
          <w:i/>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Efikasnost i bezbjednost erlotiniba kao druge/treće linije terapije pokazana je u randomizovanoj, dvostruko slijepoj, placebom kontrolisanoj studiji (BR.21), koja je obuhvatila 731 pacijenata sa lokalno uznapredovalim ili metastatskim NSCLC poslije neuspjeha primjene najmanje jednog hemioterapijskog režima. Pacijenti su randomizovani u odnosu 2:1 da primaju oralno erlotinib 150 mg ili placebo jednom dnevno. Parametri praćenja ishoda ispitivanja uključivali su ukupno preživljavanje, preživljavanje bez progresije bolesti (</w:t>
      </w:r>
      <w:r w:rsidR="00CA6EE2" w:rsidRPr="00BB0A8B">
        <w:rPr>
          <w:rFonts w:asciiTheme="majorBidi" w:hAnsiTheme="majorBidi" w:cstheme="majorBidi"/>
          <w:bCs/>
          <w:sz w:val="22"/>
          <w:szCs w:val="22"/>
          <w:lang w:val="sr-Latn-ME"/>
        </w:rPr>
        <w:t xml:space="preserve">engl. </w:t>
      </w:r>
      <w:r w:rsidRPr="00BB0A8B">
        <w:rPr>
          <w:rFonts w:asciiTheme="majorBidi" w:hAnsiTheme="majorBidi" w:cstheme="majorBidi"/>
          <w:bCs/>
          <w:i/>
          <w:iCs/>
          <w:sz w:val="22"/>
          <w:szCs w:val="22"/>
          <w:lang w:val="sr-Latn-ME"/>
        </w:rPr>
        <w:t>progression-free survival</w:t>
      </w:r>
      <w:r w:rsidRPr="00BB0A8B">
        <w:rPr>
          <w:rFonts w:asciiTheme="majorBidi" w:hAnsiTheme="majorBidi" w:cstheme="majorBidi"/>
          <w:bCs/>
          <w:sz w:val="22"/>
          <w:szCs w:val="22"/>
          <w:lang w:val="sr-Latn-ME"/>
        </w:rPr>
        <w:t>, PFS), stopu odgovora, trajanje odgovora, vr</w:t>
      </w:r>
      <w:r w:rsidR="00CA6EE2" w:rsidRPr="00BB0A8B">
        <w:rPr>
          <w:rFonts w:asciiTheme="majorBidi" w:hAnsiTheme="majorBidi" w:cstheme="majorBidi"/>
          <w:bCs/>
          <w:sz w:val="22"/>
          <w:szCs w:val="22"/>
          <w:lang w:val="sr-Latn-ME"/>
        </w:rPr>
        <w:t>ij</w:t>
      </w:r>
      <w:r w:rsidRPr="00BB0A8B">
        <w:rPr>
          <w:rFonts w:asciiTheme="majorBidi" w:hAnsiTheme="majorBidi" w:cstheme="majorBidi"/>
          <w:bCs/>
          <w:sz w:val="22"/>
          <w:szCs w:val="22"/>
          <w:lang w:val="sr-Latn-ME"/>
        </w:rPr>
        <w:t>eme do pogoršanja simptoma povezanih sa karcinomom pluća (kašalj, dispnea i bol), i bezbjednost. Primarni parametar praćenja ishoda bilo je preživljavanje.</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Ove dv</w:t>
      </w:r>
      <w:r w:rsidR="00CA6EE2" w:rsidRPr="00BB0A8B">
        <w:rPr>
          <w:rFonts w:asciiTheme="majorBidi" w:hAnsiTheme="majorBidi" w:cstheme="majorBidi"/>
          <w:bCs/>
          <w:sz w:val="22"/>
          <w:szCs w:val="22"/>
          <w:lang w:val="sr-Latn-ME"/>
        </w:rPr>
        <w:t>ij</w:t>
      </w:r>
      <w:r w:rsidRPr="00BB0A8B">
        <w:rPr>
          <w:rFonts w:asciiTheme="majorBidi" w:hAnsiTheme="majorBidi" w:cstheme="majorBidi"/>
          <w:bCs/>
          <w:sz w:val="22"/>
          <w:szCs w:val="22"/>
          <w:lang w:val="sr-Latn-ME"/>
        </w:rPr>
        <w:t>e grupe su bile dobro uravnotežene u pogledu demografskih karakteristika. Oko dvije trećine pacijenata bili su muškarci i otprilike jedna trećina je imala prije početka terapije (</w:t>
      </w:r>
      <w:r w:rsidR="00BB2761" w:rsidRPr="00BB0A8B">
        <w:rPr>
          <w:rFonts w:asciiTheme="majorBidi" w:hAnsiTheme="majorBidi" w:cstheme="majorBidi"/>
          <w:bCs/>
          <w:sz w:val="22"/>
          <w:szCs w:val="22"/>
          <w:lang w:val="sr-Latn-ME"/>
        </w:rPr>
        <w:t>početne vrijednosti</w:t>
      </w:r>
      <w:r w:rsidRPr="00BB0A8B">
        <w:rPr>
          <w:rFonts w:asciiTheme="majorBidi" w:hAnsiTheme="majorBidi" w:cstheme="majorBidi"/>
          <w:bCs/>
          <w:sz w:val="22"/>
          <w:szCs w:val="22"/>
          <w:lang w:val="sr-Latn-ME"/>
        </w:rPr>
        <w:t>) ECOG performans status (PS) od 2, a 9% su imali ECOG PS 3. Devedeset tri procenta pacijenata koji su primali erlotinib i 92% onih koji su primali placebo, prethodno su primali terapiju koja je sadržala platinu, dok je 36% u prvoj, odnosno 37% u drugoj grupi prethodno primalo terapiju taksanima.</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CE577D"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Prilagođeni HR (engl. </w:t>
      </w:r>
      <w:r w:rsidRPr="00BB0A8B">
        <w:rPr>
          <w:rFonts w:asciiTheme="majorBidi" w:hAnsiTheme="majorBidi" w:cstheme="majorBidi"/>
          <w:bCs/>
          <w:i/>
          <w:iCs/>
          <w:sz w:val="22"/>
          <w:szCs w:val="22"/>
          <w:lang w:val="sr-Latn-ME"/>
        </w:rPr>
        <w:t>adjusted hazard ratio</w:t>
      </w:r>
      <w:r w:rsidRPr="00BB0A8B">
        <w:rPr>
          <w:rFonts w:asciiTheme="majorBidi" w:hAnsiTheme="majorBidi" w:cstheme="majorBidi"/>
          <w:bCs/>
          <w:sz w:val="22"/>
          <w:szCs w:val="22"/>
          <w:lang w:val="sr-Latn-ME"/>
        </w:rPr>
        <w:t xml:space="preserve">) za smrtni ishod u grupi koja je primala erlotinib, u odnosu na grupu koja je primala placebo, iznosio je 0,73 (95% CI, 0,60 – 0,87) (p=0,001). Procenat pacijenata koji su preživjeli poslije 12 mjeseci iznosio je 31,2% u grupi koja je primala erlotinib i 21,5% u grupi koja je primala placebo. Medijana ukupnog preživljavanja iznosila je 6,7 mjeseci u grupi koja je primala erlotinib (95% CI, 5,5 do 7,8 mjeseci) u poređenju sa 4,7 mjeseci u grupi koja je primala placebo (95% CI, 4,1 do 6,3 mjeseca). </w:t>
      </w:r>
    </w:p>
    <w:p w:rsidR="00BB0A8B" w:rsidRPr="00BB0A8B" w:rsidRDefault="00BB0A8B" w:rsidP="00BB0A8B">
      <w:pPr>
        <w:tabs>
          <w:tab w:val="left" w:pos="540"/>
          <w:tab w:val="left" w:pos="569"/>
        </w:tabs>
        <w:jc w:val="both"/>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Efekat na ukupno preživljavanje ispitivan je u različitim podgrupama pacijenata. Efekat erlotiniba na ukupno preživljavanje bio je sličan kod pacijenata koji su imali performans status na početku liječenja (ECOG) između 2 i 3 (HR=0,77; 95% CI 0,6-1,0) i 0-1 (HR=0,73; 95% CI 0,6-0,9), muškaraca (HR=0,76; 95% CI 0,6-0,9) i žena (HR=0,80; 95% CI 0,6-1,1), pacijenata mlađih od 65 godina (HR=0,75; 95% CI 0,6-0,9), i starijih pacijenata (HR=0,79; 95% CI 0,6-1,0), pacijenata koji su prethodno primili jedan terapijski režim (HR=0,76; 95% CI 0,6-1,0) i pacijenata koji su primili više od jednog terapijskog režima (HR=0,75; 95% CI 0,6-1,0), pacijenata bijele rase (HR=0,79; 95% CI 0,6-1,0) i azijske rase (HR=0,61; 95% CI 0,4-1,0), pacijenata sa adenokarcinomom (HR=0,71; 95% CI 0,6-0,9) i karcinomom skvamoznih ćelija (HR=0,67; 95% CI 0,5-0,9), ali ne i kod pacijenata sa drugim histološkim tipom tumora (HR=1,04; 95% CI 0,7-1,5), pacijenata u četvrtom stadijumu bolesti pri postavljanju dijagnoze (HR=0,92; 95% CI 0,7-1,2), i stadijumu &lt;4 pri postavljanju dijagnoze (HR=0,65; 95% CI 0,5-0,8). Pacijenti koji nikada nijesu pušili imali su daleko veću korist od terapije erlotinibom (preživljavanje HR=0,42; 95% CI 0,28-0,64) u poređenju sa onima koji puše ili su pušili (HR=0,87; 95% CI 0,71-1,05).</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Kod 45% pacijenata sa poznatim statusom ekspresije EGFR, HR iznosio je 0,68 (95% CI 0,49-0,94) kod pacijenata sa EGFR pozitivnim tumorima i 0,93 (95% CI 0,63-1,36) kod pacijenata sa EGFR-</w:t>
      </w:r>
      <w:r w:rsidRPr="00BB0A8B">
        <w:rPr>
          <w:rFonts w:asciiTheme="majorBidi" w:hAnsiTheme="majorBidi" w:cstheme="majorBidi"/>
          <w:bCs/>
          <w:sz w:val="22"/>
          <w:szCs w:val="22"/>
          <w:lang w:val="sr-Latn-ME"/>
        </w:rPr>
        <w:lastRenderedPageBreak/>
        <w:t>negativnim tumorima (koji su određeni imunohistohemijski korišćenjem EGFR pharmDx kita i koji si definisani kao EGFR-negativni ukoliko je obojeno manje od 10% tumorskih ćelija). Kod preostalih 55% pacijenata sa nepoznatim EGFR statusom ekspresije, HR je iznosio 0,77 (95% CI 0,61-0,98).</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Medijana PFS iznosila je 9,7 nedjelja u grupi koja je primala erlotinib (95% CI, 8,4 do 12,4 nedjelje) u</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poređenju sa 8,0 nedjelja u grupi koja je primala placebo (95% CI, 7,9 do 8,1 nedjelja). </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Objektivna stopa odgovora po RECIST (engl. </w:t>
      </w:r>
      <w:r w:rsidRPr="00BB0A8B">
        <w:rPr>
          <w:rFonts w:asciiTheme="majorBidi" w:hAnsiTheme="majorBidi" w:cstheme="majorBidi"/>
          <w:bCs/>
          <w:i/>
          <w:iCs/>
          <w:sz w:val="22"/>
          <w:szCs w:val="22"/>
          <w:lang w:val="sr-Latn-ME"/>
        </w:rPr>
        <w:t xml:space="preserve">Response Evaluation Criteria in Solid Tumors) </w:t>
      </w:r>
      <w:r w:rsidRPr="00BB0A8B">
        <w:rPr>
          <w:rFonts w:asciiTheme="majorBidi" w:hAnsiTheme="majorBidi" w:cstheme="majorBidi"/>
          <w:bCs/>
          <w:sz w:val="22"/>
          <w:szCs w:val="22"/>
          <w:lang w:val="sr-Latn-ME"/>
        </w:rPr>
        <w:t>u grupi koja je primala erlotinib iznosila je 8,9% (95% CI, 6,4 do 12,0). Kod prvih 330 pacijenata stopu odgovora procijenila je nezavisna centralna komisija (stopa odgovora 6,2%); kod 401 pacijenta stopu odgovora procijenio je istraživač (stopa odgovora 11,2%).</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Medijana trajanja odgovora iznosila je 34,3 nedjelje, i kretala se u rasponu između 9,7 do 57,6+ nedjelja. Procenat pacijenata koji su ostvarili kompletan odgovor, parcijalan odgovor ili stabilizaciju bolesti iznosio je 44,0% u grupi koja je primala erlotinib odnosno 27,5% u grupi koja je primala placebo (p=0,004). </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Prednost u preživljavanju sa erlotinibom uočena je takođe i kod pacijenata koji nijesu postigli objektivan tumorski odgovor (prema RECIST). Ovo je dokazano HR za smrtni ishod od 0,82 (95% CI, 0,68 do 0,99) među pacijentima čiji je najbolji odgovor bio stabilna bolest ili progresija bolesti.</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Primjena erlotiniba dovela je do poboljšanja simptoma time što je značajno produženo vrijeme do pogoršanja kašlja, dispnee i bola, u poređenju sa placebom.</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U dvostruko slijepoj, randomizovanoj studiji faze III (MO22162, CURRENTS) upoređujući dvije doze erlotiniba (300 mg u odnosu na 150 mg) kod trenutnih pušača (u prosjeku 38 kutija godišnje) sa lokalno uznapredovalim ili metastatskim NSCLC kao druga linija terapije nakon neuspjeha hemioterapije, doza od 300 mg erlotiniba nije pokazala PFS korist u odnosu na preporučenu dozu (7</w:t>
      </w:r>
      <w:r w:rsidR="00E62892" w:rsidRPr="00BB0A8B">
        <w:rPr>
          <w:rFonts w:asciiTheme="majorBidi" w:hAnsiTheme="majorBidi" w:cstheme="majorBidi"/>
          <w:bCs/>
          <w:sz w:val="22"/>
          <w:szCs w:val="22"/>
          <w:lang w:val="sr-Latn-ME"/>
        </w:rPr>
        <w:t>,</w:t>
      </w:r>
      <w:r w:rsidRPr="00BB0A8B">
        <w:rPr>
          <w:rFonts w:asciiTheme="majorBidi" w:hAnsiTheme="majorBidi" w:cstheme="majorBidi"/>
          <w:bCs/>
          <w:sz w:val="22"/>
          <w:szCs w:val="22"/>
          <w:lang w:val="sr-Latn-ME"/>
        </w:rPr>
        <w:t>00 naspram 6</w:t>
      </w:r>
      <w:r w:rsidR="00E62892" w:rsidRPr="00BB0A8B">
        <w:rPr>
          <w:rFonts w:asciiTheme="majorBidi" w:hAnsiTheme="majorBidi" w:cstheme="majorBidi"/>
          <w:bCs/>
          <w:sz w:val="22"/>
          <w:szCs w:val="22"/>
          <w:lang w:val="sr-Latn-ME"/>
        </w:rPr>
        <w:t>,</w:t>
      </w:r>
      <w:r w:rsidRPr="00BB0A8B">
        <w:rPr>
          <w:rFonts w:asciiTheme="majorBidi" w:hAnsiTheme="majorBidi" w:cstheme="majorBidi"/>
          <w:bCs/>
          <w:sz w:val="22"/>
          <w:szCs w:val="22"/>
          <w:lang w:val="sr-Latn-ME"/>
        </w:rPr>
        <w:t>86 nedjelje, redom).</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Sekundarni parametri praćenja efikasnosti su bili konzistentni sa primarnim parametrom praćenja ishoda </w:t>
      </w:r>
      <w:r w:rsidR="00E62892" w:rsidRPr="00BB0A8B">
        <w:rPr>
          <w:rFonts w:asciiTheme="majorBidi" w:hAnsiTheme="majorBidi" w:cstheme="majorBidi"/>
          <w:bCs/>
          <w:sz w:val="22"/>
          <w:szCs w:val="22"/>
          <w:lang w:val="sr-Latn-ME"/>
        </w:rPr>
        <w:t xml:space="preserve">i </w:t>
      </w:r>
      <w:r w:rsidRPr="00BB0A8B">
        <w:rPr>
          <w:rFonts w:asciiTheme="majorBidi" w:hAnsiTheme="majorBidi" w:cstheme="majorBidi"/>
          <w:bCs/>
          <w:sz w:val="22"/>
          <w:szCs w:val="22"/>
          <w:lang w:val="sr-Latn-ME"/>
        </w:rPr>
        <w:t>nijesu otkrivene razlike u podacima za OS među pacijentima koji su primali erlotinib 300 mg i 150 mg dnevno (HR 1.03, 95% CI 0.80 do 1.32). Podaci o bezbjednosti su bili komparabilni među dozama od 300 mg i 150 mg. Ipak, uočeno je brojčano povećanje učestalosti osipa, intersticijalne bolesti pluća i dijareje, kod pacijenata koji su primali veće doze erlotiniba. Na osnovu podataka iz studije CURRENTS, ne postoje dokazi o bilo kakvoj koristi od veće doze od 300 mg erlotiniba kada se poredi sa preporučenom dozom od 150 mg kod aktivnih pušača.</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Pacijenti u studiji nijesu bili izabrani na osnovu statusa EGFR mutacija. Vidjeti </w:t>
      </w:r>
      <w:r w:rsidR="00E62892" w:rsidRPr="00BB0A8B">
        <w:rPr>
          <w:rFonts w:asciiTheme="majorBidi" w:hAnsiTheme="majorBidi" w:cstheme="majorBidi"/>
          <w:bCs/>
          <w:sz w:val="22"/>
          <w:szCs w:val="22"/>
          <w:lang w:val="sr-Latn-ME"/>
        </w:rPr>
        <w:t xml:space="preserve">djelove </w:t>
      </w:r>
      <w:r w:rsidRPr="00BB0A8B">
        <w:rPr>
          <w:rFonts w:asciiTheme="majorBidi" w:hAnsiTheme="majorBidi" w:cstheme="majorBidi"/>
          <w:bCs/>
          <w:sz w:val="22"/>
          <w:szCs w:val="22"/>
          <w:lang w:val="sr-Latn-ME"/>
        </w:rPr>
        <w:t>4.2, 4.4, 4.5 i 5.2.</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i/>
          <w:sz w:val="22"/>
          <w:szCs w:val="22"/>
          <w:u w:val="single"/>
          <w:lang w:val="sr-Latn-ME"/>
        </w:rPr>
      </w:pPr>
      <w:r w:rsidRPr="00BB0A8B">
        <w:rPr>
          <w:rFonts w:asciiTheme="majorBidi" w:hAnsiTheme="majorBidi" w:cstheme="majorBidi"/>
          <w:bCs/>
          <w:i/>
          <w:sz w:val="22"/>
          <w:szCs w:val="22"/>
          <w:u w:val="single"/>
          <w:lang w:val="sr-Latn-ME"/>
        </w:rPr>
        <w:t>Karcinom pankreasa (erlotinib u kombinaciji sa gemcitabinom u studiji PA.3)</w:t>
      </w:r>
    </w:p>
    <w:p w:rsidR="00CE577D" w:rsidRPr="00BB0A8B" w:rsidRDefault="00CE577D" w:rsidP="00BB0A8B">
      <w:pPr>
        <w:tabs>
          <w:tab w:val="left" w:pos="540"/>
          <w:tab w:val="left" w:pos="569"/>
        </w:tabs>
        <w:jc w:val="both"/>
        <w:rPr>
          <w:rFonts w:asciiTheme="majorBidi" w:hAnsiTheme="majorBidi" w:cstheme="majorBidi"/>
          <w:b/>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Efikasnost i bezbjednost erlotiniba u kombinaciji sa gemcitabinom kao prva linija terapije ispitivane su u randomizovanoj, dvostruko slijepoj, placebom kontrolisanoj studiji kod pacijenata sa lokalno uznapredovalim, neresektabilnim ili metastatskim karcinomom pankreasa. Pacijenti su randomizovani da primaju erlotinib ili placebo jednom dnevno, po kontinuiranom rasporedu zajedno sa gemcitabinom i.v. (1000 mg/m2, ciklus 1- 8., 15., 22., 29., 36. i 43. dana osmonedjeljnog ciklusa; ciklus 2 i svi sljedeći ciklusi: 1., 8. i 15. dana četvoronedjeljnog ciklusa [za odobrene doze i režime doziranja za karcinom pankreasa vid</w:t>
      </w:r>
      <w:r w:rsidR="00E62892" w:rsidRPr="00BB0A8B">
        <w:rPr>
          <w:rFonts w:asciiTheme="majorBidi" w:hAnsiTheme="majorBidi" w:cstheme="majorBidi"/>
          <w:bCs/>
          <w:sz w:val="22"/>
          <w:szCs w:val="22"/>
          <w:lang w:val="sr-Latn-ME"/>
        </w:rPr>
        <w:t>j</w:t>
      </w:r>
      <w:r w:rsidRPr="00BB0A8B">
        <w:rPr>
          <w:rFonts w:asciiTheme="majorBidi" w:hAnsiTheme="majorBidi" w:cstheme="majorBidi"/>
          <w:bCs/>
          <w:sz w:val="22"/>
          <w:szCs w:val="22"/>
          <w:lang w:val="sr-Latn-ME"/>
        </w:rPr>
        <w:t xml:space="preserve">eti </w:t>
      </w:r>
      <w:r w:rsidRPr="00BB0A8B">
        <w:rPr>
          <w:rFonts w:asciiTheme="majorBidi" w:hAnsiTheme="majorBidi" w:cstheme="majorBidi"/>
          <w:bCs/>
          <w:i/>
          <w:iCs/>
          <w:sz w:val="22"/>
          <w:szCs w:val="22"/>
          <w:lang w:val="sr-Latn-ME"/>
        </w:rPr>
        <w:t>Sažetak</w:t>
      </w:r>
      <w:r w:rsidRPr="00BB0A8B">
        <w:rPr>
          <w:rFonts w:asciiTheme="majorBidi" w:hAnsiTheme="majorBidi" w:cstheme="majorBidi"/>
          <w:bCs/>
          <w:sz w:val="22"/>
          <w:szCs w:val="22"/>
          <w:lang w:val="sr-Latn-ME"/>
        </w:rPr>
        <w:t xml:space="preserve"> </w:t>
      </w:r>
      <w:r w:rsidRPr="00BB0A8B">
        <w:rPr>
          <w:rFonts w:asciiTheme="majorBidi" w:hAnsiTheme="majorBidi" w:cstheme="majorBidi"/>
          <w:bCs/>
          <w:i/>
          <w:iCs/>
          <w:sz w:val="22"/>
          <w:szCs w:val="22"/>
          <w:lang w:val="sr-Latn-ME"/>
        </w:rPr>
        <w:t xml:space="preserve">karakteristika lijeka </w:t>
      </w:r>
      <w:r w:rsidRPr="00BB0A8B">
        <w:rPr>
          <w:rFonts w:asciiTheme="majorBidi" w:hAnsiTheme="majorBidi" w:cstheme="majorBidi"/>
          <w:bCs/>
          <w:sz w:val="22"/>
          <w:szCs w:val="22"/>
          <w:lang w:val="sr-Latn-ME"/>
        </w:rPr>
        <w:t>za gemcitabin]. Erlotinib ili placebo su uzimani oralno jednom dnevno sve do progresije bolesti ili neprihvatljive toksičnosti. Primarni parametar praćenja ishoda je bio ukupno preživljavanje.</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Obje terapijske grupe bile su usklađene po demografskim parametrima i opštim osobinama bolesti (100 mg erlotiniba plus gemcitabin u poređenju sa placebo plus gemcitabin), osim što je u grupi erlotinib/gemcitabine bilo neznatno više žena u poređenju sa grupom placebo/gemcitabin:</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tbl>
      <w:tblPr>
        <w:tblW w:w="5000" w:type="pct"/>
        <w:jc w:val="center"/>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5599"/>
        <w:gridCol w:w="2344"/>
        <w:gridCol w:w="1114"/>
      </w:tblGrid>
      <w:tr w:rsidR="00CE577D" w:rsidRPr="00BB0A8B" w:rsidTr="00CE577D">
        <w:trPr>
          <w:jc w:val="center"/>
        </w:trPr>
        <w:tc>
          <w:tcPr>
            <w:tcW w:w="3091"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rPr>
                <w:rFonts w:asciiTheme="majorBidi" w:hAnsiTheme="majorBidi" w:cstheme="majorBidi"/>
                <w:b/>
                <w:sz w:val="22"/>
                <w:szCs w:val="22"/>
                <w:lang w:val="sr-Latn-ME" w:eastAsia="en-GB"/>
              </w:rPr>
            </w:pPr>
            <w:r w:rsidRPr="00BB0A8B">
              <w:rPr>
                <w:rFonts w:asciiTheme="majorBidi" w:hAnsiTheme="majorBidi" w:cstheme="majorBidi"/>
                <w:b/>
                <w:sz w:val="22"/>
                <w:szCs w:val="22"/>
                <w:lang w:val="sr-Latn-ME" w:eastAsia="en-GB"/>
              </w:rPr>
              <w:lastRenderedPageBreak/>
              <w:t>Prije početka terapije</w:t>
            </w:r>
          </w:p>
        </w:tc>
        <w:tc>
          <w:tcPr>
            <w:tcW w:w="1294"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b/>
                <w:bCs/>
                <w:sz w:val="22"/>
                <w:szCs w:val="22"/>
                <w:lang w:val="sr-Latn-ME" w:eastAsia="en-GB"/>
              </w:rPr>
              <w:t>Erlotinib</w:t>
            </w:r>
          </w:p>
        </w:tc>
        <w:tc>
          <w:tcPr>
            <w:tcW w:w="616"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b/>
                <w:bCs/>
                <w:sz w:val="22"/>
                <w:szCs w:val="22"/>
                <w:lang w:val="sr-Latn-ME" w:eastAsia="en-GB"/>
              </w:rPr>
              <w:t>Placebo</w:t>
            </w:r>
          </w:p>
        </w:tc>
      </w:tr>
      <w:tr w:rsidR="00CE577D" w:rsidRPr="00BB0A8B" w:rsidTr="00CE577D">
        <w:trPr>
          <w:jc w:val="center"/>
        </w:trPr>
        <w:tc>
          <w:tcPr>
            <w:tcW w:w="3091"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Žene</w:t>
            </w:r>
          </w:p>
        </w:tc>
        <w:tc>
          <w:tcPr>
            <w:tcW w:w="1294"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51%</w:t>
            </w:r>
          </w:p>
        </w:tc>
        <w:tc>
          <w:tcPr>
            <w:tcW w:w="616"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44%</w:t>
            </w:r>
          </w:p>
        </w:tc>
      </w:tr>
      <w:tr w:rsidR="00CE577D" w:rsidRPr="00BB0A8B" w:rsidTr="00CE577D">
        <w:trPr>
          <w:jc w:val="center"/>
        </w:trPr>
        <w:tc>
          <w:tcPr>
            <w:tcW w:w="3091"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Početni ECOG performans status (PS) = 0</w:t>
            </w:r>
          </w:p>
        </w:tc>
        <w:tc>
          <w:tcPr>
            <w:tcW w:w="1294"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31%</w:t>
            </w:r>
          </w:p>
        </w:tc>
        <w:tc>
          <w:tcPr>
            <w:tcW w:w="616"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32%</w:t>
            </w:r>
          </w:p>
        </w:tc>
      </w:tr>
      <w:tr w:rsidR="00CE577D" w:rsidRPr="00BB0A8B" w:rsidTr="00CE577D">
        <w:trPr>
          <w:jc w:val="center"/>
        </w:trPr>
        <w:tc>
          <w:tcPr>
            <w:tcW w:w="3091"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Početni ECOG performans status (PS) = 1</w:t>
            </w:r>
          </w:p>
        </w:tc>
        <w:tc>
          <w:tcPr>
            <w:tcW w:w="1294"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51%</w:t>
            </w:r>
          </w:p>
        </w:tc>
        <w:tc>
          <w:tcPr>
            <w:tcW w:w="616"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51%</w:t>
            </w:r>
          </w:p>
        </w:tc>
      </w:tr>
      <w:tr w:rsidR="00CE577D" w:rsidRPr="00BB0A8B" w:rsidTr="00CE577D">
        <w:trPr>
          <w:jc w:val="center"/>
        </w:trPr>
        <w:tc>
          <w:tcPr>
            <w:tcW w:w="3091"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Početni ECOG performans status (PS) = 2</w:t>
            </w:r>
          </w:p>
        </w:tc>
        <w:tc>
          <w:tcPr>
            <w:tcW w:w="1294"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17%</w:t>
            </w:r>
          </w:p>
        </w:tc>
        <w:tc>
          <w:tcPr>
            <w:tcW w:w="616"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17%</w:t>
            </w:r>
          </w:p>
        </w:tc>
      </w:tr>
      <w:tr w:rsidR="00CE577D" w:rsidRPr="00BB0A8B" w:rsidTr="00CE577D">
        <w:trPr>
          <w:jc w:val="center"/>
        </w:trPr>
        <w:tc>
          <w:tcPr>
            <w:tcW w:w="3091"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Metastatska bolest na početku studije</w:t>
            </w:r>
          </w:p>
        </w:tc>
        <w:tc>
          <w:tcPr>
            <w:tcW w:w="1294"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77%</w:t>
            </w:r>
          </w:p>
        </w:tc>
        <w:tc>
          <w:tcPr>
            <w:tcW w:w="616"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76%</w:t>
            </w:r>
          </w:p>
        </w:tc>
      </w:tr>
    </w:tbl>
    <w:p w:rsidR="00CE577D" w:rsidRPr="00BB0A8B" w:rsidRDefault="00CE577D" w:rsidP="00BB0A8B">
      <w:pPr>
        <w:tabs>
          <w:tab w:val="left" w:pos="540"/>
          <w:tab w:val="left" w:pos="569"/>
        </w:tabs>
        <w:jc w:val="center"/>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Preživljavanje je procjenjivano u ITT populaciji (</w:t>
      </w:r>
      <w:r w:rsidR="00E62892" w:rsidRPr="00BB0A8B">
        <w:rPr>
          <w:rFonts w:asciiTheme="majorBidi" w:hAnsiTheme="majorBidi" w:cstheme="majorBidi"/>
          <w:bCs/>
          <w:sz w:val="22"/>
          <w:szCs w:val="22"/>
          <w:lang w:val="sr-Latn-ME"/>
        </w:rPr>
        <w:t xml:space="preserve">engl. </w:t>
      </w:r>
      <w:r w:rsidRPr="00BB0A8B">
        <w:rPr>
          <w:rFonts w:asciiTheme="majorBidi" w:hAnsiTheme="majorBidi" w:cstheme="majorBidi"/>
          <w:bCs/>
          <w:i/>
          <w:iCs/>
          <w:sz w:val="22"/>
          <w:szCs w:val="22"/>
          <w:lang w:val="sr-Latn-ME"/>
        </w:rPr>
        <w:t xml:space="preserve">intent to treat </w:t>
      </w:r>
      <w:r w:rsidRPr="00BB0A8B">
        <w:rPr>
          <w:rFonts w:asciiTheme="majorBidi" w:hAnsiTheme="majorBidi" w:cstheme="majorBidi"/>
          <w:bCs/>
          <w:sz w:val="22"/>
          <w:szCs w:val="22"/>
          <w:lang w:val="sr-Latn-ME"/>
        </w:rPr>
        <w:t>- predviđenoj za liječenje), na osnovu podataka o preživljavanju dobijenih praćenjem. Rezultati su prikazani u sl</w:t>
      </w:r>
      <w:r w:rsidR="00E62892" w:rsidRPr="00BB0A8B">
        <w:rPr>
          <w:rFonts w:asciiTheme="majorBidi" w:hAnsiTheme="majorBidi" w:cstheme="majorBidi"/>
          <w:bCs/>
          <w:sz w:val="22"/>
          <w:szCs w:val="22"/>
          <w:lang w:val="sr-Latn-ME"/>
        </w:rPr>
        <w:t>j</w:t>
      </w:r>
      <w:r w:rsidRPr="00BB0A8B">
        <w:rPr>
          <w:rFonts w:asciiTheme="majorBidi" w:hAnsiTheme="majorBidi" w:cstheme="majorBidi"/>
          <w:bCs/>
          <w:sz w:val="22"/>
          <w:szCs w:val="22"/>
          <w:lang w:val="sr-Latn-ME"/>
        </w:rPr>
        <w:t>edećoj tabeli (rezultati grupe sa metastazama i lokalno uznapredovalom bolešću izvedeni su iz eksploratorne analize podgrupa).</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tbl>
      <w:tblPr>
        <w:tblW w:w="5000" w:type="pct"/>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2248"/>
        <w:gridCol w:w="980"/>
        <w:gridCol w:w="981"/>
        <w:gridCol w:w="981"/>
        <w:gridCol w:w="1162"/>
        <w:gridCol w:w="710"/>
        <w:gridCol w:w="981"/>
        <w:gridCol w:w="1014"/>
      </w:tblGrid>
      <w:tr w:rsidR="00CE577D" w:rsidRPr="00BB0A8B" w:rsidTr="00CE577D">
        <w:tc>
          <w:tcPr>
            <w:tcW w:w="1250" w:type="pct"/>
            <w:tcBorders>
              <w:top w:val="outset" w:sz="6" w:space="0" w:color="7B7B7B"/>
              <w:left w:val="outset" w:sz="6" w:space="0" w:color="7B7B7B"/>
              <w:bottom w:val="outset" w:sz="6" w:space="0" w:color="7B7B7B"/>
              <w:right w:val="outset" w:sz="6" w:space="0" w:color="7B7B7B"/>
            </w:tcBorders>
            <w:vAlign w:val="bottom"/>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b/>
                <w:bCs/>
                <w:sz w:val="22"/>
                <w:szCs w:val="22"/>
                <w:lang w:val="sr-Latn-ME" w:eastAsia="en-GB"/>
              </w:rPr>
              <w:t>Ishod</w:t>
            </w:r>
          </w:p>
        </w:tc>
        <w:tc>
          <w:tcPr>
            <w:tcW w:w="550" w:type="pct"/>
            <w:tcBorders>
              <w:top w:val="outset" w:sz="6" w:space="0" w:color="7B7B7B"/>
              <w:left w:val="outset" w:sz="6" w:space="0" w:color="7B7B7B"/>
              <w:bottom w:val="outset" w:sz="6" w:space="0" w:color="7B7B7B"/>
              <w:right w:val="outset" w:sz="6" w:space="0" w:color="7B7B7B"/>
            </w:tcBorders>
            <w:vAlign w:val="bottom"/>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b/>
                <w:bCs/>
                <w:sz w:val="22"/>
                <w:szCs w:val="22"/>
                <w:lang w:val="sr-Latn-ME" w:eastAsia="en-GB"/>
              </w:rPr>
              <w:t>Erlotinib  (mjeseci)</w:t>
            </w:r>
          </w:p>
        </w:tc>
        <w:tc>
          <w:tcPr>
            <w:tcW w:w="550" w:type="pct"/>
            <w:tcBorders>
              <w:top w:val="outset" w:sz="6" w:space="0" w:color="7B7B7B"/>
              <w:left w:val="outset" w:sz="6" w:space="0" w:color="7B7B7B"/>
              <w:bottom w:val="outset" w:sz="6" w:space="0" w:color="7B7B7B"/>
              <w:right w:val="outset" w:sz="6" w:space="0" w:color="7B7B7B"/>
            </w:tcBorders>
            <w:vAlign w:val="bottom"/>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b/>
                <w:bCs/>
                <w:sz w:val="22"/>
                <w:szCs w:val="22"/>
                <w:lang w:val="sr-Latn-ME" w:eastAsia="en-GB"/>
              </w:rPr>
              <w:t>Placebo</w:t>
            </w:r>
          </w:p>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b/>
                <w:bCs/>
                <w:sz w:val="22"/>
                <w:szCs w:val="22"/>
                <w:lang w:val="sr-Latn-ME" w:eastAsia="en-GB"/>
              </w:rPr>
              <w:t>(mjeseci)</w:t>
            </w:r>
          </w:p>
        </w:tc>
        <w:tc>
          <w:tcPr>
            <w:tcW w:w="550" w:type="pct"/>
            <w:tcBorders>
              <w:top w:val="outset" w:sz="6" w:space="0" w:color="7B7B7B"/>
              <w:left w:val="outset" w:sz="6" w:space="0" w:color="7B7B7B"/>
              <w:bottom w:val="outset" w:sz="6" w:space="0" w:color="7B7B7B"/>
              <w:right w:val="outset" w:sz="6" w:space="0" w:color="7B7B7B"/>
            </w:tcBorders>
            <w:vAlign w:val="bottom"/>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b/>
                <w:bCs/>
                <w:sz w:val="22"/>
                <w:szCs w:val="22"/>
                <w:lang w:val="sr-Latn-ME" w:eastAsia="en-GB"/>
              </w:rPr>
              <w:t>Δ</w:t>
            </w:r>
          </w:p>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b/>
                <w:bCs/>
                <w:sz w:val="22"/>
                <w:szCs w:val="22"/>
                <w:lang w:val="sr-Latn-ME" w:eastAsia="en-GB"/>
              </w:rPr>
              <w:t>(mjeseci)</w:t>
            </w:r>
          </w:p>
        </w:tc>
        <w:tc>
          <w:tcPr>
            <w:tcW w:w="650" w:type="pct"/>
            <w:tcBorders>
              <w:top w:val="outset" w:sz="6" w:space="0" w:color="7B7B7B"/>
              <w:left w:val="outset" w:sz="6" w:space="0" w:color="7B7B7B"/>
              <w:bottom w:val="outset" w:sz="6" w:space="0" w:color="7B7B7B"/>
              <w:right w:val="outset" w:sz="6" w:space="0" w:color="7B7B7B"/>
            </w:tcBorders>
            <w:vAlign w:val="bottom"/>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b/>
                <w:bCs/>
                <w:sz w:val="22"/>
                <w:szCs w:val="22"/>
                <w:lang w:val="sr-Latn-ME" w:eastAsia="en-GB"/>
              </w:rPr>
              <w:t>CI of Δ</w:t>
            </w:r>
          </w:p>
        </w:tc>
        <w:tc>
          <w:tcPr>
            <w:tcW w:w="400" w:type="pct"/>
            <w:tcBorders>
              <w:top w:val="outset" w:sz="6" w:space="0" w:color="7B7B7B"/>
              <w:left w:val="outset" w:sz="6" w:space="0" w:color="7B7B7B"/>
              <w:bottom w:val="outset" w:sz="6" w:space="0" w:color="7B7B7B"/>
              <w:right w:val="outset" w:sz="6" w:space="0" w:color="7B7B7B"/>
            </w:tcBorders>
            <w:vAlign w:val="bottom"/>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b/>
                <w:bCs/>
                <w:sz w:val="22"/>
                <w:szCs w:val="22"/>
                <w:lang w:val="sr-Latn-ME" w:eastAsia="en-GB"/>
              </w:rPr>
              <w:t>HR</w:t>
            </w:r>
          </w:p>
        </w:tc>
        <w:tc>
          <w:tcPr>
            <w:tcW w:w="550" w:type="pct"/>
            <w:tcBorders>
              <w:top w:val="outset" w:sz="6" w:space="0" w:color="7B7B7B"/>
              <w:left w:val="outset" w:sz="6" w:space="0" w:color="7B7B7B"/>
              <w:bottom w:val="outset" w:sz="6" w:space="0" w:color="7B7B7B"/>
              <w:right w:val="outset" w:sz="6" w:space="0" w:color="7B7B7B"/>
            </w:tcBorders>
            <w:vAlign w:val="bottom"/>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b/>
                <w:bCs/>
                <w:sz w:val="22"/>
                <w:szCs w:val="22"/>
                <w:lang w:val="sr-Latn-ME" w:eastAsia="en-GB"/>
              </w:rPr>
              <w:t>CI of HR</w:t>
            </w:r>
          </w:p>
        </w:tc>
        <w:tc>
          <w:tcPr>
            <w:tcW w:w="500" w:type="pct"/>
            <w:tcBorders>
              <w:top w:val="outset" w:sz="6" w:space="0" w:color="7B7B7B"/>
              <w:left w:val="outset" w:sz="6" w:space="0" w:color="7B7B7B"/>
              <w:bottom w:val="outset" w:sz="6" w:space="0" w:color="7B7B7B"/>
              <w:right w:val="outset" w:sz="6" w:space="0" w:color="7B7B7B"/>
            </w:tcBorders>
            <w:vAlign w:val="bottom"/>
            <w:hideMark/>
          </w:tcPr>
          <w:p w:rsidR="00CE577D" w:rsidRPr="00BB0A8B" w:rsidRDefault="00E62892" w:rsidP="00BB0A8B">
            <w:pPr>
              <w:jc w:val="center"/>
              <w:rPr>
                <w:rFonts w:asciiTheme="majorBidi" w:hAnsiTheme="majorBidi" w:cstheme="majorBidi"/>
                <w:sz w:val="22"/>
                <w:szCs w:val="22"/>
                <w:lang w:val="sr-Latn-ME" w:eastAsia="en-GB"/>
              </w:rPr>
            </w:pPr>
            <w:r w:rsidRPr="00BB0A8B">
              <w:rPr>
                <w:rFonts w:asciiTheme="majorBidi" w:hAnsiTheme="majorBidi" w:cstheme="majorBidi"/>
                <w:b/>
                <w:bCs/>
                <w:i/>
                <w:iCs/>
                <w:sz w:val="22"/>
                <w:szCs w:val="22"/>
                <w:lang w:val="sr-Latn-ME" w:eastAsia="en-GB"/>
              </w:rPr>
              <w:t>p</w:t>
            </w:r>
            <w:r w:rsidR="00CE577D" w:rsidRPr="00BB0A8B">
              <w:rPr>
                <w:rFonts w:asciiTheme="majorBidi" w:hAnsiTheme="majorBidi" w:cstheme="majorBidi"/>
                <w:b/>
                <w:bCs/>
                <w:sz w:val="22"/>
                <w:szCs w:val="22"/>
                <w:lang w:val="sr-Latn-ME" w:eastAsia="en-GB"/>
              </w:rPr>
              <w:t>- vrijednost</w:t>
            </w:r>
          </w:p>
        </w:tc>
      </w:tr>
      <w:tr w:rsidR="00CE577D" w:rsidRPr="00BB0A8B" w:rsidTr="00CE577D">
        <w:tc>
          <w:tcPr>
            <w:tcW w:w="5000" w:type="pct"/>
            <w:gridSpan w:val="8"/>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Ukupna populacija</w:t>
            </w:r>
          </w:p>
        </w:tc>
      </w:tr>
      <w:tr w:rsidR="00CE577D" w:rsidRPr="00BB0A8B" w:rsidTr="00CE577D">
        <w:tc>
          <w:tcPr>
            <w:tcW w:w="12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Medijana ukupnog preživljavanja</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6</w:t>
            </w:r>
            <w:r w:rsidR="00E62892"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4</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6</w:t>
            </w:r>
            <w:r w:rsidR="00E62892"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0</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0</w:t>
            </w:r>
            <w:r w:rsidR="00E62892"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41</w:t>
            </w:r>
          </w:p>
        </w:tc>
        <w:tc>
          <w:tcPr>
            <w:tcW w:w="6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-0</w:t>
            </w:r>
            <w:r w:rsidR="00E62892"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54-1</w:t>
            </w:r>
            <w:r w:rsidR="00E62892"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64</w:t>
            </w:r>
          </w:p>
        </w:tc>
        <w:tc>
          <w:tcPr>
            <w:tcW w:w="40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0</w:t>
            </w:r>
            <w:r w:rsidR="00E62892"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82</w:t>
            </w:r>
          </w:p>
        </w:tc>
        <w:tc>
          <w:tcPr>
            <w:tcW w:w="55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0</w:t>
            </w:r>
            <w:r w:rsidR="00E62892"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69-0</w:t>
            </w:r>
            <w:r w:rsidR="00E62892"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98</w:t>
            </w:r>
          </w:p>
        </w:tc>
        <w:tc>
          <w:tcPr>
            <w:tcW w:w="50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0</w:t>
            </w:r>
            <w:r w:rsidR="00E62892"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028</w:t>
            </w:r>
          </w:p>
        </w:tc>
      </w:tr>
      <w:tr w:rsidR="00CE577D" w:rsidRPr="00BB0A8B" w:rsidTr="00CE577D">
        <w:tc>
          <w:tcPr>
            <w:tcW w:w="12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Srednja vrijednost ukupnog preživljavanja</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8</w:t>
            </w:r>
            <w:r w:rsidR="00E62892"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8</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7</w:t>
            </w:r>
            <w:r w:rsidR="00E62892"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6</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1</w:t>
            </w:r>
            <w:r w:rsidR="00E62892"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16</w:t>
            </w:r>
          </w:p>
        </w:tc>
        <w:tc>
          <w:tcPr>
            <w:tcW w:w="6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-0</w:t>
            </w:r>
            <w:r w:rsidR="00E62892"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05-2</w:t>
            </w:r>
            <w:r w:rsidR="00E62892"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34</w:t>
            </w: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rPr>
                <w:rFonts w:asciiTheme="majorBidi" w:hAnsiTheme="majorBidi" w:cstheme="majorBidi"/>
                <w:sz w:val="22"/>
                <w:szCs w:val="22"/>
                <w:lang w:val="sr-Latn-ME" w:eastAsia="en-GB"/>
              </w:rPr>
            </w:pP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rPr>
                <w:rFonts w:asciiTheme="majorBidi" w:hAnsiTheme="majorBidi" w:cstheme="majorBidi"/>
                <w:sz w:val="22"/>
                <w:szCs w:val="22"/>
                <w:lang w:val="sr-Latn-ME" w:eastAsia="en-GB"/>
              </w:rPr>
            </w:pP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rPr>
                <w:rFonts w:asciiTheme="majorBidi" w:hAnsiTheme="majorBidi" w:cstheme="majorBidi"/>
                <w:sz w:val="22"/>
                <w:szCs w:val="22"/>
                <w:lang w:val="sr-Latn-ME" w:eastAsia="en-GB"/>
              </w:rPr>
            </w:pPr>
          </w:p>
        </w:tc>
      </w:tr>
      <w:tr w:rsidR="00CE577D" w:rsidRPr="00BB0A8B" w:rsidTr="00CE577D">
        <w:tc>
          <w:tcPr>
            <w:tcW w:w="5000" w:type="pct"/>
            <w:gridSpan w:val="8"/>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Populacija sa metastazama</w:t>
            </w:r>
          </w:p>
        </w:tc>
      </w:tr>
      <w:tr w:rsidR="00CE577D" w:rsidRPr="00BB0A8B" w:rsidTr="00CE577D">
        <w:tc>
          <w:tcPr>
            <w:tcW w:w="12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Medijana ukupnog preživljavanja</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5</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9</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5</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1</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0</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87</w:t>
            </w:r>
          </w:p>
        </w:tc>
        <w:tc>
          <w:tcPr>
            <w:tcW w:w="6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-0</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26-1</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56</w:t>
            </w:r>
          </w:p>
        </w:tc>
        <w:tc>
          <w:tcPr>
            <w:tcW w:w="40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0</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80</w:t>
            </w:r>
          </w:p>
        </w:tc>
        <w:tc>
          <w:tcPr>
            <w:tcW w:w="55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0</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66-0</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98</w:t>
            </w:r>
          </w:p>
        </w:tc>
        <w:tc>
          <w:tcPr>
            <w:tcW w:w="50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0</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029</w:t>
            </w:r>
          </w:p>
        </w:tc>
      </w:tr>
      <w:tr w:rsidR="00CE577D" w:rsidRPr="00BB0A8B" w:rsidTr="00CE577D">
        <w:tc>
          <w:tcPr>
            <w:tcW w:w="12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Srednja vrijednost ukupnog preživljavanja</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8</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1</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6</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7</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1</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43</w:t>
            </w:r>
          </w:p>
        </w:tc>
        <w:tc>
          <w:tcPr>
            <w:tcW w:w="6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0</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17-2</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66</w:t>
            </w: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rPr>
                <w:rFonts w:asciiTheme="majorBidi" w:hAnsiTheme="majorBidi" w:cstheme="majorBidi"/>
                <w:sz w:val="22"/>
                <w:szCs w:val="22"/>
                <w:lang w:val="sr-Latn-ME" w:eastAsia="en-GB"/>
              </w:rPr>
            </w:pP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rPr>
                <w:rFonts w:asciiTheme="majorBidi" w:hAnsiTheme="majorBidi" w:cstheme="majorBidi"/>
                <w:sz w:val="22"/>
                <w:szCs w:val="22"/>
                <w:lang w:val="sr-Latn-ME" w:eastAsia="en-GB"/>
              </w:rPr>
            </w:pP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rPr>
                <w:rFonts w:asciiTheme="majorBidi" w:hAnsiTheme="majorBidi" w:cstheme="majorBidi"/>
                <w:sz w:val="22"/>
                <w:szCs w:val="22"/>
                <w:lang w:val="sr-Latn-ME" w:eastAsia="en-GB"/>
              </w:rPr>
            </w:pPr>
          </w:p>
        </w:tc>
      </w:tr>
      <w:tr w:rsidR="00CE577D" w:rsidRPr="00BB0A8B" w:rsidTr="00CE577D">
        <w:tc>
          <w:tcPr>
            <w:tcW w:w="5000" w:type="pct"/>
            <w:gridSpan w:val="8"/>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Populacija sa lokalno uznapredovalom bolešću</w:t>
            </w:r>
          </w:p>
        </w:tc>
      </w:tr>
      <w:tr w:rsidR="00CE577D" w:rsidRPr="00BB0A8B" w:rsidTr="00CE577D">
        <w:tc>
          <w:tcPr>
            <w:tcW w:w="12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Medijana ukupnog preživljavanja</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8</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5</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8</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2</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0</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36</w:t>
            </w:r>
          </w:p>
        </w:tc>
        <w:tc>
          <w:tcPr>
            <w:tcW w:w="6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-2</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43-2</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96</w:t>
            </w:r>
          </w:p>
        </w:tc>
        <w:tc>
          <w:tcPr>
            <w:tcW w:w="40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0</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93</w:t>
            </w:r>
          </w:p>
        </w:tc>
        <w:tc>
          <w:tcPr>
            <w:tcW w:w="55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0</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65-1</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35</w:t>
            </w:r>
          </w:p>
        </w:tc>
        <w:tc>
          <w:tcPr>
            <w:tcW w:w="500" w:type="pct"/>
            <w:vMerge w:val="restart"/>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0</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713</w:t>
            </w:r>
          </w:p>
        </w:tc>
      </w:tr>
      <w:tr w:rsidR="00CE577D" w:rsidRPr="00BB0A8B" w:rsidTr="00CE577D">
        <w:tc>
          <w:tcPr>
            <w:tcW w:w="12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Srednja vrijednost ukupnog preživljavanja</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10</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7</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10</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5</w:t>
            </w:r>
          </w:p>
        </w:tc>
        <w:tc>
          <w:tcPr>
            <w:tcW w:w="5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0</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19</w:t>
            </w:r>
          </w:p>
        </w:tc>
        <w:tc>
          <w:tcPr>
            <w:tcW w:w="650" w:type="pct"/>
            <w:tcBorders>
              <w:top w:val="outset" w:sz="6" w:space="0" w:color="7B7B7B"/>
              <w:left w:val="outset" w:sz="6" w:space="0" w:color="7B7B7B"/>
              <w:bottom w:val="outset" w:sz="6" w:space="0" w:color="7B7B7B"/>
              <w:right w:val="outset" w:sz="6" w:space="0" w:color="7B7B7B"/>
            </w:tcBorders>
            <w:hideMark/>
          </w:tcPr>
          <w:p w:rsidR="00CE577D" w:rsidRPr="00BB0A8B" w:rsidRDefault="00CE577D" w:rsidP="00BB0A8B">
            <w:pPr>
              <w:jc w:val="center"/>
              <w:rPr>
                <w:rFonts w:asciiTheme="majorBidi" w:hAnsiTheme="majorBidi" w:cstheme="majorBidi"/>
                <w:sz w:val="22"/>
                <w:szCs w:val="22"/>
                <w:lang w:val="sr-Latn-ME" w:eastAsia="en-GB"/>
              </w:rPr>
            </w:pPr>
            <w:r w:rsidRPr="00BB0A8B">
              <w:rPr>
                <w:rFonts w:asciiTheme="majorBidi" w:hAnsiTheme="majorBidi" w:cstheme="majorBidi"/>
                <w:sz w:val="22"/>
                <w:szCs w:val="22"/>
                <w:lang w:val="sr-Latn-ME" w:eastAsia="en-GB"/>
              </w:rPr>
              <w:t>-2</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43-2</w:t>
            </w:r>
            <w:r w:rsidR="00C510E6" w:rsidRPr="00BB0A8B">
              <w:rPr>
                <w:rFonts w:asciiTheme="majorBidi" w:hAnsiTheme="majorBidi" w:cstheme="majorBidi"/>
                <w:sz w:val="22"/>
                <w:szCs w:val="22"/>
                <w:lang w:val="sr-Latn-ME" w:eastAsia="en-GB"/>
              </w:rPr>
              <w:t>,</w:t>
            </w:r>
            <w:r w:rsidRPr="00BB0A8B">
              <w:rPr>
                <w:rFonts w:asciiTheme="majorBidi" w:hAnsiTheme="majorBidi" w:cstheme="majorBidi"/>
                <w:sz w:val="22"/>
                <w:szCs w:val="22"/>
                <w:lang w:val="sr-Latn-ME" w:eastAsia="en-GB"/>
              </w:rPr>
              <w:t>69</w:t>
            </w: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rPr>
                <w:rFonts w:asciiTheme="majorBidi" w:hAnsiTheme="majorBidi" w:cstheme="majorBidi"/>
                <w:sz w:val="22"/>
                <w:szCs w:val="22"/>
                <w:lang w:val="sr-Latn-ME" w:eastAsia="en-GB"/>
              </w:rPr>
            </w:pP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rPr>
                <w:rFonts w:asciiTheme="majorBidi" w:hAnsiTheme="majorBidi" w:cstheme="majorBidi"/>
                <w:sz w:val="22"/>
                <w:szCs w:val="22"/>
                <w:lang w:val="sr-Latn-ME" w:eastAsia="en-GB"/>
              </w:rPr>
            </w:pPr>
          </w:p>
        </w:tc>
        <w:tc>
          <w:tcPr>
            <w:tcW w:w="0" w:type="auto"/>
            <w:vMerge/>
            <w:tcBorders>
              <w:top w:val="outset" w:sz="6" w:space="0" w:color="7B7B7B"/>
              <w:left w:val="outset" w:sz="6" w:space="0" w:color="7B7B7B"/>
              <w:bottom w:val="outset" w:sz="6" w:space="0" w:color="7B7B7B"/>
              <w:right w:val="outset" w:sz="6" w:space="0" w:color="7B7B7B"/>
            </w:tcBorders>
            <w:vAlign w:val="center"/>
            <w:hideMark/>
          </w:tcPr>
          <w:p w:rsidR="00CE577D" w:rsidRPr="00BB0A8B" w:rsidRDefault="00CE577D" w:rsidP="00BB0A8B">
            <w:pPr>
              <w:rPr>
                <w:rFonts w:asciiTheme="majorBidi" w:hAnsiTheme="majorBidi" w:cstheme="majorBidi"/>
                <w:sz w:val="22"/>
                <w:szCs w:val="22"/>
                <w:lang w:val="sr-Latn-ME" w:eastAsia="en-GB"/>
              </w:rPr>
            </w:pPr>
          </w:p>
        </w:tc>
      </w:tr>
    </w:tbl>
    <w:p w:rsidR="00026E08" w:rsidRPr="00BB0A8B" w:rsidRDefault="00CE577D" w:rsidP="00BB0A8B">
      <w:pPr>
        <w:tabs>
          <w:tab w:val="left" w:pos="540"/>
          <w:tab w:val="left" w:pos="569"/>
        </w:tabs>
        <w:jc w:val="center"/>
        <w:rPr>
          <w:rFonts w:asciiTheme="majorBidi" w:hAnsiTheme="majorBidi" w:cstheme="majorBidi"/>
          <w:b/>
          <w:bCs/>
          <w:sz w:val="22"/>
          <w:szCs w:val="22"/>
          <w:lang w:val="sr-Latn-ME"/>
        </w:rPr>
      </w:pPr>
      <w:r w:rsidRPr="00BB0A8B">
        <w:rPr>
          <w:rFonts w:asciiTheme="majorBidi" w:hAnsiTheme="majorBidi" w:cstheme="majorBidi"/>
          <w:b/>
          <w:bCs/>
          <w:noProof/>
          <w:sz w:val="22"/>
          <w:szCs w:val="22"/>
        </w:rPr>
        <w:drawing>
          <wp:inline distT="0" distB="0" distL="0" distR="0" wp14:anchorId="61E3EF6F">
            <wp:extent cx="4581939" cy="3648965"/>
            <wp:effectExtent l="0" t="0" r="952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5048" cy="3651441"/>
                    </a:xfrm>
                    <a:prstGeom prst="rect">
                      <a:avLst/>
                    </a:prstGeom>
                    <a:noFill/>
                  </pic:spPr>
                </pic:pic>
              </a:graphicData>
            </a:graphic>
          </wp:inline>
        </w:drawing>
      </w:r>
    </w:p>
    <w:p w:rsidR="00026E08" w:rsidRPr="00BB0A8B" w:rsidRDefault="00CE577D" w:rsidP="00BB0A8B">
      <w:pPr>
        <w:tabs>
          <w:tab w:val="left" w:pos="540"/>
          <w:tab w:val="left" w:pos="569"/>
        </w:tabs>
        <w:jc w:val="center"/>
        <w:rPr>
          <w:rFonts w:asciiTheme="majorBidi" w:hAnsiTheme="majorBidi" w:cstheme="majorBidi"/>
          <w:b/>
          <w:bCs/>
          <w:sz w:val="22"/>
          <w:szCs w:val="22"/>
          <w:lang w:val="sr-Latn-ME"/>
        </w:rPr>
      </w:pPr>
      <w:r w:rsidRPr="00BB0A8B">
        <w:rPr>
          <w:rFonts w:asciiTheme="majorBidi" w:hAnsiTheme="majorBidi" w:cstheme="majorBidi"/>
          <w:b/>
          <w:bCs/>
          <w:noProof/>
          <w:sz w:val="22"/>
          <w:szCs w:val="22"/>
        </w:rPr>
        <w:lastRenderedPageBreak/>
        <w:drawing>
          <wp:inline distT="0" distB="0" distL="0" distR="0" wp14:anchorId="51C06A2D">
            <wp:extent cx="4512365" cy="353951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6130" cy="3542463"/>
                    </a:xfrm>
                    <a:prstGeom prst="rect">
                      <a:avLst/>
                    </a:prstGeom>
                    <a:noFill/>
                  </pic:spPr>
                </pic:pic>
              </a:graphicData>
            </a:graphic>
          </wp:inline>
        </w:drawing>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i/>
          <w:iCs/>
          <w:sz w:val="22"/>
          <w:szCs w:val="22"/>
          <w:lang w:val="sr-Latn-ME"/>
        </w:rPr>
        <w:t xml:space="preserve">Post-hoc </w:t>
      </w:r>
      <w:r w:rsidRPr="00BB0A8B">
        <w:rPr>
          <w:rFonts w:asciiTheme="majorBidi" w:hAnsiTheme="majorBidi" w:cstheme="majorBidi"/>
          <w:bCs/>
          <w:sz w:val="22"/>
          <w:szCs w:val="22"/>
          <w:lang w:val="sr-Latn-ME"/>
        </w:rPr>
        <w:t xml:space="preserve">analiza je pokazala da su pacijenti sa povoljnim kliničkim statusom na početku ispitivanja </w:t>
      </w:r>
      <w:r w:rsidR="000E3E3D" w:rsidRPr="00BB0A8B">
        <w:rPr>
          <w:rFonts w:asciiTheme="majorBidi" w:hAnsiTheme="majorBidi" w:cstheme="majorBidi"/>
          <w:bCs/>
          <w:sz w:val="22"/>
          <w:szCs w:val="22"/>
          <w:lang w:val="sr-Latn-ME"/>
        </w:rPr>
        <w:t xml:space="preserve">(nizak </w:t>
      </w:r>
      <w:r w:rsidRPr="00BB0A8B">
        <w:rPr>
          <w:rFonts w:asciiTheme="majorBidi" w:hAnsiTheme="majorBidi" w:cstheme="majorBidi"/>
          <w:bCs/>
          <w:sz w:val="22"/>
          <w:szCs w:val="22"/>
          <w:lang w:val="sr-Latn-ME"/>
        </w:rPr>
        <w:t>intenzitet bola, dobar kvalitet života i dobar PS) imali više koristi od erlotiniba. Ova korist uglavnom proizilazi iz prisustva bola niskog intenziteta.</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i/>
          <w:iCs/>
          <w:sz w:val="22"/>
          <w:szCs w:val="22"/>
          <w:lang w:val="sr-Latn-ME"/>
        </w:rPr>
        <w:t xml:space="preserve">Post-hoc </w:t>
      </w:r>
      <w:r w:rsidRPr="00BB0A8B">
        <w:rPr>
          <w:rFonts w:asciiTheme="majorBidi" w:hAnsiTheme="majorBidi" w:cstheme="majorBidi"/>
          <w:bCs/>
          <w:sz w:val="22"/>
          <w:szCs w:val="22"/>
          <w:lang w:val="sr-Latn-ME"/>
        </w:rPr>
        <w:t xml:space="preserve">analiza je takođe pokazala da su pacijenti koji su primali erlotinib i kod kojih se pojavio osip, imali duže ukupno preživljavanje u poređenju sa pacijentima kod kojih se nije razvio osip </w:t>
      </w:r>
      <w:r w:rsidRPr="00BB0A8B">
        <w:rPr>
          <w:rFonts w:asciiTheme="majorBidi" w:hAnsiTheme="majorBidi" w:cstheme="majorBidi"/>
          <w:b/>
          <w:bCs/>
          <w:sz w:val="22"/>
          <w:szCs w:val="22"/>
          <w:lang w:val="sr-Latn-ME"/>
        </w:rPr>
        <w:t>(</w:t>
      </w:r>
      <w:r w:rsidRPr="00BB0A8B">
        <w:rPr>
          <w:rFonts w:asciiTheme="majorBidi" w:hAnsiTheme="majorBidi" w:cstheme="majorBidi"/>
          <w:bCs/>
          <w:sz w:val="22"/>
          <w:szCs w:val="22"/>
          <w:lang w:val="sr-Latn-ME"/>
        </w:rPr>
        <w:t>medijana ukupnog preživljavanja 7,2 mjeseca u poređenju sa 5 mjeseci, HR: 0,61). Kod 90% pacijenata koji su primali erlotinib razvilo se osip u prva 44 dana. Medijana vremena do pojave osipa iznosila je 10 dana.</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Pedijatrijska populacija</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Evropska agencija za ljekove je izuzela od obaveze podnošenje rezultata ispitivanja erlotiniba u svim podgrupama pedijatrijske populacije u indikacijama nemikrocelularni karcinom pluća i karcinom pankreasa (vidjeti </w:t>
      </w:r>
      <w:r w:rsidR="000E3E3D" w:rsidRPr="00BB0A8B">
        <w:rPr>
          <w:rFonts w:asciiTheme="majorBidi" w:hAnsiTheme="majorBidi" w:cstheme="majorBidi"/>
          <w:bCs/>
          <w:sz w:val="22"/>
          <w:szCs w:val="22"/>
          <w:lang w:val="sr-Latn-ME"/>
        </w:rPr>
        <w:t xml:space="preserve">dio </w:t>
      </w:r>
      <w:r w:rsidRPr="00BB0A8B">
        <w:rPr>
          <w:rFonts w:asciiTheme="majorBidi" w:hAnsiTheme="majorBidi" w:cstheme="majorBidi"/>
          <w:bCs/>
          <w:sz w:val="22"/>
          <w:szCs w:val="22"/>
          <w:lang w:val="sr-Latn-ME"/>
        </w:rPr>
        <w:t>4.2. za informacije o upotrebi u pedijatrijskoj populaciji).</w:t>
      </w:r>
    </w:p>
    <w:p w:rsidR="00CE577D" w:rsidRPr="00BB0A8B" w:rsidRDefault="00CE577D" w:rsidP="00BB0A8B">
      <w:pPr>
        <w:tabs>
          <w:tab w:val="left" w:pos="540"/>
          <w:tab w:val="left" w:pos="569"/>
        </w:tabs>
        <w:jc w:val="both"/>
        <w:rPr>
          <w:rFonts w:asciiTheme="majorBidi" w:hAnsiTheme="majorBidi" w:cstheme="majorBidi"/>
          <w:bCs/>
          <w:sz w:val="22"/>
          <w:szCs w:val="22"/>
          <w:lang w:val="sr-Latn-ME"/>
        </w:rPr>
      </w:pPr>
    </w:p>
    <w:p w:rsidR="0072020E" w:rsidRPr="00BB0A8B" w:rsidRDefault="0072020E"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5.2.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Farmakokinetički podaci</w:t>
      </w:r>
      <w:r w:rsidR="003A7059" w:rsidRPr="00BB0A8B">
        <w:rPr>
          <w:rFonts w:asciiTheme="majorBidi" w:hAnsiTheme="majorBidi" w:cstheme="majorBidi"/>
          <w:b/>
          <w:bCs/>
          <w:sz w:val="22"/>
          <w:szCs w:val="22"/>
          <w:lang w:val="sr-Latn-ME"/>
        </w:rPr>
        <w:t xml:space="preserve"> </w:t>
      </w:r>
    </w:p>
    <w:p w:rsidR="00DD175A" w:rsidRPr="00BB0A8B" w:rsidRDefault="00DD175A" w:rsidP="00BB0A8B">
      <w:pPr>
        <w:tabs>
          <w:tab w:val="left" w:pos="540"/>
          <w:tab w:val="left" w:pos="569"/>
        </w:tabs>
        <w:rPr>
          <w:rFonts w:asciiTheme="majorBidi" w:hAnsiTheme="majorBidi" w:cstheme="majorBidi"/>
          <w:b/>
          <w:bCs/>
          <w:sz w:val="22"/>
          <w:szCs w:val="22"/>
          <w:lang w:val="sr-Latn-ME"/>
        </w:rPr>
      </w:pPr>
    </w:p>
    <w:p w:rsidR="000A57A9" w:rsidRPr="00BB0A8B" w:rsidRDefault="000A57A9"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Resorpcija</w:t>
      </w:r>
    </w:p>
    <w:p w:rsidR="000A57A9" w:rsidRPr="00BB0A8B" w:rsidRDefault="000A57A9" w:rsidP="00BB0A8B">
      <w:pPr>
        <w:tabs>
          <w:tab w:val="left" w:pos="540"/>
          <w:tab w:val="left" w:pos="569"/>
        </w:tabs>
        <w:jc w:val="both"/>
        <w:rPr>
          <w:rFonts w:asciiTheme="majorBidi" w:hAnsiTheme="majorBidi" w:cstheme="majorBidi"/>
          <w:bCs/>
          <w:sz w:val="22"/>
          <w:szCs w:val="22"/>
          <w:lang w:val="sr-Latn-ME"/>
        </w:rPr>
      </w:pPr>
    </w:p>
    <w:p w:rsidR="000A57A9" w:rsidRPr="00BB0A8B" w:rsidRDefault="000A57A9"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Nakon oralne primjene, erlotinib postiže maksimalne koncentracije u plazmi otprilike 4 </w:t>
      </w:r>
      <w:r w:rsidR="000E3E3D" w:rsidRPr="00BB0A8B">
        <w:rPr>
          <w:rFonts w:asciiTheme="majorBidi" w:hAnsiTheme="majorBidi" w:cstheme="majorBidi"/>
          <w:bCs/>
          <w:sz w:val="22"/>
          <w:szCs w:val="22"/>
          <w:lang w:val="sr-Latn-ME"/>
        </w:rPr>
        <w:t xml:space="preserve">sata </w:t>
      </w:r>
      <w:r w:rsidRPr="00BB0A8B">
        <w:rPr>
          <w:rFonts w:asciiTheme="majorBidi" w:hAnsiTheme="majorBidi" w:cstheme="majorBidi"/>
          <w:bCs/>
          <w:sz w:val="22"/>
          <w:szCs w:val="22"/>
          <w:lang w:val="sr-Latn-ME"/>
        </w:rPr>
        <w:t xml:space="preserve">nakon oralnog uzimanja lijeka. U studiji na zdravim dobrovoljcima, apsolutna bioraspoloživost procijenjena je na 59%. Izloženost lijeku poslije oralne primjene se može povećati ako se lijek uzima sa hranom. </w:t>
      </w:r>
    </w:p>
    <w:p w:rsidR="000A57A9" w:rsidRPr="00BB0A8B" w:rsidRDefault="000A57A9" w:rsidP="00BB0A8B">
      <w:pPr>
        <w:tabs>
          <w:tab w:val="left" w:pos="540"/>
          <w:tab w:val="left" w:pos="569"/>
        </w:tabs>
        <w:jc w:val="both"/>
        <w:rPr>
          <w:rFonts w:asciiTheme="majorBidi" w:hAnsiTheme="majorBidi" w:cstheme="majorBidi"/>
          <w:bCs/>
          <w:sz w:val="22"/>
          <w:szCs w:val="22"/>
          <w:lang w:val="sr-Latn-ME"/>
        </w:rPr>
      </w:pPr>
    </w:p>
    <w:p w:rsidR="000A57A9" w:rsidRPr="00BB0A8B" w:rsidRDefault="000A57A9"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Distribucija</w:t>
      </w:r>
    </w:p>
    <w:p w:rsidR="000A57A9" w:rsidRPr="00BB0A8B" w:rsidRDefault="000A57A9" w:rsidP="00BB0A8B">
      <w:pPr>
        <w:tabs>
          <w:tab w:val="left" w:pos="540"/>
          <w:tab w:val="left" w:pos="569"/>
        </w:tabs>
        <w:jc w:val="both"/>
        <w:rPr>
          <w:rFonts w:asciiTheme="majorBidi" w:hAnsiTheme="majorBidi" w:cstheme="majorBidi"/>
          <w:bCs/>
          <w:sz w:val="22"/>
          <w:szCs w:val="22"/>
          <w:lang w:val="sr-Latn-ME"/>
        </w:rPr>
      </w:pPr>
    </w:p>
    <w:p w:rsidR="000A57A9" w:rsidRPr="00BB0A8B" w:rsidRDefault="000A57A9"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Erlotinib ima prosječan prividni volumen distribucije od 232 </w:t>
      </w:r>
      <w:r w:rsidR="000E3E3D" w:rsidRPr="00BB0A8B">
        <w:rPr>
          <w:rFonts w:asciiTheme="majorBidi" w:hAnsiTheme="majorBidi" w:cstheme="majorBidi"/>
          <w:bCs/>
          <w:sz w:val="22"/>
          <w:szCs w:val="22"/>
          <w:lang w:val="sr-Latn-ME"/>
        </w:rPr>
        <w:t xml:space="preserve">l </w:t>
      </w:r>
      <w:r w:rsidRPr="00BB0A8B">
        <w:rPr>
          <w:rFonts w:asciiTheme="majorBidi" w:hAnsiTheme="majorBidi" w:cstheme="majorBidi"/>
          <w:bCs/>
          <w:sz w:val="22"/>
          <w:szCs w:val="22"/>
          <w:lang w:val="sr-Latn-ME"/>
        </w:rPr>
        <w:t xml:space="preserve">i distribuira se i u tumorsko tkivo kod ljudi. U jednoj studiji na 4 pacijenta (3 sa nemikrocelularnim karcinomom pluća /NSCLC/ i 1 sa karcinomom larinksa) koji su primali dnevne oralne doze od 150 mg erlotiniba, uzorci tumora uzeti hirurškom ekscizijom 9. dana terapije pokazali su da je u prosjeku koncentracija erlotiniba u tumorskom tkivu iznosila 1185 nanograma/g tkiva. Ovo odgovara ukupnom prosjeku od 63% (raspon 5-161%) maksimalnih koncentracija u plazmi u stanju ravnoteže. Primarni aktivni metaboliti bili su prisutni u tumoru u koncentracijama koje su u prosjeku iznosile 160 nanograma/g tkiva, što odgovara ukupnom prosjeku od 113% (raspon 88-130%) maksimalnih izmjerenih koncentracija u plazmi u stanju ravnoteže. Vezivanje za proteine plazme iznosi približno 95%. Erlotinib se vezuje za serumski albumin i alfa-1 kiseli glikoprotein (AAG). </w:t>
      </w:r>
    </w:p>
    <w:p w:rsidR="000A57A9" w:rsidRPr="00BB0A8B" w:rsidRDefault="000A57A9"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lastRenderedPageBreak/>
        <w:t>Metabolizam</w:t>
      </w:r>
    </w:p>
    <w:p w:rsidR="000A57A9" w:rsidRPr="00BB0A8B" w:rsidRDefault="000A57A9" w:rsidP="00BB0A8B">
      <w:pPr>
        <w:tabs>
          <w:tab w:val="left" w:pos="540"/>
          <w:tab w:val="left" w:pos="569"/>
        </w:tabs>
        <w:jc w:val="both"/>
        <w:rPr>
          <w:rFonts w:asciiTheme="majorBidi" w:hAnsiTheme="majorBidi" w:cstheme="majorBidi"/>
          <w:bCs/>
          <w:sz w:val="22"/>
          <w:szCs w:val="22"/>
          <w:lang w:val="sr-Latn-ME"/>
        </w:rPr>
      </w:pPr>
    </w:p>
    <w:p w:rsidR="000A57A9" w:rsidRPr="00BB0A8B" w:rsidRDefault="000A57A9"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Kod ljudi</w:t>
      </w:r>
      <w:r w:rsidR="000E3E3D" w:rsidRPr="00BB0A8B">
        <w:rPr>
          <w:rFonts w:asciiTheme="majorBidi" w:hAnsiTheme="majorBidi" w:cstheme="majorBidi"/>
          <w:bCs/>
          <w:sz w:val="22"/>
          <w:szCs w:val="22"/>
          <w:lang w:val="sr-Latn-ME"/>
        </w:rPr>
        <w:t>,</w:t>
      </w:r>
      <w:r w:rsidRPr="00BB0A8B">
        <w:rPr>
          <w:rFonts w:asciiTheme="majorBidi" w:hAnsiTheme="majorBidi" w:cstheme="majorBidi"/>
          <w:bCs/>
          <w:sz w:val="22"/>
          <w:szCs w:val="22"/>
          <w:lang w:val="sr-Latn-ME"/>
        </w:rPr>
        <w:t xml:space="preserve"> erlotinib se metaboliše u jetri posredstvom enzima citohroma, i to prvenstveno CYP3A4 i u manjoj mjeri CYP1A2. Ekstrahepatički metabolizam putem CYP3A4 u crijevima, CYP1A1 u plućima, i 1B1 u tumorskom tkivu potencijalno doprinosi metaboličkom klirensu erlotiniba. Identifikovana su tri glavna metabolička puta: 1) O-demetilacija bilo jednog ili oba bočna lanca</w:t>
      </w:r>
      <w:r w:rsidR="00893D86" w:rsidRPr="00BB0A8B">
        <w:rPr>
          <w:rFonts w:asciiTheme="majorBidi" w:hAnsiTheme="majorBidi" w:cstheme="majorBidi"/>
          <w:bCs/>
          <w:sz w:val="22"/>
          <w:szCs w:val="22"/>
          <w:lang w:val="sr-Latn-ME"/>
        </w:rPr>
        <w:t>,</w:t>
      </w:r>
      <w:r w:rsidRPr="00BB0A8B">
        <w:rPr>
          <w:rFonts w:asciiTheme="majorBidi" w:hAnsiTheme="majorBidi" w:cstheme="majorBidi"/>
          <w:bCs/>
          <w:sz w:val="22"/>
          <w:szCs w:val="22"/>
          <w:lang w:val="sr-Latn-ME"/>
        </w:rPr>
        <w:t xml:space="preserve"> poslije čega slijedi oksidacija do karboksilne kiseline; 2) oksidacija acetilenskog dijela</w:t>
      </w:r>
      <w:r w:rsidR="00893D86" w:rsidRPr="00BB0A8B">
        <w:rPr>
          <w:rFonts w:asciiTheme="majorBidi" w:hAnsiTheme="majorBidi" w:cstheme="majorBidi"/>
          <w:bCs/>
          <w:sz w:val="22"/>
          <w:szCs w:val="22"/>
          <w:lang w:val="sr-Latn-ME"/>
        </w:rPr>
        <w:t>,</w:t>
      </w:r>
      <w:r w:rsidRPr="00BB0A8B">
        <w:rPr>
          <w:rFonts w:asciiTheme="majorBidi" w:hAnsiTheme="majorBidi" w:cstheme="majorBidi"/>
          <w:bCs/>
          <w:sz w:val="22"/>
          <w:szCs w:val="22"/>
          <w:lang w:val="sr-Latn-ME"/>
        </w:rPr>
        <w:t xml:space="preserve"> poslije čega slijedi hidroliza do aril karboksilne kiseline; i 3) aromatična hidroksilacija fenil-acetilenskog dijela. Primarni metaboliti OSI-420 i OSI-413 erlotiniba dobijeni su putem O-demetilacije bilo kojeg bočnog lanca i imaju aktivnost uporedivu sa erlotinibom u pretkliničkim </w:t>
      </w:r>
      <w:r w:rsidRPr="00BB0A8B">
        <w:rPr>
          <w:rFonts w:asciiTheme="majorBidi" w:hAnsiTheme="majorBidi" w:cstheme="majorBidi"/>
          <w:bCs/>
          <w:i/>
          <w:sz w:val="22"/>
          <w:szCs w:val="22"/>
          <w:lang w:val="sr-Latn-ME"/>
        </w:rPr>
        <w:t>in vitro</w:t>
      </w:r>
      <w:r w:rsidRPr="00BB0A8B">
        <w:rPr>
          <w:rFonts w:asciiTheme="majorBidi" w:hAnsiTheme="majorBidi" w:cstheme="majorBidi"/>
          <w:bCs/>
          <w:sz w:val="22"/>
          <w:szCs w:val="22"/>
          <w:lang w:val="sr-Latn-ME"/>
        </w:rPr>
        <w:t xml:space="preserve"> analizama i </w:t>
      </w:r>
      <w:r w:rsidRPr="00BB0A8B">
        <w:rPr>
          <w:rFonts w:asciiTheme="majorBidi" w:hAnsiTheme="majorBidi" w:cstheme="majorBidi"/>
          <w:bCs/>
          <w:i/>
          <w:sz w:val="22"/>
          <w:szCs w:val="22"/>
          <w:lang w:val="sr-Latn-ME"/>
        </w:rPr>
        <w:t>in vivo</w:t>
      </w:r>
      <w:r w:rsidRPr="00BB0A8B">
        <w:rPr>
          <w:rFonts w:asciiTheme="majorBidi" w:hAnsiTheme="majorBidi" w:cstheme="majorBidi"/>
          <w:bCs/>
          <w:sz w:val="22"/>
          <w:szCs w:val="22"/>
          <w:lang w:val="sr-Latn-ME"/>
        </w:rPr>
        <w:t xml:space="preserve"> tumorskim modelima. Oni su u plazmi prisutni u nivoima koji su &lt;10% erlotiniba i imaju sličnu farmakokinetiku kao i erlotinib.</w:t>
      </w:r>
    </w:p>
    <w:p w:rsidR="000A57A9" w:rsidRPr="00BB0A8B" w:rsidRDefault="000A57A9" w:rsidP="00BB0A8B">
      <w:pPr>
        <w:tabs>
          <w:tab w:val="left" w:pos="540"/>
          <w:tab w:val="left" w:pos="569"/>
        </w:tabs>
        <w:rPr>
          <w:rFonts w:asciiTheme="majorBidi" w:hAnsiTheme="majorBidi" w:cstheme="majorBidi"/>
          <w:bCs/>
          <w:sz w:val="22"/>
          <w:szCs w:val="22"/>
          <w:lang w:val="sr-Latn-ME"/>
        </w:rPr>
      </w:pPr>
    </w:p>
    <w:p w:rsidR="000A57A9" w:rsidRPr="00BB0A8B" w:rsidRDefault="000A57A9"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Eliminacija</w:t>
      </w:r>
    </w:p>
    <w:p w:rsidR="000A57A9" w:rsidRPr="00BB0A8B" w:rsidRDefault="000A57A9" w:rsidP="00BB0A8B">
      <w:pPr>
        <w:tabs>
          <w:tab w:val="left" w:pos="540"/>
          <w:tab w:val="left" w:pos="569"/>
        </w:tabs>
        <w:jc w:val="both"/>
        <w:rPr>
          <w:rFonts w:asciiTheme="majorBidi" w:hAnsiTheme="majorBidi" w:cstheme="majorBidi"/>
          <w:bCs/>
          <w:sz w:val="22"/>
          <w:szCs w:val="22"/>
          <w:u w:val="single"/>
          <w:lang w:val="sr-Latn-ME"/>
        </w:rPr>
      </w:pPr>
    </w:p>
    <w:p w:rsidR="000A57A9" w:rsidRPr="00BB0A8B" w:rsidRDefault="000A57A9"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Erlotinib se najvećim dijelom eliminiše u vidu metabolita putem fecesa (&gt;90%), dok renalna eliminacija čini samo mali dio (približno 9%) oralno primijenjene doze. Manje od 2% oralno primijenjene doze eliminiše se u nepromijenjenom obliku. Populaciona farmakokinetička analiza sprovedena na 591 pacijentu koji je primao samo erlotinib pokazuje srednji prividni klirens od 4,47 </w:t>
      </w:r>
      <w:r w:rsidR="00893D86" w:rsidRPr="00BB0A8B">
        <w:rPr>
          <w:rFonts w:asciiTheme="majorBidi" w:hAnsiTheme="majorBidi" w:cstheme="majorBidi"/>
          <w:bCs/>
          <w:sz w:val="22"/>
          <w:szCs w:val="22"/>
          <w:lang w:val="sr-Latn-ME"/>
        </w:rPr>
        <w:t>l</w:t>
      </w:r>
      <w:r w:rsidRPr="00BB0A8B">
        <w:rPr>
          <w:rFonts w:asciiTheme="majorBidi" w:hAnsiTheme="majorBidi" w:cstheme="majorBidi"/>
          <w:bCs/>
          <w:sz w:val="22"/>
          <w:szCs w:val="22"/>
          <w:lang w:val="sr-Latn-ME"/>
        </w:rPr>
        <w:t>/sat i medijanu poluvremena eliminacije od 36,2 sata. Prema tome, očekivano vrijeme do postizanja ravnotežnih koncentracija u plazmi iznosi približno 7-8 dana.</w:t>
      </w: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p>
    <w:p w:rsidR="00DD175A" w:rsidRPr="00BB0A8B" w:rsidRDefault="00DD175A"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Farmakokinetika u posebnim grupama pacijenata</w:t>
      </w: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Populaciona farmakokinetička analiza je pokazala da nije utvrđen klinički značajan odnos između</w:t>
      </w:r>
      <w:r w:rsidR="00893D86" w:rsidRPr="00BB0A8B">
        <w:rPr>
          <w:rFonts w:asciiTheme="majorBidi" w:hAnsiTheme="majorBidi" w:cstheme="majorBidi"/>
          <w:bCs/>
          <w:sz w:val="22"/>
          <w:szCs w:val="22"/>
          <w:lang w:val="sr-Latn-ME"/>
        </w:rPr>
        <w:t xml:space="preserve"> </w:t>
      </w:r>
      <w:r w:rsidRPr="00BB0A8B">
        <w:rPr>
          <w:rFonts w:asciiTheme="majorBidi" w:hAnsiTheme="majorBidi" w:cstheme="majorBidi"/>
          <w:bCs/>
          <w:sz w:val="22"/>
          <w:szCs w:val="22"/>
          <w:lang w:val="sr-Latn-ME"/>
        </w:rPr>
        <w:t>predviđenog prividnog klirensa i starosti pacijenta, tjelesne mase, pola i etničke pripadnosti. Faktori vezani za pacijenta, koji su u korelaciji sa farmakokinetikom erlotiniba su: ukupni bilirubin u serumu, AAG (alfa kiseli glikoprotein) i pušenje. Povećane konce</w:t>
      </w:r>
      <w:r w:rsidR="003559C6" w:rsidRPr="00BB0A8B">
        <w:rPr>
          <w:rFonts w:asciiTheme="majorBidi" w:hAnsiTheme="majorBidi" w:cstheme="majorBidi"/>
          <w:bCs/>
          <w:sz w:val="22"/>
          <w:szCs w:val="22"/>
          <w:lang w:val="sr-Latn-ME"/>
        </w:rPr>
        <w:t>n</w:t>
      </w:r>
      <w:r w:rsidRPr="00BB0A8B">
        <w:rPr>
          <w:rFonts w:asciiTheme="majorBidi" w:hAnsiTheme="majorBidi" w:cstheme="majorBidi"/>
          <w:bCs/>
          <w:sz w:val="22"/>
          <w:szCs w:val="22"/>
          <w:lang w:val="sr-Latn-ME"/>
        </w:rPr>
        <w:t xml:space="preserve">tracije ukupnog bilirubina i AAG u serumu povezane su sa smanjenim klirensom erlotiniba. Klinički značaj ovih razlika nije razjašnjen. Međutim, pušači imaju ubrzani klirens erlotiniba. Ovo je potvrđeno u farmakokinetičkoj studiji, na zdravim ispitanicima, nepušačima i pušačima cigareta koji su dobili jednokratnu dozu od 150 mg erlotiniba. </w:t>
      </w: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Geometrijska sredina C</w:t>
      </w:r>
      <w:r w:rsidRPr="00BB0A8B">
        <w:rPr>
          <w:rFonts w:asciiTheme="majorBidi" w:hAnsiTheme="majorBidi" w:cstheme="majorBidi"/>
          <w:bCs/>
          <w:sz w:val="22"/>
          <w:szCs w:val="22"/>
          <w:vertAlign w:val="subscript"/>
          <w:lang w:val="sr-Latn-ME"/>
        </w:rPr>
        <w:t>max</w:t>
      </w:r>
      <w:r w:rsidRPr="00BB0A8B">
        <w:rPr>
          <w:rFonts w:asciiTheme="majorBidi" w:hAnsiTheme="majorBidi" w:cstheme="majorBidi"/>
          <w:bCs/>
          <w:sz w:val="22"/>
          <w:szCs w:val="22"/>
          <w:lang w:val="sr-Latn-ME"/>
        </w:rPr>
        <w:t xml:space="preserve"> je bila 1056 nanograma/</w:t>
      </w:r>
      <w:r w:rsidR="003559C6" w:rsidRPr="00BB0A8B">
        <w:rPr>
          <w:rFonts w:asciiTheme="majorBidi" w:hAnsiTheme="majorBidi" w:cstheme="majorBidi"/>
          <w:bCs/>
          <w:sz w:val="22"/>
          <w:szCs w:val="22"/>
          <w:lang w:val="sr-Latn-ME"/>
        </w:rPr>
        <w:t xml:space="preserve">ml </w:t>
      </w:r>
      <w:r w:rsidRPr="00BB0A8B">
        <w:rPr>
          <w:rFonts w:asciiTheme="majorBidi" w:hAnsiTheme="majorBidi" w:cstheme="majorBidi"/>
          <w:bCs/>
          <w:sz w:val="22"/>
          <w:szCs w:val="22"/>
          <w:lang w:val="sr-Latn-ME"/>
        </w:rPr>
        <w:t>u grupi nepušača i 689 nanograma/</w:t>
      </w:r>
      <w:r w:rsidR="003559C6" w:rsidRPr="00BB0A8B">
        <w:rPr>
          <w:rFonts w:asciiTheme="majorBidi" w:hAnsiTheme="majorBidi" w:cstheme="majorBidi"/>
          <w:bCs/>
          <w:sz w:val="22"/>
          <w:szCs w:val="22"/>
          <w:lang w:val="sr-Latn-ME"/>
        </w:rPr>
        <w:t xml:space="preserve">ml </w:t>
      </w:r>
      <w:r w:rsidRPr="00BB0A8B">
        <w:rPr>
          <w:rFonts w:asciiTheme="majorBidi" w:hAnsiTheme="majorBidi" w:cstheme="majorBidi"/>
          <w:bCs/>
          <w:sz w:val="22"/>
          <w:szCs w:val="22"/>
          <w:lang w:val="sr-Latn-ME"/>
        </w:rPr>
        <w:t>u grupi pušača sa prosječnim odnosom pušači -</w:t>
      </w:r>
      <w:r w:rsidR="003559C6" w:rsidRPr="00BB0A8B">
        <w:rPr>
          <w:rFonts w:asciiTheme="majorBidi" w:hAnsiTheme="majorBidi" w:cstheme="majorBidi"/>
          <w:bCs/>
          <w:sz w:val="22"/>
          <w:szCs w:val="22"/>
          <w:lang w:val="sr-Latn-ME"/>
        </w:rPr>
        <w:t xml:space="preserve"> </w:t>
      </w:r>
      <w:r w:rsidRPr="00BB0A8B">
        <w:rPr>
          <w:rFonts w:asciiTheme="majorBidi" w:hAnsiTheme="majorBidi" w:cstheme="majorBidi"/>
          <w:bCs/>
          <w:sz w:val="22"/>
          <w:szCs w:val="22"/>
          <w:lang w:val="sr-Latn-ME"/>
        </w:rPr>
        <w:t>nepušači 65,2% (95% CI: 44,3 do 95,9, p=0,031). Geometrijska sredina PIK</w:t>
      </w:r>
      <w:r w:rsidRPr="00BB0A8B">
        <w:rPr>
          <w:rFonts w:asciiTheme="majorBidi" w:hAnsiTheme="majorBidi" w:cstheme="majorBidi"/>
          <w:bCs/>
          <w:sz w:val="22"/>
          <w:szCs w:val="22"/>
          <w:vertAlign w:val="subscript"/>
          <w:lang w:val="sr-Latn-ME"/>
        </w:rPr>
        <w:t xml:space="preserve">0-inf </w:t>
      </w:r>
      <w:r w:rsidRPr="00BB0A8B">
        <w:rPr>
          <w:rFonts w:asciiTheme="majorBidi" w:hAnsiTheme="majorBidi" w:cstheme="majorBidi"/>
          <w:bCs/>
          <w:sz w:val="22"/>
          <w:szCs w:val="22"/>
          <w:lang w:val="sr-Latn-ME"/>
        </w:rPr>
        <w:t>je bila 18726 nanograma·h/</w:t>
      </w:r>
      <w:r w:rsidR="003559C6" w:rsidRPr="00BB0A8B">
        <w:rPr>
          <w:rFonts w:asciiTheme="majorBidi" w:hAnsiTheme="majorBidi" w:cstheme="majorBidi"/>
          <w:bCs/>
          <w:sz w:val="22"/>
          <w:szCs w:val="22"/>
          <w:lang w:val="sr-Latn-ME"/>
        </w:rPr>
        <w:t xml:space="preserve">ml </w:t>
      </w:r>
      <w:r w:rsidRPr="00BB0A8B">
        <w:rPr>
          <w:rFonts w:asciiTheme="majorBidi" w:hAnsiTheme="majorBidi" w:cstheme="majorBidi"/>
          <w:bCs/>
          <w:sz w:val="22"/>
          <w:szCs w:val="22"/>
          <w:lang w:val="sr-Latn-ME"/>
        </w:rPr>
        <w:t>u grupi nepušača i 6718 nanograma·h/</w:t>
      </w:r>
      <w:r w:rsidR="003559C6" w:rsidRPr="00BB0A8B">
        <w:rPr>
          <w:rFonts w:asciiTheme="majorBidi" w:hAnsiTheme="majorBidi" w:cstheme="majorBidi"/>
          <w:bCs/>
          <w:sz w:val="22"/>
          <w:szCs w:val="22"/>
          <w:lang w:val="sr-Latn-ME"/>
        </w:rPr>
        <w:t xml:space="preserve">ml </w:t>
      </w:r>
      <w:r w:rsidRPr="00BB0A8B">
        <w:rPr>
          <w:rFonts w:asciiTheme="majorBidi" w:hAnsiTheme="majorBidi" w:cstheme="majorBidi"/>
          <w:bCs/>
          <w:sz w:val="22"/>
          <w:szCs w:val="22"/>
          <w:lang w:val="sr-Latn-ME"/>
        </w:rPr>
        <w:t xml:space="preserve">u grupi pušača sa prosječnim odnosom od 35,9% (95% CI: 23,7 do 54,3, p&lt;0,0001). Geometrijska sredina </w:t>
      </w:r>
      <w:r w:rsidR="003559C6" w:rsidRPr="00BB0A8B">
        <w:rPr>
          <w:rFonts w:asciiTheme="majorBidi" w:hAnsiTheme="majorBidi" w:cstheme="majorBidi"/>
          <w:bCs/>
          <w:sz w:val="22"/>
          <w:szCs w:val="22"/>
          <w:lang w:val="sr-Latn-ME"/>
        </w:rPr>
        <w:t>C</w:t>
      </w:r>
      <w:r w:rsidR="003559C6" w:rsidRPr="00BB0A8B">
        <w:rPr>
          <w:rFonts w:asciiTheme="majorBidi" w:hAnsiTheme="majorBidi" w:cstheme="majorBidi"/>
          <w:bCs/>
          <w:sz w:val="22"/>
          <w:szCs w:val="22"/>
          <w:vertAlign w:val="subscript"/>
          <w:lang w:val="sr-Latn-ME"/>
        </w:rPr>
        <w:t>24h</w:t>
      </w:r>
      <w:r w:rsidR="003559C6" w:rsidRPr="00BB0A8B">
        <w:rPr>
          <w:rFonts w:asciiTheme="majorBidi" w:hAnsiTheme="majorBidi" w:cstheme="majorBidi"/>
          <w:bCs/>
          <w:sz w:val="22"/>
          <w:szCs w:val="22"/>
          <w:lang w:val="sr-Latn-ME"/>
        </w:rPr>
        <w:t xml:space="preserve"> </w:t>
      </w:r>
      <w:r w:rsidRPr="00BB0A8B">
        <w:rPr>
          <w:rFonts w:asciiTheme="majorBidi" w:hAnsiTheme="majorBidi" w:cstheme="majorBidi"/>
          <w:bCs/>
          <w:sz w:val="22"/>
          <w:szCs w:val="22"/>
          <w:lang w:val="sr-Latn-ME"/>
        </w:rPr>
        <w:t>je bila 288 nanograma/</w:t>
      </w:r>
      <w:r w:rsidR="003559C6" w:rsidRPr="00BB0A8B">
        <w:rPr>
          <w:rFonts w:asciiTheme="majorBidi" w:hAnsiTheme="majorBidi" w:cstheme="majorBidi"/>
          <w:bCs/>
          <w:sz w:val="22"/>
          <w:szCs w:val="22"/>
          <w:lang w:val="sr-Latn-ME"/>
        </w:rPr>
        <w:t xml:space="preserve">ml </w:t>
      </w:r>
      <w:r w:rsidRPr="00BB0A8B">
        <w:rPr>
          <w:rFonts w:asciiTheme="majorBidi" w:hAnsiTheme="majorBidi" w:cstheme="majorBidi"/>
          <w:bCs/>
          <w:sz w:val="22"/>
          <w:szCs w:val="22"/>
          <w:lang w:val="sr-Latn-ME"/>
        </w:rPr>
        <w:t>u grupi nepušača i 34,8 nanograma/</w:t>
      </w:r>
      <w:r w:rsidR="003559C6" w:rsidRPr="00BB0A8B">
        <w:rPr>
          <w:rFonts w:asciiTheme="majorBidi" w:hAnsiTheme="majorBidi" w:cstheme="majorBidi"/>
          <w:bCs/>
          <w:sz w:val="22"/>
          <w:szCs w:val="22"/>
          <w:lang w:val="sr-Latn-ME"/>
        </w:rPr>
        <w:t xml:space="preserve">ml </w:t>
      </w:r>
      <w:r w:rsidRPr="00BB0A8B">
        <w:rPr>
          <w:rFonts w:asciiTheme="majorBidi" w:hAnsiTheme="majorBidi" w:cstheme="majorBidi"/>
          <w:bCs/>
          <w:sz w:val="22"/>
          <w:szCs w:val="22"/>
          <w:lang w:val="sr-Latn-ME"/>
        </w:rPr>
        <w:t xml:space="preserve">kod pušača sa odnosom 12,1% (95% CI: 4,82 do 30,2, p= 0,0001). </w:t>
      </w: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U pivotalnoj NSCLC studiji faze III, pušači su ostvarili koncentraciju erlotiniba u plazmi neposredno pred primjenu naredne doze, u stanju ravnoteže, od 0,65 mikrograma/</w:t>
      </w:r>
      <w:r w:rsidR="003559C6" w:rsidRPr="00BB0A8B">
        <w:rPr>
          <w:rFonts w:asciiTheme="majorBidi" w:hAnsiTheme="majorBidi" w:cstheme="majorBidi"/>
          <w:bCs/>
          <w:sz w:val="22"/>
          <w:szCs w:val="22"/>
          <w:lang w:val="sr-Latn-ME"/>
        </w:rPr>
        <w:t xml:space="preserve">ml </w:t>
      </w:r>
      <w:r w:rsidRPr="00BB0A8B">
        <w:rPr>
          <w:rFonts w:asciiTheme="majorBidi" w:hAnsiTheme="majorBidi" w:cstheme="majorBidi"/>
          <w:bCs/>
          <w:sz w:val="22"/>
          <w:szCs w:val="22"/>
          <w:lang w:val="sr-Latn-ME"/>
        </w:rPr>
        <w:t>(n=16), što je bilo približno 2 puta manje u odnosu na bivše pušače ili pacijente koji nikada nijesu pušili (1,28 mikrograma/</w:t>
      </w:r>
      <w:r w:rsidR="003559C6" w:rsidRPr="00BB0A8B">
        <w:rPr>
          <w:rFonts w:asciiTheme="majorBidi" w:hAnsiTheme="majorBidi" w:cstheme="majorBidi"/>
          <w:bCs/>
          <w:sz w:val="22"/>
          <w:szCs w:val="22"/>
          <w:lang w:val="sr-Latn-ME"/>
        </w:rPr>
        <w:t>ml</w:t>
      </w:r>
      <w:r w:rsidRPr="00BB0A8B">
        <w:rPr>
          <w:rFonts w:asciiTheme="majorBidi" w:hAnsiTheme="majorBidi" w:cstheme="majorBidi"/>
          <w:bCs/>
          <w:sz w:val="22"/>
          <w:szCs w:val="22"/>
          <w:lang w:val="sr-Latn-ME"/>
        </w:rPr>
        <w:t>, n=108). Ovaj efekat je bio udružen sa povećanjem od 24% u prividnom plazma klirensu erlotiniba. U studiji faze I, povećanje doze kod NSCLC pacijenata, pušača, farmakokinetička analiza, u stanju ravnoteže, je ukazala na dozno proporcionalno povećanje u izloženosti erlotinibu kada je doza erlotiniba povećana sa 150 mg do maksimalne podnošljive doze od 300 mg. Koncentracija u plazmi neposredno pred primjenu naredene doze u stanju ravnoteže pri dozi od 300 mg kod pušača, u ovoj studiji, iznosila je 1,22 mikrograma/</w:t>
      </w:r>
      <w:r w:rsidR="003559C6" w:rsidRPr="00BB0A8B">
        <w:rPr>
          <w:rFonts w:asciiTheme="majorBidi" w:hAnsiTheme="majorBidi" w:cstheme="majorBidi"/>
          <w:bCs/>
          <w:sz w:val="22"/>
          <w:szCs w:val="22"/>
          <w:lang w:val="sr-Latn-ME"/>
        </w:rPr>
        <w:t xml:space="preserve">ml </w:t>
      </w:r>
      <w:r w:rsidRPr="00BB0A8B">
        <w:rPr>
          <w:rFonts w:asciiTheme="majorBidi" w:hAnsiTheme="majorBidi" w:cstheme="majorBidi"/>
          <w:bCs/>
          <w:sz w:val="22"/>
          <w:szCs w:val="22"/>
          <w:lang w:val="sr-Latn-ME"/>
        </w:rPr>
        <w:t xml:space="preserve">(n=17). Vidjeti </w:t>
      </w:r>
      <w:r w:rsidR="003559C6" w:rsidRPr="00BB0A8B">
        <w:rPr>
          <w:rFonts w:asciiTheme="majorBidi" w:hAnsiTheme="majorBidi" w:cstheme="majorBidi"/>
          <w:bCs/>
          <w:sz w:val="22"/>
          <w:szCs w:val="22"/>
          <w:lang w:val="sr-Latn-ME"/>
        </w:rPr>
        <w:t xml:space="preserve">djelove </w:t>
      </w:r>
      <w:r w:rsidRPr="00BB0A8B">
        <w:rPr>
          <w:rFonts w:asciiTheme="majorBidi" w:hAnsiTheme="majorBidi" w:cstheme="majorBidi"/>
          <w:bCs/>
          <w:sz w:val="22"/>
          <w:szCs w:val="22"/>
          <w:lang w:val="sr-Latn-ME"/>
        </w:rPr>
        <w:t>4.2, 4.4, 4.5 i 5.1.</w:t>
      </w: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Na osnovu rezultata farmakokinetičkih studija, pacijentima koji puše treba savjetovati da prestanu sa</w:t>
      </w:r>
      <w:r w:rsidR="003559C6" w:rsidRPr="00BB0A8B">
        <w:rPr>
          <w:rFonts w:asciiTheme="majorBidi" w:hAnsiTheme="majorBidi" w:cstheme="majorBidi"/>
          <w:bCs/>
          <w:sz w:val="22"/>
          <w:szCs w:val="22"/>
          <w:lang w:val="sr-Latn-ME"/>
        </w:rPr>
        <w:t xml:space="preserve"> </w:t>
      </w:r>
      <w:r w:rsidRPr="00BB0A8B">
        <w:rPr>
          <w:rFonts w:asciiTheme="majorBidi" w:hAnsiTheme="majorBidi" w:cstheme="majorBidi"/>
          <w:bCs/>
          <w:sz w:val="22"/>
          <w:szCs w:val="22"/>
          <w:lang w:val="sr-Latn-ME"/>
        </w:rPr>
        <w:t>pušenjem dok su na terapiji erlotinibom, budući da pušenje smanjuje koncentracije erlotiniba u plazmi.</w:t>
      </w: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Na osnovu populacione farmakokinetičke analize, izgleda da prisustvo opioida pojačava izloženost za oko 11%.</w:t>
      </w: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Jedna druga populaciona farmakokinetička analiza sprovedena je da bi se uključili podaci o erlotinibu</w:t>
      </w:r>
      <w:r w:rsidR="003559C6" w:rsidRPr="00BB0A8B">
        <w:rPr>
          <w:rFonts w:asciiTheme="majorBidi" w:hAnsiTheme="majorBidi" w:cstheme="majorBidi"/>
          <w:bCs/>
          <w:sz w:val="22"/>
          <w:szCs w:val="22"/>
          <w:lang w:val="sr-Latn-ME"/>
        </w:rPr>
        <w:t xml:space="preserve"> </w:t>
      </w:r>
      <w:r w:rsidRPr="00BB0A8B">
        <w:rPr>
          <w:rFonts w:asciiTheme="majorBidi" w:hAnsiTheme="majorBidi" w:cstheme="majorBidi"/>
          <w:bCs/>
          <w:sz w:val="22"/>
          <w:szCs w:val="22"/>
          <w:lang w:val="sr-Latn-ME"/>
        </w:rPr>
        <w:t xml:space="preserve">dobijeni na 204 pacijenta sa karcinomom pankreasa koji su primali erlotinib plus gemcitabin. Ova analiza je pokazala da su kovarijanse koje utiču na klirens erlotiniba kod pacijenata sa karcinomom </w:t>
      </w:r>
      <w:r w:rsidRPr="00BB0A8B">
        <w:rPr>
          <w:rFonts w:asciiTheme="majorBidi" w:hAnsiTheme="majorBidi" w:cstheme="majorBidi"/>
          <w:bCs/>
          <w:sz w:val="22"/>
          <w:szCs w:val="22"/>
          <w:lang w:val="sr-Latn-ME"/>
        </w:rPr>
        <w:lastRenderedPageBreak/>
        <w:t>pankreasa veoma slične onima koje su već zabilježene u prethodnim farmakokinetičkim analizama monoterapije. Nijesu utvrđeni bilo kakvi novi efekti kovarijansi. Istovremeno davanje gemcitabina nije imalo nikakav efekat na plazma klirens erlotiniba.</w:t>
      </w: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u w:val="single"/>
          <w:lang w:val="sr-Latn-ME"/>
        </w:rPr>
        <w:t>Pedijatrijska populacija</w:t>
      </w: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Nisu sprovedene posebne studije na pedijatrijskim pacijentima.</w:t>
      </w: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p>
    <w:p w:rsidR="00DD175A" w:rsidRPr="00BB0A8B" w:rsidRDefault="00345506"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Starije osobe</w:t>
      </w: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Nisu sprovedene posebne studije na starijim pacijentima.</w:t>
      </w: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p>
    <w:p w:rsidR="00DD175A" w:rsidRPr="00BB0A8B" w:rsidRDefault="00DD175A"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Oštećena funkcija jetre</w:t>
      </w: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Erlotinib se primarno eliminiše putem jetre. Kod pacijenata sa solidnim tumorima i umjerenim oštećenjem funkcije jetre (</w:t>
      </w:r>
      <w:r w:rsidRPr="00BB0A8B">
        <w:rPr>
          <w:rFonts w:asciiTheme="majorBidi" w:hAnsiTheme="majorBidi" w:cstheme="majorBidi"/>
          <w:bCs/>
          <w:i/>
          <w:sz w:val="22"/>
          <w:szCs w:val="22"/>
          <w:lang w:val="sr-Latn-ME"/>
        </w:rPr>
        <w:t>Child-Pugh</w:t>
      </w:r>
      <w:r w:rsidRPr="00BB0A8B">
        <w:rPr>
          <w:rFonts w:asciiTheme="majorBidi" w:hAnsiTheme="majorBidi" w:cstheme="majorBidi"/>
          <w:bCs/>
          <w:sz w:val="22"/>
          <w:szCs w:val="22"/>
          <w:lang w:val="sr-Latn-ME"/>
        </w:rPr>
        <w:t xml:space="preserve"> indeks 7-9), geometrijska sredina PIK</w:t>
      </w:r>
      <w:r w:rsidRPr="00BB0A8B">
        <w:rPr>
          <w:rFonts w:asciiTheme="majorBidi" w:hAnsiTheme="majorBidi" w:cstheme="majorBidi"/>
          <w:bCs/>
          <w:sz w:val="22"/>
          <w:szCs w:val="22"/>
          <w:vertAlign w:val="subscript"/>
          <w:lang w:val="sr-Latn-ME"/>
        </w:rPr>
        <w:t>0-t</w:t>
      </w:r>
      <w:r w:rsidRPr="00BB0A8B">
        <w:rPr>
          <w:rFonts w:asciiTheme="majorBidi" w:hAnsiTheme="majorBidi" w:cstheme="majorBidi"/>
          <w:bCs/>
          <w:sz w:val="22"/>
          <w:szCs w:val="22"/>
          <w:lang w:val="sr-Latn-ME"/>
        </w:rPr>
        <w:t xml:space="preserve"> i C</w:t>
      </w:r>
      <w:r w:rsidRPr="00BB0A8B">
        <w:rPr>
          <w:rFonts w:asciiTheme="majorBidi" w:hAnsiTheme="majorBidi" w:cstheme="majorBidi"/>
          <w:bCs/>
          <w:sz w:val="22"/>
          <w:szCs w:val="22"/>
          <w:vertAlign w:val="subscript"/>
          <w:lang w:val="sr-Latn-ME"/>
        </w:rPr>
        <w:t xml:space="preserve">max </w:t>
      </w:r>
      <w:r w:rsidRPr="00BB0A8B">
        <w:rPr>
          <w:rFonts w:asciiTheme="majorBidi" w:hAnsiTheme="majorBidi" w:cstheme="majorBidi"/>
          <w:bCs/>
          <w:sz w:val="22"/>
          <w:szCs w:val="22"/>
          <w:lang w:val="sr-Latn-ME"/>
        </w:rPr>
        <w:t>erlotiniba je bila 27000 nanograma·h/</w:t>
      </w:r>
      <w:r w:rsidR="00345506" w:rsidRPr="00BB0A8B">
        <w:rPr>
          <w:rFonts w:asciiTheme="majorBidi" w:hAnsiTheme="majorBidi" w:cstheme="majorBidi"/>
          <w:bCs/>
          <w:sz w:val="22"/>
          <w:szCs w:val="22"/>
          <w:lang w:val="sr-Latn-ME"/>
        </w:rPr>
        <w:t xml:space="preserve">ml </w:t>
      </w:r>
      <w:r w:rsidRPr="00BB0A8B">
        <w:rPr>
          <w:rFonts w:asciiTheme="majorBidi" w:hAnsiTheme="majorBidi" w:cstheme="majorBidi"/>
          <w:bCs/>
          <w:sz w:val="22"/>
          <w:szCs w:val="22"/>
          <w:lang w:val="sr-Latn-ME"/>
        </w:rPr>
        <w:t>i 805 nanograma/</w:t>
      </w:r>
      <w:r w:rsidR="00345506" w:rsidRPr="00BB0A8B">
        <w:rPr>
          <w:rFonts w:asciiTheme="majorBidi" w:hAnsiTheme="majorBidi" w:cstheme="majorBidi"/>
          <w:bCs/>
          <w:sz w:val="22"/>
          <w:szCs w:val="22"/>
          <w:lang w:val="sr-Latn-ME"/>
        </w:rPr>
        <w:t>ml</w:t>
      </w:r>
      <w:r w:rsidRPr="00BB0A8B">
        <w:rPr>
          <w:rFonts w:asciiTheme="majorBidi" w:hAnsiTheme="majorBidi" w:cstheme="majorBidi"/>
          <w:bCs/>
          <w:sz w:val="22"/>
          <w:szCs w:val="22"/>
          <w:lang w:val="sr-Latn-ME"/>
        </w:rPr>
        <w:t>, redom, u poređenju sa 29300 nanograma·h/</w:t>
      </w:r>
      <w:r w:rsidR="00345506" w:rsidRPr="00BB0A8B">
        <w:rPr>
          <w:rFonts w:asciiTheme="majorBidi" w:hAnsiTheme="majorBidi" w:cstheme="majorBidi"/>
          <w:bCs/>
          <w:sz w:val="22"/>
          <w:szCs w:val="22"/>
          <w:lang w:val="sr-Latn-ME"/>
        </w:rPr>
        <w:t xml:space="preserve">ml </w:t>
      </w:r>
      <w:r w:rsidRPr="00BB0A8B">
        <w:rPr>
          <w:rFonts w:asciiTheme="majorBidi" w:hAnsiTheme="majorBidi" w:cstheme="majorBidi"/>
          <w:bCs/>
          <w:sz w:val="22"/>
          <w:szCs w:val="22"/>
          <w:lang w:val="sr-Latn-ME"/>
        </w:rPr>
        <w:t>i 1090 nanograma/</w:t>
      </w:r>
      <w:r w:rsidR="00345506" w:rsidRPr="00BB0A8B">
        <w:rPr>
          <w:rFonts w:asciiTheme="majorBidi" w:hAnsiTheme="majorBidi" w:cstheme="majorBidi"/>
          <w:bCs/>
          <w:sz w:val="22"/>
          <w:szCs w:val="22"/>
          <w:lang w:val="sr-Latn-ME"/>
        </w:rPr>
        <w:t xml:space="preserve">ml </w:t>
      </w:r>
      <w:r w:rsidRPr="00BB0A8B">
        <w:rPr>
          <w:rFonts w:asciiTheme="majorBidi" w:hAnsiTheme="majorBidi" w:cstheme="majorBidi"/>
          <w:bCs/>
          <w:sz w:val="22"/>
          <w:szCs w:val="22"/>
          <w:lang w:val="sr-Latn-ME"/>
        </w:rPr>
        <w:t>kod pacijenata sa normalnom funkcijom jetre</w:t>
      </w:r>
      <w:r w:rsidR="000B34A5" w:rsidRPr="00BB0A8B">
        <w:rPr>
          <w:rFonts w:asciiTheme="majorBidi" w:hAnsiTheme="majorBidi" w:cstheme="majorBidi"/>
          <w:bCs/>
          <w:sz w:val="22"/>
          <w:szCs w:val="22"/>
          <w:lang w:val="sr-Latn-ME"/>
        </w:rPr>
        <w:t xml:space="preserve">, uključujući </w:t>
      </w:r>
      <w:r w:rsidRPr="00BB0A8B">
        <w:rPr>
          <w:rFonts w:asciiTheme="majorBidi" w:hAnsiTheme="majorBidi" w:cstheme="majorBidi"/>
          <w:bCs/>
          <w:sz w:val="22"/>
          <w:szCs w:val="22"/>
          <w:lang w:val="sr-Latn-ME"/>
        </w:rPr>
        <w:t xml:space="preserve">i </w:t>
      </w:r>
      <w:r w:rsidR="000B34A5" w:rsidRPr="00BB0A8B">
        <w:rPr>
          <w:rFonts w:asciiTheme="majorBidi" w:hAnsiTheme="majorBidi" w:cstheme="majorBidi"/>
          <w:bCs/>
          <w:sz w:val="22"/>
          <w:szCs w:val="22"/>
          <w:lang w:val="sr-Latn-ME"/>
        </w:rPr>
        <w:t xml:space="preserve">pacijente </w:t>
      </w:r>
      <w:r w:rsidRPr="00BB0A8B">
        <w:rPr>
          <w:rFonts w:asciiTheme="majorBidi" w:hAnsiTheme="majorBidi" w:cstheme="majorBidi"/>
          <w:bCs/>
          <w:sz w:val="22"/>
          <w:szCs w:val="22"/>
          <w:lang w:val="sr-Latn-ME"/>
        </w:rPr>
        <w:t>sa primarnim karcinomom jetre ili metastazama u jetri. Iako je C</w:t>
      </w:r>
      <w:r w:rsidRPr="00BB0A8B">
        <w:rPr>
          <w:rFonts w:asciiTheme="majorBidi" w:hAnsiTheme="majorBidi" w:cstheme="majorBidi"/>
          <w:bCs/>
          <w:sz w:val="22"/>
          <w:szCs w:val="22"/>
          <w:vertAlign w:val="subscript"/>
          <w:lang w:val="sr-Latn-ME"/>
        </w:rPr>
        <w:t>max</w:t>
      </w:r>
      <w:r w:rsidRPr="00BB0A8B">
        <w:rPr>
          <w:rFonts w:asciiTheme="majorBidi" w:hAnsiTheme="majorBidi" w:cstheme="majorBidi"/>
          <w:bCs/>
          <w:sz w:val="22"/>
          <w:szCs w:val="22"/>
          <w:lang w:val="sr-Latn-ME"/>
        </w:rPr>
        <w:t xml:space="preserve"> bila statistički značajno niža kod pacijenata sa umjereno oštećenom funkcijom jetre, ova razlika se ne smatra klinički značajnom. Nema podataka o uticaju teške disfunkcije jetre na farmakokinetiku erlotiniba. U populacionim farmakokinetičkim analizama, povišene koncentracije ukupnog bilirubina u serumu bile su povezane sa smanjenim klirensom erlotiniba.</w:t>
      </w: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p>
    <w:p w:rsidR="00DD175A" w:rsidRPr="00BB0A8B" w:rsidRDefault="00DD175A" w:rsidP="00BB0A8B">
      <w:pPr>
        <w:tabs>
          <w:tab w:val="left" w:pos="540"/>
          <w:tab w:val="left" w:pos="569"/>
        </w:tabs>
        <w:jc w:val="both"/>
        <w:rPr>
          <w:rFonts w:asciiTheme="majorBidi" w:hAnsiTheme="majorBidi" w:cstheme="majorBidi"/>
          <w:bCs/>
          <w:sz w:val="22"/>
          <w:szCs w:val="22"/>
          <w:u w:val="single"/>
          <w:lang w:val="sr-Latn-ME"/>
        </w:rPr>
      </w:pPr>
      <w:r w:rsidRPr="00BB0A8B">
        <w:rPr>
          <w:rFonts w:asciiTheme="majorBidi" w:hAnsiTheme="majorBidi" w:cstheme="majorBidi"/>
          <w:bCs/>
          <w:sz w:val="22"/>
          <w:szCs w:val="22"/>
          <w:u w:val="single"/>
          <w:lang w:val="sr-Latn-ME"/>
        </w:rPr>
        <w:t xml:space="preserve">Oštećena funkcija bubrega </w:t>
      </w: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Erlotinib i njegovi metaboliti se ne izlučuju u značajnoj mjeri putem bubrega, pošto se manje od 9% pojedinačne doze izluči urinom. U populacionim farmakokinetičkim analizama nije uočen klinički značajan odnos između klirensa erlotiniba i klirensa kreatinina, ali nema </w:t>
      </w:r>
      <w:r w:rsidR="00B05517" w:rsidRPr="00BB0A8B">
        <w:rPr>
          <w:rFonts w:asciiTheme="majorBidi" w:hAnsiTheme="majorBidi" w:cstheme="majorBidi"/>
          <w:bCs/>
          <w:sz w:val="22"/>
          <w:szCs w:val="22"/>
          <w:lang w:val="sr-Latn-ME"/>
        </w:rPr>
        <w:t xml:space="preserve">dostupnih </w:t>
      </w:r>
      <w:r w:rsidRPr="00BB0A8B">
        <w:rPr>
          <w:rFonts w:asciiTheme="majorBidi" w:hAnsiTheme="majorBidi" w:cstheme="majorBidi"/>
          <w:bCs/>
          <w:sz w:val="22"/>
          <w:szCs w:val="22"/>
          <w:lang w:val="sr-Latn-ME"/>
        </w:rPr>
        <w:t xml:space="preserve">podataka za pacijente sa klirensom kreatinina manjim od 15 </w:t>
      </w:r>
      <w:r w:rsidR="00345506" w:rsidRPr="00BB0A8B">
        <w:rPr>
          <w:rFonts w:asciiTheme="majorBidi" w:hAnsiTheme="majorBidi" w:cstheme="majorBidi"/>
          <w:bCs/>
          <w:sz w:val="22"/>
          <w:szCs w:val="22"/>
          <w:lang w:val="sr-Latn-ME"/>
        </w:rPr>
        <w:t>ml</w:t>
      </w:r>
      <w:r w:rsidRPr="00BB0A8B">
        <w:rPr>
          <w:rFonts w:asciiTheme="majorBidi" w:hAnsiTheme="majorBidi" w:cstheme="majorBidi"/>
          <w:bCs/>
          <w:sz w:val="22"/>
          <w:szCs w:val="22"/>
          <w:lang w:val="sr-Latn-ME"/>
        </w:rPr>
        <w:t>/min.</w:t>
      </w:r>
    </w:p>
    <w:p w:rsidR="0072020E" w:rsidRPr="00BB0A8B" w:rsidRDefault="0072020E" w:rsidP="00BB0A8B">
      <w:pPr>
        <w:tabs>
          <w:tab w:val="left" w:pos="540"/>
          <w:tab w:val="left" w:pos="569"/>
        </w:tabs>
        <w:jc w:val="both"/>
        <w:rPr>
          <w:rFonts w:asciiTheme="majorBidi" w:hAnsiTheme="majorBidi" w:cstheme="majorBidi"/>
          <w:bCs/>
          <w:sz w:val="22"/>
          <w:szCs w:val="22"/>
          <w:lang w:val="sr-Latn-ME"/>
        </w:rPr>
      </w:pPr>
    </w:p>
    <w:p w:rsidR="0072020E" w:rsidRPr="00BB0A8B" w:rsidRDefault="0072020E"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5.3.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 xml:space="preserve">Pretklinički podaci o bezbjednosti </w:t>
      </w:r>
    </w:p>
    <w:p w:rsidR="00DD175A" w:rsidRPr="00BB0A8B" w:rsidRDefault="00DD175A" w:rsidP="00BB0A8B">
      <w:pPr>
        <w:tabs>
          <w:tab w:val="left" w:pos="540"/>
          <w:tab w:val="left" w:pos="569"/>
        </w:tabs>
        <w:rPr>
          <w:rFonts w:asciiTheme="majorBidi" w:hAnsiTheme="majorBidi" w:cstheme="majorBidi"/>
          <w:b/>
          <w:bCs/>
          <w:sz w:val="22"/>
          <w:szCs w:val="22"/>
          <w:lang w:val="sr-Latn-ME"/>
        </w:rPr>
      </w:pP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Efekti hronične primjene zabilježeni kod najmanje jedne životinjske vrste ili u studiji, uključuju promjene na rožnjači (atrofija, ulceracije), koži (degeneracija i inflamacija folikula, crvenilo, i alopecija), jajnicima (atrofija), jetri (nekroza jetre), bubrezima (bubrežna papilarna nekroza i tubularna dilatacija) i gastrointestinalnom traktu (usporeno pražnjenje želuca i dijareja). Parametri eritrocita bili su sniženi, dok su leukociti, prvenstveno neutrofili, bili povišeni. Zabiježeno je povećanje ALT, AST i bilirubina povezano sa terapijom. Ovi nalazi su zabilježeni pri izloženostima značajno nižim od relevantnih kliničkih izloženosti. </w:t>
      </w: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 xml:space="preserve">Na osnovu mehanizma dejstva, erlotinib bi mogao biti teratogen. Podaci iz ispitivanja reproduktivne toksičnosti kod pacova i kunića u dozama koje su blizu maksimalne podnošljive doze i/ili dozama toksičnim za majku, pokazali su reproduktivnu toksičnost (embriotoksičnost kod pacova, resorpciju embriona i fetotoksičnost kod kunića) i razvojnu toksičnost (smanjenje rasta mladunaca i preživljavanje pacova), ali nijesu pokazali teratogenost niti smanjenje plodnosti. Ovi nalazi su zabilježeni pri klinički relevantnim koncentracijama lijeka. </w:t>
      </w: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p>
    <w:p w:rsidR="00DD175A" w:rsidRPr="00BB0A8B" w:rsidRDefault="00DD175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Konvencionalna ispitivanja genotoksičnosti erlotiniba su dala negativan rezultat. Dvogodišnja ispitivanja karcinogenosti erlotiniba sprovedena na pacovima i miševima su dala negativan rezultat sve do izloženosti koje prevazilaze terapijsku izloženost kod ljudi (do 2 odnosno 10 puta više, redom, bazirano na C</w:t>
      </w:r>
      <w:r w:rsidRPr="00BB0A8B">
        <w:rPr>
          <w:rFonts w:asciiTheme="majorBidi" w:hAnsiTheme="majorBidi" w:cstheme="majorBidi"/>
          <w:bCs/>
          <w:sz w:val="22"/>
          <w:szCs w:val="22"/>
          <w:vertAlign w:val="subscript"/>
          <w:lang w:val="sr-Latn-ME"/>
        </w:rPr>
        <w:t>max</w:t>
      </w:r>
      <w:r w:rsidRPr="00BB0A8B">
        <w:rPr>
          <w:rFonts w:asciiTheme="majorBidi" w:hAnsiTheme="majorBidi" w:cstheme="majorBidi"/>
          <w:bCs/>
          <w:sz w:val="22"/>
          <w:szCs w:val="22"/>
          <w:lang w:val="sr-Latn-ME"/>
        </w:rPr>
        <w:t xml:space="preserve"> i/ili PIK).</w:t>
      </w:r>
    </w:p>
    <w:p w:rsidR="00DD175A" w:rsidRPr="00BB0A8B" w:rsidRDefault="00DD175A" w:rsidP="00BB0A8B">
      <w:pPr>
        <w:tabs>
          <w:tab w:val="left" w:pos="540"/>
          <w:tab w:val="left" w:pos="569"/>
        </w:tabs>
        <w:jc w:val="both"/>
        <w:rPr>
          <w:rFonts w:asciiTheme="majorBidi" w:hAnsiTheme="majorBidi" w:cstheme="majorBidi"/>
          <w:b/>
          <w:bCs/>
          <w:sz w:val="22"/>
          <w:szCs w:val="22"/>
          <w:lang w:val="sr-Latn-ME"/>
        </w:rPr>
      </w:pPr>
    </w:p>
    <w:p w:rsidR="00836B35" w:rsidRPr="00BB0A8B" w:rsidRDefault="00DD175A" w:rsidP="00BB0A8B">
      <w:pPr>
        <w:tabs>
          <w:tab w:val="left" w:pos="540"/>
          <w:tab w:val="left" w:pos="569"/>
        </w:tabs>
        <w:jc w:val="both"/>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Zabilježena je blaga fototoksična reakcija na koži pacova nakon izlaganja UV zračenju</w:t>
      </w:r>
      <w:r w:rsidR="00315453" w:rsidRPr="00BB0A8B">
        <w:rPr>
          <w:rFonts w:asciiTheme="majorBidi" w:hAnsiTheme="majorBidi" w:cstheme="majorBidi"/>
          <w:bCs/>
          <w:sz w:val="22"/>
          <w:szCs w:val="22"/>
          <w:lang w:val="sr-Latn-ME"/>
        </w:rPr>
        <w:t>.</w:t>
      </w:r>
    </w:p>
    <w:p w:rsidR="00396DFD" w:rsidRPr="00BB0A8B" w:rsidRDefault="00396DFD" w:rsidP="00BB0A8B">
      <w:pPr>
        <w:tabs>
          <w:tab w:val="left" w:pos="540"/>
          <w:tab w:val="left" w:pos="569"/>
        </w:tabs>
        <w:jc w:val="both"/>
        <w:rPr>
          <w:rFonts w:asciiTheme="majorBidi" w:hAnsiTheme="majorBidi" w:cstheme="majorBidi"/>
          <w:b/>
          <w:bCs/>
          <w:sz w:val="22"/>
          <w:szCs w:val="22"/>
          <w:lang w:val="sr-Latn-ME"/>
        </w:rPr>
      </w:pPr>
    </w:p>
    <w:p w:rsidR="00BB0A8B" w:rsidRDefault="00BB0A8B" w:rsidP="00BB0A8B">
      <w:pPr>
        <w:tabs>
          <w:tab w:val="left" w:pos="540"/>
          <w:tab w:val="left" w:pos="569"/>
        </w:tabs>
        <w:rPr>
          <w:rFonts w:asciiTheme="majorBidi" w:hAnsiTheme="majorBidi" w:cstheme="majorBidi"/>
          <w:b/>
          <w:bCs/>
          <w:sz w:val="22"/>
          <w:szCs w:val="22"/>
          <w:lang w:val="sr-Latn-ME"/>
        </w:rPr>
      </w:pPr>
    </w:p>
    <w:p w:rsidR="00BB0A8B" w:rsidRDefault="00BB0A8B" w:rsidP="00BB0A8B">
      <w:pPr>
        <w:tabs>
          <w:tab w:val="left" w:pos="540"/>
          <w:tab w:val="left" w:pos="569"/>
        </w:tabs>
        <w:rPr>
          <w:rFonts w:asciiTheme="majorBidi" w:hAnsiTheme="majorBidi" w:cstheme="majorBidi"/>
          <w:b/>
          <w:bCs/>
          <w:sz w:val="22"/>
          <w:szCs w:val="22"/>
          <w:lang w:val="sr-Latn-ME"/>
        </w:rPr>
      </w:pPr>
    </w:p>
    <w:p w:rsidR="0072020E" w:rsidRPr="00BB0A8B" w:rsidRDefault="0072020E"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lastRenderedPageBreak/>
        <w:t xml:space="preserve">6.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FARMACEUTSKI PODACI</w:t>
      </w:r>
    </w:p>
    <w:p w:rsidR="00836B35" w:rsidRPr="00BB0A8B" w:rsidRDefault="00836B35" w:rsidP="00BB0A8B">
      <w:pPr>
        <w:tabs>
          <w:tab w:val="left" w:pos="540"/>
          <w:tab w:val="left" w:pos="569"/>
        </w:tabs>
        <w:rPr>
          <w:rFonts w:asciiTheme="majorBidi" w:hAnsiTheme="majorBidi" w:cstheme="majorBidi"/>
          <w:bCs/>
          <w:sz w:val="22"/>
          <w:szCs w:val="22"/>
          <w:lang w:val="sr-Latn-ME"/>
        </w:rPr>
      </w:pPr>
    </w:p>
    <w:p w:rsidR="0072020E" w:rsidRPr="00BB0A8B" w:rsidRDefault="0072020E"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6.1.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Lista pomoćnih supstanci</w:t>
      </w:r>
      <w:r w:rsidR="002E0135" w:rsidRPr="00BB0A8B">
        <w:rPr>
          <w:rFonts w:asciiTheme="majorBidi" w:hAnsiTheme="majorBidi" w:cstheme="majorBidi"/>
          <w:b/>
          <w:bCs/>
          <w:sz w:val="22"/>
          <w:szCs w:val="22"/>
          <w:lang w:val="sr-Latn-ME"/>
        </w:rPr>
        <w:t xml:space="preserve"> (ekscipijenasa)</w:t>
      </w:r>
    </w:p>
    <w:p w:rsidR="001B4FDA" w:rsidRPr="00BB0A8B" w:rsidRDefault="001B4FDA" w:rsidP="00BB0A8B">
      <w:pPr>
        <w:tabs>
          <w:tab w:val="left" w:pos="540"/>
          <w:tab w:val="left" w:pos="569"/>
        </w:tabs>
        <w:rPr>
          <w:rFonts w:asciiTheme="majorBidi" w:hAnsiTheme="majorBidi" w:cstheme="majorBidi"/>
          <w:b/>
          <w:bCs/>
          <w:sz w:val="22"/>
          <w:szCs w:val="22"/>
          <w:lang w:val="sr-Latn-ME"/>
        </w:rPr>
      </w:pPr>
    </w:p>
    <w:p w:rsidR="001B4FDA" w:rsidRPr="00BB0A8B" w:rsidRDefault="001B4FDA" w:rsidP="00BB0A8B">
      <w:pPr>
        <w:autoSpaceDE w:val="0"/>
        <w:autoSpaceDN w:val="0"/>
        <w:adjustRightInd w:val="0"/>
        <w:rPr>
          <w:rFonts w:asciiTheme="majorBidi" w:hAnsiTheme="majorBidi" w:cstheme="majorBidi"/>
          <w:color w:val="000000"/>
          <w:sz w:val="22"/>
          <w:szCs w:val="22"/>
          <w:lang w:val="sr-Latn-ME" w:eastAsia="en-GB"/>
        </w:rPr>
      </w:pPr>
      <w:r w:rsidRPr="00BB0A8B">
        <w:rPr>
          <w:rFonts w:asciiTheme="majorBidi" w:hAnsiTheme="majorBidi" w:cstheme="majorBidi"/>
          <w:i/>
          <w:iCs/>
          <w:color w:val="000000"/>
          <w:sz w:val="22"/>
          <w:szCs w:val="22"/>
          <w:lang w:val="sr-Latn-ME" w:eastAsia="en-GB"/>
        </w:rPr>
        <w:t xml:space="preserve">Jezgra tablete: </w:t>
      </w:r>
    </w:p>
    <w:p w:rsidR="001B4FDA" w:rsidRPr="00BB0A8B" w:rsidRDefault="001B4FDA" w:rsidP="00BB0A8B">
      <w:pPr>
        <w:autoSpaceDE w:val="0"/>
        <w:autoSpaceDN w:val="0"/>
        <w:adjustRightInd w:val="0"/>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 xml:space="preserve">laktoza, bezvodna </w:t>
      </w:r>
    </w:p>
    <w:p w:rsidR="001B4FDA" w:rsidRPr="00BB0A8B" w:rsidRDefault="001B4FDA" w:rsidP="00BB0A8B">
      <w:pPr>
        <w:autoSpaceDE w:val="0"/>
        <w:autoSpaceDN w:val="0"/>
        <w:adjustRightInd w:val="0"/>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 xml:space="preserve">celuloza, mikrokristalna </w:t>
      </w:r>
    </w:p>
    <w:p w:rsidR="001B4FDA" w:rsidRPr="00BB0A8B" w:rsidRDefault="001B4FDA" w:rsidP="00BB0A8B">
      <w:pPr>
        <w:autoSpaceDE w:val="0"/>
        <w:autoSpaceDN w:val="0"/>
        <w:adjustRightInd w:val="0"/>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natrijum skrob</w:t>
      </w:r>
      <w:r w:rsidR="00315453" w:rsidRPr="00BB0A8B">
        <w:rPr>
          <w:rFonts w:asciiTheme="majorBidi" w:hAnsiTheme="majorBidi" w:cstheme="majorBidi"/>
          <w:color w:val="000000"/>
          <w:sz w:val="22"/>
          <w:szCs w:val="22"/>
          <w:lang w:val="sr-Latn-ME" w:eastAsia="en-GB"/>
        </w:rPr>
        <w:t xml:space="preserve"> </w:t>
      </w:r>
      <w:r w:rsidRPr="00BB0A8B">
        <w:rPr>
          <w:rFonts w:asciiTheme="majorBidi" w:hAnsiTheme="majorBidi" w:cstheme="majorBidi"/>
          <w:color w:val="000000"/>
          <w:sz w:val="22"/>
          <w:szCs w:val="22"/>
          <w:lang w:val="sr-Latn-ME" w:eastAsia="en-GB"/>
        </w:rPr>
        <w:t xml:space="preserve">glikolat, </w:t>
      </w:r>
      <w:r w:rsidR="002235F2" w:rsidRPr="00BB0A8B">
        <w:rPr>
          <w:rFonts w:asciiTheme="majorBidi" w:hAnsiTheme="majorBidi" w:cstheme="majorBidi"/>
          <w:color w:val="000000"/>
          <w:sz w:val="22"/>
          <w:szCs w:val="22"/>
          <w:lang w:val="sr-Latn-ME" w:eastAsia="en-GB"/>
        </w:rPr>
        <w:t xml:space="preserve">tip </w:t>
      </w:r>
      <w:r w:rsidRPr="00BB0A8B">
        <w:rPr>
          <w:rFonts w:asciiTheme="majorBidi" w:hAnsiTheme="majorBidi" w:cstheme="majorBidi"/>
          <w:color w:val="000000"/>
          <w:sz w:val="22"/>
          <w:szCs w:val="22"/>
          <w:lang w:val="sr-Latn-ME" w:eastAsia="en-GB"/>
        </w:rPr>
        <w:t xml:space="preserve">A </w:t>
      </w:r>
    </w:p>
    <w:p w:rsidR="001B4FDA" w:rsidRPr="00BB0A8B" w:rsidRDefault="001B4FDA" w:rsidP="00BB0A8B">
      <w:pPr>
        <w:autoSpaceDE w:val="0"/>
        <w:autoSpaceDN w:val="0"/>
        <w:adjustRightInd w:val="0"/>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 xml:space="preserve">natrijum laurilsulfat </w:t>
      </w:r>
    </w:p>
    <w:p w:rsidR="001B4FDA" w:rsidRPr="00BB0A8B" w:rsidRDefault="001B4FDA" w:rsidP="00BB0A8B">
      <w:pPr>
        <w:autoSpaceDE w:val="0"/>
        <w:autoSpaceDN w:val="0"/>
        <w:adjustRightInd w:val="0"/>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natrijum stearil</w:t>
      </w:r>
      <w:r w:rsidR="00315453" w:rsidRPr="00BB0A8B">
        <w:rPr>
          <w:rFonts w:asciiTheme="majorBidi" w:hAnsiTheme="majorBidi" w:cstheme="majorBidi"/>
          <w:color w:val="000000"/>
          <w:sz w:val="22"/>
          <w:szCs w:val="22"/>
          <w:lang w:val="sr-Latn-ME" w:eastAsia="en-GB"/>
        </w:rPr>
        <w:t xml:space="preserve"> </w:t>
      </w:r>
      <w:r w:rsidRPr="00BB0A8B">
        <w:rPr>
          <w:rFonts w:asciiTheme="majorBidi" w:hAnsiTheme="majorBidi" w:cstheme="majorBidi"/>
          <w:color w:val="000000"/>
          <w:sz w:val="22"/>
          <w:szCs w:val="22"/>
          <w:lang w:val="sr-Latn-ME" w:eastAsia="en-GB"/>
        </w:rPr>
        <w:t xml:space="preserve">fumarat </w:t>
      </w:r>
    </w:p>
    <w:p w:rsidR="001B4FDA" w:rsidRPr="00BB0A8B" w:rsidRDefault="001B4FDA" w:rsidP="00BB0A8B">
      <w:pPr>
        <w:autoSpaceDE w:val="0"/>
        <w:autoSpaceDN w:val="0"/>
        <w:adjustRightInd w:val="0"/>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 xml:space="preserve">silicijum dioksid, hidrofobni, koloidni </w:t>
      </w:r>
    </w:p>
    <w:p w:rsidR="001B4FDA" w:rsidRPr="00BB0A8B" w:rsidRDefault="001B4FDA" w:rsidP="00BB0A8B">
      <w:pPr>
        <w:autoSpaceDE w:val="0"/>
        <w:autoSpaceDN w:val="0"/>
        <w:adjustRightInd w:val="0"/>
        <w:rPr>
          <w:rFonts w:asciiTheme="majorBidi" w:hAnsiTheme="majorBidi" w:cstheme="majorBidi"/>
          <w:i/>
          <w:iCs/>
          <w:color w:val="000000"/>
          <w:sz w:val="22"/>
          <w:szCs w:val="22"/>
          <w:lang w:val="sr-Latn-ME" w:eastAsia="en-GB"/>
        </w:rPr>
      </w:pPr>
    </w:p>
    <w:p w:rsidR="001B4FDA" w:rsidRPr="00BB0A8B" w:rsidRDefault="001B4FDA" w:rsidP="00BB0A8B">
      <w:pPr>
        <w:autoSpaceDE w:val="0"/>
        <w:autoSpaceDN w:val="0"/>
        <w:adjustRightInd w:val="0"/>
        <w:rPr>
          <w:rFonts w:asciiTheme="majorBidi" w:hAnsiTheme="majorBidi" w:cstheme="majorBidi"/>
          <w:i/>
          <w:iCs/>
          <w:color w:val="000000"/>
          <w:sz w:val="22"/>
          <w:szCs w:val="22"/>
          <w:lang w:val="sr-Latn-ME" w:eastAsia="en-GB"/>
        </w:rPr>
      </w:pPr>
      <w:r w:rsidRPr="00BB0A8B">
        <w:rPr>
          <w:rFonts w:asciiTheme="majorBidi" w:hAnsiTheme="majorBidi" w:cstheme="majorBidi"/>
          <w:i/>
          <w:iCs/>
          <w:color w:val="000000"/>
          <w:sz w:val="22"/>
          <w:szCs w:val="22"/>
          <w:lang w:val="sr-Latn-ME" w:eastAsia="en-GB"/>
        </w:rPr>
        <w:t xml:space="preserve">Obloga tablete: </w:t>
      </w:r>
    </w:p>
    <w:p w:rsidR="002235F2" w:rsidRPr="00BB0A8B" w:rsidRDefault="002235F2" w:rsidP="00BB0A8B">
      <w:pPr>
        <w:autoSpaceDE w:val="0"/>
        <w:autoSpaceDN w:val="0"/>
        <w:adjustRightInd w:val="0"/>
        <w:rPr>
          <w:rFonts w:asciiTheme="majorBidi" w:hAnsiTheme="majorBidi" w:cstheme="majorBidi"/>
          <w:color w:val="000000"/>
          <w:sz w:val="22"/>
          <w:szCs w:val="22"/>
          <w:lang w:val="sr-Latn-ME" w:eastAsia="en-GB"/>
        </w:rPr>
      </w:pPr>
      <w:r w:rsidRPr="00BB0A8B">
        <w:rPr>
          <w:rFonts w:asciiTheme="majorBidi" w:hAnsiTheme="majorBidi" w:cstheme="majorBidi"/>
          <w:i/>
          <w:sz w:val="22"/>
          <w:szCs w:val="22"/>
          <w:lang w:val="sr-Latn-ME"/>
        </w:rPr>
        <w:t>Opadry 03F180011 White:</w:t>
      </w:r>
    </w:p>
    <w:p w:rsidR="001B4FDA" w:rsidRPr="00BB0A8B" w:rsidRDefault="001B4FDA" w:rsidP="00BB0A8B">
      <w:pPr>
        <w:autoSpaceDE w:val="0"/>
        <w:autoSpaceDN w:val="0"/>
        <w:adjustRightInd w:val="0"/>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 xml:space="preserve">hipromeloza (E464) </w:t>
      </w:r>
    </w:p>
    <w:p w:rsidR="001B4FDA" w:rsidRPr="00BB0A8B" w:rsidRDefault="001B4FDA" w:rsidP="00BB0A8B">
      <w:pPr>
        <w:autoSpaceDE w:val="0"/>
        <w:autoSpaceDN w:val="0"/>
        <w:adjustRightInd w:val="0"/>
        <w:rPr>
          <w:rFonts w:asciiTheme="majorBidi" w:hAnsiTheme="majorBidi" w:cstheme="majorBidi"/>
          <w:color w:val="000000"/>
          <w:sz w:val="22"/>
          <w:szCs w:val="22"/>
          <w:lang w:val="sr-Latn-ME" w:eastAsia="en-GB"/>
        </w:rPr>
      </w:pPr>
      <w:r w:rsidRPr="00BB0A8B">
        <w:rPr>
          <w:rFonts w:asciiTheme="majorBidi" w:hAnsiTheme="majorBidi" w:cstheme="majorBidi"/>
          <w:color w:val="000000"/>
          <w:sz w:val="22"/>
          <w:szCs w:val="22"/>
          <w:lang w:val="sr-Latn-ME" w:eastAsia="en-GB"/>
        </w:rPr>
        <w:t xml:space="preserve">titanijum dioksid (E171) </w:t>
      </w:r>
    </w:p>
    <w:p w:rsidR="001B4FDA" w:rsidRPr="00BB0A8B" w:rsidRDefault="001B4FDA" w:rsidP="00BB0A8B">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sz w:val="22"/>
          <w:szCs w:val="22"/>
          <w:lang w:val="sr-Latn-ME"/>
        </w:rPr>
        <w:t>makrogol</w:t>
      </w:r>
      <w:r w:rsidR="00315453" w:rsidRPr="00BB0A8B">
        <w:rPr>
          <w:rFonts w:asciiTheme="majorBidi" w:hAnsiTheme="majorBidi" w:cstheme="majorBidi"/>
          <w:sz w:val="22"/>
          <w:szCs w:val="22"/>
          <w:lang w:val="sr-Latn-ME"/>
        </w:rPr>
        <w:t xml:space="preserve"> 8000</w:t>
      </w:r>
      <w:r w:rsidRPr="00BB0A8B">
        <w:rPr>
          <w:rFonts w:asciiTheme="majorBidi" w:hAnsiTheme="majorBidi" w:cstheme="majorBidi"/>
          <w:sz w:val="22"/>
          <w:szCs w:val="22"/>
          <w:lang w:val="sr-Latn-ME"/>
        </w:rPr>
        <w:t xml:space="preserve"> (E1521)</w:t>
      </w:r>
    </w:p>
    <w:p w:rsidR="0072020E" w:rsidRPr="00BB0A8B" w:rsidRDefault="0072020E" w:rsidP="00BB0A8B">
      <w:pPr>
        <w:tabs>
          <w:tab w:val="left" w:pos="540"/>
          <w:tab w:val="left" w:pos="569"/>
        </w:tabs>
        <w:rPr>
          <w:rFonts w:asciiTheme="majorBidi" w:hAnsiTheme="majorBidi" w:cstheme="majorBidi"/>
          <w:bCs/>
          <w:sz w:val="22"/>
          <w:szCs w:val="22"/>
          <w:lang w:val="sr-Latn-ME"/>
        </w:rPr>
      </w:pPr>
    </w:p>
    <w:p w:rsidR="0072020E" w:rsidRPr="00BB0A8B" w:rsidRDefault="0072020E"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6.2.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Inkompatibilnost</w:t>
      </w:r>
      <w:r w:rsidR="002846DB" w:rsidRPr="00BB0A8B">
        <w:rPr>
          <w:rFonts w:asciiTheme="majorBidi" w:hAnsiTheme="majorBidi" w:cstheme="majorBidi"/>
          <w:b/>
          <w:bCs/>
          <w:sz w:val="22"/>
          <w:szCs w:val="22"/>
          <w:lang w:val="sr-Latn-ME"/>
        </w:rPr>
        <w:t>i</w:t>
      </w:r>
    </w:p>
    <w:p w:rsidR="001B4FDA" w:rsidRPr="00BB0A8B" w:rsidRDefault="001B4FDA" w:rsidP="00BB0A8B">
      <w:pPr>
        <w:tabs>
          <w:tab w:val="left" w:pos="540"/>
          <w:tab w:val="left" w:pos="569"/>
        </w:tabs>
        <w:rPr>
          <w:rFonts w:asciiTheme="majorBidi" w:hAnsiTheme="majorBidi" w:cstheme="majorBidi"/>
          <w:b/>
          <w:bCs/>
          <w:sz w:val="22"/>
          <w:szCs w:val="22"/>
          <w:lang w:val="sr-Latn-ME"/>
        </w:rPr>
      </w:pPr>
    </w:p>
    <w:p w:rsidR="001B4FDA" w:rsidRPr="00BB0A8B" w:rsidRDefault="001B4FDA" w:rsidP="00BB0A8B">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Nije primjenljivo.</w:t>
      </w:r>
    </w:p>
    <w:p w:rsidR="0072020E" w:rsidRPr="00BB0A8B" w:rsidRDefault="0072020E" w:rsidP="00BB0A8B">
      <w:pPr>
        <w:tabs>
          <w:tab w:val="left" w:pos="540"/>
          <w:tab w:val="left" w:pos="569"/>
        </w:tabs>
        <w:rPr>
          <w:rFonts w:asciiTheme="majorBidi" w:hAnsiTheme="majorBidi" w:cstheme="majorBidi"/>
          <w:bCs/>
          <w:sz w:val="22"/>
          <w:szCs w:val="22"/>
          <w:lang w:val="sr-Latn-ME"/>
        </w:rPr>
      </w:pPr>
    </w:p>
    <w:p w:rsidR="0072020E" w:rsidRPr="00BB0A8B" w:rsidRDefault="0072020E"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6.3.</w:t>
      </w:r>
      <w:r w:rsidR="00C05DF8" w:rsidRPr="00BB0A8B">
        <w:rPr>
          <w:rFonts w:asciiTheme="majorBidi" w:hAnsiTheme="majorBidi" w:cstheme="majorBidi"/>
          <w:b/>
          <w:bCs/>
          <w:sz w:val="22"/>
          <w:szCs w:val="22"/>
          <w:lang w:val="sr-Latn-ME"/>
        </w:rPr>
        <w:t xml:space="preserve">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Rok upotrebe</w:t>
      </w:r>
    </w:p>
    <w:p w:rsidR="001B4FDA" w:rsidRPr="00BB0A8B" w:rsidRDefault="001B4FDA" w:rsidP="00BB0A8B">
      <w:pPr>
        <w:tabs>
          <w:tab w:val="left" w:pos="540"/>
          <w:tab w:val="left" w:pos="569"/>
        </w:tabs>
        <w:rPr>
          <w:rFonts w:asciiTheme="majorBidi" w:hAnsiTheme="majorBidi" w:cstheme="majorBidi"/>
          <w:b/>
          <w:bCs/>
          <w:sz w:val="22"/>
          <w:szCs w:val="22"/>
          <w:lang w:val="sr-Latn-ME"/>
        </w:rPr>
      </w:pPr>
    </w:p>
    <w:p w:rsidR="001B4FDA" w:rsidRPr="00BB0A8B" w:rsidRDefault="001B4FDA" w:rsidP="00BB0A8B">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30 mjeseci.</w:t>
      </w:r>
    </w:p>
    <w:p w:rsidR="0072020E" w:rsidRPr="00BB0A8B" w:rsidRDefault="0072020E" w:rsidP="00BB0A8B">
      <w:pPr>
        <w:tabs>
          <w:tab w:val="left" w:pos="540"/>
          <w:tab w:val="left" w:pos="569"/>
        </w:tabs>
        <w:rPr>
          <w:rFonts w:asciiTheme="majorBidi" w:hAnsiTheme="majorBidi" w:cstheme="majorBidi"/>
          <w:bCs/>
          <w:sz w:val="22"/>
          <w:szCs w:val="22"/>
          <w:lang w:val="sr-Latn-ME"/>
        </w:rPr>
      </w:pPr>
    </w:p>
    <w:p w:rsidR="0072020E" w:rsidRPr="00BB0A8B" w:rsidRDefault="0072020E"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6.4.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Posebne mjere upozorenja pri čuvanju</w:t>
      </w:r>
      <w:r w:rsidR="00F8570A" w:rsidRPr="00BB0A8B">
        <w:rPr>
          <w:rFonts w:asciiTheme="majorBidi" w:hAnsiTheme="majorBidi" w:cstheme="majorBidi"/>
          <w:b/>
          <w:bCs/>
          <w:sz w:val="22"/>
          <w:szCs w:val="22"/>
          <w:lang w:val="sr-Latn-ME"/>
        </w:rPr>
        <w:t xml:space="preserve"> lijeka</w:t>
      </w:r>
    </w:p>
    <w:p w:rsidR="001B4FDA" w:rsidRPr="00BB0A8B" w:rsidRDefault="001B4FDA" w:rsidP="00BB0A8B">
      <w:pPr>
        <w:tabs>
          <w:tab w:val="left" w:pos="540"/>
          <w:tab w:val="left" w:pos="569"/>
        </w:tabs>
        <w:rPr>
          <w:rFonts w:asciiTheme="majorBidi" w:hAnsiTheme="majorBidi" w:cstheme="majorBidi"/>
          <w:bCs/>
          <w:sz w:val="22"/>
          <w:szCs w:val="22"/>
          <w:lang w:val="sr-Latn-ME"/>
        </w:rPr>
      </w:pPr>
    </w:p>
    <w:p w:rsidR="001B4FDA" w:rsidRPr="00BB0A8B" w:rsidRDefault="00290902" w:rsidP="00BB0A8B">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Lijek ne zahtijeva posebne uslove čuvanja.</w:t>
      </w:r>
    </w:p>
    <w:p w:rsidR="00EC2532" w:rsidRPr="00BB0A8B" w:rsidRDefault="00EC2532" w:rsidP="00BB0A8B">
      <w:pPr>
        <w:tabs>
          <w:tab w:val="left" w:pos="540"/>
          <w:tab w:val="left" w:pos="569"/>
        </w:tabs>
        <w:rPr>
          <w:rFonts w:asciiTheme="majorBidi" w:hAnsiTheme="majorBidi" w:cstheme="majorBidi"/>
          <w:bCs/>
          <w:sz w:val="22"/>
          <w:szCs w:val="22"/>
          <w:lang w:val="sr-Latn-ME"/>
        </w:rPr>
      </w:pPr>
    </w:p>
    <w:p w:rsidR="0072020E" w:rsidRPr="00BB0A8B" w:rsidRDefault="0072020E"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6.5. </w:t>
      </w:r>
      <w:r w:rsidR="00480FB1" w:rsidRPr="00BB0A8B">
        <w:rPr>
          <w:rFonts w:asciiTheme="majorBidi" w:hAnsiTheme="majorBidi" w:cstheme="majorBidi"/>
          <w:b/>
          <w:bCs/>
          <w:sz w:val="22"/>
          <w:szCs w:val="22"/>
          <w:lang w:val="sr-Latn-ME"/>
        </w:rPr>
        <w:tab/>
      </w:r>
      <w:r w:rsidR="002846DB" w:rsidRPr="00BB0A8B">
        <w:rPr>
          <w:rFonts w:asciiTheme="majorBidi" w:hAnsiTheme="majorBidi" w:cstheme="majorBidi"/>
          <w:b/>
          <w:bCs/>
          <w:sz w:val="22"/>
          <w:szCs w:val="22"/>
          <w:lang w:val="sr-Latn-ME"/>
        </w:rPr>
        <w:t xml:space="preserve">Vrsta i sadržaj </w:t>
      </w:r>
      <w:r w:rsidR="00F8570A" w:rsidRPr="00BB0A8B">
        <w:rPr>
          <w:rFonts w:asciiTheme="majorBidi" w:hAnsiTheme="majorBidi" w:cstheme="majorBidi"/>
          <w:b/>
          <w:bCs/>
          <w:sz w:val="22"/>
          <w:szCs w:val="22"/>
          <w:lang w:val="sr-Latn-ME"/>
        </w:rPr>
        <w:t>pakovanja</w:t>
      </w:r>
      <w:r w:rsidR="00C06864" w:rsidRPr="00BB0A8B">
        <w:rPr>
          <w:rFonts w:asciiTheme="majorBidi" w:hAnsiTheme="majorBidi" w:cstheme="majorBidi"/>
          <w:b/>
          <w:bCs/>
          <w:sz w:val="22"/>
          <w:szCs w:val="22"/>
          <w:lang w:val="sr-Latn-ME"/>
        </w:rPr>
        <w:t xml:space="preserve"> </w:t>
      </w:r>
    </w:p>
    <w:p w:rsidR="001B4FDA" w:rsidRPr="00BB0A8B" w:rsidRDefault="001B4FDA" w:rsidP="00BB0A8B">
      <w:pPr>
        <w:tabs>
          <w:tab w:val="left" w:pos="540"/>
          <w:tab w:val="left" w:pos="569"/>
        </w:tabs>
        <w:rPr>
          <w:rFonts w:asciiTheme="majorBidi" w:hAnsiTheme="majorBidi" w:cstheme="majorBidi"/>
          <w:b/>
          <w:bCs/>
          <w:sz w:val="22"/>
          <w:szCs w:val="22"/>
          <w:lang w:val="sr-Latn-ME"/>
        </w:rPr>
      </w:pPr>
    </w:p>
    <w:p w:rsidR="001B4FDA" w:rsidRPr="00BB0A8B" w:rsidRDefault="001B4FDA" w:rsidP="00BB0A8B">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Unutrašnje pakovanje je Al/PVC blister koji sadrži 10 film tableta.</w:t>
      </w:r>
    </w:p>
    <w:p w:rsidR="001B4FDA" w:rsidRPr="00BB0A8B" w:rsidRDefault="001B4FDA" w:rsidP="00BB0A8B">
      <w:pPr>
        <w:tabs>
          <w:tab w:val="left" w:pos="540"/>
          <w:tab w:val="left" w:pos="569"/>
        </w:tabs>
        <w:rPr>
          <w:rFonts w:asciiTheme="majorBidi" w:hAnsiTheme="majorBidi" w:cstheme="majorBidi"/>
          <w:bCs/>
          <w:sz w:val="22"/>
          <w:szCs w:val="22"/>
          <w:lang w:val="sr-Latn-ME"/>
        </w:rPr>
      </w:pPr>
    </w:p>
    <w:p w:rsidR="001B4FDA" w:rsidRPr="00BB0A8B" w:rsidRDefault="001B4FDA" w:rsidP="00BB0A8B">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Spoljašnje pakovanje je složiva kartonska kutija u kojoj se nalaze 3 blistera (ukupno 30 film tableta) i Uputstvo za lijek.</w:t>
      </w:r>
    </w:p>
    <w:p w:rsidR="0072020E" w:rsidRPr="00BB0A8B" w:rsidRDefault="0072020E" w:rsidP="00BB0A8B">
      <w:pPr>
        <w:tabs>
          <w:tab w:val="left" w:pos="540"/>
          <w:tab w:val="left" w:pos="569"/>
        </w:tabs>
        <w:rPr>
          <w:rFonts w:asciiTheme="majorBidi" w:hAnsiTheme="majorBidi" w:cstheme="majorBidi"/>
          <w:bCs/>
          <w:sz w:val="22"/>
          <w:szCs w:val="22"/>
          <w:lang w:val="sr-Latn-ME"/>
        </w:rPr>
      </w:pPr>
    </w:p>
    <w:p w:rsidR="002846DB" w:rsidRPr="00BB0A8B" w:rsidRDefault="0072020E"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6.6.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color w:val="000000"/>
          <w:sz w:val="22"/>
          <w:szCs w:val="22"/>
          <w:lang w:val="sr-Latn-ME"/>
        </w:rPr>
        <w:t>Posebne mjere opreza pri odlaganju materijala koji treba odbaciti nakon primjene lijeka</w:t>
      </w:r>
      <w:r w:rsidRPr="00BB0A8B">
        <w:rPr>
          <w:rFonts w:asciiTheme="majorBidi" w:hAnsiTheme="majorBidi" w:cstheme="majorBidi"/>
          <w:b/>
          <w:bCs/>
          <w:sz w:val="22"/>
          <w:szCs w:val="22"/>
          <w:lang w:val="sr-Latn-ME"/>
        </w:rPr>
        <w:t xml:space="preserve"> </w:t>
      </w:r>
      <w:r w:rsidR="00310F03" w:rsidRPr="00BB0A8B">
        <w:rPr>
          <w:rFonts w:asciiTheme="majorBidi" w:hAnsiTheme="majorBidi" w:cstheme="majorBidi"/>
          <w:b/>
          <w:bCs/>
          <w:sz w:val="22"/>
          <w:szCs w:val="22"/>
          <w:lang w:val="sr-Latn-ME"/>
        </w:rPr>
        <w:t>(i druga uputs</w:t>
      </w:r>
      <w:r w:rsidR="004109FA" w:rsidRPr="00BB0A8B">
        <w:rPr>
          <w:rFonts w:asciiTheme="majorBidi" w:hAnsiTheme="majorBidi" w:cstheme="majorBidi"/>
          <w:b/>
          <w:bCs/>
          <w:sz w:val="22"/>
          <w:szCs w:val="22"/>
          <w:lang w:val="sr-Latn-ME"/>
        </w:rPr>
        <w:t>t</w:t>
      </w:r>
      <w:r w:rsidR="00310F03" w:rsidRPr="00BB0A8B">
        <w:rPr>
          <w:rFonts w:asciiTheme="majorBidi" w:hAnsiTheme="majorBidi" w:cstheme="majorBidi"/>
          <w:b/>
          <w:bCs/>
          <w:sz w:val="22"/>
          <w:szCs w:val="22"/>
          <w:lang w:val="sr-Latn-ME"/>
        </w:rPr>
        <w:t xml:space="preserve">va za rukovanje lijekom) </w:t>
      </w:r>
    </w:p>
    <w:p w:rsidR="001B4FDA" w:rsidRPr="00BB0A8B" w:rsidRDefault="001B4FDA" w:rsidP="00BB0A8B">
      <w:pPr>
        <w:tabs>
          <w:tab w:val="left" w:pos="540"/>
          <w:tab w:val="left" w:pos="569"/>
        </w:tabs>
        <w:rPr>
          <w:rFonts w:asciiTheme="majorBidi" w:hAnsiTheme="majorBidi" w:cstheme="majorBidi"/>
          <w:b/>
          <w:bCs/>
          <w:sz w:val="22"/>
          <w:szCs w:val="22"/>
          <w:lang w:val="sr-Latn-ME"/>
        </w:rPr>
      </w:pPr>
    </w:p>
    <w:p w:rsidR="001B4FDA" w:rsidRPr="00BB0A8B" w:rsidRDefault="001B4FDA" w:rsidP="00BB0A8B">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Nema posebnih zahtjeva za odlaganje.</w:t>
      </w:r>
    </w:p>
    <w:p w:rsidR="00B66A70" w:rsidRPr="00BB0A8B" w:rsidRDefault="001B4FDA" w:rsidP="00BB0A8B">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Neiskorišćeni lijek ili otpadni materijal bi trebalo ukloniti u skladu sa važećim propisima</w:t>
      </w:r>
      <w:r w:rsidR="00290902" w:rsidRPr="00BB0A8B">
        <w:rPr>
          <w:rFonts w:asciiTheme="majorBidi" w:hAnsiTheme="majorBidi" w:cstheme="majorBidi"/>
          <w:bCs/>
          <w:sz w:val="22"/>
          <w:szCs w:val="22"/>
          <w:lang w:val="sr-Latn-ME"/>
        </w:rPr>
        <w:t>.</w:t>
      </w:r>
    </w:p>
    <w:p w:rsidR="0072020E" w:rsidRDefault="0072020E" w:rsidP="00BB0A8B">
      <w:pPr>
        <w:tabs>
          <w:tab w:val="left" w:pos="540"/>
          <w:tab w:val="left" w:pos="569"/>
        </w:tabs>
        <w:rPr>
          <w:rFonts w:asciiTheme="majorBidi" w:hAnsiTheme="majorBidi" w:cstheme="majorBidi"/>
          <w:bCs/>
          <w:sz w:val="22"/>
          <w:szCs w:val="22"/>
          <w:lang w:val="sr-Latn-ME"/>
        </w:rPr>
      </w:pPr>
    </w:p>
    <w:p w:rsidR="00D43389" w:rsidRPr="00BB0A8B" w:rsidRDefault="00D43389" w:rsidP="00BB0A8B">
      <w:pPr>
        <w:tabs>
          <w:tab w:val="left" w:pos="540"/>
          <w:tab w:val="left" w:pos="569"/>
        </w:tabs>
        <w:rPr>
          <w:rFonts w:asciiTheme="majorBidi" w:hAnsiTheme="majorBidi" w:cstheme="majorBidi"/>
          <w:bCs/>
          <w:sz w:val="22"/>
          <w:szCs w:val="22"/>
          <w:lang w:val="sr-Latn-ME"/>
        </w:rPr>
      </w:pPr>
    </w:p>
    <w:p w:rsidR="00F8570A" w:rsidRPr="00BB0A8B" w:rsidRDefault="0072020E"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7.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NOSILAC DOZVOLE</w:t>
      </w:r>
      <w:r w:rsidR="00483928" w:rsidRPr="00BB0A8B">
        <w:rPr>
          <w:rFonts w:asciiTheme="majorBidi" w:hAnsiTheme="majorBidi" w:cstheme="majorBidi"/>
          <w:b/>
          <w:bCs/>
          <w:sz w:val="22"/>
          <w:szCs w:val="22"/>
          <w:lang w:val="sr-Latn-ME"/>
        </w:rPr>
        <w:t xml:space="preserve"> </w:t>
      </w:r>
    </w:p>
    <w:p w:rsidR="00BB0A8B" w:rsidRPr="00BB0A8B" w:rsidRDefault="00BB0A8B" w:rsidP="00BB0A8B">
      <w:pPr>
        <w:tabs>
          <w:tab w:val="left" w:pos="540"/>
          <w:tab w:val="left" w:pos="569"/>
        </w:tabs>
        <w:rPr>
          <w:rFonts w:asciiTheme="majorBidi" w:hAnsiTheme="majorBidi" w:cstheme="majorBidi"/>
          <w:b/>
          <w:bCs/>
          <w:sz w:val="22"/>
          <w:szCs w:val="22"/>
          <w:lang w:val="sr-Latn-ME"/>
        </w:rPr>
      </w:pPr>
    </w:p>
    <w:p w:rsidR="001B4FDA" w:rsidRPr="00BB0A8B" w:rsidRDefault="001B4FDA" w:rsidP="00BB0A8B">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Evropa Lek Pharma d.o.o. Podgorica</w:t>
      </w:r>
    </w:p>
    <w:p w:rsidR="001B4FDA" w:rsidRPr="00BB0A8B" w:rsidRDefault="001B4FDA" w:rsidP="00BB0A8B">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Kritskog odreda 4/1, 81000 Podgorica, Crna Gora</w:t>
      </w:r>
    </w:p>
    <w:p w:rsidR="00C61BE0" w:rsidRPr="00BB0A8B" w:rsidRDefault="00C61BE0" w:rsidP="00BB0A8B">
      <w:pPr>
        <w:tabs>
          <w:tab w:val="left" w:pos="540"/>
          <w:tab w:val="left" w:pos="569"/>
        </w:tabs>
        <w:rPr>
          <w:rFonts w:asciiTheme="majorBidi" w:hAnsiTheme="majorBidi" w:cstheme="majorBidi"/>
          <w:bCs/>
          <w:sz w:val="22"/>
          <w:szCs w:val="22"/>
          <w:lang w:val="sr-Latn-ME"/>
        </w:rPr>
      </w:pPr>
    </w:p>
    <w:p w:rsidR="00C37FD7" w:rsidRPr="00BB0A8B" w:rsidRDefault="00C37FD7" w:rsidP="00BB0A8B">
      <w:pPr>
        <w:tabs>
          <w:tab w:val="left" w:pos="540"/>
          <w:tab w:val="left" w:pos="569"/>
        </w:tabs>
        <w:rPr>
          <w:rFonts w:asciiTheme="majorBidi" w:hAnsiTheme="majorBidi" w:cstheme="majorBidi"/>
          <w:bCs/>
          <w:sz w:val="22"/>
          <w:szCs w:val="22"/>
          <w:lang w:val="sr-Latn-ME"/>
        </w:rPr>
      </w:pPr>
    </w:p>
    <w:p w:rsidR="0072020E" w:rsidRPr="00BB0A8B" w:rsidRDefault="0072020E"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8.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BROJ DOZVOLE</w:t>
      </w:r>
      <w:r w:rsidR="008A6D43" w:rsidRPr="00BB0A8B">
        <w:rPr>
          <w:rFonts w:asciiTheme="majorBidi" w:hAnsiTheme="majorBidi" w:cstheme="majorBidi"/>
          <w:b/>
          <w:bCs/>
          <w:sz w:val="22"/>
          <w:szCs w:val="22"/>
          <w:lang w:val="sr-Latn-ME"/>
        </w:rPr>
        <w:t xml:space="preserve"> ZA STAVLJANJE LIJEKA U PROMET</w:t>
      </w:r>
    </w:p>
    <w:p w:rsidR="0072020E" w:rsidRDefault="0072020E" w:rsidP="00BB0A8B">
      <w:pPr>
        <w:tabs>
          <w:tab w:val="left" w:pos="540"/>
          <w:tab w:val="left" w:pos="569"/>
        </w:tabs>
        <w:rPr>
          <w:rFonts w:asciiTheme="majorBidi" w:hAnsiTheme="majorBidi" w:cstheme="majorBidi"/>
          <w:bCs/>
          <w:sz w:val="22"/>
          <w:szCs w:val="22"/>
          <w:lang w:val="sr-Latn-ME"/>
        </w:rPr>
      </w:pPr>
    </w:p>
    <w:p w:rsidR="00BB0A8B" w:rsidRDefault="00BB0A8B" w:rsidP="00BB0A8B">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Erlotinib Actavis, film tableta,</w:t>
      </w:r>
      <w:r>
        <w:rPr>
          <w:rFonts w:asciiTheme="majorBidi" w:hAnsiTheme="majorBidi" w:cstheme="majorBidi"/>
          <w:bCs/>
          <w:sz w:val="22"/>
          <w:szCs w:val="22"/>
          <w:lang w:val="sr-Latn-ME"/>
        </w:rPr>
        <w:t xml:space="preserve"> 25 mg, blister, 30 film tableta:</w:t>
      </w:r>
      <w:r w:rsidR="00D43389">
        <w:rPr>
          <w:rFonts w:asciiTheme="majorBidi" w:hAnsiTheme="majorBidi" w:cstheme="majorBidi"/>
          <w:bCs/>
          <w:sz w:val="22"/>
          <w:szCs w:val="22"/>
          <w:lang w:val="sr-Latn-ME"/>
        </w:rPr>
        <w:t xml:space="preserve"> 2030/22/2041 - 556</w:t>
      </w:r>
    </w:p>
    <w:p w:rsidR="00BB0A8B" w:rsidRDefault="00BB0A8B" w:rsidP="00D43389">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Erlotinib Actavis, film tableta,</w:t>
      </w:r>
      <w:r>
        <w:rPr>
          <w:rFonts w:asciiTheme="majorBidi" w:hAnsiTheme="majorBidi" w:cstheme="majorBidi"/>
          <w:bCs/>
          <w:sz w:val="22"/>
          <w:szCs w:val="22"/>
          <w:lang w:val="sr-Latn-ME"/>
        </w:rPr>
        <w:t xml:space="preserve"> 100 mg, blister, 30 film tableta:</w:t>
      </w:r>
      <w:r w:rsidR="00D43389" w:rsidRPr="00D43389">
        <w:rPr>
          <w:rFonts w:asciiTheme="majorBidi" w:hAnsiTheme="majorBidi" w:cstheme="majorBidi"/>
          <w:bCs/>
          <w:sz w:val="22"/>
          <w:szCs w:val="22"/>
          <w:lang w:val="sr-Latn-ME"/>
        </w:rPr>
        <w:t xml:space="preserve"> </w:t>
      </w:r>
      <w:r w:rsidR="00D43389">
        <w:rPr>
          <w:rFonts w:asciiTheme="majorBidi" w:hAnsiTheme="majorBidi" w:cstheme="majorBidi"/>
          <w:bCs/>
          <w:sz w:val="22"/>
          <w:szCs w:val="22"/>
          <w:lang w:val="sr-Latn-ME"/>
        </w:rPr>
        <w:t>2030/22/204</w:t>
      </w:r>
      <w:r w:rsidR="00D43389">
        <w:rPr>
          <w:rFonts w:asciiTheme="majorBidi" w:hAnsiTheme="majorBidi" w:cstheme="majorBidi"/>
          <w:bCs/>
          <w:sz w:val="22"/>
          <w:szCs w:val="22"/>
          <w:lang w:val="sr-Latn-ME"/>
        </w:rPr>
        <w:t>2</w:t>
      </w:r>
      <w:r w:rsidR="00D43389">
        <w:rPr>
          <w:rFonts w:asciiTheme="majorBidi" w:hAnsiTheme="majorBidi" w:cstheme="majorBidi"/>
          <w:bCs/>
          <w:sz w:val="22"/>
          <w:szCs w:val="22"/>
          <w:lang w:val="sr-Latn-ME"/>
        </w:rPr>
        <w:t xml:space="preserve"> - 55</w:t>
      </w:r>
      <w:r w:rsidR="00D43389">
        <w:rPr>
          <w:rFonts w:asciiTheme="majorBidi" w:hAnsiTheme="majorBidi" w:cstheme="majorBidi"/>
          <w:bCs/>
          <w:sz w:val="22"/>
          <w:szCs w:val="22"/>
          <w:lang w:val="sr-Latn-ME"/>
        </w:rPr>
        <w:t>7</w:t>
      </w:r>
    </w:p>
    <w:p w:rsidR="00BB0A8B" w:rsidRDefault="00BB0A8B" w:rsidP="00D43389">
      <w:pPr>
        <w:tabs>
          <w:tab w:val="left" w:pos="540"/>
          <w:tab w:val="left" w:pos="569"/>
        </w:tabs>
        <w:rPr>
          <w:rFonts w:asciiTheme="majorBidi" w:hAnsiTheme="majorBidi" w:cstheme="majorBidi"/>
          <w:bCs/>
          <w:sz w:val="22"/>
          <w:szCs w:val="22"/>
          <w:lang w:val="sr-Latn-ME"/>
        </w:rPr>
      </w:pPr>
      <w:r w:rsidRPr="00BB0A8B">
        <w:rPr>
          <w:rFonts w:asciiTheme="majorBidi" w:hAnsiTheme="majorBidi" w:cstheme="majorBidi"/>
          <w:bCs/>
          <w:sz w:val="22"/>
          <w:szCs w:val="22"/>
          <w:lang w:val="sr-Latn-ME"/>
        </w:rPr>
        <w:t>Erlotinib Actavis, film tableta,</w:t>
      </w:r>
      <w:r>
        <w:rPr>
          <w:rFonts w:asciiTheme="majorBidi" w:hAnsiTheme="majorBidi" w:cstheme="majorBidi"/>
          <w:bCs/>
          <w:sz w:val="22"/>
          <w:szCs w:val="22"/>
          <w:lang w:val="sr-Latn-ME"/>
        </w:rPr>
        <w:t xml:space="preserve"> 150 mg, blister, 30 film tableta:</w:t>
      </w:r>
      <w:r w:rsidR="00D43389" w:rsidRPr="00D43389">
        <w:rPr>
          <w:rFonts w:asciiTheme="majorBidi" w:hAnsiTheme="majorBidi" w:cstheme="majorBidi"/>
          <w:bCs/>
          <w:sz w:val="22"/>
          <w:szCs w:val="22"/>
          <w:lang w:val="sr-Latn-ME"/>
        </w:rPr>
        <w:t xml:space="preserve"> </w:t>
      </w:r>
      <w:r w:rsidR="00D43389">
        <w:rPr>
          <w:rFonts w:asciiTheme="majorBidi" w:hAnsiTheme="majorBidi" w:cstheme="majorBidi"/>
          <w:bCs/>
          <w:sz w:val="22"/>
          <w:szCs w:val="22"/>
          <w:lang w:val="sr-Latn-ME"/>
        </w:rPr>
        <w:t>2030/22/204</w:t>
      </w:r>
      <w:r w:rsidR="00D43389">
        <w:rPr>
          <w:rFonts w:asciiTheme="majorBidi" w:hAnsiTheme="majorBidi" w:cstheme="majorBidi"/>
          <w:bCs/>
          <w:sz w:val="22"/>
          <w:szCs w:val="22"/>
          <w:lang w:val="sr-Latn-ME"/>
        </w:rPr>
        <w:t>3</w:t>
      </w:r>
      <w:r w:rsidR="00D43389">
        <w:rPr>
          <w:rFonts w:asciiTheme="majorBidi" w:hAnsiTheme="majorBidi" w:cstheme="majorBidi"/>
          <w:bCs/>
          <w:sz w:val="22"/>
          <w:szCs w:val="22"/>
          <w:lang w:val="sr-Latn-ME"/>
        </w:rPr>
        <w:t xml:space="preserve"> - 55</w:t>
      </w:r>
      <w:r w:rsidR="00D43389">
        <w:rPr>
          <w:rFonts w:asciiTheme="majorBidi" w:hAnsiTheme="majorBidi" w:cstheme="majorBidi"/>
          <w:bCs/>
          <w:sz w:val="22"/>
          <w:szCs w:val="22"/>
          <w:lang w:val="sr-Latn-ME"/>
        </w:rPr>
        <w:t>8</w:t>
      </w:r>
    </w:p>
    <w:p w:rsidR="00BB0A8B" w:rsidRDefault="00BB0A8B" w:rsidP="00BB0A8B">
      <w:pPr>
        <w:tabs>
          <w:tab w:val="left" w:pos="540"/>
          <w:tab w:val="left" w:pos="569"/>
        </w:tabs>
        <w:rPr>
          <w:rFonts w:asciiTheme="majorBidi" w:hAnsiTheme="majorBidi" w:cstheme="majorBidi"/>
          <w:bCs/>
          <w:sz w:val="22"/>
          <w:szCs w:val="22"/>
          <w:lang w:val="sr-Latn-ME"/>
        </w:rPr>
      </w:pPr>
    </w:p>
    <w:p w:rsidR="00BB0A8B" w:rsidRPr="00BB0A8B" w:rsidRDefault="00BB0A8B" w:rsidP="00BB0A8B">
      <w:pPr>
        <w:tabs>
          <w:tab w:val="left" w:pos="540"/>
          <w:tab w:val="left" w:pos="569"/>
        </w:tabs>
        <w:rPr>
          <w:rFonts w:asciiTheme="majorBidi" w:hAnsiTheme="majorBidi" w:cstheme="majorBidi"/>
          <w:bCs/>
          <w:sz w:val="22"/>
          <w:szCs w:val="22"/>
          <w:lang w:val="sr-Latn-ME"/>
        </w:rPr>
      </w:pPr>
    </w:p>
    <w:p w:rsidR="00F45F77" w:rsidRPr="00BB0A8B" w:rsidRDefault="00F45F77" w:rsidP="00BB0A8B">
      <w:pPr>
        <w:tabs>
          <w:tab w:val="left" w:pos="540"/>
          <w:tab w:val="left" w:pos="569"/>
        </w:tabs>
        <w:rPr>
          <w:rFonts w:asciiTheme="majorBidi" w:hAnsiTheme="majorBidi" w:cstheme="majorBidi"/>
          <w:bCs/>
          <w:sz w:val="22"/>
          <w:szCs w:val="22"/>
          <w:lang w:val="sr-Latn-ME"/>
        </w:rPr>
      </w:pPr>
    </w:p>
    <w:p w:rsidR="0072020E" w:rsidRPr="00BB0A8B" w:rsidRDefault="0072020E" w:rsidP="00BB0A8B">
      <w:pPr>
        <w:tabs>
          <w:tab w:val="left" w:pos="540"/>
          <w:tab w:val="left" w:pos="569"/>
        </w:tabs>
        <w:rPr>
          <w:rFonts w:asciiTheme="majorBidi" w:hAnsiTheme="majorBidi" w:cstheme="majorBidi"/>
          <w:b/>
          <w:bCs/>
          <w:sz w:val="22"/>
          <w:szCs w:val="22"/>
          <w:lang w:val="sr-Latn-ME"/>
        </w:rPr>
      </w:pPr>
      <w:r w:rsidRPr="00BB0A8B">
        <w:rPr>
          <w:rFonts w:asciiTheme="majorBidi" w:hAnsiTheme="majorBidi" w:cstheme="majorBidi"/>
          <w:b/>
          <w:bCs/>
          <w:sz w:val="22"/>
          <w:szCs w:val="22"/>
          <w:lang w:val="sr-Latn-ME"/>
        </w:rPr>
        <w:t xml:space="preserve">9. </w:t>
      </w:r>
      <w:r w:rsidR="00480FB1" w:rsidRPr="00BB0A8B">
        <w:rPr>
          <w:rFonts w:asciiTheme="majorBidi" w:hAnsiTheme="majorBidi" w:cstheme="majorBidi"/>
          <w:b/>
          <w:bCs/>
          <w:sz w:val="22"/>
          <w:szCs w:val="22"/>
          <w:lang w:val="sr-Latn-ME"/>
        </w:rPr>
        <w:tab/>
      </w:r>
      <w:r w:rsidRPr="00BB0A8B">
        <w:rPr>
          <w:rFonts w:asciiTheme="majorBidi" w:hAnsiTheme="majorBidi" w:cstheme="majorBidi"/>
          <w:b/>
          <w:bCs/>
          <w:sz w:val="22"/>
          <w:szCs w:val="22"/>
          <w:lang w:val="sr-Latn-ME"/>
        </w:rPr>
        <w:t xml:space="preserve">DATUM </w:t>
      </w:r>
      <w:r w:rsidR="00C05DF8" w:rsidRPr="00BB0A8B">
        <w:rPr>
          <w:rFonts w:asciiTheme="majorBidi" w:hAnsiTheme="majorBidi" w:cstheme="majorBidi"/>
          <w:b/>
          <w:bCs/>
          <w:sz w:val="22"/>
          <w:szCs w:val="22"/>
          <w:lang w:val="sr-Latn-ME"/>
        </w:rPr>
        <w:t xml:space="preserve">PRVE </w:t>
      </w:r>
      <w:r w:rsidR="008A6D43" w:rsidRPr="00BB0A8B">
        <w:rPr>
          <w:rFonts w:asciiTheme="majorBidi" w:hAnsiTheme="majorBidi" w:cstheme="majorBidi"/>
          <w:b/>
          <w:bCs/>
          <w:sz w:val="22"/>
          <w:szCs w:val="22"/>
          <w:lang w:val="sr-Latn-ME"/>
        </w:rPr>
        <w:t>DOZVOLE</w:t>
      </w:r>
      <w:r w:rsidR="00C05DF8" w:rsidRPr="00BB0A8B">
        <w:rPr>
          <w:rFonts w:asciiTheme="majorBidi" w:hAnsiTheme="majorBidi" w:cstheme="majorBidi"/>
          <w:b/>
          <w:bCs/>
          <w:sz w:val="22"/>
          <w:szCs w:val="22"/>
          <w:lang w:val="sr-Latn-ME"/>
        </w:rPr>
        <w:t>/OBNOVE DOZVOLE</w:t>
      </w:r>
      <w:r w:rsidR="008A6D43" w:rsidRPr="00BB0A8B">
        <w:rPr>
          <w:rFonts w:asciiTheme="majorBidi" w:hAnsiTheme="majorBidi" w:cstheme="majorBidi"/>
          <w:b/>
          <w:bCs/>
          <w:sz w:val="22"/>
          <w:szCs w:val="22"/>
          <w:lang w:val="sr-Latn-ME"/>
        </w:rPr>
        <w:t xml:space="preserve"> ZA STAVLJANJE LIJEKA U PROMET</w:t>
      </w:r>
    </w:p>
    <w:p w:rsidR="0072020E" w:rsidRDefault="0072020E" w:rsidP="00BB0A8B">
      <w:pPr>
        <w:tabs>
          <w:tab w:val="left" w:pos="540"/>
          <w:tab w:val="left" w:pos="569"/>
        </w:tabs>
        <w:rPr>
          <w:rFonts w:asciiTheme="majorBidi" w:hAnsiTheme="majorBidi" w:cstheme="majorBidi"/>
          <w:bCs/>
          <w:sz w:val="22"/>
          <w:szCs w:val="22"/>
          <w:lang w:val="sr-Latn-ME"/>
        </w:rPr>
      </w:pPr>
    </w:p>
    <w:p w:rsidR="00BB0A8B" w:rsidRDefault="00BB0A8B" w:rsidP="00BB0A8B">
      <w:pPr>
        <w:tabs>
          <w:tab w:val="left" w:pos="540"/>
          <w:tab w:val="left" w:pos="569"/>
        </w:tabs>
        <w:rPr>
          <w:rFonts w:asciiTheme="majorBidi" w:hAnsiTheme="majorBidi" w:cstheme="majorBidi"/>
          <w:bCs/>
          <w:sz w:val="22"/>
          <w:szCs w:val="22"/>
          <w:lang w:val="sr-Latn-ME"/>
        </w:rPr>
      </w:pPr>
      <w:r>
        <w:rPr>
          <w:rFonts w:asciiTheme="majorBidi" w:hAnsiTheme="majorBidi" w:cstheme="majorBidi"/>
          <w:bCs/>
          <w:sz w:val="22"/>
          <w:szCs w:val="22"/>
          <w:lang w:val="sr-Latn-ME"/>
        </w:rPr>
        <w:t>02.09.2022. godine</w:t>
      </w:r>
    </w:p>
    <w:p w:rsidR="00D43389" w:rsidRPr="00BB0A8B" w:rsidRDefault="00D43389" w:rsidP="00BB0A8B">
      <w:pPr>
        <w:tabs>
          <w:tab w:val="left" w:pos="540"/>
          <w:tab w:val="left" w:pos="569"/>
        </w:tabs>
        <w:rPr>
          <w:rFonts w:asciiTheme="majorBidi" w:hAnsiTheme="majorBidi" w:cstheme="majorBidi"/>
          <w:bCs/>
          <w:sz w:val="22"/>
          <w:szCs w:val="22"/>
          <w:lang w:val="sr-Latn-ME"/>
        </w:rPr>
      </w:pPr>
      <w:bookmarkStart w:id="0" w:name="_GoBack"/>
      <w:bookmarkEnd w:id="0"/>
    </w:p>
    <w:p w:rsidR="00836B35" w:rsidRPr="00BB0A8B" w:rsidRDefault="00836B35" w:rsidP="00BB0A8B">
      <w:pPr>
        <w:tabs>
          <w:tab w:val="left" w:pos="540"/>
          <w:tab w:val="left" w:pos="569"/>
        </w:tabs>
        <w:rPr>
          <w:rFonts w:asciiTheme="majorBidi" w:hAnsiTheme="majorBidi" w:cstheme="majorBidi"/>
          <w:bCs/>
          <w:sz w:val="22"/>
          <w:szCs w:val="22"/>
          <w:lang w:val="sr-Latn-ME"/>
        </w:rPr>
      </w:pPr>
    </w:p>
    <w:p w:rsidR="003F6A59" w:rsidRPr="00BB0A8B" w:rsidRDefault="0072020E" w:rsidP="00BB0A8B">
      <w:pPr>
        <w:tabs>
          <w:tab w:val="left" w:pos="540"/>
          <w:tab w:val="left" w:pos="569"/>
        </w:tabs>
        <w:ind w:left="540" w:hanging="540"/>
        <w:rPr>
          <w:rFonts w:asciiTheme="majorBidi" w:hAnsiTheme="majorBidi" w:cstheme="majorBidi"/>
          <w:bCs/>
          <w:sz w:val="22"/>
          <w:szCs w:val="22"/>
          <w:lang w:val="sr-Latn-ME"/>
        </w:rPr>
      </w:pPr>
      <w:r w:rsidRPr="00BB0A8B">
        <w:rPr>
          <w:rFonts w:asciiTheme="majorBidi" w:hAnsiTheme="majorBidi" w:cstheme="majorBidi"/>
          <w:b/>
          <w:bCs/>
          <w:sz w:val="22"/>
          <w:szCs w:val="22"/>
          <w:lang w:val="sr-Latn-ME"/>
        </w:rPr>
        <w:t xml:space="preserve">10. </w:t>
      </w:r>
      <w:r w:rsidR="00480FB1" w:rsidRPr="00BB0A8B">
        <w:rPr>
          <w:rFonts w:asciiTheme="majorBidi" w:hAnsiTheme="majorBidi" w:cstheme="majorBidi"/>
          <w:b/>
          <w:bCs/>
          <w:sz w:val="22"/>
          <w:szCs w:val="22"/>
          <w:lang w:val="sr-Latn-ME"/>
        </w:rPr>
        <w:tab/>
      </w:r>
      <w:r w:rsidR="002846DB" w:rsidRPr="00BB0A8B">
        <w:rPr>
          <w:rFonts w:asciiTheme="majorBidi" w:hAnsiTheme="majorBidi" w:cstheme="majorBidi"/>
          <w:b/>
          <w:bCs/>
          <w:sz w:val="22"/>
          <w:szCs w:val="22"/>
          <w:lang w:val="sr-Latn-ME"/>
        </w:rPr>
        <w:t>D</w:t>
      </w:r>
      <w:r w:rsidR="00EC2532" w:rsidRPr="00BB0A8B">
        <w:rPr>
          <w:rFonts w:asciiTheme="majorBidi" w:hAnsiTheme="majorBidi" w:cstheme="majorBidi"/>
          <w:b/>
          <w:bCs/>
          <w:sz w:val="22"/>
          <w:szCs w:val="22"/>
          <w:lang w:val="sr-Latn-ME"/>
        </w:rPr>
        <w:t xml:space="preserve">ATUM REVIZIJE TEKSTA </w:t>
      </w:r>
    </w:p>
    <w:p w:rsidR="003F6A59" w:rsidRPr="00BB0A8B" w:rsidRDefault="003F6A59" w:rsidP="00BB0A8B">
      <w:pPr>
        <w:tabs>
          <w:tab w:val="left" w:pos="540"/>
          <w:tab w:val="left" w:pos="569"/>
        </w:tabs>
        <w:rPr>
          <w:rFonts w:asciiTheme="majorBidi" w:hAnsiTheme="majorBidi" w:cstheme="majorBidi"/>
          <w:bCs/>
          <w:sz w:val="22"/>
          <w:szCs w:val="22"/>
          <w:lang w:val="sr-Latn-ME"/>
        </w:rPr>
      </w:pPr>
    </w:p>
    <w:p w:rsidR="003F6A59" w:rsidRPr="00BB0A8B" w:rsidRDefault="00BB0A8B" w:rsidP="00BB0A8B">
      <w:pPr>
        <w:rPr>
          <w:rFonts w:asciiTheme="majorBidi" w:hAnsiTheme="majorBidi" w:cstheme="majorBidi"/>
          <w:sz w:val="22"/>
          <w:szCs w:val="22"/>
          <w:lang w:val="sr-Latn-ME"/>
        </w:rPr>
      </w:pPr>
      <w:r>
        <w:rPr>
          <w:rFonts w:asciiTheme="majorBidi" w:hAnsiTheme="majorBidi" w:cstheme="majorBidi"/>
          <w:sz w:val="22"/>
          <w:szCs w:val="22"/>
          <w:lang w:val="sr-Latn-ME"/>
        </w:rPr>
        <w:t>Septembar, 2022. godine</w:t>
      </w:r>
    </w:p>
    <w:sectPr w:rsidR="003F6A59" w:rsidRPr="00BB0A8B"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BFB" w:rsidRDefault="00025BFB">
      <w:r>
        <w:separator/>
      </w:r>
    </w:p>
  </w:endnote>
  <w:endnote w:type="continuationSeparator" w:id="0">
    <w:p w:rsidR="00025BFB" w:rsidRDefault="0002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5F2" w:rsidRPr="00B23F69" w:rsidRDefault="002235F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43389">
      <w:rPr>
        <w:noProof/>
        <w:sz w:val="22"/>
        <w:szCs w:val="22"/>
      </w:rPr>
      <w:t>21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43389">
      <w:rPr>
        <w:noProof/>
        <w:sz w:val="22"/>
        <w:szCs w:val="22"/>
      </w:rPr>
      <w:t>23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BFB" w:rsidRDefault="00025BFB">
      <w:r>
        <w:separator/>
      </w:r>
    </w:p>
  </w:footnote>
  <w:footnote w:type="continuationSeparator" w:id="0">
    <w:p w:rsidR="00025BFB" w:rsidRDefault="00025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6pt;height:14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5BFB"/>
    <w:rsid w:val="00026E08"/>
    <w:rsid w:val="00036FA0"/>
    <w:rsid w:val="0003793F"/>
    <w:rsid w:val="00057E35"/>
    <w:rsid w:val="0006558F"/>
    <w:rsid w:val="00076726"/>
    <w:rsid w:val="00080303"/>
    <w:rsid w:val="000A3F58"/>
    <w:rsid w:val="000A57A9"/>
    <w:rsid w:val="000B34A5"/>
    <w:rsid w:val="000D2343"/>
    <w:rsid w:val="000D3449"/>
    <w:rsid w:val="000D425A"/>
    <w:rsid w:val="000D60CC"/>
    <w:rsid w:val="000E2084"/>
    <w:rsid w:val="000E3E3D"/>
    <w:rsid w:val="000E6F55"/>
    <w:rsid w:val="000F3979"/>
    <w:rsid w:val="000F77FA"/>
    <w:rsid w:val="00107BF7"/>
    <w:rsid w:val="00121F52"/>
    <w:rsid w:val="00126758"/>
    <w:rsid w:val="00126F53"/>
    <w:rsid w:val="0014766D"/>
    <w:rsid w:val="001536CC"/>
    <w:rsid w:val="00176468"/>
    <w:rsid w:val="001A3FBA"/>
    <w:rsid w:val="001A5518"/>
    <w:rsid w:val="001B1C6A"/>
    <w:rsid w:val="001B4FDA"/>
    <w:rsid w:val="001C1263"/>
    <w:rsid w:val="001C1417"/>
    <w:rsid w:val="001E390B"/>
    <w:rsid w:val="001E3D7C"/>
    <w:rsid w:val="001F42FB"/>
    <w:rsid w:val="001F719A"/>
    <w:rsid w:val="0020077A"/>
    <w:rsid w:val="002031B3"/>
    <w:rsid w:val="002107CB"/>
    <w:rsid w:val="00215931"/>
    <w:rsid w:val="00222BBD"/>
    <w:rsid w:val="002235F2"/>
    <w:rsid w:val="00224C91"/>
    <w:rsid w:val="00225F80"/>
    <w:rsid w:val="00227BDB"/>
    <w:rsid w:val="00234CB1"/>
    <w:rsid w:val="002352F8"/>
    <w:rsid w:val="00250526"/>
    <w:rsid w:val="002510A5"/>
    <w:rsid w:val="00254A0A"/>
    <w:rsid w:val="00261193"/>
    <w:rsid w:val="002639BC"/>
    <w:rsid w:val="00266046"/>
    <w:rsid w:val="002846DB"/>
    <w:rsid w:val="00284CCD"/>
    <w:rsid w:val="00290902"/>
    <w:rsid w:val="002C6637"/>
    <w:rsid w:val="002E0135"/>
    <w:rsid w:val="002E37A5"/>
    <w:rsid w:val="00300BB8"/>
    <w:rsid w:val="00310F03"/>
    <w:rsid w:val="00315453"/>
    <w:rsid w:val="003247D2"/>
    <w:rsid w:val="003445C1"/>
    <w:rsid w:val="00345506"/>
    <w:rsid w:val="003559C6"/>
    <w:rsid w:val="00355B61"/>
    <w:rsid w:val="00362686"/>
    <w:rsid w:val="00371510"/>
    <w:rsid w:val="00396DFD"/>
    <w:rsid w:val="003A3C14"/>
    <w:rsid w:val="003A7059"/>
    <w:rsid w:val="003B7A36"/>
    <w:rsid w:val="003C17AB"/>
    <w:rsid w:val="003C7823"/>
    <w:rsid w:val="003D7127"/>
    <w:rsid w:val="003E1DCC"/>
    <w:rsid w:val="003F0956"/>
    <w:rsid w:val="003F11A1"/>
    <w:rsid w:val="003F6A59"/>
    <w:rsid w:val="004065C8"/>
    <w:rsid w:val="004109FA"/>
    <w:rsid w:val="00411B4B"/>
    <w:rsid w:val="00415BEE"/>
    <w:rsid w:val="00427F85"/>
    <w:rsid w:val="00436F42"/>
    <w:rsid w:val="004378B4"/>
    <w:rsid w:val="00451314"/>
    <w:rsid w:val="00452E9D"/>
    <w:rsid w:val="004534C7"/>
    <w:rsid w:val="004671AA"/>
    <w:rsid w:val="00480FB1"/>
    <w:rsid w:val="00483928"/>
    <w:rsid w:val="004C331F"/>
    <w:rsid w:val="004D6103"/>
    <w:rsid w:val="004E3BCE"/>
    <w:rsid w:val="004E70AD"/>
    <w:rsid w:val="004E78B0"/>
    <w:rsid w:val="004F0E97"/>
    <w:rsid w:val="00501DD1"/>
    <w:rsid w:val="00515C21"/>
    <w:rsid w:val="00530BD7"/>
    <w:rsid w:val="00545CD2"/>
    <w:rsid w:val="005476F3"/>
    <w:rsid w:val="00572527"/>
    <w:rsid w:val="00573E40"/>
    <w:rsid w:val="00576348"/>
    <w:rsid w:val="005A0B2E"/>
    <w:rsid w:val="005A23D2"/>
    <w:rsid w:val="005A36CB"/>
    <w:rsid w:val="005B49B8"/>
    <w:rsid w:val="005C0741"/>
    <w:rsid w:val="005C5EF4"/>
    <w:rsid w:val="005E2E0B"/>
    <w:rsid w:val="005E7A7D"/>
    <w:rsid w:val="005F6DAA"/>
    <w:rsid w:val="006021B6"/>
    <w:rsid w:val="00602457"/>
    <w:rsid w:val="006103AA"/>
    <w:rsid w:val="00634507"/>
    <w:rsid w:val="00644FC3"/>
    <w:rsid w:val="00646BD1"/>
    <w:rsid w:val="006561C2"/>
    <w:rsid w:val="00663E23"/>
    <w:rsid w:val="00671CB3"/>
    <w:rsid w:val="00672C77"/>
    <w:rsid w:val="00674BAF"/>
    <w:rsid w:val="00682200"/>
    <w:rsid w:val="00692BF6"/>
    <w:rsid w:val="006936CC"/>
    <w:rsid w:val="006A1497"/>
    <w:rsid w:val="006B0BD1"/>
    <w:rsid w:val="006B5404"/>
    <w:rsid w:val="006D20A5"/>
    <w:rsid w:val="006D37BF"/>
    <w:rsid w:val="00702E22"/>
    <w:rsid w:val="0072020E"/>
    <w:rsid w:val="00740054"/>
    <w:rsid w:val="00744D7D"/>
    <w:rsid w:val="00786071"/>
    <w:rsid w:val="007A3ECB"/>
    <w:rsid w:val="007D7BB3"/>
    <w:rsid w:val="007E53C2"/>
    <w:rsid w:val="00824AB9"/>
    <w:rsid w:val="00836B35"/>
    <w:rsid w:val="00843BDE"/>
    <w:rsid w:val="00865FCD"/>
    <w:rsid w:val="00872866"/>
    <w:rsid w:val="0087588C"/>
    <w:rsid w:val="00893D86"/>
    <w:rsid w:val="0089705C"/>
    <w:rsid w:val="008A6D43"/>
    <w:rsid w:val="008B491E"/>
    <w:rsid w:val="008C1A28"/>
    <w:rsid w:val="008C2E98"/>
    <w:rsid w:val="008E49BD"/>
    <w:rsid w:val="008E53E9"/>
    <w:rsid w:val="008E5771"/>
    <w:rsid w:val="008F4ACF"/>
    <w:rsid w:val="00924166"/>
    <w:rsid w:val="00940B9B"/>
    <w:rsid w:val="0095676E"/>
    <w:rsid w:val="00956983"/>
    <w:rsid w:val="00963CF0"/>
    <w:rsid w:val="00964BB1"/>
    <w:rsid w:val="009775D9"/>
    <w:rsid w:val="00980937"/>
    <w:rsid w:val="00996D14"/>
    <w:rsid w:val="00997175"/>
    <w:rsid w:val="009A1847"/>
    <w:rsid w:val="009B062A"/>
    <w:rsid w:val="009B1A0E"/>
    <w:rsid w:val="009D550B"/>
    <w:rsid w:val="009E7C6F"/>
    <w:rsid w:val="009F1793"/>
    <w:rsid w:val="009F2D23"/>
    <w:rsid w:val="009F5A38"/>
    <w:rsid w:val="00A01D69"/>
    <w:rsid w:val="00A02335"/>
    <w:rsid w:val="00A0342A"/>
    <w:rsid w:val="00A46C9A"/>
    <w:rsid w:val="00A552F1"/>
    <w:rsid w:val="00A619F3"/>
    <w:rsid w:val="00A62A73"/>
    <w:rsid w:val="00A70E6A"/>
    <w:rsid w:val="00A87FF6"/>
    <w:rsid w:val="00AA0A3B"/>
    <w:rsid w:val="00AA2763"/>
    <w:rsid w:val="00AA33B6"/>
    <w:rsid w:val="00AB50CA"/>
    <w:rsid w:val="00AB6D64"/>
    <w:rsid w:val="00AC53CE"/>
    <w:rsid w:val="00AD2193"/>
    <w:rsid w:val="00AF2AC7"/>
    <w:rsid w:val="00AF74CE"/>
    <w:rsid w:val="00B05517"/>
    <w:rsid w:val="00B208DB"/>
    <w:rsid w:val="00B23F69"/>
    <w:rsid w:val="00B60619"/>
    <w:rsid w:val="00B66A70"/>
    <w:rsid w:val="00B67366"/>
    <w:rsid w:val="00B77CC3"/>
    <w:rsid w:val="00B80EE1"/>
    <w:rsid w:val="00B84135"/>
    <w:rsid w:val="00BB0A8B"/>
    <w:rsid w:val="00BB2761"/>
    <w:rsid w:val="00BB6E57"/>
    <w:rsid w:val="00BE08E0"/>
    <w:rsid w:val="00C04D34"/>
    <w:rsid w:val="00C05DF8"/>
    <w:rsid w:val="00C06864"/>
    <w:rsid w:val="00C10F54"/>
    <w:rsid w:val="00C23D8D"/>
    <w:rsid w:val="00C37AA3"/>
    <w:rsid w:val="00C37FD7"/>
    <w:rsid w:val="00C43419"/>
    <w:rsid w:val="00C44CF3"/>
    <w:rsid w:val="00C510E6"/>
    <w:rsid w:val="00C61BE0"/>
    <w:rsid w:val="00C6707E"/>
    <w:rsid w:val="00C70B0E"/>
    <w:rsid w:val="00C773CA"/>
    <w:rsid w:val="00C83497"/>
    <w:rsid w:val="00C83785"/>
    <w:rsid w:val="00C86467"/>
    <w:rsid w:val="00C94C0D"/>
    <w:rsid w:val="00CA1FEB"/>
    <w:rsid w:val="00CA6EE2"/>
    <w:rsid w:val="00CC64C5"/>
    <w:rsid w:val="00CD2B8A"/>
    <w:rsid w:val="00CD4F85"/>
    <w:rsid w:val="00CD6F02"/>
    <w:rsid w:val="00CE246D"/>
    <w:rsid w:val="00CE4F97"/>
    <w:rsid w:val="00CE577D"/>
    <w:rsid w:val="00CF07A0"/>
    <w:rsid w:val="00CF3E03"/>
    <w:rsid w:val="00D0082A"/>
    <w:rsid w:val="00D21455"/>
    <w:rsid w:val="00D43389"/>
    <w:rsid w:val="00D47634"/>
    <w:rsid w:val="00D709B3"/>
    <w:rsid w:val="00D74D18"/>
    <w:rsid w:val="00DA2ED6"/>
    <w:rsid w:val="00DB76B8"/>
    <w:rsid w:val="00DC2EA1"/>
    <w:rsid w:val="00DD175A"/>
    <w:rsid w:val="00DD6AAF"/>
    <w:rsid w:val="00DE3F5C"/>
    <w:rsid w:val="00DF1D20"/>
    <w:rsid w:val="00E06C57"/>
    <w:rsid w:val="00E21324"/>
    <w:rsid w:val="00E246B9"/>
    <w:rsid w:val="00E308EE"/>
    <w:rsid w:val="00E31FEA"/>
    <w:rsid w:val="00E45169"/>
    <w:rsid w:val="00E47787"/>
    <w:rsid w:val="00E51C30"/>
    <w:rsid w:val="00E62892"/>
    <w:rsid w:val="00E64180"/>
    <w:rsid w:val="00E74AEE"/>
    <w:rsid w:val="00E806D9"/>
    <w:rsid w:val="00E868E5"/>
    <w:rsid w:val="00E9237A"/>
    <w:rsid w:val="00E939FA"/>
    <w:rsid w:val="00EA5765"/>
    <w:rsid w:val="00EC2532"/>
    <w:rsid w:val="00ED7812"/>
    <w:rsid w:val="00EF3B86"/>
    <w:rsid w:val="00EF55A4"/>
    <w:rsid w:val="00F317E9"/>
    <w:rsid w:val="00F34554"/>
    <w:rsid w:val="00F45F77"/>
    <w:rsid w:val="00F5167F"/>
    <w:rsid w:val="00F52258"/>
    <w:rsid w:val="00F7298E"/>
    <w:rsid w:val="00F8570A"/>
    <w:rsid w:val="00F91C7B"/>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96BE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2869">
      <w:bodyDiv w:val="1"/>
      <w:marLeft w:val="0"/>
      <w:marRight w:val="0"/>
      <w:marTop w:val="0"/>
      <w:marBottom w:val="0"/>
      <w:divBdr>
        <w:top w:val="none" w:sz="0" w:space="0" w:color="auto"/>
        <w:left w:val="none" w:sz="0" w:space="0" w:color="auto"/>
        <w:bottom w:val="none" w:sz="0" w:space="0" w:color="auto"/>
        <w:right w:val="none" w:sz="0" w:space="0" w:color="auto"/>
      </w:divBdr>
    </w:div>
    <w:div w:id="198275370">
      <w:bodyDiv w:val="1"/>
      <w:marLeft w:val="0"/>
      <w:marRight w:val="0"/>
      <w:marTop w:val="0"/>
      <w:marBottom w:val="0"/>
      <w:divBdr>
        <w:top w:val="none" w:sz="0" w:space="0" w:color="auto"/>
        <w:left w:val="none" w:sz="0" w:space="0" w:color="auto"/>
        <w:bottom w:val="none" w:sz="0" w:space="0" w:color="auto"/>
        <w:right w:val="none" w:sz="0" w:space="0" w:color="auto"/>
      </w:divBdr>
    </w:div>
    <w:div w:id="212540419">
      <w:bodyDiv w:val="1"/>
      <w:marLeft w:val="0"/>
      <w:marRight w:val="0"/>
      <w:marTop w:val="0"/>
      <w:marBottom w:val="0"/>
      <w:divBdr>
        <w:top w:val="none" w:sz="0" w:space="0" w:color="auto"/>
        <w:left w:val="none" w:sz="0" w:space="0" w:color="auto"/>
        <w:bottom w:val="none" w:sz="0" w:space="0" w:color="auto"/>
        <w:right w:val="none" w:sz="0" w:space="0" w:color="auto"/>
      </w:divBdr>
    </w:div>
    <w:div w:id="286283318">
      <w:bodyDiv w:val="1"/>
      <w:marLeft w:val="0"/>
      <w:marRight w:val="0"/>
      <w:marTop w:val="0"/>
      <w:marBottom w:val="0"/>
      <w:divBdr>
        <w:top w:val="none" w:sz="0" w:space="0" w:color="auto"/>
        <w:left w:val="none" w:sz="0" w:space="0" w:color="auto"/>
        <w:bottom w:val="none" w:sz="0" w:space="0" w:color="auto"/>
        <w:right w:val="none" w:sz="0" w:space="0" w:color="auto"/>
      </w:divBdr>
    </w:div>
    <w:div w:id="372463957">
      <w:bodyDiv w:val="1"/>
      <w:marLeft w:val="0"/>
      <w:marRight w:val="0"/>
      <w:marTop w:val="0"/>
      <w:marBottom w:val="0"/>
      <w:divBdr>
        <w:top w:val="none" w:sz="0" w:space="0" w:color="auto"/>
        <w:left w:val="none" w:sz="0" w:space="0" w:color="auto"/>
        <w:bottom w:val="none" w:sz="0" w:space="0" w:color="auto"/>
        <w:right w:val="none" w:sz="0" w:space="0" w:color="auto"/>
      </w:divBdr>
    </w:div>
    <w:div w:id="383455374">
      <w:bodyDiv w:val="1"/>
      <w:marLeft w:val="0"/>
      <w:marRight w:val="0"/>
      <w:marTop w:val="0"/>
      <w:marBottom w:val="0"/>
      <w:divBdr>
        <w:top w:val="none" w:sz="0" w:space="0" w:color="auto"/>
        <w:left w:val="none" w:sz="0" w:space="0" w:color="auto"/>
        <w:bottom w:val="none" w:sz="0" w:space="0" w:color="auto"/>
        <w:right w:val="none" w:sz="0" w:space="0" w:color="auto"/>
      </w:divBdr>
    </w:div>
    <w:div w:id="547572491">
      <w:bodyDiv w:val="1"/>
      <w:marLeft w:val="0"/>
      <w:marRight w:val="0"/>
      <w:marTop w:val="0"/>
      <w:marBottom w:val="0"/>
      <w:divBdr>
        <w:top w:val="none" w:sz="0" w:space="0" w:color="auto"/>
        <w:left w:val="none" w:sz="0" w:space="0" w:color="auto"/>
        <w:bottom w:val="none" w:sz="0" w:space="0" w:color="auto"/>
        <w:right w:val="none" w:sz="0" w:space="0" w:color="auto"/>
      </w:divBdr>
    </w:div>
    <w:div w:id="549269434">
      <w:bodyDiv w:val="1"/>
      <w:marLeft w:val="0"/>
      <w:marRight w:val="0"/>
      <w:marTop w:val="0"/>
      <w:marBottom w:val="0"/>
      <w:divBdr>
        <w:top w:val="none" w:sz="0" w:space="0" w:color="auto"/>
        <w:left w:val="none" w:sz="0" w:space="0" w:color="auto"/>
        <w:bottom w:val="none" w:sz="0" w:space="0" w:color="auto"/>
        <w:right w:val="none" w:sz="0" w:space="0" w:color="auto"/>
      </w:divBdr>
    </w:div>
    <w:div w:id="604923717">
      <w:bodyDiv w:val="1"/>
      <w:marLeft w:val="0"/>
      <w:marRight w:val="0"/>
      <w:marTop w:val="0"/>
      <w:marBottom w:val="0"/>
      <w:divBdr>
        <w:top w:val="none" w:sz="0" w:space="0" w:color="auto"/>
        <w:left w:val="none" w:sz="0" w:space="0" w:color="auto"/>
        <w:bottom w:val="none" w:sz="0" w:space="0" w:color="auto"/>
        <w:right w:val="none" w:sz="0" w:space="0" w:color="auto"/>
      </w:divBdr>
    </w:div>
    <w:div w:id="735012202">
      <w:bodyDiv w:val="1"/>
      <w:marLeft w:val="0"/>
      <w:marRight w:val="0"/>
      <w:marTop w:val="0"/>
      <w:marBottom w:val="0"/>
      <w:divBdr>
        <w:top w:val="none" w:sz="0" w:space="0" w:color="auto"/>
        <w:left w:val="none" w:sz="0" w:space="0" w:color="auto"/>
        <w:bottom w:val="none" w:sz="0" w:space="0" w:color="auto"/>
        <w:right w:val="none" w:sz="0" w:space="0" w:color="auto"/>
      </w:divBdr>
    </w:div>
    <w:div w:id="826556293">
      <w:bodyDiv w:val="1"/>
      <w:marLeft w:val="0"/>
      <w:marRight w:val="0"/>
      <w:marTop w:val="0"/>
      <w:marBottom w:val="0"/>
      <w:divBdr>
        <w:top w:val="none" w:sz="0" w:space="0" w:color="auto"/>
        <w:left w:val="none" w:sz="0" w:space="0" w:color="auto"/>
        <w:bottom w:val="none" w:sz="0" w:space="0" w:color="auto"/>
        <w:right w:val="none" w:sz="0" w:space="0" w:color="auto"/>
      </w:divBdr>
    </w:div>
    <w:div w:id="891963624">
      <w:bodyDiv w:val="1"/>
      <w:marLeft w:val="0"/>
      <w:marRight w:val="0"/>
      <w:marTop w:val="0"/>
      <w:marBottom w:val="0"/>
      <w:divBdr>
        <w:top w:val="none" w:sz="0" w:space="0" w:color="auto"/>
        <w:left w:val="none" w:sz="0" w:space="0" w:color="auto"/>
        <w:bottom w:val="none" w:sz="0" w:space="0" w:color="auto"/>
        <w:right w:val="none" w:sz="0" w:space="0" w:color="auto"/>
      </w:divBdr>
    </w:div>
    <w:div w:id="942497788">
      <w:bodyDiv w:val="1"/>
      <w:marLeft w:val="0"/>
      <w:marRight w:val="0"/>
      <w:marTop w:val="0"/>
      <w:marBottom w:val="0"/>
      <w:divBdr>
        <w:top w:val="none" w:sz="0" w:space="0" w:color="auto"/>
        <w:left w:val="none" w:sz="0" w:space="0" w:color="auto"/>
        <w:bottom w:val="none" w:sz="0" w:space="0" w:color="auto"/>
        <w:right w:val="none" w:sz="0" w:space="0" w:color="auto"/>
      </w:divBdr>
    </w:div>
    <w:div w:id="1249316539">
      <w:bodyDiv w:val="1"/>
      <w:marLeft w:val="0"/>
      <w:marRight w:val="0"/>
      <w:marTop w:val="0"/>
      <w:marBottom w:val="0"/>
      <w:divBdr>
        <w:top w:val="none" w:sz="0" w:space="0" w:color="auto"/>
        <w:left w:val="none" w:sz="0" w:space="0" w:color="auto"/>
        <w:bottom w:val="none" w:sz="0" w:space="0" w:color="auto"/>
        <w:right w:val="none" w:sz="0" w:space="0" w:color="auto"/>
      </w:divBdr>
    </w:div>
    <w:div w:id="1261988171">
      <w:bodyDiv w:val="1"/>
      <w:marLeft w:val="0"/>
      <w:marRight w:val="0"/>
      <w:marTop w:val="0"/>
      <w:marBottom w:val="0"/>
      <w:divBdr>
        <w:top w:val="none" w:sz="0" w:space="0" w:color="auto"/>
        <w:left w:val="none" w:sz="0" w:space="0" w:color="auto"/>
        <w:bottom w:val="none" w:sz="0" w:space="0" w:color="auto"/>
        <w:right w:val="none" w:sz="0" w:space="0" w:color="auto"/>
      </w:divBdr>
    </w:div>
    <w:div w:id="1396198295">
      <w:bodyDiv w:val="1"/>
      <w:marLeft w:val="0"/>
      <w:marRight w:val="0"/>
      <w:marTop w:val="0"/>
      <w:marBottom w:val="0"/>
      <w:divBdr>
        <w:top w:val="none" w:sz="0" w:space="0" w:color="auto"/>
        <w:left w:val="none" w:sz="0" w:space="0" w:color="auto"/>
        <w:bottom w:val="none" w:sz="0" w:space="0" w:color="auto"/>
        <w:right w:val="none" w:sz="0" w:space="0" w:color="auto"/>
      </w:divBdr>
    </w:div>
    <w:div w:id="1484083907">
      <w:bodyDiv w:val="1"/>
      <w:marLeft w:val="0"/>
      <w:marRight w:val="0"/>
      <w:marTop w:val="0"/>
      <w:marBottom w:val="0"/>
      <w:divBdr>
        <w:top w:val="none" w:sz="0" w:space="0" w:color="auto"/>
        <w:left w:val="none" w:sz="0" w:space="0" w:color="auto"/>
        <w:bottom w:val="none" w:sz="0" w:space="0" w:color="auto"/>
        <w:right w:val="none" w:sz="0" w:space="0" w:color="auto"/>
      </w:divBdr>
    </w:div>
    <w:div w:id="1491828210">
      <w:bodyDiv w:val="1"/>
      <w:marLeft w:val="0"/>
      <w:marRight w:val="0"/>
      <w:marTop w:val="0"/>
      <w:marBottom w:val="0"/>
      <w:divBdr>
        <w:top w:val="none" w:sz="0" w:space="0" w:color="auto"/>
        <w:left w:val="none" w:sz="0" w:space="0" w:color="auto"/>
        <w:bottom w:val="none" w:sz="0" w:space="0" w:color="auto"/>
        <w:right w:val="none" w:sz="0" w:space="0" w:color="auto"/>
      </w:divBdr>
    </w:div>
    <w:div w:id="1546795484">
      <w:bodyDiv w:val="1"/>
      <w:marLeft w:val="0"/>
      <w:marRight w:val="0"/>
      <w:marTop w:val="0"/>
      <w:marBottom w:val="0"/>
      <w:divBdr>
        <w:top w:val="none" w:sz="0" w:space="0" w:color="auto"/>
        <w:left w:val="none" w:sz="0" w:space="0" w:color="auto"/>
        <w:bottom w:val="none" w:sz="0" w:space="0" w:color="auto"/>
        <w:right w:val="none" w:sz="0" w:space="0" w:color="auto"/>
      </w:divBdr>
    </w:div>
    <w:div w:id="1558593011">
      <w:bodyDiv w:val="1"/>
      <w:marLeft w:val="0"/>
      <w:marRight w:val="0"/>
      <w:marTop w:val="0"/>
      <w:marBottom w:val="0"/>
      <w:divBdr>
        <w:top w:val="none" w:sz="0" w:space="0" w:color="auto"/>
        <w:left w:val="none" w:sz="0" w:space="0" w:color="auto"/>
        <w:bottom w:val="none" w:sz="0" w:space="0" w:color="auto"/>
        <w:right w:val="none" w:sz="0" w:space="0" w:color="auto"/>
      </w:divBdr>
    </w:div>
    <w:div w:id="1597208688">
      <w:bodyDiv w:val="1"/>
      <w:marLeft w:val="0"/>
      <w:marRight w:val="0"/>
      <w:marTop w:val="0"/>
      <w:marBottom w:val="0"/>
      <w:divBdr>
        <w:top w:val="none" w:sz="0" w:space="0" w:color="auto"/>
        <w:left w:val="none" w:sz="0" w:space="0" w:color="auto"/>
        <w:bottom w:val="none" w:sz="0" w:space="0" w:color="auto"/>
        <w:right w:val="none" w:sz="0" w:space="0" w:color="auto"/>
      </w:divBdr>
    </w:div>
    <w:div w:id="1667515684">
      <w:bodyDiv w:val="1"/>
      <w:marLeft w:val="0"/>
      <w:marRight w:val="0"/>
      <w:marTop w:val="0"/>
      <w:marBottom w:val="0"/>
      <w:divBdr>
        <w:top w:val="none" w:sz="0" w:space="0" w:color="auto"/>
        <w:left w:val="none" w:sz="0" w:space="0" w:color="auto"/>
        <w:bottom w:val="none" w:sz="0" w:space="0" w:color="auto"/>
        <w:right w:val="none" w:sz="0" w:space="0" w:color="auto"/>
      </w:divBdr>
    </w:div>
    <w:div w:id="1682464692">
      <w:bodyDiv w:val="1"/>
      <w:marLeft w:val="0"/>
      <w:marRight w:val="0"/>
      <w:marTop w:val="0"/>
      <w:marBottom w:val="0"/>
      <w:divBdr>
        <w:top w:val="none" w:sz="0" w:space="0" w:color="auto"/>
        <w:left w:val="none" w:sz="0" w:space="0" w:color="auto"/>
        <w:bottom w:val="none" w:sz="0" w:space="0" w:color="auto"/>
        <w:right w:val="none" w:sz="0" w:space="0" w:color="auto"/>
      </w:divBdr>
    </w:div>
    <w:div w:id="1773698486">
      <w:bodyDiv w:val="1"/>
      <w:marLeft w:val="0"/>
      <w:marRight w:val="0"/>
      <w:marTop w:val="0"/>
      <w:marBottom w:val="0"/>
      <w:divBdr>
        <w:top w:val="none" w:sz="0" w:space="0" w:color="auto"/>
        <w:left w:val="none" w:sz="0" w:space="0" w:color="auto"/>
        <w:bottom w:val="none" w:sz="0" w:space="0" w:color="auto"/>
        <w:right w:val="none" w:sz="0" w:space="0" w:color="auto"/>
      </w:divBdr>
    </w:div>
    <w:div w:id="1804616796">
      <w:bodyDiv w:val="1"/>
      <w:marLeft w:val="0"/>
      <w:marRight w:val="0"/>
      <w:marTop w:val="0"/>
      <w:marBottom w:val="0"/>
      <w:divBdr>
        <w:top w:val="none" w:sz="0" w:space="0" w:color="auto"/>
        <w:left w:val="none" w:sz="0" w:space="0" w:color="auto"/>
        <w:bottom w:val="none" w:sz="0" w:space="0" w:color="auto"/>
        <w:right w:val="none" w:sz="0" w:space="0" w:color="auto"/>
      </w:divBdr>
    </w:div>
    <w:div w:id="1864129387">
      <w:bodyDiv w:val="1"/>
      <w:marLeft w:val="0"/>
      <w:marRight w:val="0"/>
      <w:marTop w:val="0"/>
      <w:marBottom w:val="0"/>
      <w:divBdr>
        <w:top w:val="none" w:sz="0" w:space="0" w:color="auto"/>
        <w:left w:val="none" w:sz="0" w:space="0" w:color="auto"/>
        <w:bottom w:val="none" w:sz="0" w:space="0" w:color="auto"/>
        <w:right w:val="none" w:sz="0" w:space="0" w:color="auto"/>
      </w:divBdr>
    </w:div>
    <w:div w:id="1930460632">
      <w:bodyDiv w:val="1"/>
      <w:marLeft w:val="0"/>
      <w:marRight w:val="0"/>
      <w:marTop w:val="0"/>
      <w:marBottom w:val="0"/>
      <w:divBdr>
        <w:top w:val="none" w:sz="0" w:space="0" w:color="auto"/>
        <w:left w:val="none" w:sz="0" w:space="0" w:color="auto"/>
        <w:bottom w:val="none" w:sz="0" w:space="0" w:color="auto"/>
        <w:right w:val="none" w:sz="0" w:space="0" w:color="auto"/>
      </w:divBdr>
    </w:div>
    <w:div w:id="2021933901">
      <w:bodyDiv w:val="1"/>
      <w:marLeft w:val="0"/>
      <w:marRight w:val="0"/>
      <w:marTop w:val="0"/>
      <w:marBottom w:val="0"/>
      <w:divBdr>
        <w:top w:val="none" w:sz="0" w:space="0" w:color="auto"/>
        <w:left w:val="none" w:sz="0" w:space="0" w:color="auto"/>
        <w:bottom w:val="none" w:sz="0" w:space="0" w:color="auto"/>
        <w:right w:val="none" w:sz="0" w:space="0" w:color="auto"/>
      </w:divBdr>
    </w:div>
    <w:div w:id="2077773919">
      <w:bodyDiv w:val="1"/>
      <w:marLeft w:val="0"/>
      <w:marRight w:val="0"/>
      <w:marTop w:val="0"/>
      <w:marBottom w:val="0"/>
      <w:divBdr>
        <w:top w:val="none" w:sz="0" w:space="0" w:color="auto"/>
        <w:left w:val="none" w:sz="0" w:space="0" w:color="auto"/>
        <w:bottom w:val="none" w:sz="0" w:space="0" w:color="auto"/>
        <w:right w:val="none" w:sz="0" w:space="0" w:color="auto"/>
      </w:divBdr>
    </w:div>
    <w:div w:id="2082216698">
      <w:bodyDiv w:val="1"/>
      <w:marLeft w:val="0"/>
      <w:marRight w:val="0"/>
      <w:marTop w:val="0"/>
      <w:marBottom w:val="0"/>
      <w:divBdr>
        <w:top w:val="none" w:sz="0" w:space="0" w:color="auto"/>
        <w:left w:val="none" w:sz="0" w:space="0" w:color="auto"/>
        <w:bottom w:val="none" w:sz="0" w:space="0" w:color="auto"/>
        <w:right w:val="none" w:sz="0" w:space="0" w:color="auto"/>
      </w:divBdr>
    </w:div>
    <w:div w:id="2090882718">
      <w:bodyDiv w:val="1"/>
      <w:marLeft w:val="0"/>
      <w:marRight w:val="0"/>
      <w:marTop w:val="0"/>
      <w:marBottom w:val="0"/>
      <w:divBdr>
        <w:top w:val="none" w:sz="0" w:space="0" w:color="auto"/>
        <w:left w:val="none" w:sz="0" w:space="0" w:color="auto"/>
        <w:bottom w:val="none" w:sz="0" w:space="0" w:color="auto"/>
        <w:right w:val="none" w:sz="0" w:space="0" w:color="auto"/>
      </w:divBdr>
    </w:div>
    <w:div w:id="210326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2215-3BFF-41AD-8E5E-02483E03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23</Pages>
  <Words>9655</Words>
  <Characters>55039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64565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8</cp:revision>
  <dcterms:created xsi:type="dcterms:W3CDTF">2022-08-23T12:02:00Z</dcterms:created>
  <dcterms:modified xsi:type="dcterms:W3CDTF">2022-09-02T06:06:00Z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