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70AC" w14:textId="77777777" w:rsidR="00B82EF7" w:rsidRDefault="00B82EF7" w:rsidP="002510A5">
      <w:pPr>
        <w:jc w:val="center"/>
        <w:rPr>
          <w:rFonts w:asciiTheme="majorBidi" w:hAnsiTheme="majorBidi" w:cstheme="majorBidi"/>
          <w:b/>
          <w:bCs/>
          <w:iCs/>
          <w:sz w:val="22"/>
          <w:szCs w:val="22"/>
          <w:u w:val="single"/>
          <w:lang w:val="sr-Latn-ME"/>
        </w:rPr>
      </w:pPr>
    </w:p>
    <w:p w14:paraId="2EF916E8" w14:textId="251EF136" w:rsidR="002510A5" w:rsidRPr="00B82EF7" w:rsidRDefault="002510A5" w:rsidP="002510A5">
      <w:pPr>
        <w:jc w:val="center"/>
        <w:rPr>
          <w:rFonts w:asciiTheme="majorBidi" w:hAnsiTheme="majorBidi" w:cstheme="majorBidi"/>
          <w:b/>
          <w:bCs/>
          <w:iCs/>
          <w:sz w:val="22"/>
          <w:szCs w:val="22"/>
          <w:u w:val="single"/>
          <w:lang w:val="sr-Latn-ME"/>
        </w:rPr>
      </w:pPr>
      <w:r w:rsidRPr="00B82EF7">
        <w:rPr>
          <w:rFonts w:asciiTheme="majorBidi" w:hAnsiTheme="majorBidi" w:cstheme="majorBidi"/>
          <w:b/>
          <w:bCs/>
          <w:iCs/>
          <w:sz w:val="22"/>
          <w:szCs w:val="22"/>
          <w:u w:val="single"/>
          <w:lang w:val="sr-Latn-ME"/>
        </w:rPr>
        <w:t>SAŽETAK KARAKTERISTIKA LIJEKA</w:t>
      </w:r>
    </w:p>
    <w:p w14:paraId="24F07CBA" w14:textId="77777777" w:rsidR="002510A5" w:rsidRPr="00B82EF7" w:rsidRDefault="002510A5" w:rsidP="002510A5">
      <w:pPr>
        <w:rPr>
          <w:rFonts w:asciiTheme="majorBidi" w:hAnsiTheme="majorBidi" w:cstheme="majorBidi"/>
          <w:b/>
          <w:bCs/>
          <w:i/>
          <w:iCs/>
          <w:sz w:val="22"/>
          <w:szCs w:val="22"/>
          <w:u w:val="single"/>
          <w:lang w:val="sr-Latn-ME"/>
        </w:rPr>
      </w:pPr>
    </w:p>
    <w:p w14:paraId="38EDB91F" w14:textId="77777777" w:rsidR="003C17AB" w:rsidRPr="00B82EF7" w:rsidRDefault="003C17AB" w:rsidP="00CA1FEB">
      <w:pPr>
        <w:rPr>
          <w:rFonts w:asciiTheme="majorBidi" w:hAnsiTheme="majorBidi" w:cstheme="majorBidi"/>
          <w:sz w:val="22"/>
          <w:szCs w:val="22"/>
          <w:lang w:val="sr-Latn-ME"/>
        </w:rPr>
      </w:pPr>
    </w:p>
    <w:p w14:paraId="447E3B3F" w14:textId="77777777" w:rsidR="00411B4B" w:rsidRPr="00B82EF7" w:rsidRDefault="00411B4B" w:rsidP="00F5167F">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1.</w:t>
      </w:r>
      <w:r w:rsidR="00F5167F" w:rsidRPr="00B82EF7">
        <w:rPr>
          <w:rFonts w:asciiTheme="majorBidi" w:hAnsiTheme="majorBidi" w:cstheme="majorBidi"/>
          <w:b/>
          <w:bCs/>
          <w:sz w:val="22"/>
          <w:szCs w:val="22"/>
          <w:lang w:val="sr-Latn-ME"/>
        </w:rPr>
        <w:tab/>
      </w:r>
      <w:r w:rsidR="002846DB" w:rsidRPr="00B82EF7">
        <w:rPr>
          <w:rFonts w:asciiTheme="majorBidi" w:hAnsiTheme="majorBidi" w:cstheme="majorBidi"/>
          <w:b/>
          <w:bCs/>
          <w:sz w:val="22"/>
          <w:szCs w:val="22"/>
          <w:lang w:val="sr-Latn-ME"/>
        </w:rPr>
        <w:t xml:space="preserve">NAZIV </w:t>
      </w:r>
      <w:r w:rsidRPr="00B82EF7">
        <w:rPr>
          <w:rFonts w:asciiTheme="majorBidi" w:hAnsiTheme="majorBidi" w:cstheme="majorBidi"/>
          <w:b/>
          <w:bCs/>
          <w:sz w:val="22"/>
          <w:szCs w:val="22"/>
          <w:lang w:val="sr-Latn-ME"/>
        </w:rPr>
        <w:t>LIJEKA</w:t>
      </w:r>
    </w:p>
    <w:p w14:paraId="39B3BD66" w14:textId="77777777" w:rsidR="00EC2532" w:rsidRPr="00B82EF7" w:rsidRDefault="00EC2532">
      <w:pPr>
        <w:rPr>
          <w:rFonts w:asciiTheme="majorBidi" w:hAnsiTheme="majorBidi" w:cstheme="majorBidi"/>
          <w:sz w:val="22"/>
          <w:szCs w:val="22"/>
          <w:lang w:val="sr-Latn-ME"/>
        </w:rPr>
      </w:pPr>
    </w:p>
    <w:p w14:paraId="3F75BFE8" w14:textId="00C2A178" w:rsidR="001B1029" w:rsidRPr="00B82EF7" w:rsidRDefault="001B1029" w:rsidP="001B1029">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Crusia</w:t>
      </w:r>
      <w:r w:rsidR="00DD7F82" w:rsidRPr="00B82EF7">
        <w:rPr>
          <w:rFonts w:asciiTheme="majorBidi" w:hAnsiTheme="majorBidi" w:cstheme="majorBidi"/>
          <w:bCs/>
          <w:noProof/>
          <w:sz w:val="22"/>
          <w:szCs w:val="22"/>
          <w:lang w:val="sr-Latn-ME"/>
        </w:rPr>
        <w:t xml:space="preserve"> 2 </w:t>
      </w:r>
      <w:r w:rsidRPr="00B82EF7">
        <w:rPr>
          <w:rFonts w:asciiTheme="majorBidi" w:hAnsiTheme="majorBidi" w:cstheme="majorBidi"/>
          <w:bCs/>
          <w:noProof/>
          <w:sz w:val="22"/>
          <w:szCs w:val="22"/>
          <w:lang w:val="sr-Latn-ME"/>
        </w:rPr>
        <w:t xml:space="preserve">000 i.j./0,2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rastvor za injekciju u napunjenom injekcionom špricu</w:t>
      </w:r>
    </w:p>
    <w:p w14:paraId="234FF68F" w14:textId="64DEC7D4" w:rsidR="001B1029" w:rsidRPr="00B82EF7" w:rsidRDefault="001B1029" w:rsidP="001B1029">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Crusia</w:t>
      </w:r>
      <w:r w:rsidR="00DD7F82" w:rsidRPr="00B82EF7">
        <w:rPr>
          <w:rFonts w:asciiTheme="majorBidi" w:hAnsiTheme="majorBidi" w:cstheme="majorBidi"/>
          <w:bCs/>
          <w:noProof/>
          <w:sz w:val="22"/>
          <w:szCs w:val="22"/>
          <w:lang w:val="sr-Latn-ME"/>
        </w:rPr>
        <w:t xml:space="preserve"> 4 </w:t>
      </w:r>
      <w:r w:rsidRPr="00B82EF7">
        <w:rPr>
          <w:rFonts w:asciiTheme="majorBidi" w:hAnsiTheme="majorBidi" w:cstheme="majorBidi"/>
          <w:bCs/>
          <w:noProof/>
          <w:sz w:val="22"/>
          <w:szCs w:val="22"/>
          <w:lang w:val="sr-Latn-ME"/>
        </w:rPr>
        <w:t xml:space="preserve">000 i.j./0,4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rastvor za injekciju u napunjenom injekcionom špricu</w:t>
      </w:r>
    </w:p>
    <w:p w14:paraId="4DB2862B" w14:textId="51A4EE80" w:rsidR="001B1029" w:rsidRPr="00B82EF7" w:rsidRDefault="001B1029" w:rsidP="001B1029">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Crusia</w:t>
      </w:r>
      <w:r w:rsidR="00DD7F82" w:rsidRPr="00B82EF7">
        <w:rPr>
          <w:rFonts w:asciiTheme="majorBidi" w:hAnsiTheme="majorBidi" w:cstheme="majorBidi"/>
          <w:bCs/>
          <w:noProof/>
          <w:sz w:val="22"/>
          <w:szCs w:val="22"/>
          <w:lang w:val="sr-Latn-ME"/>
        </w:rPr>
        <w:t xml:space="preserve"> 6 </w:t>
      </w:r>
      <w:r w:rsidRPr="00B82EF7">
        <w:rPr>
          <w:rFonts w:asciiTheme="majorBidi" w:hAnsiTheme="majorBidi" w:cstheme="majorBidi"/>
          <w:bCs/>
          <w:noProof/>
          <w:sz w:val="22"/>
          <w:szCs w:val="22"/>
          <w:lang w:val="sr-Latn-ME"/>
        </w:rPr>
        <w:t xml:space="preserve">000 i.j./0,6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rastvor za injekciju u napunjenom injekcionom špricu</w:t>
      </w:r>
    </w:p>
    <w:p w14:paraId="54D1FEA1" w14:textId="3F5E8036" w:rsidR="001B1029" w:rsidRPr="00B82EF7" w:rsidRDefault="001B1029" w:rsidP="001B1029">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Crusia</w:t>
      </w:r>
      <w:r w:rsidR="00DD7F82" w:rsidRPr="00B82EF7">
        <w:rPr>
          <w:rFonts w:asciiTheme="majorBidi" w:hAnsiTheme="majorBidi" w:cstheme="majorBidi"/>
          <w:bCs/>
          <w:noProof/>
          <w:sz w:val="22"/>
          <w:szCs w:val="22"/>
          <w:lang w:val="sr-Latn-ME"/>
        </w:rPr>
        <w:t xml:space="preserve"> 8 </w:t>
      </w:r>
      <w:r w:rsidRPr="00B82EF7">
        <w:rPr>
          <w:rFonts w:asciiTheme="majorBidi" w:hAnsiTheme="majorBidi" w:cstheme="majorBidi"/>
          <w:bCs/>
          <w:noProof/>
          <w:sz w:val="22"/>
          <w:szCs w:val="22"/>
          <w:lang w:val="sr-Latn-ME"/>
        </w:rPr>
        <w:t xml:space="preserve">000 i.j./0,8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rastvor za injekciju u napunjenom injekcionom špricu</w:t>
      </w:r>
    </w:p>
    <w:p w14:paraId="17224C9E" w14:textId="38611538" w:rsidR="00107BF7" w:rsidRPr="00B82EF7" w:rsidRDefault="001B1029" w:rsidP="001B1029">
      <w:pPr>
        <w:rPr>
          <w:rFonts w:asciiTheme="majorBidi" w:hAnsiTheme="majorBidi" w:cstheme="majorBidi"/>
          <w:i/>
          <w:iCs/>
          <w:color w:val="808080"/>
          <w:sz w:val="22"/>
          <w:szCs w:val="22"/>
          <w:lang w:val="sr-Latn-ME"/>
        </w:rPr>
      </w:pPr>
      <w:r w:rsidRPr="00B82EF7">
        <w:rPr>
          <w:rFonts w:asciiTheme="majorBidi" w:hAnsiTheme="majorBidi" w:cstheme="majorBidi"/>
          <w:bCs/>
          <w:noProof/>
          <w:sz w:val="22"/>
          <w:szCs w:val="22"/>
          <w:lang w:val="sr-Latn-ME"/>
        </w:rPr>
        <w:t>Crusia</w:t>
      </w:r>
      <w:r w:rsidR="00DD7F82" w:rsidRPr="00B82EF7">
        <w:rPr>
          <w:rFonts w:asciiTheme="majorBidi" w:hAnsiTheme="majorBidi" w:cstheme="majorBidi"/>
          <w:bCs/>
          <w:noProof/>
          <w:sz w:val="22"/>
          <w:szCs w:val="22"/>
          <w:lang w:val="sr-Latn-ME"/>
        </w:rPr>
        <w:t xml:space="preserve"> 10 </w:t>
      </w:r>
      <w:r w:rsidRPr="00B82EF7">
        <w:rPr>
          <w:rFonts w:asciiTheme="majorBidi" w:hAnsiTheme="majorBidi" w:cstheme="majorBidi"/>
          <w:bCs/>
          <w:noProof/>
          <w:sz w:val="22"/>
          <w:szCs w:val="22"/>
          <w:lang w:val="sr-Latn-ME"/>
        </w:rPr>
        <w:t xml:space="preserve">000 i.j./1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rastvor za injekciju u napunjenom injekcionom špricu</w:t>
      </w:r>
    </w:p>
    <w:p w14:paraId="19E212FB" w14:textId="77777777" w:rsidR="000D425A" w:rsidRPr="00B82EF7" w:rsidRDefault="000D425A">
      <w:pPr>
        <w:rPr>
          <w:rFonts w:asciiTheme="majorBidi" w:hAnsiTheme="majorBidi" w:cstheme="majorBidi"/>
          <w:bCs/>
          <w:sz w:val="22"/>
          <w:szCs w:val="22"/>
          <w:lang w:val="sr-Latn-ME"/>
        </w:rPr>
      </w:pPr>
    </w:p>
    <w:p w14:paraId="10FEE8E6" w14:textId="65623BC2" w:rsidR="006D20A5" w:rsidRPr="00B82EF7" w:rsidRDefault="006D20A5" w:rsidP="006D20A5">
      <w:pPr>
        <w:rPr>
          <w:rFonts w:asciiTheme="majorBidi" w:hAnsiTheme="majorBidi" w:cstheme="majorBidi"/>
          <w:sz w:val="22"/>
          <w:szCs w:val="22"/>
          <w:lang w:val="sr-Latn-ME"/>
        </w:rPr>
      </w:pPr>
      <w:r w:rsidRPr="00B82EF7">
        <w:rPr>
          <w:rFonts w:asciiTheme="majorBidi" w:hAnsiTheme="majorBidi" w:cstheme="majorBidi"/>
          <w:sz w:val="22"/>
          <w:szCs w:val="22"/>
          <w:lang w:val="sr-Latn-ME"/>
        </w:rPr>
        <w:t>INN:</w:t>
      </w:r>
      <w:r w:rsidR="001B1029" w:rsidRPr="00B82EF7">
        <w:rPr>
          <w:rFonts w:asciiTheme="majorBidi" w:hAnsiTheme="majorBidi" w:cstheme="majorBidi"/>
          <w:sz w:val="22"/>
          <w:szCs w:val="22"/>
          <w:lang w:val="sr-Latn-ME"/>
        </w:rPr>
        <w:t xml:space="preserve"> enoksaparin</w:t>
      </w:r>
      <w:r w:rsidR="00683C8C" w:rsidRPr="00B82EF7">
        <w:rPr>
          <w:rFonts w:asciiTheme="majorBidi" w:hAnsiTheme="majorBidi" w:cstheme="majorBidi"/>
          <w:sz w:val="22"/>
          <w:szCs w:val="22"/>
          <w:lang w:val="sr-Latn-ME"/>
        </w:rPr>
        <w:t xml:space="preserve"> </w:t>
      </w:r>
    </w:p>
    <w:p w14:paraId="1E397E7F" w14:textId="77777777" w:rsidR="006D20A5" w:rsidRPr="00B82EF7" w:rsidRDefault="006D20A5">
      <w:pPr>
        <w:rPr>
          <w:rFonts w:asciiTheme="majorBidi" w:hAnsiTheme="majorBidi" w:cstheme="majorBidi"/>
          <w:bCs/>
          <w:sz w:val="22"/>
          <w:szCs w:val="22"/>
          <w:lang w:val="sr-Latn-ME"/>
        </w:rPr>
      </w:pPr>
    </w:p>
    <w:p w14:paraId="1EB697CB" w14:textId="77777777" w:rsidR="00530BD7" w:rsidRPr="00B82EF7" w:rsidRDefault="00530BD7">
      <w:pPr>
        <w:rPr>
          <w:rFonts w:asciiTheme="majorBidi" w:hAnsiTheme="majorBidi" w:cstheme="majorBidi"/>
          <w:bCs/>
          <w:sz w:val="22"/>
          <w:szCs w:val="22"/>
          <w:lang w:val="sr-Latn-ME"/>
        </w:rPr>
      </w:pPr>
    </w:p>
    <w:p w14:paraId="5DEA0F6D" w14:textId="77777777" w:rsidR="00411B4B" w:rsidRPr="00B82EF7" w:rsidRDefault="00411B4B" w:rsidP="00F5167F">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2. </w:t>
      </w:r>
      <w:r w:rsidR="00F5167F"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KVALITATIVNI I KVANTITATIVNI SASTAV</w:t>
      </w:r>
    </w:p>
    <w:p w14:paraId="775EA9C7" w14:textId="77777777" w:rsidR="005A0B2E" w:rsidRPr="00B82EF7" w:rsidRDefault="005A0B2E">
      <w:pPr>
        <w:rPr>
          <w:rFonts w:asciiTheme="majorBidi" w:hAnsiTheme="majorBidi" w:cstheme="majorBidi"/>
          <w:sz w:val="22"/>
          <w:szCs w:val="22"/>
          <w:lang w:val="sr-Latn-ME"/>
        </w:rPr>
      </w:pPr>
    </w:p>
    <w:p w14:paraId="05A427B0" w14:textId="77777777" w:rsidR="001B1029" w:rsidRPr="00B82EF7" w:rsidRDefault="001B1029" w:rsidP="001B1029">
      <w:pPr>
        <w:rPr>
          <w:rFonts w:asciiTheme="majorBidi" w:hAnsiTheme="majorBidi" w:cstheme="majorBidi"/>
          <w:sz w:val="22"/>
          <w:szCs w:val="22"/>
          <w:lang w:val="sr-Latn-ME"/>
        </w:rPr>
      </w:pPr>
      <w:r w:rsidRPr="00B82EF7">
        <w:rPr>
          <w:rFonts w:asciiTheme="majorBidi" w:hAnsiTheme="majorBidi" w:cstheme="majorBidi"/>
          <w:sz w:val="22"/>
          <w:szCs w:val="22"/>
          <w:lang w:val="sr-Latn-ME"/>
        </w:rPr>
        <w:t>Jedan mililitar Crusia rastvora za inje</w:t>
      </w:r>
      <w:r w:rsidR="00683C8C" w:rsidRPr="00B82EF7">
        <w:rPr>
          <w:rFonts w:asciiTheme="majorBidi" w:hAnsiTheme="majorBidi" w:cstheme="majorBidi"/>
          <w:sz w:val="22"/>
          <w:szCs w:val="22"/>
          <w:lang w:val="sr-Latn-ME"/>
        </w:rPr>
        <w:t xml:space="preserve">kciju sadrži 100 mg enoksaparin </w:t>
      </w:r>
      <w:r w:rsidR="004E0385" w:rsidRPr="00B82EF7">
        <w:rPr>
          <w:rFonts w:asciiTheme="majorBidi" w:hAnsiTheme="majorBidi" w:cstheme="majorBidi"/>
          <w:sz w:val="22"/>
          <w:szCs w:val="22"/>
          <w:lang w:val="sr-Latn-ME"/>
        </w:rPr>
        <w:t xml:space="preserve">natrijuma, što odgovara 10 </w:t>
      </w:r>
      <w:r w:rsidRPr="00B82EF7">
        <w:rPr>
          <w:rFonts w:asciiTheme="majorBidi" w:hAnsiTheme="majorBidi" w:cstheme="majorBidi"/>
          <w:sz w:val="22"/>
          <w:szCs w:val="22"/>
          <w:lang w:val="sr-Latn-ME"/>
        </w:rPr>
        <w:t>000 i.j. anti-Xa aktivnosti.</w:t>
      </w:r>
    </w:p>
    <w:p w14:paraId="0593501A" w14:textId="77777777" w:rsidR="001B1029" w:rsidRPr="00B82EF7" w:rsidRDefault="001B1029" w:rsidP="001B1029">
      <w:pPr>
        <w:rPr>
          <w:rFonts w:asciiTheme="majorBidi" w:hAnsiTheme="majorBidi" w:cstheme="majorBidi"/>
          <w:sz w:val="22"/>
          <w:szCs w:val="22"/>
          <w:lang w:val="sr-Latn-ME"/>
        </w:rPr>
      </w:pPr>
    </w:p>
    <w:p w14:paraId="145E73F0" w14:textId="195249D4" w:rsidR="00303B9F" w:rsidRPr="00B82EF7" w:rsidRDefault="00303B9F" w:rsidP="00AA7815">
      <w:pPr>
        <w:pStyle w:val="BodyText"/>
        <w:ind w:left="0"/>
        <w:jc w:val="both"/>
        <w:rPr>
          <w:rFonts w:asciiTheme="majorBidi" w:hAnsiTheme="majorBidi" w:cstheme="majorBidi"/>
          <w:i/>
          <w:u w:val="single"/>
          <w:lang w:val="sr-Latn-ME"/>
        </w:rPr>
      </w:pPr>
      <w:r w:rsidRPr="00B82EF7">
        <w:rPr>
          <w:rFonts w:asciiTheme="majorBidi" w:hAnsiTheme="majorBidi" w:cstheme="majorBidi"/>
          <w:i/>
          <w:u w:val="single"/>
          <w:lang w:val="sr-Latn-ME"/>
        </w:rPr>
        <w:t xml:space="preserve">2 000 i.j./0,2 ml </w:t>
      </w:r>
    </w:p>
    <w:p w14:paraId="7F749BA8" w14:textId="33FCACCB" w:rsidR="001B1029" w:rsidRPr="00B82EF7" w:rsidRDefault="001B1029">
      <w:pPr>
        <w:rPr>
          <w:rFonts w:asciiTheme="majorBidi" w:hAnsiTheme="majorBidi" w:cstheme="majorBidi"/>
          <w:sz w:val="22"/>
          <w:szCs w:val="22"/>
          <w:lang w:val="sr-Latn-ME"/>
        </w:rPr>
      </w:pPr>
      <w:r w:rsidRPr="00B82EF7">
        <w:rPr>
          <w:rFonts w:asciiTheme="majorBidi" w:hAnsiTheme="majorBidi" w:cstheme="majorBidi"/>
          <w:sz w:val="22"/>
          <w:szCs w:val="22"/>
          <w:lang w:val="sr-Latn-ME"/>
        </w:rPr>
        <w:t xml:space="preserve">Svaki napunjeni injekcioni špric </w:t>
      </w:r>
      <w:r w:rsidR="004E0385" w:rsidRPr="00B82EF7">
        <w:rPr>
          <w:rFonts w:asciiTheme="majorBidi" w:hAnsiTheme="majorBidi" w:cstheme="majorBidi"/>
          <w:sz w:val="22"/>
          <w:szCs w:val="22"/>
          <w:lang w:val="sr-Latn-ME"/>
        </w:rPr>
        <w:t xml:space="preserve">sadrži 2 </w:t>
      </w:r>
      <w:r w:rsidRPr="00B82EF7">
        <w:rPr>
          <w:rFonts w:asciiTheme="majorBidi" w:hAnsiTheme="majorBidi" w:cstheme="majorBidi"/>
          <w:sz w:val="22"/>
          <w:szCs w:val="22"/>
          <w:lang w:val="sr-Latn-ME"/>
        </w:rPr>
        <w:t xml:space="preserve">000 </w:t>
      </w:r>
      <w:r w:rsidR="00DD7F82" w:rsidRPr="00B82EF7">
        <w:rPr>
          <w:rFonts w:asciiTheme="majorBidi" w:hAnsiTheme="majorBidi" w:cstheme="majorBidi"/>
          <w:sz w:val="22"/>
          <w:szCs w:val="22"/>
          <w:lang w:val="sr-Latn-ME"/>
        </w:rPr>
        <w:t xml:space="preserve">i.j. anti-Xa aktivnosti u 0,2 </w:t>
      </w:r>
      <w:r w:rsidR="00A32335" w:rsidRPr="00B82EF7">
        <w:rPr>
          <w:rFonts w:asciiTheme="majorBidi" w:hAnsiTheme="majorBidi" w:cstheme="majorBidi"/>
          <w:sz w:val="22"/>
          <w:szCs w:val="22"/>
          <w:lang w:val="sr-Latn-ME"/>
        </w:rPr>
        <w:t>ml</w:t>
      </w:r>
      <w:r w:rsidRPr="00B82EF7">
        <w:rPr>
          <w:rFonts w:asciiTheme="majorBidi" w:hAnsiTheme="majorBidi" w:cstheme="majorBidi"/>
          <w:sz w:val="22"/>
          <w:szCs w:val="22"/>
          <w:lang w:val="sr-Latn-ME"/>
        </w:rPr>
        <w:t xml:space="preserve"> rastvora za injekciju, što odgovara 20 mg </w:t>
      </w:r>
      <w:r w:rsidR="007E1FF7" w:rsidRPr="00B82EF7">
        <w:rPr>
          <w:rFonts w:asciiTheme="majorBidi" w:hAnsiTheme="majorBidi" w:cstheme="majorBidi"/>
          <w:sz w:val="22"/>
          <w:szCs w:val="22"/>
          <w:lang w:val="sr-Latn-ME"/>
        </w:rPr>
        <w:t>enoksaparin natrijum</w:t>
      </w:r>
      <w:r w:rsidRPr="00B82EF7">
        <w:rPr>
          <w:rFonts w:asciiTheme="majorBidi" w:hAnsiTheme="majorBidi" w:cstheme="majorBidi"/>
          <w:sz w:val="22"/>
          <w:szCs w:val="22"/>
          <w:lang w:val="sr-Latn-ME"/>
        </w:rPr>
        <w:t>a.</w:t>
      </w:r>
    </w:p>
    <w:p w14:paraId="74CDB1E6" w14:textId="7DE63D63" w:rsidR="00303B9F" w:rsidRPr="00B82EF7" w:rsidRDefault="00303B9F" w:rsidP="001B1029">
      <w:pPr>
        <w:rPr>
          <w:rFonts w:asciiTheme="majorBidi" w:hAnsiTheme="majorBidi" w:cstheme="majorBidi"/>
          <w:sz w:val="22"/>
          <w:szCs w:val="22"/>
          <w:lang w:val="sr-Latn-ME"/>
        </w:rPr>
      </w:pPr>
    </w:p>
    <w:p w14:paraId="64551510" w14:textId="2362716D" w:rsidR="00303B9F" w:rsidRPr="00B82EF7" w:rsidRDefault="00303B9F" w:rsidP="00303B9F">
      <w:pPr>
        <w:pStyle w:val="BodyText"/>
        <w:ind w:left="0"/>
        <w:jc w:val="both"/>
        <w:rPr>
          <w:rFonts w:asciiTheme="majorBidi" w:hAnsiTheme="majorBidi" w:cstheme="majorBidi"/>
          <w:i/>
          <w:u w:val="single"/>
          <w:lang w:val="sr-Latn-ME"/>
        </w:rPr>
      </w:pPr>
      <w:r w:rsidRPr="00B82EF7">
        <w:rPr>
          <w:rFonts w:asciiTheme="majorBidi" w:hAnsiTheme="majorBidi" w:cstheme="majorBidi"/>
          <w:i/>
          <w:u w:val="single"/>
          <w:lang w:val="sr-Latn-ME"/>
        </w:rPr>
        <w:t xml:space="preserve">4 000 i.j./0,4 ml </w:t>
      </w:r>
    </w:p>
    <w:p w14:paraId="37846E4C" w14:textId="52AE2C5E" w:rsidR="001B1029" w:rsidRPr="00B82EF7" w:rsidRDefault="001B1029" w:rsidP="00AA7815">
      <w:pPr>
        <w:rPr>
          <w:rFonts w:asciiTheme="majorBidi" w:hAnsiTheme="majorBidi" w:cstheme="majorBidi"/>
          <w:sz w:val="22"/>
          <w:szCs w:val="22"/>
          <w:lang w:val="sr-Latn-ME"/>
        </w:rPr>
      </w:pPr>
      <w:r w:rsidRPr="00B82EF7">
        <w:rPr>
          <w:rFonts w:asciiTheme="majorBidi" w:hAnsiTheme="majorBidi" w:cstheme="majorBidi"/>
          <w:sz w:val="22"/>
          <w:szCs w:val="22"/>
          <w:lang w:val="sr-Latn-ME"/>
        </w:rPr>
        <w:t xml:space="preserve">Svaki napunjeni injekcioni špric </w:t>
      </w:r>
      <w:r w:rsidR="004E0385" w:rsidRPr="00B82EF7">
        <w:rPr>
          <w:rFonts w:asciiTheme="majorBidi" w:hAnsiTheme="majorBidi" w:cstheme="majorBidi"/>
          <w:sz w:val="22"/>
          <w:szCs w:val="22"/>
          <w:lang w:val="sr-Latn-ME"/>
        </w:rPr>
        <w:t xml:space="preserve">sadrži 4 </w:t>
      </w:r>
      <w:r w:rsidRPr="00B82EF7">
        <w:rPr>
          <w:rFonts w:asciiTheme="majorBidi" w:hAnsiTheme="majorBidi" w:cstheme="majorBidi"/>
          <w:sz w:val="22"/>
          <w:szCs w:val="22"/>
          <w:lang w:val="sr-Latn-ME"/>
        </w:rPr>
        <w:t xml:space="preserve">000 </w:t>
      </w:r>
      <w:r w:rsidR="00DD7F82" w:rsidRPr="00B82EF7">
        <w:rPr>
          <w:rFonts w:asciiTheme="majorBidi" w:hAnsiTheme="majorBidi" w:cstheme="majorBidi"/>
          <w:sz w:val="22"/>
          <w:szCs w:val="22"/>
          <w:lang w:val="sr-Latn-ME"/>
        </w:rPr>
        <w:t xml:space="preserve">i.j. anti-Xa aktivnosti u 0,4 </w:t>
      </w:r>
      <w:r w:rsidR="00A32335" w:rsidRPr="00B82EF7">
        <w:rPr>
          <w:rFonts w:asciiTheme="majorBidi" w:hAnsiTheme="majorBidi" w:cstheme="majorBidi"/>
          <w:sz w:val="22"/>
          <w:szCs w:val="22"/>
          <w:lang w:val="sr-Latn-ME"/>
        </w:rPr>
        <w:t>ml</w:t>
      </w:r>
      <w:r w:rsidRPr="00B82EF7">
        <w:rPr>
          <w:rFonts w:asciiTheme="majorBidi" w:hAnsiTheme="majorBidi" w:cstheme="majorBidi"/>
          <w:sz w:val="22"/>
          <w:szCs w:val="22"/>
          <w:lang w:val="sr-Latn-ME"/>
        </w:rPr>
        <w:t xml:space="preserve"> rastvora za injekciju, što odgovara 40 mg </w:t>
      </w:r>
      <w:r w:rsidR="007E1FF7" w:rsidRPr="00B82EF7">
        <w:rPr>
          <w:rFonts w:asciiTheme="majorBidi" w:hAnsiTheme="majorBidi" w:cstheme="majorBidi"/>
          <w:sz w:val="22"/>
          <w:szCs w:val="22"/>
          <w:lang w:val="sr-Latn-ME"/>
        </w:rPr>
        <w:t>enoksaparin natrijum</w:t>
      </w:r>
      <w:r w:rsidRPr="00B82EF7">
        <w:rPr>
          <w:rFonts w:asciiTheme="majorBidi" w:hAnsiTheme="majorBidi" w:cstheme="majorBidi"/>
          <w:sz w:val="22"/>
          <w:szCs w:val="22"/>
          <w:lang w:val="sr-Latn-ME"/>
        </w:rPr>
        <w:t>a.</w:t>
      </w:r>
    </w:p>
    <w:p w14:paraId="1846A334" w14:textId="4FCBE88C" w:rsidR="00303B9F" w:rsidRPr="00B82EF7" w:rsidRDefault="00303B9F" w:rsidP="001B1029">
      <w:pPr>
        <w:rPr>
          <w:rFonts w:asciiTheme="majorBidi" w:hAnsiTheme="majorBidi" w:cstheme="majorBidi"/>
          <w:sz w:val="22"/>
          <w:szCs w:val="22"/>
          <w:lang w:val="sr-Latn-ME"/>
        </w:rPr>
      </w:pPr>
    </w:p>
    <w:p w14:paraId="04133D7E" w14:textId="5F87704C" w:rsidR="00303B9F" w:rsidRPr="00B82EF7" w:rsidRDefault="00303B9F" w:rsidP="00303B9F">
      <w:pPr>
        <w:pStyle w:val="BodyText"/>
        <w:ind w:left="0"/>
        <w:jc w:val="both"/>
        <w:rPr>
          <w:rFonts w:asciiTheme="majorBidi" w:hAnsiTheme="majorBidi" w:cstheme="majorBidi"/>
          <w:i/>
          <w:u w:val="single"/>
          <w:lang w:val="sr-Latn-ME"/>
        </w:rPr>
      </w:pPr>
      <w:r w:rsidRPr="00B82EF7">
        <w:rPr>
          <w:rFonts w:asciiTheme="majorBidi" w:hAnsiTheme="majorBidi" w:cstheme="majorBidi"/>
          <w:i/>
          <w:u w:val="single"/>
          <w:lang w:val="sr-Latn-ME"/>
        </w:rPr>
        <w:t xml:space="preserve">6 000 i.j./0,6 ml </w:t>
      </w:r>
    </w:p>
    <w:p w14:paraId="6E883399" w14:textId="436E6AF3" w:rsidR="001B1029" w:rsidRPr="00B82EF7" w:rsidRDefault="001B1029" w:rsidP="00AA7815">
      <w:pPr>
        <w:rPr>
          <w:rFonts w:asciiTheme="majorBidi" w:hAnsiTheme="majorBidi" w:cstheme="majorBidi"/>
          <w:sz w:val="22"/>
          <w:szCs w:val="22"/>
          <w:lang w:val="sr-Latn-ME"/>
        </w:rPr>
      </w:pPr>
      <w:r w:rsidRPr="00B82EF7">
        <w:rPr>
          <w:rFonts w:asciiTheme="majorBidi" w:hAnsiTheme="majorBidi" w:cstheme="majorBidi"/>
          <w:sz w:val="22"/>
          <w:szCs w:val="22"/>
          <w:lang w:val="sr-Latn-ME"/>
        </w:rPr>
        <w:t>Svaki napunjeni injekcioni špric sad</w:t>
      </w:r>
      <w:r w:rsidR="004E0385" w:rsidRPr="00B82EF7">
        <w:rPr>
          <w:rFonts w:asciiTheme="majorBidi" w:hAnsiTheme="majorBidi" w:cstheme="majorBidi"/>
          <w:sz w:val="22"/>
          <w:szCs w:val="22"/>
          <w:lang w:val="sr-Latn-ME"/>
        </w:rPr>
        <w:t xml:space="preserve">rži 6 </w:t>
      </w:r>
      <w:r w:rsidRPr="00B82EF7">
        <w:rPr>
          <w:rFonts w:asciiTheme="majorBidi" w:hAnsiTheme="majorBidi" w:cstheme="majorBidi"/>
          <w:sz w:val="22"/>
          <w:szCs w:val="22"/>
          <w:lang w:val="sr-Latn-ME"/>
        </w:rPr>
        <w:t xml:space="preserve">000 i.j. anti-Xa aktivnosti u 0,6 </w:t>
      </w:r>
      <w:r w:rsidR="00A32335" w:rsidRPr="00B82EF7">
        <w:rPr>
          <w:rFonts w:asciiTheme="majorBidi" w:hAnsiTheme="majorBidi" w:cstheme="majorBidi"/>
          <w:sz w:val="22"/>
          <w:szCs w:val="22"/>
          <w:lang w:val="sr-Latn-ME"/>
        </w:rPr>
        <w:t>ml</w:t>
      </w:r>
      <w:r w:rsidRPr="00B82EF7">
        <w:rPr>
          <w:rFonts w:asciiTheme="majorBidi" w:hAnsiTheme="majorBidi" w:cstheme="majorBidi"/>
          <w:sz w:val="22"/>
          <w:szCs w:val="22"/>
          <w:lang w:val="sr-Latn-ME"/>
        </w:rPr>
        <w:t xml:space="preserve"> rastvora za injekciju, što odgovara 60 mg </w:t>
      </w:r>
      <w:r w:rsidR="007E1FF7" w:rsidRPr="00B82EF7">
        <w:rPr>
          <w:rFonts w:asciiTheme="majorBidi" w:hAnsiTheme="majorBidi" w:cstheme="majorBidi"/>
          <w:sz w:val="22"/>
          <w:szCs w:val="22"/>
          <w:lang w:val="sr-Latn-ME"/>
        </w:rPr>
        <w:t>enoksaparin natrijum</w:t>
      </w:r>
      <w:r w:rsidRPr="00B82EF7">
        <w:rPr>
          <w:rFonts w:asciiTheme="majorBidi" w:hAnsiTheme="majorBidi" w:cstheme="majorBidi"/>
          <w:sz w:val="22"/>
          <w:szCs w:val="22"/>
          <w:lang w:val="sr-Latn-ME"/>
        </w:rPr>
        <w:t>a.</w:t>
      </w:r>
    </w:p>
    <w:p w14:paraId="4E4C85C8" w14:textId="4B3B1CA2" w:rsidR="00303B9F" w:rsidRPr="00B82EF7" w:rsidRDefault="00303B9F" w:rsidP="001B1029">
      <w:pPr>
        <w:rPr>
          <w:rFonts w:asciiTheme="majorBidi" w:hAnsiTheme="majorBidi" w:cstheme="majorBidi"/>
          <w:sz w:val="22"/>
          <w:szCs w:val="22"/>
          <w:lang w:val="sr-Latn-ME"/>
        </w:rPr>
      </w:pPr>
    </w:p>
    <w:p w14:paraId="10A7C210" w14:textId="09230FB8" w:rsidR="00303B9F" w:rsidRPr="00B82EF7" w:rsidRDefault="00303B9F" w:rsidP="00303B9F">
      <w:pPr>
        <w:pStyle w:val="BodyText"/>
        <w:ind w:left="0"/>
        <w:jc w:val="both"/>
        <w:rPr>
          <w:rFonts w:asciiTheme="majorBidi" w:hAnsiTheme="majorBidi" w:cstheme="majorBidi"/>
          <w:i/>
          <w:u w:val="single"/>
          <w:lang w:val="sr-Latn-ME"/>
        </w:rPr>
      </w:pPr>
      <w:r w:rsidRPr="00B82EF7">
        <w:rPr>
          <w:rFonts w:asciiTheme="majorBidi" w:hAnsiTheme="majorBidi" w:cstheme="majorBidi"/>
          <w:i/>
          <w:u w:val="single"/>
          <w:lang w:val="sr-Latn-ME"/>
        </w:rPr>
        <w:t xml:space="preserve">8 000 i.j./0,8 ml </w:t>
      </w:r>
    </w:p>
    <w:p w14:paraId="7A305430" w14:textId="43DC0B66" w:rsidR="001B1029" w:rsidRPr="00B82EF7" w:rsidRDefault="001B1029" w:rsidP="00AA7815">
      <w:pPr>
        <w:rPr>
          <w:rFonts w:asciiTheme="majorBidi" w:hAnsiTheme="majorBidi" w:cstheme="majorBidi"/>
          <w:sz w:val="22"/>
          <w:szCs w:val="22"/>
          <w:lang w:val="sr-Latn-ME"/>
        </w:rPr>
      </w:pPr>
      <w:r w:rsidRPr="00B82EF7">
        <w:rPr>
          <w:rFonts w:asciiTheme="majorBidi" w:hAnsiTheme="majorBidi" w:cstheme="majorBidi"/>
          <w:sz w:val="22"/>
          <w:szCs w:val="22"/>
          <w:lang w:val="sr-Latn-ME"/>
        </w:rPr>
        <w:t xml:space="preserve">Svaki napunjeni injekcioni špric </w:t>
      </w:r>
      <w:r w:rsidR="004E0385" w:rsidRPr="00B82EF7">
        <w:rPr>
          <w:rFonts w:asciiTheme="majorBidi" w:hAnsiTheme="majorBidi" w:cstheme="majorBidi"/>
          <w:sz w:val="22"/>
          <w:szCs w:val="22"/>
          <w:lang w:val="sr-Latn-ME"/>
        </w:rPr>
        <w:t xml:space="preserve">sadrži 8 </w:t>
      </w:r>
      <w:r w:rsidRPr="00B82EF7">
        <w:rPr>
          <w:rFonts w:asciiTheme="majorBidi" w:hAnsiTheme="majorBidi" w:cstheme="majorBidi"/>
          <w:sz w:val="22"/>
          <w:szCs w:val="22"/>
          <w:lang w:val="sr-Latn-ME"/>
        </w:rPr>
        <w:t xml:space="preserve">000 </w:t>
      </w:r>
      <w:r w:rsidR="00DD7F82" w:rsidRPr="00B82EF7">
        <w:rPr>
          <w:rFonts w:asciiTheme="majorBidi" w:hAnsiTheme="majorBidi" w:cstheme="majorBidi"/>
          <w:sz w:val="22"/>
          <w:szCs w:val="22"/>
          <w:lang w:val="sr-Latn-ME"/>
        </w:rPr>
        <w:t xml:space="preserve">i.j. anti-Xa aktivnosti u 0,8 </w:t>
      </w:r>
      <w:r w:rsidR="00A32335" w:rsidRPr="00B82EF7">
        <w:rPr>
          <w:rFonts w:asciiTheme="majorBidi" w:hAnsiTheme="majorBidi" w:cstheme="majorBidi"/>
          <w:sz w:val="22"/>
          <w:szCs w:val="22"/>
          <w:lang w:val="sr-Latn-ME"/>
        </w:rPr>
        <w:t>ml</w:t>
      </w:r>
      <w:r w:rsidRPr="00B82EF7">
        <w:rPr>
          <w:rFonts w:asciiTheme="majorBidi" w:hAnsiTheme="majorBidi" w:cstheme="majorBidi"/>
          <w:sz w:val="22"/>
          <w:szCs w:val="22"/>
          <w:lang w:val="sr-Latn-ME"/>
        </w:rPr>
        <w:t xml:space="preserve"> rastvora za injekciju, što odgovara 80 mg </w:t>
      </w:r>
      <w:r w:rsidR="007E1FF7" w:rsidRPr="00B82EF7">
        <w:rPr>
          <w:rFonts w:asciiTheme="majorBidi" w:hAnsiTheme="majorBidi" w:cstheme="majorBidi"/>
          <w:sz w:val="22"/>
          <w:szCs w:val="22"/>
          <w:lang w:val="sr-Latn-ME"/>
        </w:rPr>
        <w:t>enoksaparin natrijum</w:t>
      </w:r>
      <w:r w:rsidRPr="00B82EF7">
        <w:rPr>
          <w:rFonts w:asciiTheme="majorBidi" w:hAnsiTheme="majorBidi" w:cstheme="majorBidi"/>
          <w:sz w:val="22"/>
          <w:szCs w:val="22"/>
          <w:lang w:val="sr-Latn-ME"/>
        </w:rPr>
        <w:t>a.</w:t>
      </w:r>
    </w:p>
    <w:p w14:paraId="1C3AAC6F" w14:textId="77777777" w:rsidR="00303B9F" w:rsidRPr="00B82EF7" w:rsidRDefault="00303B9F" w:rsidP="001B1029">
      <w:pPr>
        <w:rPr>
          <w:rFonts w:asciiTheme="majorBidi" w:hAnsiTheme="majorBidi" w:cstheme="majorBidi"/>
          <w:sz w:val="22"/>
          <w:szCs w:val="22"/>
          <w:lang w:val="sr-Latn-ME"/>
        </w:rPr>
      </w:pPr>
    </w:p>
    <w:p w14:paraId="1E7EAD26" w14:textId="1D52A5A9" w:rsidR="00303B9F" w:rsidRPr="00B82EF7" w:rsidRDefault="00303B9F" w:rsidP="001B1029">
      <w:pPr>
        <w:rPr>
          <w:rFonts w:asciiTheme="majorBidi" w:hAnsiTheme="majorBidi" w:cstheme="majorBidi"/>
          <w:i/>
          <w:iCs/>
          <w:sz w:val="22"/>
          <w:szCs w:val="22"/>
          <w:u w:val="single"/>
          <w:lang w:val="sr-Latn-ME"/>
        </w:rPr>
      </w:pPr>
      <w:r w:rsidRPr="00B82EF7">
        <w:rPr>
          <w:rFonts w:asciiTheme="majorBidi" w:hAnsiTheme="majorBidi" w:cstheme="majorBidi"/>
          <w:bCs/>
          <w:i/>
          <w:iCs/>
          <w:noProof/>
          <w:sz w:val="22"/>
          <w:szCs w:val="22"/>
          <w:u w:val="single"/>
          <w:lang w:val="sr-Latn-ME"/>
        </w:rPr>
        <w:t>10 000 i.j./1 ml</w:t>
      </w:r>
    </w:p>
    <w:p w14:paraId="2B1AACF3" w14:textId="01033AC5" w:rsidR="001B1029" w:rsidRPr="00B82EF7" w:rsidRDefault="001B1029" w:rsidP="00AA7815">
      <w:pPr>
        <w:rPr>
          <w:rFonts w:asciiTheme="majorBidi" w:hAnsiTheme="majorBidi" w:cstheme="majorBidi"/>
          <w:sz w:val="22"/>
          <w:szCs w:val="22"/>
          <w:lang w:val="sr-Latn-ME"/>
        </w:rPr>
      </w:pPr>
      <w:r w:rsidRPr="00B82EF7">
        <w:rPr>
          <w:rFonts w:asciiTheme="majorBidi" w:hAnsiTheme="majorBidi" w:cstheme="majorBidi"/>
          <w:sz w:val="22"/>
          <w:szCs w:val="22"/>
          <w:lang w:val="sr-Latn-ME"/>
        </w:rPr>
        <w:t>Svaki napunjeni injekcioni špric</w:t>
      </w:r>
      <w:r w:rsidR="004E0385" w:rsidRPr="00B82EF7">
        <w:rPr>
          <w:rFonts w:asciiTheme="majorBidi" w:hAnsiTheme="majorBidi" w:cstheme="majorBidi"/>
          <w:sz w:val="22"/>
          <w:szCs w:val="22"/>
          <w:lang w:val="sr-Latn-ME"/>
        </w:rPr>
        <w:t xml:space="preserve"> sadrži 10 </w:t>
      </w:r>
      <w:r w:rsidRPr="00B82EF7">
        <w:rPr>
          <w:rFonts w:asciiTheme="majorBidi" w:hAnsiTheme="majorBidi" w:cstheme="majorBidi"/>
          <w:sz w:val="22"/>
          <w:szCs w:val="22"/>
          <w:lang w:val="sr-Latn-ME"/>
        </w:rPr>
        <w:t>00</w:t>
      </w:r>
      <w:r w:rsidR="00DD7F82" w:rsidRPr="00B82EF7">
        <w:rPr>
          <w:rFonts w:asciiTheme="majorBidi" w:hAnsiTheme="majorBidi" w:cstheme="majorBidi"/>
          <w:sz w:val="22"/>
          <w:szCs w:val="22"/>
          <w:lang w:val="sr-Latn-ME"/>
        </w:rPr>
        <w:t xml:space="preserve">0 i.j. anti-Xa aktivnosti u 1 </w:t>
      </w:r>
      <w:r w:rsidR="00A32335" w:rsidRPr="00B82EF7">
        <w:rPr>
          <w:rFonts w:asciiTheme="majorBidi" w:hAnsiTheme="majorBidi" w:cstheme="majorBidi"/>
          <w:sz w:val="22"/>
          <w:szCs w:val="22"/>
          <w:lang w:val="sr-Latn-ME"/>
        </w:rPr>
        <w:t>ml</w:t>
      </w:r>
      <w:r w:rsidRPr="00B82EF7">
        <w:rPr>
          <w:rFonts w:asciiTheme="majorBidi" w:hAnsiTheme="majorBidi" w:cstheme="majorBidi"/>
          <w:sz w:val="22"/>
          <w:szCs w:val="22"/>
          <w:lang w:val="sr-Latn-ME"/>
        </w:rPr>
        <w:t xml:space="preserve"> rastvora za injekciju, što odgovara 100 mg </w:t>
      </w:r>
      <w:r w:rsidR="007E1FF7" w:rsidRPr="00B82EF7">
        <w:rPr>
          <w:rFonts w:asciiTheme="majorBidi" w:hAnsiTheme="majorBidi" w:cstheme="majorBidi"/>
          <w:sz w:val="22"/>
          <w:szCs w:val="22"/>
          <w:lang w:val="sr-Latn-ME"/>
        </w:rPr>
        <w:t>enoksaparin natrijum</w:t>
      </w:r>
      <w:r w:rsidRPr="00B82EF7">
        <w:rPr>
          <w:rFonts w:asciiTheme="majorBidi" w:hAnsiTheme="majorBidi" w:cstheme="majorBidi"/>
          <w:sz w:val="22"/>
          <w:szCs w:val="22"/>
          <w:lang w:val="sr-Latn-ME"/>
        </w:rPr>
        <w:t>a.</w:t>
      </w:r>
    </w:p>
    <w:p w14:paraId="3969B554" w14:textId="77777777" w:rsidR="001B1029" w:rsidRPr="00B82EF7" w:rsidRDefault="001B1029" w:rsidP="001B1029">
      <w:pPr>
        <w:rPr>
          <w:rFonts w:asciiTheme="majorBidi" w:hAnsiTheme="majorBidi" w:cstheme="majorBidi"/>
          <w:sz w:val="22"/>
          <w:szCs w:val="22"/>
          <w:lang w:val="sr-Latn-ME"/>
        </w:rPr>
      </w:pPr>
    </w:p>
    <w:p w14:paraId="275E2332" w14:textId="77777777" w:rsidR="001B1029" w:rsidRPr="00B82EF7" w:rsidRDefault="00DD7F82" w:rsidP="001B1029">
      <w:pPr>
        <w:rPr>
          <w:rFonts w:asciiTheme="majorBidi" w:hAnsiTheme="majorBidi" w:cstheme="majorBidi"/>
          <w:sz w:val="22"/>
          <w:szCs w:val="22"/>
          <w:lang w:val="sr-Latn-ME"/>
        </w:rPr>
      </w:pPr>
      <w:r w:rsidRPr="00B82EF7">
        <w:rPr>
          <w:rFonts w:asciiTheme="majorBidi" w:hAnsiTheme="majorBidi" w:cstheme="majorBidi"/>
          <w:sz w:val="22"/>
          <w:szCs w:val="22"/>
          <w:lang w:val="sr-Latn-ME"/>
        </w:rPr>
        <w:t xml:space="preserve">Enoksaparin </w:t>
      </w:r>
      <w:r w:rsidR="001B1029" w:rsidRPr="00B82EF7">
        <w:rPr>
          <w:rFonts w:asciiTheme="majorBidi" w:hAnsiTheme="majorBidi" w:cstheme="majorBidi"/>
          <w:sz w:val="22"/>
          <w:szCs w:val="22"/>
          <w:lang w:val="sr-Latn-ME"/>
        </w:rPr>
        <w:t>natrijum je biološka supstanca dobijena alkalnom depolimerizacijom heparin benzil estra izvedenog iz intestinalne mukoze svinja.</w:t>
      </w:r>
    </w:p>
    <w:p w14:paraId="6178FA2C" w14:textId="77777777" w:rsidR="001B1029" w:rsidRPr="00B82EF7" w:rsidRDefault="001B1029">
      <w:pPr>
        <w:rPr>
          <w:rFonts w:asciiTheme="majorBidi" w:hAnsiTheme="majorBidi" w:cstheme="majorBidi"/>
          <w:sz w:val="22"/>
          <w:szCs w:val="22"/>
          <w:lang w:val="sr-Latn-ME"/>
        </w:rPr>
      </w:pPr>
    </w:p>
    <w:p w14:paraId="79224EFC" w14:textId="77777777" w:rsidR="0003793F" w:rsidRPr="00B82EF7" w:rsidRDefault="0003793F">
      <w:pPr>
        <w:rPr>
          <w:rFonts w:asciiTheme="majorBidi" w:hAnsiTheme="majorBidi" w:cstheme="majorBidi"/>
          <w:sz w:val="22"/>
          <w:szCs w:val="22"/>
          <w:lang w:val="sr-Latn-ME"/>
        </w:rPr>
      </w:pPr>
      <w:r w:rsidRPr="00B82EF7">
        <w:rPr>
          <w:rFonts w:asciiTheme="majorBidi" w:hAnsiTheme="majorBidi" w:cstheme="majorBidi"/>
          <w:sz w:val="22"/>
          <w:szCs w:val="22"/>
          <w:lang w:val="sr-Latn-ME"/>
        </w:rPr>
        <w:t>Za spisak svih ekscipijenasa, pogledati dio 6.1.</w:t>
      </w:r>
    </w:p>
    <w:p w14:paraId="343D140E" w14:textId="77777777" w:rsidR="0003793F" w:rsidRPr="00B82EF7" w:rsidRDefault="0003793F">
      <w:pPr>
        <w:rPr>
          <w:rFonts w:asciiTheme="majorBidi" w:hAnsiTheme="majorBidi" w:cstheme="majorBidi"/>
          <w:sz w:val="22"/>
          <w:szCs w:val="22"/>
          <w:lang w:val="sr-Latn-ME"/>
        </w:rPr>
      </w:pPr>
    </w:p>
    <w:p w14:paraId="26373654" w14:textId="77777777" w:rsidR="00C37FD7" w:rsidRPr="00B82EF7" w:rsidRDefault="00C37FD7">
      <w:pPr>
        <w:rPr>
          <w:rFonts w:asciiTheme="majorBidi" w:hAnsiTheme="majorBidi" w:cstheme="majorBidi"/>
          <w:sz w:val="22"/>
          <w:szCs w:val="22"/>
          <w:lang w:val="sr-Latn-ME"/>
        </w:rPr>
      </w:pPr>
    </w:p>
    <w:p w14:paraId="2F2BF4CE"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3. </w:t>
      </w:r>
      <w:r w:rsidR="00F5167F"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FARMACEUTSKI OBLIK</w:t>
      </w:r>
      <w:r w:rsidR="009F2D23" w:rsidRPr="00B82EF7">
        <w:rPr>
          <w:rFonts w:asciiTheme="majorBidi" w:hAnsiTheme="majorBidi" w:cstheme="majorBidi"/>
          <w:b/>
          <w:bCs/>
          <w:sz w:val="22"/>
          <w:szCs w:val="22"/>
          <w:lang w:val="sr-Latn-ME"/>
        </w:rPr>
        <w:t xml:space="preserve"> </w:t>
      </w:r>
    </w:p>
    <w:p w14:paraId="445B56D5" w14:textId="77777777" w:rsidR="00411B4B" w:rsidRPr="00B82EF7" w:rsidRDefault="00411B4B" w:rsidP="00F131CD">
      <w:pPr>
        <w:jc w:val="both"/>
        <w:rPr>
          <w:rFonts w:asciiTheme="majorBidi" w:hAnsiTheme="majorBidi" w:cstheme="majorBidi"/>
          <w:bCs/>
          <w:sz w:val="22"/>
          <w:szCs w:val="22"/>
          <w:lang w:val="sr-Latn-ME"/>
        </w:rPr>
      </w:pPr>
    </w:p>
    <w:p w14:paraId="7F1EF49A" w14:textId="77777777" w:rsidR="00DD7F82" w:rsidRPr="00B82EF7" w:rsidRDefault="00DD7F82" w:rsidP="00F131CD">
      <w:pPr>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Rastvor za injekciju u napunjenom injekcionom špricu.</w:t>
      </w:r>
    </w:p>
    <w:p w14:paraId="619AC63B" w14:textId="77777777" w:rsidR="00EC2532" w:rsidRPr="00B82EF7" w:rsidRDefault="00F312C6" w:rsidP="00F131CD">
      <w:pPr>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B</w:t>
      </w:r>
      <w:r w:rsidR="00DD7F82" w:rsidRPr="00B82EF7">
        <w:rPr>
          <w:rFonts w:asciiTheme="majorBidi" w:hAnsiTheme="majorBidi" w:cstheme="majorBidi"/>
          <w:bCs/>
          <w:sz w:val="22"/>
          <w:szCs w:val="22"/>
          <w:lang w:val="sr-Latn-ME"/>
        </w:rPr>
        <w:t>istar, bezbojan do blijedo žut rastvor.</w:t>
      </w:r>
    </w:p>
    <w:p w14:paraId="09B3C33E" w14:textId="24285561" w:rsidR="00DD7F82" w:rsidRDefault="00DD7F82" w:rsidP="00F131CD">
      <w:pPr>
        <w:jc w:val="both"/>
        <w:rPr>
          <w:rFonts w:asciiTheme="majorBidi" w:hAnsiTheme="majorBidi" w:cstheme="majorBidi"/>
          <w:bCs/>
          <w:sz w:val="22"/>
          <w:szCs w:val="22"/>
          <w:lang w:val="sr-Latn-ME"/>
        </w:rPr>
      </w:pPr>
    </w:p>
    <w:p w14:paraId="3A604102" w14:textId="77777777" w:rsidR="00B82EF7" w:rsidRPr="00B82EF7" w:rsidRDefault="00B82EF7" w:rsidP="00F131CD">
      <w:pPr>
        <w:jc w:val="both"/>
        <w:rPr>
          <w:rFonts w:asciiTheme="majorBidi" w:hAnsiTheme="majorBidi" w:cstheme="majorBidi"/>
          <w:bCs/>
          <w:sz w:val="22"/>
          <w:szCs w:val="22"/>
          <w:lang w:val="sr-Latn-ME"/>
        </w:rPr>
      </w:pPr>
    </w:p>
    <w:p w14:paraId="5055D406"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KLINIČKI PODACI</w:t>
      </w:r>
    </w:p>
    <w:p w14:paraId="07B3D45B" w14:textId="77777777" w:rsidR="00CD6F02" w:rsidRPr="00B82EF7" w:rsidRDefault="00CD6F02" w:rsidP="00F131CD">
      <w:pPr>
        <w:tabs>
          <w:tab w:val="left" w:pos="540"/>
          <w:tab w:val="left" w:pos="569"/>
        </w:tabs>
        <w:jc w:val="both"/>
        <w:rPr>
          <w:rFonts w:asciiTheme="majorBidi" w:hAnsiTheme="majorBidi" w:cstheme="majorBidi"/>
          <w:bCs/>
          <w:sz w:val="22"/>
          <w:szCs w:val="22"/>
          <w:lang w:val="sr-Latn-ME"/>
        </w:rPr>
      </w:pPr>
    </w:p>
    <w:p w14:paraId="18E6694C"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4.1.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Terapijske indikacije</w:t>
      </w:r>
    </w:p>
    <w:p w14:paraId="5A6251F6" w14:textId="5B894A9D" w:rsidR="00411B4B" w:rsidRDefault="00411B4B" w:rsidP="00F131CD">
      <w:pPr>
        <w:tabs>
          <w:tab w:val="left" w:pos="540"/>
          <w:tab w:val="left" w:pos="569"/>
        </w:tabs>
        <w:jc w:val="both"/>
        <w:rPr>
          <w:rFonts w:asciiTheme="majorBidi" w:hAnsiTheme="majorBidi" w:cstheme="majorBidi"/>
          <w:bCs/>
          <w:sz w:val="22"/>
          <w:szCs w:val="22"/>
          <w:lang w:val="sr-Latn-ME"/>
        </w:rPr>
      </w:pPr>
    </w:p>
    <w:p w14:paraId="55BC1804" w14:textId="7B748B2E" w:rsidR="00B82EF7" w:rsidRPr="00B82EF7" w:rsidRDefault="00B82EF7" w:rsidP="00F131CD">
      <w:pPr>
        <w:tabs>
          <w:tab w:val="left" w:pos="540"/>
          <w:tab w:val="left" w:pos="569"/>
        </w:tabs>
        <w:jc w:val="both"/>
        <w:rPr>
          <w:rFonts w:asciiTheme="majorBidi" w:hAnsiTheme="majorBidi" w:cstheme="majorBidi"/>
          <w:bCs/>
          <w:sz w:val="22"/>
          <w:szCs w:val="22"/>
          <w:lang w:val="sr-Latn-ME"/>
        </w:rPr>
      </w:pPr>
    </w:p>
    <w:p w14:paraId="08EF43E8" w14:textId="77777777" w:rsidR="00DD7F82" w:rsidRPr="00B82EF7" w:rsidRDefault="00DD7F82" w:rsidP="004D148D">
      <w:pPr>
        <w:tabs>
          <w:tab w:val="left" w:pos="284"/>
        </w:tabs>
        <w:spacing w:after="12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lastRenderedPageBreak/>
        <w:t>L</w:t>
      </w:r>
      <w:r w:rsidR="00F312C6"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 Crusia je indikovan kod odraslih pacijenata za:</w:t>
      </w:r>
    </w:p>
    <w:p w14:paraId="5E0CC038" w14:textId="77777777" w:rsidR="00DD7F82" w:rsidRPr="00B82EF7" w:rsidRDefault="00DD7F82" w:rsidP="00C36CDC">
      <w:pPr>
        <w:numPr>
          <w:ilvl w:val="0"/>
          <w:numId w:val="12"/>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profilaksu venske tromboembolijske bolesti kod hirurških pacijenata sa um</w:t>
      </w:r>
      <w:r w:rsidR="00F312C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erenim i visokim rizikom, posebno onih koji su podvrgnuti ortopedskim ili opštim hirurškim zahvatima, uključujući operaciju karcinoma.</w:t>
      </w:r>
    </w:p>
    <w:p w14:paraId="2A37133D" w14:textId="77777777" w:rsidR="00DD7F82" w:rsidRPr="00B82EF7" w:rsidRDefault="00DD7F82">
      <w:pPr>
        <w:numPr>
          <w:ilvl w:val="0"/>
          <w:numId w:val="12"/>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profilaksu venske tromboembolijske bolesti kod internističkih pacijenata sa akutnom bolešću (kao što je akutna insuficijencija srca, respiratorna insuficijencija, teške infekcije ili reumatske bolesti) i smanjene pokretljivosti pri povećanom riziku od venske tromboembolije.</w:t>
      </w:r>
    </w:p>
    <w:p w14:paraId="1DE9DE68" w14:textId="77777777" w:rsidR="00DD7F82" w:rsidRPr="00B82EF7" w:rsidRDefault="00DD7F82">
      <w:pPr>
        <w:numPr>
          <w:ilvl w:val="0"/>
          <w:numId w:val="12"/>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terapiju tromboze dubokih vena (TDV) i plućne embolije (PE), isključujući PE koja će v</w:t>
      </w:r>
      <w:r w:rsidR="008612A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erovatno zaht</w:t>
      </w:r>
      <w:r w:rsidR="008612A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evati trombolitičku terapiju ili operaciju.</w:t>
      </w:r>
    </w:p>
    <w:p w14:paraId="30060E0E" w14:textId="77777777" w:rsidR="00DD7F82" w:rsidRPr="00B82EF7" w:rsidRDefault="00DD7F82">
      <w:pPr>
        <w:numPr>
          <w:ilvl w:val="0"/>
          <w:numId w:val="12"/>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prevenciju formiranja tromba u ekstrakorporalnoj cirkulaciji tokom hemodijalize. </w:t>
      </w:r>
    </w:p>
    <w:p w14:paraId="7355F37E" w14:textId="77777777" w:rsidR="00DD7F82" w:rsidRPr="00B82EF7" w:rsidRDefault="00DD7F82">
      <w:pPr>
        <w:numPr>
          <w:ilvl w:val="0"/>
          <w:numId w:val="12"/>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akutni koronarni sindrom:</w:t>
      </w:r>
    </w:p>
    <w:p w14:paraId="436B22C2" w14:textId="7DEEC9B1" w:rsidR="008612A9" w:rsidRPr="00B82EF7" w:rsidRDefault="00DD7F82">
      <w:pPr>
        <w:numPr>
          <w:ilvl w:val="0"/>
          <w:numId w:val="13"/>
        </w:numPr>
        <w:tabs>
          <w:tab w:val="left" w:pos="426"/>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nestabilne angine</w:t>
      </w:r>
      <w:r w:rsidR="000A4414" w:rsidRPr="00B82EF7">
        <w:rPr>
          <w:rFonts w:asciiTheme="majorBidi" w:hAnsiTheme="majorBidi" w:cstheme="majorBidi"/>
          <w:noProof/>
          <w:sz w:val="22"/>
          <w:szCs w:val="22"/>
          <w:lang w:val="sr-Latn-ME"/>
        </w:rPr>
        <w:t xml:space="preserve"> pektoris</w:t>
      </w:r>
      <w:r w:rsidRPr="00B82EF7">
        <w:rPr>
          <w:rFonts w:asciiTheme="majorBidi" w:hAnsiTheme="majorBidi" w:cstheme="majorBidi"/>
          <w:noProof/>
          <w:sz w:val="22"/>
          <w:szCs w:val="22"/>
          <w:lang w:val="sr-Latn-ME"/>
        </w:rPr>
        <w:t xml:space="preserve"> i infarkta miokarda bez elevacije ST segmenta (engl. </w:t>
      </w:r>
      <w:r w:rsidRPr="00B82EF7">
        <w:rPr>
          <w:rFonts w:asciiTheme="majorBidi" w:hAnsiTheme="majorBidi" w:cstheme="majorBidi"/>
          <w:i/>
          <w:iCs/>
          <w:noProof/>
          <w:sz w:val="22"/>
          <w:szCs w:val="22"/>
          <w:lang w:val="sr-Latn-ME"/>
        </w:rPr>
        <w:t>non-ST segment elevation myocardial infarction</w:t>
      </w:r>
      <w:r w:rsidRPr="00B82EF7">
        <w:rPr>
          <w:rFonts w:asciiTheme="majorBidi" w:hAnsiTheme="majorBidi" w:cstheme="majorBidi"/>
          <w:noProof/>
          <w:sz w:val="22"/>
          <w:szCs w:val="22"/>
          <w:lang w:val="sr-Latn-ME"/>
        </w:rPr>
        <w:t>, NSTEMI), u kombinaciji sa oralnom acetilsalicilnom kiselinom.</w:t>
      </w:r>
    </w:p>
    <w:p w14:paraId="00213B3B" w14:textId="099145BC" w:rsidR="00DD7F82" w:rsidRPr="00B82EF7" w:rsidRDefault="00DD7F82">
      <w:pPr>
        <w:numPr>
          <w:ilvl w:val="0"/>
          <w:numId w:val="13"/>
        </w:numPr>
        <w:tabs>
          <w:tab w:val="left" w:pos="426"/>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terapija akutnog infarkta miokarda sa elevacijom ST segmenta (engl. </w:t>
      </w:r>
      <w:r w:rsidRPr="00B82EF7">
        <w:rPr>
          <w:rFonts w:asciiTheme="majorBidi" w:hAnsiTheme="majorBidi" w:cstheme="majorBidi"/>
          <w:i/>
          <w:iCs/>
          <w:noProof/>
          <w:sz w:val="22"/>
          <w:szCs w:val="22"/>
          <w:lang w:val="sr-Latn-ME"/>
        </w:rPr>
        <w:t>ST-segment elevation myocardial infarction</w:t>
      </w:r>
      <w:r w:rsidRPr="00B82EF7">
        <w:rPr>
          <w:rFonts w:asciiTheme="majorBidi" w:hAnsiTheme="majorBidi" w:cstheme="majorBidi"/>
          <w:noProof/>
          <w:sz w:val="22"/>
          <w:szCs w:val="22"/>
          <w:lang w:val="sr-Latn-ME"/>
        </w:rPr>
        <w:t>, STEMI), uključujući pacijente koji će biti l</w:t>
      </w:r>
      <w:r w:rsidR="008612A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ečeni internistički ili će naknadno biti podvrgnuti perkutanoj koronarnoj intervenciji (</w:t>
      </w:r>
      <w:r w:rsidR="00F63634" w:rsidRPr="00B82EF7">
        <w:rPr>
          <w:rFonts w:asciiTheme="majorBidi" w:hAnsiTheme="majorBidi" w:cstheme="majorBidi"/>
          <w:noProof/>
          <w:sz w:val="22"/>
          <w:szCs w:val="22"/>
          <w:lang w:val="sr-Latn-ME"/>
        </w:rPr>
        <w:t xml:space="preserve">engl. </w:t>
      </w:r>
      <w:r w:rsidR="00F63634" w:rsidRPr="00B82EF7">
        <w:rPr>
          <w:rFonts w:asciiTheme="majorBidi" w:hAnsiTheme="majorBidi" w:cstheme="majorBidi"/>
          <w:i/>
          <w:noProof/>
          <w:sz w:val="22"/>
          <w:szCs w:val="22"/>
          <w:lang w:val="sr-Latn-ME"/>
        </w:rPr>
        <w:t>percutaneous coronary intervention</w:t>
      </w:r>
      <w:r w:rsidR="00F63634"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PCI).</w:t>
      </w:r>
    </w:p>
    <w:p w14:paraId="15E9F63E" w14:textId="77777777" w:rsidR="00DD7F82" w:rsidRPr="00B82EF7" w:rsidRDefault="00DD7F82" w:rsidP="00F131CD">
      <w:pPr>
        <w:tabs>
          <w:tab w:val="left" w:pos="540"/>
          <w:tab w:val="left" w:pos="569"/>
        </w:tabs>
        <w:jc w:val="both"/>
        <w:rPr>
          <w:rFonts w:asciiTheme="majorBidi" w:hAnsiTheme="majorBidi" w:cstheme="majorBidi"/>
          <w:bCs/>
          <w:sz w:val="22"/>
          <w:szCs w:val="22"/>
          <w:lang w:val="sr-Latn-ME"/>
        </w:rPr>
      </w:pPr>
    </w:p>
    <w:p w14:paraId="4B9857A8"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4.2.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Doziranje i način primjene</w:t>
      </w:r>
    </w:p>
    <w:p w14:paraId="2E67938B"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5693FA6F" w14:textId="77777777" w:rsidR="00452E9D" w:rsidRPr="00B82EF7" w:rsidRDefault="00452E9D" w:rsidP="00F131CD">
      <w:pPr>
        <w:tabs>
          <w:tab w:val="left" w:pos="540"/>
          <w:tab w:val="left" w:pos="569"/>
        </w:tabs>
        <w:jc w:val="both"/>
        <w:rPr>
          <w:rFonts w:asciiTheme="majorBidi" w:hAnsiTheme="majorBidi" w:cstheme="majorBidi"/>
          <w:bCs/>
          <w:sz w:val="22"/>
          <w:szCs w:val="22"/>
          <w:u w:val="single"/>
          <w:lang w:val="sr-Latn-ME"/>
        </w:rPr>
      </w:pPr>
      <w:r w:rsidRPr="00B82EF7">
        <w:rPr>
          <w:rFonts w:asciiTheme="majorBidi" w:hAnsiTheme="majorBidi" w:cstheme="majorBidi"/>
          <w:bCs/>
          <w:sz w:val="22"/>
          <w:szCs w:val="22"/>
          <w:u w:val="single"/>
          <w:lang w:val="sr-Latn-ME"/>
        </w:rPr>
        <w:t>Doziranje</w:t>
      </w:r>
    </w:p>
    <w:p w14:paraId="05FB6459" w14:textId="77777777" w:rsidR="00452E9D" w:rsidRPr="00B82EF7" w:rsidRDefault="00452E9D" w:rsidP="00F131CD">
      <w:pPr>
        <w:tabs>
          <w:tab w:val="left" w:pos="540"/>
          <w:tab w:val="left" w:pos="569"/>
        </w:tabs>
        <w:jc w:val="both"/>
        <w:rPr>
          <w:rFonts w:asciiTheme="majorBidi" w:hAnsiTheme="majorBidi" w:cstheme="majorBidi"/>
          <w:bCs/>
          <w:sz w:val="22"/>
          <w:szCs w:val="22"/>
          <w:u w:val="single"/>
          <w:lang w:val="sr-Latn-ME"/>
        </w:rPr>
      </w:pPr>
    </w:p>
    <w:p w14:paraId="18454CA7" w14:textId="77777777" w:rsidR="00DD7F82" w:rsidRPr="00B82EF7" w:rsidRDefault="00DD7F82" w:rsidP="004D148D">
      <w:pPr>
        <w:tabs>
          <w:tab w:val="left" w:pos="284"/>
        </w:tabs>
        <w:spacing w:after="120"/>
        <w:jc w:val="both"/>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Profilaksa venske tromboembolijske bolesti kod hirurških pacijenata sa um</w:t>
      </w:r>
      <w:r w:rsidR="008612A9" w:rsidRPr="00B82EF7">
        <w:rPr>
          <w:rFonts w:asciiTheme="majorBidi" w:hAnsiTheme="majorBidi" w:cstheme="majorBidi"/>
          <w:i/>
          <w:noProof/>
          <w:sz w:val="22"/>
          <w:szCs w:val="22"/>
          <w:lang w:val="sr-Latn-ME"/>
        </w:rPr>
        <w:t>j</w:t>
      </w:r>
      <w:r w:rsidRPr="00B82EF7">
        <w:rPr>
          <w:rFonts w:asciiTheme="majorBidi" w:hAnsiTheme="majorBidi" w:cstheme="majorBidi"/>
          <w:i/>
          <w:noProof/>
          <w:sz w:val="22"/>
          <w:szCs w:val="22"/>
          <w:lang w:val="sr-Latn-ME"/>
        </w:rPr>
        <w:t xml:space="preserve">erenim i visokim rizikom </w:t>
      </w:r>
    </w:p>
    <w:p w14:paraId="359A5D7D" w14:textId="77777777" w:rsidR="00DD7F82" w:rsidRPr="00B82EF7" w:rsidRDefault="00DD7F82" w:rsidP="00C36CDC">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Individualni rizik od tromboembolije kod pacijenata može se proc</w:t>
      </w:r>
      <w:r w:rsidR="008612A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eniti korišćenjem validiranog modela stratifikacije rizika.</w:t>
      </w:r>
    </w:p>
    <w:p w14:paraId="7E014E70" w14:textId="77777777" w:rsidR="00DD7F82" w:rsidRPr="00B82EF7" w:rsidRDefault="00DD7F82">
      <w:pPr>
        <w:numPr>
          <w:ilvl w:val="0"/>
          <w:numId w:val="14"/>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pacijenata sa um</w:t>
      </w:r>
      <w:r w:rsidR="00BE350B"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erenim rizikom od tromboembolije, preporučena </w:t>
      </w:r>
      <w:r w:rsidR="00BE350B" w:rsidRPr="00B82EF7">
        <w:rPr>
          <w:rFonts w:asciiTheme="majorBidi" w:hAnsiTheme="majorBidi" w:cstheme="majorBidi"/>
          <w:noProof/>
          <w:sz w:val="22"/>
          <w:szCs w:val="22"/>
          <w:lang w:val="sr-Latn-ME"/>
        </w:rPr>
        <w:t xml:space="preserve">doza </w:t>
      </w:r>
      <w:r w:rsidR="007E1FF7" w:rsidRPr="00B82EF7">
        <w:rPr>
          <w:rFonts w:asciiTheme="majorBidi" w:hAnsiTheme="majorBidi" w:cstheme="majorBidi"/>
          <w:noProof/>
          <w:sz w:val="22"/>
          <w:szCs w:val="22"/>
          <w:lang w:val="sr-Latn-ME"/>
        </w:rPr>
        <w:t>enoksaparin natrijum</w:t>
      </w:r>
      <w:r w:rsidR="00BE350B" w:rsidRPr="00B82EF7">
        <w:rPr>
          <w:rFonts w:asciiTheme="majorBidi" w:hAnsiTheme="majorBidi" w:cstheme="majorBidi"/>
          <w:noProof/>
          <w:sz w:val="22"/>
          <w:szCs w:val="22"/>
          <w:lang w:val="sr-Latn-ME"/>
        </w:rPr>
        <w:t>a je 2</w:t>
      </w:r>
      <w:r w:rsidRPr="00B82EF7">
        <w:rPr>
          <w:rFonts w:asciiTheme="majorBidi" w:hAnsiTheme="majorBidi" w:cstheme="majorBidi"/>
          <w:noProof/>
          <w:sz w:val="22"/>
          <w:szCs w:val="22"/>
          <w:lang w:val="sr-Latn-ME"/>
        </w:rPr>
        <w:t>000 i.j. (20 mg) jednom dnevno subkutanom (s.c.) injekcijom. Preoperativna inicijalna doza (2 sata p</w:t>
      </w:r>
      <w:r w:rsidR="00706FE7" w:rsidRPr="00B82EF7">
        <w:rPr>
          <w:rFonts w:asciiTheme="majorBidi" w:hAnsiTheme="majorBidi" w:cstheme="majorBidi"/>
          <w:noProof/>
          <w:sz w:val="22"/>
          <w:szCs w:val="22"/>
          <w:lang w:val="sr-Latn-ME"/>
        </w:rPr>
        <w:t>r</w:t>
      </w:r>
      <w:r w:rsidR="00BE350B"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ope</w:t>
      </w:r>
      <w:r w:rsidR="00BE350B" w:rsidRPr="00B82EF7">
        <w:rPr>
          <w:rFonts w:asciiTheme="majorBidi" w:hAnsiTheme="majorBidi" w:cstheme="majorBidi"/>
          <w:noProof/>
          <w:sz w:val="22"/>
          <w:szCs w:val="22"/>
          <w:lang w:val="sr-Latn-ME"/>
        </w:rPr>
        <w:t>racije) enoksaparin natrijuma 2</w:t>
      </w:r>
      <w:r w:rsidRPr="00B82EF7">
        <w:rPr>
          <w:rFonts w:asciiTheme="majorBidi" w:hAnsiTheme="majorBidi" w:cstheme="majorBidi"/>
          <w:noProof/>
          <w:sz w:val="22"/>
          <w:szCs w:val="22"/>
          <w:lang w:val="sr-Latn-ME"/>
        </w:rPr>
        <w:t>000 i.j. (20 mg) je dokazano efikasna i bezb</w:t>
      </w:r>
      <w:r w:rsidR="00BE350B"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edna kod operacija um</w:t>
      </w:r>
      <w:r w:rsidR="00BE350B"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erenog rizika. </w:t>
      </w:r>
    </w:p>
    <w:p w14:paraId="132B0A36" w14:textId="77777777" w:rsidR="00DD7F82" w:rsidRPr="00B82EF7" w:rsidRDefault="00DD7F82">
      <w:p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pacijenata sa um</w:t>
      </w:r>
      <w:r w:rsidR="00BE350B"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erenim rizikom, ter</w:t>
      </w:r>
      <w:r w:rsidR="00BE350B" w:rsidRPr="00B82EF7">
        <w:rPr>
          <w:rFonts w:asciiTheme="majorBidi" w:hAnsiTheme="majorBidi" w:cstheme="majorBidi"/>
          <w:noProof/>
          <w:sz w:val="22"/>
          <w:szCs w:val="22"/>
          <w:lang w:val="sr-Latn-ME"/>
        </w:rPr>
        <w:t xml:space="preserve">apiju enoksaparin </w:t>
      </w:r>
      <w:r w:rsidRPr="00B82EF7">
        <w:rPr>
          <w:rFonts w:asciiTheme="majorBidi" w:hAnsiTheme="majorBidi" w:cstheme="majorBidi"/>
          <w:noProof/>
          <w:sz w:val="22"/>
          <w:szCs w:val="22"/>
          <w:lang w:val="sr-Latn-ME"/>
        </w:rPr>
        <w:t xml:space="preserve">natrijumom treba održavati za minimalni period od 7-10 dana bez obzira na stanje oporavka (npr. mobilnost). Profilaksu treba nastaviti sve dok pacijent ne bude više imao značajno smanjenu pokretljivost. </w:t>
      </w:r>
    </w:p>
    <w:p w14:paraId="75338644" w14:textId="77777777" w:rsidR="00DD7F82" w:rsidRPr="00B82EF7" w:rsidRDefault="00DD7F82">
      <w:pPr>
        <w:numPr>
          <w:ilvl w:val="0"/>
          <w:numId w:val="14"/>
        </w:numPr>
        <w:tabs>
          <w:tab w:val="left" w:pos="426"/>
        </w:tabs>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Kod pacijenata sa visokim rizikom od tromboembolije, preporučena </w:t>
      </w:r>
      <w:r w:rsidR="00BE350B" w:rsidRPr="00B82EF7">
        <w:rPr>
          <w:rFonts w:asciiTheme="majorBidi" w:hAnsiTheme="majorBidi" w:cstheme="majorBidi"/>
          <w:noProof/>
          <w:sz w:val="22"/>
          <w:szCs w:val="22"/>
          <w:lang w:val="sr-Latn-ME"/>
        </w:rPr>
        <w:t>doza enoksaparin natrijuma je 4</w:t>
      </w:r>
      <w:r w:rsidRPr="00B82EF7">
        <w:rPr>
          <w:rFonts w:asciiTheme="majorBidi" w:hAnsiTheme="majorBidi" w:cstheme="majorBidi"/>
          <w:noProof/>
          <w:sz w:val="22"/>
          <w:szCs w:val="22"/>
          <w:lang w:val="sr-Latn-ME"/>
        </w:rPr>
        <w:t>000 i.j. (40 mg) jednom dnevno, koja se daje subkutanom (s.c.) injekcijom približno 12 sati pr</w:t>
      </w:r>
      <w:r w:rsidR="00BE350B"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operacije. Ukoliko postoji potreba za ranijom (više od 12 sati pr</w:t>
      </w:r>
      <w:r w:rsidR="004D2DA2"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operacije) inicijacijom preop</w:t>
      </w:r>
      <w:r w:rsidR="00BE350B" w:rsidRPr="00B82EF7">
        <w:rPr>
          <w:rFonts w:asciiTheme="majorBidi" w:hAnsiTheme="majorBidi" w:cstheme="majorBidi"/>
          <w:noProof/>
          <w:sz w:val="22"/>
          <w:szCs w:val="22"/>
          <w:lang w:val="sr-Latn-ME"/>
        </w:rPr>
        <w:t xml:space="preserve">erativne profilakse enoksaparin </w:t>
      </w:r>
      <w:r w:rsidRPr="00B82EF7">
        <w:rPr>
          <w:rFonts w:asciiTheme="majorBidi" w:hAnsiTheme="majorBidi" w:cstheme="majorBidi"/>
          <w:noProof/>
          <w:sz w:val="22"/>
          <w:szCs w:val="22"/>
          <w:lang w:val="sr-Latn-ME"/>
        </w:rPr>
        <w:t>natrijumom (npr. kod pacijenta sa visokim rizikom koji čeka odloženu ortopedsku operaciju), posl</w:t>
      </w:r>
      <w:r w:rsidR="00BE350B"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ednja injekcija treba da se prim</w:t>
      </w:r>
      <w:r w:rsidR="00BE350B"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eni najkasnije 12 sati pr</w:t>
      </w:r>
      <w:r w:rsidR="00BE350B"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operacije i nastavi sa terapijom 12 sati nakon operacije.</w:t>
      </w:r>
    </w:p>
    <w:p w14:paraId="54B2D7F0" w14:textId="77777777" w:rsidR="00DD7F82" w:rsidRPr="00B82EF7" w:rsidRDefault="00DD7F82">
      <w:pPr>
        <w:numPr>
          <w:ilvl w:val="0"/>
          <w:numId w:val="15"/>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pacijenata koji se podvrgavaju većoj ortopedskoj operaciji preporučuje se produžena profilaksa tromboembolije u trajanju do 5 ned</w:t>
      </w:r>
      <w:r w:rsidR="00706FE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elja. </w:t>
      </w:r>
    </w:p>
    <w:p w14:paraId="6C12E821" w14:textId="77777777" w:rsidR="00DD7F82" w:rsidRPr="00B82EF7" w:rsidRDefault="00DD7F82">
      <w:pPr>
        <w:numPr>
          <w:ilvl w:val="0"/>
          <w:numId w:val="15"/>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pacijenata sa visokim rizikom od venske tromboembolije (VTE) koji se podvrgavaju operaciji karcinoma u pred</w:t>
      </w:r>
      <w:r w:rsidR="004D2DA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elu abdomena i karlice, preporučuje se produžena profilaksa tromboembolije u trajanju do 4 ned</w:t>
      </w:r>
      <w:r w:rsidR="004D2DA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elje.</w:t>
      </w:r>
      <w:r w:rsidRPr="00B82EF7">
        <w:rPr>
          <w:rFonts w:asciiTheme="majorBidi" w:hAnsiTheme="majorBidi" w:cstheme="majorBidi"/>
          <w:b/>
          <w:bCs/>
          <w:noProof/>
          <w:sz w:val="22"/>
          <w:szCs w:val="22"/>
          <w:lang w:val="sr-Latn-ME"/>
        </w:rPr>
        <w:t xml:space="preserve"> </w:t>
      </w:r>
    </w:p>
    <w:p w14:paraId="2C6020F1" w14:textId="77777777" w:rsidR="00DD7F82" w:rsidRPr="00B82EF7" w:rsidRDefault="00DD7F82">
      <w:pPr>
        <w:jc w:val="both"/>
        <w:rPr>
          <w:rFonts w:asciiTheme="majorBidi" w:hAnsiTheme="majorBidi" w:cstheme="majorBidi"/>
          <w:bCs/>
          <w:i/>
          <w:noProof/>
          <w:sz w:val="22"/>
          <w:szCs w:val="22"/>
          <w:lang w:val="sr-Latn-ME"/>
        </w:rPr>
      </w:pPr>
    </w:p>
    <w:p w14:paraId="7EDC8734" w14:textId="77777777" w:rsidR="00DD7F82" w:rsidRPr="00B82EF7" w:rsidRDefault="00DD7F82">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Profilaksa venske tromboembolije kod internističkih pacijenata</w:t>
      </w:r>
    </w:p>
    <w:p w14:paraId="6D3BC4EF" w14:textId="77777777" w:rsidR="00DD7F82" w:rsidRPr="00B82EF7" w:rsidRDefault="004D2DA2">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Preporučena doza enoksaparin natrijuma je 4</w:t>
      </w:r>
      <w:r w:rsidR="00DD7F82" w:rsidRPr="00B82EF7">
        <w:rPr>
          <w:rFonts w:asciiTheme="majorBidi" w:hAnsiTheme="majorBidi" w:cstheme="majorBidi"/>
          <w:bCs/>
          <w:noProof/>
          <w:sz w:val="22"/>
          <w:szCs w:val="22"/>
          <w:lang w:val="sr-Latn-ME"/>
        </w:rPr>
        <w:t>000 i.j. (40 mg) jednom dnevno subkutanom (s.c.) i</w:t>
      </w:r>
      <w:r w:rsidRPr="00B82EF7">
        <w:rPr>
          <w:rFonts w:asciiTheme="majorBidi" w:hAnsiTheme="majorBidi" w:cstheme="majorBidi"/>
          <w:bCs/>
          <w:noProof/>
          <w:sz w:val="22"/>
          <w:szCs w:val="22"/>
          <w:lang w:val="sr-Latn-ME"/>
        </w:rPr>
        <w:t xml:space="preserve">njekcijom. Terapija enoksaparin </w:t>
      </w:r>
      <w:r w:rsidR="00DD7F82" w:rsidRPr="00B82EF7">
        <w:rPr>
          <w:rFonts w:asciiTheme="majorBidi" w:hAnsiTheme="majorBidi" w:cstheme="majorBidi"/>
          <w:bCs/>
          <w:noProof/>
          <w:sz w:val="22"/>
          <w:szCs w:val="22"/>
          <w:lang w:val="sr-Latn-ME"/>
        </w:rPr>
        <w:t>natrijumom se propisuje u trajanju od najmanje 6 do 14 dana, bez obzira na stanje oporavka (npr. mobilnost). Korist nije utvrđena za terapiju dužu od 14 dana.</w:t>
      </w:r>
    </w:p>
    <w:p w14:paraId="28FEE628" w14:textId="77777777" w:rsidR="00DD7F82" w:rsidRPr="00B82EF7" w:rsidRDefault="00DD7F82">
      <w:pPr>
        <w:jc w:val="both"/>
        <w:rPr>
          <w:rFonts w:asciiTheme="majorBidi" w:hAnsiTheme="majorBidi" w:cstheme="majorBidi"/>
          <w:bCs/>
          <w:i/>
          <w:noProof/>
          <w:sz w:val="22"/>
          <w:szCs w:val="22"/>
          <w:lang w:val="sr-Latn-ME"/>
        </w:rPr>
      </w:pPr>
    </w:p>
    <w:p w14:paraId="55D06492" w14:textId="77777777" w:rsidR="00DD7F82" w:rsidRPr="00B82EF7" w:rsidRDefault="00DD7F82">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Terapija tromboze dubokih vena (TDV) i plućne embolije (PE)</w:t>
      </w:r>
    </w:p>
    <w:p w14:paraId="36AF1F4A" w14:textId="1D0879BF" w:rsidR="00DD7F82" w:rsidRPr="00B82EF7" w:rsidRDefault="00DD7F82">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Eno</w:t>
      </w:r>
      <w:r w:rsidR="004D2DA2" w:rsidRPr="00B82EF7">
        <w:rPr>
          <w:rFonts w:asciiTheme="majorBidi" w:hAnsiTheme="majorBidi" w:cstheme="majorBidi"/>
          <w:bCs/>
          <w:noProof/>
          <w:sz w:val="22"/>
          <w:szCs w:val="22"/>
          <w:lang w:val="sr-Latn-ME"/>
        </w:rPr>
        <w:t xml:space="preserve">ksaparin </w:t>
      </w:r>
      <w:r w:rsidRPr="00B82EF7">
        <w:rPr>
          <w:rFonts w:asciiTheme="majorBidi" w:hAnsiTheme="majorBidi" w:cstheme="majorBidi"/>
          <w:bCs/>
          <w:noProof/>
          <w:sz w:val="22"/>
          <w:szCs w:val="22"/>
          <w:lang w:val="sr-Latn-ME"/>
        </w:rPr>
        <w:t>natrijum se može prim</w:t>
      </w:r>
      <w:r w:rsidR="004D2DA2"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eniti subkutano</w:t>
      </w:r>
      <w:r w:rsidR="00D73D77" w:rsidRPr="00B82EF7">
        <w:rPr>
          <w:rFonts w:asciiTheme="majorBidi" w:hAnsiTheme="majorBidi" w:cstheme="majorBidi"/>
          <w:bCs/>
          <w:noProof/>
          <w:sz w:val="22"/>
          <w:szCs w:val="22"/>
          <w:lang w:val="sr-Latn-ME"/>
        </w:rPr>
        <w:t>,</w:t>
      </w:r>
      <w:r w:rsidRPr="00B82EF7">
        <w:rPr>
          <w:rFonts w:asciiTheme="majorBidi" w:hAnsiTheme="majorBidi" w:cstheme="majorBidi"/>
          <w:bCs/>
          <w:noProof/>
          <w:sz w:val="22"/>
          <w:szCs w:val="22"/>
          <w:lang w:val="sr-Latn-ME"/>
        </w:rPr>
        <w:t xml:space="preserve"> bilo kao jednokratna injekcija od 150 i.j./kg (1,5 mg/kg) ili dva puta dnevno kao injekcija od 100 i.j./kg (1 mg/kg).</w:t>
      </w:r>
    </w:p>
    <w:p w14:paraId="77502316" w14:textId="77777777" w:rsidR="00DD7F82" w:rsidRPr="00B82EF7" w:rsidRDefault="00DD7F82">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L</w:t>
      </w:r>
      <w:r w:rsidR="004D2DA2"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ekar treba da odabere režim na osnovu individualne proc</w:t>
      </w:r>
      <w:r w:rsidR="004D2DA2"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ene uključujući proc</w:t>
      </w:r>
      <w:r w:rsidR="004D2DA2"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enu tromboembolijskog rizika i rizik</w:t>
      </w:r>
      <w:r w:rsidR="005A60A3" w:rsidRPr="00B82EF7">
        <w:rPr>
          <w:rFonts w:asciiTheme="majorBidi" w:hAnsiTheme="majorBidi" w:cstheme="majorBidi"/>
          <w:bCs/>
          <w:noProof/>
          <w:sz w:val="22"/>
          <w:szCs w:val="22"/>
          <w:lang w:val="sr-Latn-ME"/>
        </w:rPr>
        <w:t>a</w:t>
      </w:r>
      <w:r w:rsidRPr="00B82EF7">
        <w:rPr>
          <w:rFonts w:asciiTheme="majorBidi" w:hAnsiTheme="majorBidi" w:cstheme="majorBidi"/>
          <w:bCs/>
          <w:noProof/>
          <w:sz w:val="22"/>
          <w:szCs w:val="22"/>
          <w:lang w:val="sr-Latn-ME"/>
        </w:rPr>
        <w:t xml:space="preserve"> od krvarenja. Režim doza od 150 i.j./kg (1,5 mg/kg) koje se prim</w:t>
      </w:r>
      <w:r w:rsidR="004D2DA2"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enjuju jednom dnevno </w:t>
      </w:r>
      <w:r w:rsidRPr="00B82EF7">
        <w:rPr>
          <w:rFonts w:asciiTheme="majorBidi" w:hAnsiTheme="majorBidi" w:cstheme="majorBidi"/>
          <w:bCs/>
          <w:noProof/>
          <w:sz w:val="22"/>
          <w:szCs w:val="22"/>
          <w:lang w:val="sr-Latn-ME"/>
        </w:rPr>
        <w:lastRenderedPageBreak/>
        <w:t>treba koristiti kod pacijenata bez komplikacija sa niskim rizikom od ponovnog pojavljivanja venske tromboembolije (VTE). Režim doza od 100 i.j./kg (1 mg/kg) koje se prim</w:t>
      </w:r>
      <w:r w:rsidR="004D2DA2"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enjuju dva puta dnevno treba koristiti kod svih ostalih pacijenata kao što su oni sa gojaznošću, sa simptomatskom PE, karcinomom, rekurentnom VTE ili proksimalnom (vena iliaca) trombozom.</w:t>
      </w:r>
    </w:p>
    <w:p w14:paraId="585EEE97" w14:textId="77777777" w:rsidR="004D2DA2" w:rsidRPr="00B82EF7" w:rsidRDefault="004D2DA2">
      <w:pPr>
        <w:jc w:val="both"/>
        <w:rPr>
          <w:rFonts w:asciiTheme="majorBidi" w:hAnsiTheme="majorBidi" w:cstheme="majorBidi"/>
          <w:bCs/>
          <w:noProof/>
          <w:sz w:val="22"/>
          <w:szCs w:val="22"/>
          <w:lang w:val="sr-Latn-ME"/>
        </w:rPr>
      </w:pPr>
    </w:p>
    <w:p w14:paraId="4CF3EA66" w14:textId="77777777" w:rsidR="00DD7F82" w:rsidRPr="00B82EF7" w:rsidRDefault="004D2DA2">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Terapija enoksaparin </w:t>
      </w:r>
      <w:r w:rsidR="00DD7F82" w:rsidRPr="00B82EF7">
        <w:rPr>
          <w:rFonts w:asciiTheme="majorBidi" w:hAnsiTheme="majorBidi" w:cstheme="majorBidi"/>
          <w:bCs/>
          <w:noProof/>
          <w:sz w:val="22"/>
          <w:szCs w:val="22"/>
          <w:lang w:val="sr-Latn-ME"/>
        </w:rPr>
        <w:t>natrijumom se propisuje za pros</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ečan period od 10 dana. Oralna antikoagulantna terapija treba da bude započeta kada je to pogodno (vid</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eti od</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 xml:space="preserve">eljak 4.2 </w:t>
      </w:r>
      <w:r w:rsidR="00DD7F82" w:rsidRPr="00B82EF7">
        <w:rPr>
          <w:rFonts w:asciiTheme="majorBidi" w:hAnsiTheme="majorBidi" w:cstheme="majorBidi"/>
          <w:bCs/>
          <w:i/>
          <w:noProof/>
          <w:sz w:val="22"/>
          <w:szCs w:val="22"/>
          <w:lang w:val="sr-Latn-ME"/>
        </w:rPr>
        <w:t>Prelazak sa enoksaparin</w:t>
      </w:r>
      <w:r w:rsidRPr="00B82EF7">
        <w:rPr>
          <w:rFonts w:asciiTheme="majorBidi" w:hAnsiTheme="majorBidi" w:cstheme="majorBidi"/>
          <w:bCs/>
          <w:i/>
          <w:noProof/>
          <w:sz w:val="22"/>
          <w:szCs w:val="22"/>
          <w:lang w:val="sr-Latn-ME"/>
        </w:rPr>
        <w:t xml:space="preserve"> </w:t>
      </w:r>
      <w:r w:rsidR="00DD7F82" w:rsidRPr="00B82EF7">
        <w:rPr>
          <w:rFonts w:asciiTheme="majorBidi" w:hAnsiTheme="majorBidi" w:cstheme="majorBidi"/>
          <w:bCs/>
          <w:i/>
          <w:noProof/>
          <w:sz w:val="22"/>
          <w:szCs w:val="22"/>
          <w:lang w:val="sr-Latn-ME"/>
        </w:rPr>
        <w:t>natrijuma na oralne antikoagulanse i obratno</w:t>
      </w:r>
      <w:r w:rsidR="00DD7F82" w:rsidRPr="00B82EF7">
        <w:rPr>
          <w:rFonts w:asciiTheme="majorBidi" w:hAnsiTheme="majorBidi" w:cstheme="majorBidi"/>
          <w:bCs/>
          <w:noProof/>
          <w:sz w:val="22"/>
          <w:szCs w:val="22"/>
          <w:lang w:val="sr-Latn-ME"/>
        </w:rPr>
        <w:t>).</w:t>
      </w:r>
    </w:p>
    <w:p w14:paraId="44743933" w14:textId="77777777" w:rsidR="00DD7F82" w:rsidRPr="00B82EF7" w:rsidRDefault="00DD7F82">
      <w:pPr>
        <w:jc w:val="both"/>
        <w:rPr>
          <w:rFonts w:asciiTheme="majorBidi" w:hAnsiTheme="majorBidi" w:cstheme="majorBidi"/>
          <w:bCs/>
          <w:i/>
          <w:noProof/>
          <w:sz w:val="22"/>
          <w:szCs w:val="22"/>
          <w:lang w:val="sr-Latn-ME"/>
        </w:rPr>
      </w:pPr>
    </w:p>
    <w:p w14:paraId="39C333D1"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Prevencija formiranja tromba tokom hemodijalize</w:t>
      </w:r>
    </w:p>
    <w:p w14:paraId="10A7AE0C" w14:textId="77777777"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Preporučena doza je 10</w:t>
      </w:r>
      <w:r w:rsidR="004D2DA2" w:rsidRPr="00B82EF7">
        <w:rPr>
          <w:rFonts w:asciiTheme="majorBidi" w:hAnsiTheme="majorBidi" w:cstheme="majorBidi"/>
          <w:bCs/>
          <w:noProof/>
          <w:sz w:val="22"/>
          <w:szCs w:val="22"/>
          <w:lang w:val="sr-Latn-ME"/>
        </w:rPr>
        <w:t xml:space="preserve">0 i.j./kg (1 mg/kg) enoksaparin </w:t>
      </w:r>
      <w:r w:rsidRPr="00B82EF7">
        <w:rPr>
          <w:rFonts w:asciiTheme="majorBidi" w:hAnsiTheme="majorBidi" w:cstheme="majorBidi"/>
          <w:bCs/>
          <w:noProof/>
          <w:sz w:val="22"/>
          <w:szCs w:val="22"/>
          <w:lang w:val="sr-Latn-ME"/>
        </w:rPr>
        <w:t>natrijuma.</w:t>
      </w:r>
    </w:p>
    <w:p w14:paraId="0BCCC307" w14:textId="77777777"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pacijente sa visokim rizikom od krvarenja, dozu treba smanjiti na 50 i.j./kg (0,5 mg/kg) za dvostruki vaskularni pristup ili 75 i.j./kg (0,75 mg/kg) za pojedinačni vaskularni pristup.</w:t>
      </w:r>
    </w:p>
    <w:p w14:paraId="49628DA7" w14:textId="77777777" w:rsidR="004D2DA2" w:rsidRPr="00B82EF7" w:rsidRDefault="004D2DA2" w:rsidP="000A4414">
      <w:pPr>
        <w:jc w:val="both"/>
        <w:rPr>
          <w:rFonts w:asciiTheme="majorBidi" w:hAnsiTheme="majorBidi" w:cstheme="majorBidi"/>
          <w:bCs/>
          <w:noProof/>
          <w:sz w:val="22"/>
          <w:szCs w:val="22"/>
          <w:lang w:val="sr-Latn-ME"/>
        </w:rPr>
      </w:pPr>
    </w:p>
    <w:p w14:paraId="64E11CA7" w14:textId="15155174"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Tokom hemodijalize, enoksaparin</w:t>
      </w:r>
      <w:r w:rsidR="004D2DA2"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natrijum treba uvesti u arterijsku liniju dijaliznog kola na početku dijalize. Efekat ove doze obično je dovoljan za sesiju od 4 sata</w:t>
      </w:r>
      <w:r w:rsidR="00580FBC" w:rsidRPr="00B82EF7">
        <w:rPr>
          <w:rFonts w:asciiTheme="majorBidi" w:hAnsiTheme="majorBidi" w:cstheme="majorBidi"/>
          <w:bCs/>
          <w:noProof/>
          <w:sz w:val="22"/>
          <w:szCs w:val="22"/>
          <w:lang w:val="sr-Latn-ME"/>
        </w:rPr>
        <w:t>.</w:t>
      </w:r>
      <w:r w:rsidRPr="00B82EF7">
        <w:rPr>
          <w:rFonts w:asciiTheme="majorBidi" w:hAnsiTheme="majorBidi" w:cstheme="majorBidi"/>
          <w:bCs/>
          <w:noProof/>
          <w:sz w:val="22"/>
          <w:szCs w:val="22"/>
          <w:lang w:val="sr-Latn-ME"/>
        </w:rPr>
        <w:t xml:space="preserve"> Međutim, ukoliko se pronađu fibrinski prstenovi, na prim</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er posl</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sesije duže od normalne, može se dati sl</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edeća doza 50 i.j./kg do 100 i.j./kg (0,5 mg/kg do 1 mg/kg).</w:t>
      </w:r>
    </w:p>
    <w:p w14:paraId="41049E43" w14:textId="77777777" w:rsidR="00A57D4D" w:rsidRPr="00B82EF7" w:rsidRDefault="00A57D4D" w:rsidP="000A4414">
      <w:pPr>
        <w:jc w:val="both"/>
        <w:rPr>
          <w:rFonts w:asciiTheme="majorBidi" w:hAnsiTheme="majorBidi" w:cstheme="majorBidi"/>
          <w:bCs/>
          <w:noProof/>
          <w:sz w:val="22"/>
          <w:szCs w:val="22"/>
          <w:lang w:val="sr-Latn-ME"/>
        </w:rPr>
      </w:pPr>
    </w:p>
    <w:p w14:paraId="2B151C78" w14:textId="3600B79A"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Ni</w:t>
      </w:r>
      <w:r w:rsidR="00646410" w:rsidRPr="00B82EF7">
        <w:rPr>
          <w:rFonts w:asciiTheme="majorBidi" w:hAnsiTheme="majorBidi" w:cstheme="majorBidi"/>
          <w:bCs/>
          <w:noProof/>
          <w:sz w:val="22"/>
          <w:szCs w:val="22"/>
          <w:lang w:val="sr-Latn-ME"/>
        </w:rPr>
        <w:t>je</w:t>
      </w:r>
      <w:r w:rsidRPr="00B82EF7">
        <w:rPr>
          <w:rFonts w:asciiTheme="majorBidi" w:hAnsiTheme="majorBidi" w:cstheme="majorBidi"/>
          <w:bCs/>
          <w:noProof/>
          <w:sz w:val="22"/>
          <w:szCs w:val="22"/>
          <w:lang w:val="sr-Latn-ME"/>
        </w:rPr>
        <w:t>su dostupni podaci kod paci</w:t>
      </w:r>
      <w:r w:rsidR="004C3FB3" w:rsidRPr="00B82EF7">
        <w:rPr>
          <w:rFonts w:asciiTheme="majorBidi" w:hAnsiTheme="majorBidi" w:cstheme="majorBidi"/>
          <w:bCs/>
          <w:noProof/>
          <w:sz w:val="22"/>
          <w:szCs w:val="22"/>
          <w:lang w:val="sr-Latn-ME"/>
        </w:rPr>
        <w:t xml:space="preserve">jenata koji koriste enoksaparin </w:t>
      </w:r>
      <w:r w:rsidRPr="00B82EF7">
        <w:rPr>
          <w:rFonts w:asciiTheme="majorBidi" w:hAnsiTheme="majorBidi" w:cstheme="majorBidi"/>
          <w:bCs/>
          <w:noProof/>
          <w:sz w:val="22"/>
          <w:szCs w:val="22"/>
          <w:lang w:val="sr-Latn-ME"/>
        </w:rPr>
        <w:t>natrijum za profilaksu ili terapiju i tokom hemodijaliznih sesija.</w:t>
      </w:r>
    </w:p>
    <w:p w14:paraId="63F1ED5A" w14:textId="77777777" w:rsidR="00DD7F82" w:rsidRPr="00B82EF7" w:rsidRDefault="00DD7F82" w:rsidP="000A4414">
      <w:pPr>
        <w:jc w:val="both"/>
        <w:rPr>
          <w:rFonts w:asciiTheme="majorBidi" w:hAnsiTheme="majorBidi" w:cstheme="majorBidi"/>
          <w:bCs/>
          <w:noProof/>
          <w:sz w:val="22"/>
          <w:szCs w:val="22"/>
          <w:lang w:val="sr-Latn-ME"/>
        </w:rPr>
      </w:pPr>
    </w:p>
    <w:p w14:paraId="532B73A8"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Akutni koronarni sindrom: terapija nestabilne angine i infarkta miokarda bez elevacije ST segmenta (NSTEMI) i terapija akutnog infarkta miokarda sa elevacijom ST segmenta (STEMI)</w:t>
      </w:r>
    </w:p>
    <w:p w14:paraId="4500C554" w14:textId="77777777" w:rsidR="00DD7F82" w:rsidRPr="00B82EF7" w:rsidRDefault="00DD7F82" w:rsidP="000A4414">
      <w:pPr>
        <w:numPr>
          <w:ilvl w:val="0"/>
          <w:numId w:val="14"/>
        </w:numPr>
        <w:tabs>
          <w:tab w:val="left" w:pos="284"/>
        </w:tabs>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terapiju nestabilne angine i NSTEM</w:t>
      </w:r>
      <w:r w:rsidR="004C3FB3" w:rsidRPr="00B82EF7">
        <w:rPr>
          <w:rFonts w:asciiTheme="majorBidi" w:hAnsiTheme="majorBidi" w:cstheme="majorBidi"/>
          <w:bCs/>
          <w:noProof/>
          <w:sz w:val="22"/>
          <w:szCs w:val="22"/>
          <w:lang w:val="sr-Latn-ME"/>
        </w:rPr>
        <w:t>I, preporučena doza enoksaparin natrijuma je 100 i.j./kg (1 </w:t>
      </w:r>
      <w:r w:rsidRPr="00B82EF7">
        <w:rPr>
          <w:rFonts w:asciiTheme="majorBidi" w:hAnsiTheme="majorBidi" w:cstheme="majorBidi"/>
          <w:bCs/>
          <w:noProof/>
          <w:sz w:val="22"/>
          <w:szCs w:val="22"/>
          <w:lang w:val="sr-Latn-ME"/>
        </w:rPr>
        <w:t>mg/kg) na svakih 12 sati subkutanom (s.c.) injekcijom prim</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enjenom u kombinaciji sa antitrombocitnom terapijom. Terapiju treba održavati najmanje 2 dana i nastaviti do kliničke stabilizacije. Uobičajeno trajanje terapije je 2 do 8 dana. </w:t>
      </w:r>
    </w:p>
    <w:p w14:paraId="499F046D" w14:textId="5CE2562B" w:rsidR="00DD7F82" w:rsidRPr="00B82EF7" w:rsidRDefault="00DD7F82" w:rsidP="000A4414">
      <w:pPr>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Acetilsalicilna kiselina se preporučuje za sve pacijente bez kontraindikacija pri početnoj oralnoj dozi zasićenja od 150-300 mg (kod pacijenata koji prvi put dolaze u kontakt sa acetilsalicilnom kiselinom) i dozi održavanja od 75-325 mg/dan dugoročno bez obzira na strategiju l</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ečenja.</w:t>
      </w:r>
    </w:p>
    <w:p w14:paraId="72108AA8" w14:textId="77777777" w:rsidR="00997DE6" w:rsidRPr="00B82EF7" w:rsidRDefault="00997DE6" w:rsidP="000A4414">
      <w:pPr>
        <w:ind w:left="284"/>
        <w:jc w:val="both"/>
        <w:rPr>
          <w:rFonts w:asciiTheme="majorBidi" w:hAnsiTheme="majorBidi" w:cstheme="majorBidi"/>
          <w:bCs/>
          <w:noProof/>
          <w:sz w:val="22"/>
          <w:szCs w:val="22"/>
          <w:lang w:val="sr-Latn-ME"/>
        </w:rPr>
      </w:pPr>
    </w:p>
    <w:p w14:paraId="7479AC6D" w14:textId="77777777" w:rsidR="00DD7F82" w:rsidRPr="00B82EF7" w:rsidRDefault="00DD7F82" w:rsidP="000A4414">
      <w:pPr>
        <w:numPr>
          <w:ilvl w:val="0"/>
          <w:numId w:val="14"/>
        </w:numPr>
        <w:tabs>
          <w:tab w:val="left" w:pos="284"/>
        </w:tabs>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Za terapiju akutnog STEMI, preporučena doza </w:t>
      </w:r>
      <w:r w:rsidR="007E1FF7" w:rsidRPr="00B82EF7">
        <w:rPr>
          <w:rFonts w:asciiTheme="majorBidi" w:hAnsiTheme="majorBidi" w:cstheme="majorBidi"/>
          <w:bCs/>
          <w:noProof/>
          <w:sz w:val="22"/>
          <w:szCs w:val="22"/>
          <w:lang w:val="sr-Latn-ME"/>
        </w:rPr>
        <w:t>enoksaparin natrijum</w:t>
      </w:r>
      <w:r w:rsidRPr="00B82EF7">
        <w:rPr>
          <w:rFonts w:asciiTheme="majorBidi" w:hAnsiTheme="majorBidi" w:cstheme="majorBidi"/>
          <w:bCs/>
          <w:noProof/>
          <w:sz w:val="22"/>
          <w:szCs w:val="22"/>
          <w:lang w:val="sr-Latn-ME"/>
        </w:rPr>
        <w:t>a je jeda</w:t>
      </w:r>
      <w:r w:rsidR="004C3FB3" w:rsidRPr="00B82EF7">
        <w:rPr>
          <w:rFonts w:asciiTheme="majorBidi" w:hAnsiTheme="majorBidi" w:cstheme="majorBidi"/>
          <w:bCs/>
          <w:noProof/>
          <w:sz w:val="22"/>
          <w:szCs w:val="22"/>
          <w:lang w:val="sr-Latn-ME"/>
        </w:rPr>
        <w:t>n intravenski (i.v.) bolus od 3</w:t>
      </w:r>
      <w:r w:rsidRPr="00B82EF7">
        <w:rPr>
          <w:rFonts w:asciiTheme="majorBidi" w:hAnsiTheme="majorBidi" w:cstheme="majorBidi"/>
          <w:bCs/>
          <w:noProof/>
          <w:sz w:val="22"/>
          <w:szCs w:val="22"/>
          <w:lang w:val="sr-Latn-ME"/>
        </w:rPr>
        <w:t>000 i.j. (30 mg) plus doza od 100 i.j./kg (1 mg/kg) subkutano, a zatim 100 i.j./kg (1 mg/kg) prim</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enjeno subkutano n</w:t>
      </w:r>
      <w:r w:rsidR="004C3FB3" w:rsidRPr="00B82EF7">
        <w:rPr>
          <w:rFonts w:asciiTheme="majorBidi" w:hAnsiTheme="majorBidi" w:cstheme="majorBidi"/>
          <w:bCs/>
          <w:noProof/>
          <w:sz w:val="22"/>
          <w:szCs w:val="22"/>
          <w:lang w:val="sr-Latn-ME"/>
        </w:rPr>
        <w:t>a svakih 12 sati (maksimalno 10</w:t>
      </w:r>
      <w:r w:rsidRPr="00B82EF7">
        <w:rPr>
          <w:rFonts w:asciiTheme="majorBidi" w:hAnsiTheme="majorBidi" w:cstheme="majorBidi"/>
          <w:bCs/>
          <w:noProof/>
          <w:sz w:val="22"/>
          <w:szCs w:val="22"/>
          <w:lang w:val="sr-Latn-ME"/>
        </w:rPr>
        <w:t>000 i.j. (100 mg) za svaku od prve dv</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subkutane doze). Istovremeno treba prim</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eniti odgovarajuću antitrombocitnu terapiju kao što je oralna acetilsalicilna kiselina (75 mg do 325 mg jednom dnevno), osim ukoliko je kontraindikovano. Preporučeno trajanje terapije je 8 dana ili do otpuštanja iz bolnice, u zavisnosti šta se dogodi prvo. Kada se prim</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enjuje u kombinaciji sa trombolitikom (fibrin specifičnim ili ne-fibrin specifičnim), </w:t>
      </w:r>
      <w:r w:rsidR="007E1FF7" w:rsidRPr="00B82EF7">
        <w:rPr>
          <w:rFonts w:asciiTheme="majorBidi" w:hAnsiTheme="majorBidi" w:cstheme="majorBidi"/>
          <w:bCs/>
          <w:noProof/>
          <w:sz w:val="22"/>
          <w:szCs w:val="22"/>
          <w:lang w:val="sr-Latn-ME"/>
        </w:rPr>
        <w:t>enoksaparin natrijum</w:t>
      </w:r>
      <w:r w:rsidRPr="00B82EF7">
        <w:rPr>
          <w:rFonts w:asciiTheme="majorBidi" w:hAnsiTheme="majorBidi" w:cstheme="majorBidi"/>
          <w:bCs/>
          <w:noProof/>
          <w:sz w:val="22"/>
          <w:szCs w:val="22"/>
          <w:lang w:val="sr-Latn-ME"/>
        </w:rPr>
        <w:t xml:space="preserve"> treba dati u periodu od 15 minuta pr</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do 30 minuta nakon početka fibrinolitičke terapije.</w:t>
      </w:r>
    </w:p>
    <w:p w14:paraId="7AD8C1D6" w14:textId="77777777" w:rsidR="00DD7F82" w:rsidRPr="00B82EF7" w:rsidRDefault="00DD7F82" w:rsidP="000A4414">
      <w:pPr>
        <w:numPr>
          <w:ilvl w:val="0"/>
          <w:numId w:val="16"/>
        </w:num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doziranje kod pacijenata starosti ≥ 75 godina, vid</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"Starije osobe".</w:t>
      </w:r>
    </w:p>
    <w:p w14:paraId="689132D7" w14:textId="4E7BE9C4" w:rsidR="00DD7F82" w:rsidRPr="00B82EF7" w:rsidRDefault="00DD7F82" w:rsidP="000A4414">
      <w:pPr>
        <w:numPr>
          <w:ilvl w:val="0"/>
          <w:numId w:val="16"/>
        </w:num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pacijente koji su podvrgnuti perkutanoj koronarnoj intervenciji (PCI), ukoliko je posl</w:t>
      </w:r>
      <w:r w:rsidR="004C3FB3"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ednja s.c. doza </w:t>
      </w:r>
      <w:r w:rsidR="007E1FF7" w:rsidRPr="00B82EF7">
        <w:rPr>
          <w:rFonts w:asciiTheme="majorBidi" w:hAnsiTheme="majorBidi" w:cstheme="majorBidi"/>
          <w:bCs/>
          <w:noProof/>
          <w:sz w:val="22"/>
          <w:szCs w:val="22"/>
          <w:lang w:val="sr-Latn-ME"/>
        </w:rPr>
        <w:t>enoksaparin natrijum</w:t>
      </w:r>
      <w:r w:rsidRPr="00B82EF7">
        <w:rPr>
          <w:rFonts w:asciiTheme="majorBidi" w:hAnsiTheme="majorBidi" w:cstheme="majorBidi"/>
          <w:bCs/>
          <w:noProof/>
          <w:sz w:val="22"/>
          <w:szCs w:val="22"/>
          <w:lang w:val="sr-Latn-ME"/>
        </w:rPr>
        <w:t>a prim</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enjena manje od 8 sati pr</w:t>
      </w:r>
      <w:r w:rsidR="004C3FB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w:t>
      </w:r>
      <w:r w:rsidR="00403E41" w:rsidRPr="00B82EF7">
        <w:rPr>
          <w:rFonts w:asciiTheme="majorBidi" w:hAnsiTheme="majorBidi" w:cstheme="majorBidi"/>
          <w:bCs/>
          <w:noProof/>
          <w:sz w:val="22"/>
          <w:szCs w:val="22"/>
          <w:lang w:val="sr-Latn-ME"/>
        </w:rPr>
        <w:t xml:space="preserve"> balon-dilatacije, nije potrebna</w:t>
      </w:r>
      <w:r w:rsidRPr="00B82EF7">
        <w:rPr>
          <w:rFonts w:asciiTheme="majorBidi" w:hAnsiTheme="majorBidi" w:cstheme="majorBidi"/>
          <w:bCs/>
          <w:noProof/>
          <w:sz w:val="22"/>
          <w:szCs w:val="22"/>
          <w:lang w:val="sr-Latn-ME"/>
        </w:rPr>
        <w:t xml:space="preserve"> prim</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ena dodatnih doza. Ukoliko je posl</w:t>
      </w:r>
      <w:r w:rsidR="00007199"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ednja s.c. injekcija </w:t>
      </w:r>
      <w:r w:rsidR="007E1FF7" w:rsidRPr="00B82EF7">
        <w:rPr>
          <w:rFonts w:asciiTheme="majorBidi" w:hAnsiTheme="majorBidi" w:cstheme="majorBidi"/>
          <w:bCs/>
          <w:noProof/>
          <w:sz w:val="22"/>
          <w:szCs w:val="22"/>
          <w:lang w:val="sr-Latn-ME"/>
        </w:rPr>
        <w:t>enoksaparin natrijum</w:t>
      </w:r>
      <w:r w:rsidRPr="00B82EF7">
        <w:rPr>
          <w:rFonts w:asciiTheme="majorBidi" w:hAnsiTheme="majorBidi" w:cstheme="majorBidi"/>
          <w:bCs/>
          <w:noProof/>
          <w:sz w:val="22"/>
          <w:szCs w:val="22"/>
          <w:lang w:val="sr-Latn-ME"/>
        </w:rPr>
        <w:t>a prim</w:t>
      </w:r>
      <w:r w:rsidR="00403E41"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enjena više od 8 sati pr</w:t>
      </w:r>
      <w:r w:rsidR="00403E41"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balon-dilatacije, ​​treba prim</w:t>
      </w:r>
      <w:r w:rsidR="00403E41"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eniti i.v. bolus od 30 i.j./kg (0,3 mg/kg) </w:t>
      </w:r>
      <w:r w:rsidR="007E1FF7" w:rsidRPr="00B82EF7">
        <w:rPr>
          <w:rFonts w:asciiTheme="majorBidi" w:hAnsiTheme="majorBidi" w:cstheme="majorBidi"/>
          <w:bCs/>
          <w:noProof/>
          <w:sz w:val="22"/>
          <w:szCs w:val="22"/>
          <w:lang w:val="sr-Latn-ME"/>
        </w:rPr>
        <w:t>enoksaparin natrijum</w:t>
      </w:r>
      <w:r w:rsidRPr="00B82EF7">
        <w:rPr>
          <w:rFonts w:asciiTheme="majorBidi" w:hAnsiTheme="majorBidi" w:cstheme="majorBidi"/>
          <w:bCs/>
          <w:noProof/>
          <w:sz w:val="22"/>
          <w:szCs w:val="22"/>
          <w:lang w:val="sr-Latn-ME"/>
        </w:rPr>
        <w:t>a.</w:t>
      </w:r>
    </w:p>
    <w:p w14:paraId="255844F0" w14:textId="77777777" w:rsidR="00DD7F82" w:rsidRPr="00B82EF7" w:rsidRDefault="00DD7F82" w:rsidP="000A4414">
      <w:pPr>
        <w:jc w:val="both"/>
        <w:rPr>
          <w:rFonts w:asciiTheme="majorBidi" w:hAnsiTheme="majorBidi" w:cstheme="majorBidi"/>
          <w:bCs/>
          <w:i/>
          <w:noProof/>
          <w:sz w:val="22"/>
          <w:szCs w:val="22"/>
          <w:lang w:val="sr-Latn-ME"/>
        </w:rPr>
      </w:pPr>
    </w:p>
    <w:p w14:paraId="46597511"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Pedijatrijska populacija</w:t>
      </w:r>
    </w:p>
    <w:p w14:paraId="70ECEAC2" w14:textId="079F846A"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Bezb</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ednost i efikasnost enoksa</w:t>
      </w:r>
      <w:r w:rsidR="00403E41" w:rsidRPr="00B82EF7">
        <w:rPr>
          <w:rFonts w:asciiTheme="majorBidi" w:hAnsiTheme="majorBidi" w:cstheme="majorBidi"/>
          <w:bCs/>
          <w:noProof/>
          <w:sz w:val="22"/>
          <w:szCs w:val="22"/>
          <w:lang w:val="sr-Latn-ME"/>
        </w:rPr>
        <w:t xml:space="preserve">parin </w:t>
      </w:r>
      <w:r w:rsidRPr="00B82EF7">
        <w:rPr>
          <w:rFonts w:asciiTheme="majorBidi" w:hAnsiTheme="majorBidi" w:cstheme="majorBidi"/>
          <w:bCs/>
          <w:noProof/>
          <w:sz w:val="22"/>
          <w:szCs w:val="22"/>
          <w:lang w:val="sr-Latn-ME"/>
        </w:rPr>
        <w:t>natrijuma u pedijatriskoj populaciji ni</w:t>
      </w:r>
      <w:r w:rsidR="00646410" w:rsidRPr="00B82EF7">
        <w:rPr>
          <w:rFonts w:asciiTheme="majorBidi" w:hAnsiTheme="majorBidi" w:cstheme="majorBidi"/>
          <w:bCs/>
          <w:noProof/>
          <w:sz w:val="22"/>
          <w:szCs w:val="22"/>
          <w:lang w:val="sr-Latn-ME"/>
        </w:rPr>
        <w:t>je</w:t>
      </w:r>
      <w:r w:rsidRPr="00B82EF7">
        <w:rPr>
          <w:rFonts w:asciiTheme="majorBidi" w:hAnsiTheme="majorBidi" w:cstheme="majorBidi"/>
          <w:bCs/>
          <w:noProof/>
          <w:sz w:val="22"/>
          <w:szCs w:val="22"/>
          <w:lang w:val="sr-Latn-ME"/>
        </w:rPr>
        <w:t>su ustanovljene.</w:t>
      </w:r>
    </w:p>
    <w:p w14:paraId="4BF70FA9" w14:textId="77777777" w:rsidR="00DD7F82" w:rsidRPr="00B82EF7" w:rsidRDefault="00DD7F82" w:rsidP="000A4414">
      <w:pPr>
        <w:jc w:val="both"/>
        <w:rPr>
          <w:rFonts w:asciiTheme="majorBidi" w:hAnsiTheme="majorBidi" w:cstheme="majorBidi"/>
          <w:bCs/>
          <w:i/>
          <w:noProof/>
          <w:sz w:val="22"/>
          <w:szCs w:val="22"/>
          <w:lang w:val="sr-Latn-ME"/>
        </w:rPr>
      </w:pPr>
    </w:p>
    <w:p w14:paraId="6020918C"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Starije osobe</w:t>
      </w:r>
    </w:p>
    <w:p w14:paraId="5C7C88D1" w14:textId="77777777"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sve indikacije osim STEMI, smanjenje doze nije potrebno kod starijih pacijenata, osim ukoliko je funkcija bubrega oštećena (vid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"Poremećaj bubrežne funkcije" 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4.4).</w:t>
      </w:r>
    </w:p>
    <w:p w14:paraId="3099956A" w14:textId="77777777"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terapiju akutnog STEMI kod starijih pacijenata starosti ≥ 75 godina ne sm</w:t>
      </w:r>
      <w:r w:rsidR="00403E41"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se prim</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enjivati inicijalni i.v. bolus. Početi doziranje sa 75 i.j./kg (0,75 mg/kg) subkutano na svakih 12 sati (maksimalno 7500 i.j. (75 mg) za svaku od prve dv</w:t>
      </w:r>
      <w:r w:rsidR="00403E41"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 s.c. doze, a zatim 75 i.j./kg (0,75 mg/kg) s.c. za preostale doze). </w:t>
      </w:r>
      <w:r w:rsidRPr="00B82EF7">
        <w:rPr>
          <w:rFonts w:asciiTheme="majorBidi" w:hAnsiTheme="majorBidi" w:cstheme="majorBidi"/>
          <w:bCs/>
          <w:noProof/>
          <w:sz w:val="22"/>
          <w:szCs w:val="22"/>
          <w:lang w:val="sr-Latn-ME"/>
        </w:rPr>
        <w:lastRenderedPageBreak/>
        <w:t>Za doziranje kod starijih pacijenata sa oštećenjem bubrežne funkcije, vid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"Poremećaj bubrežne funkcije" 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4.4.</w:t>
      </w:r>
    </w:p>
    <w:p w14:paraId="0F05D508" w14:textId="77777777" w:rsidR="00DD7F82" w:rsidRPr="00B82EF7" w:rsidRDefault="00DD7F82" w:rsidP="000A4414">
      <w:pPr>
        <w:jc w:val="both"/>
        <w:rPr>
          <w:rFonts w:asciiTheme="majorBidi" w:hAnsiTheme="majorBidi" w:cstheme="majorBidi"/>
          <w:bCs/>
          <w:noProof/>
          <w:sz w:val="22"/>
          <w:szCs w:val="22"/>
          <w:lang w:val="sr-Latn-ME"/>
        </w:rPr>
      </w:pPr>
    </w:p>
    <w:p w14:paraId="6DCA5F5B"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Poremećaj funkcije jetre</w:t>
      </w:r>
    </w:p>
    <w:p w14:paraId="07B922E5" w14:textId="5823B349" w:rsidR="00DD7F82" w:rsidRPr="00B82EF7" w:rsidRDefault="00DD7F82" w:rsidP="000A4414">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Ograničeni podaci su dostupni kod pacijenata sa oštećenjem funkcije jetre (vid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eljke 5.1 i 5.2) i </w:t>
      </w:r>
      <w:r w:rsidR="00646410" w:rsidRPr="00B82EF7">
        <w:rPr>
          <w:rFonts w:asciiTheme="majorBidi" w:hAnsiTheme="majorBidi" w:cstheme="majorBidi"/>
          <w:bCs/>
          <w:noProof/>
          <w:sz w:val="22"/>
          <w:szCs w:val="22"/>
          <w:lang w:val="sr-Latn-ME"/>
        </w:rPr>
        <w:t>potreban je</w:t>
      </w:r>
      <w:r w:rsidRPr="00B82EF7">
        <w:rPr>
          <w:rFonts w:asciiTheme="majorBidi" w:hAnsiTheme="majorBidi" w:cstheme="majorBidi"/>
          <w:bCs/>
          <w:noProof/>
          <w:sz w:val="22"/>
          <w:szCs w:val="22"/>
          <w:lang w:val="sr-Latn-ME"/>
        </w:rPr>
        <w:t xml:space="preserve"> oprez kod tih pacijenata (vid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eljak 4.4).</w:t>
      </w:r>
    </w:p>
    <w:p w14:paraId="647C4FFB" w14:textId="77777777" w:rsidR="00DD7F82" w:rsidRPr="00B82EF7" w:rsidRDefault="00DD7F82" w:rsidP="000A4414">
      <w:pPr>
        <w:jc w:val="both"/>
        <w:rPr>
          <w:rFonts w:asciiTheme="majorBidi" w:hAnsiTheme="majorBidi" w:cstheme="majorBidi"/>
          <w:bCs/>
          <w:noProof/>
          <w:sz w:val="22"/>
          <w:szCs w:val="22"/>
          <w:lang w:val="sr-Latn-ME"/>
        </w:rPr>
      </w:pPr>
    </w:p>
    <w:p w14:paraId="10153125" w14:textId="77777777" w:rsidR="00DD7F82" w:rsidRPr="00B82EF7" w:rsidRDefault="00DD7F82" w:rsidP="000A4414">
      <w:pPr>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Poremećaj bubrežne funkcije (vid</w:t>
      </w:r>
      <w:r w:rsidR="00403E41" w:rsidRPr="00B82EF7">
        <w:rPr>
          <w:rFonts w:asciiTheme="majorBidi" w:hAnsiTheme="majorBidi" w:cstheme="majorBidi"/>
          <w:bCs/>
          <w:i/>
          <w:noProof/>
          <w:sz w:val="22"/>
          <w:szCs w:val="22"/>
          <w:lang w:val="sr-Latn-ME"/>
        </w:rPr>
        <w:t>j</w:t>
      </w:r>
      <w:r w:rsidRPr="00B82EF7">
        <w:rPr>
          <w:rFonts w:asciiTheme="majorBidi" w:hAnsiTheme="majorBidi" w:cstheme="majorBidi"/>
          <w:bCs/>
          <w:i/>
          <w:noProof/>
          <w:sz w:val="22"/>
          <w:szCs w:val="22"/>
          <w:lang w:val="sr-Latn-ME"/>
        </w:rPr>
        <w:t>eti od</w:t>
      </w:r>
      <w:r w:rsidR="00403E41" w:rsidRPr="00B82EF7">
        <w:rPr>
          <w:rFonts w:asciiTheme="majorBidi" w:hAnsiTheme="majorBidi" w:cstheme="majorBidi"/>
          <w:bCs/>
          <w:i/>
          <w:noProof/>
          <w:sz w:val="22"/>
          <w:szCs w:val="22"/>
          <w:lang w:val="sr-Latn-ME"/>
        </w:rPr>
        <w:t>j</w:t>
      </w:r>
      <w:r w:rsidRPr="00B82EF7">
        <w:rPr>
          <w:rFonts w:asciiTheme="majorBidi" w:hAnsiTheme="majorBidi" w:cstheme="majorBidi"/>
          <w:bCs/>
          <w:i/>
          <w:noProof/>
          <w:sz w:val="22"/>
          <w:szCs w:val="22"/>
          <w:lang w:val="sr-Latn-ME"/>
        </w:rPr>
        <w:t>eljke 4.4 i 5.2)</w:t>
      </w:r>
    </w:p>
    <w:p w14:paraId="180B0D91" w14:textId="77777777" w:rsidR="00DD7F82" w:rsidRPr="00B82EF7" w:rsidRDefault="00DD7F82" w:rsidP="000A4414">
      <w:pPr>
        <w:numPr>
          <w:ilvl w:val="0"/>
          <w:numId w:val="17"/>
        </w:num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Teška bubrežna insuficijencija</w:t>
      </w:r>
    </w:p>
    <w:p w14:paraId="7B144532" w14:textId="6CA1EBBB" w:rsidR="00DD7F82" w:rsidRPr="00B82EF7" w:rsidRDefault="00403E41" w:rsidP="000A4414">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Enoksaparin </w:t>
      </w:r>
      <w:r w:rsidR="00DD7F82" w:rsidRPr="00B82EF7">
        <w:rPr>
          <w:rFonts w:asciiTheme="majorBidi" w:hAnsiTheme="majorBidi" w:cstheme="majorBidi"/>
          <w:bCs/>
          <w:noProof/>
          <w:sz w:val="22"/>
          <w:szCs w:val="22"/>
          <w:lang w:val="sr-Latn-ME"/>
        </w:rPr>
        <w:t xml:space="preserve">natrijum se ne preporučuje kod pacijenata u krajnjem stadijumu oboljenja bubrega (klirens kreatinina &lt;15 </w:t>
      </w:r>
      <w:r w:rsidR="00A32335" w:rsidRPr="00B82EF7">
        <w:rPr>
          <w:rFonts w:asciiTheme="majorBidi" w:hAnsiTheme="majorBidi" w:cstheme="majorBidi"/>
          <w:bCs/>
          <w:noProof/>
          <w:sz w:val="22"/>
          <w:szCs w:val="22"/>
          <w:lang w:val="sr-Latn-ME"/>
        </w:rPr>
        <w:t>ml</w:t>
      </w:r>
      <w:r w:rsidR="00DD7F82" w:rsidRPr="00B82EF7">
        <w:rPr>
          <w:rFonts w:asciiTheme="majorBidi" w:hAnsiTheme="majorBidi" w:cstheme="majorBidi"/>
          <w:bCs/>
          <w:noProof/>
          <w:sz w:val="22"/>
          <w:szCs w:val="22"/>
          <w:lang w:val="sr-Latn-ME"/>
        </w:rPr>
        <w:t xml:space="preserve">/min), zbog nedostatka podataka </w:t>
      </w:r>
      <w:r w:rsidR="002144FD" w:rsidRPr="00B82EF7">
        <w:rPr>
          <w:rFonts w:asciiTheme="majorBidi" w:hAnsiTheme="majorBidi" w:cstheme="majorBidi"/>
          <w:bCs/>
          <w:noProof/>
          <w:sz w:val="22"/>
          <w:szCs w:val="22"/>
          <w:lang w:val="sr-Latn-ME"/>
        </w:rPr>
        <w:t xml:space="preserve">o primjeni </w:t>
      </w:r>
      <w:r w:rsidR="00DD7F82" w:rsidRPr="00B82EF7">
        <w:rPr>
          <w:rFonts w:asciiTheme="majorBidi" w:hAnsiTheme="majorBidi" w:cstheme="majorBidi"/>
          <w:bCs/>
          <w:noProof/>
          <w:sz w:val="22"/>
          <w:szCs w:val="22"/>
          <w:lang w:val="sr-Latn-ME"/>
        </w:rPr>
        <w:t xml:space="preserve">u ovoj populaciji </w:t>
      </w:r>
      <w:r w:rsidR="002144FD" w:rsidRPr="00B82EF7">
        <w:rPr>
          <w:rFonts w:asciiTheme="majorBidi" w:hAnsiTheme="majorBidi" w:cstheme="majorBidi"/>
          <w:bCs/>
          <w:noProof/>
          <w:sz w:val="22"/>
          <w:szCs w:val="22"/>
          <w:lang w:val="sr-Latn-ME"/>
        </w:rPr>
        <w:t xml:space="preserve">kod svih indikacija osim </w:t>
      </w:r>
      <w:r w:rsidR="00DD7F82" w:rsidRPr="00B82EF7">
        <w:rPr>
          <w:rFonts w:asciiTheme="majorBidi" w:hAnsiTheme="majorBidi" w:cstheme="majorBidi"/>
          <w:bCs/>
          <w:noProof/>
          <w:sz w:val="22"/>
          <w:szCs w:val="22"/>
          <w:lang w:val="sr-Latn-ME"/>
        </w:rPr>
        <w:t>prevencije formiranja tromba u ekstrakorporalnoj cirkulaciji tokom hemodijalize.</w:t>
      </w:r>
    </w:p>
    <w:p w14:paraId="748E8782" w14:textId="77777777" w:rsidR="008E234A" w:rsidRPr="00B82EF7" w:rsidRDefault="008E234A" w:rsidP="000A4414">
      <w:pPr>
        <w:ind w:left="360"/>
        <w:jc w:val="both"/>
        <w:rPr>
          <w:rFonts w:asciiTheme="majorBidi" w:hAnsiTheme="majorBidi" w:cstheme="majorBidi"/>
          <w:bCs/>
          <w:noProof/>
          <w:sz w:val="22"/>
          <w:szCs w:val="22"/>
          <w:lang w:val="sr-Latn-ME"/>
        </w:rPr>
      </w:pPr>
    </w:p>
    <w:p w14:paraId="53AF80FB" w14:textId="05A70C46" w:rsidR="00DD7F82" w:rsidRPr="00B82EF7" w:rsidRDefault="00DD7F82" w:rsidP="000A4414">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Doziranje za pacijente sa teškom bubrežnom insuficijencijo</w:t>
      </w:r>
      <w:r w:rsidR="00403E41" w:rsidRPr="00B82EF7">
        <w:rPr>
          <w:rFonts w:asciiTheme="majorBidi" w:hAnsiTheme="majorBidi" w:cstheme="majorBidi"/>
          <w:bCs/>
          <w:noProof/>
          <w:sz w:val="22"/>
          <w:szCs w:val="22"/>
          <w:lang w:val="sr-Latn-ME"/>
        </w:rPr>
        <w:t xml:space="preserve">m (klirens kreatinina [15-30]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/min):</w:t>
      </w:r>
    </w:p>
    <w:p w14:paraId="1BB2FD8F" w14:textId="77777777" w:rsidR="000A4414" w:rsidRPr="00B82EF7" w:rsidRDefault="000A4414" w:rsidP="000A4414">
      <w:pPr>
        <w:ind w:left="360"/>
        <w:jc w:val="both"/>
        <w:rPr>
          <w:rFonts w:asciiTheme="majorBidi" w:hAnsiTheme="majorBidi" w:cstheme="majorBidi"/>
          <w:bCs/>
          <w:noProof/>
          <w:sz w:val="22"/>
          <w:szCs w:val="22"/>
          <w:lang w:val="sr-Latn-ME"/>
        </w:rPr>
      </w:pPr>
    </w:p>
    <w:tbl>
      <w:tblPr>
        <w:tblStyle w:val="TableGrid"/>
        <w:tblW w:w="0" w:type="auto"/>
        <w:tblLook w:val="04A0" w:firstRow="1" w:lastRow="0" w:firstColumn="1" w:lastColumn="0" w:noHBand="0" w:noVBand="1"/>
      </w:tblPr>
      <w:tblGrid>
        <w:gridCol w:w="4185"/>
        <w:gridCol w:w="4878"/>
      </w:tblGrid>
      <w:tr w:rsidR="00DD7F82" w:rsidRPr="00B82EF7" w14:paraId="2820BB66" w14:textId="77777777" w:rsidTr="00683C8C">
        <w:trPr>
          <w:trHeight w:val="399"/>
        </w:trPr>
        <w:tc>
          <w:tcPr>
            <w:tcW w:w="4405" w:type="dxa"/>
          </w:tcPr>
          <w:p w14:paraId="0EF3F3BB" w14:textId="77777777" w:rsidR="00DD7F82" w:rsidRPr="00B82EF7" w:rsidRDefault="00DD7F82" w:rsidP="00DD7F82">
            <w:pPr>
              <w:spacing w:after="120"/>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Indikacija</w:t>
            </w:r>
          </w:p>
        </w:tc>
        <w:tc>
          <w:tcPr>
            <w:tcW w:w="5224" w:type="dxa"/>
          </w:tcPr>
          <w:p w14:paraId="3FD9F88B" w14:textId="77777777" w:rsidR="00DD7F82" w:rsidRPr="00B82EF7" w:rsidRDefault="00DD7F82" w:rsidP="00DD7F82">
            <w:pPr>
              <w:spacing w:after="120"/>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Režim doziranja</w:t>
            </w:r>
          </w:p>
        </w:tc>
      </w:tr>
      <w:tr w:rsidR="00DD7F82" w:rsidRPr="00B82EF7" w14:paraId="59208DAD" w14:textId="77777777" w:rsidTr="00683C8C">
        <w:tc>
          <w:tcPr>
            <w:tcW w:w="4405" w:type="dxa"/>
          </w:tcPr>
          <w:p w14:paraId="0AC1F5CD"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Profilaksa venske tromboembolijske bolesti</w:t>
            </w:r>
          </w:p>
        </w:tc>
        <w:tc>
          <w:tcPr>
            <w:tcW w:w="5224" w:type="dxa"/>
          </w:tcPr>
          <w:p w14:paraId="4DFF605C" w14:textId="77777777" w:rsidR="00DD7F82" w:rsidRPr="00B82EF7" w:rsidRDefault="00403E41"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w:t>
            </w:r>
            <w:r w:rsidR="00DD7F82" w:rsidRPr="00B82EF7">
              <w:rPr>
                <w:rFonts w:asciiTheme="majorBidi" w:hAnsiTheme="majorBidi" w:cstheme="majorBidi"/>
                <w:bCs/>
                <w:noProof/>
                <w:sz w:val="22"/>
                <w:szCs w:val="22"/>
                <w:lang w:val="sr-Latn-ME"/>
              </w:rPr>
              <w:t>000 i.j. (20 mg) s.c. jednom dnevno</w:t>
            </w:r>
          </w:p>
        </w:tc>
      </w:tr>
      <w:tr w:rsidR="00DD7F82" w:rsidRPr="00B82EF7" w14:paraId="1904B019" w14:textId="77777777" w:rsidTr="00683C8C">
        <w:tc>
          <w:tcPr>
            <w:tcW w:w="4405" w:type="dxa"/>
          </w:tcPr>
          <w:p w14:paraId="50E80109"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Terapija tromboze dubokih vena (TDV) i plućne embolije (PE)</w:t>
            </w:r>
          </w:p>
        </w:tc>
        <w:tc>
          <w:tcPr>
            <w:tcW w:w="5224" w:type="dxa"/>
          </w:tcPr>
          <w:p w14:paraId="6F7C9247"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100 i.j./kg (1 mg/kg) t</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s.c. jednom dnevno</w:t>
            </w:r>
          </w:p>
        </w:tc>
      </w:tr>
      <w:tr w:rsidR="00DD7F82" w:rsidRPr="00B82EF7" w14:paraId="23000927" w14:textId="77777777" w:rsidTr="00683C8C">
        <w:tc>
          <w:tcPr>
            <w:tcW w:w="4405" w:type="dxa"/>
          </w:tcPr>
          <w:p w14:paraId="63E45DC3"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Terapija nestabilne angine i infarkta miokarda bez elevacije ST segmenta (NSTEMI)</w:t>
            </w:r>
          </w:p>
        </w:tc>
        <w:tc>
          <w:tcPr>
            <w:tcW w:w="5224" w:type="dxa"/>
          </w:tcPr>
          <w:p w14:paraId="4AEDE1E6"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100 i.j./kg (1 mg/kg) t</w:t>
            </w:r>
            <w:r w:rsidR="00403E41"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s.c. jednom dnevno</w:t>
            </w:r>
          </w:p>
        </w:tc>
      </w:tr>
      <w:tr w:rsidR="00DD7F82" w:rsidRPr="00B82EF7" w14:paraId="70AB290E" w14:textId="77777777" w:rsidTr="00683C8C">
        <w:tc>
          <w:tcPr>
            <w:tcW w:w="4405" w:type="dxa"/>
          </w:tcPr>
          <w:p w14:paraId="536BD36A" w14:textId="77777777" w:rsidR="00DD7F82" w:rsidRPr="00B82EF7" w:rsidRDefault="00DD7F82" w:rsidP="00DD7F82">
            <w:pPr>
              <w:spacing w:after="120"/>
              <w:rPr>
                <w:rFonts w:asciiTheme="majorBidi" w:hAnsiTheme="majorBidi" w:cstheme="majorBidi"/>
                <w:bCs/>
                <w:i/>
                <w:noProof/>
                <w:sz w:val="22"/>
                <w:szCs w:val="22"/>
                <w:lang w:val="sr-Latn-ME"/>
              </w:rPr>
            </w:pPr>
            <w:r w:rsidRPr="00B82EF7">
              <w:rPr>
                <w:rFonts w:asciiTheme="majorBidi" w:hAnsiTheme="majorBidi" w:cstheme="majorBidi"/>
                <w:bCs/>
                <w:noProof/>
                <w:sz w:val="22"/>
                <w:szCs w:val="22"/>
                <w:lang w:val="sr-Latn-ME"/>
              </w:rPr>
              <w:t>Terapija akutnog infarkta miokarda sa elevacijom ST segmenta (STEMI) kod pacijenata starosti &lt; 75 godina</w:t>
            </w:r>
          </w:p>
        </w:tc>
        <w:tc>
          <w:tcPr>
            <w:tcW w:w="5224" w:type="dxa"/>
          </w:tcPr>
          <w:p w14:paraId="6A9A76D3" w14:textId="77777777" w:rsidR="00804C51" w:rsidRPr="00B82EF7" w:rsidRDefault="00403E41" w:rsidP="00DD7F82">
            <w:pP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 x 3</w:t>
            </w:r>
            <w:r w:rsidR="00DD7F82" w:rsidRPr="00B82EF7">
              <w:rPr>
                <w:rFonts w:asciiTheme="majorBidi" w:hAnsiTheme="majorBidi" w:cstheme="majorBidi"/>
                <w:bCs/>
                <w:noProof/>
                <w:sz w:val="22"/>
                <w:szCs w:val="22"/>
                <w:lang w:val="sr-Latn-ME"/>
              </w:rPr>
              <w:t xml:space="preserve">000 i.j. (30 mg) i.v. bolus plus 100 i.j./kg </w:t>
            </w:r>
          </w:p>
          <w:p w14:paraId="42CD7D61" w14:textId="77777777" w:rsidR="00804C51" w:rsidRPr="00B82EF7" w:rsidRDefault="00DD7F82" w:rsidP="00DD7F82">
            <w:pP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w:t>
            </w:r>
            <w:r w:rsidR="00804C51"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mg/kg) t</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elesne mase s.c., a zatim 100 i.j./kg </w:t>
            </w:r>
          </w:p>
          <w:p w14:paraId="604FCE53" w14:textId="77777777" w:rsidR="00DD7F82" w:rsidRPr="00B82EF7" w:rsidRDefault="00DD7F82" w:rsidP="00804C51">
            <w:pP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w:t>
            </w:r>
            <w:r w:rsidR="00804C51"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mg/kg) t</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s.c. svaka 24 sata</w:t>
            </w:r>
          </w:p>
        </w:tc>
      </w:tr>
      <w:tr w:rsidR="00DD7F82" w:rsidRPr="00B82EF7" w14:paraId="0FF2140B" w14:textId="77777777" w:rsidTr="00683C8C">
        <w:tc>
          <w:tcPr>
            <w:tcW w:w="4405" w:type="dxa"/>
          </w:tcPr>
          <w:p w14:paraId="7152F54B" w14:textId="77777777" w:rsidR="00DD7F82" w:rsidRPr="00B82EF7" w:rsidRDefault="00DD7F82" w:rsidP="00DD7F82">
            <w:pPr>
              <w:spacing w:after="120"/>
              <w:rPr>
                <w:rFonts w:asciiTheme="majorBidi" w:hAnsiTheme="majorBidi" w:cstheme="majorBidi"/>
                <w:bCs/>
                <w:i/>
                <w:noProof/>
                <w:sz w:val="22"/>
                <w:szCs w:val="22"/>
                <w:lang w:val="sr-Latn-ME"/>
              </w:rPr>
            </w:pPr>
            <w:r w:rsidRPr="00B82EF7">
              <w:rPr>
                <w:rFonts w:asciiTheme="majorBidi" w:hAnsiTheme="majorBidi" w:cstheme="majorBidi"/>
                <w:bCs/>
                <w:noProof/>
                <w:sz w:val="22"/>
                <w:szCs w:val="22"/>
                <w:lang w:val="sr-Latn-ME"/>
              </w:rPr>
              <w:t>Terapija akutnog infarkta miokarda sa elevacijom ST segmenta (STEMI) kod pacijenata starosti ≥ 75 godina</w:t>
            </w:r>
          </w:p>
        </w:tc>
        <w:tc>
          <w:tcPr>
            <w:tcW w:w="5224" w:type="dxa"/>
          </w:tcPr>
          <w:p w14:paraId="16993E27" w14:textId="77777777" w:rsidR="00DD7F82" w:rsidRPr="00B82EF7" w:rsidRDefault="00DD7F82" w:rsidP="00DD7F82">
            <w:pPr>
              <w:spacing w:after="120"/>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Bez inicijalnog i.v. bolusa, 100 i.j./kg (1 mg/kg) t</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s.c., a zatim 100 i.j./kg (1 mg/kg) t</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s.c. svaka 24 sata</w:t>
            </w:r>
          </w:p>
        </w:tc>
      </w:tr>
    </w:tbl>
    <w:p w14:paraId="54F7B479" w14:textId="77777777" w:rsidR="00DD7F82" w:rsidRPr="00B82EF7" w:rsidRDefault="00DD7F82" w:rsidP="00DD7F82">
      <w:pPr>
        <w:spacing w:after="120"/>
        <w:jc w:val="both"/>
        <w:rPr>
          <w:rFonts w:asciiTheme="majorBidi" w:hAnsiTheme="majorBidi" w:cstheme="majorBidi"/>
          <w:bCs/>
          <w:noProof/>
          <w:sz w:val="22"/>
          <w:szCs w:val="22"/>
          <w:lang w:val="sr-Latn-ME"/>
        </w:rPr>
      </w:pPr>
    </w:p>
    <w:p w14:paraId="3DD374ED" w14:textId="48AE3983" w:rsidR="00DD7F82" w:rsidRPr="00B82EF7" w:rsidRDefault="00DD7F82" w:rsidP="004D148D">
      <w:pPr>
        <w:spacing w:after="120"/>
        <w:ind w:left="360"/>
        <w:jc w:val="both"/>
        <w:rPr>
          <w:rFonts w:asciiTheme="majorBidi" w:hAnsiTheme="majorBidi" w:cstheme="majorBidi"/>
          <w:i/>
          <w:iCs/>
          <w:sz w:val="22"/>
          <w:szCs w:val="22"/>
          <w:lang w:val="sr-Latn-ME"/>
        </w:rPr>
      </w:pPr>
      <w:r w:rsidRPr="00B82EF7">
        <w:rPr>
          <w:rFonts w:asciiTheme="majorBidi" w:hAnsiTheme="majorBidi" w:cstheme="majorBidi"/>
          <w:bCs/>
          <w:noProof/>
          <w:sz w:val="22"/>
          <w:szCs w:val="22"/>
          <w:lang w:val="sr-Latn-ME"/>
        </w:rPr>
        <w:t xml:space="preserve">Preporučeno prilagođavanje doze se ne </w:t>
      </w:r>
      <w:r w:rsidR="007A2732" w:rsidRPr="00B82EF7">
        <w:rPr>
          <w:rFonts w:asciiTheme="majorBidi" w:hAnsiTheme="majorBidi" w:cstheme="majorBidi"/>
          <w:bCs/>
          <w:noProof/>
          <w:sz w:val="22"/>
          <w:szCs w:val="22"/>
          <w:lang w:val="sr-Latn-ME"/>
        </w:rPr>
        <w:t>odnose na primjenu kod</w:t>
      </w:r>
      <w:r w:rsidRPr="00B82EF7">
        <w:rPr>
          <w:rFonts w:asciiTheme="majorBidi" w:hAnsiTheme="majorBidi" w:cstheme="majorBidi"/>
          <w:bCs/>
          <w:noProof/>
          <w:sz w:val="22"/>
          <w:szCs w:val="22"/>
          <w:lang w:val="sr-Latn-ME"/>
        </w:rPr>
        <w:t xml:space="preserve"> hemodijalize.</w:t>
      </w:r>
      <w:r w:rsidRPr="00B82EF7">
        <w:rPr>
          <w:rFonts w:asciiTheme="majorBidi" w:hAnsiTheme="majorBidi" w:cstheme="majorBidi"/>
          <w:i/>
          <w:iCs/>
          <w:sz w:val="22"/>
          <w:szCs w:val="22"/>
          <w:lang w:val="sr-Latn-ME"/>
        </w:rPr>
        <w:t xml:space="preserve"> </w:t>
      </w:r>
    </w:p>
    <w:p w14:paraId="7439824F" w14:textId="77777777" w:rsidR="00DD7F82" w:rsidRPr="00B82EF7" w:rsidRDefault="00DD7F82" w:rsidP="00C36CDC">
      <w:pPr>
        <w:numPr>
          <w:ilvl w:val="0"/>
          <w:numId w:val="17"/>
        </w:numPr>
        <w:tabs>
          <w:tab w:val="left" w:pos="284"/>
        </w:tabs>
        <w:spacing w:after="120"/>
        <w:ind w:left="360"/>
        <w:contextualSpacing/>
        <w:jc w:val="both"/>
        <w:rPr>
          <w:rFonts w:asciiTheme="majorBidi" w:hAnsiTheme="majorBidi" w:cstheme="majorBidi"/>
          <w:bCs/>
          <w:i/>
          <w:iCs/>
          <w:noProof/>
          <w:sz w:val="22"/>
          <w:szCs w:val="22"/>
          <w:lang w:val="sr-Latn-ME"/>
        </w:rPr>
      </w:pPr>
      <w:r w:rsidRPr="00B82EF7">
        <w:rPr>
          <w:rFonts w:asciiTheme="majorBidi" w:hAnsiTheme="majorBidi" w:cstheme="majorBidi"/>
          <w:bCs/>
          <w:i/>
          <w:iCs/>
          <w:noProof/>
          <w:sz w:val="22"/>
          <w:szCs w:val="22"/>
          <w:lang w:val="sr-Latn-ME"/>
        </w:rPr>
        <w:t>Um</w:t>
      </w:r>
      <w:r w:rsidR="00804C51" w:rsidRPr="00B82EF7">
        <w:rPr>
          <w:rFonts w:asciiTheme="majorBidi" w:hAnsiTheme="majorBidi" w:cstheme="majorBidi"/>
          <w:bCs/>
          <w:i/>
          <w:iCs/>
          <w:noProof/>
          <w:sz w:val="22"/>
          <w:szCs w:val="22"/>
          <w:lang w:val="sr-Latn-ME"/>
        </w:rPr>
        <w:t>j</w:t>
      </w:r>
      <w:r w:rsidRPr="00B82EF7">
        <w:rPr>
          <w:rFonts w:asciiTheme="majorBidi" w:hAnsiTheme="majorBidi" w:cstheme="majorBidi"/>
          <w:bCs/>
          <w:i/>
          <w:iCs/>
          <w:noProof/>
          <w:sz w:val="22"/>
          <w:szCs w:val="22"/>
          <w:lang w:val="sr-Latn-ME"/>
        </w:rPr>
        <w:t xml:space="preserve">erena i blaga bubrežna insuficijencija </w:t>
      </w:r>
    </w:p>
    <w:p w14:paraId="5D490536" w14:textId="77777777" w:rsidR="00DD7F82" w:rsidRPr="00B82EF7" w:rsidRDefault="00DD7F82">
      <w:pPr>
        <w:tabs>
          <w:tab w:val="left" w:pos="540"/>
          <w:tab w:val="left" w:pos="569"/>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Iako se ne preporučuje prilagođavanje doze kod pacijenata sa um</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ere</w:t>
      </w:r>
      <w:r w:rsidR="00AF7A60" w:rsidRPr="00B82EF7">
        <w:rPr>
          <w:rFonts w:asciiTheme="majorBidi" w:hAnsiTheme="majorBidi" w:cstheme="majorBidi"/>
          <w:bCs/>
          <w:noProof/>
          <w:sz w:val="22"/>
          <w:szCs w:val="22"/>
          <w:lang w:val="sr-Latn-ME"/>
        </w:rPr>
        <w:t xml:space="preserve">nim (klirens kreatinina 30-50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/min) i blagim (klirens kreatinina 50-80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/min) oštećenjem funkcije bubrega, sav</w:t>
      </w:r>
      <w:r w:rsidR="00AF7A60"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etuje se pažljivo kliničko praćenje.</w:t>
      </w:r>
    </w:p>
    <w:p w14:paraId="5559D3D7" w14:textId="77777777" w:rsidR="00DD7F82" w:rsidRPr="00B82EF7" w:rsidRDefault="00DD7F82" w:rsidP="00F131CD">
      <w:pPr>
        <w:tabs>
          <w:tab w:val="left" w:pos="540"/>
          <w:tab w:val="left" w:pos="569"/>
        </w:tabs>
        <w:jc w:val="both"/>
        <w:rPr>
          <w:rFonts w:asciiTheme="majorBidi" w:hAnsiTheme="majorBidi" w:cstheme="majorBidi"/>
          <w:bCs/>
          <w:sz w:val="22"/>
          <w:szCs w:val="22"/>
          <w:u w:val="single"/>
          <w:lang w:val="sr-Latn-ME"/>
        </w:rPr>
      </w:pPr>
    </w:p>
    <w:p w14:paraId="7220B62B" w14:textId="77777777" w:rsidR="00452E9D" w:rsidRPr="00B82EF7" w:rsidRDefault="00452E9D" w:rsidP="00F131CD">
      <w:pPr>
        <w:tabs>
          <w:tab w:val="left" w:pos="540"/>
          <w:tab w:val="left" w:pos="569"/>
        </w:tabs>
        <w:jc w:val="both"/>
        <w:rPr>
          <w:rFonts w:asciiTheme="majorBidi" w:hAnsiTheme="majorBidi" w:cstheme="majorBidi"/>
          <w:bCs/>
          <w:sz w:val="22"/>
          <w:szCs w:val="22"/>
          <w:u w:val="single"/>
          <w:lang w:val="sr-Latn-ME"/>
        </w:rPr>
      </w:pPr>
      <w:r w:rsidRPr="00B82EF7">
        <w:rPr>
          <w:rFonts w:asciiTheme="majorBidi" w:hAnsiTheme="majorBidi" w:cstheme="majorBidi"/>
          <w:bCs/>
          <w:sz w:val="22"/>
          <w:szCs w:val="22"/>
          <w:u w:val="single"/>
          <w:lang w:val="sr-Latn-ME"/>
        </w:rPr>
        <w:t>Način primjene</w:t>
      </w:r>
    </w:p>
    <w:p w14:paraId="6BF9925E" w14:textId="77777777" w:rsidR="00DD7F82" w:rsidRPr="00B82EF7" w:rsidRDefault="00DD7F82" w:rsidP="004D148D">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L</w:t>
      </w:r>
      <w:r w:rsidR="00AF7A60"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 Crusia se ne sm</w:t>
      </w:r>
      <w:r w:rsidR="00AF7A60"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davati intramuskularno.</w:t>
      </w:r>
    </w:p>
    <w:p w14:paraId="60711F00" w14:textId="77777777" w:rsidR="00AF7A60" w:rsidRPr="00B82EF7" w:rsidRDefault="00AF7A60" w:rsidP="00C36CDC">
      <w:pPr>
        <w:jc w:val="both"/>
        <w:rPr>
          <w:rFonts w:asciiTheme="majorBidi" w:hAnsiTheme="majorBidi" w:cstheme="majorBidi"/>
          <w:bCs/>
          <w:noProof/>
          <w:sz w:val="22"/>
          <w:szCs w:val="22"/>
          <w:lang w:val="sr-Latn-ME"/>
        </w:rPr>
      </w:pPr>
    </w:p>
    <w:p w14:paraId="6EBF30C4" w14:textId="77777777" w:rsidR="00DD7F82" w:rsidRPr="00B82EF7" w:rsidRDefault="00DD7F82">
      <w:pPr>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profilaksu venske tromboembolijske bolesti nakon operacije, terapiju DVT i PE, terapiju nestabil</w:t>
      </w:r>
      <w:r w:rsidR="00804C51" w:rsidRPr="00B82EF7">
        <w:rPr>
          <w:rFonts w:asciiTheme="majorBidi" w:hAnsiTheme="majorBidi" w:cstheme="majorBidi"/>
          <w:bCs/>
          <w:noProof/>
          <w:sz w:val="22"/>
          <w:szCs w:val="22"/>
          <w:lang w:val="sr-Latn-ME"/>
        </w:rPr>
        <w:t xml:space="preserve">ne angine i NSTEMI, enoksaparin </w:t>
      </w:r>
      <w:r w:rsidRPr="00B82EF7">
        <w:rPr>
          <w:rFonts w:asciiTheme="majorBidi" w:hAnsiTheme="majorBidi" w:cstheme="majorBidi"/>
          <w:bCs/>
          <w:noProof/>
          <w:sz w:val="22"/>
          <w:szCs w:val="22"/>
          <w:lang w:val="sr-Latn-ME"/>
        </w:rPr>
        <w:t>natrijum treba prim</w:t>
      </w:r>
      <w:r w:rsidR="000A27A6"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eniti s.c. injekcijom.</w:t>
      </w:r>
    </w:p>
    <w:p w14:paraId="37BED361" w14:textId="77777777" w:rsidR="00DD7F82" w:rsidRPr="00B82EF7" w:rsidRDefault="00DD7F82">
      <w:pPr>
        <w:numPr>
          <w:ilvl w:val="0"/>
          <w:numId w:val="17"/>
        </w:numPr>
        <w:tabs>
          <w:tab w:val="left" w:pos="284"/>
        </w:tabs>
        <w:ind w:left="284"/>
        <w:contextualSpacing/>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akutni STEMI</w:t>
      </w:r>
      <w:r w:rsidR="00804C51" w:rsidRPr="00B82EF7">
        <w:rPr>
          <w:rFonts w:asciiTheme="majorBidi" w:hAnsiTheme="majorBidi" w:cstheme="majorBidi"/>
          <w:bCs/>
          <w:noProof/>
          <w:sz w:val="22"/>
          <w:szCs w:val="22"/>
          <w:lang w:val="sr-Latn-ME"/>
        </w:rPr>
        <w:t xml:space="preserve">, terapiju treba treba započeti </w:t>
      </w:r>
      <w:r w:rsidRPr="00B82EF7">
        <w:rPr>
          <w:rFonts w:asciiTheme="majorBidi" w:hAnsiTheme="majorBidi" w:cstheme="majorBidi"/>
          <w:bCs/>
          <w:noProof/>
          <w:sz w:val="22"/>
          <w:szCs w:val="22"/>
          <w:lang w:val="sr-Latn-ME"/>
        </w:rPr>
        <w:t>jednom i.v. bolus injekcijom nakon čega odmah sl</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edi s.c. injekcija.</w:t>
      </w:r>
    </w:p>
    <w:p w14:paraId="2EBFF39A" w14:textId="5EE13479" w:rsidR="00DD7F82" w:rsidRPr="00B82EF7" w:rsidRDefault="00DD7F82">
      <w:pPr>
        <w:numPr>
          <w:ilvl w:val="0"/>
          <w:numId w:val="17"/>
        </w:numPr>
        <w:tabs>
          <w:tab w:val="left" w:pos="284"/>
        </w:tabs>
        <w:ind w:left="284"/>
        <w:contextualSpacing/>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Za prevenciju formiranja tromba u ekstrakorporalnoj cirkulaciji </w:t>
      </w:r>
      <w:r w:rsidR="00804C51" w:rsidRPr="00B82EF7">
        <w:rPr>
          <w:rFonts w:asciiTheme="majorBidi" w:hAnsiTheme="majorBidi" w:cstheme="majorBidi"/>
          <w:bCs/>
          <w:noProof/>
          <w:sz w:val="22"/>
          <w:szCs w:val="22"/>
          <w:lang w:val="sr-Latn-ME"/>
        </w:rPr>
        <w:t xml:space="preserve">tokom hemodijalize, enoksaparin </w:t>
      </w:r>
      <w:r w:rsidRPr="00B82EF7">
        <w:rPr>
          <w:rFonts w:asciiTheme="majorBidi" w:hAnsiTheme="majorBidi" w:cstheme="majorBidi"/>
          <w:bCs/>
          <w:noProof/>
          <w:sz w:val="22"/>
          <w:szCs w:val="22"/>
          <w:lang w:val="sr-Latn-ME"/>
        </w:rPr>
        <w:t>natrijum se prim</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enjuje kroz arterijsku liniju </w:t>
      </w:r>
      <w:r w:rsidR="00816625" w:rsidRPr="00B82EF7">
        <w:rPr>
          <w:rFonts w:asciiTheme="majorBidi" w:hAnsiTheme="majorBidi" w:cstheme="majorBidi"/>
          <w:bCs/>
          <w:noProof/>
          <w:sz w:val="22"/>
          <w:szCs w:val="22"/>
          <w:lang w:val="sr-Latn-ME"/>
        </w:rPr>
        <w:t xml:space="preserve">sistema za </w:t>
      </w:r>
      <w:r w:rsidRPr="00B82EF7">
        <w:rPr>
          <w:rFonts w:asciiTheme="majorBidi" w:hAnsiTheme="majorBidi" w:cstheme="majorBidi"/>
          <w:bCs/>
          <w:noProof/>
          <w:sz w:val="22"/>
          <w:szCs w:val="22"/>
          <w:lang w:val="sr-Latn-ME"/>
        </w:rPr>
        <w:t>dijaliz</w:t>
      </w:r>
      <w:r w:rsidR="00816625" w:rsidRPr="00B82EF7">
        <w:rPr>
          <w:rFonts w:asciiTheme="majorBidi" w:hAnsiTheme="majorBidi" w:cstheme="majorBidi"/>
          <w:bCs/>
          <w:noProof/>
          <w:sz w:val="22"/>
          <w:szCs w:val="22"/>
          <w:lang w:val="sr-Latn-ME"/>
        </w:rPr>
        <w:t>u</w:t>
      </w:r>
      <w:r w:rsidRPr="00B82EF7">
        <w:rPr>
          <w:rFonts w:asciiTheme="majorBidi" w:hAnsiTheme="majorBidi" w:cstheme="majorBidi"/>
          <w:bCs/>
          <w:noProof/>
          <w:sz w:val="22"/>
          <w:szCs w:val="22"/>
          <w:lang w:val="sr-Latn-ME"/>
        </w:rPr>
        <w:t>.</w:t>
      </w:r>
    </w:p>
    <w:p w14:paraId="14F119BD" w14:textId="77777777" w:rsidR="00AF7A60" w:rsidRPr="00B82EF7" w:rsidRDefault="00AF7A60" w:rsidP="00F131CD">
      <w:pPr>
        <w:tabs>
          <w:tab w:val="left" w:pos="540"/>
          <w:tab w:val="left" w:pos="569"/>
        </w:tabs>
        <w:ind w:left="284"/>
        <w:jc w:val="both"/>
        <w:rPr>
          <w:rFonts w:asciiTheme="majorBidi" w:hAnsiTheme="majorBidi" w:cstheme="majorBidi"/>
          <w:bCs/>
          <w:noProof/>
          <w:sz w:val="22"/>
          <w:szCs w:val="22"/>
          <w:lang w:val="sr-Latn-ME"/>
        </w:rPr>
      </w:pPr>
    </w:p>
    <w:p w14:paraId="00752362" w14:textId="77777777" w:rsidR="00DD7F82" w:rsidRPr="00B82EF7" w:rsidRDefault="00DD7F82" w:rsidP="00F131CD">
      <w:pPr>
        <w:tabs>
          <w:tab w:val="left" w:pos="540"/>
          <w:tab w:val="left" w:pos="569"/>
        </w:tabs>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Prethodno napunjen špric za jednokratnu upotrebu je spreman za neposrednu upotrebu.</w:t>
      </w:r>
    </w:p>
    <w:p w14:paraId="28DB112A" w14:textId="77777777" w:rsidR="00720B07" w:rsidRPr="00B82EF7" w:rsidRDefault="00720B07" w:rsidP="00F131CD">
      <w:pPr>
        <w:tabs>
          <w:tab w:val="left" w:pos="540"/>
          <w:tab w:val="left" w:pos="569"/>
        </w:tabs>
        <w:ind w:left="284"/>
        <w:jc w:val="both"/>
        <w:rPr>
          <w:rFonts w:asciiTheme="majorBidi" w:hAnsiTheme="majorBidi" w:cstheme="majorBidi"/>
          <w:bCs/>
          <w:noProof/>
          <w:sz w:val="22"/>
          <w:szCs w:val="22"/>
          <w:lang w:val="sr-Latn-ME"/>
        </w:rPr>
      </w:pPr>
    </w:p>
    <w:p w14:paraId="772E3253" w14:textId="632C08B3" w:rsidR="00DD7F82" w:rsidRPr="00B82EF7" w:rsidRDefault="00C146B6" w:rsidP="004D148D">
      <w:pPr>
        <w:numPr>
          <w:ilvl w:val="0"/>
          <w:numId w:val="18"/>
        </w:numPr>
        <w:tabs>
          <w:tab w:val="left" w:pos="284"/>
        </w:tabs>
        <w:ind w:left="284"/>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 xml:space="preserve">Tehnika </w:t>
      </w:r>
      <w:r w:rsidR="00DD7F82" w:rsidRPr="00B82EF7">
        <w:rPr>
          <w:rFonts w:asciiTheme="majorBidi" w:hAnsiTheme="majorBidi" w:cstheme="majorBidi"/>
          <w:bCs/>
          <w:noProof/>
          <w:sz w:val="22"/>
          <w:szCs w:val="22"/>
          <w:u w:val="single"/>
          <w:lang w:val="sr-Latn-ME"/>
        </w:rPr>
        <w:t>subkutan</w:t>
      </w:r>
      <w:r w:rsidRPr="00B82EF7">
        <w:rPr>
          <w:rFonts w:asciiTheme="majorBidi" w:hAnsiTheme="majorBidi" w:cstheme="majorBidi"/>
          <w:bCs/>
          <w:noProof/>
          <w:sz w:val="22"/>
          <w:szCs w:val="22"/>
          <w:u w:val="single"/>
          <w:lang w:val="sr-Latn-ME"/>
        </w:rPr>
        <w:t>og</w:t>
      </w:r>
      <w:r w:rsidR="00DD7F82" w:rsidRPr="00B82EF7">
        <w:rPr>
          <w:rFonts w:asciiTheme="majorBidi" w:hAnsiTheme="majorBidi" w:cstheme="majorBidi"/>
          <w:bCs/>
          <w:noProof/>
          <w:sz w:val="22"/>
          <w:szCs w:val="22"/>
          <w:u w:val="single"/>
          <w:lang w:val="sr-Latn-ME"/>
        </w:rPr>
        <w:t xml:space="preserve"> inj</w:t>
      </w:r>
      <w:r w:rsidRPr="00B82EF7">
        <w:rPr>
          <w:rFonts w:asciiTheme="majorBidi" w:hAnsiTheme="majorBidi" w:cstheme="majorBidi"/>
          <w:bCs/>
          <w:noProof/>
          <w:sz w:val="22"/>
          <w:szCs w:val="22"/>
          <w:u w:val="single"/>
          <w:lang w:val="sr-Latn-ME"/>
        </w:rPr>
        <w:t>iciranja</w:t>
      </w:r>
      <w:r w:rsidR="00DD7F82" w:rsidRPr="00B82EF7">
        <w:rPr>
          <w:rFonts w:asciiTheme="majorBidi" w:hAnsiTheme="majorBidi" w:cstheme="majorBidi"/>
          <w:bCs/>
          <w:noProof/>
          <w:sz w:val="22"/>
          <w:szCs w:val="22"/>
          <w:u w:val="single"/>
          <w:lang w:val="sr-Latn-ME"/>
        </w:rPr>
        <w:t>:</w:t>
      </w:r>
    </w:p>
    <w:p w14:paraId="424D9D17" w14:textId="77777777" w:rsidR="00DD7F82" w:rsidRPr="00B82EF7" w:rsidRDefault="00DD7F82" w:rsidP="00C36CDC">
      <w:pPr>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Subkutanu </w:t>
      </w:r>
      <w:r w:rsidR="00720B07" w:rsidRPr="00B82EF7">
        <w:rPr>
          <w:rFonts w:asciiTheme="majorBidi" w:hAnsiTheme="majorBidi" w:cstheme="majorBidi"/>
          <w:bCs/>
          <w:noProof/>
          <w:sz w:val="22"/>
          <w:szCs w:val="22"/>
          <w:lang w:val="sr-Latn-ME"/>
        </w:rPr>
        <w:t xml:space="preserve">injekciju treba davati po mogućnosti </w:t>
      </w:r>
      <w:r w:rsidRPr="00B82EF7">
        <w:rPr>
          <w:rFonts w:asciiTheme="majorBidi" w:hAnsiTheme="majorBidi" w:cstheme="majorBidi"/>
          <w:bCs/>
          <w:noProof/>
          <w:sz w:val="22"/>
          <w:szCs w:val="22"/>
          <w:lang w:val="sr-Latn-ME"/>
        </w:rPr>
        <w:t xml:space="preserve">kada je pacijent </w:t>
      </w:r>
      <w:r w:rsidR="006D1756" w:rsidRPr="00B82EF7">
        <w:rPr>
          <w:rFonts w:asciiTheme="majorBidi" w:hAnsiTheme="majorBidi" w:cstheme="majorBidi"/>
          <w:bCs/>
          <w:noProof/>
          <w:sz w:val="22"/>
          <w:szCs w:val="22"/>
          <w:lang w:val="sr-Latn-ME"/>
        </w:rPr>
        <w:t xml:space="preserve">u ležećem položaju. Enoksaparin </w:t>
      </w:r>
      <w:r w:rsidRPr="00B82EF7">
        <w:rPr>
          <w:rFonts w:asciiTheme="majorBidi" w:hAnsiTheme="majorBidi" w:cstheme="majorBidi"/>
          <w:bCs/>
          <w:noProof/>
          <w:sz w:val="22"/>
          <w:szCs w:val="22"/>
          <w:lang w:val="sr-Latn-ME"/>
        </w:rPr>
        <w:t>natrijum se prim</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enjuje putem duboke s.c. injekcije.</w:t>
      </w:r>
    </w:p>
    <w:p w14:paraId="3690520C" w14:textId="77777777" w:rsidR="00720B07" w:rsidRPr="00B82EF7" w:rsidRDefault="00720B07">
      <w:pPr>
        <w:ind w:left="284"/>
        <w:jc w:val="both"/>
        <w:rPr>
          <w:rFonts w:asciiTheme="majorBidi" w:hAnsiTheme="majorBidi" w:cstheme="majorBidi"/>
          <w:bCs/>
          <w:noProof/>
          <w:sz w:val="22"/>
          <w:szCs w:val="22"/>
          <w:lang w:val="sr-Latn-ME"/>
        </w:rPr>
      </w:pPr>
    </w:p>
    <w:p w14:paraId="59A87644" w14:textId="70415427" w:rsidR="00DD7F82" w:rsidRPr="00B82EF7" w:rsidRDefault="00DD7F82">
      <w:pPr>
        <w:ind w:left="284"/>
        <w:jc w:val="both"/>
        <w:rPr>
          <w:rFonts w:asciiTheme="majorBidi" w:hAnsiTheme="majorBidi" w:cstheme="majorBidi"/>
          <w:sz w:val="22"/>
          <w:szCs w:val="22"/>
          <w:lang w:val="sr-Latn-ME"/>
        </w:rPr>
      </w:pPr>
      <w:r w:rsidRPr="00B82EF7">
        <w:rPr>
          <w:rFonts w:asciiTheme="majorBidi" w:hAnsiTheme="majorBidi" w:cstheme="majorBidi"/>
          <w:bCs/>
          <w:noProof/>
          <w:sz w:val="22"/>
          <w:szCs w:val="22"/>
          <w:lang w:val="sr-Latn-ME"/>
        </w:rPr>
        <w:t>Nemojte izbacivati m</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ehurić vazduha iz šprica pr</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davanja injekcije kako biste izb</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egli gubitak l</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eka prilikom upotrebe prethodno napunjenih špriceva. Kada je količinu l</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eka koju treba prim</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eniti </w:t>
      </w:r>
      <w:r w:rsidRPr="00B82EF7">
        <w:rPr>
          <w:rFonts w:asciiTheme="majorBidi" w:hAnsiTheme="majorBidi" w:cstheme="majorBidi"/>
          <w:bCs/>
          <w:noProof/>
          <w:sz w:val="22"/>
          <w:szCs w:val="22"/>
          <w:lang w:val="sr-Latn-ME"/>
        </w:rPr>
        <w:lastRenderedPageBreak/>
        <w:t>potrebno prilagoditi na osnovu t</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elesne mase pacijenta, upotr</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ebite graduisane prethodno napunjene špriceve </w:t>
      </w:r>
      <w:r w:rsidR="007E2D1E" w:rsidRPr="00B82EF7">
        <w:rPr>
          <w:rFonts w:asciiTheme="majorBidi" w:hAnsiTheme="majorBidi" w:cstheme="majorBidi"/>
          <w:bCs/>
          <w:noProof/>
          <w:sz w:val="22"/>
          <w:szCs w:val="22"/>
          <w:lang w:val="sr-Latn-ME"/>
        </w:rPr>
        <w:t xml:space="preserve">i prilagodite zapreminu </w:t>
      </w:r>
      <w:r w:rsidRPr="00B82EF7">
        <w:rPr>
          <w:rFonts w:asciiTheme="majorBidi" w:hAnsiTheme="majorBidi" w:cstheme="majorBidi"/>
          <w:bCs/>
          <w:noProof/>
          <w:sz w:val="22"/>
          <w:szCs w:val="22"/>
          <w:lang w:val="sr-Latn-ME"/>
        </w:rPr>
        <w:t>odbacivanjem viška pr</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 davanja injekcije. Imajte na umu da u nekim slučajevima nije moguće postići tačnu dozu zbog </w:t>
      </w:r>
      <w:r w:rsidR="00E71136" w:rsidRPr="00B82EF7">
        <w:rPr>
          <w:rFonts w:asciiTheme="majorBidi" w:hAnsiTheme="majorBidi" w:cstheme="majorBidi"/>
          <w:bCs/>
          <w:noProof/>
          <w:sz w:val="22"/>
          <w:szCs w:val="22"/>
          <w:lang w:val="sr-Latn-ME"/>
        </w:rPr>
        <w:t xml:space="preserve">oznaka </w:t>
      </w:r>
      <w:r w:rsidRPr="00B82EF7">
        <w:rPr>
          <w:rFonts w:asciiTheme="majorBidi" w:hAnsiTheme="majorBidi" w:cstheme="majorBidi"/>
          <w:bCs/>
          <w:noProof/>
          <w:sz w:val="22"/>
          <w:szCs w:val="22"/>
          <w:lang w:val="sr-Latn-ME"/>
        </w:rPr>
        <w:t xml:space="preserve">na špricu, a u tom slučaju zapremina će biti zaokružena na </w:t>
      </w:r>
      <w:r w:rsidR="00E71136" w:rsidRPr="00B82EF7">
        <w:rPr>
          <w:rFonts w:asciiTheme="majorBidi" w:hAnsiTheme="majorBidi" w:cstheme="majorBidi"/>
          <w:bCs/>
          <w:noProof/>
          <w:sz w:val="22"/>
          <w:szCs w:val="22"/>
          <w:lang w:val="sr-Latn-ME"/>
        </w:rPr>
        <w:t xml:space="preserve">sljedeću </w:t>
      </w:r>
      <w:r w:rsidRPr="00B82EF7">
        <w:rPr>
          <w:rFonts w:asciiTheme="majorBidi" w:hAnsiTheme="majorBidi" w:cstheme="majorBidi"/>
          <w:bCs/>
          <w:noProof/>
          <w:sz w:val="22"/>
          <w:szCs w:val="22"/>
          <w:lang w:val="sr-Latn-ME"/>
        </w:rPr>
        <w:t>najbliž</w:t>
      </w:r>
      <w:r w:rsidR="00E71136" w:rsidRPr="00B82EF7">
        <w:rPr>
          <w:rFonts w:asciiTheme="majorBidi" w:hAnsiTheme="majorBidi" w:cstheme="majorBidi"/>
          <w:bCs/>
          <w:noProof/>
          <w:sz w:val="22"/>
          <w:szCs w:val="22"/>
          <w:lang w:val="sr-Latn-ME"/>
        </w:rPr>
        <w:t>u</w:t>
      </w:r>
      <w:r w:rsidRPr="00B82EF7">
        <w:rPr>
          <w:rFonts w:asciiTheme="majorBidi" w:hAnsiTheme="majorBidi" w:cstheme="majorBidi"/>
          <w:bCs/>
          <w:noProof/>
          <w:sz w:val="22"/>
          <w:szCs w:val="22"/>
          <w:lang w:val="sr-Latn-ME"/>
        </w:rPr>
        <w:t xml:space="preserve"> </w:t>
      </w:r>
      <w:r w:rsidR="00E71136" w:rsidRPr="00B82EF7">
        <w:rPr>
          <w:rFonts w:asciiTheme="majorBidi" w:hAnsiTheme="majorBidi" w:cstheme="majorBidi"/>
          <w:bCs/>
          <w:noProof/>
          <w:sz w:val="22"/>
          <w:szCs w:val="22"/>
          <w:lang w:val="sr-Latn-ME"/>
        </w:rPr>
        <w:t>oznaku</w:t>
      </w:r>
      <w:r w:rsidRPr="00B82EF7">
        <w:rPr>
          <w:rFonts w:asciiTheme="majorBidi" w:hAnsiTheme="majorBidi" w:cstheme="majorBidi"/>
          <w:bCs/>
          <w:noProof/>
          <w:sz w:val="22"/>
          <w:szCs w:val="22"/>
          <w:lang w:val="sr-Latn-ME"/>
        </w:rPr>
        <w:t>.</w:t>
      </w:r>
      <w:r w:rsidRPr="00B82EF7">
        <w:rPr>
          <w:rFonts w:asciiTheme="majorBidi" w:hAnsiTheme="majorBidi" w:cstheme="majorBidi"/>
          <w:sz w:val="22"/>
          <w:szCs w:val="22"/>
          <w:lang w:val="sr-Latn-ME"/>
        </w:rPr>
        <w:t xml:space="preserve"> </w:t>
      </w:r>
    </w:p>
    <w:p w14:paraId="2ECDFBBA" w14:textId="77777777" w:rsidR="00D90DFC" w:rsidRPr="00B82EF7" w:rsidRDefault="00D90DFC">
      <w:pPr>
        <w:ind w:left="284"/>
        <w:jc w:val="both"/>
        <w:rPr>
          <w:rFonts w:asciiTheme="majorBidi" w:hAnsiTheme="majorBidi" w:cstheme="majorBidi"/>
          <w:sz w:val="22"/>
          <w:szCs w:val="22"/>
          <w:lang w:val="sr-Latn-ME"/>
        </w:rPr>
      </w:pPr>
    </w:p>
    <w:p w14:paraId="2F3ECD10" w14:textId="07B49AF7" w:rsidR="00DD7F82" w:rsidRPr="00B82EF7" w:rsidRDefault="00DD7F82">
      <w:pPr>
        <w:ind w:left="284"/>
        <w:jc w:val="both"/>
        <w:rPr>
          <w:rFonts w:asciiTheme="majorBidi" w:hAnsiTheme="majorBidi" w:cstheme="majorBidi"/>
          <w:bCs/>
          <w:noProof/>
          <w:sz w:val="22"/>
          <w:szCs w:val="22"/>
          <w:lang w:val="sr-Latn-ME"/>
        </w:rPr>
      </w:pPr>
      <w:r w:rsidRPr="00B82EF7">
        <w:rPr>
          <w:rFonts w:asciiTheme="majorBidi" w:hAnsiTheme="majorBidi" w:cstheme="majorBidi"/>
          <w:sz w:val="22"/>
          <w:szCs w:val="22"/>
          <w:lang w:val="sr-Latn-ME"/>
        </w:rPr>
        <w:t>Injekcija treba da se prim</w:t>
      </w:r>
      <w:r w:rsidR="00720B07" w:rsidRPr="00B82EF7">
        <w:rPr>
          <w:rFonts w:asciiTheme="majorBidi" w:hAnsiTheme="majorBidi" w:cstheme="majorBidi"/>
          <w:sz w:val="22"/>
          <w:szCs w:val="22"/>
          <w:lang w:val="sr-Latn-ME"/>
        </w:rPr>
        <w:t>j</w:t>
      </w:r>
      <w:r w:rsidRPr="00B82EF7">
        <w:rPr>
          <w:rFonts w:asciiTheme="majorBidi" w:hAnsiTheme="majorBidi" w:cstheme="majorBidi"/>
          <w:sz w:val="22"/>
          <w:szCs w:val="22"/>
          <w:lang w:val="sr-Latn-ME"/>
        </w:rPr>
        <w:t xml:space="preserve">enjuje </w:t>
      </w:r>
      <w:r w:rsidRPr="00B82EF7">
        <w:rPr>
          <w:rFonts w:asciiTheme="majorBidi" w:hAnsiTheme="majorBidi" w:cstheme="majorBidi"/>
          <w:bCs/>
          <w:noProof/>
          <w:sz w:val="22"/>
          <w:szCs w:val="22"/>
          <w:lang w:val="sr-Latn-ME"/>
        </w:rPr>
        <w:t>naizm</w:t>
      </w:r>
      <w:r w:rsidR="00720B0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enično u l</w:t>
      </w:r>
      <w:r w:rsidR="00720B0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evi i desni anterolateralni ili posterolateralni d</w:t>
      </w:r>
      <w:r w:rsidR="00D90DFC" w:rsidRPr="00B82EF7">
        <w:rPr>
          <w:rFonts w:asciiTheme="majorBidi" w:hAnsiTheme="majorBidi" w:cstheme="majorBidi"/>
          <w:bCs/>
          <w:noProof/>
          <w:sz w:val="22"/>
          <w:szCs w:val="22"/>
          <w:lang w:val="sr-Latn-ME"/>
        </w:rPr>
        <w:t>i</w:t>
      </w:r>
      <w:r w:rsidRPr="00B82EF7">
        <w:rPr>
          <w:rFonts w:asciiTheme="majorBidi" w:hAnsiTheme="majorBidi" w:cstheme="majorBidi"/>
          <w:bCs/>
          <w:noProof/>
          <w:sz w:val="22"/>
          <w:szCs w:val="22"/>
          <w:lang w:val="sr-Latn-ME"/>
        </w:rPr>
        <w:t>o zida abdomena.</w:t>
      </w:r>
    </w:p>
    <w:p w14:paraId="36A9BA24" w14:textId="77777777" w:rsidR="00E5337D" w:rsidRPr="00B82EF7" w:rsidRDefault="00E5337D">
      <w:pPr>
        <w:ind w:left="284"/>
        <w:jc w:val="both"/>
        <w:rPr>
          <w:rFonts w:asciiTheme="majorBidi" w:hAnsiTheme="majorBidi" w:cstheme="majorBidi"/>
          <w:bCs/>
          <w:noProof/>
          <w:sz w:val="22"/>
          <w:szCs w:val="22"/>
          <w:lang w:val="sr-Latn-ME"/>
        </w:rPr>
      </w:pPr>
    </w:p>
    <w:p w14:paraId="174DA506" w14:textId="2856CAB3" w:rsidR="00DD7F82" w:rsidRPr="00B82EF7" w:rsidRDefault="00DD7F82">
      <w:pPr>
        <w:tabs>
          <w:tab w:val="left" w:pos="284"/>
        </w:tabs>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Igla treba da se uvede c</w:t>
      </w:r>
      <w:r w:rsidR="00D90DFC"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elom dužinom, vertikalno u nabor kože koji se lagano drži između palca i kažiprsta. Nabor kože se ne sm</w:t>
      </w:r>
      <w:r w:rsidR="00D90DFC"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osloboditi sve dok se ne završi davanje injekcije. Nemojte trljati m</w:t>
      </w:r>
      <w:r w:rsidR="0034791E"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esto prim</w:t>
      </w:r>
      <w:r w:rsidR="00D90DFC"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ene injekcije nakon prim</w:t>
      </w:r>
      <w:r w:rsidR="00D90DFC"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ene.</w:t>
      </w:r>
    </w:p>
    <w:p w14:paraId="24AB03C7" w14:textId="77777777" w:rsidR="00E5337D" w:rsidRPr="00B82EF7" w:rsidRDefault="00E5337D">
      <w:pPr>
        <w:tabs>
          <w:tab w:val="left" w:pos="284"/>
        </w:tabs>
        <w:ind w:left="284"/>
        <w:jc w:val="both"/>
        <w:rPr>
          <w:rFonts w:asciiTheme="majorBidi" w:hAnsiTheme="majorBidi" w:cstheme="majorBidi"/>
          <w:bCs/>
          <w:noProof/>
          <w:sz w:val="22"/>
          <w:szCs w:val="22"/>
          <w:lang w:val="sr-Latn-ME"/>
        </w:rPr>
      </w:pPr>
    </w:p>
    <w:p w14:paraId="18C0923A" w14:textId="15465208" w:rsidR="00DD7F82" w:rsidRPr="00B82EF7" w:rsidRDefault="00E5337D">
      <w:pPr>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Napomena za napunjene špriceve, opremljene automatskim bezbjedonosnim sistemom: </w:t>
      </w:r>
      <w:r w:rsidR="00E55532" w:rsidRPr="00B82EF7">
        <w:rPr>
          <w:rFonts w:asciiTheme="majorBidi" w:hAnsiTheme="majorBidi" w:cstheme="majorBidi"/>
          <w:bCs/>
          <w:noProof/>
          <w:sz w:val="22"/>
          <w:szCs w:val="22"/>
          <w:lang w:val="sr-Latn-ME"/>
        </w:rPr>
        <w:t xml:space="preserve">Bezbjednosni </w:t>
      </w:r>
      <w:r w:rsidR="00DD7F82" w:rsidRPr="00B82EF7">
        <w:rPr>
          <w:rFonts w:asciiTheme="majorBidi" w:hAnsiTheme="majorBidi" w:cstheme="majorBidi"/>
          <w:bCs/>
          <w:noProof/>
          <w:sz w:val="22"/>
          <w:szCs w:val="22"/>
          <w:lang w:val="sr-Latn-ME"/>
        </w:rPr>
        <w:t>sistem se aktivira na kraju injekcije</w:t>
      </w:r>
      <w:r w:rsidR="00D44C9D" w:rsidRPr="00B82EF7">
        <w:rPr>
          <w:rFonts w:asciiTheme="majorBidi" w:hAnsiTheme="majorBidi" w:cstheme="majorBidi"/>
          <w:bCs/>
          <w:noProof/>
          <w:sz w:val="22"/>
          <w:szCs w:val="22"/>
          <w:lang w:val="sr-Latn-ME"/>
        </w:rPr>
        <w:t xml:space="preserve"> (pogledati uputstva u dijelu 6.6)</w:t>
      </w:r>
      <w:r w:rsidR="00DD7F82" w:rsidRPr="00B82EF7">
        <w:rPr>
          <w:rFonts w:asciiTheme="majorBidi" w:hAnsiTheme="majorBidi" w:cstheme="majorBidi"/>
          <w:bCs/>
          <w:noProof/>
          <w:sz w:val="22"/>
          <w:szCs w:val="22"/>
          <w:lang w:val="sr-Latn-ME"/>
        </w:rPr>
        <w:t>.</w:t>
      </w:r>
    </w:p>
    <w:p w14:paraId="1709E75D" w14:textId="77777777" w:rsidR="00E5337D" w:rsidRPr="00B82EF7" w:rsidRDefault="00E5337D">
      <w:pPr>
        <w:ind w:left="284"/>
        <w:jc w:val="both"/>
        <w:rPr>
          <w:rFonts w:asciiTheme="majorBidi" w:hAnsiTheme="majorBidi" w:cstheme="majorBidi"/>
          <w:bCs/>
          <w:noProof/>
          <w:sz w:val="22"/>
          <w:szCs w:val="22"/>
          <w:lang w:val="sr-Latn-ME"/>
        </w:rPr>
      </w:pPr>
    </w:p>
    <w:p w14:paraId="2EB673A4" w14:textId="77777777" w:rsidR="00DD7F82" w:rsidRPr="00B82EF7" w:rsidRDefault="00DD7F82">
      <w:pPr>
        <w:ind w:left="284"/>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U slučaju samostalne prim</w:t>
      </w:r>
      <w:r w:rsidR="0034791E"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ene od strane pacijenta, treba </w:t>
      </w:r>
      <w:r w:rsidR="00DA5F28" w:rsidRPr="00B82EF7">
        <w:rPr>
          <w:rFonts w:asciiTheme="majorBidi" w:hAnsiTheme="majorBidi" w:cstheme="majorBidi"/>
          <w:bCs/>
          <w:noProof/>
          <w:sz w:val="22"/>
          <w:szCs w:val="22"/>
          <w:lang w:val="sr-Latn-ME"/>
        </w:rPr>
        <w:t xml:space="preserve">ga </w:t>
      </w:r>
      <w:r w:rsidRPr="00B82EF7">
        <w:rPr>
          <w:rFonts w:asciiTheme="majorBidi" w:hAnsiTheme="majorBidi" w:cstheme="majorBidi"/>
          <w:bCs/>
          <w:noProof/>
          <w:sz w:val="22"/>
          <w:szCs w:val="22"/>
          <w:lang w:val="sr-Latn-ME"/>
        </w:rPr>
        <w:t>sav</w:t>
      </w:r>
      <w:r w:rsidR="00695DF4"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etovati da prati uputstva navedena u Uputstvu za l</w:t>
      </w:r>
      <w:r w:rsidR="0034791E"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 koje se nalazi u pakovanju ovog l</w:t>
      </w:r>
      <w:r w:rsidR="0034791E"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eka.</w:t>
      </w:r>
    </w:p>
    <w:p w14:paraId="287F39BD" w14:textId="77777777" w:rsidR="00DD7F82" w:rsidRPr="00B82EF7" w:rsidRDefault="00DD7F82">
      <w:pPr>
        <w:ind w:left="284" w:hanging="360"/>
        <w:jc w:val="both"/>
        <w:rPr>
          <w:rFonts w:asciiTheme="majorBidi" w:hAnsiTheme="majorBidi" w:cstheme="majorBidi"/>
          <w:bCs/>
          <w:noProof/>
          <w:sz w:val="22"/>
          <w:szCs w:val="22"/>
          <w:lang w:val="sr-Latn-ME"/>
        </w:rPr>
      </w:pPr>
    </w:p>
    <w:p w14:paraId="33D6D55D" w14:textId="61E82889" w:rsidR="00DD7F82" w:rsidRPr="00B82EF7" w:rsidRDefault="00E55532">
      <w:pPr>
        <w:numPr>
          <w:ilvl w:val="0"/>
          <w:numId w:val="18"/>
        </w:numPr>
        <w:ind w:left="360" w:hanging="76"/>
        <w:contextualSpacing/>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I</w:t>
      </w:r>
      <w:r w:rsidR="00DD7F82" w:rsidRPr="00B82EF7">
        <w:rPr>
          <w:rFonts w:asciiTheme="majorBidi" w:hAnsiTheme="majorBidi" w:cstheme="majorBidi"/>
          <w:bCs/>
          <w:noProof/>
          <w:sz w:val="22"/>
          <w:szCs w:val="22"/>
          <w:u w:val="single"/>
          <w:lang w:val="sr-Latn-ME"/>
        </w:rPr>
        <w:t>ntravensk</w:t>
      </w:r>
      <w:r w:rsidRPr="00B82EF7">
        <w:rPr>
          <w:rFonts w:asciiTheme="majorBidi" w:hAnsiTheme="majorBidi" w:cstheme="majorBidi"/>
          <w:bCs/>
          <w:noProof/>
          <w:sz w:val="22"/>
          <w:szCs w:val="22"/>
          <w:u w:val="single"/>
          <w:lang w:val="sr-Latn-ME"/>
        </w:rPr>
        <w:t>a</w:t>
      </w:r>
      <w:r w:rsidR="00DD7F82" w:rsidRPr="00B82EF7">
        <w:rPr>
          <w:rFonts w:asciiTheme="majorBidi" w:hAnsiTheme="majorBidi" w:cstheme="majorBidi"/>
          <w:bCs/>
          <w:noProof/>
          <w:sz w:val="22"/>
          <w:szCs w:val="22"/>
          <w:u w:val="single"/>
          <w:lang w:val="sr-Latn-ME"/>
        </w:rPr>
        <w:t xml:space="preserve"> (bolus) injekcij</w:t>
      </w:r>
      <w:r w:rsidR="00190DAA" w:rsidRPr="00B82EF7">
        <w:rPr>
          <w:rFonts w:asciiTheme="majorBidi" w:hAnsiTheme="majorBidi" w:cstheme="majorBidi"/>
          <w:bCs/>
          <w:noProof/>
          <w:sz w:val="22"/>
          <w:szCs w:val="22"/>
          <w:u w:val="single"/>
          <w:lang w:val="sr-Latn-ME"/>
        </w:rPr>
        <w:t>a</w:t>
      </w:r>
      <w:r w:rsidR="00DD7F82" w:rsidRPr="00B82EF7">
        <w:rPr>
          <w:rFonts w:asciiTheme="majorBidi" w:hAnsiTheme="majorBidi" w:cstheme="majorBidi"/>
          <w:bCs/>
          <w:noProof/>
          <w:sz w:val="22"/>
          <w:szCs w:val="22"/>
          <w:u w:val="single"/>
          <w:lang w:val="sr-Latn-ME"/>
        </w:rPr>
        <w:t xml:space="preserve"> (samo kod indikacije akutnog STEMI):</w:t>
      </w:r>
    </w:p>
    <w:p w14:paraId="53C4121F" w14:textId="0B56AADC" w:rsidR="00DD7F82" w:rsidRPr="00B82EF7" w:rsidRDefault="00E55532">
      <w:pPr>
        <w:ind w:left="45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Kod</w:t>
      </w:r>
      <w:r w:rsidR="00DD7F82" w:rsidRPr="00B82EF7">
        <w:rPr>
          <w:rFonts w:asciiTheme="majorBidi" w:hAnsiTheme="majorBidi" w:cstheme="majorBidi"/>
          <w:bCs/>
          <w:noProof/>
          <w:sz w:val="22"/>
          <w:szCs w:val="22"/>
          <w:lang w:val="sr-Latn-ME"/>
        </w:rPr>
        <w:t xml:space="preserve"> akutn</w:t>
      </w:r>
      <w:r w:rsidRPr="00B82EF7">
        <w:rPr>
          <w:rFonts w:asciiTheme="majorBidi" w:hAnsiTheme="majorBidi" w:cstheme="majorBidi"/>
          <w:bCs/>
          <w:noProof/>
          <w:sz w:val="22"/>
          <w:szCs w:val="22"/>
          <w:lang w:val="sr-Latn-ME"/>
        </w:rPr>
        <w:t>og</w:t>
      </w:r>
      <w:r w:rsidR="00DD7F82" w:rsidRPr="00B82EF7">
        <w:rPr>
          <w:rFonts w:asciiTheme="majorBidi" w:hAnsiTheme="majorBidi" w:cstheme="majorBidi"/>
          <w:bCs/>
          <w:noProof/>
          <w:sz w:val="22"/>
          <w:szCs w:val="22"/>
          <w:lang w:val="sr-Latn-ME"/>
        </w:rPr>
        <w:t xml:space="preserve"> STEMI</w:t>
      </w:r>
      <w:r w:rsidRPr="00B82EF7">
        <w:rPr>
          <w:rFonts w:asciiTheme="majorBidi" w:hAnsiTheme="majorBidi" w:cstheme="majorBidi"/>
          <w:bCs/>
          <w:noProof/>
          <w:sz w:val="22"/>
          <w:szCs w:val="22"/>
          <w:lang w:val="sr-Latn-ME"/>
        </w:rPr>
        <w:t>-ja</w:t>
      </w:r>
      <w:r w:rsidR="00DD7F82" w:rsidRPr="00B82EF7">
        <w:rPr>
          <w:rFonts w:asciiTheme="majorBidi" w:hAnsiTheme="majorBidi" w:cstheme="majorBidi"/>
          <w:bCs/>
          <w:noProof/>
          <w:sz w:val="22"/>
          <w:szCs w:val="22"/>
          <w:lang w:val="sr-Latn-ME"/>
        </w:rPr>
        <w:t>, terapiju treba treba započeti jednom i.v. bolus injekcijom nakon čega odmah sl</w:t>
      </w:r>
      <w:r w:rsidR="00DA5F28"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edi s.c. injekcija.</w:t>
      </w:r>
    </w:p>
    <w:p w14:paraId="7FC0E240" w14:textId="77777777" w:rsidR="00DD7F82" w:rsidRPr="00B82EF7" w:rsidRDefault="00DA5F28">
      <w:pPr>
        <w:ind w:left="45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Enoksaparin </w:t>
      </w:r>
      <w:r w:rsidR="00DD7F82" w:rsidRPr="00B82EF7">
        <w:rPr>
          <w:rFonts w:asciiTheme="majorBidi" w:hAnsiTheme="majorBidi" w:cstheme="majorBidi"/>
          <w:bCs/>
          <w:noProof/>
          <w:sz w:val="22"/>
          <w:szCs w:val="22"/>
          <w:lang w:val="sr-Latn-ME"/>
        </w:rPr>
        <w:t>natrijum treba prim</w:t>
      </w:r>
      <w:r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enit</w:t>
      </w:r>
      <w:r w:rsidRPr="00B82EF7">
        <w:rPr>
          <w:rFonts w:asciiTheme="majorBidi" w:hAnsiTheme="majorBidi" w:cstheme="majorBidi"/>
          <w:bCs/>
          <w:noProof/>
          <w:sz w:val="22"/>
          <w:szCs w:val="22"/>
          <w:lang w:val="sr-Latn-ME"/>
        </w:rPr>
        <w:t xml:space="preserve">i kroz i.v. liniju. Enoksaparin </w:t>
      </w:r>
      <w:r w:rsidR="00DD7F82" w:rsidRPr="00B82EF7">
        <w:rPr>
          <w:rFonts w:asciiTheme="majorBidi" w:hAnsiTheme="majorBidi" w:cstheme="majorBidi"/>
          <w:bCs/>
          <w:noProof/>
          <w:sz w:val="22"/>
          <w:szCs w:val="22"/>
          <w:lang w:val="sr-Latn-ME"/>
        </w:rPr>
        <w:t>natrijum se ne sm</w:t>
      </w:r>
      <w:r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 m</w:t>
      </w:r>
      <w:r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ešati ili istovremeno prim</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enjivati sa drugim l</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ekovima. Kako bi se izb</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eglo moguće m</w:t>
      </w:r>
      <w:r w:rsidR="00DE758E"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ešanje enoksaparin</w:t>
      </w:r>
      <w:r w:rsidR="00DE758E" w:rsidRPr="00B82EF7">
        <w:rPr>
          <w:rFonts w:asciiTheme="majorBidi" w:hAnsiTheme="majorBidi" w:cstheme="majorBidi"/>
          <w:bCs/>
          <w:noProof/>
          <w:sz w:val="22"/>
          <w:szCs w:val="22"/>
          <w:lang w:val="sr-Latn-ME"/>
        </w:rPr>
        <w:t xml:space="preserve"> </w:t>
      </w:r>
      <w:r w:rsidR="00DD7F82" w:rsidRPr="00B82EF7">
        <w:rPr>
          <w:rFonts w:asciiTheme="majorBidi" w:hAnsiTheme="majorBidi" w:cstheme="majorBidi"/>
          <w:bCs/>
          <w:noProof/>
          <w:sz w:val="22"/>
          <w:szCs w:val="22"/>
          <w:lang w:val="sr-Latn-ME"/>
        </w:rPr>
        <w:t>natrijuma sa drugim l</w:t>
      </w:r>
      <w:r w:rsidR="00DE758E"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ekovima, odabrani i.v. pristup treba isprati dovoljnom količinom fiziološkog rastvora ili rastvora dekstroze pr</w:t>
      </w:r>
      <w:r w:rsidR="00DE758E"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e i nakon i.v. bolus prim</w:t>
      </w:r>
      <w:r w:rsidR="00DE758E" w:rsidRPr="00B82EF7">
        <w:rPr>
          <w:rFonts w:asciiTheme="majorBidi" w:hAnsiTheme="majorBidi" w:cstheme="majorBidi"/>
          <w:bCs/>
          <w:noProof/>
          <w:sz w:val="22"/>
          <w:szCs w:val="22"/>
          <w:lang w:val="sr-Latn-ME"/>
        </w:rPr>
        <w:t xml:space="preserve">jene enoksaparin </w:t>
      </w:r>
      <w:r w:rsidR="00DD7F82" w:rsidRPr="00B82EF7">
        <w:rPr>
          <w:rFonts w:asciiTheme="majorBidi" w:hAnsiTheme="majorBidi" w:cstheme="majorBidi"/>
          <w:bCs/>
          <w:noProof/>
          <w:sz w:val="22"/>
          <w:szCs w:val="22"/>
          <w:lang w:val="sr-Latn-ME"/>
        </w:rPr>
        <w:t>natrijuma kako bi se očistio port od l</w:t>
      </w:r>
      <w:r w:rsidR="00DE758E" w:rsidRPr="00B82EF7">
        <w:rPr>
          <w:rFonts w:asciiTheme="majorBidi" w:hAnsiTheme="majorBidi" w:cstheme="majorBidi"/>
          <w:bCs/>
          <w:noProof/>
          <w:sz w:val="22"/>
          <w:szCs w:val="22"/>
          <w:lang w:val="sr-Latn-ME"/>
        </w:rPr>
        <w:t xml:space="preserve">ijeka. Enoksaparin </w:t>
      </w:r>
      <w:r w:rsidR="00DD7F82" w:rsidRPr="00B82EF7">
        <w:rPr>
          <w:rFonts w:asciiTheme="majorBidi" w:hAnsiTheme="majorBidi" w:cstheme="majorBidi"/>
          <w:bCs/>
          <w:noProof/>
          <w:sz w:val="22"/>
          <w:szCs w:val="22"/>
          <w:lang w:val="sr-Latn-ME"/>
        </w:rPr>
        <w:t>natrijum se može bezb</w:t>
      </w:r>
      <w:r w:rsidR="00DE758E"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edno prim</w:t>
      </w:r>
      <w:r w:rsidR="00DE758E"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enjivati sa normalnim fiziološkim rastvorom (0,9%) ili 5% rastvorom dekstroze u vodi.</w:t>
      </w:r>
    </w:p>
    <w:p w14:paraId="25B49E6C" w14:textId="77777777" w:rsidR="00DD7F82" w:rsidRPr="00B82EF7" w:rsidRDefault="00DD7F82" w:rsidP="00F131CD">
      <w:pPr>
        <w:numPr>
          <w:ilvl w:val="0"/>
          <w:numId w:val="19"/>
        </w:numPr>
        <w:tabs>
          <w:tab w:val="left" w:pos="284"/>
        </w:tabs>
        <w:ind w:left="426" w:firstLine="0"/>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Inicijalni bolus od 3000 i.j. (30 mg)</w:t>
      </w:r>
    </w:p>
    <w:p w14:paraId="1D2E61BD" w14:textId="77777777" w:rsidR="00DD7F82" w:rsidRPr="00B82EF7" w:rsidRDefault="00DE758E">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inicijalni bolus od 3</w:t>
      </w:r>
      <w:r w:rsidR="00DD7F82" w:rsidRPr="00B82EF7">
        <w:rPr>
          <w:rFonts w:asciiTheme="majorBidi" w:hAnsiTheme="majorBidi" w:cstheme="majorBidi"/>
          <w:bCs/>
          <w:noProof/>
          <w:sz w:val="22"/>
          <w:szCs w:val="22"/>
          <w:lang w:val="sr-Latn-ME"/>
        </w:rPr>
        <w:t>000 i.j. (30 mg), koristeći graduisani špric</w:t>
      </w:r>
      <w:r w:rsidRPr="00B82EF7">
        <w:rPr>
          <w:rFonts w:asciiTheme="majorBidi" w:hAnsiTheme="majorBidi" w:cstheme="majorBidi"/>
          <w:bCs/>
          <w:noProof/>
          <w:sz w:val="22"/>
          <w:szCs w:val="22"/>
          <w:lang w:val="sr-Latn-ME"/>
        </w:rPr>
        <w:t xml:space="preserve"> prethodno napunjen enoksaparin </w:t>
      </w:r>
      <w:r w:rsidR="00DD7F82" w:rsidRPr="00B82EF7">
        <w:rPr>
          <w:rFonts w:asciiTheme="majorBidi" w:hAnsiTheme="majorBidi" w:cstheme="majorBidi"/>
          <w:bCs/>
          <w:noProof/>
          <w:sz w:val="22"/>
          <w:szCs w:val="22"/>
          <w:lang w:val="sr-Latn-ME"/>
        </w:rPr>
        <w:t>natrijumom, izbaciti prekom</w:t>
      </w:r>
      <w:r w:rsidRPr="00B82EF7">
        <w:rPr>
          <w:rFonts w:asciiTheme="majorBidi" w:hAnsiTheme="majorBidi" w:cstheme="majorBidi"/>
          <w:bCs/>
          <w:noProof/>
          <w:sz w:val="22"/>
          <w:szCs w:val="22"/>
          <w:lang w:val="sr-Latn-ME"/>
        </w:rPr>
        <w:t>j</w:t>
      </w:r>
      <w:r w:rsidR="00DD7F82" w:rsidRPr="00B82EF7">
        <w:rPr>
          <w:rFonts w:asciiTheme="majorBidi" w:hAnsiTheme="majorBidi" w:cstheme="majorBidi"/>
          <w:bCs/>
          <w:noProof/>
          <w:sz w:val="22"/>
          <w:szCs w:val="22"/>
          <w:lang w:val="sr-Latn-ME"/>
        </w:rPr>
        <w:t xml:space="preserve">ernu zapreminu da ostane samo </w:t>
      </w:r>
      <w:r w:rsidRPr="00B82EF7">
        <w:rPr>
          <w:rFonts w:asciiTheme="majorBidi" w:hAnsiTheme="majorBidi" w:cstheme="majorBidi"/>
          <w:bCs/>
          <w:noProof/>
          <w:sz w:val="22"/>
          <w:szCs w:val="22"/>
          <w:lang w:val="sr-Latn-ME"/>
        </w:rPr>
        <w:t>3000</w:t>
      </w:r>
      <w:r w:rsidR="00DD7F82" w:rsidRPr="00B82EF7">
        <w:rPr>
          <w:rFonts w:asciiTheme="majorBidi" w:hAnsiTheme="majorBidi" w:cstheme="majorBidi"/>
          <w:bCs/>
          <w:noProof/>
          <w:sz w:val="22"/>
          <w:szCs w:val="22"/>
          <w:lang w:val="sr-Latn-ME"/>
        </w:rPr>
        <w:t xml:space="preserve"> i.j. (30 mg) u špricu. Doza od </w:t>
      </w:r>
      <w:r w:rsidRPr="00B82EF7">
        <w:rPr>
          <w:rFonts w:asciiTheme="majorBidi" w:hAnsiTheme="majorBidi" w:cstheme="majorBidi"/>
          <w:bCs/>
          <w:noProof/>
          <w:sz w:val="22"/>
          <w:szCs w:val="22"/>
          <w:lang w:val="sr-Latn-ME"/>
        </w:rPr>
        <w:t>3000</w:t>
      </w:r>
      <w:r w:rsidR="00DD7F82" w:rsidRPr="00B82EF7">
        <w:rPr>
          <w:rFonts w:asciiTheme="majorBidi" w:hAnsiTheme="majorBidi" w:cstheme="majorBidi"/>
          <w:bCs/>
          <w:noProof/>
          <w:sz w:val="22"/>
          <w:szCs w:val="22"/>
          <w:lang w:val="sr-Latn-ME"/>
        </w:rPr>
        <w:t xml:space="preserve"> i.j. (30 mg) se može zatim ubrizgati direktno u i.v. liniju.</w:t>
      </w:r>
    </w:p>
    <w:p w14:paraId="17685499" w14:textId="77777777" w:rsidR="00DD7F82" w:rsidRPr="00B82EF7" w:rsidRDefault="00DD7F82" w:rsidP="00F131CD">
      <w:pPr>
        <w:numPr>
          <w:ilvl w:val="0"/>
          <w:numId w:val="19"/>
        </w:numPr>
        <w:tabs>
          <w:tab w:val="left" w:pos="284"/>
        </w:tabs>
        <w:ind w:left="425" w:firstLine="0"/>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Dodatni bolus za PCI kada je posl</w:t>
      </w:r>
      <w:r w:rsidR="00DE758E" w:rsidRPr="00B82EF7">
        <w:rPr>
          <w:rFonts w:asciiTheme="majorBidi" w:hAnsiTheme="majorBidi" w:cstheme="majorBidi"/>
          <w:bCs/>
          <w:noProof/>
          <w:sz w:val="22"/>
          <w:szCs w:val="22"/>
          <w:u w:val="single"/>
          <w:lang w:val="sr-Latn-ME"/>
        </w:rPr>
        <w:t>j</w:t>
      </w:r>
      <w:r w:rsidRPr="00B82EF7">
        <w:rPr>
          <w:rFonts w:asciiTheme="majorBidi" w:hAnsiTheme="majorBidi" w:cstheme="majorBidi"/>
          <w:bCs/>
          <w:noProof/>
          <w:sz w:val="22"/>
          <w:szCs w:val="22"/>
          <w:u w:val="single"/>
          <w:lang w:val="sr-Latn-ME"/>
        </w:rPr>
        <w:t>ednja s.c. doza prim</w:t>
      </w:r>
      <w:r w:rsidR="00DE758E" w:rsidRPr="00B82EF7">
        <w:rPr>
          <w:rFonts w:asciiTheme="majorBidi" w:hAnsiTheme="majorBidi" w:cstheme="majorBidi"/>
          <w:bCs/>
          <w:noProof/>
          <w:sz w:val="22"/>
          <w:szCs w:val="22"/>
          <w:u w:val="single"/>
          <w:lang w:val="sr-Latn-ME"/>
        </w:rPr>
        <w:t>ij</w:t>
      </w:r>
      <w:r w:rsidRPr="00B82EF7">
        <w:rPr>
          <w:rFonts w:asciiTheme="majorBidi" w:hAnsiTheme="majorBidi" w:cstheme="majorBidi"/>
          <w:bCs/>
          <w:noProof/>
          <w:sz w:val="22"/>
          <w:szCs w:val="22"/>
          <w:u w:val="single"/>
          <w:lang w:val="sr-Latn-ME"/>
        </w:rPr>
        <w:t>enjena više od 8 sati pr</w:t>
      </w:r>
      <w:r w:rsidR="00DE758E" w:rsidRPr="00B82EF7">
        <w:rPr>
          <w:rFonts w:asciiTheme="majorBidi" w:hAnsiTheme="majorBidi" w:cstheme="majorBidi"/>
          <w:bCs/>
          <w:noProof/>
          <w:sz w:val="22"/>
          <w:szCs w:val="22"/>
          <w:u w:val="single"/>
          <w:lang w:val="sr-Latn-ME"/>
        </w:rPr>
        <w:t>ij</w:t>
      </w:r>
      <w:r w:rsidRPr="00B82EF7">
        <w:rPr>
          <w:rFonts w:asciiTheme="majorBidi" w:hAnsiTheme="majorBidi" w:cstheme="majorBidi"/>
          <w:bCs/>
          <w:noProof/>
          <w:sz w:val="22"/>
          <w:szCs w:val="22"/>
          <w:u w:val="single"/>
          <w:lang w:val="sr-Latn-ME"/>
        </w:rPr>
        <w:t>e balon dilatacije</w:t>
      </w:r>
      <w:r w:rsidR="00DE758E" w:rsidRPr="00B82EF7">
        <w:rPr>
          <w:rFonts w:asciiTheme="majorBidi" w:hAnsiTheme="majorBidi" w:cstheme="majorBidi"/>
          <w:bCs/>
          <w:noProof/>
          <w:sz w:val="22"/>
          <w:szCs w:val="22"/>
          <w:u w:val="single"/>
          <w:lang w:val="sr-Latn-ME"/>
        </w:rPr>
        <w:t>.</w:t>
      </w:r>
    </w:p>
    <w:p w14:paraId="18822942" w14:textId="77777777" w:rsidR="00DD7F82" w:rsidRPr="00B82EF7" w:rsidRDefault="00DD7F82">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pacijente koji su podvrgnuti perkutanoj koronarnoj intervenciji (PCI), treba dati dodatni i.v. bolus od 30 i.j./kg (0,3 mg/kg) ako je posl</w:t>
      </w:r>
      <w:r w:rsidR="00DE758E"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ednja s.c. doza prim</w:t>
      </w:r>
      <w:r w:rsidR="00DE758E"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enjena više od 8 sati pr</w:t>
      </w:r>
      <w:r w:rsidR="00DE758E"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balon dilatacije.</w:t>
      </w:r>
    </w:p>
    <w:p w14:paraId="54757AE1" w14:textId="77777777" w:rsidR="00DD7F82" w:rsidRPr="00B82EF7" w:rsidRDefault="00DD7F82">
      <w:pPr>
        <w:ind w:left="425"/>
        <w:jc w:val="both"/>
        <w:rPr>
          <w:rFonts w:asciiTheme="majorBidi" w:hAnsiTheme="majorBidi" w:cstheme="majorBidi"/>
          <w:bCs/>
          <w:noProof/>
          <w:sz w:val="22"/>
          <w:szCs w:val="22"/>
          <w:lang w:val="sr-Latn-ME"/>
        </w:rPr>
      </w:pPr>
    </w:p>
    <w:p w14:paraId="39F7E287" w14:textId="34B127B0" w:rsidR="00DD7F82" w:rsidRPr="00B82EF7" w:rsidRDefault="00DD7F82">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Da bi se </w:t>
      </w:r>
      <w:r w:rsidR="00E55532" w:rsidRPr="00B82EF7">
        <w:rPr>
          <w:rFonts w:asciiTheme="majorBidi" w:hAnsiTheme="majorBidi" w:cstheme="majorBidi"/>
          <w:bCs/>
          <w:noProof/>
          <w:sz w:val="22"/>
          <w:szCs w:val="22"/>
          <w:lang w:val="sr-Latn-ME"/>
        </w:rPr>
        <w:t>obezb</w:t>
      </w:r>
      <w:r w:rsidR="00410EA3" w:rsidRPr="00B82EF7">
        <w:rPr>
          <w:rFonts w:asciiTheme="majorBidi" w:hAnsiTheme="majorBidi" w:cstheme="majorBidi"/>
          <w:bCs/>
          <w:noProof/>
          <w:sz w:val="22"/>
          <w:szCs w:val="22"/>
          <w:lang w:val="sr-Latn-ME"/>
        </w:rPr>
        <w:t>i</w:t>
      </w:r>
      <w:r w:rsidR="00E55532" w:rsidRPr="00B82EF7">
        <w:rPr>
          <w:rFonts w:asciiTheme="majorBidi" w:hAnsiTheme="majorBidi" w:cstheme="majorBidi"/>
          <w:bCs/>
          <w:noProof/>
          <w:sz w:val="22"/>
          <w:szCs w:val="22"/>
          <w:lang w:val="sr-Latn-ME"/>
        </w:rPr>
        <w:t xml:space="preserve">jedila </w:t>
      </w:r>
      <w:r w:rsidRPr="00B82EF7">
        <w:rPr>
          <w:rFonts w:asciiTheme="majorBidi" w:hAnsiTheme="majorBidi" w:cstheme="majorBidi"/>
          <w:bCs/>
          <w:noProof/>
          <w:sz w:val="22"/>
          <w:szCs w:val="22"/>
          <w:lang w:val="sr-Latn-ME"/>
        </w:rPr>
        <w:t>tačnost prim</w:t>
      </w:r>
      <w:r w:rsidR="00A36E3E"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ene male zapremine koja treba da se ubrizga, preporučuje se da se l</w:t>
      </w:r>
      <w:r w:rsidR="00A36E3E"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 razblaži do 300 i.j./</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(3 mg/</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w:t>
      </w:r>
    </w:p>
    <w:p w14:paraId="75BA383F" w14:textId="77777777" w:rsidR="00DD7F82" w:rsidRPr="00B82EF7" w:rsidRDefault="00DD7F82">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Da bi se dobio rastvor koncentracije 300 i.j./</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(3 mg/</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koristeći</w:t>
      </w:r>
      <w:r w:rsidR="00A36E3E" w:rsidRPr="00B82EF7">
        <w:rPr>
          <w:rFonts w:asciiTheme="majorBidi" w:hAnsiTheme="majorBidi" w:cstheme="majorBidi"/>
          <w:bCs/>
          <w:noProof/>
          <w:sz w:val="22"/>
          <w:szCs w:val="22"/>
          <w:lang w:val="sr-Latn-ME"/>
        </w:rPr>
        <w:t xml:space="preserve"> prethodno napunjeni špric sa 6000 i.j. (60 mg) enoksaparin </w:t>
      </w:r>
      <w:r w:rsidRPr="00B82EF7">
        <w:rPr>
          <w:rFonts w:asciiTheme="majorBidi" w:hAnsiTheme="majorBidi" w:cstheme="majorBidi"/>
          <w:bCs/>
          <w:noProof/>
          <w:sz w:val="22"/>
          <w:szCs w:val="22"/>
          <w:lang w:val="sr-Latn-ME"/>
        </w:rPr>
        <w:t xml:space="preserve">natrijuma, preporučuje se upotreba kese za infuziju od 50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(npr. sa normalnim fiziološkim rastvorom (0,9%) ili 5% rastvorom dekstroze u vodi) na sl</w:t>
      </w:r>
      <w:r w:rsidR="00A36E3E"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edeći način:</w:t>
      </w:r>
    </w:p>
    <w:p w14:paraId="040CB59D" w14:textId="4A070CD7" w:rsidR="00DD7F82" w:rsidRPr="00B82EF7" w:rsidRDefault="00DD7F82">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Izvucite 30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tečnosti iz kese za infuziju špricem i odbacite tečnost. Ubrizgajte kompletan sadržaj napunjenog injekcionog šprica sa 6</w:t>
      </w:r>
      <w:r w:rsidR="009303F7" w:rsidRPr="00B82EF7">
        <w:rPr>
          <w:rFonts w:asciiTheme="majorBidi" w:hAnsiTheme="majorBidi" w:cstheme="majorBidi"/>
          <w:bCs/>
          <w:noProof/>
          <w:sz w:val="22"/>
          <w:szCs w:val="22"/>
          <w:lang w:val="sr-Latn-ME"/>
        </w:rPr>
        <w:t xml:space="preserve">000 i.j. (60 mg) enoksaparin </w:t>
      </w:r>
      <w:r w:rsidRPr="00B82EF7">
        <w:rPr>
          <w:rFonts w:asciiTheme="majorBidi" w:hAnsiTheme="majorBidi" w:cstheme="majorBidi"/>
          <w:bCs/>
          <w:noProof/>
          <w:sz w:val="22"/>
          <w:szCs w:val="22"/>
          <w:lang w:val="sr-Latn-ME"/>
        </w:rPr>
        <w:t xml:space="preserve">natrijuma u preostalih 20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u kesi za infuziju. Blago prom</w:t>
      </w:r>
      <w:r w:rsidR="009303F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ešajte sadržaj kese. </w:t>
      </w:r>
      <w:r w:rsidR="00C36CDC" w:rsidRPr="00B82EF7">
        <w:rPr>
          <w:rFonts w:asciiTheme="majorBidi" w:hAnsiTheme="majorBidi" w:cstheme="majorBidi"/>
          <w:bCs/>
          <w:noProof/>
          <w:sz w:val="22"/>
          <w:szCs w:val="22"/>
          <w:lang w:val="sr-Latn-ME"/>
        </w:rPr>
        <w:t>Špricem i</w:t>
      </w:r>
      <w:r w:rsidRPr="00B82EF7">
        <w:rPr>
          <w:rFonts w:asciiTheme="majorBidi" w:hAnsiTheme="majorBidi" w:cstheme="majorBidi"/>
          <w:bCs/>
          <w:noProof/>
          <w:sz w:val="22"/>
          <w:szCs w:val="22"/>
          <w:lang w:val="sr-Latn-ME"/>
        </w:rPr>
        <w:t xml:space="preserve">zvucite potrebnu količinu razblaženog rastvora </w:t>
      </w:r>
      <w:r w:rsidR="00C36CDC" w:rsidRPr="00B82EF7">
        <w:rPr>
          <w:rFonts w:asciiTheme="majorBidi" w:hAnsiTheme="majorBidi" w:cstheme="majorBidi"/>
          <w:bCs/>
          <w:noProof/>
          <w:sz w:val="22"/>
          <w:szCs w:val="22"/>
          <w:lang w:val="sr-Latn-ME"/>
        </w:rPr>
        <w:t>za primjenu</w:t>
      </w:r>
      <w:r w:rsidRPr="00B82EF7">
        <w:rPr>
          <w:rFonts w:asciiTheme="majorBidi" w:hAnsiTheme="majorBidi" w:cstheme="majorBidi"/>
          <w:bCs/>
          <w:noProof/>
          <w:sz w:val="22"/>
          <w:szCs w:val="22"/>
          <w:lang w:val="sr-Latn-ME"/>
        </w:rPr>
        <w:t xml:space="preserve"> u i.v. liniju.</w:t>
      </w:r>
    </w:p>
    <w:p w14:paraId="769FEAB9" w14:textId="77777777" w:rsidR="009303F7" w:rsidRPr="00B82EF7" w:rsidRDefault="009303F7">
      <w:pPr>
        <w:ind w:left="425"/>
        <w:jc w:val="both"/>
        <w:rPr>
          <w:rFonts w:asciiTheme="majorBidi" w:hAnsiTheme="majorBidi" w:cstheme="majorBidi"/>
          <w:bCs/>
          <w:noProof/>
          <w:sz w:val="22"/>
          <w:szCs w:val="22"/>
          <w:lang w:val="sr-Latn-ME"/>
        </w:rPr>
      </w:pPr>
    </w:p>
    <w:p w14:paraId="6FFCBF3A" w14:textId="2743F565" w:rsidR="00DD7F82" w:rsidRPr="00B82EF7" w:rsidRDefault="00DD7F82">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Po završetku razblaživanja, zapremina za ubrizgavanje može se izračunati prema sl</w:t>
      </w:r>
      <w:r w:rsidR="009303F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edećoj formuli [zapremina razblaženog rastvora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 t</w:t>
      </w:r>
      <w:r w:rsidR="009303F7"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elesna masa pacijenta (kg) x 0,1] ili pomoću tabele u nastavku. Preporučuje se da </w:t>
      </w:r>
      <w:r w:rsidR="004968CE" w:rsidRPr="00B82EF7">
        <w:rPr>
          <w:rFonts w:asciiTheme="majorBidi" w:hAnsiTheme="majorBidi" w:cstheme="majorBidi"/>
          <w:bCs/>
          <w:noProof/>
          <w:sz w:val="22"/>
          <w:szCs w:val="22"/>
          <w:lang w:val="sr-Latn-ME"/>
        </w:rPr>
        <w:t xml:space="preserve">se </w:t>
      </w:r>
      <w:r w:rsidRPr="00B82EF7">
        <w:rPr>
          <w:rFonts w:asciiTheme="majorBidi" w:hAnsiTheme="majorBidi" w:cstheme="majorBidi"/>
          <w:bCs/>
          <w:noProof/>
          <w:sz w:val="22"/>
          <w:szCs w:val="22"/>
          <w:lang w:val="sr-Latn-ME"/>
        </w:rPr>
        <w:t>razblaženi rastvor pripremi neposredno pr</w:t>
      </w:r>
      <w:r w:rsidR="009303F7"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upotrebe.</w:t>
      </w:r>
    </w:p>
    <w:p w14:paraId="4E41165F" w14:textId="77777777" w:rsidR="005D1FF0" w:rsidRPr="00B82EF7" w:rsidRDefault="005D1FF0">
      <w:pPr>
        <w:ind w:left="425"/>
        <w:jc w:val="both"/>
        <w:rPr>
          <w:rFonts w:asciiTheme="majorBidi" w:hAnsiTheme="majorBidi" w:cstheme="majorBidi"/>
          <w:bCs/>
          <w:noProof/>
          <w:sz w:val="22"/>
          <w:szCs w:val="22"/>
          <w:lang w:val="sr-Latn-ME"/>
        </w:rPr>
      </w:pPr>
    </w:p>
    <w:p w14:paraId="32040F8E" w14:textId="0B847032" w:rsidR="005D1FF0" w:rsidRPr="00B82EF7" w:rsidRDefault="005D1FF0">
      <w:pPr>
        <w:ind w:left="425"/>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Zapremina koju treba ubrizgati </w:t>
      </w:r>
      <w:r w:rsidR="004968CE" w:rsidRPr="00B82EF7">
        <w:rPr>
          <w:rFonts w:asciiTheme="majorBidi" w:hAnsiTheme="majorBidi" w:cstheme="majorBidi"/>
          <w:bCs/>
          <w:noProof/>
          <w:sz w:val="22"/>
          <w:szCs w:val="22"/>
          <w:lang w:val="sr-Latn-ME"/>
        </w:rPr>
        <w:t xml:space="preserve">kroz </w:t>
      </w:r>
      <w:r w:rsidRPr="00B82EF7">
        <w:rPr>
          <w:rFonts w:asciiTheme="majorBidi" w:hAnsiTheme="majorBidi" w:cstheme="majorBidi"/>
          <w:bCs/>
          <w:noProof/>
          <w:sz w:val="22"/>
          <w:szCs w:val="22"/>
          <w:lang w:val="sr-Latn-ME"/>
        </w:rPr>
        <w:t>intravensk</w:t>
      </w:r>
      <w:r w:rsidR="004968CE" w:rsidRPr="00B82EF7">
        <w:rPr>
          <w:rFonts w:asciiTheme="majorBidi" w:hAnsiTheme="majorBidi" w:cstheme="majorBidi"/>
          <w:bCs/>
          <w:noProof/>
          <w:sz w:val="22"/>
          <w:szCs w:val="22"/>
          <w:lang w:val="sr-Latn-ME"/>
        </w:rPr>
        <w:t>u liniju</w:t>
      </w:r>
      <w:r w:rsidRPr="00B82EF7">
        <w:rPr>
          <w:rFonts w:asciiTheme="majorBidi" w:hAnsiTheme="majorBidi" w:cstheme="majorBidi"/>
          <w:bCs/>
          <w:noProof/>
          <w:sz w:val="22"/>
          <w:szCs w:val="22"/>
          <w:lang w:val="sr-Latn-ME"/>
        </w:rPr>
        <w:t xml:space="preserve"> nakon </w:t>
      </w:r>
      <w:r w:rsidR="00A1342F" w:rsidRPr="00B82EF7">
        <w:rPr>
          <w:rFonts w:asciiTheme="majorBidi" w:hAnsiTheme="majorBidi" w:cstheme="majorBidi"/>
          <w:bCs/>
          <w:noProof/>
          <w:sz w:val="22"/>
          <w:szCs w:val="22"/>
          <w:lang w:val="sr-Latn-ME"/>
        </w:rPr>
        <w:t xml:space="preserve">završetka </w:t>
      </w:r>
      <w:r w:rsidRPr="00B82EF7">
        <w:rPr>
          <w:rFonts w:asciiTheme="majorBidi" w:hAnsiTheme="majorBidi" w:cstheme="majorBidi"/>
          <w:bCs/>
          <w:noProof/>
          <w:sz w:val="22"/>
          <w:szCs w:val="22"/>
          <w:lang w:val="sr-Latn-ME"/>
        </w:rPr>
        <w:t xml:space="preserve">razblaživanja do koncentracije od 300 i.j. (3 mg)/ </w:t>
      </w:r>
      <w:r w:rsidR="00A32335" w:rsidRPr="00B82EF7">
        <w:rPr>
          <w:rFonts w:asciiTheme="majorBidi" w:hAnsiTheme="majorBidi" w:cstheme="majorBidi"/>
          <w:bCs/>
          <w:noProof/>
          <w:sz w:val="22"/>
          <w:szCs w:val="22"/>
          <w:lang w:val="sr-Latn-ME"/>
        </w:rPr>
        <w:t>ml</w:t>
      </w:r>
    </w:p>
    <w:p w14:paraId="60D59AA4" w14:textId="0310349B" w:rsidR="00DD7F82" w:rsidRDefault="00DD7F82">
      <w:pPr>
        <w:ind w:left="360"/>
        <w:jc w:val="both"/>
        <w:rPr>
          <w:rFonts w:asciiTheme="majorBidi" w:hAnsiTheme="majorBidi" w:cstheme="majorBidi"/>
          <w:bCs/>
          <w:noProof/>
          <w:sz w:val="22"/>
          <w:szCs w:val="22"/>
          <w:lang w:val="sr-Latn-ME"/>
        </w:rPr>
      </w:pPr>
    </w:p>
    <w:p w14:paraId="1FBEDA67" w14:textId="77777777" w:rsidR="00B82EF7" w:rsidRPr="00B82EF7" w:rsidRDefault="00B82EF7">
      <w:pPr>
        <w:ind w:left="360"/>
        <w:jc w:val="both"/>
        <w:rPr>
          <w:rFonts w:asciiTheme="majorBidi" w:hAnsiTheme="majorBidi" w:cstheme="majorBidi"/>
          <w:bCs/>
          <w:noProof/>
          <w:sz w:val="22"/>
          <w:szCs w:val="22"/>
          <w:lang w:val="sr-Latn-M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0"/>
        <w:gridCol w:w="2090"/>
        <w:gridCol w:w="2802"/>
      </w:tblGrid>
      <w:tr w:rsidR="00DD7F82" w:rsidRPr="00B82EF7" w14:paraId="09A263B7" w14:textId="77777777" w:rsidTr="00683C8C">
        <w:tc>
          <w:tcPr>
            <w:tcW w:w="1152" w:type="pct"/>
            <w:vAlign w:val="center"/>
          </w:tcPr>
          <w:p w14:paraId="7D9A8088" w14:textId="77777777" w:rsidR="00DD7F82" w:rsidRPr="00B82EF7" w:rsidRDefault="00DD7F82" w:rsidP="00DD7F82">
            <w:pPr>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lastRenderedPageBreak/>
              <w:t>T</w:t>
            </w:r>
            <w:r w:rsidR="00A1342F" w:rsidRPr="00B82EF7">
              <w:rPr>
                <w:rFonts w:asciiTheme="majorBidi" w:hAnsiTheme="majorBidi" w:cstheme="majorBidi"/>
                <w:b/>
                <w:bCs/>
                <w:noProof/>
                <w:sz w:val="22"/>
                <w:szCs w:val="22"/>
                <w:lang w:val="sr-Latn-ME"/>
              </w:rPr>
              <w:t>j</w:t>
            </w:r>
            <w:r w:rsidRPr="00B82EF7">
              <w:rPr>
                <w:rFonts w:asciiTheme="majorBidi" w:hAnsiTheme="majorBidi" w:cstheme="majorBidi"/>
                <w:b/>
                <w:bCs/>
                <w:noProof/>
                <w:sz w:val="22"/>
                <w:szCs w:val="22"/>
                <w:lang w:val="sr-Latn-ME"/>
              </w:rPr>
              <w:t>elesna masa</w:t>
            </w:r>
          </w:p>
        </w:tc>
        <w:tc>
          <w:tcPr>
            <w:tcW w:w="2304" w:type="pct"/>
            <w:gridSpan w:val="2"/>
            <w:vAlign w:val="center"/>
          </w:tcPr>
          <w:p w14:paraId="2B41E462" w14:textId="77777777" w:rsidR="00DD7F82" w:rsidRPr="00B82EF7" w:rsidRDefault="00DD7F82" w:rsidP="00DD7F82">
            <w:pPr>
              <w:jc w:val="center"/>
              <w:rPr>
                <w:rFonts w:asciiTheme="majorBidi" w:hAnsiTheme="majorBidi" w:cstheme="majorBidi"/>
                <w:b/>
                <w:sz w:val="22"/>
                <w:szCs w:val="22"/>
                <w:lang w:val="sr-Latn-ME"/>
              </w:rPr>
            </w:pPr>
            <w:r w:rsidRPr="00B82EF7">
              <w:rPr>
                <w:rFonts w:asciiTheme="majorBidi" w:hAnsiTheme="majorBidi" w:cstheme="majorBidi"/>
                <w:b/>
                <w:bCs/>
                <w:noProof/>
                <w:sz w:val="22"/>
                <w:szCs w:val="22"/>
                <w:lang w:val="sr-Latn-ME"/>
              </w:rPr>
              <w:t>Potrebna doza</w:t>
            </w:r>
          </w:p>
          <w:p w14:paraId="19E34A90" w14:textId="77777777" w:rsidR="00DD7F82" w:rsidRPr="00B82EF7" w:rsidRDefault="00DD7F82" w:rsidP="00DD7F82">
            <w:pPr>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30 i.j./kg (0,3 mg/kg)</w:t>
            </w:r>
          </w:p>
        </w:tc>
        <w:tc>
          <w:tcPr>
            <w:tcW w:w="1544" w:type="pct"/>
            <w:vAlign w:val="center"/>
          </w:tcPr>
          <w:p w14:paraId="3FB02A50" w14:textId="77777777" w:rsidR="00DD7F82" w:rsidRPr="00B82EF7" w:rsidRDefault="00DD7F82" w:rsidP="00DD7F82">
            <w:pPr>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Zapremina koju treba ubrizgati nakon razblaživanja do</w:t>
            </w:r>
          </w:p>
          <w:p w14:paraId="64541B26" w14:textId="77777777" w:rsidR="00DD7F82" w:rsidRPr="00B82EF7" w:rsidRDefault="00DD7F82" w:rsidP="00A1342F">
            <w:pPr>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kon</w:t>
            </w:r>
            <w:r w:rsidR="00A1342F" w:rsidRPr="00B82EF7">
              <w:rPr>
                <w:rFonts w:asciiTheme="majorBidi" w:hAnsiTheme="majorBidi" w:cstheme="majorBidi"/>
                <w:b/>
                <w:bCs/>
                <w:noProof/>
                <w:sz w:val="22"/>
                <w:szCs w:val="22"/>
                <w:lang w:val="sr-Latn-ME"/>
              </w:rPr>
              <w:t>ačne koncentracije od 300 i.j./</w:t>
            </w:r>
            <w:r w:rsidR="00A32335" w:rsidRPr="00B82EF7">
              <w:rPr>
                <w:rFonts w:asciiTheme="majorBidi" w:hAnsiTheme="majorBidi" w:cstheme="majorBidi"/>
                <w:b/>
                <w:bCs/>
                <w:noProof/>
                <w:sz w:val="22"/>
                <w:szCs w:val="22"/>
                <w:lang w:val="sr-Latn-ME"/>
              </w:rPr>
              <w:t>ml</w:t>
            </w:r>
            <w:r w:rsidR="00A1342F" w:rsidRPr="00B82EF7">
              <w:rPr>
                <w:rFonts w:asciiTheme="majorBidi" w:hAnsiTheme="majorBidi" w:cstheme="majorBidi"/>
                <w:b/>
                <w:bCs/>
                <w:noProof/>
                <w:sz w:val="22"/>
                <w:szCs w:val="22"/>
                <w:lang w:val="sr-Latn-ME"/>
              </w:rPr>
              <w:t xml:space="preserve"> </w:t>
            </w:r>
            <w:r w:rsidRPr="00B82EF7">
              <w:rPr>
                <w:rFonts w:asciiTheme="majorBidi" w:hAnsiTheme="majorBidi" w:cstheme="majorBidi"/>
                <w:b/>
                <w:bCs/>
                <w:noProof/>
                <w:sz w:val="22"/>
                <w:szCs w:val="22"/>
                <w:lang w:val="sr-Latn-ME"/>
              </w:rPr>
              <w:t>(3 mg/</w:t>
            </w:r>
            <w:r w:rsidR="00A32335" w:rsidRPr="00B82EF7">
              <w:rPr>
                <w:rFonts w:asciiTheme="majorBidi" w:hAnsiTheme="majorBidi" w:cstheme="majorBidi"/>
                <w:b/>
                <w:bCs/>
                <w:noProof/>
                <w:sz w:val="22"/>
                <w:szCs w:val="22"/>
                <w:lang w:val="sr-Latn-ME"/>
              </w:rPr>
              <w:t>ml</w:t>
            </w:r>
            <w:r w:rsidRPr="00B82EF7">
              <w:rPr>
                <w:rFonts w:asciiTheme="majorBidi" w:hAnsiTheme="majorBidi" w:cstheme="majorBidi"/>
                <w:b/>
                <w:bCs/>
                <w:noProof/>
                <w:sz w:val="22"/>
                <w:szCs w:val="22"/>
                <w:lang w:val="sr-Latn-ME"/>
              </w:rPr>
              <w:t>)</w:t>
            </w:r>
          </w:p>
        </w:tc>
      </w:tr>
      <w:tr w:rsidR="00DD7F82" w:rsidRPr="00B82EF7" w14:paraId="3CB6AB70" w14:textId="77777777" w:rsidTr="00683C8C">
        <w:tc>
          <w:tcPr>
            <w:tcW w:w="1152" w:type="pct"/>
            <w:vAlign w:val="center"/>
          </w:tcPr>
          <w:p w14:paraId="35D80DF7" w14:textId="77777777" w:rsidR="00DD7F82" w:rsidRPr="00B82EF7" w:rsidRDefault="00DD7F82" w:rsidP="00DD7F82">
            <w:pPr>
              <w:spacing w:after="120"/>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[kg]</w:t>
            </w:r>
          </w:p>
        </w:tc>
        <w:tc>
          <w:tcPr>
            <w:tcW w:w="1152" w:type="pct"/>
            <w:vAlign w:val="center"/>
          </w:tcPr>
          <w:p w14:paraId="3C9C9632" w14:textId="77777777" w:rsidR="00DD7F82" w:rsidRPr="00B82EF7" w:rsidRDefault="00DD7F82" w:rsidP="00DD7F82">
            <w:pPr>
              <w:spacing w:after="120"/>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[i.j.]</w:t>
            </w:r>
          </w:p>
        </w:tc>
        <w:tc>
          <w:tcPr>
            <w:tcW w:w="1152" w:type="pct"/>
            <w:vAlign w:val="center"/>
          </w:tcPr>
          <w:p w14:paraId="5E3AD15B" w14:textId="77777777" w:rsidR="00DD7F82" w:rsidRPr="00B82EF7" w:rsidRDefault="00DD7F82" w:rsidP="00DD7F82">
            <w:pPr>
              <w:spacing w:after="120"/>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[mg]</w:t>
            </w:r>
          </w:p>
        </w:tc>
        <w:tc>
          <w:tcPr>
            <w:tcW w:w="1544" w:type="pct"/>
            <w:vAlign w:val="center"/>
          </w:tcPr>
          <w:p w14:paraId="117E7E0E" w14:textId="77777777" w:rsidR="00DD7F82" w:rsidRPr="00B82EF7" w:rsidRDefault="00DD7F82" w:rsidP="00A1342F">
            <w:pPr>
              <w:spacing w:after="120"/>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w:t>
            </w:r>
            <w:r w:rsidR="00A32335" w:rsidRPr="00B82EF7">
              <w:rPr>
                <w:rFonts w:asciiTheme="majorBidi" w:hAnsiTheme="majorBidi" w:cstheme="majorBidi"/>
                <w:b/>
                <w:bCs/>
                <w:noProof/>
                <w:sz w:val="22"/>
                <w:szCs w:val="22"/>
                <w:lang w:val="sr-Latn-ME"/>
              </w:rPr>
              <w:t>ml</w:t>
            </w:r>
            <w:r w:rsidRPr="00B82EF7">
              <w:rPr>
                <w:rFonts w:asciiTheme="majorBidi" w:hAnsiTheme="majorBidi" w:cstheme="majorBidi"/>
                <w:b/>
                <w:bCs/>
                <w:noProof/>
                <w:sz w:val="22"/>
                <w:szCs w:val="22"/>
                <w:lang w:val="sr-Latn-ME"/>
              </w:rPr>
              <w:t>]</w:t>
            </w:r>
          </w:p>
        </w:tc>
      </w:tr>
      <w:tr w:rsidR="00DD7F82" w:rsidRPr="00B82EF7" w14:paraId="38822955" w14:textId="77777777" w:rsidTr="00683C8C">
        <w:tc>
          <w:tcPr>
            <w:tcW w:w="1152" w:type="pct"/>
            <w:vAlign w:val="center"/>
          </w:tcPr>
          <w:p w14:paraId="46DBC50C"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45</w:t>
            </w:r>
          </w:p>
        </w:tc>
        <w:tc>
          <w:tcPr>
            <w:tcW w:w="1152" w:type="pct"/>
            <w:vAlign w:val="center"/>
          </w:tcPr>
          <w:p w14:paraId="782343A2"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1350</w:t>
            </w:r>
          </w:p>
        </w:tc>
        <w:tc>
          <w:tcPr>
            <w:tcW w:w="1152" w:type="pct"/>
            <w:vAlign w:val="center"/>
          </w:tcPr>
          <w:p w14:paraId="7BE69BB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13,5</w:t>
            </w:r>
          </w:p>
        </w:tc>
        <w:tc>
          <w:tcPr>
            <w:tcW w:w="1544" w:type="pct"/>
            <w:vAlign w:val="center"/>
          </w:tcPr>
          <w:p w14:paraId="58F134C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4,5</w:t>
            </w:r>
          </w:p>
        </w:tc>
      </w:tr>
      <w:tr w:rsidR="00DD7F82" w:rsidRPr="00B82EF7" w14:paraId="136832BD" w14:textId="77777777" w:rsidTr="00683C8C">
        <w:tc>
          <w:tcPr>
            <w:tcW w:w="1152" w:type="pct"/>
            <w:vAlign w:val="center"/>
          </w:tcPr>
          <w:p w14:paraId="74786B75"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50</w:t>
            </w:r>
          </w:p>
        </w:tc>
        <w:tc>
          <w:tcPr>
            <w:tcW w:w="1152" w:type="pct"/>
            <w:vAlign w:val="center"/>
          </w:tcPr>
          <w:p w14:paraId="4ABF4F9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1500</w:t>
            </w:r>
          </w:p>
        </w:tc>
        <w:tc>
          <w:tcPr>
            <w:tcW w:w="1152" w:type="pct"/>
            <w:vAlign w:val="center"/>
          </w:tcPr>
          <w:p w14:paraId="285CC625"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15</w:t>
            </w:r>
          </w:p>
        </w:tc>
        <w:tc>
          <w:tcPr>
            <w:tcW w:w="1544" w:type="pct"/>
            <w:vAlign w:val="center"/>
          </w:tcPr>
          <w:p w14:paraId="0A2A4A1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5</w:t>
            </w:r>
          </w:p>
        </w:tc>
      </w:tr>
      <w:tr w:rsidR="00DD7F82" w:rsidRPr="00B82EF7" w14:paraId="0F0F5748" w14:textId="77777777" w:rsidTr="00683C8C">
        <w:tc>
          <w:tcPr>
            <w:tcW w:w="1152" w:type="pct"/>
            <w:vAlign w:val="center"/>
          </w:tcPr>
          <w:p w14:paraId="1F6F37DB"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55</w:t>
            </w:r>
          </w:p>
        </w:tc>
        <w:tc>
          <w:tcPr>
            <w:tcW w:w="1152" w:type="pct"/>
            <w:vAlign w:val="center"/>
          </w:tcPr>
          <w:p w14:paraId="08BE9312"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1650</w:t>
            </w:r>
          </w:p>
        </w:tc>
        <w:tc>
          <w:tcPr>
            <w:tcW w:w="1152" w:type="pct"/>
            <w:vAlign w:val="center"/>
          </w:tcPr>
          <w:p w14:paraId="121CCA1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16,5</w:t>
            </w:r>
          </w:p>
        </w:tc>
        <w:tc>
          <w:tcPr>
            <w:tcW w:w="1544" w:type="pct"/>
            <w:vAlign w:val="center"/>
          </w:tcPr>
          <w:p w14:paraId="7581C92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5,5</w:t>
            </w:r>
          </w:p>
        </w:tc>
      </w:tr>
      <w:tr w:rsidR="00DD7F82" w:rsidRPr="00B82EF7" w14:paraId="7D6F9FDB" w14:textId="77777777" w:rsidTr="00683C8C">
        <w:tc>
          <w:tcPr>
            <w:tcW w:w="1152" w:type="pct"/>
            <w:vAlign w:val="center"/>
          </w:tcPr>
          <w:p w14:paraId="5A9424EB"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60</w:t>
            </w:r>
          </w:p>
        </w:tc>
        <w:tc>
          <w:tcPr>
            <w:tcW w:w="1152" w:type="pct"/>
            <w:vAlign w:val="center"/>
          </w:tcPr>
          <w:p w14:paraId="00593B5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1800</w:t>
            </w:r>
          </w:p>
        </w:tc>
        <w:tc>
          <w:tcPr>
            <w:tcW w:w="1152" w:type="pct"/>
            <w:vAlign w:val="center"/>
          </w:tcPr>
          <w:p w14:paraId="7A455422"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18</w:t>
            </w:r>
          </w:p>
        </w:tc>
        <w:tc>
          <w:tcPr>
            <w:tcW w:w="1544" w:type="pct"/>
            <w:vAlign w:val="center"/>
          </w:tcPr>
          <w:p w14:paraId="50B9A805"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6</w:t>
            </w:r>
          </w:p>
        </w:tc>
      </w:tr>
      <w:tr w:rsidR="00DD7F82" w:rsidRPr="00B82EF7" w14:paraId="3D9E5830" w14:textId="77777777" w:rsidTr="00683C8C">
        <w:tc>
          <w:tcPr>
            <w:tcW w:w="1152" w:type="pct"/>
            <w:vAlign w:val="center"/>
          </w:tcPr>
          <w:p w14:paraId="3E547EC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65</w:t>
            </w:r>
          </w:p>
        </w:tc>
        <w:tc>
          <w:tcPr>
            <w:tcW w:w="1152" w:type="pct"/>
            <w:vAlign w:val="center"/>
          </w:tcPr>
          <w:p w14:paraId="4A91948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1950</w:t>
            </w:r>
          </w:p>
        </w:tc>
        <w:tc>
          <w:tcPr>
            <w:tcW w:w="1152" w:type="pct"/>
            <w:vAlign w:val="center"/>
          </w:tcPr>
          <w:p w14:paraId="4DFCDEC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19,5</w:t>
            </w:r>
          </w:p>
        </w:tc>
        <w:tc>
          <w:tcPr>
            <w:tcW w:w="1544" w:type="pct"/>
            <w:vAlign w:val="center"/>
          </w:tcPr>
          <w:p w14:paraId="78FA83C7"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6,5</w:t>
            </w:r>
          </w:p>
        </w:tc>
      </w:tr>
      <w:tr w:rsidR="00DD7F82" w:rsidRPr="00B82EF7" w14:paraId="3A1557F9" w14:textId="77777777" w:rsidTr="00683C8C">
        <w:tc>
          <w:tcPr>
            <w:tcW w:w="1152" w:type="pct"/>
            <w:vAlign w:val="center"/>
          </w:tcPr>
          <w:p w14:paraId="7EA9FCA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70</w:t>
            </w:r>
          </w:p>
        </w:tc>
        <w:tc>
          <w:tcPr>
            <w:tcW w:w="1152" w:type="pct"/>
            <w:vAlign w:val="center"/>
          </w:tcPr>
          <w:p w14:paraId="5A4F97D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2100</w:t>
            </w:r>
          </w:p>
        </w:tc>
        <w:tc>
          <w:tcPr>
            <w:tcW w:w="1152" w:type="pct"/>
            <w:vAlign w:val="center"/>
          </w:tcPr>
          <w:p w14:paraId="3A81246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21</w:t>
            </w:r>
          </w:p>
        </w:tc>
        <w:tc>
          <w:tcPr>
            <w:tcW w:w="1544" w:type="pct"/>
            <w:vAlign w:val="center"/>
          </w:tcPr>
          <w:p w14:paraId="075DF1E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7</w:t>
            </w:r>
          </w:p>
        </w:tc>
      </w:tr>
      <w:tr w:rsidR="00DD7F82" w:rsidRPr="00B82EF7" w14:paraId="23F2266E" w14:textId="77777777" w:rsidTr="00683C8C">
        <w:tc>
          <w:tcPr>
            <w:tcW w:w="1152" w:type="pct"/>
            <w:vAlign w:val="center"/>
          </w:tcPr>
          <w:p w14:paraId="5FDCC25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75</w:t>
            </w:r>
          </w:p>
        </w:tc>
        <w:tc>
          <w:tcPr>
            <w:tcW w:w="1152" w:type="pct"/>
            <w:vAlign w:val="center"/>
          </w:tcPr>
          <w:p w14:paraId="3319AB5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2250</w:t>
            </w:r>
          </w:p>
        </w:tc>
        <w:tc>
          <w:tcPr>
            <w:tcW w:w="1152" w:type="pct"/>
            <w:vAlign w:val="center"/>
          </w:tcPr>
          <w:p w14:paraId="7ACE6FC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22,5</w:t>
            </w:r>
          </w:p>
        </w:tc>
        <w:tc>
          <w:tcPr>
            <w:tcW w:w="1544" w:type="pct"/>
            <w:vAlign w:val="center"/>
          </w:tcPr>
          <w:p w14:paraId="5CA43E2D"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7,5</w:t>
            </w:r>
          </w:p>
        </w:tc>
      </w:tr>
      <w:tr w:rsidR="00DD7F82" w:rsidRPr="00B82EF7" w14:paraId="433DE727" w14:textId="77777777" w:rsidTr="00683C8C">
        <w:tc>
          <w:tcPr>
            <w:tcW w:w="1152" w:type="pct"/>
            <w:vAlign w:val="center"/>
          </w:tcPr>
          <w:p w14:paraId="1BB91AE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80</w:t>
            </w:r>
          </w:p>
        </w:tc>
        <w:tc>
          <w:tcPr>
            <w:tcW w:w="1152" w:type="pct"/>
            <w:vAlign w:val="center"/>
          </w:tcPr>
          <w:p w14:paraId="2749308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2400</w:t>
            </w:r>
          </w:p>
        </w:tc>
        <w:tc>
          <w:tcPr>
            <w:tcW w:w="1152" w:type="pct"/>
            <w:vAlign w:val="center"/>
          </w:tcPr>
          <w:p w14:paraId="3DD7C8D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24</w:t>
            </w:r>
          </w:p>
        </w:tc>
        <w:tc>
          <w:tcPr>
            <w:tcW w:w="1544" w:type="pct"/>
            <w:vAlign w:val="center"/>
          </w:tcPr>
          <w:p w14:paraId="1A40CE7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8</w:t>
            </w:r>
          </w:p>
        </w:tc>
      </w:tr>
      <w:tr w:rsidR="00DD7F82" w:rsidRPr="00B82EF7" w14:paraId="02297B34" w14:textId="77777777" w:rsidTr="00683C8C">
        <w:tc>
          <w:tcPr>
            <w:tcW w:w="1152" w:type="pct"/>
            <w:vAlign w:val="center"/>
          </w:tcPr>
          <w:p w14:paraId="38D98BED"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85</w:t>
            </w:r>
          </w:p>
        </w:tc>
        <w:tc>
          <w:tcPr>
            <w:tcW w:w="1152" w:type="pct"/>
            <w:vAlign w:val="center"/>
          </w:tcPr>
          <w:p w14:paraId="0CD9C4E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2550</w:t>
            </w:r>
          </w:p>
        </w:tc>
        <w:tc>
          <w:tcPr>
            <w:tcW w:w="1152" w:type="pct"/>
            <w:vAlign w:val="center"/>
          </w:tcPr>
          <w:p w14:paraId="1962FE60"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25,5</w:t>
            </w:r>
          </w:p>
        </w:tc>
        <w:tc>
          <w:tcPr>
            <w:tcW w:w="1544" w:type="pct"/>
            <w:vAlign w:val="center"/>
          </w:tcPr>
          <w:p w14:paraId="05C56E6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8,5</w:t>
            </w:r>
          </w:p>
        </w:tc>
      </w:tr>
      <w:tr w:rsidR="00DD7F82" w:rsidRPr="00B82EF7" w14:paraId="59159D70" w14:textId="77777777" w:rsidTr="00683C8C">
        <w:tc>
          <w:tcPr>
            <w:tcW w:w="1152" w:type="pct"/>
            <w:vAlign w:val="center"/>
          </w:tcPr>
          <w:p w14:paraId="0C68313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90</w:t>
            </w:r>
          </w:p>
        </w:tc>
        <w:tc>
          <w:tcPr>
            <w:tcW w:w="1152" w:type="pct"/>
            <w:vAlign w:val="center"/>
          </w:tcPr>
          <w:p w14:paraId="1433DA3B"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2700</w:t>
            </w:r>
          </w:p>
        </w:tc>
        <w:tc>
          <w:tcPr>
            <w:tcW w:w="1152" w:type="pct"/>
            <w:vAlign w:val="center"/>
          </w:tcPr>
          <w:p w14:paraId="2447C11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27</w:t>
            </w:r>
          </w:p>
        </w:tc>
        <w:tc>
          <w:tcPr>
            <w:tcW w:w="1544" w:type="pct"/>
            <w:vAlign w:val="center"/>
          </w:tcPr>
          <w:p w14:paraId="6FC7A51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9</w:t>
            </w:r>
          </w:p>
        </w:tc>
      </w:tr>
      <w:tr w:rsidR="00DD7F82" w:rsidRPr="00B82EF7" w14:paraId="015D7575" w14:textId="77777777" w:rsidTr="00683C8C">
        <w:tc>
          <w:tcPr>
            <w:tcW w:w="1152" w:type="pct"/>
            <w:vAlign w:val="center"/>
          </w:tcPr>
          <w:p w14:paraId="2D45C2C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95</w:t>
            </w:r>
          </w:p>
        </w:tc>
        <w:tc>
          <w:tcPr>
            <w:tcW w:w="1152" w:type="pct"/>
            <w:vAlign w:val="center"/>
          </w:tcPr>
          <w:p w14:paraId="684D439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2850</w:t>
            </w:r>
          </w:p>
        </w:tc>
        <w:tc>
          <w:tcPr>
            <w:tcW w:w="1152" w:type="pct"/>
            <w:vAlign w:val="center"/>
          </w:tcPr>
          <w:p w14:paraId="77281EF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28,5</w:t>
            </w:r>
          </w:p>
        </w:tc>
        <w:tc>
          <w:tcPr>
            <w:tcW w:w="1544" w:type="pct"/>
            <w:vAlign w:val="center"/>
          </w:tcPr>
          <w:p w14:paraId="59392C1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9,5</w:t>
            </w:r>
          </w:p>
        </w:tc>
      </w:tr>
      <w:tr w:rsidR="00DD7F82" w:rsidRPr="00B82EF7" w14:paraId="7BA07BD5" w14:textId="77777777" w:rsidTr="00683C8C">
        <w:tc>
          <w:tcPr>
            <w:tcW w:w="1152" w:type="pct"/>
            <w:vAlign w:val="center"/>
          </w:tcPr>
          <w:p w14:paraId="796FA9B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100</w:t>
            </w:r>
          </w:p>
        </w:tc>
        <w:tc>
          <w:tcPr>
            <w:tcW w:w="1152" w:type="pct"/>
            <w:vAlign w:val="center"/>
          </w:tcPr>
          <w:p w14:paraId="4BCEFC1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3000</w:t>
            </w:r>
          </w:p>
        </w:tc>
        <w:tc>
          <w:tcPr>
            <w:tcW w:w="1152" w:type="pct"/>
            <w:vAlign w:val="center"/>
          </w:tcPr>
          <w:p w14:paraId="5EA9FAA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30</w:t>
            </w:r>
          </w:p>
        </w:tc>
        <w:tc>
          <w:tcPr>
            <w:tcW w:w="1544" w:type="pct"/>
            <w:vAlign w:val="center"/>
          </w:tcPr>
          <w:p w14:paraId="3A020C5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w:t>
            </w:r>
          </w:p>
        </w:tc>
      </w:tr>
      <w:tr w:rsidR="00DD7F82" w:rsidRPr="00B82EF7" w14:paraId="02C6CFF5" w14:textId="77777777" w:rsidTr="00683C8C">
        <w:tc>
          <w:tcPr>
            <w:tcW w:w="1152" w:type="pct"/>
            <w:vAlign w:val="center"/>
          </w:tcPr>
          <w:p w14:paraId="56BBA1D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105</w:t>
            </w:r>
          </w:p>
        </w:tc>
        <w:tc>
          <w:tcPr>
            <w:tcW w:w="1152" w:type="pct"/>
            <w:vAlign w:val="center"/>
          </w:tcPr>
          <w:p w14:paraId="773CEB4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3150</w:t>
            </w:r>
          </w:p>
        </w:tc>
        <w:tc>
          <w:tcPr>
            <w:tcW w:w="1152" w:type="pct"/>
            <w:vAlign w:val="center"/>
          </w:tcPr>
          <w:p w14:paraId="771A0C4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31,5</w:t>
            </w:r>
          </w:p>
        </w:tc>
        <w:tc>
          <w:tcPr>
            <w:tcW w:w="1544" w:type="pct"/>
            <w:vAlign w:val="center"/>
          </w:tcPr>
          <w:p w14:paraId="3D550C5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10,5</w:t>
            </w:r>
          </w:p>
        </w:tc>
      </w:tr>
      <w:tr w:rsidR="00DD7F82" w:rsidRPr="00B82EF7" w14:paraId="3FF18132" w14:textId="77777777" w:rsidTr="00683C8C">
        <w:tc>
          <w:tcPr>
            <w:tcW w:w="1152" w:type="pct"/>
            <w:vAlign w:val="center"/>
          </w:tcPr>
          <w:p w14:paraId="20248A86"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110</w:t>
            </w:r>
          </w:p>
        </w:tc>
        <w:tc>
          <w:tcPr>
            <w:tcW w:w="1152" w:type="pct"/>
            <w:vAlign w:val="center"/>
          </w:tcPr>
          <w:p w14:paraId="34E30A1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3300</w:t>
            </w:r>
          </w:p>
        </w:tc>
        <w:tc>
          <w:tcPr>
            <w:tcW w:w="1152" w:type="pct"/>
            <w:vAlign w:val="center"/>
          </w:tcPr>
          <w:p w14:paraId="0506721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33</w:t>
            </w:r>
          </w:p>
        </w:tc>
        <w:tc>
          <w:tcPr>
            <w:tcW w:w="1544" w:type="pct"/>
            <w:vAlign w:val="center"/>
          </w:tcPr>
          <w:p w14:paraId="63549BF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11</w:t>
            </w:r>
          </w:p>
        </w:tc>
      </w:tr>
      <w:tr w:rsidR="00DD7F82" w:rsidRPr="00B82EF7" w14:paraId="749C8CD8" w14:textId="77777777" w:rsidTr="00683C8C">
        <w:tc>
          <w:tcPr>
            <w:tcW w:w="1152" w:type="pct"/>
            <w:vAlign w:val="center"/>
          </w:tcPr>
          <w:p w14:paraId="2EF622CC"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115</w:t>
            </w:r>
          </w:p>
        </w:tc>
        <w:tc>
          <w:tcPr>
            <w:tcW w:w="1152" w:type="pct"/>
            <w:vAlign w:val="center"/>
          </w:tcPr>
          <w:p w14:paraId="33A1B876"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3450</w:t>
            </w:r>
          </w:p>
        </w:tc>
        <w:tc>
          <w:tcPr>
            <w:tcW w:w="1152" w:type="pct"/>
            <w:vAlign w:val="center"/>
          </w:tcPr>
          <w:p w14:paraId="5E2E643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34,5</w:t>
            </w:r>
          </w:p>
        </w:tc>
        <w:tc>
          <w:tcPr>
            <w:tcW w:w="1544" w:type="pct"/>
            <w:vAlign w:val="center"/>
          </w:tcPr>
          <w:p w14:paraId="34C7EB59"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11,5</w:t>
            </w:r>
          </w:p>
        </w:tc>
      </w:tr>
      <w:tr w:rsidR="00DD7F82" w:rsidRPr="00B82EF7" w14:paraId="064306D9" w14:textId="77777777" w:rsidTr="00683C8C">
        <w:tc>
          <w:tcPr>
            <w:tcW w:w="1152" w:type="pct"/>
            <w:vAlign w:val="center"/>
          </w:tcPr>
          <w:p w14:paraId="34D440AB"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120</w:t>
            </w:r>
          </w:p>
        </w:tc>
        <w:tc>
          <w:tcPr>
            <w:tcW w:w="1152" w:type="pct"/>
            <w:vAlign w:val="center"/>
          </w:tcPr>
          <w:p w14:paraId="4DC19FE2"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3600</w:t>
            </w:r>
          </w:p>
        </w:tc>
        <w:tc>
          <w:tcPr>
            <w:tcW w:w="1152" w:type="pct"/>
            <w:vAlign w:val="center"/>
          </w:tcPr>
          <w:p w14:paraId="181F910C"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36</w:t>
            </w:r>
          </w:p>
        </w:tc>
        <w:tc>
          <w:tcPr>
            <w:tcW w:w="1544" w:type="pct"/>
            <w:vAlign w:val="center"/>
          </w:tcPr>
          <w:p w14:paraId="0E0C3B1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12</w:t>
            </w:r>
          </w:p>
        </w:tc>
      </w:tr>
      <w:tr w:rsidR="00DD7F82" w:rsidRPr="00B82EF7" w14:paraId="1C05E67E" w14:textId="77777777" w:rsidTr="00683C8C">
        <w:tc>
          <w:tcPr>
            <w:tcW w:w="1152" w:type="pct"/>
            <w:vAlign w:val="center"/>
          </w:tcPr>
          <w:p w14:paraId="546A561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125</w:t>
            </w:r>
          </w:p>
        </w:tc>
        <w:tc>
          <w:tcPr>
            <w:tcW w:w="1152" w:type="pct"/>
            <w:vAlign w:val="center"/>
          </w:tcPr>
          <w:p w14:paraId="0E76D24F"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3750</w:t>
            </w:r>
          </w:p>
        </w:tc>
        <w:tc>
          <w:tcPr>
            <w:tcW w:w="1152" w:type="pct"/>
            <w:vAlign w:val="center"/>
          </w:tcPr>
          <w:p w14:paraId="7F6EDB8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37,5</w:t>
            </w:r>
          </w:p>
        </w:tc>
        <w:tc>
          <w:tcPr>
            <w:tcW w:w="1544" w:type="pct"/>
            <w:vAlign w:val="center"/>
          </w:tcPr>
          <w:p w14:paraId="5AE8475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12,5</w:t>
            </w:r>
          </w:p>
        </w:tc>
      </w:tr>
      <w:tr w:rsidR="00DD7F82" w:rsidRPr="00B82EF7" w14:paraId="0901AA91" w14:textId="77777777" w:rsidTr="00683C8C">
        <w:tc>
          <w:tcPr>
            <w:tcW w:w="1152" w:type="pct"/>
            <w:vAlign w:val="center"/>
          </w:tcPr>
          <w:p w14:paraId="29683C5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130</w:t>
            </w:r>
          </w:p>
        </w:tc>
        <w:tc>
          <w:tcPr>
            <w:tcW w:w="1152" w:type="pct"/>
            <w:vAlign w:val="center"/>
          </w:tcPr>
          <w:p w14:paraId="1EE0149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3900</w:t>
            </w:r>
          </w:p>
        </w:tc>
        <w:tc>
          <w:tcPr>
            <w:tcW w:w="1152" w:type="pct"/>
            <w:vAlign w:val="center"/>
          </w:tcPr>
          <w:p w14:paraId="15830B80"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39</w:t>
            </w:r>
          </w:p>
        </w:tc>
        <w:tc>
          <w:tcPr>
            <w:tcW w:w="1544" w:type="pct"/>
            <w:vAlign w:val="center"/>
          </w:tcPr>
          <w:p w14:paraId="5F5CDFC6"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w:t>
            </w:r>
          </w:p>
        </w:tc>
      </w:tr>
      <w:tr w:rsidR="00DD7F82" w:rsidRPr="00B82EF7" w14:paraId="5B461E56" w14:textId="77777777" w:rsidTr="00683C8C">
        <w:tc>
          <w:tcPr>
            <w:tcW w:w="1152" w:type="pct"/>
            <w:vAlign w:val="center"/>
          </w:tcPr>
          <w:p w14:paraId="1FF924EA"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135</w:t>
            </w:r>
          </w:p>
        </w:tc>
        <w:tc>
          <w:tcPr>
            <w:tcW w:w="1152" w:type="pct"/>
            <w:vAlign w:val="center"/>
          </w:tcPr>
          <w:p w14:paraId="3409ED3D"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4050</w:t>
            </w:r>
          </w:p>
        </w:tc>
        <w:tc>
          <w:tcPr>
            <w:tcW w:w="1152" w:type="pct"/>
            <w:vAlign w:val="center"/>
          </w:tcPr>
          <w:p w14:paraId="7BDF1AE4"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40,5</w:t>
            </w:r>
          </w:p>
        </w:tc>
        <w:tc>
          <w:tcPr>
            <w:tcW w:w="1544" w:type="pct"/>
            <w:vAlign w:val="center"/>
          </w:tcPr>
          <w:p w14:paraId="3917A5F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13,5</w:t>
            </w:r>
          </w:p>
        </w:tc>
      </w:tr>
      <w:tr w:rsidR="00DD7F82" w:rsidRPr="00B82EF7" w14:paraId="2B51B639" w14:textId="77777777" w:rsidTr="00683C8C">
        <w:tc>
          <w:tcPr>
            <w:tcW w:w="1152" w:type="pct"/>
            <w:vAlign w:val="center"/>
          </w:tcPr>
          <w:p w14:paraId="2C06B8E3"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140</w:t>
            </w:r>
          </w:p>
        </w:tc>
        <w:tc>
          <w:tcPr>
            <w:tcW w:w="1152" w:type="pct"/>
            <w:vAlign w:val="center"/>
          </w:tcPr>
          <w:p w14:paraId="18EFA8AB"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4200</w:t>
            </w:r>
          </w:p>
        </w:tc>
        <w:tc>
          <w:tcPr>
            <w:tcW w:w="1152" w:type="pct"/>
            <w:vAlign w:val="center"/>
          </w:tcPr>
          <w:p w14:paraId="3D26778C"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42</w:t>
            </w:r>
          </w:p>
        </w:tc>
        <w:tc>
          <w:tcPr>
            <w:tcW w:w="1544" w:type="pct"/>
            <w:vAlign w:val="center"/>
          </w:tcPr>
          <w:p w14:paraId="07C4FE05"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14</w:t>
            </w:r>
          </w:p>
        </w:tc>
      </w:tr>
      <w:tr w:rsidR="00DD7F82" w:rsidRPr="00B82EF7" w14:paraId="5FB0DC46" w14:textId="77777777" w:rsidTr="00683C8C">
        <w:tc>
          <w:tcPr>
            <w:tcW w:w="1152" w:type="pct"/>
            <w:vAlign w:val="center"/>
          </w:tcPr>
          <w:p w14:paraId="78C86938"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145</w:t>
            </w:r>
          </w:p>
        </w:tc>
        <w:tc>
          <w:tcPr>
            <w:tcW w:w="1152" w:type="pct"/>
            <w:vAlign w:val="center"/>
          </w:tcPr>
          <w:p w14:paraId="3B79723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4350</w:t>
            </w:r>
          </w:p>
        </w:tc>
        <w:tc>
          <w:tcPr>
            <w:tcW w:w="1152" w:type="pct"/>
            <w:vAlign w:val="center"/>
          </w:tcPr>
          <w:p w14:paraId="3D2099C1"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43,5</w:t>
            </w:r>
          </w:p>
        </w:tc>
        <w:tc>
          <w:tcPr>
            <w:tcW w:w="1544" w:type="pct"/>
            <w:vAlign w:val="center"/>
          </w:tcPr>
          <w:p w14:paraId="26B743CD"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14,5</w:t>
            </w:r>
          </w:p>
        </w:tc>
      </w:tr>
      <w:tr w:rsidR="00DD7F82" w:rsidRPr="00B82EF7" w14:paraId="0E593A5A" w14:textId="77777777" w:rsidTr="00683C8C">
        <w:tc>
          <w:tcPr>
            <w:tcW w:w="1152" w:type="pct"/>
            <w:vAlign w:val="center"/>
          </w:tcPr>
          <w:p w14:paraId="1EFF4A3D"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150</w:t>
            </w:r>
          </w:p>
        </w:tc>
        <w:tc>
          <w:tcPr>
            <w:tcW w:w="1152" w:type="pct"/>
            <w:vAlign w:val="center"/>
          </w:tcPr>
          <w:p w14:paraId="42CFD3B6"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4500</w:t>
            </w:r>
          </w:p>
        </w:tc>
        <w:tc>
          <w:tcPr>
            <w:tcW w:w="1152" w:type="pct"/>
            <w:vAlign w:val="center"/>
          </w:tcPr>
          <w:p w14:paraId="39F9C6E2"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45</w:t>
            </w:r>
          </w:p>
        </w:tc>
        <w:tc>
          <w:tcPr>
            <w:tcW w:w="1544" w:type="pct"/>
            <w:vAlign w:val="center"/>
          </w:tcPr>
          <w:p w14:paraId="3E4F96CE" w14:textId="77777777" w:rsidR="00DD7F82" w:rsidRPr="00B82EF7" w:rsidRDefault="00DD7F82" w:rsidP="00DD7F82">
            <w:pPr>
              <w:spacing w:after="120"/>
              <w:jc w:val="center"/>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15</w:t>
            </w:r>
          </w:p>
        </w:tc>
      </w:tr>
    </w:tbl>
    <w:p w14:paraId="10203630" w14:textId="77777777" w:rsidR="00DD7F82" w:rsidRPr="00B82EF7" w:rsidRDefault="00DD7F82" w:rsidP="00DD7F82">
      <w:pPr>
        <w:spacing w:after="120"/>
        <w:jc w:val="both"/>
        <w:rPr>
          <w:rFonts w:asciiTheme="majorBidi" w:hAnsiTheme="majorBidi" w:cstheme="majorBidi"/>
          <w:bCs/>
          <w:noProof/>
          <w:sz w:val="22"/>
          <w:szCs w:val="22"/>
          <w:lang w:val="sr-Latn-ME"/>
        </w:rPr>
      </w:pPr>
    </w:p>
    <w:p w14:paraId="3ECB7859" w14:textId="77777777" w:rsidR="00DD7F82" w:rsidRPr="00B82EF7" w:rsidRDefault="00DD7F82" w:rsidP="004D148D">
      <w:pPr>
        <w:numPr>
          <w:ilvl w:val="0"/>
          <w:numId w:val="20"/>
        </w:numPr>
        <w:tabs>
          <w:tab w:val="left" w:pos="284"/>
        </w:tabs>
        <w:ind w:left="360" w:firstLine="0"/>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Metoda prim</w:t>
      </w:r>
      <w:r w:rsidR="00A1342F" w:rsidRPr="00B82EF7">
        <w:rPr>
          <w:rFonts w:asciiTheme="majorBidi" w:hAnsiTheme="majorBidi" w:cstheme="majorBidi"/>
          <w:bCs/>
          <w:noProof/>
          <w:sz w:val="22"/>
          <w:szCs w:val="22"/>
          <w:u w:val="single"/>
          <w:lang w:val="sr-Latn-ME"/>
        </w:rPr>
        <w:t>j</w:t>
      </w:r>
      <w:r w:rsidRPr="00B82EF7">
        <w:rPr>
          <w:rFonts w:asciiTheme="majorBidi" w:hAnsiTheme="majorBidi" w:cstheme="majorBidi"/>
          <w:bCs/>
          <w:noProof/>
          <w:sz w:val="22"/>
          <w:szCs w:val="22"/>
          <w:u w:val="single"/>
          <w:lang w:val="sr-Latn-ME"/>
        </w:rPr>
        <w:t>ene injekcije u arterijsku liniju:</w:t>
      </w:r>
    </w:p>
    <w:p w14:paraId="1ED4CEEB" w14:textId="53C8F29A" w:rsidR="00DD7F82" w:rsidRPr="00B82EF7" w:rsidRDefault="00DD7F82" w:rsidP="00C36CDC">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L</w:t>
      </w:r>
      <w:r w:rsidR="00A1342F"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ek se prim</w:t>
      </w:r>
      <w:r w:rsidR="00A1342F"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enjuje kroz arterijsku liniju </w:t>
      </w:r>
      <w:r w:rsidR="00B2338D" w:rsidRPr="00B82EF7">
        <w:rPr>
          <w:rFonts w:asciiTheme="majorBidi" w:hAnsiTheme="majorBidi" w:cstheme="majorBidi"/>
          <w:bCs/>
          <w:noProof/>
          <w:sz w:val="22"/>
          <w:szCs w:val="22"/>
          <w:lang w:val="sr-Latn-ME"/>
        </w:rPr>
        <w:t>sistema za dijalizu</w:t>
      </w:r>
      <w:r w:rsidRPr="00B82EF7">
        <w:rPr>
          <w:rFonts w:asciiTheme="majorBidi" w:hAnsiTheme="majorBidi" w:cstheme="majorBidi"/>
          <w:bCs/>
          <w:noProof/>
          <w:sz w:val="22"/>
          <w:szCs w:val="22"/>
          <w:lang w:val="sr-Latn-ME"/>
        </w:rPr>
        <w:t xml:space="preserve"> radi prevencije formiranja tromba u ekstrakorporalnoj cirkulaciji tokom hemodijalize.</w:t>
      </w:r>
    </w:p>
    <w:p w14:paraId="6512C604" w14:textId="77777777" w:rsidR="00DD7F82" w:rsidRPr="00B82EF7" w:rsidRDefault="00DD7F82">
      <w:pPr>
        <w:jc w:val="both"/>
        <w:rPr>
          <w:rFonts w:asciiTheme="majorBidi" w:hAnsiTheme="majorBidi" w:cstheme="majorBidi"/>
          <w:bCs/>
          <w:noProof/>
          <w:sz w:val="22"/>
          <w:szCs w:val="22"/>
          <w:u w:val="single"/>
          <w:lang w:val="sr-Latn-ME"/>
        </w:rPr>
      </w:pPr>
    </w:p>
    <w:p w14:paraId="1C436D95" w14:textId="21253074" w:rsidR="00DD7F82" w:rsidRPr="00B82EF7" w:rsidRDefault="004B1216">
      <w:pPr>
        <w:ind w:firstLine="360"/>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 xml:space="preserve">Prelazak sa enoksaparin </w:t>
      </w:r>
      <w:r w:rsidR="00DD7F82" w:rsidRPr="00B82EF7">
        <w:rPr>
          <w:rFonts w:asciiTheme="majorBidi" w:hAnsiTheme="majorBidi" w:cstheme="majorBidi"/>
          <w:bCs/>
          <w:noProof/>
          <w:sz w:val="22"/>
          <w:szCs w:val="22"/>
          <w:u w:val="single"/>
          <w:lang w:val="sr-Latn-ME"/>
        </w:rPr>
        <w:t>natrijuma na oralne antikoagulanse i obratno</w:t>
      </w:r>
      <w:r w:rsidR="001D2748" w:rsidRPr="00B82EF7">
        <w:rPr>
          <w:rFonts w:asciiTheme="majorBidi" w:hAnsiTheme="majorBidi" w:cstheme="majorBidi"/>
          <w:bCs/>
          <w:noProof/>
          <w:sz w:val="22"/>
          <w:szCs w:val="22"/>
          <w:u w:val="single"/>
          <w:lang w:val="sr-Latn-ME"/>
        </w:rPr>
        <w:t xml:space="preserve"> </w:t>
      </w:r>
    </w:p>
    <w:p w14:paraId="61CFB6B5" w14:textId="77777777" w:rsidR="00DD7F82" w:rsidRPr="00B82EF7" w:rsidRDefault="004B1216" w:rsidP="00F131CD">
      <w:pPr>
        <w:numPr>
          <w:ilvl w:val="0"/>
          <w:numId w:val="20"/>
        </w:numPr>
        <w:tabs>
          <w:tab w:val="left" w:pos="284"/>
        </w:tabs>
        <w:ind w:left="360" w:firstLine="0"/>
        <w:jc w:val="both"/>
        <w:rPr>
          <w:rFonts w:asciiTheme="majorBidi" w:hAnsiTheme="majorBidi" w:cstheme="majorBidi"/>
          <w:bCs/>
          <w:i/>
          <w:noProof/>
          <w:sz w:val="22"/>
          <w:szCs w:val="22"/>
          <w:lang w:val="sr-Latn-ME"/>
        </w:rPr>
      </w:pPr>
      <w:r w:rsidRPr="00B82EF7">
        <w:rPr>
          <w:rFonts w:asciiTheme="majorBidi" w:hAnsiTheme="majorBidi" w:cstheme="majorBidi"/>
          <w:bCs/>
          <w:i/>
          <w:noProof/>
          <w:sz w:val="22"/>
          <w:szCs w:val="22"/>
          <w:lang w:val="sr-Latn-ME"/>
        </w:rPr>
        <w:t xml:space="preserve">Prelazak sa enoksaparin </w:t>
      </w:r>
      <w:r w:rsidR="00DD7F82" w:rsidRPr="00B82EF7">
        <w:rPr>
          <w:rFonts w:asciiTheme="majorBidi" w:hAnsiTheme="majorBidi" w:cstheme="majorBidi"/>
          <w:bCs/>
          <w:i/>
          <w:noProof/>
          <w:sz w:val="22"/>
          <w:szCs w:val="22"/>
          <w:lang w:val="sr-Latn-ME"/>
        </w:rPr>
        <w:t xml:space="preserve">natrijuma na antagoniste vitamina K (AVK) i obratno </w:t>
      </w:r>
    </w:p>
    <w:p w14:paraId="78A125D3" w14:textId="77777777"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Kliničko praćenje i laboratorijski testovi [protrombinsko vr</w:t>
      </w:r>
      <w:r w:rsidR="004B1216"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eme izraženo kao internacionalni normalizovani odnos (</w:t>
      </w:r>
      <w:r w:rsidRPr="00B82EF7">
        <w:rPr>
          <w:rFonts w:asciiTheme="majorBidi" w:hAnsiTheme="majorBidi" w:cstheme="majorBidi"/>
          <w:bCs/>
          <w:i/>
          <w:noProof/>
          <w:sz w:val="22"/>
          <w:szCs w:val="22"/>
          <w:lang w:val="sr-Latn-ME"/>
        </w:rPr>
        <w:t>International Normalized Ratio</w:t>
      </w:r>
      <w:r w:rsidRPr="00B82EF7">
        <w:rPr>
          <w:rFonts w:asciiTheme="majorBidi" w:hAnsiTheme="majorBidi" w:cstheme="majorBidi"/>
          <w:bCs/>
          <w:noProof/>
          <w:sz w:val="22"/>
          <w:szCs w:val="22"/>
          <w:lang w:val="sr-Latn-ME"/>
        </w:rPr>
        <w:t xml:space="preserve"> - INR)] se moraju intenzivirati kako bi se pratilo dejstvo antagonista vitamina K</w:t>
      </w:r>
      <w:r w:rsidRPr="00B82EF7">
        <w:rPr>
          <w:rFonts w:asciiTheme="majorBidi" w:hAnsiTheme="majorBidi" w:cstheme="majorBidi"/>
          <w:bCs/>
          <w:i/>
          <w:noProof/>
          <w:sz w:val="22"/>
          <w:szCs w:val="22"/>
          <w:lang w:val="sr-Latn-ME"/>
        </w:rPr>
        <w:t xml:space="preserve"> (AVK)</w:t>
      </w:r>
      <w:r w:rsidRPr="00B82EF7">
        <w:rPr>
          <w:rFonts w:asciiTheme="majorBidi" w:hAnsiTheme="majorBidi" w:cstheme="majorBidi"/>
          <w:bCs/>
          <w:noProof/>
          <w:sz w:val="22"/>
          <w:szCs w:val="22"/>
          <w:lang w:val="sr-Latn-ME"/>
        </w:rPr>
        <w:t>.</w:t>
      </w:r>
    </w:p>
    <w:p w14:paraId="59351B51" w14:textId="7DCA8C35"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Kako postoji interval pr</w:t>
      </w:r>
      <w:r w:rsidR="00D219FD"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nego što AVK dostigne svoje maksimaln</w:t>
      </w:r>
      <w:r w:rsidR="00D219FD" w:rsidRPr="00B82EF7">
        <w:rPr>
          <w:rFonts w:asciiTheme="majorBidi" w:hAnsiTheme="majorBidi" w:cstheme="majorBidi"/>
          <w:bCs/>
          <w:noProof/>
          <w:sz w:val="22"/>
          <w:szCs w:val="22"/>
          <w:lang w:val="sr-Latn-ME"/>
        </w:rPr>
        <w:t xml:space="preserve">o dejstvo, terapiju enoksaparin </w:t>
      </w:r>
      <w:r w:rsidRPr="00B82EF7">
        <w:rPr>
          <w:rFonts w:asciiTheme="majorBidi" w:hAnsiTheme="majorBidi" w:cstheme="majorBidi"/>
          <w:bCs/>
          <w:noProof/>
          <w:sz w:val="22"/>
          <w:szCs w:val="22"/>
          <w:lang w:val="sr-Latn-ME"/>
        </w:rPr>
        <w:t>natrijumom treba nastaviti pri stalnoj dozi onoliko dugo koliko je potrebno da se INR održ</w:t>
      </w:r>
      <w:r w:rsidR="0071200F" w:rsidRPr="00B82EF7">
        <w:rPr>
          <w:rFonts w:asciiTheme="majorBidi" w:hAnsiTheme="majorBidi" w:cstheme="majorBidi"/>
          <w:bCs/>
          <w:noProof/>
          <w:sz w:val="22"/>
          <w:szCs w:val="22"/>
          <w:lang w:val="sr-Latn-ME"/>
        </w:rPr>
        <w:t>i</w:t>
      </w:r>
      <w:r w:rsidRPr="00B82EF7">
        <w:rPr>
          <w:rFonts w:asciiTheme="majorBidi" w:hAnsiTheme="majorBidi" w:cstheme="majorBidi"/>
          <w:bCs/>
          <w:noProof/>
          <w:sz w:val="22"/>
          <w:szCs w:val="22"/>
          <w:lang w:val="sr-Latn-ME"/>
        </w:rPr>
        <w:t xml:space="preserve"> unutar željenog terapeutskog opsega za </w:t>
      </w:r>
      <w:r w:rsidR="0071200F" w:rsidRPr="00B82EF7">
        <w:rPr>
          <w:rFonts w:asciiTheme="majorBidi" w:hAnsiTheme="majorBidi" w:cstheme="majorBidi"/>
          <w:bCs/>
          <w:noProof/>
          <w:sz w:val="22"/>
          <w:szCs w:val="22"/>
          <w:lang w:val="sr-Latn-ME"/>
        </w:rPr>
        <w:t xml:space="preserve">određenu </w:t>
      </w:r>
      <w:r w:rsidRPr="00B82EF7">
        <w:rPr>
          <w:rFonts w:asciiTheme="majorBidi" w:hAnsiTheme="majorBidi" w:cstheme="majorBidi"/>
          <w:bCs/>
          <w:noProof/>
          <w:sz w:val="22"/>
          <w:szCs w:val="22"/>
          <w:lang w:val="sr-Latn-ME"/>
        </w:rPr>
        <w:t>indikaciju u dva uzastopna testa.</w:t>
      </w:r>
    </w:p>
    <w:p w14:paraId="6565E271" w14:textId="2AC095E1"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pacijente koji trenutno primaju AVK, terapiju AVK treba prekinuti i prvu dozu enoksaparin</w:t>
      </w:r>
      <w:r w:rsidR="00D219FD"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natrijuma treba dati kada INR padne ispod terapijskog opsega.</w:t>
      </w:r>
    </w:p>
    <w:p w14:paraId="39429402" w14:textId="547CF8CD" w:rsidR="001D2748" w:rsidRDefault="001D2748">
      <w:pPr>
        <w:ind w:left="360"/>
        <w:jc w:val="both"/>
        <w:rPr>
          <w:rFonts w:asciiTheme="majorBidi" w:hAnsiTheme="majorBidi" w:cstheme="majorBidi"/>
          <w:bCs/>
          <w:noProof/>
          <w:sz w:val="22"/>
          <w:szCs w:val="22"/>
          <w:lang w:val="sr-Latn-ME"/>
        </w:rPr>
      </w:pPr>
    </w:p>
    <w:p w14:paraId="5961C463" w14:textId="010815D2" w:rsidR="00B82EF7" w:rsidRDefault="00B82EF7">
      <w:pPr>
        <w:ind w:left="360"/>
        <w:jc w:val="both"/>
        <w:rPr>
          <w:rFonts w:asciiTheme="majorBidi" w:hAnsiTheme="majorBidi" w:cstheme="majorBidi"/>
          <w:bCs/>
          <w:noProof/>
          <w:sz w:val="22"/>
          <w:szCs w:val="22"/>
          <w:lang w:val="sr-Latn-ME"/>
        </w:rPr>
      </w:pPr>
    </w:p>
    <w:p w14:paraId="2E39D349" w14:textId="77777777" w:rsidR="00B82EF7" w:rsidRPr="00B82EF7" w:rsidRDefault="00B82EF7">
      <w:pPr>
        <w:ind w:left="360"/>
        <w:jc w:val="both"/>
        <w:rPr>
          <w:rFonts w:asciiTheme="majorBidi" w:hAnsiTheme="majorBidi" w:cstheme="majorBidi"/>
          <w:bCs/>
          <w:noProof/>
          <w:sz w:val="22"/>
          <w:szCs w:val="22"/>
          <w:lang w:val="sr-Latn-ME"/>
        </w:rPr>
      </w:pPr>
    </w:p>
    <w:p w14:paraId="10ACF819" w14:textId="77777777" w:rsidR="00DD7F82" w:rsidRPr="00B82EF7" w:rsidRDefault="00D219FD" w:rsidP="00F131CD">
      <w:pPr>
        <w:numPr>
          <w:ilvl w:val="0"/>
          <w:numId w:val="20"/>
        </w:numPr>
        <w:tabs>
          <w:tab w:val="left" w:pos="284"/>
        </w:tabs>
        <w:ind w:left="360" w:firstLine="0"/>
        <w:jc w:val="both"/>
        <w:rPr>
          <w:rFonts w:asciiTheme="majorBidi" w:hAnsiTheme="majorBidi" w:cstheme="majorBidi"/>
          <w:bCs/>
          <w:noProof/>
          <w:sz w:val="22"/>
          <w:szCs w:val="22"/>
          <w:lang w:val="sr-Latn-ME"/>
        </w:rPr>
      </w:pPr>
      <w:r w:rsidRPr="00B82EF7">
        <w:rPr>
          <w:rFonts w:asciiTheme="majorBidi" w:hAnsiTheme="majorBidi" w:cstheme="majorBidi"/>
          <w:bCs/>
          <w:i/>
          <w:noProof/>
          <w:sz w:val="22"/>
          <w:szCs w:val="22"/>
          <w:lang w:val="sr-Latn-ME"/>
        </w:rPr>
        <w:lastRenderedPageBreak/>
        <w:t xml:space="preserve">Prelazak sa enoksaparin </w:t>
      </w:r>
      <w:r w:rsidR="00DD7F82" w:rsidRPr="00B82EF7">
        <w:rPr>
          <w:rFonts w:asciiTheme="majorBidi" w:hAnsiTheme="majorBidi" w:cstheme="majorBidi"/>
          <w:bCs/>
          <w:i/>
          <w:noProof/>
          <w:sz w:val="22"/>
          <w:szCs w:val="22"/>
          <w:lang w:val="sr-Latn-ME"/>
        </w:rPr>
        <w:t>natrijuma na direktne oralne antikoagulanse (DOAK) i obratno</w:t>
      </w:r>
      <w:r w:rsidR="00DD7F82" w:rsidRPr="00B82EF7">
        <w:rPr>
          <w:rFonts w:asciiTheme="majorBidi" w:hAnsiTheme="majorBidi" w:cstheme="majorBidi"/>
          <w:bCs/>
          <w:noProof/>
          <w:sz w:val="22"/>
          <w:szCs w:val="22"/>
          <w:lang w:val="sr-Latn-ME"/>
        </w:rPr>
        <w:t xml:space="preserve"> </w:t>
      </w:r>
    </w:p>
    <w:p w14:paraId="56B691E6" w14:textId="4B8B39CA"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Za pacijente koji trenutno </w:t>
      </w:r>
      <w:r w:rsidR="00D219FD" w:rsidRPr="00B82EF7">
        <w:rPr>
          <w:rFonts w:asciiTheme="majorBidi" w:hAnsiTheme="majorBidi" w:cstheme="majorBidi"/>
          <w:bCs/>
          <w:noProof/>
          <w:sz w:val="22"/>
          <w:szCs w:val="22"/>
          <w:lang w:val="sr-Latn-ME"/>
        </w:rPr>
        <w:t xml:space="preserve">primaju enoksaparin </w:t>
      </w:r>
      <w:r w:rsidRPr="00B82EF7">
        <w:rPr>
          <w:rFonts w:asciiTheme="majorBidi" w:hAnsiTheme="majorBidi" w:cstheme="majorBidi"/>
          <w:bCs/>
          <w:noProof/>
          <w:sz w:val="22"/>
          <w:szCs w:val="22"/>
          <w:lang w:val="sr-Latn-ME"/>
        </w:rPr>
        <w:t>natrijum,</w:t>
      </w:r>
      <w:r w:rsidR="00D219FD" w:rsidRPr="00B82EF7">
        <w:rPr>
          <w:rFonts w:asciiTheme="majorBidi" w:hAnsiTheme="majorBidi" w:cstheme="majorBidi"/>
          <w:bCs/>
          <w:noProof/>
          <w:sz w:val="22"/>
          <w:szCs w:val="22"/>
          <w:lang w:val="sr-Latn-ME"/>
        </w:rPr>
        <w:t xml:space="preserve"> prekinite terapiju enoksaparin </w:t>
      </w:r>
      <w:r w:rsidRPr="00B82EF7">
        <w:rPr>
          <w:rFonts w:asciiTheme="majorBidi" w:hAnsiTheme="majorBidi" w:cstheme="majorBidi"/>
          <w:bCs/>
          <w:noProof/>
          <w:sz w:val="22"/>
          <w:szCs w:val="22"/>
          <w:lang w:val="sr-Latn-ME"/>
        </w:rPr>
        <w:t>natrijumom i započnite terapiju direktnim oralnim antikoagulansima (DOAK) 0 do 2 sata pr</w:t>
      </w:r>
      <w:r w:rsidR="00D219FD"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planirane p</w:t>
      </w:r>
      <w:r w:rsidR="00D219FD" w:rsidRPr="00B82EF7">
        <w:rPr>
          <w:rFonts w:asciiTheme="majorBidi" w:hAnsiTheme="majorBidi" w:cstheme="majorBidi"/>
          <w:bCs/>
          <w:noProof/>
          <w:sz w:val="22"/>
          <w:szCs w:val="22"/>
          <w:lang w:val="sr-Latn-ME"/>
        </w:rPr>
        <w:t xml:space="preserve">rimjene sljedeće doze enoksaparin </w:t>
      </w:r>
      <w:r w:rsidRPr="00B82EF7">
        <w:rPr>
          <w:rFonts w:asciiTheme="majorBidi" w:hAnsiTheme="majorBidi" w:cstheme="majorBidi"/>
          <w:bCs/>
          <w:noProof/>
          <w:sz w:val="22"/>
          <w:szCs w:val="22"/>
          <w:lang w:val="sr-Latn-ME"/>
        </w:rPr>
        <w:t xml:space="preserve">natrijuma, </w:t>
      </w:r>
      <w:r w:rsidR="0071200F" w:rsidRPr="00B82EF7">
        <w:rPr>
          <w:rFonts w:asciiTheme="majorBidi" w:hAnsiTheme="majorBidi" w:cstheme="majorBidi"/>
          <w:bCs/>
          <w:noProof/>
          <w:sz w:val="22"/>
          <w:szCs w:val="22"/>
          <w:lang w:val="sr-Latn-ME"/>
        </w:rPr>
        <w:t xml:space="preserve">u skladu sa informacijama iz Sažetka karakteristika lijeka za </w:t>
      </w:r>
      <w:r w:rsidRPr="00B82EF7">
        <w:rPr>
          <w:rFonts w:asciiTheme="majorBidi" w:hAnsiTheme="majorBidi" w:cstheme="majorBidi"/>
          <w:bCs/>
          <w:noProof/>
          <w:sz w:val="22"/>
          <w:szCs w:val="22"/>
          <w:lang w:val="sr-Latn-ME"/>
        </w:rPr>
        <w:t>DOAK.</w:t>
      </w:r>
    </w:p>
    <w:p w14:paraId="350814F3" w14:textId="77777777"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Za pacijente koji trenutno primaju DOAK, prvu dozu enoksap</w:t>
      </w:r>
      <w:r w:rsidR="00D219FD" w:rsidRPr="00B82EF7">
        <w:rPr>
          <w:rFonts w:asciiTheme="majorBidi" w:hAnsiTheme="majorBidi" w:cstheme="majorBidi"/>
          <w:bCs/>
          <w:noProof/>
          <w:sz w:val="22"/>
          <w:szCs w:val="22"/>
          <w:lang w:val="sr-Latn-ME"/>
        </w:rPr>
        <w:t xml:space="preserve">arin </w:t>
      </w:r>
      <w:r w:rsidRPr="00B82EF7">
        <w:rPr>
          <w:rFonts w:asciiTheme="majorBidi" w:hAnsiTheme="majorBidi" w:cstheme="majorBidi"/>
          <w:bCs/>
          <w:noProof/>
          <w:sz w:val="22"/>
          <w:szCs w:val="22"/>
          <w:lang w:val="sr-Latn-ME"/>
        </w:rPr>
        <w:t>natrijuma treba dati u trenutku kada se prim</w:t>
      </w:r>
      <w:r w:rsidR="00D219F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enjuje sl</w:t>
      </w:r>
      <w:r w:rsidR="00D219F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edeća doza DOAK.</w:t>
      </w:r>
    </w:p>
    <w:p w14:paraId="12187370" w14:textId="77777777" w:rsidR="00DD7F82" w:rsidRPr="00B82EF7" w:rsidRDefault="00DD7F82">
      <w:pPr>
        <w:jc w:val="both"/>
        <w:rPr>
          <w:rFonts w:asciiTheme="majorBidi" w:hAnsiTheme="majorBidi" w:cstheme="majorBidi"/>
          <w:bCs/>
          <w:noProof/>
          <w:sz w:val="22"/>
          <w:szCs w:val="22"/>
          <w:u w:val="single"/>
          <w:lang w:val="sr-Latn-ME"/>
        </w:rPr>
      </w:pPr>
    </w:p>
    <w:p w14:paraId="4F115C43" w14:textId="77777777" w:rsidR="00DD7F82" w:rsidRPr="00B82EF7" w:rsidRDefault="00DD7F82">
      <w:pPr>
        <w:jc w:val="both"/>
        <w:rPr>
          <w:rFonts w:asciiTheme="majorBidi" w:hAnsiTheme="majorBidi" w:cstheme="majorBidi"/>
          <w:bCs/>
          <w:noProof/>
          <w:sz w:val="22"/>
          <w:szCs w:val="22"/>
          <w:u w:val="single"/>
          <w:lang w:val="sr-Latn-ME"/>
        </w:rPr>
      </w:pPr>
      <w:r w:rsidRPr="00B82EF7">
        <w:rPr>
          <w:rFonts w:asciiTheme="majorBidi" w:hAnsiTheme="majorBidi" w:cstheme="majorBidi"/>
          <w:bCs/>
          <w:noProof/>
          <w:sz w:val="22"/>
          <w:szCs w:val="22"/>
          <w:u w:val="single"/>
          <w:lang w:val="sr-Latn-ME"/>
        </w:rPr>
        <w:t>Prim</w:t>
      </w:r>
      <w:r w:rsidR="00D219FD" w:rsidRPr="00B82EF7">
        <w:rPr>
          <w:rFonts w:asciiTheme="majorBidi" w:hAnsiTheme="majorBidi" w:cstheme="majorBidi"/>
          <w:bCs/>
          <w:noProof/>
          <w:sz w:val="22"/>
          <w:szCs w:val="22"/>
          <w:u w:val="single"/>
          <w:lang w:val="sr-Latn-ME"/>
        </w:rPr>
        <w:t>j</w:t>
      </w:r>
      <w:r w:rsidRPr="00B82EF7">
        <w:rPr>
          <w:rFonts w:asciiTheme="majorBidi" w:hAnsiTheme="majorBidi" w:cstheme="majorBidi"/>
          <w:bCs/>
          <w:noProof/>
          <w:sz w:val="22"/>
          <w:szCs w:val="22"/>
          <w:u w:val="single"/>
          <w:lang w:val="sr-Latn-ME"/>
        </w:rPr>
        <w:t>ena kod spinalne/epiduralne anestezije ili lumbalne punkcije</w:t>
      </w:r>
    </w:p>
    <w:p w14:paraId="680D689A" w14:textId="77777777" w:rsidR="00DD7F82" w:rsidRPr="00B82EF7" w:rsidRDefault="00DD7F82">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Ukoliko l</w:t>
      </w:r>
      <w:r w:rsidR="00D219F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ekar odluči da prim</w:t>
      </w:r>
      <w:r w:rsidR="00D219FD"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eni antikoagulantnu terapiju kod epiduralne ili spinalne anestezije/analgezije ili lumbalne punkcije, preporučuje se pažljivo neurološko praćenje zbog rizika od neuraksijalnih hematoma (vid</w:t>
      </w:r>
      <w:r w:rsidR="00D219F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od</w:t>
      </w:r>
      <w:r w:rsidR="00D219F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eljak 4.4). </w:t>
      </w:r>
    </w:p>
    <w:p w14:paraId="6572DC38" w14:textId="77777777" w:rsidR="00DD7F82" w:rsidRPr="00B82EF7" w:rsidRDefault="00DD7F82" w:rsidP="00F131CD">
      <w:pPr>
        <w:numPr>
          <w:ilvl w:val="0"/>
          <w:numId w:val="19"/>
        </w:numPr>
        <w:ind w:left="360" w:firstLine="0"/>
        <w:contextualSpacing/>
        <w:jc w:val="both"/>
        <w:rPr>
          <w:rFonts w:asciiTheme="majorBidi" w:hAnsiTheme="majorBidi" w:cstheme="majorBidi"/>
          <w:bCs/>
          <w:noProof/>
          <w:sz w:val="22"/>
          <w:szCs w:val="22"/>
          <w:lang w:val="sr-Latn-ME"/>
        </w:rPr>
      </w:pPr>
      <w:r w:rsidRPr="00B82EF7">
        <w:rPr>
          <w:rFonts w:asciiTheme="majorBidi" w:hAnsiTheme="majorBidi" w:cstheme="majorBidi"/>
          <w:bCs/>
          <w:i/>
          <w:iCs/>
          <w:noProof/>
          <w:sz w:val="22"/>
          <w:szCs w:val="22"/>
          <w:lang w:val="sr-Latn-ME"/>
        </w:rPr>
        <w:t xml:space="preserve">Pri dozama koje se koriste za profilaksu </w:t>
      </w:r>
    </w:p>
    <w:p w14:paraId="02774F5A" w14:textId="77777777" w:rsidR="00DD7F82" w:rsidRPr="00B82EF7" w:rsidRDefault="00DD7F82">
      <w:pPr>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Između posl</w:t>
      </w:r>
      <w:r w:rsidR="00A16D03" w:rsidRPr="00B82EF7">
        <w:rPr>
          <w:rFonts w:asciiTheme="majorBidi" w:hAnsiTheme="majorBidi" w:cstheme="majorBidi"/>
          <w:bCs/>
          <w:noProof/>
          <w:sz w:val="22"/>
          <w:szCs w:val="22"/>
          <w:lang w:val="sr-Latn-ME"/>
        </w:rPr>
        <w:t xml:space="preserve">jednje injekcije enoksaparin </w:t>
      </w:r>
      <w:r w:rsidRPr="00B82EF7">
        <w:rPr>
          <w:rFonts w:asciiTheme="majorBidi" w:hAnsiTheme="majorBidi" w:cstheme="majorBidi"/>
          <w:bCs/>
          <w:noProof/>
          <w:sz w:val="22"/>
          <w:szCs w:val="22"/>
          <w:lang w:val="sr-Latn-ME"/>
        </w:rPr>
        <w:t xml:space="preserve">natrijuma u profilaktičkim dozama i uvođenja igle ili katetera mora proći period od najmanje 12 sati bez ikakvih uboda. </w:t>
      </w:r>
    </w:p>
    <w:p w14:paraId="362BDE9A"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Kada se koriste kontinuirane tehnike, pr</w:t>
      </w:r>
      <w:r w:rsidR="00A16D03"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 uklanjanja katetera takođe mora proći najmanje 12 sati. </w:t>
      </w:r>
    </w:p>
    <w:p w14:paraId="4C07888C"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Kod pacijenata sa klirensom kreatinina od 15 do 30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/min, razmotrite udvostručenje vremena do uboda/uvođenja ili uklanjanja katetera na najmanje 24 sata. </w:t>
      </w:r>
    </w:p>
    <w:p w14:paraId="580E4218" w14:textId="77777777" w:rsidR="00DD7F82" w:rsidRPr="00B82EF7" w:rsidRDefault="00A16D03">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Uvođenje enoksaparin </w:t>
      </w:r>
      <w:r w:rsidR="00DD7F82" w:rsidRPr="00B82EF7">
        <w:rPr>
          <w:rFonts w:asciiTheme="majorBidi" w:hAnsiTheme="majorBidi" w:cstheme="majorBidi"/>
          <w:bCs/>
          <w:noProof/>
          <w:sz w:val="22"/>
          <w:szCs w:val="22"/>
          <w:lang w:val="sr-Latn-ME"/>
        </w:rPr>
        <w:t xml:space="preserve">natrijuma u dozi od </w:t>
      </w:r>
      <w:r w:rsidR="007E1FF7" w:rsidRPr="00B82EF7">
        <w:rPr>
          <w:rFonts w:asciiTheme="majorBidi" w:hAnsiTheme="majorBidi" w:cstheme="majorBidi"/>
          <w:bCs/>
          <w:noProof/>
          <w:sz w:val="22"/>
          <w:szCs w:val="22"/>
          <w:lang w:val="sr-Latn-ME"/>
        </w:rPr>
        <w:t>2 000</w:t>
      </w:r>
      <w:r w:rsidR="00DD7F82" w:rsidRPr="00B82EF7">
        <w:rPr>
          <w:rFonts w:asciiTheme="majorBidi" w:hAnsiTheme="majorBidi" w:cstheme="majorBidi"/>
          <w:bCs/>
          <w:noProof/>
          <w:sz w:val="22"/>
          <w:szCs w:val="22"/>
          <w:lang w:val="sr-Latn-ME"/>
        </w:rPr>
        <w:t xml:space="preserve"> i.j. (20 mg) 2 sata pr</w:t>
      </w:r>
      <w:r w:rsidRPr="00B82EF7">
        <w:rPr>
          <w:rFonts w:asciiTheme="majorBidi" w:hAnsiTheme="majorBidi" w:cstheme="majorBidi"/>
          <w:bCs/>
          <w:noProof/>
          <w:sz w:val="22"/>
          <w:szCs w:val="22"/>
          <w:lang w:val="sr-Latn-ME"/>
        </w:rPr>
        <w:t>ij</w:t>
      </w:r>
      <w:r w:rsidR="00DD7F82" w:rsidRPr="00B82EF7">
        <w:rPr>
          <w:rFonts w:asciiTheme="majorBidi" w:hAnsiTheme="majorBidi" w:cstheme="majorBidi"/>
          <w:bCs/>
          <w:noProof/>
          <w:sz w:val="22"/>
          <w:szCs w:val="22"/>
          <w:lang w:val="sr-Latn-ME"/>
        </w:rPr>
        <w:t xml:space="preserve">e operacije nije kompatibilno sa neuraksijalnom anestezijom. </w:t>
      </w:r>
    </w:p>
    <w:p w14:paraId="360A6763" w14:textId="77777777" w:rsidR="00DD7F82" w:rsidRPr="00B82EF7" w:rsidRDefault="00DD7F82" w:rsidP="00F131CD">
      <w:pPr>
        <w:numPr>
          <w:ilvl w:val="0"/>
          <w:numId w:val="21"/>
        </w:numPr>
        <w:ind w:left="350" w:firstLine="0"/>
        <w:contextualSpacing/>
        <w:jc w:val="both"/>
        <w:rPr>
          <w:rFonts w:asciiTheme="majorBidi" w:hAnsiTheme="majorBidi" w:cstheme="majorBidi"/>
          <w:bCs/>
          <w:noProof/>
          <w:sz w:val="22"/>
          <w:szCs w:val="22"/>
          <w:lang w:val="sr-Latn-ME"/>
        </w:rPr>
      </w:pPr>
      <w:r w:rsidRPr="00B82EF7">
        <w:rPr>
          <w:rFonts w:asciiTheme="majorBidi" w:hAnsiTheme="majorBidi" w:cstheme="majorBidi"/>
          <w:bCs/>
          <w:i/>
          <w:iCs/>
          <w:noProof/>
          <w:sz w:val="22"/>
          <w:szCs w:val="22"/>
          <w:lang w:val="sr-Latn-ME"/>
        </w:rPr>
        <w:t xml:space="preserve">Pri dozama koje se koriste za terapiju </w:t>
      </w:r>
    </w:p>
    <w:p w14:paraId="482D248B"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Između posl</w:t>
      </w:r>
      <w:r w:rsidR="00B52A1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ednje injekcije enoksaparin</w:t>
      </w:r>
      <w:r w:rsidR="00B52A1D"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natrijuma u terapijskim dozama i uvođenja igle ili katetera mora proći period od najmanje 24 sata bez ikakvih uboda (vid</w:t>
      </w:r>
      <w:r w:rsidR="00B52A1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eti i od</w:t>
      </w:r>
      <w:r w:rsidR="00B52A1D"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eljak 4.3). </w:t>
      </w:r>
    </w:p>
    <w:p w14:paraId="06DFD1B3"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Kada se koriste kontinuirane tehnike, pr</w:t>
      </w:r>
      <w:r w:rsidR="00B52A1D"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 uklanjanja katetera takođe mora proći najmanje 24 sata. </w:t>
      </w:r>
    </w:p>
    <w:p w14:paraId="537C7467"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Kod pacijenata sa klirensom kreatinina od 15 do 30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/min, razmotrite udvostručenje vremena do uboda/uvođenja ili uklanjanja katetera na najmanje 48 sati. </w:t>
      </w:r>
    </w:p>
    <w:p w14:paraId="688A6BFB" w14:textId="77777777" w:rsidR="00DD7F82" w:rsidRPr="00B82EF7" w:rsidRDefault="00DD7F82">
      <w:pPr>
        <w:tabs>
          <w:tab w:val="left" w:pos="284"/>
        </w:tabs>
        <w:ind w:left="36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Pacijenti koji primaju dv</w:t>
      </w:r>
      <w:r w:rsidR="00B52A1D"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doze na dan (npr. 75 i.j./kg (0,75 mg/kg) dvaput na dan ili 100 i.j./kg (1 mg/kg) dvaput na dan) treba da preskoče drugu dozu enoksaparin</w:t>
      </w:r>
      <w:r w:rsidR="000F0F88" w:rsidRPr="00B82EF7">
        <w:rPr>
          <w:rFonts w:asciiTheme="majorBidi" w:hAnsiTheme="majorBidi" w:cstheme="majorBidi"/>
          <w:bCs/>
          <w:noProof/>
          <w:sz w:val="22"/>
          <w:szCs w:val="22"/>
          <w:lang w:val="sr-Latn-ME"/>
        </w:rPr>
        <w:t xml:space="preserve"> </w:t>
      </w:r>
      <w:r w:rsidRPr="00B82EF7">
        <w:rPr>
          <w:rFonts w:asciiTheme="majorBidi" w:hAnsiTheme="majorBidi" w:cstheme="majorBidi"/>
          <w:bCs/>
          <w:noProof/>
          <w:sz w:val="22"/>
          <w:szCs w:val="22"/>
          <w:lang w:val="sr-Latn-ME"/>
        </w:rPr>
        <w:t>natrijuma</w:t>
      </w:r>
      <w:r w:rsidR="000F0F88" w:rsidRPr="00B82EF7">
        <w:rPr>
          <w:rFonts w:asciiTheme="majorBidi" w:hAnsiTheme="majorBidi" w:cstheme="majorBidi"/>
          <w:bCs/>
          <w:noProof/>
          <w:sz w:val="22"/>
          <w:szCs w:val="22"/>
          <w:lang w:val="sr-Latn-ME"/>
        </w:rPr>
        <w:t>,</w:t>
      </w:r>
      <w:r w:rsidRPr="00B82EF7">
        <w:rPr>
          <w:rFonts w:asciiTheme="majorBidi" w:hAnsiTheme="majorBidi" w:cstheme="majorBidi"/>
          <w:bCs/>
          <w:noProof/>
          <w:sz w:val="22"/>
          <w:szCs w:val="22"/>
          <w:lang w:val="sr-Latn-ME"/>
        </w:rPr>
        <w:t xml:space="preserve"> kako bi se omogućio dovoljan vremenski razmak pr</w:t>
      </w:r>
      <w:r w:rsidR="000F0F88"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 uvođenja ili uklanjanja katetera. </w:t>
      </w:r>
    </w:p>
    <w:p w14:paraId="215D70D9" w14:textId="4B94AC95" w:rsidR="00DD7F82" w:rsidRPr="00B82EF7" w:rsidRDefault="00DD7F82">
      <w:pPr>
        <w:tabs>
          <w:tab w:val="left" w:pos="284"/>
        </w:tabs>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Nivoi anti-Xa aktivnosti i dalje su m</w:t>
      </w:r>
      <w:r w:rsidR="000F0F88"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erljivi u tim vremenskim tačkama, pa navedeni vremenski razmaci ni</w:t>
      </w:r>
      <w:r w:rsidR="0071200F" w:rsidRPr="00B82EF7">
        <w:rPr>
          <w:rFonts w:asciiTheme="majorBidi" w:hAnsiTheme="majorBidi" w:cstheme="majorBidi"/>
          <w:bCs/>
          <w:noProof/>
          <w:sz w:val="22"/>
          <w:szCs w:val="22"/>
          <w:lang w:val="sr-Latn-ME"/>
        </w:rPr>
        <w:t>je</w:t>
      </w:r>
      <w:r w:rsidRPr="00B82EF7">
        <w:rPr>
          <w:rFonts w:asciiTheme="majorBidi" w:hAnsiTheme="majorBidi" w:cstheme="majorBidi"/>
          <w:bCs/>
          <w:noProof/>
          <w:sz w:val="22"/>
          <w:szCs w:val="22"/>
          <w:lang w:val="sr-Latn-ME"/>
        </w:rPr>
        <w:t>su garancija da će se izb</w:t>
      </w:r>
      <w:r w:rsidR="000F0F88"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 xml:space="preserve">eći neuraksijalni hematom. </w:t>
      </w:r>
    </w:p>
    <w:p w14:paraId="18BF078E" w14:textId="01C9B45B" w:rsidR="00DD7F82" w:rsidRPr="00B82EF7" w:rsidRDefault="00DD7F82" w:rsidP="00F131CD">
      <w:pPr>
        <w:tabs>
          <w:tab w:val="left" w:pos="540"/>
          <w:tab w:val="left" w:pos="569"/>
        </w:tabs>
        <w:jc w:val="both"/>
        <w:rPr>
          <w:rFonts w:asciiTheme="majorBidi" w:hAnsiTheme="majorBidi" w:cstheme="majorBidi"/>
          <w:bCs/>
          <w:sz w:val="22"/>
          <w:szCs w:val="22"/>
          <w:lang w:val="sr-Latn-ME"/>
        </w:rPr>
      </w:pPr>
      <w:r w:rsidRPr="00B82EF7">
        <w:rPr>
          <w:rFonts w:asciiTheme="majorBidi" w:hAnsiTheme="majorBidi" w:cstheme="majorBidi"/>
          <w:bCs/>
          <w:noProof/>
          <w:sz w:val="22"/>
          <w:szCs w:val="22"/>
          <w:lang w:val="sr-Latn-ME"/>
        </w:rPr>
        <w:t>Isto tako, razmislite o tome da ne prim</w:t>
      </w:r>
      <w:r w:rsidR="000F0F88" w:rsidRPr="00B82EF7">
        <w:rPr>
          <w:rFonts w:asciiTheme="majorBidi" w:hAnsiTheme="majorBidi" w:cstheme="majorBidi"/>
          <w:bCs/>
          <w:noProof/>
          <w:sz w:val="22"/>
          <w:szCs w:val="22"/>
          <w:lang w:val="sr-Latn-ME"/>
        </w:rPr>
        <w:t xml:space="preserve">ijenite enoksaparin </w:t>
      </w:r>
      <w:r w:rsidRPr="00B82EF7">
        <w:rPr>
          <w:rFonts w:asciiTheme="majorBidi" w:hAnsiTheme="majorBidi" w:cstheme="majorBidi"/>
          <w:bCs/>
          <w:noProof/>
          <w:sz w:val="22"/>
          <w:szCs w:val="22"/>
          <w:lang w:val="sr-Latn-ME"/>
        </w:rPr>
        <w:t>natrijum najmanje 4 sata nakon spinalne/epiduralne punkcije ili uklanjanja katetera. Vremenski razmak mora se zasniva</w:t>
      </w:r>
      <w:r w:rsidR="0071200F" w:rsidRPr="00B82EF7">
        <w:rPr>
          <w:rFonts w:asciiTheme="majorBidi" w:hAnsiTheme="majorBidi" w:cstheme="majorBidi"/>
          <w:bCs/>
          <w:noProof/>
          <w:sz w:val="22"/>
          <w:szCs w:val="22"/>
          <w:lang w:val="sr-Latn-ME"/>
        </w:rPr>
        <w:t>ti</w:t>
      </w:r>
      <w:r w:rsidRPr="00B82EF7">
        <w:rPr>
          <w:rFonts w:asciiTheme="majorBidi" w:hAnsiTheme="majorBidi" w:cstheme="majorBidi"/>
          <w:bCs/>
          <w:noProof/>
          <w:sz w:val="22"/>
          <w:szCs w:val="22"/>
          <w:lang w:val="sr-Latn-ME"/>
        </w:rPr>
        <w:t xml:space="preserve"> na proc</w:t>
      </w:r>
      <w:r w:rsidR="000F0F88"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eni koristi i rizika, uzimajući u obzir i rizik od tromboze i rizik od krvarenja u kontekstu procedure i faktora rizika</w:t>
      </w:r>
      <w:r w:rsidR="0071200F" w:rsidRPr="00B82EF7">
        <w:rPr>
          <w:rFonts w:asciiTheme="majorBidi" w:hAnsiTheme="majorBidi" w:cstheme="majorBidi"/>
          <w:bCs/>
          <w:noProof/>
          <w:sz w:val="22"/>
          <w:szCs w:val="22"/>
          <w:lang w:val="sr-Latn-ME"/>
        </w:rPr>
        <w:t xml:space="preserve"> pacijenta</w:t>
      </w:r>
      <w:r w:rsidRPr="00B82EF7">
        <w:rPr>
          <w:rFonts w:asciiTheme="majorBidi" w:hAnsiTheme="majorBidi" w:cstheme="majorBidi"/>
          <w:bCs/>
          <w:noProof/>
          <w:sz w:val="22"/>
          <w:szCs w:val="22"/>
          <w:lang w:val="sr-Latn-ME"/>
        </w:rPr>
        <w:t>.</w:t>
      </w:r>
    </w:p>
    <w:p w14:paraId="73919A70" w14:textId="77777777" w:rsidR="00DD7F82" w:rsidRPr="00B82EF7" w:rsidRDefault="00DD7F82" w:rsidP="00F131CD">
      <w:pPr>
        <w:tabs>
          <w:tab w:val="left" w:pos="540"/>
          <w:tab w:val="left" w:pos="569"/>
        </w:tabs>
        <w:jc w:val="both"/>
        <w:rPr>
          <w:rFonts w:asciiTheme="majorBidi" w:hAnsiTheme="majorBidi" w:cstheme="majorBidi"/>
          <w:bCs/>
          <w:sz w:val="22"/>
          <w:szCs w:val="22"/>
          <w:lang w:val="sr-Latn-ME"/>
        </w:rPr>
      </w:pPr>
    </w:p>
    <w:p w14:paraId="33DEC24F"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4.3.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Kontraindikacije</w:t>
      </w:r>
    </w:p>
    <w:p w14:paraId="03D121DA"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090C50CF" w14:textId="77777777" w:rsidR="00DD7F82" w:rsidRPr="00B82EF7" w:rsidRDefault="00483E5F"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Enoksaparin </w:t>
      </w:r>
      <w:r w:rsidR="00DD7F82" w:rsidRPr="00B82EF7">
        <w:rPr>
          <w:rFonts w:asciiTheme="majorBidi" w:hAnsiTheme="majorBidi" w:cstheme="majorBidi"/>
          <w:noProof/>
          <w:sz w:val="22"/>
          <w:szCs w:val="22"/>
          <w:lang w:val="sr-Latn-ME"/>
        </w:rPr>
        <w:t xml:space="preserve">natrijum je kontraindikovan kod pacijenata sa: </w:t>
      </w:r>
    </w:p>
    <w:p w14:paraId="3884D9E9" w14:textId="77777777" w:rsidR="00DD7F82" w:rsidRPr="00B82EF7" w:rsidRDefault="00DD7F82" w:rsidP="00C36CDC">
      <w:pPr>
        <w:numPr>
          <w:ilvl w:val="0"/>
          <w:numId w:val="22"/>
        </w:numPr>
        <w:ind w:left="360" w:firstLine="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preos</w:t>
      </w:r>
      <w:r w:rsidR="000F0F88" w:rsidRPr="00B82EF7">
        <w:rPr>
          <w:rFonts w:asciiTheme="majorBidi" w:hAnsiTheme="majorBidi" w:cstheme="majorBidi"/>
          <w:noProof/>
          <w:sz w:val="22"/>
          <w:szCs w:val="22"/>
          <w:lang w:val="sr-Latn-ME"/>
        </w:rPr>
        <w:t>j</w:t>
      </w:r>
      <w:r w:rsidR="00483E5F" w:rsidRPr="00B82EF7">
        <w:rPr>
          <w:rFonts w:asciiTheme="majorBidi" w:hAnsiTheme="majorBidi" w:cstheme="majorBidi"/>
          <w:noProof/>
          <w:sz w:val="22"/>
          <w:szCs w:val="22"/>
          <w:lang w:val="sr-Latn-ME"/>
        </w:rPr>
        <w:t xml:space="preserve">etljivošću na enoksaparin </w:t>
      </w:r>
      <w:r w:rsidRPr="00B82EF7">
        <w:rPr>
          <w:rFonts w:asciiTheme="majorBidi" w:hAnsiTheme="majorBidi" w:cstheme="majorBidi"/>
          <w:noProof/>
          <w:sz w:val="22"/>
          <w:szCs w:val="22"/>
          <w:lang w:val="sr-Latn-ME"/>
        </w:rPr>
        <w:t>natrijum, heparin ili njegove derivate, uključujući druge heparine niske molekulske mase</w:t>
      </w:r>
      <w:r w:rsidRPr="00B82EF7">
        <w:rPr>
          <w:rFonts w:asciiTheme="majorBidi" w:hAnsiTheme="majorBidi" w:cstheme="majorBidi"/>
          <w:sz w:val="22"/>
          <w:szCs w:val="22"/>
          <w:lang w:val="sr-Latn-ME"/>
        </w:rPr>
        <w:t xml:space="preserve"> (</w:t>
      </w:r>
      <w:r w:rsidRPr="00B82EF7">
        <w:rPr>
          <w:rFonts w:asciiTheme="majorBidi" w:hAnsiTheme="majorBidi" w:cstheme="majorBidi"/>
          <w:i/>
          <w:noProof/>
          <w:sz w:val="22"/>
          <w:szCs w:val="22"/>
          <w:lang w:val="sr-Latn-ME"/>
        </w:rPr>
        <w:t>low molecular weight heparins</w:t>
      </w:r>
      <w:r w:rsidRPr="00B82EF7">
        <w:rPr>
          <w:rFonts w:asciiTheme="majorBidi" w:hAnsiTheme="majorBidi" w:cstheme="majorBidi"/>
          <w:noProof/>
          <w:sz w:val="22"/>
          <w:szCs w:val="22"/>
          <w:lang w:val="sr-Latn-ME"/>
        </w:rPr>
        <w:t xml:space="preserve"> - LMWH) ili neku od pomoćnih supstanci navedenih u od</w:t>
      </w:r>
      <w:r w:rsidR="00483E5F"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eljku 6.1; </w:t>
      </w:r>
    </w:p>
    <w:p w14:paraId="5BA888C6" w14:textId="77777777" w:rsidR="00DD7F82" w:rsidRPr="00B82EF7" w:rsidRDefault="00DD7F82" w:rsidP="00F131CD">
      <w:pPr>
        <w:numPr>
          <w:ilvl w:val="0"/>
          <w:numId w:val="22"/>
        </w:numPr>
        <w:ind w:left="360" w:firstLine="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anamnezom imunološki posredovane heparinom izazvane trombocitopenije (HIT) u prethodnih 100 dana ili prisustvom cirkulišućih antit</w:t>
      </w:r>
      <w:r w:rsidR="00483E5F"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ela (vid</w:t>
      </w:r>
      <w:r w:rsidR="00483E5F"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i od</w:t>
      </w:r>
      <w:r w:rsidR="00483E5F"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eljak 4.4);</w:t>
      </w:r>
    </w:p>
    <w:p w14:paraId="6B93F88E" w14:textId="77777777" w:rsidR="000F0F88" w:rsidRPr="00B82EF7" w:rsidRDefault="00DD7F82" w:rsidP="00F131CD">
      <w:pPr>
        <w:numPr>
          <w:ilvl w:val="0"/>
          <w:numId w:val="22"/>
        </w:numPr>
        <w:ind w:left="360" w:firstLine="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aktivnim klinički značajnim krvarenjem i stanjima kod kojih postoji visok rizik od krvarenja, uključujući nedavni hemoragijski moždani udar, gastrointestinalni ulkus, prisustvo malignih neoplazmi u visokom riziku od krvarenja, nedavna operacija na mozgu, kičmi ili očima, poznate ili suspektne varikozitete jednjaka, arteriovenske malformacije, vaskularne aneurizme ili veće intraspinalne ili intracerebralne vaskularne abnormalnosti;</w:t>
      </w:r>
    </w:p>
    <w:p w14:paraId="26B35D9E" w14:textId="77777777" w:rsidR="00DD7F82" w:rsidRPr="00B82EF7" w:rsidRDefault="00DD7F82" w:rsidP="00F131CD">
      <w:pPr>
        <w:numPr>
          <w:ilvl w:val="0"/>
          <w:numId w:val="22"/>
        </w:numPr>
        <w:ind w:left="360" w:firstLine="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spinalnom ili epiduralnom anestezijom ili lokoregionalnom </w:t>
      </w:r>
      <w:r w:rsidR="00483E5F" w:rsidRPr="00B82EF7">
        <w:rPr>
          <w:rFonts w:asciiTheme="majorBidi" w:hAnsiTheme="majorBidi" w:cstheme="majorBidi"/>
          <w:noProof/>
          <w:sz w:val="22"/>
          <w:szCs w:val="22"/>
          <w:lang w:val="sr-Latn-ME"/>
        </w:rPr>
        <w:t xml:space="preserve">anestezijom kada je enoksaparin </w:t>
      </w:r>
      <w:r w:rsidRPr="00B82EF7">
        <w:rPr>
          <w:rFonts w:asciiTheme="majorBidi" w:hAnsiTheme="majorBidi" w:cstheme="majorBidi"/>
          <w:noProof/>
          <w:sz w:val="22"/>
          <w:szCs w:val="22"/>
          <w:lang w:val="sr-Latn-ME"/>
        </w:rPr>
        <w:t>natrijum prim</w:t>
      </w:r>
      <w:r w:rsidR="00483E5F"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enjen u terapiji u prethodna 24 sata (vid</w:t>
      </w:r>
      <w:r w:rsidR="00483E5F"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od</w:t>
      </w:r>
      <w:r w:rsidR="00483E5F"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eljak 4.4)</w:t>
      </w:r>
    </w:p>
    <w:p w14:paraId="4A1B3DF4" w14:textId="77777777" w:rsidR="00DD7F82" w:rsidRPr="00B82EF7" w:rsidRDefault="00DD7F82" w:rsidP="00F131CD">
      <w:pPr>
        <w:tabs>
          <w:tab w:val="left" w:pos="540"/>
          <w:tab w:val="left" w:pos="569"/>
        </w:tabs>
        <w:jc w:val="both"/>
        <w:rPr>
          <w:rFonts w:asciiTheme="majorBidi" w:hAnsiTheme="majorBidi" w:cstheme="majorBidi"/>
          <w:bCs/>
          <w:sz w:val="22"/>
          <w:szCs w:val="22"/>
          <w:lang w:val="sr-Latn-ME"/>
        </w:rPr>
      </w:pPr>
    </w:p>
    <w:p w14:paraId="1224A564"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4.4.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Posebna upozorenja i mjere opreza pri upotrebi lijeka</w:t>
      </w:r>
    </w:p>
    <w:p w14:paraId="22E9A873"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78F00350" w14:textId="77777777" w:rsidR="00E46520" w:rsidRPr="00B82EF7" w:rsidRDefault="00E46520" w:rsidP="004D148D">
      <w:pPr>
        <w:pStyle w:val="ListParagraph"/>
        <w:numPr>
          <w:ilvl w:val="0"/>
          <w:numId w:val="23"/>
        </w:numPr>
        <w:tabs>
          <w:tab w:val="clear" w:pos="284"/>
        </w:tabs>
        <w:ind w:left="357" w:firstLine="0"/>
        <w:contextualSpacing w:val="0"/>
        <w:rPr>
          <w:rFonts w:asciiTheme="majorBidi" w:hAnsiTheme="majorBidi" w:cstheme="majorBidi"/>
          <w:i/>
          <w:noProof/>
          <w:szCs w:val="22"/>
          <w:lang w:val="sr-Latn-ME"/>
        </w:rPr>
      </w:pPr>
      <w:r w:rsidRPr="00B82EF7">
        <w:rPr>
          <w:rFonts w:asciiTheme="majorBidi" w:hAnsiTheme="majorBidi" w:cstheme="majorBidi"/>
          <w:i/>
          <w:noProof/>
          <w:szCs w:val="22"/>
          <w:lang w:val="sr-Latn-ME"/>
        </w:rPr>
        <w:t>Sljedljivost</w:t>
      </w:r>
    </w:p>
    <w:p w14:paraId="2ABC1577" w14:textId="77777777" w:rsidR="00E46520" w:rsidRPr="00B82EF7" w:rsidRDefault="00E46520" w:rsidP="00C36CDC">
      <w:pPr>
        <w:pStyle w:val="ListParagraph"/>
        <w:tabs>
          <w:tab w:val="clear" w:pos="284"/>
        </w:tabs>
        <w:ind w:left="357"/>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Kako bi se poboljšala sljedljivost bioloških ljekova, naziv i serijski broj primijenjenog lijeka treba da budu jasno zabilježeni.</w:t>
      </w:r>
    </w:p>
    <w:p w14:paraId="159C2863" w14:textId="77777777" w:rsidR="00DD7F82" w:rsidRPr="00B82EF7" w:rsidRDefault="00DD7F82" w:rsidP="00F131CD">
      <w:pPr>
        <w:pStyle w:val="ListParagraph"/>
        <w:numPr>
          <w:ilvl w:val="0"/>
          <w:numId w:val="23"/>
        </w:numPr>
        <w:tabs>
          <w:tab w:val="clear" w:pos="284"/>
        </w:tabs>
        <w:ind w:left="357" w:firstLine="0"/>
        <w:contextualSpacing w:val="0"/>
        <w:rPr>
          <w:rFonts w:asciiTheme="majorBidi" w:hAnsiTheme="majorBidi" w:cstheme="majorBidi"/>
          <w:noProof/>
          <w:szCs w:val="22"/>
          <w:lang w:val="sr-Latn-ME"/>
        </w:rPr>
      </w:pPr>
      <w:r w:rsidRPr="00B82EF7">
        <w:rPr>
          <w:rFonts w:asciiTheme="majorBidi" w:hAnsiTheme="majorBidi" w:cstheme="majorBidi"/>
          <w:i/>
          <w:iCs/>
          <w:noProof/>
          <w:szCs w:val="22"/>
          <w:lang w:val="sr-Latn-ME"/>
        </w:rPr>
        <w:lastRenderedPageBreak/>
        <w:t>Opšte</w:t>
      </w:r>
    </w:p>
    <w:p w14:paraId="22C62E11" w14:textId="52F39922" w:rsidR="00DD7F82" w:rsidRPr="00B82EF7" w:rsidRDefault="00A55660">
      <w:pPr>
        <w:pStyle w:val="ListParagraph"/>
        <w:tabs>
          <w:tab w:val="clear" w:pos="284"/>
        </w:tabs>
        <w:ind w:left="357"/>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Enoksaparin </w:t>
      </w:r>
      <w:r w:rsidR="00DD7F82" w:rsidRPr="00B82EF7">
        <w:rPr>
          <w:rFonts w:asciiTheme="majorBidi" w:hAnsiTheme="majorBidi" w:cstheme="majorBidi"/>
          <w:noProof/>
          <w:szCs w:val="22"/>
          <w:lang w:val="sr-Latn-ME"/>
        </w:rPr>
        <w:t>natrijum i drugi heparini niske molekulske mase (LMWH) ni</w:t>
      </w:r>
      <w:r w:rsidR="00BC097D" w:rsidRPr="00B82EF7">
        <w:rPr>
          <w:rFonts w:asciiTheme="majorBidi" w:hAnsiTheme="majorBidi" w:cstheme="majorBidi"/>
          <w:noProof/>
          <w:szCs w:val="22"/>
          <w:lang w:val="sr-Latn-ME"/>
        </w:rPr>
        <w:t>je</w:t>
      </w:r>
      <w:r w:rsidR="00DD7F82" w:rsidRPr="00B82EF7">
        <w:rPr>
          <w:rFonts w:asciiTheme="majorBidi" w:hAnsiTheme="majorBidi" w:cstheme="majorBidi"/>
          <w:noProof/>
          <w:szCs w:val="22"/>
          <w:lang w:val="sr-Latn-ME"/>
        </w:rPr>
        <w:t>su međusobno zam</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enljivi (jedinicu za jedinicu). Ovi l</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ekovi se razlikuju prema načinu proizvodnje, molekulskoj masi, specifičnoj anti-Xa i anti-IIa aktivnosti, jedinicama, dozama i kliničkoj efikasnosti i bezb</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ednosti. To dovodi do razlika u farmakokinetici i povezanim biološkim aktivnostima (npr. antitrombinskoj aktivnosti i trombocitnim interakcijama). Stoga je potrebna posebna pažnja i poštovanje uputstva za upotrebu specifičnih za svaki pojedini l</w:t>
      </w:r>
      <w:r w:rsidR="00E158CB" w:rsidRPr="00B82EF7">
        <w:rPr>
          <w:rFonts w:asciiTheme="majorBidi" w:hAnsiTheme="majorBidi" w:cstheme="majorBidi"/>
          <w:noProof/>
          <w:szCs w:val="22"/>
          <w:lang w:val="sr-Latn-ME"/>
        </w:rPr>
        <w:t>ij</w:t>
      </w:r>
      <w:r w:rsidR="00DD7F82" w:rsidRPr="00B82EF7">
        <w:rPr>
          <w:rFonts w:asciiTheme="majorBidi" w:hAnsiTheme="majorBidi" w:cstheme="majorBidi"/>
          <w:noProof/>
          <w:szCs w:val="22"/>
          <w:lang w:val="sr-Latn-ME"/>
        </w:rPr>
        <w:t xml:space="preserve">ek. </w:t>
      </w:r>
    </w:p>
    <w:p w14:paraId="27E1FC52" w14:textId="77777777" w:rsidR="00DD7F82" w:rsidRPr="00B82EF7" w:rsidRDefault="00DD7F82" w:rsidP="00F131CD">
      <w:pPr>
        <w:ind w:left="360"/>
        <w:jc w:val="both"/>
        <w:rPr>
          <w:rFonts w:asciiTheme="majorBidi" w:hAnsiTheme="majorBidi" w:cstheme="majorBidi"/>
          <w:noProof/>
          <w:sz w:val="22"/>
          <w:szCs w:val="22"/>
          <w:lang w:val="sr-Latn-ME"/>
        </w:rPr>
      </w:pPr>
    </w:p>
    <w:p w14:paraId="2399ADD5" w14:textId="77777777" w:rsidR="00DD7F82" w:rsidRPr="00B82EF7" w:rsidRDefault="00DD7F82" w:rsidP="004D148D">
      <w:pPr>
        <w:pStyle w:val="ListParagraph"/>
        <w:numPr>
          <w:ilvl w:val="0"/>
          <w:numId w:val="23"/>
        </w:numPr>
        <w:tabs>
          <w:tab w:val="clear" w:pos="284"/>
        </w:tabs>
        <w:ind w:left="357" w:firstLine="0"/>
        <w:contextualSpacing w:val="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Heparinom izazvana trombocitopenija (HIT) u anamnezi (&gt; 100 dana) </w:t>
      </w:r>
    </w:p>
    <w:p w14:paraId="59AE8843" w14:textId="77777777" w:rsidR="00DD7F82" w:rsidRPr="00B82EF7" w:rsidRDefault="00DD7F82" w:rsidP="004D148D">
      <w:pPr>
        <w:pStyle w:val="ListParagraph"/>
        <w:tabs>
          <w:tab w:val="clear" w:pos="284"/>
        </w:tabs>
        <w:ind w:left="357"/>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Prim</w:t>
      </w:r>
      <w:r w:rsidR="00E158CB" w:rsidRPr="00B82EF7">
        <w:rPr>
          <w:rFonts w:asciiTheme="majorBidi" w:hAnsiTheme="majorBidi" w:cstheme="majorBidi"/>
          <w:noProof/>
          <w:szCs w:val="22"/>
          <w:lang w:val="sr-Latn-ME"/>
        </w:rPr>
        <w:t xml:space="preserve">jena enoksaparin </w:t>
      </w:r>
      <w:r w:rsidRPr="00B82EF7">
        <w:rPr>
          <w:rFonts w:asciiTheme="majorBidi" w:hAnsiTheme="majorBidi" w:cstheme="majorBidi"/>
          <w:noProof/>
          <w:szCs w:val="22"/>
          <w:lang w:val="sr-Latn-ME"/>
        </w:rPr>
        <w:t>natrijuma kontraindikovana je kod pacijenata koji u anamnezi imaju imunološki posredovanu HIT unutar prethodnih 100 dana ili u prisustvu cirkulišućih antit</w:t>
      </w:r>
      <w:r w:rsidR="00E158CB"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ela (vid</w:t>
      </w:r>
      <w:r w:rsidR="00E158CB"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E158CB"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eljak 4.3). Cirkulišuća antit</w:t>
      </w:r>
      <w:r w:rsidR="00E158CB"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ela mogu biti prisutna tokom nekoliko godina. </w:t>
      </w:r>
    </w:p>
    <w:p w14:paraId="17AE61E9" w14:textId="79B60B92" w:rsidR="00DD7F82" w:rsidRPr="00B82EF7" w:rsidRDefault="00E158CB" w:rsidP="00C36CDC">
      <w:pPr>
        <w:pStyle w:val="ListParagraph"/>
        <w:tabs>
          <w:tab w:val="clear" w:pos="284"/>
        </w:tabs>
        <w:ind w:left="357"/>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Enoksaparin </w:t>
      </w:r>
      <w:r w:rsidR="00DD7F82" w:rsidRPr="00B82EF7">
        <w:rPr>
          <w:rFonts w:asciiTheme="majorBidi" w:hAnsiTheme="majorBidi" w:cstheme="majorBidi"/>
          <w:noProof/>
          <w:szCs w:val="22"/>
          <w:lang w:val="sr-Latn-ME"/>
        </w:rPr>
        <w:t>natrijum treba</w:t>
      </w:r>
      <w:r w:rsidR="00BC097D" w:rsidRPr="00B82EF7">
        <w:rPr>
          <w:rFonts w:asciiTheme="majorBidi" w:hAnsiTheme="majorBidi" w:cstheme="majorBidi"/>
          <w:noProof/>
          <w:szCs w:val="22"/>
          <w:lang w:val="sr-Latn-ME"/>
        </w:rPr>
        <w:t xml:space="preserve"> sa krajnjim oprezom </w:t>
      </w:r>
      <w:r w:rsidR="00DD7F82" w:rsidRPr="00B82EF7">
        <w:rPr>
          <w:rFonts w:asciiTheme="majorBidi" w:hAnsiTheme="majorBidi" w:cstheme="majorBidi"/>
          <w:noProof/>
          <w:szCs w:val="22"/>
          <w:lang w:val="sr-Latn-ME"/>
        </w:rPr>
        <w:t>koristi kod pacijenata koji u anamnezi (&gt; 100 dana) imaju heparinom izazvanu trombocitopeniju bez cirkulišućih antit</w:t>
      </w:r>
      <w:r w:rsidRPr="00B82EF7">
        <w:rPr>
          <w:rFonts w:asciiTheme="majorBidi" w:hAnsiTheme="majorBidi" w:cstheme="majorBidi"/>
          <w:noProof/>
          <w:szCs w:val="22"/>
          <w:lang w:val="sr-Latn-ME"/>
        </w:rPr>
        <w:t>ij</w:t>
      </w:r>
      <w:r w:rsidR="00DD7F82" w:rsidRPr="00B82EF7">
        <w:rPr>
          <w:rFonts w:asciiTheme="majorBidi" w:hAnsiTheme="majorBidi" w:cstheme="majorBidi"/>
          <w:noProof/>
          <w:szCs w:val="22"/>
          <w:lang w:val="sr-Latn-ME"/>
        </w:rPr>
        <w:t>ela. Odluka o prim</w:t>
      </w:r>
      <w:r w:rsidRPr="00B82EF7">
        <w:rPr>
          <w:rFonts w:asciiTheme="majorBidi" w:hAnsiTheme="majorBidi" w:cstheme="majorBidi"/>
          <w:noProof/>
          <w:szCs w:val="22"/>
          <w:lang w:val="sr-Latn-ME"/>
        </w:rPr>
        <w:t xml:space="preserve">jeni enoksaparin </w:t>
      </w:r>
      <w:r w:rsidR="00DD7F82" w:rsidRPr="00B82EF7">
        <w:rPr>
          <w:rFonts w:asciiTheme="majorBidi" w:hAnsiTheme="majorBidi" w:cstheme="majorBidi"/>
          <w:noProof/>
          <w:szCs w:val="22"/>
          <w:lang w:val="sr-Latn-ME"/>
        </w:rPr>
        <w:t>natrijuma u takvom slučaju može biti don</w:t>
      </w:r>
      <w:r w:rsidRPr="00B82EF7">
        <w:rPr>
          <w:rFonts w:asciiTheme="majorBidi" w:hAnsiTheme="majorBidi" w:cstheme="majorBidi"/>
          <w:noProof/>
          <w:szCs w:val="22"/>
          <w:lang w:val="sr-Latn-ME"/>
        </w:rPr>
        <w:t>ij</w:t>
      </w:r>
      <w:r w:rsidR="00DD7F82" w:rsidRPr="00B82EF7">
        <w:rPr>
          <w:rFonts w:asciiTheme="majorBidi" w:hAnsiTheme="majorBidi" w:cstheme="majorBidi"/>
          <w:noProof/>
          <w:szCs w:val="22"/>
          <w:lang w:val="sr-Latn-ME"/>
        </w:rPr>
        <w:t>eta tek nakon pažljive proc</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 xml:space="preserve">ene koristi i rizika i razmatranja drugih mogućih neheparinskih terapija (npr. </w:t>
      </w:r>
      <w:r w:rsidRPr="00B82EF7">
        <w:rPr>
          <w:rFonts w:asciiTheme="majorBidi" w:hAnsiTheme="majorBidi" w:cstheme="majorBidi"/>
          <w:noProof/>
          <w:szCs w:val="22"/>
          <w:lang w:val="sr-Latn-ME"/>
        </w:rPr>
        <w:t>d</w:t>
      </w:r>
      <w:r w:rsidR="00DD7F82" w:rsidRPr="00B82EF7">
        <w:rPr>
          <w:rFonts w:asciiTheme="majorBidi" w:hAnsiTheme="majorBidi" w:cstheme="majorBidi"/>
          <w:noProof/>
          <w:szCs w:val="22"/>
          <w:lang w:val="sr-Latn-ME"/>
        </w:rPr>
        <w:t>anaparoid</w:t>
      </w:r>
      <w:r w:rsidRPr="00B82EF7">
        <w:rPr>
          <w:rFonts w:asciiTheme="majorBidi" w:hAnsiTheme="majorBidi" w:cstheme="majorBidi"/>
          <w:noProof/>
          <w:szCs w:val="22"/>
          <w:lang w:val="sr-Latn-ME"/>
        </w:rPr>
        <w:t xml:space="preserve"> </w:t>
      </w:r>
      <w:r w:rsidR="00DD7F82" w:rsidRPr="00B82EF7">
        <w:rPr>
          <w:rFonts w:asciiTheme="majorBidi" w:hAnsiTheme="majorBidi" w:cstheme="majorBidi"/>
          <w:noProof/>
          <w:szCs w:val="22"/>
          <w:lang w:val="sr-Latn-ME"/>
        </w:rPr>
        <w:t>natrijum ili lepirudin).</w:t>
      </w:r>
    </w:p>
    <w:p w14:paraId="17EEECE2" w14:textId="77777777" w:rsidR="00DD7F82" w:rsidRPr="00B82EF7" w:rsidRDefault="00DD7F82" w:rsidP="00F131CD">
      <w:pPr>
        <w:ind w:left="360"/>
        <w:jc w:val="both"/>
        <w:rPr>
          <w:rFonts w:asciiTheme="majorBidi" w:hAnsiTheme="majorBidi" w:cstheme="majorBidi"/>
          <w:noProof/>
          <w:sz w:val="22"/>
          <w:szCs w:val="22"/>
          <w:lang w:val="sr-Latn-ME"/>
        </w:rPr>
      </w:pPr>
    </w:p>
    <w:p w14:paraId="44024749" w14:textId="77777777" w:rsidR="00DD7F82" w:rsidRPr="00B82EF7" w:rsidRDefault="00DD7F82" w:rsidP="004D148D">
      <w:pPr>
        <w:pStyle w:val="ListParagraph"/>
        <w:numPr>
          <w:ilvl w:val="0"/>
          <w:numId w:val="23"/>
        </w:numPr>
        <w:tabs>
          <w:tab w:val="clear" w:pos="284"/>
        </w:tabs>
        <w:ind w:left="360" w:firstLine="0"/>
        <w:contextualSpacing w:val="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Praćenje broja trombocita </w:t>
      </w:r>
    </w:p>
    <w:p w14:paraId="2675834D" w14:textId="77777777" w:rsidR="00DD7F82" w:rsidRPr="00B82EF7" w:rsidRDefault="00DD7F82" w:rsidP="00C36CDC">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Rizik od antit</w:t>
      </w:r>
      <w:r w:rsidR="00E158CB"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elima posredovane HIT postoji i kod heparina niske molekulske mase. Ako dođe do trombocitopenije, ona obično nastupa između 5. i 21. dana nakon početka terapije </w:t>
      </w:r>
      <w:r w:rsidR="007E1FF7" w:rsidRPr="00B82EF7">
        <w:rPr>
          <w:rFonts w:asciiTheme="majorBidi" w:hAnsiTheme="majorBidi" w:cstheme="majorBidi"/>
          <w:noProof/>
          <w:szCs w:val="22"/>
          <w:lang w:val="sr-Latn-ME"/>
        </w:rPr>
        <w:t>enoksaparin natrijum</w:t>
      </w:r>
      <w:r w:rsidRPr="00B82EF7">
        <w:rPr>
          <w:rFonts w:asciiTheme="majorBidi" w:hAnsiTheme="majorBidi" w:cstheme="majorBidi"/>
          <w:noProof/>
          <w:szCs w:val="22"/>
          <w:lang w:val="sr-Latn-ME"/>
        </w:rPr>
        <w:t xml:space="preserve">om. </w:t>
      </w:r>
    </w:p>
    <w:p w14:paraId="053AFB44" w14:textId="77777777"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Rizik od HIT je veći kod pacijenata u postoperativnom periodu, i to uglavnom nakon operacije na srcu, i kod onkoloških pacijenata. </w:t>
      </w:r>
    </w:p>
    <w:p w14:paraId="42C60E75" w14:textId="73A3D1EA"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Stoga se preporučuje da se broj trombocita odredi pr</w:t>
      </w:r>
      <w:r w:rsidR="00BC097D"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 početka terapije </w:t>
      </w:r>
      <w:r w:rsidR="007E1FF7" w:rsidRPr="00B82EF7">
        <w:rPr>
          <w:rFonts w:asciiTheme="majorBidi" w:hAnsiTheme="majorBidi" w:cstheme="majorBidi"/>
          <w:noProof/>
          <w:szCs w:val="22"/>
          <w:lang w:val="sr-Latn-ME"/>
        </w:rPr>
        <w:t>enoksaparin natrijum</w:t>
      </w:r>
      <w:r w:rsidRPr="00B82EF7">
        <w:rPr>
          <w:rFonts w:asciiTheme="majorBidi" w:hAnsiTheme="majorBidi" w:cstheme="majorBidi"/>
          <w:noProof/>
          <w:szCs w:val="22"/>
          <w:lang w:val="sr-Latn-ME"/>
        </w:rPr>
        <w:t xml:space="preserve">om, a zatim redovno kontroliše tokom terapije. </w:t>
      </w:r>
    </w:p>
    <w:p w14:paraId="43258588" w14:textId="57E6D48D"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Ukoliko postoje klinički simptomi koji ukazuju na HIT (bilo koja nova epizoda arterijske i/ili venske tromboembolije, bilo koja bolna kožna lezija na m</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estu prim</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ene injekcije, bilo koja alergijska ili anafilaktoidna reakcija tokom terapije), treba odrediti broj trombocita. Pacijenti moraju biti sv</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esni da se ovi simptomi mogu javiti i da u tom slučaju o njima moraju obav</w:t>
      </w:r>
      <w:r w:rsidR="00F635B5"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estiti svog l</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ekara opšte prakse. </w:t>
      </w:r>
    </w:p>
    <w:p w14:paraId="118082E2" w14:textId="77777777"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U praksi, ukoliko se prim</w:t>
      </w:r>
      <w:r w:rsidR="00F635B5"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eti potvrđen značajan pad broja trombocita (30 do 50% prvobitne vr</w:t>
      </w:r>
      <w:r w:rsidR="00F635B5"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ednosti), terapija </w:t>
      </w:r>
      <w:r w:rsidR="00F635B5"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 xml:space="preserve">natrijumom se mora odmah prekinuti, a pacijenta treba prebaciti na neku drugu, neheparinsku antikoagulantnu terapiju. </w:t>
      </w:r>
    </w:p>
    <w:p w14:paraId="0A29CEBA" w14:textId="77777777" w:rsidR="00DD7F82" w:rsidRPr="00B82EF7" w:rsidRDefault="00DD7F82" w:rsidP="00F131CD">
      <w:pPr>
        <w:ind w:left="360"/>
        <w:jc w:val="both"/>
        <w:rPr>
          <w:rFonts w:asciiTheme="majorBidi" w:hAnsiTheme="majorBidi" w:cstheme="majorBidi"/>
          <w:noProof/>
          <w:sz w:val="22"/>
          <w:szCs w:val="22"/>
          <w:lang w:val="sr-Latn-ME"/>
        </w:rPr>
      </w:pPr>
    </w:p>
    <w:p w14:paraId="00EC7903" w14:textId="77777777" w:rsidR="00DD7F82" w:rsidRPr="00B82EF7" w:rsidRDefault="00DD7F82" w:rsidP="004D148D">
      <w:pPr>
        <w:pStyle w:val="ListParagraph"/>
        <w:numPr>
          <w:ilvl w:val="0"/>
          <w:numId w:val="23"/>
        </w:numPr>
        <w:tabs>
          <w:tab w:val="clear" w:pos="284"/>
        </w:tabs>
        <w:ind w:left="360" w:firstLine="0"/>
        <w:contextualSpacing w:val="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Krvarenje </w:t>
      </w:r>
    </w:p>
    <w:p w14:paraId="0AEB077D" w14:textId="77777777" w:rsidR="00DD7F82" w:rsidRPr="00B82EF7" w:rsidRDefault="00DD7F82" w:rsidP="00C36CDC">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Kao i kod drugih antikoagulanasa, krvarenje se može javiti na bilo kom m</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estu. Ako dođe do krvarenja, treba utvrditi por</w:t>
      </w:r>
      <w:r w:rsidR="00F635B5"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eklo krvarenja i pokrenuti odgovarajuću terapiju. </w:t>
      </w:r>
    </w:p>
    <w:p w14:paraId="758AFE01" w14:textId="77777777"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Kao i kod bilo koje druge antikoagulantne terapije, </w:t>
      </w:r>
      <w:r w:rsidR="00F635B5"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 se mora prim</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enjivati uz oprez kod stanja kod kojih postoji povećan rizik od krvarenja, kao što su: </w:t>
      </w:r>
    </w:p>
    <w:p w14:paraId="703F6F86"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poremećaj hemostaze,</w:t>
      </w:r>
    </w:p>
    <w:p w14:paraId="4CA6535A"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peptički ulkus u anamnezi,</w:t>
      </w:r>
    </w:p>
    <w:p w14:paraId="23D87E49"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nedavni ishemijski moždani udar,</w:t>
      </w:r>
    </w:p>
    <w:p w14:paraId="43718126"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teška arterijska hipertenzija,</w:t>
      </w:r>
    </w:p>
    <w:p w14:paraId="74746558"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nedavna dijabetička retinopatija, </w:t>
      </w:r>
    </w:p>
    <w:p w14:paraId="3060D94E"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neurološki ili oftalmološki hirurški zahvat, </w:t>
      </w:r>
    </w:p>
    <w:p w14:paraId="0E7D5463" w14:textId="77777777" w:rsidR="00DD7F82" w:rsidRPr="00B82EF7" w:rsidRDefault="00DD7F82" w:rsidP="00F131CD">
      <w:pPr>
        <w:pStyle w:val="ListParagraph"/>
        <w:numPr>
          <w:ilvl w:val="0"/>
          <w:numId w:val="24"/>
        </w:numPr>
        <w:tabs>
          <w:tab w:val="clear" w:pos="284"/>
        </w:tabs>
        <w:ind w:left="720" w:firstLine="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istovremena </w:t>
      </w:r>
      <w:r w:rsidR="00B25BBD" w:rsidRPr="00B82EF7">
        <w:rPr>
          <w:rFonts w:asciiTheme="majorBidi" w:hAnsiTheme="majorBidi" w:cstheme="majorBidi"/>
          <w:noProof/>
          <w:szCs w:val="22"/>
          <w:lang w:val="sr-Latn-ME"/>
        </w:rPr>
        <w:t>primjena</w:t>
      </w:r>
      <w:r w:rsidRPr="00B82EF7">
        <w:rPr>
          <w:rFonts w:asciiTheme="majorBidi" w:hAnsiTheme="majorBidi" w:cstheme="majorBidi"/>
          <w:noProof/>
          <w:szCs w:val="22"/>
          <w:lang w:val="sr-Latn-ME"/>
        </w:rPr>
        <w:t xml:space="preserve"> l</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ekova koji utiču na hemostazu (vid</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F635B5"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eljak 4.5) </w:t>
      </w:r>
    </w:p>
    <w:p w14:paraId="791B25A4" w14:textId="77777777" w:rsidR="00DD7F82" w:rsidRPr="00B82EF7" w:rsidRDefault="00DD7F82" w:rsidP="00F131CD">
      <w:pPr>
        <w:jc w:val="both"/>
        <w:rPr>
          <w:rFonts w:asciiTheme="majorBidi" w:hAnsiTheme="majorBidi" w:cstheme="majorBidi"/>
          <w:noProof/>
          <w:sz w:val="22"/>
          <w:szCs w:val="22"/>
          <w:lang w:val="sr-Latn-ME"/>
        </w:rPr>
      </w:pPr>
    </w:p>
    <w:p w14:paraId="217FEFF4"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Laboratorijska ispitivanja</w:t>
      </w:r>
    </w:p>
    <w:p w14:paraId="4425225B"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dozama u kojima se koristi za profilaksu ven</w:t>
      </w:r>
      <w:r w:rsidR="0063123F" w:rsidRPr="00B82EF7">
        <w:rPr>
          <w:rFonts w:asciiTheme="majorBidi" w:hAnsiTheme="majorBidi" w:cstheme="majorBidi"/>
          <w:noProof/>
          <w:sz w:val="22"/>
          <w:szCs w:val="22"/>
          <w:lang w:val="sr-Latn-ME"/>
        </w:rPr>
        <w:t xml:space="preserve">ske tromboembolije, enoksaparin </w:t>
      </w:r>
      <w:r w:rsidRPr="00B82EF7">
        <w:rPr>
          <w:rFonts w:asciiTheme="majorBidi" w:hAnsiTheme="majorBidi" w:cstheme="majorBidi"/>
          <w:noProof/>
          <w:sz w:val="22"/>
          <w:szCs w:val="22"/>
          <w:lang w:val="sr-Latn-ME"/>
        </w:rPr>
        <w:t>natrijum ne utiče značajno na vr</w:t>
      </w:r>
      <w:r w:rsidR="004F02E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eme krvarenja niti na opšte parametre zgrušavanja krvi, a ne utiče ni na agregaciju trombocita ni na vezivanje fibrinogena za trombocite. </w:t>
      </w:r>
    </w:p>
    <w:p w14:paraId="5FA3D82B" w14:textId="4D751072" w:rsidR="00DD7F82" w:rsidRPr="00B82EF7" w:rsidRDefault="00DD7F82" w:rsidP="00F131CD">
      <w:pPr>
        <w:ind w:left="357"/>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Kad se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enjuje u većim dozama, može doći do produženja aktiviranog parcijalnog tromboplastinskog vremena (engl. </w:t>
      </w:r>
      <w:r w:rsidRPr="00B82EF7">
        <w:rPr>
          <w:rFonts w:asciiTheme="majorBidi" w:hAnsiTheme="majorBidi" w:cstheme="majorBidi"/>
          <w:i/>
          <w:noProof/>
          <w:sz w:val="22"/>
          <w:szCs w:val="22"/>
          <w:lang w:val="sr-Latn-ME"/>
        </w:rPr>
        <w:t>activated partial thromboplastin time,</w:t>
      </w:r>
      <w:r w:rsidRPr="00B82EF7">
        <w:rPr>
          <w:rFonts w:asciiTheme="majorBidi" w:hAnsiTheme="majorBidi" w:cstheme="majorBidi"/>
          <w:noProof/>
          <w:sz w:val="22"/>
          <w:szCs w:val="22"/>
          <w:lang w:val="sr-Latn-ME"/>
        </w:rPr>
        <w:t xml:space="preserve"> aPTT) i aktiviranog vremena zgrušavanja (engl. </w:t>
      </w:r>
      <w:r w:rsidRPr="00B82EF7">
        <w:rPr>
          <w:rFonts w:asciiTheme="majorBidi" w:hAnsiTheme="majorBidi" w:cstheme="majorBidi"/>
          <w:i/>
          <w:iCs/>
          <w:noProof/>
          <w:sz w:val="22"/>
          <w:szCs w:val="22"/>
          <w:lang w:val="sr-Latn-ME"/>
        </w:rPr>
        <w:t>activated clotting time</w:t>
      </w:r>
      <w:r w:rsidRPr="00B82EF7">
        <w:rPr>
          <w:rFonts w:asciiTheme="majorBidi" w:hAnsiTheme="majorBidi" w:cstheme="majorBidi"/>
          <w:noProof/>
          <w:sz w:val="22"/>
          <w:szCs w:val="22"/>
          <w:lang w:val="sr-Latn-ME"/>
        </w:rPr>
        <w:t>, ACT). Produženja aPTT-a i ACT-a ni</w:t>
      </w:r>
      <w:r w:rsidR="00BC097D"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u linearnoj korelaciji sa povećanjem antitrombotičke</w:t>
      </w:r>
      <w:r w:rsidR="004F02EE" w:rsidRPr="00B82EF7">
        <w:rPr>
          <w:rFonts w:asciiTheme="majorBidi" w:hAnsiTheme="majorBidi" w:cstheme="majorBidi"/>
          <w:noProof/>
          <w:sz w:val="22"/>
          <w:szCs w:val="22"/>
          <w:lang w:val="sr-Latn-ME"/>
        </w:rPr>
        <w:t xml:space="preserve"> aktivnosti enoksaparin </w:t>
      </w:r>
      <w:r w:rsidRPr="00B82EF7">
        <w:rPr>
          <w:rFonts w:asciiTheme="majorBidi" w:hAnsiTheme="majorBidi" w:cstheme="majorBidi"/>
          <w:noProof/>
          <w:sz w:val="22"/>
          <w:szCs w:val="22"/>
          <w:lang w:val="sr-Latn-ME"/>
        </w:rPr>
        <w:t>natrijuma i stoga ni</w:t>
      </w:r>
      <w:r w:rsidR="00BC097D"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prikladna ni pouzdana m</w:t>
      </w:r>
      <w:r w:rsidR="000965C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erila za </w:t>
      </w:r>
      <w:r w:rsidR="004F02EE" w:rsidRPr="00B82EF7">
        <w:rPr>
          <w:rFonts w:asciiTheme="majorBidi" w:hAnsiTheme="majorBidi" w:cstheme="majorBidi"/>
          <w:noProof/>
          <w:sz w:val="22"/>
          <w:szCs w:val="22"/>
          <w:lang w:val="sr-Latn-ME"/>
        </w:rPr>
        <w:t xml:space="preserve">praćenje aktivnosti enoksaparin </w:t>
      </w:r>
      <w:r w:rsidRPr="00B82EF7">
        <w:rPr>
          <w:rFonts w:asciiTheme="majorBidi" w:hAnsiTheme="majorBidi" w:cstheme="majorBidi"/>
          <w:noProof/>
          <w:sz w:val="22"/>
          <w:szCs w:val="22"/>
          <w:lang w:val="sr-Latn-ME"/>
        </w:rPr>
        <w:t xml:space="preserve">natrijuma. </w:t>
      </w:r>
    </w:p>
    <w:p w14:paraId="09671D9B" w14:textId="77777777" w:rsidR="00DD7F82" w:rsidRPr="00B82EF7" w:rsidRDefault="00DD7F82" w:rsidP="004D148D">
      <w:pPr>
        <w:pStyle w:val="ListParagraph"/>
        <w:numPr>
          <w:ilvl w:val="0"/>
          <w:numId w:val="23"/>
        </w:numPr>
        <w:tabs>
          <w:tab w:val="clear" w:pos="284"/>
        </w:tabs>
        <w:ind w:left="357"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lastRenderedPageBreak/>
        <w:t xml:space="preserve">Spinalna/epiduralna anestezija ili lumbalna punkcija </w:t>
      </w:r>
    </w:p>
    <w:p w14:paraId="53E7718A" w14:textId="6C8A578C"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Spinalna/epiduralna anestezija ili lumbalna punkcija se ne sm</w:t>
      </w:r>
      <w:r w:rsidR="004F02EE" w:rsidRPr="00B82EF7">
        <w:rPr>
          <w:rFonts w:asciiTheme="majorBidi" w:hAnsiTheme="majorBidi" w:cstheme="majorBidi"/>
          <w:noProof/>
          <w:sz w:val="22"/>
          <w:szCs w:val="22"/>
          <w:lang w:val="sr-Latn-ME"/>
        </w:rPr>
        <w:t>i</w:t>
      </w:r>
      <w:r w:rsidRPr="00B82EF7">
        <w:rPr>
          <w:rFonts w:asciiTheme="majorBidi" w:hAnsiTheme="majorBidi" w:cstheme="majorBidi"/>
          <w:noProof/>
          <w:sz w:val="22"/>
          <w:szCs w:val="22"/>
          <w:lang w:val="sr-Latn-ME"/>
        </w:rPr>
        <w:t>ju izvoditi u roku od 24 sata od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ene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u terapijskim dozama (</w:t>
      </w:r>
      <w:r w:rsidR="00811A52" w:rsidRPr="00B82EF7">
        <w:rPr>
          <w:rFonts w:asciiTheme="majorBidi" w:hAnsiTheme="majorBidi" w:cstheme="majorBidi"/>
          <w:noProof/>
          <w:sz w:val="22"/>
          <w:szCs w:val="22"/>
          <w:lang w:val="sr-Latn-ME"/>
        </w:rPr>
        <w:t>vidjeti</w:t>
      </w:r>
      <w:r w:rsidRPr="00B82EF7">
        <w:rPr>
          <w:rFonts w:asciiTheme="majorBidi" w:hAnsiTheme="majorBidi" w:cstheme="majorBidi"/>
          <w:noProof/>
          <w:sz w:val="22"/>
          <w:szCs w:val="22"/>
          <w:lang w:val="sr-Latn-ME"/>
        </w:rPr>
        <w:t xml:space="preserve"> i od</w:t>
      </w:r>
      <w:r w:rsidR="004D2F91"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eljak 4.3). </w:t>
      </w:r>
    </w:p>
    <w:p w14:paraId="70FB97BE"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ene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tokom spinalne/epiduralne anestezije ili spinalne punkcije prijavljeni su slučajevi neuraksijalnih hematoma, koji su doveli do dugoročne ili trajne paralize. Ovi događaji su r</w:t>
      </w:r>
      <w:r w:rsidR="004F02E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etki kada se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enjuje u dozama od </w:t>
      </w:r>
      <w:r w:rsidR="007E1FF7" w:rsidRPr="00B82EF7">
        <w:rPr>
          <w:rFonts w:asciiTheme="majorBidi" w:hAnsiTheme="majorBidi" w:cstheme="majorBidi"/>
          <w:noProof/>
          <w:sz w:val="22"/>
          <w:szCs w:val="22"/>
          <w:lang w:val="sr-Latn-ME"/>
        </w:rPr>
        <w:t>4 000</w:t>
      </w:r>
      <w:r w:rsidRPr="00B82EF7">
        <w:rPr>
          <w:rFonts w:asciiTheme="majorBidi" w:hAnsiTheme="majorBidi" w:cstheme="majorBidi"/>
          <w:noProof/>
          <w:sz w:val="22"/>
          <w:szCs w:val="22"/>
          <w:lang w:val="sr-Latn-ME"/>
        </w:rPr>
        <w:t xml:space="preserve"> i.j. (40 mg) jednom dnevno ili pri nižim dozama. Rizik od ovih događaja je veći kod postoperativne upotrebe trajnih epiduralnih katetera, istovremene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ene dodatnih l</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ekova koji utiču na hemostazu, poput nesteroidnih antiinflamatornih </w:t>
      </w:r>
      <w:r w:rsidR="004E6DFB" w:rsidRPr="00B82EF7">
        <w:rPr>
          <w:rFonts w:asciiTheme="majorBidi" w:hAnsiTheme="majorBidi" w:cstheme="majorBidi"/>
          <w:noProof/>
          <w:sz w:val="22"/>
          <w:szCs w:val="22"/>
          <w:lang w:val="sr-Latn-ME"/>
        </w:rPr>
        <w:t>ljekova</w:t>
      </w:r>
      <w:r w:rsidRPr="00B82EF7">
        <w:rPr>
          <w:rFonts w:asciiTheme="majorBidi" w:hAnsiTheme="majorBidi" w:cstheme="majorBidi"/>
          <w:noProof/>
          <w:sz w:val="22"/>
          <w:szCs w:val="22"/>
          <w:lang w:val="sr-Latn-ME"/>
        </w:rPr>
        <w:t xml:space="preserve"> (NSAIL), traumatske ili ponovljene epiduralne ili spinalne punkcije, kao i kod pacijenata koji u anamnezi imaju operaciju na kičmi ili deformaciju kičmenog stuba. </w:t>
      </w:r>
    </w:p>
    <w:p w14:paraId="7EF94157" w14:textId="77777777" w:rsidR="004F02EE" w:rsidRPr="00B82EF7" w:rsidRDefault="004F02EE" w:rsidP="00F131CD">
      <w:pPr>
        <w:ind w:left="360"/>
        <w:jc w:val="both"/>
        <w:rPr>
          <w:rFonts w:asciiTheme="majorBidi" w:hAnsiTheme="majorBidi" w:cstheme="majorBidi"/>
          <w:noProof/>
          <w:sz w:val="22"/>
          <w:szCs w:val="22"/>
          <w:lang w:val="sr-Latn-ME"/>
        </w:rPr>
      </w:pPr>
    </w:p>
    <w:p w14:paraId="3B4CA768"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Da bi se smanjio mogući rizik od krvarenja povezanog sa prim</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enom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 xml:space="preserve">natrijuma tokom epiduralne ili spinalne anestezije/analgezije ili spinalne punkcije, treba uzeti u obzir farmakokinetički profil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(vid</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od</w:t>
      </w:r>
      <w:r w:rsidR="004F02E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eljak 5.2). Postavljanje i uklanjanje epiduralnog katetera ili lumbalnu punkciju najbolje je izvesti kada je antikoagulantno dejstvo </w:t>
      </w:r>
      <w:r w:rsidR="004F02EE"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nisko; međutim, tačno vr</w:t>
      </w:r>
      <w:r w:rsidR="00F60A2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eme do postizanja dovoljno niskog antikoagulantnog dejstva kod svakog pojedinačnog pacijenta nije poznato. Potrebno je dodatno razmotriti prim</w:t>
      </w:r>
      <w:r w:rsidR="00F60A2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enu kod pacijenata kod kojih je klirens kreatinina 15 - 30 </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/min, jer je kod njih eliminacija enoksaparin</w:t>
      </w:r>
      <w:r w:rsidR="00F60A2A"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natrijuma dugotrajnija (vid</w:t>
      </w:r>
      <w:r w:rsidR="00F60A2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od</w:t>
      </w:r>
      <w:r w:rsidR="00F60A2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eljak 4.2). </w:t>
      </w:r>
    </w:p>
    <w:p w14:paraId="06BF23EA" w14:textId="77777777" w:rsidR="004F02EE" w:rsidRPr="00B82EF7" w:rsidRDefault="004F02EE" w:rsidP="00F131CD">
      <w:pPr>
        <w:ind w:left="360"/>
        <w:jc w:val="both"/>
        <w:rPr>
          <w:rFonts w:asciiTheme="majorBidi" w:hAnsiTheme="majorBidi" w:cstheme="majorBidi"/>
          <w:noProof/>
          <w:sz w:val="22"/>
          <w:szCs w:val="22"/>
          <w:lang w:val="sr-Latn-ME"/>
        </w:rPr>
      </w:pPr>
    </w:p>
    <w:p w14:paraId="6DD18765" w14:textId="40491BB3"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bCs/>
          <w:noProof/>
          <w:sz w:val="22"/>
          <w:szCs w:val="22"/>
          <w:lang w:val="sr-Latn-ME"/>
        </w:rPr>
        <w:t>Ukoliko l</w:t>
      </w:r>
      <w:r w:rsidR="00F60A2A" w:rsidRPr="00B82EF7">
        <w:rPr>
          <w:rFonts w:asciiTheme="majorBidi" w:hAnsiTheme="majorBidi" w:cstheme="majorBidi"/>
          <w:bCs/>
          <w:noProof/>
          <w:sz w:val="22"/>
          <w:szCs w:val="22"/>
          <w:lang w:val="sr-Latn-ME"/>
        </w:rPr>
        <w:t>j</w:t>
      </w:r>
      <w:r w:rsidRPr="00B82EF7">
        <w:rPr>
          <w:rFonts w:asciiTheme="majorBidi" w:hAnsiTheme="majorBidi" w:cstheme="majorBidi"/>
          <w:bCs/>
          <w:noProof/>
          <w:sz w:val="22"/>
          <w:szCs w:val="22"/>
          <w:lang w:val="sr-Latn-ME"/>
        </w:rPr>
        <w:t>ekar odluči da prim</w:t>
      </w:r>
      <w:r w:rsidR="00F60A2A"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 xml:space="preserve">eni antikoagulantnu terapiju </w:t>
      </w:r>
      <w:r w:rsidRPr="00B82EF7">
        <w:rPr>
          <w:rFonts w:asciiTheme="majorBidi" w:hAnsiTheme="majorBidi" w:cstheme="majorBidi"/>
          <w:noProof/>
          <w:sz w:val="22"/>
          <w:szCs w:val="22"/>
          <w:lang w:val="sr-Latn-ME"/>
        </w:rPr>
        <w:t>u kontekstu epiduralne ili spinalne anestezije/analgezije ili lumbalne punkcije, moraju se sprovoditi česte kontrole kako bi se uočili bilo kakvi znaci i simptomi neuroloških oštećenja, kao što su bol u središnjem d</w:t>
      </w:r>
      <w:r w:rsidR="00F60A2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elu leđa, senzorni i motorički deficiti (utrnulost ili slabost u donjim ekstremitetima) i disfunkcija cr</w:t>
      </w:r>
      <w:r w:rsidR="004D2F91"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eva i/ili mokraćne bešike. Pacijente treba uputiti da odmah prijave ukoliko prim</w:t>
      </w:r>
      <w:r w:rsidR="00F60A2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ete bilo koji od prethodno navedenih znakova ili simptoma. Ukoliko se posumnja na znake ili simptome spinalnog hematoma, pokrenuti hitnu dijagnozu i terapiju, što uključuje i razmatranje dekompresije </w:t>
      </w:r>
      <w:r w:rsidR="00F60A2A" w:rsidRPr="00B82EF7">
        <w:rPr>
          <w:rFonts w:asciiTheme="majorBidi" w:hAnsiTheme="majorBidi" w:cstheme="majorBidi"/>
          <w:noProof/>
          <w:sz w:val="22"/>
          <w:szCs w:val="22"/>
          <w:lang w:val="sr-Latn-ME"/>
        </w:rPr>
        <w:t>kič</w:t>
      </w:r>
      <w:r w:rsidRPr="00B82EF7">
        <w:rPr>
          <w:rFonts w:asciiTheme="majorBidi" w:hAnsiTheme="majorBidi" w:cstheme="majorBidi"/>
          <w:noProof/>
          <w:sz w:val="22"/>
          <w:szCs w:val="22"/>
          <w:lang w:val="sr-Latn-ME"/>
        </w:rPr>
        <w:t>mene moždine, iako takva terapija možda neće spr</w:t>
      </w:r>
      <w:r w:rsidR="00F60A2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ečiti ni poništiti neurološke posl</w:t>
      </w:r>
      <w:r w:rsidR="00F60A2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edice.</w:t>
      </w:r>
    </w:p>
    <w:p w14:paraId="1A442129" w14:textId="77777777" w:rsidR="00DD7F82" w:rsidRPr="00B82EF7" w:rsidRDefault="00DD7F82" w:rsidP="00F131CD">
      <w:pPr>
        <w:ind w:left="360"/>
        <w:jc w:val="both"/>
        <w:rPr>
          <w:rFonts w:asciiTheme="majorBidi" w:hAnsiTheme="majorBidi" w:cstheme="majorBidi"/>
          <w:noProof/>
          <w:sz w:val="22"/>
          <w:szCs w:val="22"/>
          <w:lang w:val="sr-Latn-ME"/>
        </w:rPr>
      </w:pPr>
    </w:p>
    <w:p w14:paraId="42B8D1EC"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Nekroza kože/ kožni vaskulitis </w:t>
      </w:r>
    </w:p>
    <w:p w14:paraId="475A3522"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Kod prim</w:t>
      </w:r>
      <w:r w:rsidR="00F60A2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ene heparina niske molekulske mase (LMWH) prijavljeni su nekroza kože i kožni vaskulitis, koji zaht</w:t>
      </w:r>
      <w:r w:rsidR="00F60A2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evaju hitan prekid terapije. </w:t>
      </w:r>
    </w:p>
    <w:p w14:paraId="6AB5307E" w14:textId="77777777" w:rsidR="00DD7F82" w:rsidRPr="00B82EF7" w:rsidRDefault="00DD7F82" w:rsidP="00F131CD">
      <w:pPr>
        <w:ind w:left="360"/>
        <w:jc w:val="both"/>
        <w:rPr>
          <w:rFonts w:asciiTheme="majorBidi" w:hAnsiTheme="majorBidi" w:cstheme="majorBidi"/>
          <w:noProof/>
          <w:sz w:val="22"/>
          <w:szCs w:val="22"/>
          <w:lang w:val="sr-Latn-ME"/>
        </w:rPr>
      </w:pPr>
    </w:p>
    <w:p w14:paraId="44123521"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Postupci perkutane koronarne </w:t>
      </w:r>
      <w:r w:rsidRPr="00B82EF7">
        <w:rPr>
          <w:rFonts w:asciiTheme="majorBidi" w:hAnsiTheme="majorBidi" w:cstheme="majorBidi"/>
          <w:bCs/>
          <w:i/>
          <w:iCs/>
          <w:noProof/>
          <w:szCs w:val="22"/>
          <w:lang w:val="sr-Latn-ME"/>
        </w:rPr>
        <w:t>revaskularizacije</w:t>
      </w:r>
    </w:p>
    <w:p w14:paraId="098D0749"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Kako bi se minimizovao rizik od krvarenja nakon vaskularnog pristupa tokom l</w:t>
      </w:r>
      <w:r w:rsidR="000F20E4"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ečenja nestabilne angine, </w:t>
      </w:r>
      <w:r w:rsidRPr="00B82EF7">
        <w:rPr>
          <w:rFonts w:asciiTheme="majorBidi" w:hAnsiTheme="majorBidi" w:cstheme="majorBidi"/>
          <w:bCs/>
          <w:noProof/>
          <w:sz w:val="22"/>
          <w:szCs w:val="22"/>
          <w:lang w:val="sr-Latn-ME"/>
        </w:rPr>
        <w:t>infarkta miokarda bez elevacije ST segmenta</w:t>
      </w:r>
      <w:r w:rsidRPr="00B82EF7">
        <w:rPr>
          <w:rFonts w:asciiTheme="majorBidi" w:hAnsiTheme="majorBidi" w:cstheme="majorBidi"/>
          <w:noProof/>
          <w:sz w:val="22"/>
          <w:szCs w:val="22"/>
          <w:lang w:val="sr-Latn-ME"/>
        </w:rPr>
        <w:t xml:space="preserve"> (NSTEMI) i akutnog </w:t>
      </w:r>
      <w:r w:rsidRPr="00B82EF7">
        <w:rPr>
          <w:rFonts w:asciiTheme="majorBidi" w:hAnsiTheme="majorBidi" w:cstheme="majorBidi"/>
          <w:bCs/>
          <w:noProof/>
          <w:sz w:val="22"/>
          <w:szCs w:val="22"/>
          <w:lang w:val="sr-Latn-ME"/>
        </w:rPr>
        <w:t>infarkta miokarda sa elevacijom ST segmenta (</w:t>
      </w:r>
      <w:r w:rsidRPr="00B82EF7">
        <w:rPr>
          <w:rFonts w:asciiTheme="majorBidi" w:hAnsiTheme="majorBidi" w:cstheme="majorBidi"/>
          <w:noProof/>
          <w:sz w:val="22"/>
          <w:szCs w:val="22"/>
          <w:lang w:val="sr-Latn-ME"/>
        </w:rPr>
        <w:t xml:space="preserve">STEMI), treba se tačno pridržavati preporučenih intervala između injekcijskih doza </w:t>
      </w:r>
      <w:r w:rsidR="000F20E4"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Važno je postići hemostazu na m</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punkcije nakon PCI. Ukoliko se koristi vaskularna kopča, ovojnica se može odmah ukloniti. Ukoliko se prim</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enjuje metod ručne kompresije, ovojnicu treba ukloniti 6 sati nakon posl</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ednje s.c./i.v. injekcije enoksaparin</w:t>
      </w:r>
      <w:r w:rsidR="000F20E4"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 xml:space="preserve">natrijuma. Ukoliko treba nastaviti terapiju </w:t>
      </w:r>
      <w:r w:rsidR="000F20E4"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natrijumom, sl</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edeća doza prema rasporedu se sm</w:t>
      </w:r>
      <w:r w:rsidR="000F20E4"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prim</w:t>
      </w:r>
      <w:r w:rsidR="000F20E4"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eniti tek 6 do 8 sati nakon uklanjanja ovojnice. M</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esto na kojem je sproveden zahvat treba posmatrati zbog moguće pojave znakova krvarenja ili nastanka hematoma.</w:t>
      </w:r>
    </w:p>
    <w:p w14:paraId="025D3C43" w14:textId="77777777" w:rsidR="00DD7F82" w:rsidRPr="00B82EF7" w:rsidRDefault="00DD7F82" w:rsidP="00F131CD">
      <w:pPr>
        <w:ind w:left="360"/>
        <w:jc w:val="both"/>
        <w:rPr>
          <w:rFonts w:asciiTheme="majorBidi" w:hAnsiTheme="majorBidi" w:cstheme="majorBidi"/>
          <w:noProof/>
          <w:sz w:val="22"/>
          <w:szCs w:val="22"/>
          <w:lang w:val="sr-Latn-ME"/>
        </w:rPr>
      </w:pPr>
    </w:p>
    <w:p w14:paraId="4DDD876B"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Akutni infektivni endokarditis </w:t>
      </w:r>
    </w:p>
    <w:p w14:paraId="46A0ECBD"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Prim</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ena heparina obično se ne preporučuje kod pacijenata sa akutnim infektivnim endokarditisom, zbog rizika od cerebralnog krvarenja. Ukoliko se takva prim</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ena smatra apsolutno neophodnom, odluka se mora don</w:t>
      </w:r>
      <w:r w:rsidR="000F20E4"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eti tek nakon pažljive proc</w:t>
      </w:r>
      <w:r w:rsidR="000F20E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ene koristi i rizika kod svakog pojedinačnog pacijenta. </w:t>
      </w:r>
    </w:p>
    <w:p w14:paraId="26A6E97A" w14:textId="77777777" w:rsidR="00DD7F82" w:rsidRPr="00B82EF7" w:rsidRDefault="00DD7F82" w:rsidP="00F131CD">
      <w:pPr>
        <w:ind w:left="360"/>
        <w:jc w:val="both"/>
        <w:rPr>
          <w:rFonts w:asciiTheme="majorBidi" w:hAnsiTheme="majorBidi" w:cstheme="majorBidi"/>
          <w:noProof/>
          <w:sz w:val="22"/>
          <w:szCs w:val="22"/>
          <w:lang w:val="sr-Latn-ME"/>
        </w:rPr>
      </w:pPr>
    </w:p>
    <w:p w14:paraId="6C57A67D"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Mehanički v</w:t>
      </w:r>
      <w:r w:rsidR="000F20E4" w:rsidRPr="00B82EF7">
        <w:rPr>
          <w:rFonts w:asciiTheme="majorBidi" w:hAnsiTheme="majorBidi" w:cstheme="majorBidi"/>
          <w:i/>
          <w:iCs/>
          <w:noProof/>
          <w:szCs w:val="22"/>
          <w:lang w:val="sr-Latn-ME"/>
        </w:rPr>
        <w:t>j</w:t>
      </w:r>
      <w:r w:rsidRPr="00B82EF7">
        <w:rPr>
          <w:rFonts w:asciiTheme="majorBidi" w:hAnsiTheme="majorBidi" w:cstheme="majorBidi"/>
          <w:i/>
          <w:iCs/>
          <w:noProof/>
          <w:szCs w:val="22"/>
          <w:lang w:val="sr-Latn-ME"/>
        </w:rPr>
        <w:t xml:space="preserve">eštački srčani zalisci </w:t>
      </w:r>
    </w:p>
    <w:p w14:paraId="799AF9F3" w14:textId="77777777" w:rsidR="00DD7F82" w:rsidRPr="00B82EF7" w:rsidRDefault="00DD7F82" w:rsidP="00F131CD">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Prim</w:t>
      </w:r>
      <w:r w:rsidR="00B41BA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ena </w:t>
      </w:r>
      <w:r w:rsidR="00B41BA4"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u tromboprofilaksi kod pacijenata sa mehaničkim v</w:t>
      </w:r>
      <w:r w:rsidR="00B41BA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eštačkim srčanim zaliscima nije adekvatno ispitana. Kod pacijenata sa mehaničkim v</w:t>
      </w:r>
      <w:r w:rsidR="00B41BA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eštačkim srčanim zaliscima koji su primali </w:t>
      </w:r>
      <w:r w:rsidR="00B41BA4"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 za tromboprofilaksu prijavljeni su izolovani slučajevi tromboze v</w:t>
      </w:r>
      <w:r w:rsidR="00B41BA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eštačkog srčanog zaliska. Doprinoseći faktori, uključujući osnovnu bolest i nedovoljno </w:t>
      </w:r>
      <w:r w:rsidRPr="00B82EF7">
        <w:rPr>
          <w:rFonts w:asciiTheme="majorBidi" w:hAnsiTheme="majorBidi" w:cstheme="majorBidi"/>
          <w:noProof/>
          <w:sz w:val="22"/>
          <w:szCs w:val="22"/>
          <w:lang w:val="sr-Latn-ME"/>
        </w:rPr>
        <w:lastRenderedPageBreak/>
        <w:t>kliničkih podataka, ograničavaju mogućnost proc</w:t>
      </w:r>
      <w:r w:rsidR="00B41BA4"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ene ovih slučajeva. Neki od ovih slučajeva zab</w:t>
      </w:r>
      <w:r w:rsidR="00C326D2" w:rsidRPr="00B82EF7">
        <w:rPr>
          <w:rFonts w:asciiTheme="majorBidi" w:hAnsiTheme="majorBidi" w:cstheme="majorBidi"/>
          <w:noProof/>
          <w:sz w:val="22"/>
          <w:szCs w:val="22"/>
          <w:lang w:val="sr-Latn-ME"/>
        </w:rPr>
        <w:t>ilj</w:t>
      </w:r>
      <w:r w:rsidRPr="00B82EF7">
        <w:rPr>
          <w:rFonts w:asciiTheme="majorBidi" w:hAnsiTheme="majorBidi" w:cstheme="majorBidi"/>
          <w:noProof/>
          <w:sz w:val="22"/>
          <w:szCs w:val="22"/>
          <w:lang w:val="sr-Latn-ME"/>
        </w:rPr>
        <w:t>eženi su kod trudnica kod kojih je tromboza uzrokovala smrt majke i ploda.</w:t>
      </w:r>
    </w:p>
    <w:p w14:paraId="4973D8E3" w14:textId="77777777" w:rsidR="00DD7F82" w:rsidRPr="00B82EF7" w:rsidRDefault="00DD7F82" w:rsidP="003951EF">
      <w:pPr>
        <w:ind w:left="360"/>
        <w:rPr>
          <w:rFonts w:asciiTheme="majorBidi" w:hAnsiTheme="majorBidi" w:cstheme="majorBidi"/>
          <w:noProof/>
          <w:sz w:val="22"/>
          <w:szCs w:val="22"/>
          <w:lang w:val="sr-Latn-ME"/>
        </w:rPr>
      </w:pPr>
    </w:p>
    <w:p w14:paraId="7C544ECF" w14:textId="77777777" w:rsidR="00DD7F82" w:rsidRPr="00B82EF7" w:rsidRDefault="00DD7F82" w:rsidP="003951EF">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Trudnice s mehaničkim v</w:t>
      </w:r>
      <w:r w:rsidR="00C326D2" w:rsidRPr="00B82EF7">
        <w:rPr>
          <w:rFonts w:asciiTheme="majorBidi" w:hAnsiTheme="majorBidi" w:cstheme="majorBidi"/>
          <w:i/>
          <w:iCs/>
          <w:noProof/>
          <w:szCs w:val="22"/>
          <w:lang w:val="sr-Latn-ME"/>
        </w:rPr>
        <w:t>j</w:t>
      </w:r>
      <w:r w:rsidRPr="00B82EF7">
        <w:rPr>
          <w:rFonts w:asciiTheme="majorBidi" w:hAnsiTheme="majorBidi" w:cstheme="majorBidi"/>
          <w:i/>
          <w:iCs/>
          <w:noProof/>
          <w:szCs w:val="22"/>
          <w:lang w:val="sr-Latn-ME"/>
        </w:rPr>
        <w:t xml:space="preserve">eštačkim srčanim zaliscima </w:t>
      </w:r>
    </w:p>
    <w:p w14:paraId="49604CF1" w14:textId="77777777" w:rsidR="00DD7F82" w:rsidRPr="00B82EF7" w:rsidRDefault="00DD7F82" w:rsidP="004D148D">
      <w:pPr>
        <w:pStyle w:val="ListParagraph"/>
        <w:tabs>
          <w:tab w:val="clear" w:pos="284"/>
        </w:tabs>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Prim</w:t>
      </w:r>
      <w:r w:rsidR="00C326D2"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ena enoksaparin</w:t>
      </w:r>
      <w:r w:rsidR="00C326D2" w:rsidRPr="00B82EF7">
        <w:rPr>
          <w:rFonts w:asciiTheme="majorBidi" w:hAnsiTheme="majorBidi" w:cstheme="majorBidi"/>
          <w:noProof/>
          <w:szCs w:val="22"/>
          <w:lang w:val="sr-Latn-ME"/>
        </w:rPr>
        <w:t xml:space="preserve"> </w:t>
      </w:r>
      <w:r w:rsidRPr="00B82EF7">
        <w:rPr>
          <w:rFonts w:asciiTheme="majorBidi" w:hAnsiTheme="majorBidi" w:cstheme="majorBidi"/>
          <w:noProof/>
          <w:szCs w:val="22"/>
          <w:lang w:val="sr-Latn-ME"/>
        </w:rPr>
        <w:t>natrijuma u tromboprofilaksi kod trudnica sa mehaničkim v</w:t>
      </w:r>
      <w:r w:rsidR="00C326D2"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eštačkim srčanim zaliscima nije adekvatno ispitana. U kliničkoj studiji sprovedeno</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 kod trudnica sa mehaničkim v</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eštačkim srčanim zaliscima koje su primale </w:t>
      </w:r>
      <w:r w:rsidR="00C326D2"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 (100 i.j./kg (1 mg/kg) dvaputa dnevno) za smanjenje rizika od tromboembolije, kod 2 od 8 žena nastali su krvni ugrušci koji su uzrokovali opstrukciju zaliska i tako doveli do smrti majke i ploda. Tokom postmarketinškog praćenja prijavljeni su izolovani slučajevi tromboze zaliska kod trudnica sa mehaničkim v</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eštačkim srčanim zaliscima koje su primale </w:t>
      </w:r>
      <w:r w:rsidR="000B262A"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 u tromboprofilaksi. Trudnice sa mehaničkim v</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eštačkim srčanim zaliscima mogu imati povećan rizik od tromboembolije. </w:t>
      </w:r>
    </w:p>
    <w:p w14:paraId="0E748934" w14:textId="77777777" w:rsidR="00DD7F82" w:rsidRPr="00B82EF7" w:rsidRDefault="00DD7F82" w:rsidP="00F131CD">
      <w:pPr>
        <w:ind w:left="360"/>
        <w:jc w:val="both"/>
        <w:rPr>
          <w:rFonts w:asciiTheme="majorBidi" w:hAnsiTheme="majorBidi" w:cstheme="majorBidi"/>
          <w:noProof/>
          <w:sz w:val="22"/>
          <w:szCs w:val="22"/>
          <w:lang w:val="sr-Latn-ME"/>
        </w:rPr>
      </w:pPr>
    </w:p>
    <w:p w14:paraId="27C04697"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Starije osobe </w:t>
      </w:r>
    </w:p>
    <w:p w14:paraId="1660D943" w14:textId="77777777" w:rsidR="00DD7F82" w:rsidRPr="00B82EF7" w:rsidRDefault="00DD7F82" w:rsidP="00C36CDC">
      <w:pPr>
        <w:pStyle w:val="ListParagraph"/>
        <w:tabs>
          <w:tab w:val="clear" w:pos="284"/>
        </w:tabs>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Kod starijih osoba nije prim</w:t>
      </w:r>
      <w:r w:rsidR="000B262A"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ećena povećana sklonost krvarenju kod prim</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ene doza iz profilaktičkog opsega. Stariji pacijenti (naročito oni starosti 80 ili više godina) mogu imati povećan rizik od komplikacija krvarenja kod prim</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ene terapijskog opsega doza. Kod pacijenata starijih od 75 godina koji su na terapiji za akutni</w:t>
      </w:r>
      <w:r w:rsidRPr="00B82EF7">
        <w:rPr>
          <w:rFonts w:asciiTheme="majorBidi" w:hAnsiTheme="majorBidi" w:cstheme="majorBidi"/>
          <w:bCs/>
          <w:noProof/>
          <w:szCs w:val="22"/>
          <w:lang w:val="sr-Latn-ME"/>
        </w:rPr>
        <w:t xml:space="preserve"> </w:t>
      </w:r>
      <w:r w:rsidRPr="00B82EF7">
        <w:rPr>
          <w:rFonts w:asciiTheme="majorBidi" w:hAnsiTheme="majorBidi" w:cstheme="majorBidi"/>
          <w:noProof/>
          <w:szCs w:val="22"/>
          <w:lang w:val="sr-Latn-ME"/>
        </w:rPr>
        <w:t>STEMI preporučuje se pažljivo kliničko praćenje, a može se razmotriti i smanjenje doze (vid</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0B262A"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eljke 4.2 i 5.2).</w:t>
      </w:r>
    </w:p>
    <w:p w14:paraId="1C7BA0FB" w14:textId="77777777" w:rsidR="00DD7F82" w:rsidRPr="00B82EF7" w:rsidRDefault="00DD7F82" w:rsidP="00F131CD">
      <w:pPr>
        <w:ind w:left="360"/>
        <w:jc w:val="both"/>
        <w:rPr>
          <w:rFonts w:asciiTheme="majorBidi" w:hAnsiTheme="majorBidi" w:cstheme="majorBidi"/>
          <w:noProof/>
          <w:sz w:val="22"/>
          <w:szCs w:val="22"/>
          <w:lang w:val="sr-Latn-ME"/>
        </w:rPr>
      </w:pPr>
    </w:p>
    <w:p w14:paraId="4DDB7528"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Poremećaj bubrežne</w:t>
      </w:r>
      <w:r w:rsidRPr="00B82EF7">
        <w:rPr>
          <w:rFonts w:asciiTheme="majorBidi" w:hAnsiTheme="majorBidi" w:cstheme="majorBidi"/>
          <w:noProof/>
          <w:szCs w:val="22"/>
          <w:lang w:val="sr-Latn-ME"/>
        </w:rPr>
        <w:t xml:space="preserve"> </w:t>
      </w:r>
      <w:r w:rsidRPr="00B82EF7">
        <w:rPr>
          <w:rFonts w:asciiTheme="majorBidi" w:hAnsiTheme="majorBidi" w:cstheme="majorBidi"/>
          <w:i/>
          <w:iCs/>
          <w:noProof/>
          <w:szCs w:val="22"/>
          <w:lang w:val="sr-Latn-ME"/>
        </w:rPr>
        <w:t xml:space="preserve">funkcije </w:t>
      </w:r>
    </w:p>
    <w:p w14:paraId="29451195" w14:textId="77777777" w:rsidR="00260C92" w:rsidRPr="00B82EF7" w:rsidRDefault="00DD7F82" w:rsidP="00C36CDC">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Kod pacijenata sa bubrežnom insuficijencijom povećana je izloženost </w:t>
      </w:r>
      <w:r w:rsidR="00B36F6D"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natrijumu, što povećava rizik od krvarenja. Kod ovih pacijenata se preporučuje pažljivo kliničko praćenje, a može se razmotriti i biološko praćenje određivanjem anti-Xa aktivnosti (vid</w:t>
      </w:r>
      <w:r w:rsidR="00C966E7"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C966E7"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eljke 4.2 i 5.2). </w:t>
      </w:r>
      <w:r w:rsidR="007E1FF7" w:rsidRPr="00B82EF7">
        <w:rPr>
          <w:rFonts w:asciiTheme="majorBidi" w:hAnsiTheme="majorBidi" w:cstheme="majorBidi"/>
          <w:noProof/>
          <w:szCs w:val="22"/>
          <w:lang w:val="sr-Latn-ME"/>
        </w:rPr>
        <w:t>Enoksaparin natrijum</w:t>
      </w:r>
      <w:r w:rsidRPr="00B82EF7">
        <w:rPr>
          <w:rFonts w:asciiTheme="majorBidi" w:hAnsiTheme="majorBidi" w:cstheme="majorBidi"/>
          <w:noProof/>
          <w:szCs w:val="22"/>
          <w:lang w:val="sr-Latn-ME"/>
        </w:rPr>
        <w:t xml:space="preserve"> se ne preporučuje za pacijente </w:t>
      </w:r>
      <w:r w:rsidRPr="00B82EF7">
        <w:rPr>
          <w:rFonts w:asciiTheme="majorBidi" w:hAnsiTheme="majorBidi" w:cstheme="majorBidi"/>
          <w:bCs/>
          <w:noProof/>
          <w:szCs w:val="22"/>
          <w:lang w:val="sr-Latn-ME"/>
        </w:rPr>
        <w:t>u krajnjem stadijumu oboljenja bu</w:t>
      </w:r>
      <w:r w:rsidR="00B36F6D" w:rsidRPr="00B82EF7">
        <w:rPr>
          <w:rFonts w:asciiTheme="majorBidi" w:hAnsiTheme="majorBidi" w:cstheme="majorBidi"/>
          <w:bCs/>
          <w:noProof/>
          <w:szCs w:val="22"/>
          <w:lang w:val="sr-Latn-ME"/>
        </w:rPr>
        <w:t xml:space="preserve">brega (klirens kreatinina &lt;15 </w:t>
      </w:r>
      <w:r w:rsidR="00A32335" w:rsidRPr="00B82EF7">
        <w:rPr>
          <w:rFonts w:asciiTheme="majorBidi" w:hAnsiTheme="majorBidi" w:cstheme="majorBidi"/>
          <w:bCs/>
          <w:noProof/>
          <w:szCs w:val="22"/>
          <w:lang w:val="sr-Latn-ME"/>
        </w:rPr>
        <w:t>ml</w:t>
      </w:r>
      <w:r w:rsidRPr="00B82EF7">
        <w:rPr>
          <w:rFonts w:asciiTheme="majorBidi" w:hAnsiTheme="majorBidi" w:cstheme="majorBidi"/>
          <w:bCs/>
          <w:noProof/>
          <w:szCs w:val="22"/>
          <w:lang w:val="sr-Latn-ME"/>
        </w:rPr>
        <w:t>/min)</w:t>
      </w:r>
      <w:r w:rsidRPr="00B82EF7">
        <w:rPr>
          <w:rFonts w:asciiTheme="majorBidi" w:hAnsiTheme="majorBidi" w:cstheme="majorBidi"/>
          <w:noProof/>
          <w:szCs w:val="22"/>
          <w:lang w:val="sr-Latn-ME"/>
        </w:rPr>
        <w:t xml:space="preserve">, zbog nedostatka podataka u ovoj populaciji izvan prevencije formiranja tromba u ekstrakorporalnoj cirkulaciji tokom hemodijalize. </w:t>
      </w:r>
    </w:p>
    <w:p w14:paraId="3E97D102" w14:textId="77777777" w:rsidR="00260C9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Zbog značajno povećane izloženosti </w:t>
      </w:r>
      <w:r w:rsidR="00B36F6D"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natrijumu kod pacijenata sa teškom bubrežnom insuficijencijom</w:t>
      </w:r>
      <w:r w:rsidR="00B36F6D" w:rsidRPr="00B82EF7">
        <w:rPr>
          <w:rFonts w:asciiTheme="majorBidi" w:hAnsiTheme="majorBidi" w:cstheme="majorBidi"/>
          <w:noProof/>
          <w:szCs w:val="22"/>
          <w:lang w:val="sr-Latn-ME"/>
        </w:rPr>
        <w:t xml:space="preserve"> (klirens kreatinina: 15 – 30 </w:t>
      </w:r>
      <w:r w:rsidR="00A32335" w:rsidRPr="00B82EF7">
        <w:rPr>
          <w:rFonts w:asciiTheme="majorBidi" w:hAnsiTheme="majorBidi" w:cstheme="majorBidi"/>
          <w:noProof/>
          <w:szCs w:val="22"/>
          <w:lang w:val="sr-Latn-ME"/>
        </w:rPr>
        <w:t>ml</w:t>
      </w:r>
      <w:r w:rsidRPr="00B82EF7">
        <w:rPr>
          <w:rFonts w:asciiTheme="majorBidi" w:hAnsiTheme="majorBidi" w:cstheme="majorBidi"/>
          <w:noProof/>
          <w:szCs w:val="22"/>
          <w:lang w:val="sr-Latn-ME"/>
        </w:rPr>
        <w:t>/min), preporučuje se prilagođavanje doze u terapijskom i profilaktičkom opsegu (vid</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eljak 4.2). </w:t>
      </w:r>
    </w:p>
    <w:p w14:paraId="772A4D4E" w14:textId="59C03AAC" w:rsidR="00DD7F82" w:rsidRPr="00B82EF7" w:rsidRDefault="00DD7F82">
      <w:pPr>
        <w:pStyle w:val="ListParagraph"/>
        <w:tabs>
          <w:tab w:val="clear" w:pos="284"/>
        </w:tabs>
        <w:ind w:left="360"/>
        <w:contextualSpacing w:val="0"/>
        <w:rPr>
          <w:rFonts w:asciiTheme="majorBidi" w:hAnsiTheme="majorBidi" w:cstheme="majorBidi"/>
          <w:noProof/>
          <w:szCs w:val="22"/>
          <w:lang w:val="sr-Latn-ME"/>
        </w:rPr>
      </w:pPr>
      <w:r w:rsidRPr="00B82EF7">
        <w:rPr>
          <w:rFonts w:asciiTheme="majorBidi" w:hAnsiTheme="majorBidi" w:cstheme="majorBidi"/>
          <w:noProof/>
          <w:szCs w:val="22"/>
          <w:lang w:val="sr-Latn-ME"/>
        </w:rPr>
        <w:t>Ne preporučuje se prilagođavanje doze kod pacijenata sa um</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erenom</w:t>
      </w:r>
      <w:r w:rsidR="00B36F6D" w:rsidRPr="00B82EF7">
        <w:rPr>
          <w:rFonts w:asciiTheme="majorBidi" w:hAnsiTheme="majorBidi" w:cstheme="majorBidi"/>
          <w:noProof/>
          <w:szCs w:val="22"/>
          <w:lang w:val="sr-Latn-ME"/>
        </w:rPr>
        <w:t xml:space="preserve"> (klirens kreatinina: 30 – 50 </w:t>
      </w:r>
      <w:r w:rsidR="00A32335" w:rsidRPr="00B82EF7">
        <w:rPr>
          <w:rFonts w:asciiTheme="majorBidi" w:hAnsiTheme="majorBidi" w:cstheme="majorBidi"/>
          <w:noProof/>
          <w:szCs w:val="22"/>
          <w:lang w:val="sr-Latn-ME"/>
        </w:rPr>
        <w:t>ml</w:t>
      </w:r>
      <w:r w:rsidRPr="00B82EF7">
        <w:rPr>
          <w:rFonts w:asciiTheme="majorBidi" w:hAnsiTheme="majorBidi" w:cstheme="majorBidi"/>
          <w:noProof/>
          <w:szCs w:val="22"/>
          <w:lang w:val="sr-Latn-ME"/>
        </w:rPr>
        <w:t>/min) i blagom</w:t>
      </w:r>
      <w:r w:rsidR="00B36F6D" w:rsidRPr="00B82EF7">
        <w:rPr>
          <w:rFonts w:asciiTheme="majorBidi" w:hAnsiTheme="majorBidi" w:cstheme="majorBidi"/>
          <w:noProof/>
          <w:szCs w:val="22"/>
          <w:lang w:val="sr-Latn-ME"/>
        </w:rPr>
        <w:t xml:space="preserve"> (klirens kreatinina: 50 – 80 </w:t>
      </w:r>
      <w:r w:rsidR="00A32335" w:rsidRPr="00B82EF7">
        <w:rPr>
          <w:rFonts w:asciiTheme="majorBidi" w:hAnsiTheme="majorBidi" w:cstheme="majorBidi"/>
          <w:noProof/>
          <w:szCs w:val="22"/>
          <w:lang w:val="sr-Latn-ME"/>
        </w:rPr>
        <w:t>ml</w:t>
      </w:r>
      <w:r w:rsidRPr="00B82EF7">
        <w:rPr>
          <w:rFonts w:asciiTheme="majorBidi" w:hAnsiTheme="majorBidi" w:cstheme="majorBidi"/>
          <w:noProof/>
          <w:szCs w:val="22"/>
          <w:lang w:val="sr-Latn-ME"/>
        </w:rPr>
        <w:t>/min) bubrežnom insuficijencijom.</w:t>
      </w:r>
    </w:p>
    <w:p w14:paraId="2CE49802" w14:textId="77777777" w:rsidR="00DD7F82" w:rsidRPr="00B82EF7" w:rsidRDefault="00DD7F82" w:rsidP="00F131CD">
      <w:pPr>
        <w:ind w:left="360"/>
        <w:jc w:val="both"/>
        <w:rPr>
          <w:rFonts w:asciiTheme="majorBidi" w:hAnsiTheme="majorBidi" w:cstheme="majorBidi"/>
          <w:noProof/>
          <w:sz w:val="22"/>
          <w:szCs w:val="22"/>
          <w:lang w:val="sr-Latn-ME"/>
        </w:rPr>
      </w:pPr>
    </w:p>
    <w:p w14:paraId="58A84324"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Poremećaj funkcije jetre </w:t>
      </w:r>
    </w:p>
    <w:p w14:paraId="4A24A1AE" w14:textId="77777777" w:rsidR="00DD7F82" w:rsidRPr="00B82EF7" w:rsidRDefault="00B36F6D" w:rsidP="00C36CDC">
      <w:pPr>
        <w:pStyle w:val="ListParagraph"/>
        <w:tabs>
          <w:tab w:val="clear" w:pos="284"/>
        </w:tabs>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 xml:space="preserve">Enoksaparin </w:t>
      </w:r>
      <w:r w:rsidR="00DD7F82" w:rsidRPr="00B82EF7">
        <w:rPr>
          <w:rFonts w:asciiTheme="majorBidi" w:hAnsiTheme="majorBidi" w:cstheme="majorBidi"/>
          <w:noProof/>
          <w:szCs w:val="22"/>
          <w:lang w:val="sr-Latn-ME"/>
        </w:rPr>
        <w:t>natrijum treba prim</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enjivati uz oprez kod pacijenata sa oštećenjem funkcije jetre zbog povećane mogućnosti krvarenja. Prilagođavanje doze na osnovu praćenja nivoa anti-Xa aktivnosti nije pouzdano kod pacijenata sa cirozom jetre, pa se ne preporučuje (vid</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eti od</w:t>
      </w:r>
      <w:r w:rsidRPr="00B82EF7">
        <w:rPr>
          <w:rFonts w:asciiTheme="majorBidi" w:hAnsiTheme="majorBidi" w:cstheme="majorBidi"/>
          <w:noProof/>
          <w:szCs w:val="22"/>
          <w:lang w:val="sr-Latn-ME"/>
        </w:rPr>
        <w:t>j</w:t>
      </w:r>
      <w:r w:rsidR="00DD7F82" w:rsidRPr="00B82EF7">
        <w:rPr>
          <w:rFonts w:asciiTheme="majorBidi" w:hAnsiTheme="majorBidi" w:cstheme="majorBidi"/>
          <w:noProof/>
          <w:szCs w:val="22"/>
          <w:lang w:val="sr-Latn-ME"/>
        </w:rPr>
        <w:t xml:space="preserve">eljak 5.2). </w:t>
      </w:r>
    </w:p>
    <w:p w14:paraId="7A5B75BC" w14:textId="77777777" w:rsidR="00DD7F82" w:rsidRPr="00B82EF7" w:rsidRDefault="00DD7F82" w:rsidP="00F131CD">
      <w:pPr>
        <w:ind w:left="360"/>
        <w:jc w:val="both"/>
        <w:rPr>
          <w:rFonts w:asciiTheme="majorBidi" w:hAnsiTheme="majorBidi" w:cstheme="majorBidi"/>
          <w:noProof/>
          <w:sz w:val="22"/>
          <w:szCs w:val="22"/>
          <w:lang w:val="sr-Latn-ME"/>
        </w:rPr>
      </w:pPr>
    </w:p>
    <w:p w14:paraId="21C0B239"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bCs/>
          <w:i/>
          <w:iCs/>
          <w:noProof/>
          <w:szCs w:val="22"/>
          <w:lang w:val="sr-Latn-ME"/>
        </w:rPr>
        <w:t xml:space="preserve">Mala </w:t>
      </w:r>
      <w:r w:rsidR="00811A52" w:rsidRPr="00B82EF7">
        <w:rPr>
          <w:rFonts w:asciiTheme="majorBidi" w:hAnsiTheme="majorBidi" w:cstheme="majorBidi"/>
          <w:bCs/>
          <w:i/>
          <w:iCs/>
          <w:noProof/>
          <w:szCs w:val="22"/>
          <w:lang w:val="sr-Latn-ME"/>
        </w:rPr>
        <w:t>tjelesna</w:t>
      </w:r>
      <w:r w:rsidRPr="00B82EF7">
        <w:rPr>
          <w:rFonts w:asciiTheme="majorBidi" w:hAnsiTheme="majorBidi" w:cstheme="majorBidi"/>
          <w:bCs/>
          <w:i/>
          <w:iCs/>
          <w:noProof/>
          <w:szCs w:val="22"/>
          <w:lang w:val="sr-Latn-ME"/>
        </w:rPr>
        <w:t xml:space="preserve"> masa</w:t>
      </w:r>
      <w:r w:rsidRPr="00B82EF7">
        <w:rPr>
          <w:rFonts w:asciiTheme="majorBidi" w:hAnsiTheme="majorBidi" w:cstheme="majorBidi"/>
          <w:i/>
          <w:iCs/>
          <w:noProof/>
          <w:szCs w:val="22"/>
          <w:lang w:val="sr-Latn-ME"/>
        </w:rPr>
        <w:t xml:space="preserve"> </w:t>
      </w:r>
    </w:p>
    <w:p w14:paraId="7881F12C" w14:textId="2C6307DE" w:rsidR="00DD7F82" w:rsidRPr="00B82EF7" w:rsidRDefault="00DD7F82" w:rsidP="00C36CDC">
      <w:pPr>
        <w:pStyle w:val="ListParagraph"/>
        <w:tabs>
          <w:tab w:val="clear" w:pos="284"/>
        </w:tabs>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Kod žena male t</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elesne mase (&lt; 45 kg) i muškaraca male t</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elesne mase (&lt; 57 kg) prim</w:t>
      </w:r>
      <w:r w:rsidR="00B36F6D"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 xml:space="preserve">ećeno je povećanje izloženosti </w:t>
      </w:r>
      <w:r w:rsidR="00B36F6D" w:rsidRPr="00B82EF7">
        <w:rPr>
          <w:rFonts w:asciiTheme="majorBidi" w:hAnsiTheme="majorBidi" w:cstheme="majorBidi"/>
          <w:noProof/>
          <w:szCs w:val="22"/>
          <w:lang w:val="sr-Latn-ME"/>
        </w:rPr>
        <w:t xml:space="preserve">enoksaparin </w:t>
      </w:r>
      <w:r w:rsidRPr="00B82EF7">
        <w:rPr>
          <w:rFonts w:asciiTheme="majorBidi" w:hAnsiTheme="majorBidi" w:cstheme="majorBidi"/>
          <w:noProof/>
          <w:szCs w:val="22"/>
          <w:lang w:val="sr-Latn-ME"/>
        </w:rPr>
        <w:t>natrijumu kod profilaktičkih doza (neprilagođenih prema t</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elesnoj masi), koje može povećati rizik od krvarenja. Stoga se kod ovih pacijenata preporučuje pažljivo kliničko praćenje (vid</w:t>
      </w:r>
      <w:r w:rsidR="00B36F6D"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eti od</w:t>
      </w:r>
      <w:r w:rsidR="005606F4"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 xml:space="preserve">eljak 5.2). </w:t>
      </w:r>
    </w:p>
    <w:p w14:paraId="2C0E153A" w14:textId="77777777" w:rsidR="00DD7F82" w:rsidRPr="00B82EF7" w:rsidRDefault="00DD7F82" w:rsidP="00F131CD">
      <w:pPr>
        <w:ind w:left="360"/>
        <w:jc w:val="both"/>
        <w:rPr>
          <w:rFonts w:asciiTheme="majorBidi" w:hAnsiTheme="majorBidi" w:cstheme="majorBidi"/>
          <w:noProof/>
          <w:sz w:val="22"/>
          <w:szCs w:val="22"/>
          <w:lang w:val="sr-Latn-ME"/>
        </w:rPr>
      </w:pPr>
    </w:p>
    <w:p w14:paraId="33512FCF" w14:textId="77777777" w:rsidR="00DD7F82" w:rsidRPr="00B82EF7" w:rsidRDefault="00DD7F82" w:rsidP="004D148D">
      <w:pPr>
        <w:pStyle w:val="ListParagraph"/>
        <w:numPr>
          <w:ilvl w:val="0"/>
          <w:numId w:val="23"/>
        </w:numPr>
        <w:tabs>
          <w:tab w:val="clear" w:pos="284"/>
        </w:tabs>
        <w:ind w:left="360" w:firstLine="0"/>
        <w:rPr>
          <w:rFonts w:asciiTheme="majorBidi" w:hAnsiTheme="majorBidi" w:cstheme="majorBidi"/>
          <w:noProof/>
          <w:szCs w:val="22"/>
          <w:lang w:val="sr-Latn-ME"/>
        </w:rPr>
      </w:pPr>
      <w:r w:rsidRPr="00B82EF7">
        <w:rPr>
          <w:rFonts w:asciiTheme="majorBidi" w:hAnsiTheme="majorBidi" w:cstheme="majorBidi"/>
          <w:i/>
          <w:iCs/>
          <w:noProof/>
          <w:szCs w:val="22"/>
          <w:lang w:val="sr-Latn-ME"/>
        </w:rPr>
        <w:t xml:space="preserve">Gojazni pacijenti </w:t>
      </w:r>
    </w:p>
    <w:p w14:paraId="4CA3D497" w14:textId="2E60F1BF" w:rsidR="00DD7F82" w:rsidRPr="00B82EF7" w:rsidRDefault="00DD7F82" w:rsidP="004D148D">
      <w:pPr>
        <w:pStyle w:val="ListParagraph"/>
        <w:ind w:left="360"/>
        <w:rPr>
          <w:rFonts w:asciiTheme="majorBidi" w:hAnsiTheme="majorBidi" w:cstheme="majorBidi"/>
          <w:noProof/>
          <w:szCs w:val="22"/>
          <w:lang w:val="sr-Latn-ME"/>
        </w:rPr>
      </w:pPr>
      <w:r w:rsidRPr="00B82EF7">
        <w:rPr>
          <w:rFonts w:asciiTheme="majorBidi" w:hAnsiTheme="majorBidi" w:cstheme="majorBidi"/>
          <w:iCs/>
          <w:noProof/>
          <w:szCs w:val="22"/>
          <w:lang w:val="sr-Latn-ME"/>
        </w:rPr>
        <w:t xml:space="preserve">Gojazni pacijenti </w:t>
      </w:r>
      <w:r w:rsidRPr="00B82EF7">
        <w:rPr>
          <w:rFonts w:asciiTheme="majorBidi" w:hAnsiTheme="majorBidi" w:cstheme="majorBidi"/>
          <w:noProof/>
          <w:szCs w:val="22"/>
          <w:lang w:val="sr-Latn-ME"/>
        </w:rPr>
        <w:t xml:space="preserve">imaju veći rizik od tromboembolije. </w:t>
      </w:r>
      <w:r w:rsidR="00B36F6D" w:rsidRPr="00B82EF7">
        <w:rPr>
          <w:rFonts w:asciiTheme="majorBidi" w:hAnsiTheme="majorBidi" w:cstheme="majorBidi"/>
          <w:noProof/>
          <w:szCs w:val="22"/>
          <w:lang w:val="sr-Latn-ME"/>
        </w:rPr>
        <w:t>Bezbjednost</w:t>
      </w:r>
      <w:r w:rsidRPr="00B82EF7">
        <w:rPr>
          <w:rFonts w:asciiTheme="majorBidi" w:hAnsiTheme="majorBidi" w:cstheme="majorBidi"/>
          <w:noProof/>
          <w:szCs w:val="22"/>
          <w:lang w:val="sr-Latn-ME"/>
        </w:rPr>
        <w:t xml:space="preserve"> i efikasnost profilaktičkih doza kod</w:t>
      </w:r>
      <w:r w:rsidR="00B36F6D" w:rsidRPr="00B82EF7">
        <w:rPr>
          <w:rFonts w:asciiTheme="majorBidi" w:hAnsiTheme="majorBidi" w:cstheme="majorBidi"/>
          <w:noProof/>
          <w:szCs w:val="22"/>
          <w:lang w:val="sr-Latn-ME"/>
        </w:rPr>
        <w:t xml:space="preserve"> </w:t>
      </w:r>
      <w:r w:rsidRPr="00B82EF7">
        <w:rPr>
          <w:rFonts w:asciiTheme="majorBidi" w:hAnsiTheme="majorBidi" w:cstheme="majorBidi"/>
          <w:noProof/>
          <w:szCs w:val="22"/>
          <w:lang w:val="sr-Latn-ME"/>
        </w:rPr>
        <w:t>gojaznih pacijenata (ITM &gt; 30 kg/m</w:t>
      </w:r>
      <w:r w:rsidRPr="00B82EF7">
        <w:rPr>
          <w:rFonts w:asciiTheme="majorBidi" w:hAnsiTheme="majorBidi" w:cstheme="majorBidi"/>
          <w:noProof/>
          <w:szCs w:val="22"/>
          <w:vertAlign w:val="superscript"/>
          <w:lang w:val="sr-Latn-ME"/>
        </w:rPr>
        <w:t>2</w:t>
      </w:r>
      <w:r w:rsidRPr="00B82EF7">
        <w:rPr>
          <w:rFonts w:asciiTheme="majorBidi" w:hAnsiTheme="majorBidi" w:cstheme="majorBidi"/>
          <w:noProof/>
          <w:szCs w:val="22"/>
          <w:lang w:val="sr-Latn-ME"/>
        </w:rPr>
        <w:t>) ni</w:t>
      </w:r>
      <w:r w:rsidR="005606F4" w:rsidRPr="00B82EF7">
        <w:rPr>
          <w:rFonts w:asciiTheme="majorBidi" w:hAnsiTheme="majorBidi" w:cstheme="majorBidi"/>
          <w:noProof/>
          <w:szCs w:val="22"/>
          <w:lang w:val="sr-Latn-ME"/>
        </w:rPr>
        <w:t>je</w:t>
      </w:r>
      <w:r w:rsidRPr="00B82EF7">
        <w:rPr>
          <w:rFonts w:asciiTheme="majorBidi" w:hAnsiTheme="majorBidi" w:cstheme="majorBidi"/>
          <w:noProof/>
          <w:szCs w:val="22"/>
          <w:lang w:val="sr-Latn-ME"/>
        </w:rPr>
        <w:t>su u potpunosti ustanovljene i ne postoji koncenzus oko prilagođavanja doze. Ove pacijente treba pažljivo nadzirati zbog moguće pojave znakova i simptoma tromboembolije.</w:t>
      </w:r>
    </w:p>
    <w:p w14:paraId="441F8E21" w14:textId="77777777" w:rsidR="00DD7F82" w:rsidRPr="00B82EF7" w:rsidRDefault="00DD7F82" w:rsidP="00F131CD">
      <w:pPr>
        <w:ind w:left="360"/>
        <w:jc w:val="both"/>
        <w:rPr>
          <w:rFonts w:asciiTheme="majorBidi" w:hAnsiTheme="majorBidi" w:cstheme="majorBidi"/>
          <w:noProof/>
          <w:sz w:val="22"/>
          <w:szCs w:val="22"/>
          <w:lang w:val="sr-Latn-ME"/>
        </w:rPr>
      </w:pPr>
    </w:p>
    <w:p w14:paraId="099C69B3" w14:textId="77777777" w:rsidR="00DD7F82" w:rsidRPr="00B82EF7" w:rsidRDefault="00DD7F82" w:rsidP="00B82EF7">
      <w:pPr>
        <w:pStyle w:val="ListParagraph"/>
        <w:numPr>
          <w:ilvl w:val="0"/>
          <w:numId w:val="23"/>
        </w:numPr>
        <w:tabs>
          <w:tab w:val="clear" w:pos="284"/>
        </w:tabs>
        <w:ind w:left="360" w:firstLine="0"/>
        <w:rPr>
          <w:rFonts w:asciiTheme="majorBidi" w:hAnsiTheme="majorBidi" w:cstheme="majorBidi"/>
          <w:i/>
          <w:iCs/>
          <w:noProof/>
          <w:szCs w:val="22"/>
          <w:lang w:val="sr-Latn-ME"/>
        </w:rPr>
      </w:pPr>
      <w:r w:rsidRPr="00B82EF7">
        <w:rPr>
          <w:rFonts w:asciiTheme="majorBidi" w:hAnsiTheme="majorBidi" w:cstheme="majorBidi"/>
          <w:i/>
          <w:iCs/>
          <w:noProof/>
          <w:szCs w:val="22"/>
          <w:lang w:val="sr-Latn-ME"/>
        </w:rPr>
        <w:t xml:space="preserve">Hiperkalijemija </w:t>
      </w:r>
    </w:p>
    <w:p w14:paraId="508FA61C" w14:textId="77777777" w:rsidR="00DD7F82" w:rsidRPr="00B82EF7" w:rsidRDefault="00DD7F82" w:rsidP="00C36CDC">
      <w:pPr>
        <w:pStyle w:val="ListParagraph"/>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Heparin može suprimirati lučenje aldosterona iz nadbubrežne žl</w:t>
      </w:r>
      <w:r w:rsidR="00B36F6D" w:rsidRPr="00B82EF7">
        <w:rPr>
          <w:rFonts w:asciiTheme="majorBidi" w:hAnsiTheme="majorBidi" w:cstheme="majorBidi"/>
          <w:noProof/>
          <w:szCs w:val="22"/>
          <w:lang w:val="sr-Latn-ME"/>
        </w:rPr>
        <w:t>ij</w:t>
      </w:r>
      <w:r w:rsidRPr="00B82EF7">
        <w:rPr>
          <w:rFonts w:asciiTheme="majorBidi" w:hAnsiTheme="majorBidi" w:cstheme="majorBidi"/>
          <w:noProof/>
          <w:szCs w:val="22"/>
          <w:lang w:val="sr-Latn-ME"/>
        </w:rPr>
        <w:t>ezde i tako dovesti do hiperkalijemije (</w:t>
      </w:r>
      <w:r w:rsidR="00B36F6D" w:rsidRPr="00B82EF7">
        <w:rPr>
          <w:rFonts w:asciiTheme="majorBidi" w:hAnsiTheme="majorBidi" w:cstheme="majorBidi"/>
          <w:noProof/>
          <w:szCs w:val="22"/>
          <w:lang w:val="sr-Latn-ME"/>
        </w:rPr>
        <w:t>vidjeti odjeljak</w:t>
      </w:r>
      <w:r w:rsidRPr="00B82EF7">
        <w:rPr>
          <w:rFonts w:asciiTheme="majorBidi" w:hAnsiTheme="majorBidi" w:cstheme="majorBidi"/>
          <w:noProof/>
          <w:szCs w:val="22"/>
          <w:lang w:val="sr-Latn-ME"/>
        </w:rPr>
        <w:t xml:space="preserve"> 4.8), naročito kod pacijenata sa dijabetes melitusom, hroničnom renalnom insuficijencijom, prethodno postojećom metaboličkom acidozom, i kod pacijenata koji uzimaju l</w:t>
      </w:r>
      <w:r w:rsidR="00891D2E" w:rsidRPr="00B82EF7">
        <w:rPr>
          <w:rFonts w:asciiTheme="majorBidi" w:hAnsiTheme="majorBidi" w:cstheme="majorBidi"/>
          <w:noProof/>
          <w:szCs w:val="22"/>
          <w:lang w:val="sr-Latn-ME"/>
        </w:rPr>
        <w:t>j</w:t>
      </w:r>
      <w:r w:rsidRPr="00B82EF7">
        <w:rPr>
          <w:rFonts w:asciiTheme="majorBidi" w:hAnsiTheme="majorBidi" w:cstheme="majorBidi"/>
          <w:noProof/>
          <w:szCs w:val="22"/>
          <w:lang w:val="sr-Latn-ME"/>
        </w:rPr>
        <w:t>ekove za koje se zna da povećavaju nivo kalijuma (</w:t>
      </w:r>
      <w:r w:rsidR="00B36F6D" w:rsidRPr="00B82EF7">
        <w:rPr>
          <w:rFonts w:asciiTheme="majorBidi" w:hAnsiTheme="majorBidi" w:cstheme="majorBidi"/>
          <w:noProof/>
          <w:szCs w:val="22"/>
          <w:lang w:val="sr-Latn-ME"/>
        </w:rPr>
        <w:t>vidjeti odjeljak</w:t>
      </w:r>
      <w:r w:rsidRPr="00B82EF7">
        <w:rPr>
          <w:rFonts w:asciiTheme="majorBidi" w:hAnsiTheme="majorBidi" w:cstheme="majorBidi"/>
          <w:noProof/>
          <w:szCs w:val="22"/>
          <w:lang w:val="sr-Latn-ME"/>
        </w:rPr>
        <w:t xml:space="preserve"> 4.5). Treba redovno kontrolisati nivo kalijuma u plazmi, naročito kod rizičnih pacijenata.</w:t>
      </w:r>
    </w:p>
    <w:p w14:paraId="31E44ED9" w14:textId="77777777" w:rsidR="00DD7F82" w:rsidRPr="00B82EF7" w:rsidRDefault="00DD7F82" w:rsidP="00F131CD">
      <w:pPr>
        <w:ind w:left="360" w:hanging="360"/>
        <w:jc w:val="both"/>
        <w:rPr>
          <w:rFonts w:asciiTheme="majorBidi" w:hAnsiTheme="majorBidi" w:cstheme="majorBidi"/>
          <w:noProof/>
          <w:sz w:val="22"/>
          <w:szCs w:val="22"/>
          <w:lang w:val="sr-Latn-ME"/>
        </w:rPr>
      </w:pPr>
    </w:p>
    <w:p w14:paraId="1EB1AA09" w14:textId="5006E74D" w:rsidR="00E46520" w:rsidRPr="00B82EF7" w:rsidRDefault="00E46520" w:rsidP="00B82EF7">
      <w:pPr>
        <w:pStyle w:val="ListParagraph"/>
        <w:numPr>
          <w:ilvl w:val="0"/>
          <w:numId w:val="23"/>
        </w:numPr>
        <w:tabs>
          <w:tab w:val="clear" w:pos="284"/>
        </w:tabs>
        <w:ind w:left="360" w:firstLine="0"/>
        <w:rPr>
          <w:rFonts w:asciiTheme="majorBidi" w:hAnsiTheme="majorBidi" w:cstheme="majorBidi"/>
          <w:i/>
          <w:iCs/>
          <w:noProof/>
          <w:szCs w:val="22"/>
          <w:lang w:val="sr-Latn-ME"/>
        </w:rPr>
      </w:pPr>
      <w:r w:rsidRPr="00B82EF7">
        <w:rPr>
          <w:rFonts w:asciiTheme="majorBidi" w:hAnsiTheme="majorBidi" w:cstheme="majorBidi"/>
          <w:i/>
          <w:iCs/>
          <w:noProof/>
          <w:szCs w:val="22"/>
          <w:lang w:val="sr-Latn-ME"/>
        </w:rPr>
        <w:lastRenderedPageBreak/>
        <w:t>Akutna generalizovana egzantematozna pustuloza</w:t>
      </w:r>
      <w:r w:rsidR="00260C92" w:rsidRPr="00B82EF7">
        <w:rPr>
          <w:rFonts w:asciiTheme="majorBidi" w:hAnsiTheme="majorBidi" w:cstheme="majorBidi"/>
          <w:i/>
          <w:iCs/>
          <w:noProof/>
          <w:szCs w:val="22"/>
          <w:lang w:val="sr-Latn-ME"/>
        </w:rPr>
        <w:t xml:space="preserve"> (AGEP)</w:t>
      </w:r>
    </w:p>
    <w:p w14:paraId="20D4CE86" w14:textId="77777777" w:rsidR="00DD7F82" w:rsidRPr="00B82EF7" w:rsidRDefault="00E46520" w:rsidP="00C36CDC">
      <w:pPr>
        <w:ind w:left="360"/>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 xml:space="preserve">Prijavljena je akutna generalizovana egzantematozna pustuloza (AGEP) sa nepoznatom učestalošću </w:t>
      </w:r>
      <w:r w:rsidR="00DE233B" w:rsidRPr="00B82EF7">
        <w:rPr>
          <w:rFonts w:asciiTheme="majorBidi" w:hAnsiTheme="majorBidi" w:cstheme="majorBidi"/>
          <w:bCs/>
          <w:sz w:val="22"/>
          <w:szCs w:val="22"/>
          <w:lang w:val="sr-Latn-ME"/>
        </w:rPr>
        <w:t>povezana sa terapijom</w:t>
      </w:r>
      <w:r w:rsidRPr="00B82EF7">
        <w:rPr>
          <w:rFonts w:asciiTheme="majorBidi" w:hAnsiTheme="majorBidi" w:cstheme="majorBidi"/>
          <w:bCs/>
          <w:sz w:val="22"/>
          <w:szCs w:val="22"/>
          <w:lang w:val="sr-Latn-ME"/>
        </w:rPr>
        <w:t xml:space="preserve"> enoksaparinom. </w:t>
      </w:r>
      <w:r w:rsidR="00DE233B" w:rsidRPr="00B82EF7">
        <w:rPr>
          <w:rFonts w:asciiTheme="majorBidi" w:hAnsiTheme="majorBidi" w:cstheme="majorBidi"/>
          <w:bCs/>
          <w:sz w:val="22"/>
          <w:szCs w:val="22"/>
          <w:lang w:val="sr-Latn-ME"/>
        </w:rPr>
        <w:t>Kad se lijek propisuje pacijentima</w:t>
      </w:r>
      <w:r w:rsidRPr="00B82EF7">
        <w:rPr>
          <w:rFonts w:asciiTheme="majorBidi" w:hAnsiTheme="majorBidi" w:cstheme="majorBidi"/>
          <w:bCs/>
          <w:sz w:val="22"/>
          <w:szCs w:val="22"/>
          <w:lang w:val="sr-Latn-ME"/>
        </w:rPr>
        <w:t xml:space="preserve">, treba </w:t>
      </w:r>
      <w:r w:rsidR="00DE233B" w:rsidRPr="00B82EF7">
        <w:rPr>
          <w:rFonts w:asciiTheme="majorBidi" w:hAnsiTheme="majorBidi" w:cstheme="majorBidi"/>
          <w:bCs/>
          <w:sz w:val="22"/>
          <w:szCs w:val="22"/>
          <w:lang w:val="sr-Latn-ME"/>
        </w:rPr>
        <w:t xml:space="preserve">ih </w:t>
      </w:r>
      <w:r w:rsidRPr="00B82EF7">
        <w:rPr>
          <w:rFonts w:asciiTheme="majorBidi" w:hAnsiTheme="majorBidi" w:cstheme="majorBidi"/>
          <w:bCs/>
          <w:sz w:val="22"/>
          <w:szCs w:val="22"/>
          <w:lang w:val="sr-Latn-ME"/>
        </w:rPr>
        <w:t>obav</w:t>
      </w:r>
      <w:r w:rsidR="00DE233B" w:rsidRPr="00B82EF7">
        <w:rPr>
          <w:rFonts w:asciiTheme="majorBidi" w:hAnsiTheme="majorBidi" w:cstheme="majorBidi"/>
          <w:bCs/>
          <w:sz w:val="22"/>
          <w:szCs w:val="22"/>
          <w:lang w:val="sr-Latn-ME"/>
        </w:rPr>
        <w:t>ij</w:t>
      </w:r>
      <w:r w:rsidRPr="00B82EF7">
        <w:rPr>
          <w:rFonts w:asciiTheme="majorBidi" w:hAnsiTheme="majorBidi" w:cstheme="majorBidi"/>
          <w:bCs/>
          <w:sz w:val="22"/>
          <w:szCs w:val="22"/>
          <w:lang w:val="sr-Latn-ME"/>
        </w:rPr>
        <w:t>estiti o znacima i simptomima i pažljivo ih pratiti zbog kožnih reakcija. Ako se pojave znaci i simptomi koji ukazuju na ove reakcije,</w:t>
      </w:r>
      <w:r w:rsidR="00DE233B" w:rsidRPr="00B82EF7">
        <w:rPr>
          <w:rFonts w:asciiTheme="majorBidi" w:hAnsiTheme="majorBidi" w:cstheme="majorBidi"/>
          <w:bCs/>
          <w:sz w:val="22"/>
          <w:szCs w:val="22"/>
          <w:lang w:val="sr-Latn-ME"/>
        </w:rPr>
        <w:t xml:space="preserve"> terapiju</w:t>
      </w:r>
      <w:r w:rsidRPr="00B82EF7">
        <w:rPr>
          <w:rFonts w:asciiTheme="majorBidi" w:hAnsiTheme="majorBidi" w:cstheme="majorBidi"/>
          <w:bCs/>
          <w:sz w:val="22"/>
          <w:szCs w:val="22"/>
          <w:lang w:val="sr-Latn-ME"/>
        </w:rPr>
        <w:t xml:space="preserve"> enoksaparin</w:t>
      </w:r>
      <w:r w:rsidR="00DE233B" w:rsidRPr="00B82EF7">
        <w:rPr>
          <w:rFonts w:asciiTheme="majorBidi" w:hAnsiTheme="majorBidi" w:cstheme="majorBidi"/>
          <w:bCs/>
          <w:sz w:val="22"/>
          <w:szCs w:val="22"/>
          <w:lang w:val="sr-Latn-ME"/>
        </w:rPr>
        <w:t>om</w:t>
      </w:r>
      <w:r w:rsidRPr="00B82EF7">
        <w:rPr>
          <w:rFonts w:asciiTheme="majorBidi" w:hAnsiTheme="majorBidi" w:cstheme="majorBidi"/>
          <w:bCs/>
          <w:sz w:val="22"/>
          <w:szCs w:val="22"/>
          <w:lang w:val="sr-Latn-ME"/>
        </w:rPr>
        <w:t xml:space="preserve"> treba odmah p</w:t>
      </w:r>
      <w:r w:rsidR="00DE233B" w:rsidRPr="00B82EF7">
        <w:rPr>
          <w:rFonts w:asciiTheme="majorBidi" w:hAnsiTheme="majorBidi" w:cstheme="majorBidi"/>
          <w:bCs/>
          <w:sz w:val="22"/>
          <w:szCs w:val="22"/>
          <w:lang w:val="sr-Latn-ME"/>
        </w:rPr>
        <w:t>rekinuti</w:t>
      </w:r>
      <w:r w:rsidRPr="00B82EF7">
        <w:rPr>
          <w:rFonts w:asciiTheme="majorBidi" w:hAnsiTheme="majorBidi" w:cstheme="majorBidi"/>
          <w:bCs/>
          <w:sz w:val="22"/>
          <w:szCs w:val="22"/>
          <w:lang w:val="sr-Latn-ME"/>
        </w:rPr>
        <w:t xml:space="preserve"> i razmotriti alternativni t</w:t>
      </w:r>
      <w:r w:rsidR="00DE233B" w:rsidRPr="00B82EF7">
        <w:rPr>
          <w:rFonts w:asciiTheme="majorBidi" w:hAnsiTheme="majorBidi" w:cstheme="majorBidi"/>
          <w:bCs/>
          <w:sz w:val="22"/>
          <w:szCs w:val="22"/>
          <w:lang w:val="sr-Latn-ME"/>
        </w:rPr>
        <w:t>erapiju</w:t>
      </w:r>
      <w:r w:rsidRPr="00B82EF7">
        <w:rPr>
          <w:rFonts w:asciiTheme="majorBidi" w:hAnsiTheme="majorBidi" w:cstheme="majorBidi"/>
          <w:bCs/>
          <w:sz w:val="22"/>
          <w:szCs w:val="22"/>
          <w:lang w:val="sr-Latn-ME"/>
        </w:rPr>
        <w:t xml:space="preserve"> (po potrebi).</w:t>
      </w:r>
    </w:p>
    <w:p w14:paraId="1F03A773" w14:textId="77777777" w:rsidR="00E46520" w:rsidRPr="00B82EF7" w:rsidRDefault="00E46520">
      <w:pPr>
        <w:tabs>
          <w:tab w:val="left" w:pos="540"/>
          <w:tab w:val="left" w:pos="569"/>
        </w:tabs>
        <w:jc w:val="both"/>
        <w:rPr>
          <w:rFonts w:asciiTheme="majorBidi" w:hAnsiTheme="majorBidi" w:cstheme="majorBidi"/>
          <w:bCs/>
          <w:sz w:val="22"/>
          <w:szCs w:val="22"/>
          <w:lang w:val="sr-Latn-ME"/>
        </w:rPr>
      </w:pPr>
    </w:p>
    <w:p w14:paraId="0D628CBA" w14:textId="4E994492" w:rsidR="00891D2E" w:rsidRPr="00B82EF7" w:rsidRDefault="002B427E" w:rsidP="00B82EF7">
      <w:pPr>
        <w:pStyle w:val="ListParagraph"/>
        <w:tabs>
          <w:tab w:val="clear" w:pos="284"/>
        </w:tabs>
        <w:ind w:left="360"/>
        <w:rPr>
          <w:rFonts w:asciiTheme="majorBidi" w:hAnsiTheme="majorBidi" w:cstheme="majorBidi"/>
          <w:noProof/>
          <w:szCs w:val="22"/>
          <w:u w:val="single"/>
          <w:lang w:val="sr-Latn-ME"/>
        </w:rPr>
      </w:pPr>
      <w:r w:rsidRPr="00B82EF7">
        <w:rPr>
          <w:rFonts w:asciiTheme="majorBidi" w:hAnsiTheme="majorBidi" w:cstheme="majorBidi"/>
          <w:noProof/>
          <w:szCs w:val="22"/>
          <w:u w:val="single"/>
          <w:lang w:val="sr-Latn-ME"/>
        </w:rPr>
        <w:t>Sadržaj n</w:t>
      </w:r>
      <w:r w:rsidR="00891D2E" w:rsidRPr="00B82EF7">
        <w:rPr>
          <w:rFonts w:asciiTheme="majorBidi" w:hAnsiTheme="majorBidi" w:cstheme="majorBidi"/>
          <w:noProof/>
          <w:szCs w:val="22"/>
          <w:u w:val="single"/>
          <w:lang w:val="sr-Latn-ME"/>
        </w:rPr>
        <w:t>atrijum</w:t>
      </w:r>
      <w:r w:rsidRPr="00B82EF7">
        <w:rPr>
          <w:rFonts w:asciiTheme="majorBidi" w:hAnsiTheme="majorBidi" w:cstheme="majorBidi"/>
          <w:noProof/>
          <w:szCs w:val="22"/>
          <w:u w:val="single"/>
          <w:lang w:val="sr-Latn-ME"/>
        </w:rPr>
        <w:t>a</w:t>
      </w:r>
    </w:p>
    <w:p w14:paraId="18BD6B87" w14:textId="13BF9713" w:rsidR="00891D2E" w:rsidRPr="00B82EF7" w:rsidRDefault="00443337">
      <w:pPr>
        <w:ind w:left="360"/>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O</w:t>
      </w:r>
      <w:r w:rsidR="00891D2E" w:rsidRPr="00B82EF7">
        <w:rPr>
          <w:rFonts w:asciiTheme="majorBidi" w:hAnsiTheme="majorBidi" w:cstheme="majorBidi"/>
          <w:bCs/>
          <w:sz w:val="22"/>
          <w:szCs w:val="22"/>
          <w:lang w:val="sr-Latn-ME"/>
        </w:rPr>
        <w:t xml:space="preserve">vaj lijek sadrži </w:t>
      </w:r>
      <w:r w:rsidRPr="00B82EF7">
        <w:rPr>
          <w:rFonts w:asciiTheme="majorBidi" w:hAnsiTheme="majorBidi" w:cstheme="majorBidi"/>
          <w:bCs/>
          <w:sz w:val="22"/>
          <w:szCs w:val="22"/>
          <w:lang w:val="sr-Latn-ME"/>
        </w:rPr>
        <w:t>manje</w:t>
      </w:r>
      <w:r w:rsidR="00891D2E" w:rsidRPr="00B82EF7">
        <w:rPr>
          <w:rFonts w:asciiTheme="majorBidi" w:hAnsiTheme="majorBidi" w:cstheme="majorBidi"/>
          <w:bCs/>
          <w:sz w:val="22"/>
          <w:szCs w:val="22"/>
          <w:lang w:val="sr-Latn-ME"/>
        </w:rPr>
        <w:t xml:space="preserve"> od </w:t>
      </w:r>
      <w:r w:rsidRPr="00B82EF7">
        <w:rPr>
          <w:rFonts w:asciiTheme="majorBidi" w:hAnsiTheme="majorBidi" w:cstheme="majorBidi"/>
          <w:bCs/>
          <w:sz w:val="22"/>
          <w:szCs w:val="22"/>
          <w:lang w:val="sr-Latn-ME"/>
        </w:rPr>
        <w:t>1 mmol (</w:t>
      </w:r>
      <w:r w:rsidR="00891D2E" w:rsidRPr="00B82EF7">
        <w:rPr>
          <w:rFonts w:asciiTheme="majorBidi" w:hAnsiTheme="majorBidi" w:cstheme="majorBidi"/>
          <w:bCs/>
          <w:sz w:val="22"/>
          <w:szCs w:val="22"/>
          <w:lang w:val="sr-Latn-ME"/>
        </w:rPr>
        <w:t>2</w:t>
      </w:r>
      <w:r w:rsidRPr="00B82EF7">
        <w:rPr>
          <w:rFonts w:asciiTheme="majorBidi" w:hAnsiTheme="majorBidi" w:cstheme="majorBidi"/>
          <w:bCs/>
          <w:sz w:val="22"/>
          <w:szCs w:val="22"/>
          <w:lang w:val="sr-Latn-ME"/>
        </w:rPr>
        <w:t>3</w:t>
      </w:r>
      <w:r w:rsidR="00891D2E" w:rsidRPr="00B82EF7">
        <w:rPr>
          <w:rFonts w:asciiTheme="majorBidi" w:hAnsiTheme="majorBidi" w:cstheme="majorBidi"/>
          <w:bCs/>
          <w:sz w:val="22"/>
          <w:szCs w:val="22"/>
          <w:lang w:val="sr-Latn-ME"/>
        </w:rPr>
        <w:t xml:space="preserve"> mg</w:t>
      </w:r>
      <w:r w:rsidRPr="00B82EF7">
        <w:rPr>
          <w:rFonts w:asciiTheme="majorBidi" w:hAnsiTheme="majorBidi" w:cstheme="majorBidi"/>
          <w:bCs/>
          <w:sz w:val="22"/>
          <w:szCs w:val="22"/>
          <w:lang w:val="sr-Latn-ME"/>
        </w:rPr>
        <w:t>)</w:t>
      </w:r>
      <w:r w:rsidR="00891D2E" w:rsidRPr="00B82EF7">
        <w:rPr>
          <w:rFonts w:asciiTheme="majorBidi" w:hAnsiTheme="majorBidi" w:cstheme="majorBidi"/>
          <w:bCs/>
          <w:sz w:val="22"/>
          <w:szCs w:val="22"/>
          <w:lang w:val="sr-Latn-ME"/>
        </w:rPr>
        <w:t xml:space="preserve"> natrijuma po svakoj dozi</w:t>
      </w:r>
      <w:r w:rsidRPr="00B82EF7">
        <w:rPr>
          <w:rFonts w:asciiTheme="majorBidi" w:hAnsiTheme="majorBidi" w:cstheme="majorBidi"/>
          <w:bCs/>
          <w:sz w:val="22"/>
          <w:szCs w:val="22"/>
          <w:lang w:val="sr-Latn-ME"/>
        </w:rPr>
        <w:t>, tj. zanemar</w:t>
      </w:r>
      <w:r w:rsidR="002B427E" w:rsidRPr="00B82EF7">
        <w:rPr>
          <w:rFonts w:asciiTheme="majorBidi" w:hAnsiTheme="majorBidi" w:cstheme="majorBidi"/>
          <w:bCs/>
          <w:sz w:val="22"/>
          <w:szCs w:val="22"/>
          <w:lang w:val="sr-Latn-ME"/>
        </w:rPr>
        <w:t>lji</w:t>
      </w:r>
      <w:r w:rsidRPr="00B82EF7">
        <w:rPr>
          <w:rFonts w:asciiTheme="majorBidi" w:hAnsiTheme="majorBidi" w:cstheme="majorBidi"/>
          <w:bCs/>
          <w:sz w:val="22"/>
          <w:szCs w:val="22"/>
          <w:lang w:val="sr-Latn-ME"/>
        </w:rPr>
        <w:t>ve količine natrijuma.</w:t>
      </w:r>
    </w:p>
    <w:p w14:paraId="35D2D71C" w14:textId="77777777" w:rsidR="00891D2E" w:rsidRPr="00B82EF7" w:rsidRDefault="00891D2E" w:rsidP="00F131CD">
      <w:pPr>
        <w:tabs>
          <w:tab w:val="left" w:pos="540"/>
          <w:tab w:val="left" w:pos="569"/>
        </w:tabs>
        <w:ind w:left="450"/>
        <w:jc w:val="both"/>
        <w:rPr>
          <w:rFonts w:asciiTheme="majorBidi" w:hAnsiTheme="majorBidi" w:cstheme="majorBidi"/>
          <w:bCs/>
          <w:sz w:val="22"/>
          <w:szCs w:val="22"/>
          <w:lang w:val="sr-Latn-ME"/>
        </w:rPr>
      </w:pPr>
    </w:p>
    <w:p w14:paraId="7493286F" w14:textId="77777777" w:rsidR="00411B4B" w:rsidRPr="00B82EF7" w:rsidRDefault="00411B4B"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4.5.</w:t>
      </w:r>
      <w:r w:rsidR="00B25BBD" w:rsidRPr="00B82EF7">
        <w:rPr>
          <w:rFonts w:asciiTheme="majorBidi" w:hAnsiTheme="majorBidi" w:cstheme="majorBidi"/>
          <w:b/>
          <w:bCs/>
          <w:sz w:val="22"/>
          <w:szCs w:val="22"/>
          <w:lang w:val="sr-Latn-ME"/>
        </w:rPr>
        <w:t xml:space="preserve"> </w:t>
      </w:r>
      <w:r w:rsidRPr="00B82EF7">
        <w:rPr>
          <w:rFonts w:asciiTheme="majorBidi" w:hAnsiTheme="majorBidi" w:cstheme="majorBidi"/>
          <w:b/>
          <w:bCs/>
          <w:sz w:val="22"/>
          <w:szCs w:val="22"/>
          <w:lang w:val="sr-Latn-ME"/>
        </w:rPr>
        <w:t>Interakcije sa drugim ljekovima i druge vrste interakcija</w:t>
      </w:r>
    </w:p>
    <w:p w14:paraId="4C830D4E"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5AA2413A" w14:textId="77777777" w:rsidR="004C10AF" w:rsidRPr="00B82EF7" w:rsidRDefault="004C10AF" w:rsidP="004D148D">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u w:val="single"/>
          <w:lang w:val="sr-Latn-ME"/>
        </w:rPr>
        <w:t xml:space="preserve">Ne preporučuje se istovremena </w:t>
      </w:r>
      <w:r w:rsidR="00B25BBD" w:rsidRPr="00B82EF7">
        <w:rPr>
          <w:rFonts w:asciiTheme="majorBidi" w:hAnsiTheme="majorBidi" w:cstheme="majorBidi"/>
          <w:noProof/>
          <w:sz w:val="22"/>
          <w:szCs w:val="22"/>
          <w:u w:val="single"/>
          <w:lang w:val="sr-Latn-ME"/>
        </w:rPr>
        <w:t>primjena</w:t>
      </w:r>
      <w:r w:rsidRPr="00B82EF7">
        <w:rPr>
          <w:rFonts w:asciiTheme="majorBidi" w:hAnsiTheme="majorBidi" w:cstheme="majorBidi"/>
          <w:noProof/>
          <w:sz w:val="22"/>
          <w:szCs w:val="22"/>
          <w:u w:val="single"/>
          <w:lang w:val="sr-Latn-ME"/>
        </w:rPr>
        <w:t xml:space="preserve">: </w:t>
      </w:r>
    </w:p>
    <w:p w14:paraId="1DAD2A62" w14:textId="77777777" w:rsidR="004C10AF" w:rsidRPr="00B82EF7" w:rsidRDefault="004E6DFB" w:rsidP="00C36CDC">
      <w:pPr>
        <w:numPr>
          <w:ilvl w:val="0"/>
          <w:numId w:val="23"/>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Ljekovi</w:t>
      </w:r>
      <w:r w:rsidR="004C10AF" w:rsidRPr="00B82EF7">
        <w:rPr>
          <w:rFonts w:asciiTheme="majorBidi" w:hAnsiTheme="majorBidi" w:cstheme="majorBidi"/>
          <w:i/>
          <w:iCs/>
          <w:noProof/>
          <w:sz w:val="22"/>
          <w:szCs w:val="22"/>
          <w:lang w:val="sr-Latn-ME"/>
        </w:rPr>
        <w:t xml:space="preserve"> koji utiču na hemostazu (</w:t>
      </w:r>
      <w:r w:rsidR="00B36F6D" w:rsidRPr="00B82EF7">
        <w:rPr>
          <w:rFonts w:asciiTheme="majorBidi" w:hAnsiTheme="majorBidi" w:cstheme="majorBidi"/>
          <w:i/>
          <w:iCs/>
          <w:noProof/>
          <w:sz w:val="22"/>
          <w:szCs w:val="22"/>
          <w:lang w:val="sr-Latn-ME"/>
        </w:rPr>
        <w:t>vidjeti odjeljak</w:t>
      </w:r>
      <w:r w:rsidR="004C10AF" w:rsidRPr="00B82EF7">
        <w:rPr>
          <w:rFonts w:asciiTheme="majorBidi" w:hAnsiTheme="majorBidi" w:cstheme="majorBidi"/>
          <w:i/>
          <w:iCs/>
          <w:noProof/>
          <w:sz w:val="22"/>
          <w:szCs w:val="22"/>
          <w:lang w:val="sr-Latn-ME"/>
        </w:rPr>
        <w:t xml:space="preserve"> 4.4) </w:t>
      </w:r>
    </w:p>
    <w:p w14:paraId="173FC30D" w14:textId="77777777" w:rsidR="004C10AF" w:rsidRPr="00B82EF7" w:rsidRDefault="004C10AF" w:rsidP="00C36CDC">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Preporučuje se da se </w:t>
      </w:r>
      <w:r w:rsidR="00B25BBD" w:rsidRPr="00B82EF7">
        <w:rPr>
          <w:rFonts w:asciiTheme="majorBidi" w:hAnsiTheme="majorBidi" w:cstheme="majorBidi"/>
          <w:noProof/>
          <w:sz w:val="22"/>
          <w:szCs w:val="22"/>
          <w:lang w:val="sr-Latn-ME"/>
        </w:rPr>
        <w:t>primjena</w:t>
      </w:r>
      <w:r w:rsidRPr="00B82EF7">
        <w:rPr>
          <w:rFonts w:asciiTheme="majorBidi" w:hAnsiTheme="majorBidi" w:cstheme="majorBidi"/>
          <w:noProof/>
          <w:sz w:val="22"/>
          <w:szCs w:val="22"/>
          <w:lang w:val="sr-Latn-ME"/>
        </w:rPr>
        <w:t xml:space="preserve"> nekih </w:t>
      </w:r>
      <w:r w:rsidR="004E6DFB" w:rsidRPr="00B82EF7">
        <w:rPr>
          <w:rFonts w:asciiTheme="majorBidi" w:hAnsiTheme="majorBidi" w:cstheme="majorBidi"/>
          <w:noProof/>
          <w:sz w:val="22"/>
          <w:szCs w:val="22"/>
          <w:lang w:val="sr-Latn-ME"/>
        </w:rPr>
        <w:t>ljekova</w:t>
      </w:r>
      <w:r w:rsidRPr="00B82EF7">
        <w:rPr>
          <w:rFonts w:asciiTheme="majorBidi" w:hAnsiTheme="majorBidi" w:cstheme="majorBidi"/>
          <w:noProof/>
          <w:sz w:val="22"/>
          <w:szCs w:val="22"/>
          <w:lang w:val="sr-Latn-ME"/>
        </w:rPr>
        <w:t xml:space="preserve"> koji utiču na hemostazu obustavi pr</w:t>
      </w:r>
      <w:r w:rsidR="00B25BBD"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započ</w:t>
      </w:r>
      <w:r w:rsidR="00B25BBD" w:rsidRPr="00B82EF7">
        <w:rPr>
          <w:rFonts w:asciiTheme="majorBidi" w:hAnsiTheme="majorBidi" w:cstheme="majorBidi"/>
          <w:noProof/>
          <w:sz w:val="22"/>
          <w:szCs w:val="22"/>
          <w:lang w:val="sr-Latn-ME"/>
        </w:rPr>
        <w:t xml:space="preserve">injanja terapije enoksaparin </w:t>
      </w:r>
      <w:r w:rsidRPr="00B82EF7">
        <w:rPr>
          <w:rFonts w:asciiTheme="majorBidi" w:hAnsiTheme="majorBidi" w:cstheme="majorBidi"/>
          <w:noProof/>
          <w:sz w:val="22"/>
          <w:szCs w:val="22"/>
          <w:lang w:val="sr-Latn-ME"/>
        </w:rPr>
        <w:t xml:space="preserve">natrijumom, osim u slučajevima u kojima je njihova </w:t>
      </w:r>
      <w:r w:rsidR="00B25BBD" w:rsidRPr="00B82EF7">
        <w:rPr>
          <w:rFonts w:asciiTheme="majorBidi" w:hAnsiTheme="majorBidi" w:cstheme="majorBidi"/>
          <w:noProof/>
          <w:sz w:val="22"/>
          <w:szCs w:val="22"/>
          <w:lang w:val="sr-Latn-ME"/>
        </w:rPr>
        <w:t>primjena</w:t>
      </w:r>
      <w:r w:rsidRPr="00B82EF7">
        <w:rPr>
          <w:rFonts w:asciiTheme="majorBidi" w:hAnsiTheme="majorBidi" w:cstheme="majorBidi"/>
          <w:noProof/>
          <w:sz w:val="22"/>
          <w:szCs w:val="22"/>
          <w:lang w:val="sr-Latn-ME"/>
        </w:rPr>
        <w:t xml:space="preserve"> strogo indikovana. Ukoliko je ova komb</w:t>
      </w:r>
      <w:r w:rsidR="00B25BBD" w:rsidRPr="00B82EF7">
        <w:rPr>
          <w:rFonts w:asciiTheme="majorBidi" w:hAnsiTheme="majorBidi" w:cstheme="majorBidi"/>
          <w:noProof/>
          <w:sz w:val="22"/>
          <w:szCs w:val="22"/>
          <w:lang w:val="sr-Latn-ME"/>
        </w:rPr>
        <w:t xml:space="preserve">inacija indikovana, enoksaparin </w:t>
      </w:r>
      <w:r w:rsidRPr="00B82EF7">
        <w:rPr>
          <w:rFonts w:asciiTheme="majorBidi" w:hAnsiTheme="majorBidi" w:cstheme="majorBidi"/>
          <w:noProof/>
          <w:sz w:val="22"/>
          <w:szCs w:val="22"/>
          <w:lang w:val="sr-Latn-ME"/>
        </w:rPr>
        <w:t xml:space="preserve">natrijum treba </w:t>
      </w:r>
      <w:r w:rsidR="00B25BBD" w:rsidRPr="00B82EF7">
        <w:rPr>
          <w:rFonts w:asciiTheme="majorBidi" w:hAnsiTheme="majorBidi" w:cstheme="majorBidi"/>
          <w:noProof/>
          <w:sz w:val="22"/>
          <w:szCs w:val="22"/>
          <w:lang w:val="sr-Latn-ME"/>
        </w:rPr>
        <w:t>primjenjivati</w:t>
      </w:r>
      <w:r w:rsidRPr="00B82EF7">
        <w:rPr>
          <w:rFonts w:asciiTheme="majorBidi" w:hAnsiTheme="majorBidi" w:cstheme="majorBidi"/>
          <w:noProof/>
          <w:sz w:val="22"/>
          <w:szCs w:val="22"/>
          <w:lang w:val="sr-Latn-ME"/>
        </w:rPr>
        <w:t xml:space="preserve"> uz pažljivo kliničko i laboratorijsko praćenje kada je to pogodno. Među ove </w:t>
      </w:r>
      <w:r w:rsidR="004E6DFB" w:rsidRPr="00B82EF7">
        <w:rPr>
          <w:rFonts w:asciiTheme="majorBidi" w:hAnsiTheme="majorBidi" w:cstheme="majorBidi"/>
          <w:noProof/>
          <w:sz w:val="22"/>
          <w:szCs w:val="22"/>
          <w:lang w:val="sr-Latn-ME"/>
        </w:rPr>
        <w:t>ljekove</w:t>
      </w:r>
      <w:r w:rsidRPr="00B82EF7">
        <w:rPr>
          <w:rFonts w:asciiTheme="majorBidi" w:hAnsiTheme="majorBidi" w:cstheme="majorBidi"/>
          <w:noProof/>
          <w:sz w:val="22"/>
          <w:szCs w:val="22"/>
          <w:lang w:val="sr-Latn-ME"/>
        </w:rPr>
        <w:t xml:space="preserve"> se ubrajaju: </w:t>
      </w:r>
    </w:p>
    <w:p w14:paraId="042A8E36" w14:textId="77777777" w:rsidR="004C10AF" w:rsidRPr="00B82EF7" w:rsidRDefault="004C10AF">
      <w:pPr>
        <w:numPr>
          <w:ilvl w:val="0"/>
          <w:numId w:val="25"/>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sistemski salicilati, acetilsalicilna kiselina u antiinflamatornim dozama i NSAIL, uključujući ketorolak, </w:t>
      </w:r>
    </w:p>
    <w:p w14:paraId="6F9E61D7" w14:textId="77777777" w:rsidR="004C10AF" w:rsidRPr="00B82EF7" w:rsidRDefault="004C10AF">
      <w:pPr>
        <w:numPr>
          <w:ilvl w:val="0"/>
          <w:numId w:val="25"/>
        </w:numPr>
        <w:tabs>
          <w:tab w:val="left" w:pos="284"/>
        </w:tabs>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ostali trombolitici (npr. alteplaza, reteplaza, streptokinaza, tenekteplaza, urokinaza) i antikoagulansi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4.2)</w:t>
      </w:r>
      <w:r w:rsidR="009E544B"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2A1C6619" w14:textId="77777777" w:rsidR="004C10AF" w:rsidRPr="00B82EF7" w:rsidRDefault="004C10AF">
      <w:pPr>
        <w:tabs>
          <w:tab w:val="left" w:pos="284"/>
        </w:tabs>
        <w:jc w:val="both"/>
        <w:rPr>
          <w:rFonts w:asciiTheme="majorBidi" w:hAnsiTheme="majorBidi" w:cstheme="majorBidi"/>
          <w:noProof/>
          <w:sz w:val="22"/>
          <w:szCs w:val="22"/>
          <w:lang w:val="sr-Latn-ME"/>
        </w:rPr>
      </w:pPr>
    </w:p>
    <w:p w14:paraId="1E85A3A0" w14:textId="77777777" w:rsidR="004C10AF" w:rsidRPr="00B82EF7" w:rsidRDefault="004C10AF">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u w:val="single"/>
          <w:lang w:val="sr-Latn-ME"/>
        </w:rPr>
        <w:t xml:space="preserve">Istovremena </w:t>
      </w:r>
      <w:r w:rsidR="00B25BBD" w:rsidRPr="00B82EF7">
        <w:rPr>
          <w:rFonts w:asciiTheme="majorBidi" w:hAnsiTheme="majorBidi" w:cstheme="majorBidi"/>
          <w:noProof/>
          <w:sz w:val="22"/>
          <w:szCs w:val="22"/>
          <w:u w:val="single"/>
          <w:lang w:val="sr-Latn-ME"/>
        </w:rPr>
        <w:t>primjena</w:t>
      </w:r>
      <w:r w:rsidRPr="00B82EF7">
        <w:rPr>
          <w:rFonts w:asciiTheme="majorBidi" w:hAnsiTheme="majorBidi" w:cstheme="majorBidi"/>
          <w:noProof/>
          <w:sz w:val="22"/>
          <w:szCs w:val="22"/>
          <w:u w:val="single"/>
          <w:lang w:val="sr-Latn-ME"/>
        </w:rPr>
        <w:t xml:space="preserve"> uz oprez: </w:t>
      </w:r>
    </w:p>
    <w:p w14:paraId="07E3031A" w14:textId="77777777" w:rsidR="004C10AF" w:rsidRPr="00B82EF7" w:rsidRDefault="00D65058">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Sljedeći</w:t>
      </w:r>
      <w:r w:rsidR="004C10AF" w:rsidRPr="00B82EF7">
        <w:rPr>
          <w:rFonts w:asciiTheme="majorBidi" w:hAnsiTheme="majorBidi" w:cstheme="majorBidi"/>
          <w:noProof/>
          <w:sz w:val="22"/>
          <w:szCs w:val="22"/>
          <w:lang w:val="sr-Latn-ME"/>
        </w:rPr>
        <w:t xml:space="preserve"> </w:t>
      </w:r>
      <w:r w:rsidR="004E6DFB" w:rsidRPr="00B82EF7">
        <w:rPr>
          <w:rFonts w:asciiTheme="majorBidi" w:hAnsiTheme="majorBidi" w:cstheme="majorBidi"/>
          <w:noProof/>
          <w:sz w:val="22"/>
          <w:szCs w:val="22"/>
          <w:lang w:val="sr-Latn-ME"/>
        </w:rPr>
        <w:t>ljekovi</w:t>
      </w:r>
      <w:r w:rsidR="004C10AF" w:rsidRPr="00B82EF7">
        <w:rPr>
          <w:rFonts w:asciiTheme="majorBidi" w:hAnsiTheme="majorBidi" w:cstheme="majorBidi"/>
          <w:noProof/>
          <w:sz w:val="22"/>
          <w:szCs w:val="22"/>
          <w:lang w:val="sr-Latn-ME"/>
        </w:rPr>
        <w:t xml:space="preserve"> se mogu </w:t>
      </w:r>
      <w:r w:rsidR="00B25BBD" w:rsidRPr="00B82EF7">
        <w:rPr>
          <w:rFonts w:asciiTheme="majorBidi" w:hAnsiTheme="majorBidi" w:cstheme="majorBidi"/>
          <w:noProof/>
          <w:sz w:val="22"/>
          <w:szCs w:val="22"/>
          <w:lang w:val="sr-Latn-ME"/>
        </w:rPr>
        <w:t>primjenjivati</w:t>
      </w:r>
      <w:r w:rsidR="009E544B" w:rsidRPr="00B82EF7">
        <w:rPr>
          <w:rFonts w:asciiTheme="majorBidi" w:hAnsiTheme="majorBidi" w:cstheme="majorBidi"/>
          <w:noProof/>
          <w:sz w:val="22"/>
          <w:szCs w:val="22"/>
          <w:lang w:val="sr-Latn-ME"/>
        </w:rPr>
        <w:t xml:space="preserve"> zajedno s enoksaparin </w:t>
      </w:r>
      <w:r w:rsidR="004C10AF" w:rsidRPr="00B82EF7">
        <w:rPr>
          <w:rFonts w:asciiTheme="majorBidi" w:hAnsiTheme="majorBidi" w:cstheme="majorBidi"/>
          <w:noProof/>
          <w:sz w:val="22"/>
          <w:szCs w:val="22"/>
          <w:lang w:val="sr-Latn-ME"/>
        </w:rPr>
        <w:t xml:space="preserve">natrijumom uz oprez: </w:t>
      </w:r>
    </w:p>
    <w:p w14:paraId="2AFAA4FC" w14:textId="77777777" w:rsidR="004C10AF" w:rsidRPr="00B82EF7" w:rsidRDefault="004C10AF">
      <w:pPr>
        <w:numPr>
          <w:ilvl w:val="0"/>
          <w:numId w:val="23"/>
        </w:numPr>
        <w:ind w:left="360"/>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Ostali </w:t>
      </w:r>
      <w:r w:rsidR="004E6DFB" w:rsidRPr="00B82EF7">
        <w:rPr>
          <w:rFonts w:asciiTheme="majorBidi" w:hAnsiTheme="majorBidi" w:cstheme="majorBidi"/>
          <w:i/>
          <w:iCs/>
          <w:noProof/>
          <w:sz w:val="22"/>
          <w:szCs w:val="22"/>
          <w:lang w:val="sr-Latn-ME"/>
        </w:rPr>
        <w:t>ljekovi</w:t>
      </w:r>
      <w:r w:rsidRPr="00B82EF7">
        <w:rPr>
          <w:rFonts w:asciiTheme="majorBidi" w:hAnsiTheme="majorBidi" w:cstheme="majorBidi"/>
          <w:i/>
          <w:iCs/>
          <w:noProof/>
          <w:sz w:val="22"/>
          <w:szCs w:val="22"/>
          <w:lang w:val="sr-Latn-ME"/>
        </w:rPr>
        <w:t xml:space="preserve"> koji utiču na hemostazu, kao što su: </w:t>
      </w:r>
    </w:p>
    <w:p w14:paraId="6C981549" w14:textId="77777777" w:rsidR="004C10AF" w:rsidRPr="00B82EF7" w:rsidRDefault="004C10AF">
      <w:pPr>
        <w:numPr>
          <w:ilvl w:val="0"/>
          <w:numId w:val="26"/>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inhibitori agregacije trombocita, uključujući acetilsalicilnu kiselinu u antiagregacijskim dozama (kardioprotekcija), klopidogrel, tiklopidin i antagonisti glikoproteina IIb/IIIa indikovani kod akutnog koronarnog sindroma zbog rizika od krvarenja</w:t>
      </w:r>
      <w:r w:rsidR="009E544B"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21758523" w14:textId="77777777" w:rsidR="004C10AF" w:rsidRPr="00B82EF7" w:rsidRDefault="004C10AF">
      <w:pPr>
        <w:numPr>
          <w:ilvl w:val="0"/>
          <w:numId w:val="26"/>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dekstran 40</w:t>
      </w:r>
      <w:r w:rsidR="009E544B"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34814DAE" w14:textId="1818BA31" w:rsidR="004C10AF" w:rsidRPr="00B82EF7" w:rsidRDefault="004C10AF">
      <w:pPr>
        <w:numPr>
          <w:ilvl w:val="0"/>
          <w:numId w:val="26"/>
        </w:num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sistemski glukokortikoidi</w:t>
      </w:r>
      <w:r w:rsidR="009E544B"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07AB9916" w14:textId="77777777" w:rsidR="00D7779D" w:rsidRPr="00B82EF7" w:rsidRDefault="00D7779D">
      <w:pPr>
        <w:tabs>
          <w:tab w:val="left" w:pos="284"/>
        </w:tabs>
        <w:ind w:left="720"/>
        <w:jc w:val="both"/>
        <w:rPr>
          <w:rFonts w:asciiTheme="majorBidi" w:hAnsiTheme="majorBidi" w:cstheme="majorBidi"/>
          <w:noProof/>
          <w:sz w:val="22"/>
          <w:szCs w:val="22"/>
          <w:lang w:val="sr-Latn-ME"/>
        </w:rPr>
      </w:pPr>
    </w:p>
    <w:p w14:paraId="5F8DEE5E" w14:textId="77777777" w:rsidR="004C10AF" w:rsidRPr="00B82EF7" w:rsidRDefault="004E6DFB">
      <w:pPr>
        <w:numPr>
          <w:ilvl w:val="0"/>
          <w:numId w:val="23"/>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Ljekovi</w:t>
      </w:r>
      <w:r w:rsidR="004C10AF" w:rsidRPr="00B82EF7">
        <w:rPr>
          <w:rFonts w:asciiTheme="majorBidi" w:hAnsiTheme="majorBidi" w:cstheme="majorBidi"/>
          <w:i/>
          <w:iCs/>
          <w:noProof/>
          <w:sz w:val="22"/>
          <w:szCs w:val="22"/>
          <w:lang w:val="sr-Latn-ME"/>
        </w:rPr>
        <w:t xml:space="preserve"> koji povećavaju nivo kalijuma: </w:t>
      </w:r>
    </w:p>
    <w:p w14:paraId="62FE640A" w14:textId="77777777" w:rsidR="004C10AF" w:rsidRPr="00B82EF7" w:rsidRDefault="004E6DFB">
      <w:pPr>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Ljekovi</w:t>
      </w:r>
      <w:r w:rsidR="004C10AF" w:rsidRPr="00B82EF7">
        <w:rPr>
          <w:rFonts w:asciiTheme="majorBidi" w:hAnsiTheme="majorBidi" w:cstheme="majorBidi"/>
          <w:noProof/>
          <w:sz w:val="22"/>
          <w:szCs w:val="22"/>
          <w:lang w:val="sr-Latn-ME"/>
        </w:rPr>
        <w:t xml:space="preserve"> koji </w:t>
      </w:r>
      <w:r w:rsidR="004C10AF" w:rsidRPr="00B82EF7">
        <w:rPr>
          <w:rFonts w:asciiTheme="majorBidi" w:hAnsiTheme="majorBidi" w:cstheme="majorBidi"/>
          <w:iCs/>
          <w:noProof/>
          <w:sz w:val="22"/>
          <w:szCs w:val="22"/>
          <w:lang w:val="sr-Latn-ME"/>
        </w:rPr>
        <w:t>povećavaju nivo kalijuma</w:t>
      </w:r>
      <w:r w:rsidR="004C10AF" w:rsidRPr="00B82EF7">
        <w:rPr>
          <w:rFonts w:asciiTheme="majorBidi" w:hAnsiTheme="majorBidi" w:cstheme="majorBidi"/>
          <w:noProof/>
          <w:sz w:val="22"/>
          <w:szCs w:val="22"/>
          <w:lang w:val="sr-Latn-ME"/>
        </w:rPr>
        <w:t xml:space="preserve"> u serumu mogu se </w:t>
      </w:r>
      <w:r w:rsidR="00B25BBD" w:rsidRPr="00B82EF7">
        <w:rPr>
          <w:rFonts w:asciiTheme="majorBidi" w:hAnsiTheme="majorBidi" w:cstheme="majorBidi"/>
          <w:noProof/>
          <w:sz w:val="22"/>
          <w:szCs w:val="22"/>
          <w:lang w:val="sr-Latn-ME"/>
        </w:rPr>
        <w:t>primjenjivati</w:t>
      </w:r>
      <w:r w:rsidR="009E544B" w:rsidRPr="00B82EF7">
        <w:rPr>
          <w:rFonts w:asciiTheme="majorBidi" w:hAnsiTheme="majorBidi" w:cstheme="majorBidi"/>
          <w:noProof/>
          <w:sz w:val="22"/>
          <w:szCs w:val="22"/>
          <w:lang w:val="sr-Latn-ME"/>
        </w:rPr>
        <w:t xml:space="preserve"> istovremeno sa enoksaparin </w:t>
      </w:r>
      <w:r w:rsidR="004C10AF" w:rsidRPr="00B82EF7">
        <w:rPr>
          <w:rFonts w:asciiTheme="majorBidi" w:hAnsiTheme="majorBidi" w:cstheme="majorBidi"/>
          <w:noProof/>
          <w:sz w:val="22"/>
          <w:szCs w:val="22"/>
          <w:lang w:val="sr-Latn-ME"/>
        </w:rPr>
        <w:t>natrijumom uz pažljivo kliničko i laboratorijsko praćenje (vid</w:t>
      </w:r>
      <w:r w:rsidR="009E544B" w:rsidRPr="00B82EF7">
        <w:rPr>
          <w:rFonts w:asciiTheme="majorBidi" w:hAnsiTheme="majorBidi" w:cstheme="majorBidi"/>
          <w:noProof/>
          <w:sz w:val="22"/>
          <w:szCs w:val="22"/>
          <w:lang w:val="sr-Latn-ME"/>
        </w:rPr>
        <w:t>j</w:t>
      </w:r>
      <w:r w:rsidR="004C10AF" w:rsidRPr="00B82EF7">
        <w:rPr>
          <w:rFonts w:asciiTheme="majorBidi" w:hAnsiTheme="majorBidi" w:cstheme="majorBidi"/>
          <w:noProof/>
          <w:sz w:val="22"/>
          <w:szCs w:val="22"/>
          <w:lang w:val="sr-Latn-ME"/>
        </w:rPr>
        <w:t>eti od</w:t>
      </w:r>
      <w:r w:rsidR="009E544B" w:rsidRPr="00B82EF7">
        <w:rPr>
          <w:rFonts w:asciiTheme="majorBidi" w:hAnsiTheme="majorBidi" w:cstheme="majorBidi"/>
          <w:noProof/>
          <w:sz w:val="22"/>
          <w:szCs w:val="22"/>
          <w:lang w:val="sr-Latn-ME"/>
        </w:rPr>
        <w:t>j</w:t>
      </w:r>
      <w:r w:rsidR="004C10AF" w:rsidRPr="00B82EF7">
        <w:rPr>
          <w:rFonts w:asciiTheme="majorBidi" w:hAnsiTheme="majorBidi" w:cstheme="majorBidi"/>
          <w:noProof/>
          <w:sz w:val="22"/>
          <w:szCs w:val="22"/>
          <w:lang w:val="sr-Latn-ME"/>
        </w:rPr>
        <w:t>eljke 4.4 i 4.8).</w:t>
      </w:r>
    </w:p>
    <w:p w14:paraId="5450AFF2" w14:textId="77777777" w:rsidR="004C10AF" w:rsidRPr="00B82EF7" w:rsidRDefault="004C10AF" w:rsidP="00F131CD">
      <w:pPr>
        <w:tabs>
          <w:tab w:val="left" w:pos="540"/>
          <w:tab w:val="left" w:pos="569"/>
        </w:tabs>
        <w:jc w:val="both"/>
        <w:rPr>
          <w:rFonts w:asciiTheme="majorBidi" w:hAnsiTheme="majorBidi" w:cstheme="majorBidi"/>
          <w:bCs/>
          <w:sz w:val="22"/>
          <w:szCs w:val="22"/>
          <w:lang w:val="sr-Latn-ME"/>
        </w:rPr>
      </w:pPr>
    </w:p>
    <w:p w14:paraId="367AA85D" w14:textId="77777777" w:rsidR="0072020E" w:rsidRPr="00B82EF7" w:rsidRDefault="0072020E" w:rsidP="00F131CD">
      <w:pPr>
        <w:tabs>
          <w:tab w:val="left" w:pos="540"/>
          <w:tab w:val="left" w:pos="569"/>
        </w:tabs>
        <w:jc w:val="both"/>
        <w:rPr>
          <w:rFonts w:asciiTheme="majorBidi" w:hAnsiTheme="majorBidi" w:cstheme="majorBidi"/>
          <w:b/>
          <w:sz w:val="22"/>
          <w:szCs w:val="22"/>
          <w:lang w:val="sr-Latn-ME"/>
        </w:rPr>
      </w:pPr>
      <w:r w:rsidRPr="00B82EF7">
        <w:rPr>
          <w:rFonts w:asciiTheme="majorBidi" w:hAnsiTheme="majorBidi" w:cstheme="majorBidi"/>
          <w:b/>
          <w:bCs/>
          <w:sz w:val="22"/>
          <w:szCs w:val="22"/>
          <w:lang w:val="sr-Latn-ME"/>
        </w:rPr>
        <w:t xml:space="preserve">4.6. </w:t>
      </w:r>
      <w:r w:rsidR="00480FB1" w:rsidRPr="00B82EF7">
        <w:rPr>
          <w:rFonts w:asciiTheme="majorBidi" w:hAnsiTheme="majorBidi" w:cstheme="majorBidi"/>
          <w:b/>
          <w:bCs/>
          <w:sz w:val="22"/>
          <w:szCs w:val="22"/>
          <w:lang w:val="sr-Latn-ME"/>
        </w:rPr>
        <w:tab/>
      </w:r>
      <w:r w:rsidR="006D20A5" w:rsidRPr="00B82EF7">
        <w:rPr>
          <w:rFonts w:asciiTheme="majorBidi" w:hAnsiTheme="majorBidi" w:cstheme="majorBidi"/>
          <w:b/>
          <w:sz w:val="22"/>
          <w:szCs w:val="22"/>
          <w:lang w:val="sr-Latn-ME"/>
        </w:rPr>
        <w:t>Plodnost, trudnoća i dojenje</w:t>
      </w:r>
    </w:p>
    <w:p w14:paraId="1A99BC46" w14:textId="77777777" w:rsidR="002031B3" w:rsidRPr="00B82EF7" w:rsidRDefault="002031B3" w:rsidP="00F131CD">
      <w:pPr>
        <w:tabs>
          <w:tab w:val="left" w:pos="540"/>
          <w:tab w:val="left" w:pos="569"/>
        </w:tabs>
        <w:jc w:val="both"/>
        <w:rPr>
          <w:rFonts w:asciiTheme="majorBidi" w:hAnsiTheme="majorBidi" w:cstheme="majorBidi"/>
          <w:sz w:val="22"/>
          <w:szCs w:val="22"/>
          <w:u w:val="single"/>
          <w:lang w:val="sr-Latn-ME"/>
        </w:rPr>
      </w:pPr>
    </w:p>
    <w:p w14:paraId="16D87DA8" w14:textId="77777777" w:rsidR="002031B3" w:rsidRPr="00B82EF7" w:rsidRDefault="002031B3" w:rsidP="004D148D">
      <w:pPr>
        <w:tabs>
          <w:tab w:val="left" w:pos="540"/>
          <w:tab w:val="left" w:pos="569"/>
        </w:tabs>
        <w:jc w:val="both"/>
        <w:rPr>
          <w:rFonts w:asciiTheme="majorBidi" w:hAnsiTheme="majorBidi" w:cstheme="majorBidi"/>
          <w:sz w:val="22"/>
          <w:szCs w:val="22"/>
          <w:u w:val="single"/>
          <w:lang w:val="sr-Latn-ME"/>
        </w:rPr>
      </w:pPr>
      <w:r w:rsidRPr="00B82EF7">
        <w:rPr>
          <w:rFonts w:asciiTheme="majorBidi" w:hAnsiTheme="majorBidi" w:cstheme="majorBidi"/>
          <w:sz w:val="22"/>
          <w:szCs w:val="22"/>
          <w:u w:val="single"/>
          <w:lang w:val="sr-Latn-ME"/>
        </w:rPr>
        <w:t>Plodnost</w:t>
      </w:r>
    </w:p>
    <w:p w14:paraId="0A5960AA" w14:textId="14D38527" w:rsidR="002031B3" w:rsidRPr="00B82EF7" w:rsidRDefault="004C10AF" w:rsidP="004D148D">
      <w:pPr>
        <w:tabs>
          <w:tab w:val="left" w:pos="540"/>
          <w:tab w:val="left" w:pos="569"/>
        </w:tabs>
        <w:jc w:val="both"/>
        <w:rPr>
          <w:rFonts w:asciiTheme="majorBidi" w:hAnsiTheme="majorBidi" w:cstheme="majorBidi"/>
          <w:sz w:val="22"/>
          <w:szCs w:val="22"/>
          <w:u w:val="single"/>
          <w:lang w:val="sr-Latn-ME"/>
        </w:rPr>
      </w:pPr>
      <w:r w:rsidRPr="00B82EF7">
        <w:rPr>
          <w:rFonts w:asciiTheme="majorBidi" w:hAnsiTheme="majorBidi" w:cstheme="majorBidi"/>
          <w:noProof/>
          <w:sz w:val="22"/>
          <w:szCs w:val="22"/>
          <w:lang w:val="sr-Latn-ME"/>
        </w:rPr>
        <w:t>Nema kliničkih podataka o uti</w:t>
      </w:r>
      <w:r w:rsidR="00DF4D3C" w:rsidRPr="00B82EF7">
        <w:rPr>
          <w:rFonts w:asciiTheme="majorBidi" w:hAnsiTheme="majorBidi" w:cstheme="majorBidi"/>
          <w:noProof/>
          <w:sz w:val="22"/>
          <w:szCs w:val="22"/>
          <w:lang w:val="sr-Latn-ME"/>
        </w:rPr>
        <w:t xml:space="preserve">caju enoksaparin </w:t>
      </w:r>
      <w:r w:rsidRPr="00B82EF7">
        <w:rPr>
          <w:rFonts w:asciiTheme="majorBidi" w:hAnsiTheme="majorBidi" w:cstheme="majorBidi"/>
          <w:noProof/>
          <w:sz w:val="22"/>
          <w:szCs w:val="22"/>
          <w:lang w:val="sr-Latn-ME"/>
        </w:rPr>
        <w:t>natrijuma na plodnost. Ispitivanja na životinjama ni</w:t>
      </w:r>
      <w:r w:rsidR="002B427E"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pokazala bilo kakav uticaj na plodnost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5.3).</w:t>
      </w:r>
    </w:p>
    <w:p w14:paraId="21DE09F0" w14:textId="77777777" w:rsidR="004C10AF" w:rsidRPr="00B82EF7" w:rsidRDefault="004C10AF" w:rsidP="00F131CD">
      <w:pPr>
        <w:tabs>
          <w:tab w:val="left" w:pos="540"/>
          <w:tab w:val="left" w:pos="569"/>
        </w:tabs>
        <w:jc w:val="both"/>
        <w:rPr>
          <w:rFonts w:asciiTheme="majorBidi" w:hAnsiTheme="majorBidi" w:cstheme="majorBidi"/>
          <w:sz w:val="22"/>
          <w:szCs w:val="22"/>
          <w:u w:val="single"/>
          <w:lang w:val="sr-Latn-ME"/>
        </w:rPr>
      </w:pPr>
    </w:p>
    <w:p w14:paraId="5E300E28" w14:textId="77777777" w:rsidR="007A3ECB" w:rsidRPr="00B82EF7" w:rsidRDefault="007A3ECB" w:rsidP="00F131CD">
      <w:pPr>
        <w:tabs>
          <w:tab w:val="left" w:pos="540"/>
          <w:tab w:val="left" w:pos="569"/>
        </w:tabs>
        <w:jc w:val="both"/>
        <w:rPr>
          <w:rFonts w:asciiTheme="majorBidi" w:hAnsiTheme="majorBidi" w:cstheme="majorBidi"/>
          <w:sz w:val="22"/>
          <w:szCs w:val="22"/>
          <w:u w:val="single"/>
          <w:lang w:val="sr-Latn-ME"/>
        </w:rPr>
      </w:pPr>
      <w:r w:rsidRPr="00B82EF7">
        <w:rPr>
          <w:rFonts w:asciiTheme="majorBidi" w:hAnsiTheme="majorBidi" w:cstheme="majorBidi"/>
          <w:sz w:val="22"/>
          <w:szCs w:val="22"/>
          <w:u w:val="single"/>
          <w:lang w:val="sr-Latn-ME"/>
        </w:rPr>
        <w:t>Trudnoća</w:t>
      </w:r>
    </w:p>
    <w:p w14:paraId="749C09CB" w14:textId="77777777" w:rsidR="004C10AF" w:rsidRPr="00B82EF7" w:rsidRDefault="004C10AF"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Kod ljudi, nema dokaza da enoksaparin prolazi kroz placentalnu barijeru tokom drugog i trećeg trimestra trudnoće. Nema dostupnih podataka u vezi sa prvim trimestrom. </w:t>
      </w:r>
    </w:p>
    <w:p w14:paraId="213094DA" w14:textId="6F2619D5" w:rsidR="004C10AF" w:rsidRPr="00B82EF7" w:rsidRDefault="004C10AF" w:rsidP="00C36CDC">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Ispitivanja na životinjama ni</w:t>
      </w:r>
      <w:r w:rsidR="002B427E"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pokazala dokaze fetotoksičnosti ni teratogenosti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5.3). Podaci iz ispitivanja na životinjama pokazali su da enoksaparin minimalno prolazi kroz placentu. </w:t>
      </w:r>
    </w:p>
    <w:p w14:paraId="5FCB3C72" w14:textId="77777777" w:rsidR="004C10AF" w:rsidRPr="00B82EF7" w:rsidRDefault="00A4624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Enoksaparin </w:t>
      </w:r>
      <w:r w:rsidR="004C10AF" w:rsidRPr="00B82EF7">
        <w:rPr>
          <w:rFonts w:asciiTheme="majorBidi" w:hAnsiTheme="majorBidi" w:cstheme="majorBidi"/>
          <w:noProof/>
          <w:sz w:val="22"/>
          <w:szCs w:val="22"/>
          <w:lang w:val="sr-Latn-ME"/>
        </w:rPr>
        <w:t>natrijum se sm</w:t>
      </w:r>
      <w:r w:rsidRPr="00B82EF7">
        <w:rPr>
          <w:rFonts w:asciiTheme="majorBidi" w:hAnsiTheme="majorBidi" w:cstheme="majorBidi"/>
          <w:noProof/>
          <w:sz w:val="22"/>
          <w:szCs w:val="22"/>
          <w:lang w:val="sr-Latn-ME"/>
        </w:rPr>
        <w:t>ij</w:t>
      </w:r>
      <w:r w:rsidR="004C10AF" w:rsidRPr="00B82EF7">
        <w:rPr>
          <w:rFonts w:asciiTheme="majorBidi" w:hAnsiTheme="majorBidi" w:cstheme="majorBidi"/>
          <w:noProof/>
          <w:sz w:val="22"/>
          <w:szCs w:val="22"/>
          <w:lang w:val="sr-Latn-ME"/>
        </w:rPr>
        <w:t>e koristiti tokom trudnoće samo ukoliko l</w:t>
      </w:r>
      <w:r w:rsidRPr="00B82EF7">
        <w:rPr>
          <w:rFonts w:asciiTheme="majorBidi" w:hAnsiTheme="majorBidi" w:cstheme="majorBidi"/>
          <w:noProof/>
          <w:sz w:val="22"/>
          <w:szCs w:val="22"/>
          <w:lang w:val="sr-Latn-ME"/>
        </w:rPr>
        <w:t>j</w:t>
      </w:r>
      <w:r w:rsidR="004C10AF" w:rsidRPr="00B82EF7">
        <w:rPr>
          <w:rFonts w:asciiTheme="majorBidi" w:hAnsiTheme="majorBidi" w:cstheme="majorBidi"/>
          <w:noProof/>
          <w:sz w:val="22"/>
          <w:szCs w:val="22"/>
          <w:lang w:val="sr-Latn-ME"/>
        </w:rPr>
        <w:t xml:space="preserve">ekar utvrdi da postoji jasna potreba. </w:t>
      </w:r>
    </w:p>
    <w:p w14:paraId="12DAC5AC" w14:textId="1E76D6DD" w:rsidR="004C10AF" w:rsidRPr="00B82EF7" w:rsidRDefault="004C10AF">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Tr</w:t>
      </w:r>
      <w:r w:rsidR="00A46247" w:rsidRPr="00B82EF7">
        <w:rPr>
          <w:rFonts w:asciiTheme="majorBidi" w:hAnsiTheme="majorBidi" w:cstheme="majorBidi"/>
          <w:noProof/>
          <w:sz w:val="22"/>
          <w:szCs w:val="22"/>
          <w:lang w:val="sr-Latn-ME"/>
        </w:rPr>
        <w:t xml:space="preserve">udnice koje primaju enoksaparin </w:t>
      </w:r>
      <w:r w:rsidRPr="00B82EF7">
        <w:rPr>
          <w:rFonts w:asciiTheme="majorBidi" w:hAnsiTheme="majorBidi" w:cstheme="majorBidi"/>
          <w:noProof/>
          <w:sz w:val="22"/>
          <w:szCs w:val="22"/>
          <w:lang w:val="sr-Latn-ME"/>
        </w:rPr>
        <w:t>natrijum treba pažljivo pratiti kako bi se uočili mogući znakovi krvarenja ili prekom</w:t>
      </w:r>
      <w:r w:rsidR="00A4624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erne antikoagulacije i treba ih upozoriti na rizik od krvarenja. Sveukupno, podaci pokazuju da nema dokaza povećanog rizika od krvarenja, trombocitopenije i osteoporoze u odnosu na rizik kod žena koje ni</w:t>
      </w:r>
      <w:r w:rsidR="002B427E"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trudne, osim rizika opaženog kod trudnica sa v</w:t>
      </w:r>
      <w:r w:rsidR="002B427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eštačkim srčanim zaliscima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 </w:t>
      </w:r>
    </w:p>
    <w:p w14:paraId="6DDE0C4E" w14:textId="77777777" w:rsidR="002031B3" w:rsidRPr="00B82EF7" w:rsidRDefault="004C10AF">
      <w:pPr>
        <w:tabs>
          <w:tab w:val="left" w:pos="540"/>
          <w:tab w:val="left" w:pos="569"/>
        </w:tabs>
        <w:jc w:val="both"/>
        <w:rPr>
          <w:rFonts w:asciiTheme="majorBidi" w:hAnsiTheme="majorBidi" w:cstheme="majorBidi"/>
          <w:sz w:val="22"/>
          <w:szCs w:val="22"/>
          <w:u w:val="single"/>
          <w:lang w:val="sr-Latn-ME"/>
        </w:rPr>
      </w:pPr>
      <w:r w:rsidRPr="00B82EF7">
        <w:rPr>
          <w:rFonts w:asciiTheme="majorBidi" w:hAnsiTheme="majorBidi" w:cstheme="majorBidi"/>
          <w:noProof/>
          <w:sz w:val="22"/>
          <w:szCs w:val="22"/>
          <w:lang w:val="sr-Latn-ME"/>
        </w:rPr>
        <w:lastRenderedPageBreak/>
        <w:t>Ako se planira epiduralna anestezija, preporučuje se da se pr</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 toga obustavi terapija enoksaparin</w:t>
      </w:r>
      <w:r w:rsidR="00A46247"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natrijumom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w:t>
      </w:r>
    </w:p>
    <w:p w14:paraId="7A8B0EB5" w14:textId="77777777" w:rsidR="004C10AF" w:rsidRPr="00B82EF7" w:rsidRDefault="004C10AF" w:rsidP="00F131CD">
      <w:pPr>
        <w:tabs>
          <w:tab w:val="left" w:pos="540"/>
          <w:tab w:val="left" w:pos="569"/>
        </w:tabs>
        <w:jc w:val="both"/>
        <w:rPr>
          <w:rFonts w:asciiTheme="majorBidi" w:hAnsiTheme="majorBidi" w:cstheme="majorBidi"/>
          <w:sz w:val="22"/>
          <w:szCs w:val="22"/>
          <w:u w:val="single"/>
          <w:lang w:val="sr-Latn-ME"/>
        </w:rPr>
      </w:pPr>
    </w:p>
    <w:p w14:paraId="43C0380E" w14:textId="77777777" w:rsidR="0072020E" w:rsidRPr="00B82EF7" w:rsidRDefault="007A3ECB" w:rsidP="004D148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sz w:val="22"/>
          <w:szCs w:val="22"/>
          <w:u w:val="single"/>
          <w:lang w:val="sr-Latn-ME"/>
        </w:rPr>
        <w:t xml:space="preserve">Dojenje </w:t>
      </w:r>
    </w:p>
    <w:p w14:paraId="40334621" w14:textId="77777777" w:rsidR="00227BDB" w:rsidRPr="00B82EF7" w:rsidRDefault="004C10AF" w:rsidP="00F63634">
      <w:pPr>
        <w:jc w:val="both"/>
        <w:rPr>
          <w:rFonts w:asciiTheme="majorBidi" w:hAnsiTheme="majorBidi" w:cstheme="majorBidi"/>
          <w:b/>
          <w:bCs/>
          <w:sz w:val="22"/>
          <w:szCs w:val="22"/>
          <w:lang w:val="sr-Latn-ME"/>
        </w:rPr>
      </w:pPr>
      <w:r w:rsidRPr="00B82EF7">
        <w:rPr>
          <w:rFonts w:asciiTheme="majorBidi" w:hAnsiTheme="majorBidi" w:cstheme="majorBidi"/>
          <w:noProof/>
          <w:sz w:val="22"/>
          <w:szCs w:val="22"/>
          <w:lang w:val="sr-Latn-ME"/>
        </w:rPr>
        <w:t>Nije poznato da li se enoksaparin izlučuje u neizm</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enjenom obliku u majčino </w:t>
      </w:r>
      <w:r w:rsidR="00A32335" w:rsidRPr="00B82EF7">
        <w:rPr>
          <w:rFonts w:asciiTheme="majorBidi" w:hAnsiTheme="majorBidi" w:cstheme="majorBidi"/>
          <w:noProof/>
          <w:sz w:val="22"/>
          <w:szCs w:val="22"/>
          <w:lang w:val="sr-Latn-ME"/>
        </w:rPr>
        <w:t>ml</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eko kod ljudi. Enoksaparin ili njegovi metaboliti su u veoma maloj m</w:t>
      </w:r>
      <w:r w:rsidR="00A4624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eri prelazili u </w:t>
      </w:r>
      <w:r w:rsidR="00A32335" w:rsidRPr="00B82EF7">
        <w:rPr>
          <w:rFonts w:asciiTheme="majorBidi" w:hAnsiTheme="majorBidi" w:cstheme="majorBidi"/>
          <w:noProof/>
          <w:sz w:val="22"/>
          <w:szCs w:val="22"/>
          <w:lang w:val="sr-Latn-ME"/>
        </w:rPr>
        <w:t>ml</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eko kod ženki pacova u laktaciji. Oralna apsorpcija </w:t>
      </w:r>
      <w:r w:rsidR="00A46247" w:rsidRPr="00B82EF7">
        <w:rPr>
          <w:rFonts w:asciiTheme="majorBidi" w:hAnsiTheme="majorBidi" w:cstheme="majorBidi"/>
          <w:noProof/>
          <w:sz w:val="22"/>
          <w:szCs w:val="22"/>
          <w:lang w:val="sr-Latn-ME"/>
        </w:rPr>
        <w:t xml:space="preserve">enoksaparin </w:t>
      </w:r>
      <w:r w:rsidRPr="00B82EF7">
        <w:rPr>
          <w:rFonts w:asciiTheme="majorBidi" w:hAnsiTheme="majorBidi" w:cstheme="majorBidi"/>
          <w:noProof/>
          <w:sz w:val="22"/>
          <w:szCs w:val="22"/>
          <w:lang w:val="sr-Latn-ME"/>
        </w:rPr>
        <w:t>natrijuma je malo v</w:t>
      </w:r>
      <w:r w:rsidR="00A4624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erovatna. L</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ek Crusia se može </w:t>
      </w:r>
      <w:r w:rsidR="00B25BBD" w:rsidRPr="00B82EF7">
        <w:rPr>
          <w:rFonts w:asciiTheme="majorBidi" w:hAnsiTheme="majorBidi" w:cstheme="majorBidi"/>
          <w:noProof/>
          <w:sz w:val="22"/>
          <w:szCs w:val="22"/>
          <w:lang w:val="sr-Latn-ME"/>
        </w:rPr>
        <w:t>primjenjivati</w:t>
      </w:r>
      <w:r w:rsidRPr="00B82EF7">
        <w:rPr>
          <w:rFonts w:asciiTheme="majorBidi" w:hAnsiTheme="majorBidi" w:cstheme="majorBidi"/>
          <w:noProof/>
          <w:sz w:val="22"/>
          <w:szCs w:val="22"/>
          <w:lang w:val="sr-Latn-ME"/>
        </w:rPr>
        <w:t xml:space="preserve"> tokom dojenja.</w:t>
      </w:r>
    </w:p>
    <w:p w14:paraId="0A16400D" w14:textId="77777777" w:rsidR="004C10AF" w:rsidRPr="00B82EF7" w:rsidRDefault="004C10AF" w:rsidP="00F131CD">
      <w:pPr>
        <w:tabs>
          <w:tab w:val="left" w:pos="540"/>
          <w:tab w:val="left" w:pos="569"/>
        </w:tabs>
        <w:ind w:left="540" w:hanging="540"/>
        <w:jc w:val="both"/>
        <w:rPr>
          <w:rFonts w:asciiTheme="majorBidi" w:hAnsiTheme="majorBidi" w:cstheme="majorBidi"/>
          <w:b/>
          <w:bCs/>
          <w:sz w:val="22"/>
          <w:szCs w:val="22"/>
          <w:lang w:val="sr-Latn-ME"/>
        </w:rPr>
      </w:pPr>
    </w:p>
    <w:p w14:paraId="12A3E0F5" w14:textId="77777777" w:rsidR="0072020E" w:rsidRPr="00B82EF7" w:rsidRDefault="0072020E" w:rsidP="00F131CD">
      <w:pPr>
        <w:tabs>
          <w:tab w:val="left" w:pos="540"/>
          <w:tab w:val="left" w:pos="569"/>
        </w:tabs>
        <w:ind w:left="540" w:hanging="540"/>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4.7.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 xml:space="preserve">Uticaj na </w:t>
      </w:r>
      <w:r w:rsidR="002031B3" w:rsidRPr="00B82EF7">
        <w:rPr>
          <w:rFonts w:asciiTheme="majorBidi" w:hAnsiTheme="majorBidi" w:cstheme="majorBidi"/>
          <w:b/>
          <w:bCs/>
          <w:sz w:val="22"/>
          <w:szCs w:val="22"/>
          <w:lang w:val="sr-Latn-ME"/>
        </w:rPr>
        <w:t xml:space="preserve">sposobnost </w:t>
      </w:r>
      <w:r w:rsidR="00F34554" w:rsidRPr="00B82EF7">
        <w:rPr>
          <w:rFonts w:asciiTheme="majorBidi" w:hAnsiTheme="majorBidi" w:cstheme="majorBidi"/>
          <w:b/>
          <w:bCs/>
          <w:sz w:val="22"/>
          <w:szCs w:val="22"/>
          <w:lang w:val="sr-Latn-ME"/>
        </w:rPr>
        <w:t>upravljanja vozili</w:t>
      </w:r>
      <w:r w:rsidRPr="00B82EF7">
        <w:rPr>
          <w:rFonts w:asciiTheme="majorBidi" w:hAnsiTheme="majorBidi" w:cstheme="majorBidi"/>
          <w:b/>
          <w:bCs/>
          <w:sz w:val="22"/>
          <w:szCs w:val="22"/>
          <w:lang w:val="sr-Latn-ME"/>
        </w:rPr>
        <w:t>m</w:t>
      </w:r>
      <w:r w:rsidR="00F34554" w:rsidRPr="00B82EF7">
        <w:rPr>
          <w:rFonts w:asciiTheme="majorBidi" w:hAnsiTheme="majorBidi" w:cstheme="majorBidi"/>
          <w:b/>
          <w:bCs/>
          <w:sz w:val="22"/>
          <w:szCs w:val="22"/>
          <w:lang w:val="sr-Latn-ME"/>
        </w:rPr>
        <w:t>a</w:t>
      </w:r>
      <w:r w:rsidRPr="00B82EF7">
        <w:rPr>
          <w:rFonts w:asciiTheme="majorBidi" w:hAnsiTheme="majorBidi" w:cstheme="majorBidi"/>
          <w:b/>
          <w:bCs/>
          <w:sz w:val="22"/>
          <w:szCs w:val="22"/>
          <w:lang w:val="sr-Latn-ME"/>
        </w:rPr>
        <w:t xml:space="preserve"> i </w:t>
      </w:r>
      <w:r w:rsidR="000D3449" w:rsidRPr="00B82EF7">
        <w:rPr>
          <w:rFonts w:asciiTheme="majorBidi" w:hAnsiTheme="majorBidi" w:cstheme="majorBidi"/>
          <w:b/>
          <w:bCs/>
          <w:sz w:val="22"/>
          <w:szCs w:val="22"/>
          <w:lang w:val="sr-Latn-ME"/>
        </w:rPr>
        <w:t xml:space="preserve">rukovanje </w:t>
      </w:r>
      <w:r w:rsidRPr="00B82EF7">
        <w:rPr>
          <w:rFonts w:asciiTheme="majorBidi" w:hAnsiTheme="majorBidi" w:cstheme="majorBidi"/>
          <w:b/>
          <w:bCs/>
          <w:sz w:val="22"/>
          <w:szCs w:val="22"/>
          <w:lang w:val="sr-Latn-ME"/>
        </w:rPr>
        <w:t>mašinama</w:t>
      </w:r>
    </w:p>
    <w:p w14:paraId="1EBD2F4E" w14:textId="77777777" w:rsidR="00B82EF7" w:rsidRDefault="00B82EF7" w:rsidP="00F131CD">
      <w:pPr>
        <w:tabs>
          <w:tab w:val="left" w:pos="540"/>
          <w:tab w:val="left" w:pos="569"/>
        </w:tabs>
        <w:jc w:val="both"/>
        <w:rPr>
          <w:rFonts w:asciiTheme="majorBidi" w:hAnsiTheme="majorBidi" w:cstheme="majorBidi"/>
          <w:noProof/>
          <w:sz w:val="22"/>
          <w:szCs w:val="22"/>
          <w:lang w:val="sr-Latn-ME"/>
        </w:rPr>
      </w:pPr>
    </w:p>
    <w:p w14:paraId="33F9CD41" w14:textId="310EC58B" w:rsidR="0072020E" w:rsidRPr="00B82EF7" w:rsidRDefault="004C10AF"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noProof/>
          <w:sz w:val="22"/>
          <w:szCs w:val="22"/>
          <w:lang w:val="sr-Latn-ME"/>
        </w:rPr>
        <w:t>Enoksaparin</w:t>
      </w:r>
      <w:r w:rsidR="00A46247"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 xml:space="preserve">natrijum ne utiče ili ima zanemarljiv uticaj na sposobnost upravljanja vozilima </w:t>
      </w:r>
      <w:r w:rsidRPr="00B82EF7">
        <w:rPr>
          <w:rFonts w:asciiTheme="majorBidi" w:hAnsiTheme="majorBidi" w:cstheme="majorBidi"/>
          <w:bCs/>
          <w:noProof/>
          <w:sz w:val="22"/>
          <w:szCs w:val="22"/>
          <w:lang w:val="sr-Latn-ME"/>
        </w:rPr>
        <w:t>i rukovanja mašinama</w:t>
      </w:r>
      <w:r w:rsidRPr="00B82EF7">
        <w:rPr>
          <w:rFonts w:asciiTheme="majorBidi" w:hAnsiTheme="majorBidi" w:cstheme="majorBidi"/>
          <w:noProof/>
          <w:sz w:val="22"/>
          <w:szCs w:val="22"/>
          <w:lang w:val="sr-Latn-ME"/>
        </w:rPr>
        <w:t>.</w:t>
      </w:r>
    </w:p>
    <w:p w14:paraId="1143FD93" w14:textId="77777777" w:rsidR="004C10AF" w:rsidRPr="00B82EF7" w:rsidRDefault="004C10AF" w:rsidP="00F131CD">
      <w:pPr>
        <w:tabs>
          <w:tab w:val="left" w:pos="540"/>
          <w:tab w:val="left" w:pos="569"/>
        </w:tabs>
        <w:jc w:val="both"/>
        <w:rPr>
          <w:rFonts w:asciiTheme="majorBidi" w:hAnsiTheme="majorBidi" w:cstheme="majorBidi"/>
          <w:b/>
          <w:bCs/>
          <w:sz w:val="22"/>
          <w:szCs w:val="22"/>
          <w:lang w:val="sr-Latn-ME"/>
        </w:rPr>
      </w:pPr>
    </w:p>
    <w:p w14:paraId="7863A466"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4.8.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Neželjena dejstva</w:t>
      </w:r>
    </w:p>
    <w:p w14:paraId="21A6DF82" w14:textId="77777777" w:rsidR="004E70AD" w:rsidRPr="00B82EF7" w:rsidRDefault="004E70AD" w:rsidP="00F131CD">
      <w:pPr>
        <w:tabs>
          <w:tab w:val="left" w:pos="540"/>
          <w:tab w:val="left" w:pos="569"/>
        </w:tabs>
        <w:jc w:val="both"/>
        <w:rPr>
          <w:rFonts w:asciiTheme="majorBidi" w:hAnsiTheme="majorBidi" w:cstheme="majorBidi"/>
          <w:b/>
          <w:bCs/>
          <w:sz w:val="22"/>
          <w:szCs w:val="22"/>
          <w:lang w:val="sr-Latn-ME"/>
        </w:rPr>
      </w:pPr>
    </w:p>
    <w:p w14:paraId="19D93AD9" w14:textId="77777777" w:rsidR="004E2355" w:rsidRPr="00B82EF7" w:rsidRDefault="004E2355" w:rsidP="004D148D">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Sažetak sigurnosnog profila </w:t>
      </w:r>
    </w:p>
    <w:p w14:paraId="3DB34849" w14:textId="4F3111E2" w:rsidR="004E2355" w:rsidRPr="00B82EF7" w:rsidRDefault="00A46247" w:rsidP="00C36CDC">
      <w:pPr>
        <w:tabs>
          <w:tab w:val="left" w:pos="284"/>
          <w:tab w:val="left" w:pos="5040"/>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Enoksaparin </w:t>
      </w:r>
      <w:r w:rsidR="004E2355" w:rsidRPr="00B82EF7">
        <w:rPr>
          <w:rFonts w:asciiTheme="majorBidi" w:hAnsiTheme="majorBidi" w:cstheme="majorBidi"/>
          <w:noProof/>
          <w:sz w:val="22"/>
          <w:szCs w:val="22"/>
          <w:lang w:val="sr-Latn-ME"/>
        </w:rPr>
        <w:t>natrijum se oc</w:t>
      </w:r>
      <w:r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enjivao kod više od 1</w:t>
      </w:r>
      <w:r w:rsidR="007E1FF7" w:rsidRPr="00B82EF7">
        <w:rPr>
          <w:rFonts w:asciiTheme="majorBidi" w:hAnsiTheme="majorBidi" w:cstheme="majorBidi"/>
          <w:noProof/>
          <w:sz w:val="22"/>
          <w:szCs w:val="22"/>
          <w:lang w:val="sr-Latn-ME"/>
        </w:rPr>
        <w:t>5 000</w:t>
      </w:r>
      <w:r w:rsidR="004E2355" w:rsidRPr="00B82EF7">
        <w:rPr>
          <w:rFonts w:asciiTheme="majorBidi" w:hAnsiTheme="majorBidi" w:cstheme="majorBidi"/>
          <w:noProof/>
          <w:sz w:val="22"/>
          <w:szCs w:val="22"/>
          <w:lang w:val="sr-Latn-ME"/>
        </w:rPr>
        <w:t xml:space="preserve"> pacijenata koji su primali </w:t>
      </w:r>
      <w:r w:rsidR="007E1FF7"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u kliničkim studijama. To je uključivalo 1776 slučajeva profilakse duboke venske tromboze nakon ortopedskog ili abdominalnog hirurškog zahvata kod pacijenata sa rizikom od tr</w:t>
      </w:r>
      <w:r w:rsidRPr="00B82EF7">
        <w:rPr>
          <w:rFonts w:asciiTheme="majorBidi" w:hAnsiTheme="majorBidi" w:cstheme="majorBidi"/>
          <w:noProof/>
          <w:sz w:val="22"/>
          <w:szCs w:val="22"/>
          <w:lang w:val="sr-Latn-ME"/>
        </w:rPr>
        <w:t>omboembolijskih komplikacija, 1</w:t>
      </w:r>
      <w:r w:rsidR="004E2355" w:rsidRPr="00B82EF7">
        <w:rPr>
          <w:rFonts w:asciiTheme="majorBidi" w:hAnsiTheme="majorBidi" w:cstheme="majorBidi"/>
          <w:noProof/>
          <w:sz w:val="22"/>
          <w:szCs w:val="22"/>
          <w:lang w:val="sr-Latn-ME"/>
        </w:rPr>
        <w:t>169 slučajeva profilakse duboke venske tromboze kod internističkih pacijenata sa akutnom bolešću i izuzetno ograničenom pokretljivošću, 559 slučajeva terapije DVT praćenog PE ili bez PE, 1578 slučajeva terapije nestabilne angine i infa</w:t>
      </w:r>
      <w:r w:rsidR="00A82BDE" w:rsidRPr="00B82EF7">
        <w:rPr>
          <w:rFonts w:asciiTheme="majorBidi" w:hAnsiTheme="majorBidi" w:cstheme="majorBidi"/>
          <w:noProof/>
          <w:sz w:val="22"/>
          <w:szCs w:val="22"/>
          <w:lang w:val="sr-Latn-ME"/>
        </w:rPr>
        <w:t xml:space="preserve">rkta miokarda bez Q-talasa i 10 </w:t>
      </w:r>
      <w:r w:rsidR="004E2355" w:rsidRPr="00B82EF7">
        <w:rPr>
          <w:rFonts w:asciiTheme="majorBidi" w:hAnsiTheme="majorBidi" w:cstheme="majorBidi"/>
          <w:noProof/>
          <w:sz w:val="22"/>
          <w:szCs w:val="22"/>
          <w:lang w:val="sr-Latn-ME"/>
        </w:rPr>
        <w:t xml:space="preserve">176 slučajeva terapije akutnog STEMI. </w:t>
      </w:r>
    </w:p>
    <w:p w14:paraId="21E8EDDD" w14:textId="77777777" w:rsidR="00A46247" w:rsidRPr="00B82EF7" w:rsidRDefault="00A46247">
      <w:pPr>
        <w:tabs>
          <w:tab w:val="left" w:pos="284"/>
          <w:tab w:val="left" w:pos="5040"/>
        </w:tabs>
        <w:jc w:val="both"/>
        <w:rPr>
          <w:rFonts w:asciiTheme="majorBidi" w:hAnsiTheme="majorBidi" w:cstheme="majorBidi"/>
          <w:noProof/>
          <w:sz w:val="22"/>
          <w:szCs w:val="22"/>
          <w:lang w:val="sr-Latn-ME"/>
        </w:rPr>
      </w:pPr>
    </w:p>
    <w:p w14:paraId="7FFA0CDA" w14:textId="77777777" w:rsidR="004E2355" w:rsidRPr="00B82EF7" w:rsidRDefault="00A4624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Režim doziranja enoksaparin </w:t>
      </w:r>
      <w:r w:rsidR="004E2355" w:rsidRPr="00B82EF7">
        <w:rPr>
          <w:rFonts w:asciiTheme="majorBidi" w:hAnsiTheme="majorBidi" w:cstheme="majorBidi"/>
          <w:noProof/>
          <w:sz w:val="22"/>
          <w:szCs w:val="22"/>
          <w:lang w:val="sr-Latn-ME"/>
        </w:rPr>
        <w:t>natrijumom koji se prim</w:t>
      </w:r>
      <w:r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 xml:space="preserve">enjivao u tim kliničkim studijama razlikovao se u zavisnosti </w:t>
      </w:r>
      <w:r w:rsidRPr="00B82EF7">
        <w:rPr>
          <w:rFonts w:asciiTheme="majorBidi" w:hAnsiTheme="majorBidi" w:cstheme="majorBidi"/>
          <w:noProof/>
          <w:sz w:val="22"/>
          <w:szCs w:val="22"/>
          <w:lang w:val="sr-Latn-ME"/>
        </w:rPr>
        <w:t xml:space="preserve">od indikacija. Doza enoksaparin </w:t>
      </w:r>
      <w:r w:rsidR="00A82BDE" w:rsidRPr="00B82EF7">
        <w:rPr>
          <w:rFonts w:asciiTheme="majorBidi" w:hAnsiTheme="majorBidi" w:cstheme="majorBidi"/>
          <w:noProof/>
          <w:sz w:val="22"/>
          <w:szCs w:val="22"/>
          <w:lang w:val="sr-Latn-ME"/>
        </w:rPr>
        <w:t xml:space="preserve">natrijuma iznosila je 4 </w:t>
      </w:r>
      <w:r w:rsidR="004E2355" w:rsidRPr="00B82EF7">
        <w:rPr>
          <w:rFonts w:asciiTheme="majorBidi" w:hAnsiTheme="majorBidi" w:cstheme="majorBidi"/>
          <w:noProof/>
          <w:sz w:val="22"/>
          <w:szCs w:val="22"/>
          <w:lang w:val="sr-Latn-ME"/>
        </w:rPr>
        <w:t>000 i.j. (40 mg) s.c. jednom dnevno za profilaksu duboke venske tromboze nakon hirurškog zahvata ili kod internističkih pacijenata sa akutnom bolešću i izuzetno ograničenom pokretljivošću. Kod terapije DVT praćenog PE ili bez PE, pacijenti s</w:t>
      </w:r>
      <w:r w:rsidRPr="00B82EF7">
        <w:rPr>
          <w:rFonts w:asciiTheme="majorBidi" w:hAnsiTheme="majorBidi" w:cstheme="majorBidi"/>
          <w:noProof/>
          <w:sz w:val="22"/>
          <w:szCs w:val="22"/>
          <w:lang w:val="sr-Latn-ME"/>
        </w:rPr>
        <w:t xml:space="preserve">u primali enoksaparin </w:t>
      </w:r>
      <w:r w:rsidR="004E2355" w:rsidRPr="00B82EF7">
        <w:rPr>
          <w:rFonts w:asciiTheme="majorBidi" w:hAnsiTheme="majorBidi" w:cstheme="majorBidi"/>
          <w:noProof/>
          <w:sz w:val="22"/>
          <w:szCs w:val="22"/>
          <w:lang w:val="sr-Latn-ME"/>
        </w:rPr>
        <w:t xml:space="preserve">natrijum u subkutanoj dozi od 100 i.j./kg (1 mg/kg) svakih 12 sati ili u subkutanoj dozi od 150 i.j./kg (1,5 mg/kg) jednom dnevno. U kliničkim studijama </w:t>
      </w:r>
      <w:r w:rsidR="00B25BBD" w:rsidRPr="00B82EF7">
        <w:rPr>
          <w:rFonts w:asciiTheme="majorBidi" w:hAnsiTheme="majorBidi" w:cstheme="majorBidi"/>
          <w:noProof/>
          <w:sz w:val="22"/>
          <w:szCs w:val="22"/>
          <w:lang w:val="sr-Latn-ME"/>
        </w:rPr>
        <w:t>primjene</w:t>
      </w:r>
      <w:r w:rsidR="004E2355" w:rsidRPr="00B82EF7">
        <w:rPr>
          <w:rFonts w:asciiTheme="majorBidi" w:hAnsiTheme="majorBidi" w:cstheme="majorBidi"/>
          <w:noProof/>
          <w:sz w:val="22"/>
          <w:szCs w:val="22"/>
          <w:lang w:val="sr-Latn-ME"/>
        </w:rPr>
        <w:t xml:space="preserve"> u terapiji nestabilne angine i infarkta miokarda bez Q-talasa, doza je iznosila 100 i.j./kg (1 mg/kg) s.c. svakih 12 sati, dok je u kliničkoj studiji </w:t>
      </w:r>
      <w:r w:rsidR="00B25BBD" w:rsidRPr="00B82EF7">
        <w:rPr>
          <w:rFonts w:asciiTheme="majorBidi" w:hAnsiTheme="majorBidi" w:cstheme="majorBidi"/>
          <w:noProof/>
          <w:sz w:val="22"/>
          <w:szCs w:val="22"/>
          <w:lang w:val="sr-Latn-ME"/>
        </w:rPr>
        <w:t>primjene</w:t>
      </w:r>
      <w:r w:rsidR="004E2355" w:rsidRPr="00B82EF7">
        <w:rPr>
          <w:rFonts w:asciiTheme="majorBidi" w:hAnsiTheme="majorBidi" w:cstheme="majorBidi"/>
          <w:noProof/>
          <w:sz w:val="22"/>
          <w:szCs w:val="22"/>
          <w:lang w:val="sr-Latn-ME"/>
        </w:rPr>
        <w:t xml:space="preserve"> u terapiji akutnog STEMI režim doziranja enoksaparin</w:t>
      </w:r>
      <w:r w:rsidRPr="00B82EF7">
        <w:rPr>
          <w:rFonts w:asciiTheme="majorBidi" w:hAnsiTheme="majorBidi" w:cstheme="majorBidi"/>
          <w:noProof/>
          <w:sz w:val="22"/>
          <w:szCs w:val="22"/>
          <w:lang w:val="sr-Latn-ME"/>
        </w:rPr>
        <w:t xml:space="preserve"> </w:t>
      </w:r>
      <w:r w:rsidR="004E2355" w:rsidRPr="00B82EF7">
        <w:rPr>
          <w:rFonts w:asciiTheme="majorBidi" w:hAnsiTheme="majorBidi" w:cstheme="majorBidi"/>
          <w:noProof/>
          <w:sz w:val="22"/>
          <w:szCs w:val="22"/>
          <w:lang w:val="sr-Latn-ME"/>
        </w:rPr>
        <w:t xml:space="preserve">natrijumom uključivao </w:t>
      </w:r>
      <w:r w:rsidR="00B25BBD" w:rsidRPr="00B82EF7">
        <w:rPr>
          <w:rFonts w:asciiTheme="majorBidi" w:hAnsiTheme="majorBidi" w:cstheme="majorBidi"/>
          <w:noProof/>
          <w:sz w:val="22"/>
          <w:szCs w:val="22"/>
          <w:lang w:val="sr-Latn-ME"/>
        </w:rPr>
        <w:t>primjenu</w:t>
      </w:r>
      <w:r w:rsidR="004E2355" w:rsidRPr="00B82EF7">
        <w:rPr>
          <w:rFonts w:asciiTheme="majorBidi" w:hAnsiTheme="majorBidi" w:cstheme="majorBidi"/>
          <w:noProof/>
          <w:sz w:val="22"/>
          <w:szCs w:val="22"/>
          <w:lang w:val="sr-Latn-ME"/>
        </w:rPr>
        <w:t xml:space="preserve"> intravenske bolusne doze od </w:t>
      </w:r>
      <w:r w:rsidR="00DE758E" w:rsidRPr="00B82EF7">
        <w:rPr>
          <w:rFonts w:asciiTheme="majorBidi" w:hAnsiTheme="majorBidi" w:cstheme="majorBidi"/>
          <w:noProof/>
          <w:sz w:val="22"/>
          <w:szCs w:val="22"/>
          <w:lang w:val="sr-Latn-ME"/>
        </w:rPr>
        <w:t>3000</w:t>
      </w:r>
      <w:r w:rsidR="004E2355" w:rsidRPr="00B82EF7">
        <w:rPr>
          <w:rFonts w:asciiTheme="majorBidi" w:hAnsiTheme="majorBidi" w:cstheme="majorBidi"/>
          <w:noProof/>
          <w:sz w:val="22"/>
          <w:szCs w:val="22"/>
          <w:lang w:val="sr-Latn-ME"/>
        </w:rPr>
        <w:t xml:space="preserve"> i.j. (30 mg), nakon koje se prim</w:t>
      </w:r>
      <w:r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 xml:space="preserve">enjivala subkutana doza od 100 i.j./kg (1 mg/kg) svakih 12 sati. </w:t>
      </w:r>
    </w:p>
    <w:p w14:paraId="36CBF1AB" w14:textId="77777777" w:rsidR="00A46247" w:rsidRPr="00B82EF7" w:rsidRDefault="00A46247">
      <w:pPr>
        <w:tabs>
          <w:tab w:val="left" w:pos="284"/>
        </w:tabs>
        <w:jc w:val="both"/>
        <w:rPr>
          <w:rFonts w:asciiTheme="majorBidi" w:hAnsiTheme="majorBidi" w:cstheme="majorBidi"/>
          <w:noProof/>
          <w:sz w:val="22"/>
          <w:szCs w:val="22"/>
          <w:lang w:val="sr-Latn-ME"/>
        </w:rPr>
      </w:pPr>
    </w:p>
    <w:p w14:paraId="49030B4E"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kliničkim studijama najčešće prijavljene neželjene reakcije su bile krvarenja, trombocitopenija i trombocitoza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 i "Opis odabranih neželjenih reakcija" u nastavku). </w:t>
      </w:r>
    </w:p>
    <w:p w14:paraId="14D5958B" w14:textId="77777777" w:rsidR="004E2355" w:rsidRPr="00B82EF7" w:rsidRDefault="004E2355">
      <w:pPr>
        <w:tabs>
          <w:tab w:val="left" w:pos="284"/>
        </w:tabs>
        <w:jc w:val="both"/>
        <w:rPr>
          <w:rFonts w:asciiTheme="majorBidi" w:hAnsiTheme="majorBidi" w:cstheme="majorBidi"/>
          <w:noProof/>
          <w:sz w:val="22"/>
          <w:szCs w:val="22"/>
          <w:lang w:val="sr-Latn-ME"/>
        </w:rPr>
      </w:pPr>
    </w:p>
    <w:p w14:paraId="60D69FAE" w14:textId="77777777" w:rsidR="00DE233B" w:rsidRPr="00B82EF7" w:rsidRDefault="00DE233B">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Prijavljena je akutna generalizovana egzantematozna pustuloza (AGEP), povezana sa terapijom enoksaparinom (vidjeti odjeljak 4.4).</w:t>
      </w:r>
    </w:p>
    <w:p w14:paraId="24B8BA2B" w14:textId="77777777" w:rsidR="00DE233B" w:rsidRPr="00B82EF7" w:rsidRDefault="00DE233B">
      <w:pPr>
        <w:tabs>
          <w:tab w:val="left" w:pos="284"/>
        </w:tabs>
        <w:jc w:val="both"/>
        <w:rPr>
          <w:rFonts w:asciiTheme="majorBidi" w:hAnsiTheme="majorBidi" w:cstheme="majorBidi"/>
          <w:noProof/>
          <w:sz w:val="22"/>
          <w:szCs w:val="22"/>
          <w:lang w:val="sr-Latn-ME"/>
        </w:rPr>
      </w:pPr>
    </w:p>
    <w:p w14:paraId="5DCAC2EF" w14:textId="77777777"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Tabelarni prikaz neželjenih reakcija </w:t>
      </w:r>
    </w:p>
    <w:p w14:paraId="46A53752"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Ostale neželjene reakcije prim</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ećene u kliničkim studijama i prijavljene u postmarketinškom periodu (* označava neželjene reakcije iz postmarketinškog iskustva) navedene su u nastavku. </w:t>
      </w:r>
    </w:p>
    <w:p w14:paraId="4B481F3A"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Učestalosti neželjenih dejstava su definisane na </w:t>
      </w:r>
      <w:r w:rsidR="00D65058" w:rsidRPr="00B82EF7">
        <w:rPr>
          <w:rFonts w:asciiTheme="majorBidi" w:hAnsiTheme="majorBidi" w:cstheme="majorBidi"/>
          <w:noProof/>
          <w:sz w:val="22"/>
          <w:szCs w:val="22"/>
          <w:lang w:val="sr-Latn-ME"/>
        </w:rPr>
        <w:t>sljedeći</w:t>
      </w:r>
      <w:r w:rsidRPr="00B82EF7">
        <w:rPr>
          <w:rFonts w:asciiTheme="majorBidi" w:hAnsiTheme="majorBidi" w:cstheme="majorBidi"/>
          <w:noProof/>
          <w:sz w:val="22"/>
          <w:szCs w:val="22"/>
          <w:lang w:val="sr-Latn-ME"/>
        </w:rPr>
        <w:t xml:space="preserve"> način: veoma često (≥ 1/10), često (≥ 1/100 i &lt; 1/10), povremeno (≥ 1/1000 i &lt; 1/100), r</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 1/10 000 i &lt; 1/1000) i veoma r</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(&lt; 1/10 000) ili nepoznato (ne može se proc</w:t>
      </w:r>
      <w:r w:rsidR="00A4624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eniti na osnovu raspoloživih podataka). Unutar svakog sistema organa, neželjene reakcije su navedene u padajućem nizu prema ozbiljnosti.</w:t>
      </w:r>
    </w:p>
    <w:p w14:paraId="28E2D721" w14:textId="77777777" w:rsidR="004E2355" w:rsidRPr="00B82EF7" w:rsidRDefault="004E2355">
      <w:pPr>
        <w:tabs>
          <w:tab w:val="left" w:pos="284"/>
        </w:tabs>
        <w:jc w:val="both"/>
        <w:rPr>
          <w:rFonts w:asciiTheme="majorBidi" w:hAnsiTheme="majorBidi" w:cstheme="majorBidi"/>
          <w:i/>
          <w:iCs/>
          <w:noProof/>
          <w:sz w:val="22"/>
          <w:szCs w:val="22"/>
          <w:lang w:val="sr-Latn-ME"/>
        </w:rPr>
      </w:pPr>
    </w:p>
    <w:p w14:paraId="2163C569" w14:textId="77777777" w:rsidR="004E2355" w:rsidRPr="00B82EF7" w:rsidRDefault="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Poremećaji krvi i limfnog sistema </w:t>
      </w:r>
    </w:p>
    <w:p w14:paraId="0B991E5F" w14:textId="77777777" w:rsidR="004E2355" w:rsidRPr="00B82EF7" w:rsidRDefault="004E2355">
      <w:pPr>
        <w:numPr>
          <w:ilvl w:val="0"/>
          <w:numId w:val="27"/>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Često: Krvarenje, hemoragijska anemija*, trombocitopenija, trombocitoza </w:t>
      </w:r>
    </w:p>
    <w:p w14:paraId="0C2ED218" w14:textId="6FD8AEB6" w:rsidR="004E2355" w:rsidRPr="00B82EF7" w:rsidRDefault="004E2355">
      <w:pPr>
        <w:numPr>
          <w:ilvl w:val="0"/>
          <w:numId w:val="27"/>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etko: </w:t>
      </w:r>
      <w:r w:rsidR="007918FC" w:rsidRPr="00B82EF7">
        <w:rPr>
          <w:rFonts w:asciiTheme="majorBidi" w:hAnsiTheme="majorBidi" w:cstheme="majorBidi"/>
          <w:noProof/>
          <w:sz w:val="22"/>
          <w:szCs w:val="22"/>
          <w:lang w:val="sr-Latn-ME"/>
        </w:rPr>
        <w:t>E</w:t>
      </w:r>
      <w:r w:rsidRPr="00B82EF7">
        <w:rPr>
          <w:rFonts w:asciiTheme="majorBidi" w:hAnsiTheme="majorBidi" w:cstheme="majorBidi"/>
          <w:noProof/>
          <w:sz w:val="22"/>
          <w:szCs w:val="22"/>
          <w:lang w:val="sr-Latn-ME"/>
        </w:rPr>
        <w:t>ozinofilija*</w:t>
      </w:r>
      <w:r w:rsidR="00A82BDE" w:rsidRPr="00B82EF7">
        <w:rPr>
          <w:rFonts w:asciiTheme="majorBidi" w:hAnsiTheme="majorBidi" w:cstheme="majorBidi"/>
          <w:noProof/>
          <w:sz w:val="22"/>
          <w:szCs w:val="22"/>
          <w:lang w:val="sr-Latn-ME"/>
        </w:rPr>
        <w:t>, s</w:t>
      </w:r>
      <w:r w:rsidRPr="00B82EF7">
        <w:rPr>
          <w:rFonts w:asciiTheme="majorBidi" w:hAnsiTheme="majorBidi" w:cstheme="majorBidi"/>
          <w:noProof/>
          <w:sz w:val="22"/>
          <w:szCs w:val="22"/>
          <w:lang w:val="sr-Latn-ME"/>
        </w:rPr>
        <w:t>lučajevi imunoalergijske trombocitopenije sa trombozom; u nekim od tih slučajeva tromboza se komplikovala infarktom organa ili ishemijom ekstremiteta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 </w:t>
      </w:r>
    </w:p>
    <w:p w14:paraId="7B3EA34E" w14:textId="77777777" w:rsidR="004E2355" w:rsidRPr="00B82EF7" w:rsidRDefault="004E2355">
      <w:pPr>
        <w:jc w:val="both"/>
        <w:rPr>
          <w:rFonts w:asciiTheme="majorBidi" w:hAnsiTheme="majorBidi" w:cstheme="majorBidi"/>
          <w:noProof/>
          <w:sz w:val="22"/>
          <w:szCs w:val="22"/>
          <w:lang w:val="sr-Latn-ME"/>
        </w:rPr>
      </w:pPr>
    </w:p>
    <w:p w14:paraId="2D0BD735" w14:textId="77777777" w:rsidR="004E2355" w:rsidRPr="00B82EF7" w:rsidRDefault="004E2355" w:rsidP="00B82EF7">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lastRenderedPageBreak/>
        <w:t>Poremećaji imunskog sistema</w:t>
      </w:r>
    </w:p>
    <w:p w14:paraId="3A4BC713" w14:textId="77777777" w:rsidR="004E2355" w:rsidRPr="00B82EF7" w:rsidRDefault="004E2355">
      <w:pPr>
        <w:numPr>
          <w:ilvl w:val="0"/>
          <w:numId w:val="28"/>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Često: Alergijska reakcija </w:t>
      </w:r>
    </w:p>
    <w:p w14:paraId="0820EDEF" w14:textId="77777777" w:rsidR="004E2355" w:rsidRPr="00B82EF7" w:rsidRDefault="004E2355">
      <w:pPr>
        <w:numPr>
          <w:ilvl w:val="0"/>
          <w:numId w:val="28"/>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etko: Anafilaktičke/anafilaktoidne reakcije, uključujući šok* </w:t>
      </w:r>
    </w:p>
    <w:p w14:paraId="7254AEFB" w14:textId="77777777" w:rsidR="004E2355" w:rsidRPr="00B82EF7" w:rsidRDefault="004E2355">
      <w:pPr>
        <w:jc w:val="both"/>
        <w:rPr>
          <w:rFonts w:asciiTheme="majorBidi" w:hAnsiTheme="majorBidi" w:cstheme="majorBidi"/>
          <w:noProof/>
          <w:sz w:val="22"/>
          <w:szCs w:val="22"/>
          <w:lang w:val="sr-Latn-ME"/>
        </w:rPr>
      </w:pPr>
    </w:p>
    <w:p w14:paraId="35C9C620" w14:textId="77777777" w:rsidR="004E2355" w:rsidRPr="00B82EF7" w:rsidRDefault="004E2355" w:rsidP="00B82EF7">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Poremećaji nervnog sistema </w:t>
      </w:r>
    </w:p>
    <w:p w14:paraId="18C285AE" w14:textId="77777777" w:rsidR="004E2355" w:rsidRPr="00B82EF7" w:rsidRDefault="004E2355">
      <w:pPr>
        <w:numPr>
          <w:ilvl w:val="0"/>
          <w:numId w:val="29"/>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Često: Glavobolja* </w:t>
      </w:r>
    </w:p>
    <w:p w14:paraId="798F25B2" w14:textId="77777777" w:rsidR="004E2355" w:rsidRPr="00B82EF7" w:rsidRDefault="004E2355" w:rsidP="00A82BDE">
      <w:pPr>
        <w:jc w:val="both"/>
        <w:rPr>
          <w:rFonts w:asciiTheme="majorBidi" w:hAnsiTheme="majorBidi" w:cstheme="majorBidi"/>
          <w:noProof/>
          <w:sz w:val="22"/>
          <w:szCs w:val="22"/>
          <w:lang w:val="sr-Latn-ME"/>
        </w:rPr>
      </w:pPr>
    </w:p>
    <w:p w14:paraId="03A6146E" w14:textId="77777777" w:rsidR="004E2355" w:rsidRPr="00B82EF7" w:rsidRDefault="004E2355" w:rsidP="00B82EF7">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Vaskularni poremećaji </w:t>
      </w:r>
    </w:p>
    <w:p w14:paraId="156A6FB1" w14:textId="77777777" w:rsidR="004E2355" w:rsidRPr="00B82EF7" w:rsidRDefault="004E2355" w:rsidP="006F6136">
      <w:pPr>
        <w:numPr>
          <w:ilvl w:val="0"/>
          <w:numId w:val="29"/>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Spinalni hematom* (ili neuraksijalni hematom). Ove neželjene reakcije su imale za posl</w:t>
      </w:r>
      <w:r w:rsidR="00A82BD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edicu neurološka oštećenja raličitog stepena, uključujući dugotrajnu ili trajnu paralizu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w:t>
      </w:r>
      <w:r w:rsidR="00A82BDE"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2F4BA7D4" w14:textId="77777777" w:rsidR="004E2355" w:rsidRPr="00B82EF7" w:rsidRDefault="004E2355" w:rsidP="006F6136">
      <w:pPr>
        <w:jc w:val="both"/>
        <w:rPr>
          <w:rFonts w:asciiTheme="majorBidi" w:hAnsiTheme="majorBidi" w:cstheme="majorBidi"/>
          <w:noProof/>
          <w:sz w:val="22"/>
          <w:szCs w:val="22"/>
          <w:lang w:val="sr-Latn-ME"/>
        </w:rPr>
      </w:pPr>
    </w:p>
    <w:p w14:paraId="04723148" w14:textId="77777777" w:rsidR="004E2355" w:rsidRPr="00B82EF7" w:rsidRDefault="004E2355" w:rsidP="00B82EF7">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Hepatobilijarni poremećaji</w:t>
      </w:r>
    </w:p>
    <w:p w14:paraId="2BD952A7" w14:textId="34A0906D" w:rsidR="004E2355" w:rsidRPr="00B82EF7" w:rsidRDefault="004E2355" w:rsidP="006F6136">
      <w:pPr>
        <w:numPr>
          <w:ilvl w:val="0"/>
          <w:numId w:val="29"/>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Veoma često: Povišene vr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ednosti enzima jetre (uglavnom transaminaze &gt; 3 puta iznad gornje granice normale) </w:t>
      </w:r>
    </w:p>
    <w:p w14:paraId="4B448CAF" w14:textId="77777777" w:rsidR="004E2355" w:rsidRPr="00B82EF7" w:rsidRDefault="004E2355" w:rsidP="006F6136">
      <w:pPr>
        <w:numPr>
          <w:ilvl w:val="0"/>
          <w:numId w:val="29"/>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Povremeno: Hepatocelularno oštećenje jetre* </w:t>
      </w:r>
    </w:p>
    <w:p w14:paraId="1FD6025F" w14:textId="77777777" w:rsidR="004E2355" w:rsidRPr="00B82EF7" w:rsidRDefault="004E2355" w:rsidP="006F6136">
      <w:pPr>
        <w:numPr>
          <w:ilvl w:val="0"/>
          <w:numId w:val="29"/>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Holestatsko oštećenje jetre*</w:t>
      </w:r>
      <w:r w:rsidR="00A82BDE"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7025C675" w14:textId="77777777" w:rsidR="004E2355" w:rsidRPr="00B82EF7" w:rsidRDefault="004E2355" w:rsidP="006F6136">
      <w:pPr>
        <w:jc w:val="both"/>
        <w:rPr>
          <w:rFonts w:asciiTheme="majorBidi" w:hAnsiTheme="majorBidi" w:cstheme="majorBidi"/>
          <w:noProof/>
          <w:sz w:val="22"/>
          <w:szCs w:val="22"/>
          <w:lang w:val="sr-Latn-ME"/>
        </w:rPr>
      </w:pPr>
    </w:p>
    <w:p w14:paraId="743B6F6F" w14:textId="77777777" w:rsidR="004E2355" w:rsidRPr="00B82EF7" w:rsidRDefault="004E2355" w:rsidP="003F1408">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Poremećaji kože i potkožnog tkiva </w:t>
      </w:r>
    </w:p>
    <w:p w14:paraId="272EFC1F" w14:textId="77777777" w:rsidR="004E2355" w:rsidRPr="00B82EF7" w:rsidRDefault="004E2355" w:rsidP="003F1408">
      <w:pPr>
        <w:numPr>
          <w:ilvl w:val="0"/>
          <w:numId w:val="30"/>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Često: Urtikarija, svrab, eritem </w:t>
      </w:r>
    </w:p>
    <w:p w14:paraId="508B0269" w14:textId="77777777" w:rsidR="004E2355" w:rsidRPr="00B82EF7" w:rsidRDefault="004E2355" w:rsidP="003F1408">
      <w:pPr>
        <w:numPr>
          <w:ilvl w:val="0"/>
          <w:numId w:val="30"/>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Povremeno: Bulozni dermatitis </w:t>
      </w:r>
    </w:p>
    <w:p w14:paraId="7FE8451E" w14:textId="77777777" w:rsidR="004E2355" w:rsidRPr="00B82EF7" w:rsidRDefault="004E2355" w:rsidP="003F1408">
      <w:pPr>
        <w:numPr>
          <w:ilvl w:val="0"/>
          <w:numId w:val="30"/>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006F6136" w:rsidRPr="00B82EF7">
        <w:rPr>
          <w:rFonts w:asciiTheme="majorBidi" w:hAnsiTheme="majorBidi" w:cstheme="majorBidi"/>
          <w:noProof/>
          <w:sz w:val="22"/>
          <w:szCs w:val="22"/>
          <w:lang w:val="sr-Latn-ME"/>
        </w:rPr>
        <w:t>etko: Alopecija*, k</w:t>
      </w:r>
      <w:r w:rsidRPr="00B82EF7">
        <w:rPr>
          <w:rFonts w:asciiTheme="majorBidi" w:hAnsiTheme="majorBidi" w:cstheme="majorBidi"/>
          <w:noProof/>
          <w:sz w:val="22"/>
          <w:szCs w:val="22"/>
          <w:lang w:val="sr-Latn-ME"/>
        </w:rPr>
        <w:t>ožni vaskulitis*, nekroza kože* koja se obično razvija na m</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estu injekcije (ovoj pojavi obično prethode pojava purpure ili eritematoznih plakova, infiltrovanih i bolnih); </w:t>
      </w:r>
    </w:p>
    <w:p w14:paraId="0CB07AF9" w14:textId="04B5075A" w:rsidR="004E2355" w:rsidRPr="00B82EF7" w:rsidRDefault="004E2355" w:rsidP="003F1408">
      <w:p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Noduli na m</w:t>
      </w:r>
      <w:r w:rsidR="00AD1D08"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 (upalni noduli, koji ni</w:t>
      </w:r>
      <w:r w:rsidR="00AD1D08"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 xml:space="preserve">su cistične tvorevine koje sadrže enoksaparin). Oni se povlače nakon nekoliko dana i ne bi trebalo da dovedu do prekida terapije. </w:t>
      </w:r>
    </w:p>
    <w:p w14:paraId="696A6BA9" w14:textId="77777777" w:rsidR="0052207A" w:rsidRPr="00B82EF7" w:rsidRDefault="0052207A" w:rsidP="003F1408">
      <w:pPr>
        <w:pStyle w:val="ListParagraph"/>
        <w:numPr>
          <w:ilvl w:val="0"/>
          <w:numId w:val="30"/>
        </w:numPr>
        <w:tabs>
          <w:tab w:val="clear" w:pos="284"/>
        </w:tabs>
        <w:ind w:left="360"/>
        <w:rPr>
          <w:rFonts w:asciiTheme="majorBidi" w:hAnsiTheme="majorBidi" w:cstheme="majorBidi"/>
          <w:noProof/>
          <w:szCs w:val="22"/>
          <w:lang w:val="sr-Latn-ME"/>
        </w:rPr>
      </w:pPr>
      <w:r w:rsidRPr="00B82EF7">
        <w:rPr>
          <w:rFonts w:asciiTheme="majorBidi" w:hAnsiTheme="majorBidi" w:cstheme="majorBidi"/>
          <w:noProof/>
          <w:szCs w:val="22"/>
          <w:lang w:val="sr-Latn-ME"/>
        </w:rPr>
        <w:t>Nepoznato: akutna generalizovana egzantematozna pustuloza (AGEP).</w:t>
      </w:r>
    </w:p>
    <w:p w14:paraId="32B11DFE" w14:textId="77777777" w:rsidR="004E2355" w:rsidRPr="00B82EF7" w:rsidRDefault="004E2355" w:rsidP="003F1408">
      <w:pPr>
        <w:jc w:val="both"/>
        <w:rPr>
          <w:rFonts w:asciiTheme="majorBidi" w:hAnsiTheme="majorBidi" w:cstheme="majorBidi"/>
          <w:noProof/>
          <w:sz w:val="22"/>
          <w:szCs w:val="22"/>
          <w:lang w:val="sr-Latn-ME"/>
        </w:rPr>
      </w:pPr>
    </w:p>
    <w:p w14:paraId="4FD86CD1" w14:textId="77777777" w:rsidR="004E2355" w:rsidRPr="00B82EF7" w:rsidRDefault="004E2355" w:rsidP="003F1408">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Poremećaji mišićno-koštanog sistema i vezivnog tkiva </w:t>
      </w:r>
    </w:p>
    <w:p w14:paraId="3CD37C12" w14:textId="77777777" w:rsidR="004E2355" w:rsidRPr="00B82EF7" w:rsidRDefault="004E2355" w:rsidP="003F1408">
      <w:pPr>
        <w:numPr>
          <w:ilvl w:val="0"/>
          <w:numId w:val="31"/>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Osteoporoza* nakon dugotrajne terapije (duže od 3 m</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eseca) </w:t>
      </w:r>
    </w:p>
    <w:p w14:paraId="184B98D5" w14:textId="77777777" w:rsidR="004E2355" w:rsidRPr="00B82EF7" w:rsidRDefault="004E2355" w:rsidP="003F1408">
      <w:pPr>
        <w:jc w:val="both"/>
        <w:rPr>
          <w:rFonts w:asciiTheme="majorBidi" w:hAnsiTheme="majorBidi" w:cstheme="majorBidi"/>
          <w:noProof/>
          <w:sz w:val="22"/>
          <w:szCs w:val="22"/>
          <w:lang w:val="sr-Latn-ME"/>
        </w:rPr>
      </w:pPr>
    </w:p>
    <w:p w14:paraId="2732D223" w14:textId="45BA5FA1" w:rsidR="004E2355" w:rsidRPr="00B82EF7" w:rsidRDefault="004E2355" w:rsidP="003F1408">
      <w:pPr>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Opšti poremećaji i reakcije na m</w:t>
      </w:r>
      <w:r w:rsidR="00AD1D08" w:rsidRPr="00B82EF7">
        <w:rPr>
          <w:rFonts w:asciiTheme="majorBidi" w:hAnsiTheme="majorBidi" w:cstheme="majorBidi"/>
          <w:i/>
          <w:iCs/>
          <w:noProof/>
          <w:sz w:val="22"/>
          <w:szCs w:val="22"/>
          <w:lang w:val="sr-Latn-ME"/>
        </w:rPr>
        <w:t>j</w:t>
      </w:r>
      <w:r w:rsidRPr="00B82EF7">
        <w:rPr>
          <w:rFonts w:asciiTheme="majorBidi" w:hAnsiTheme="majorBidi" w:cstheme="majorBidi"/>
          <w:i/>
          <w:iCs/>
          <w:noProof/>
          <w:sz w:val="22"/>
          <w:szCs w:val="22"/>
          <w:lang w:val="sr-Latn-ME"/>
        </w:rPr>
        <w:t xml:space="preserve">estu </w:t>
      </w:r>
      <w:r w:rsidR="00B25BBD" w:rsidRPr="00B82EF7">
        <w:rPr>
          <w:rFonts w:asciiTheme="majorBidi" w:hAnsiTheme="majorBidi" w:cstheme="majorBidi"/>
          <w:i/>
          <w:iCs/>
          <w:noProof/>
          <w:sz w:val="22"/>
          <w:szCs w:val="22"/>
          <w:lang w:val="sr-Latn-ME"/>
        </w:rPr>
        <w:t>primjene</w:t>
      </w:r>
      <w:r w:rsidRPr="00B82EF7">
        <w:rPr>
          <w:rFonts w:asciiTheme="majorBidi" w:hAnsiTheme="majorBidi" w:cstheme="majorBidi"/>
          <w:i/>
          <w:iCs/>
          <w:noProof/>
          <w:sz w:val="22"/>
          <w:szCs w:val="22"/>
          <w:lang w:val="sr-Latn-ME"/>
        </w:rPr>
        <w:t xml:space="preserve"> </w:t>
      </w:r>
    </w:p>
    <w:p w14:paraId="63B44960" w14:textId="76B79B00" w:rsidR="004E2355" w:rsidRPr="00B82EF7" w:rsidRDefault="004E2355" w:rsidP="003F1408">
      <w:pPr>
        <w:numPr>
          <w:ilvl w:val="0"/>
          <w:numId w:val="31"/>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Često: Hematom na m</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 bol na m</w:t>
      </w:r>
      <w:r w:rsidR="00AD1D08"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 ostale reakcije na m</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 (kao što su edem, krvarenje, preos</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etljivost, zapaljenje, formiranje čvorova, bol ili reakcija) </w:t>
      </w:r>
    </w:p>
    <w:p w14:paraId="166FDEB7" w14:textId="77777777" w:rsidR="004E2355" w:rsidRPr="00B82EF7" w:rsidRDefault="004E2355" w:rsidP="003F1408">
      <w:pPr>
        <w:numPr>
          <w:ilvl w:val="0"/>
          <w:numId w:val="31"/>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Povremeno: Lokalna iritacija; nekroza kože na m</w:t>
      </w:r>
      <w:r w:rsidR="00A82BD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w:t>
      </w:r>
      <w:r w:rsidR="00A82BDE"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 xml:space="preserve"> </w:t>
      </w:r>
    </w:p>
    <w:p w14:paraId="5CBFC91A" w14:textId="77777777" w:rsidR="004E2355" w:rsidRPr="00B82EF7" w:rsidRDefault="004E2355" w:rsidP="003F1408">
      <w:pPr>
        <w:jc w:val="both"/>
        <w:rPr>
          <w:rFonts w:asciiTheme="majorBidi" w:hAnsiTheme="majorBidi" w:cstheme="majorBidi"/>
          <w:noProof/>
          <w:sz w:val="22"/>
          <w:szCs w:val="22"/>
          <w:lang w:val="sr-Latn-ME"/>
        </w:rPr>
      </w:pPr>
    </w:p>
    <w:p w14:paraId="4492D43E" w14:textId="77777777" w:rsidR="004E2355" w:rsidRPr="00B82EF7" w:rsidRDefault="004E2355" w:rsidP="003F1408">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Ispitivanja</w:t>
      </w:r>
    </w:p>
    <w:p w14:paraId="4FE53AA5" w14:textId="77777777" w:rsidR="004E2355" w:rsidRPr="00B82EF7" w:rsidRDefault="004E2355" w:rsidP="003F1408">
      <w:pPr>
        <w:numPr>
          <w:ilvl w:val="0"/>
          <w:numId w:val="32"/>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w:t>
      </w:r>
      <w:r w:rsidR="00A82BDE"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etko: Hiperkalijemija* (vid</w:t>
      </w:r>
      <w:r w:rsidR="00A82BD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od</w:t>
      </w:r>
      <w:r w:rsidR="00A82BDE"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eljke 4.4 i 4.5.) </w:t>
      </w:r>
    </w:p>
    <w:p w14:paraId="2807A9E7"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p>
    <w:p w14:paraId="490DD437"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u w:val="single"/>
          <w:lang w:val="sr-Latn-ME"/>
        </w:rPr>
        <w:t xml:space="preserve">Opis odabranih neželjenih reakcija </w:t>
      </w:r>
    </w:p>
    <w:p w14:paraId="32931EE5" w14:textId="77777777" w:rsidR="004E2355" w:rsidRPr="00B82EF7" w:rsidRDefault="004E2355" w:rsidP="00D62E31">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Krvarenja (hemoragije)</w:t>
      </w:r>
    </w:p>
    <w:p w14:paraId="011B1E2C" w14:textId="71802FA1" w:rsidR="00D62E31" w:rsidRDefault="004E2355" w:rsidP="00D62E31">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Ova neželjena dejstva su uključivala velika krvarenja, prijavljena kod najviše 4,2 % pacijenata (hirurških pacijenata). Neki od ovih slučajeva imali su smrtni ishod. Kod hirurških pacijenata, komplikacije krvarenja su se smatrale ozbiljnim: (1) ako je krvarenje uzrokovalo značajan klinički događaj ili (2) ako je krvarenje bilo praćeno padom vr</w:t>
      </w:r>
      <w:r w:rsidR="006F6136"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ednosti hemoglobina za ≥ 2 g/</w:t>
      </w:r>
      <w:r w:rsidR="006F6136" w:rsidRPr="00B82EF7">
        <w:rPr>
          <w:rFonts w:asciiTheme="majorBidi" w:hAnsiTheme="majorBidi" w:cstheme="majorBidi"/>
          <w:noProof/>
          <w:sz w:val="22"/>
          <w:szCs w:val="22"/>
          <w:lang w:val="sr-Latn-ME"/>
        </w:rPr>
        <w:t>l</w:t>
      </w:r>
      <w:r w:rsidRPr="00B82EF7">
        <w:rPr>
          <w:rFonts w:asciiTheme="majorBidi" w:hAnsiTheme="majorBidi" w:cstheme="majorBidi"/>
          <w:noProof/>
          <w:sz w:val="22"/>
          <w:szCs w:val="22"/>
          <w:lang w:val="sr-Latn-ME"/>
        </w:rPr>
        <w:t xml:space="preserve"> ili transfuzijom 2 ili više jedinica derivata krvi. </w:t>
      </w:r>
    </w:p>
    <w:p w14:paraId="5DB02647" w14:textId="77777777" w:rsidR="00B82EF7" w:rsidRPr="00B82EF7" w:rsidRDefault="00B82EF7" w:rsidP="00D62E31">
      <w:pPr>
        <w:tabs>
          <w:tab w:val="left" w:pos="284"/>
        </w:tabs>
        <w:jc w:val="both"/>
        <w:rPr>
          <w:rFonts w:asciiTheme="majorBidi" w:hAnsiTheme="majorBidi" w:cstheme="majorBidi"/>
          <w:noProof/>
          <w:sz w:val="22"/>
          <w:szCs w:val="22"/>
          <w:lang w:val="sr-Latn-ME"/>
        </w:rPr>
      </w:pPr>
    </w:p>
    <w:p w14:paraId="5114F3A8" w14:textId="5DFA11D5" w:rsidR="004E2355" w:rsidRDefault="004E2355" w:rsidP="00D62E31">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Retroperitonealna i intrakranijalna krvarenja se uv</w:t>
      </w:r>
      <w:r w:rsidR="006F6136"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ek smatraju ozbiljnim. </w:t>
      </w:r>
    </w:p>
    <w:p w14:paraId="5D8B0998" w14:textId="77777777" w:rsidR="00B82EF7" w:rsidRPr="00B82EF7" w:rsidRDefault="00B82EF7" w:rsidP="00D62E31">
      <w:pPr>
        <w:tabs>
          <w:tab w:val="left" w:pos="284"/>
        </w:tabs>
        <w:jc w:val="both"/>
        <w:rPr>
          <w:rFonts w:asciiTheme="majorBidi" w:hAnsiTheme="majorBidi" w:cstheme="majorBidi"/>
          <w:noProof/>
          <w:sz w:val="22"/>
          <w:szCs w:val="22"/>
          <w:lang w:val="sr-Latn-ME"/>
        </w:rPr>
      </w:pPr>
    </w:p>
    <w:p w14:paraId="2BD46446" w14:textId="3F566058" w:rsidR="004E2355"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Kao i kod drugih antikoagulanasa, krvarenje može nastupiti u prisustvu udruženih faktora rizika poput: organskih lezija sklonih krvarenju, invazivnih postupaka ili istovremene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w:t>
      </w:r>
      <w:r w:rsidR="004E6DFB" w:rsidRPr="00B82EF7">
        <w:rPr>
          <w:rFonts w:asciiTheme="majorBidi" w:hAnsiTheme="majorBidi" w:cstheme="majorBidi"/>
          <w:noProof/>
          <w:sz w:val="22"/>
          <w:szCs w:val="22"/>
          <w:lang w:val="sr-Latn-ME"/>
        </w:rPr>
        <w:t>ljekova</w:t>
      </w:r>
      <w:r w:rsidRPr="00B82EF7">
        <w:rPr>
          <w:rFonts w:asciiTheme="majorBidi" w:hAnsiTheme="majorBidi" w:cstheme="majorBidi"/>
          <w:noProof/>
          <w:sz w:val="22"/>
          <w:szCs w:val="22"/>
          <w:lang w:val="sr-Latn-ME"/>
        </w:rPr>
        <w:t xml:space="preserve"> koji utiču na hemostazu (vid</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od</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eljke 4.4 i 4.5).</w:t>
      </w:r>
    </w:p>
    <w:p w14:paraId="6FBAEE87" w14:textId="77777777" w:rsidR="00B82EF7" w:rsidRPr="00B82EF7" w:rsidRDefault="00B82EF7" w:rsidP="004E2355">
      <w:pPr>
        <w:tabs>
          <w:tab w:val="left" w:pos="284"/>
        </w:tabs>
        <w:spacing w:after="120"/>
        <w:jc w:val="both"/>
        <w:rPr>
          <w:rFonts w:asciiTheme="majorBidi" w:hAnsiTheme="majorBidi" w:cstheme="majorBidi"/>
          <w:noProof/>
          <w:sz w:val="22"/>
          <w:szCs w:val="22"/>
          <w:lang w:val="sr-Latn-ME"/>
        </w:rPr>
      </w:pPr>
    </w:p>
    <w:tbl>
      <w:tblPr>
        <w:tblStyle w:val="TableGrid"/>
        <w:tblW w:w="9493" w:type="dxa"/>
        <w:tblLayout w:type="fixed"/>
        <w:tblLook w:val="04A0" w:firstRow="1" w:lastRow="0" w:firstColumn="1" w:lastColumn="0" w:noHBand="0" w:noVBand="1"/>
      </w:tblPr>
      <w:tblGrid>
        <w:gridCol w:w="1271"/>
        <w:gridCol w:w="1701"/>
        <w:gridCol w:w="1418"/>
        <w:gridCol w:w="1701"/>
        <w:gridCol w:w="1984"/>
        <w:gridCol w:w="1418"/>
      </w:tblGrid>
      <w:tr w:rsidR="004E2355" w:rsidRPr="00B82EF7" w14:paraId="284B4B39" w14:textId="77777777" w:rsidTr="00F131CD">
        <w:tc>
          <w:tcPr>
            <w:tcW w:w="1271" w:type="dxa"/>
          </w:tcPr>
          <w:p w14:paraId="0E17AF05" w14:textId="77777777" w:rsidR="004E2355" w:rsidRPr="00B82EF7" w:rsidRDefault="004E2355" w:rsidP="004E2355">
            <w:pPr>
              <w:tabs>
                <w:tab w:val="left" w:pos="284"/>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lastRenderedPageBreak/>
              <w:t>Klasa sistema organa po</w:t>
            </w:r>
          </w:p>
          <w:p w14:paraId="3DA20146" w14:textId="77777777" w:rsidR="004E2355" w:rsidRPr="00B82EF7" w:rsidRDefault="004E2355" w:rsidP="004E2355">
            <w:pPr>
              <w:tabs>
                <w:tab w:val="left" w:pos="284"/>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MedDRA</w:t>
            </w:r>
          </w:p>
        </w:tc>
        <w:tc>
          <w:tcPr>
            <w:tcW w:w="1701" w:type="dxa"/>
          </w:tcPr>
          <w:p w14:paraId="0B17A596"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Profilaksa kod hirurških pacijenata</w:t>
            </w:r>
          </w:p>
        </w:tc>
        <w:tc>
          <w:tcPr>
            <w:tcW w:w="1418" w:type="dxa"/>
          </w:tcPr>
          <w:p w14:paraId="25382617"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Profilaksa kod internističkih pacijenata</w:t>
            </w:r>
          </w:p>
        </w:tc>
        <w:tc>
          <w:tcPr>
            <w:tcW w:w="1701" w:type="dxa"/>
          </w:tcPr>
          <w:p w14:paraId="7619F57A"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DVT sa ili bez PE</w:t>
            </w:r>
          </w:p>
        </w:tc>
        <w:tc>
          <w:tcPr>
            <w:tcW w:w="1984" w:type="dxa"/>
          </w:tcPr>
          <w:p w14:paraId="5CEB4134"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nestabilnom anginom i infarktom miokarda bez Q-talasa</w:t>
            </w:r>
          </w:p>
        </w:tc>
        <w:tc>
          <w:tcPr>
            <w:tcW w:w="1418" w:type="dxa"/>
          </w:tcPr>
          <w:p w14:paraId="483159B5"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akutnim STEMI</w:t>
            </w:r>
          </w:p>
        </w:tc>
      </w:tr>
      <w:tr w:rsidR="004E2355" w:rsidRPr="00B82EF7" w14:paraId="6E7A84D3" w14:textId="77777777" w:rsidTr="00F131CD">
        <w:tc>
          <w:tcPr>
            <w:tcW w:w="1271" w:type="dxa"/>
          </w:tcPr>
          <w:p w14:paraId="6B9194B5" w14:textId="77777777" w:rsidR="004E2355" w:rsidRPr="00B82EF7" w:rsidRDefault="004E2355" w:rsidP="004E2355">
            <w:pPr>
              <w:tabs>
                <w:tab w:val="left" w:pos="284"/>
              </w:tabs>
              <w:spacing w:after="120"/>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Poremećaji krvi i limfnog sistema</w:t>
            </w:r>
          </w:p>
        </w:tc>
        <w:tc>
          <w:tcPr>
            <w:tcW w:w="1701" w:type="dxa"/>
          </w:tcPr>
          <w:p w14:paraId="4B02DD23"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i/>
                <w:noProof/>
                <w:sz w:val="22"/>
                <w:szCs w:val="22"/>
                <w:lang w:val="sr-Latn-ME"/>
              </w:rPr>
              <w:t>Veoma često:</w:t>
            </w:r>
            <w:r w:rsidRPr="00B82EF7">
              <w:rPr>
                <w:rFonts w:asciiTheme="majorBidi" w:hAnsiTheme="majorBidi" w:cstheme="majorBidi"/>
                <w:noProof/>
                <w:sz w:val="22"/>
                <w:szCs w:val="22"/>
                <w:lang w:val="sr-Latn-ME"/>
              </w:rPr>
              <w:t xml:space="preserve"> </w:t>
            </w:r>
            <w:r w:rsidRPr="00B82EF7">
              <w:rPr>
                <w:rFonts w:asciiTheme="majorBidi" w:hAnsiTheme="majorBidi" w:cstheme="majorBidi"/>
                <w:b/>
                <w:noProof/>
                <w:sz w:val="22"/>
                <w:szCs w:val="22"/>
                <w:lang w:val="sr-Latn-ME"/>
              </w:rPr>
              <w:t>krvarenje</w:t>
            </w:r>
            <w:r w:rsidRPr="00B82EF7">
              <w:rPr>
                <w:rFonts w:asciiTheme="majorBidi" w:hAnsiTheme="majorBidi" w:cstheme="majorBidi"/>
                <w:b/>
                <w:noProof/>
                <w:sz w:val="22"/>
                <w:szCs w:val="22"/>
                <w:vertAlign w:val="superscript"/>
                <w:lang w:val="sr-Latn-ME"/>
              </w:rPr>
              <w:t>α</w:t>
            </w:r>
          </w:p>
          <w:p w14:paraId="47EA6B72" w14:textId="5B3B285E" w:rsidR="004E2355" w:rsidRPr="00B82EF7" w:rsidRDefault="004E2355" w:rsidP="004E2355">
            <w:pPr>
              <w:tabs>
                <w:tab w:val="left" w:pos="284"/>
              </w:tabs>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R</w:t>
            </w:r>
            <w:r w:rsidR="006F6136" w:rsidRPr="00B82EF7">
              <w:rPr>
                <w:rFonts w:asciiTheme="majorBidi" w:hAnsiTheme="majorBidi" w:cstheme="majorBidi"/>
                <w:i/>
                <w:noProof/>
                <w:sz w:val="22"/>
                <w:szCs w:val="22"/>
                <w:lang w:val="sr-Latn-ME"/>
              </w:rPr>
              <w:t>ij</w:t>
            </w:r>
            <w:r w:rsidRPr="00B82EF7">
              <w:rPr>
                <w:rFonts w:asciiTheme="majorBidi" w:hAnsiTheme="majorBidi" w:cstheme="majorBidi"/>
                <w:i/>
                <w:noProof/>
                <w:sz w:val="22"/>
                <w:szCs w:val="22"/>
                <w:lang w:val="sr-Latn-ME"/>
              </w:rPr>
              <w:t>etko:</w:t>
            </w:r>
            <w:r w:rsidRPr="00B82EF7">
              <w:rPr>
                <w:rFonts w:asciiTheme="majorBidi" w:hAnsiTheme="majorBidi" w:cstheme="majorBidi"/>
                <w:noProof/>
                <w:sz w:val="22"/>
                <w:szCs w:val="22"/>
                <w:lang w:val="sr-Latn-ME"/>
              </w:rPr>
              <w:t xml:space="preserve"> </w:t>
            </w:r>
            <w:r w:rsidRPr="00B82EF7">
              <w:rPr>
                <w:rFonts w:asciiTheme="majorBidi" w:hAnsiTheme="majorBidi" w:cstheme="majorBidi"/>
                <w:b/>
                <w:noProof/>
                <w:sz w:val="22"/>
                <w:szCs w:val="22"/>
                <w:lang w:val="sr-Latn-ME"/>
              </w:rPr>
              <w:t>retroperitonealno</w:t>
            </w:r>
            <w:r w:rsidR="009615FD" w:rsidRPr="00B82EF7">
              <w:rPr>
                <w:rFonts w:asciiTheme="majorBidi" w:hAnsiTheme="majorBidi" w:cstheme="majorBidi"/>
                <w:b/>
                <w:noProof/>
                <w:sz w:val="22"/>
                <w:szCs w:val="22"/>
                <w:lang w:val="sr-Latn-ME"/>
              </w:rPr>
              <w:t xml:space="preserve"> </w:t>
            </w:r>
            <w:r w:rsidRPr="00B82EF7">
              <w:rPr>
                <w:rFonts w:asciiTheme="majorBidi" w:hAnsiTheme="majorBidi" w:cstheme="majorBidi"/>
                <w:b/>
                <w:noProof/>
                <w:sz w:val="22"/>
                <w:szCs w:val="22"/>
                <w:lang w:val="sr-Latn-ME"/>
              </w:rPr>
              <w:t>krvarenje</w:t>
            </w:r>
          </w:p>
        </w:tc>
        <w:tc>
          <w:tcPr>
            <w:tcW w:w="1418" w:type="dxa"/>
          </w:tcPr>
          <w:p w14:paraId="0728C531" w14:textId="77777777" w:rsidR="004E2355" w:rsidRPr="00B82EF7" w:rsidRDefault="004E2355" w:rsidP="004E2355">
            <w:pPr>
              <w:tabs>
                <w:tab w:val="left" w:pos="284"/>
              </w:tabs>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Često:</w:t>
            </w:r>
          </w:p>
          <w:p w14:paraId="422194EF"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krvarenje</w:t>
            </w:r>
            <w:r w:rsidRPr="00B82EF7">
              <w:rPr>
                <w:rFonts w:asciiTheme="majorBidi" w:hAnsiTheme="majorBidi" w:cstheme="majorBidi"/>
                <w:b/>
                <w:noProof/>
                <w:sz w:val="22"/>
                <w:szCs w:val="22"/>
                <w:vertAlign w:val="superscript"/>
                <w:lang w:val="sr-Latn-ME"/>
              </w:rPr>
              <w:t>α</w:t>
            </w:r>
          </w:p>
        </w:tc>
        <w:tc>
          <w:tcPr>
            <w:tcW w:w="1701" w:type="dxa"/>
          </w:tcPr>
          <w:p w14:paraId="1D5B6E24" w14:textId="77777777" w:rsidR="004E2355" w:rsidRPr="00B82EF7" w:rsidRDefault="004E2355" w:rsidP="004E2355">
            <w:pPr>
              <w:tabs>
                <w:tab w:val="left" w:pos="284"/>
              </w:tabs>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Veoma često:</w:t>
            </w:r>
          </w:p>
          <w:p w14:paraId="579D2255"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krvarenje</w:t>
            </w:r>
            <w:r w:rsidRPr="00B82EF7">
              <w:rPr>
                <w:rFonts w:asciiTheme="majorBidi" w:hAnsiTheme="majorBidi" w:cstheme="majorBidi"/>
                <w:b/>
                <w:noProof/>
                <w:sz w:val="22"/>
                <w:szCs w:val="22"/>
                <w:vertAlign w:val="superscript"/>
                <w:lang w:val="sr-Latn-ME"/>
              </w:rPr>
              <w:t>α</w:t>
            </w:r>
          </w:p>
          <w:p w14:paraId="423B0D1E" w14:textId="77777777" w:rsidR="004E2355" w:rsidRPr="00B82EF7" w:rsidRDefault="004E2355" w:rsidP="004E2355">
            <w:pPr>
              <w:tabs>
                <w:tab w:val="left" w:pos="284"/>
              </w:tabs>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Povremeno:</w:t>
            </w:r>
          </w:p>
          <w:p w14:paraId="6E730380" w14:textId="70F6723F"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intrakranijalno krvarenje, retroperitoneal</w:t>
            </w:r>
            <w:r w:rsidR="009615FD"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no krvarenje</w:t>
            </w:r>
          </w:p>
        </w:tc>
        <w:tc>
          <w:tcPr>
            <w:tcW w:w="1984" w:type="dxa"/>
          </w:tcPr>
          <w:p w14:paraId="4D5A29E7"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i/>
                <w:noProof/>
                <w:sz w:val="22"/>
                <w:szCs w:val="22"/>
                <w:lang w:val="sr-Latn-ME"/>
              </w:rPr>
              <w:t>Često:</w:t>
            </w:r>
            <w:r w:rsidRPr="00B82EF7">
              <w:rPr>
                <w:rFonts w:asciiTheme="majorBidi" w:hAnsiTheme="majorBidi" w:cstheme="majorBidi"/>
                <w:noProof/>
                <w:sz w:val="22"/>
                <w:szCs w:val="22"/>
                <w:lang w:val="sr-Latn-ME"/>
              </w:rPr>
              <w:t xml:space="preserve"> </w:t>
            </w:r>
            <w:r w:rsidRPr="00B82EF7">
              <w:rPr>
                <w:rFonts w:asciiTheme="majorBidi" w:hAnsiTheme="majorBidi" w:cstheme="majorBidi"/>
                <w:b/>
                <w:noProof/>
                <w:sz w:val="22"/>
                <w:szCs w:val="22"/>
                <w:lang w:val="sr-Latn-ME"/>
              </w:rPr>
              <w:t>krvarenje</w:t>
            </w:r>
            <w:r w:rsidRPr="00B82EF7">
              <w:rPr>
                <w:rFonts w:asciiTheme="majorBidi" w:hAnsiTheme="majorBidi" w:cstheme="majorBidi"/>
                <w:b/>
                <w:noProof/>
                <w:sz w:val="22"/>
                <w:szCs w:val="22"/>
                <w:vertAlign w:val="superscript"/>
                <w:lang w:val="sr-Latn-ME"/>
              </w:rPr>
              <w:t>α</w:t>
            </w:r>
          </w:p>
          <w:p w14:paraId="17066C0C" w14:textId="2DBA944B"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R</w:t>
            </w:r>
            <w:r w:rsidR="00D62E31" w:rsidRPr="00B82EF7">
              <w:rPr>
                <w:rFonts w:asciiTheme="majorBidi" w:hAnsiTheme="majorBidi" w:cstheme="majorBidi"/>
                <w:i/>
                <w:noProof/>
                <w:sz w:val="22"/>
                <w:szCs w:val="22"/>
                <w:lang w:val="sr-Latn-ME"/>
              </w:rPr>
              <w:t>ij</w:t>
            </w:r>
            <w:r w:rsidRPr="00B82EF7">
              <w:rPr>
                <w:rFonts w:asciiTheme="majorBidi" w:hAnsiTheme="majorBidi" w:cstheme="majorBidi"/>
                <w:i/>
                <w:noProof/>
                <w:sz w:val="22"/>
                <w:szCs w:val="22"/>
                <w:lang w:val="sr-Latn-ME"/>
              </w:rPr>
              <w:t>etko:</w:t>
            </w:r>
            <w:r w:rsidRPr="00B82EF7">
              <w:rPr>
                <w:rFonts w:asciiTheme="majorBidi" w:hAnsiTheme="majorBidi" w:cstheme="majorBidi"/>
                <w:noProof/>
                <w:sz w:val="22"/>
                <w:szCs w:val="22"/>
                <w:lang w:val="sr-Latn-ME"/>
              </w:rPr>
              <w:t xml:space="preserve"> </w:t>
            </w:r>
            <w:r w:rsidRPr="00B82EF7">
              <w:rPr>
                <w:rFonts w:asciiTheme="majorBidi" w:hAnsiTheme="majorBidi" w:cstheme="majorBidi"/>
                <w:b/>
                <w:noProof/>
                <w:sz w:val="22"/>
                <w:szCs w:val="22"/>
                <w:lang w:val="sr-Latn-ME"/>
              </w:rPr>
              <w:t>retroperitonealno krvarenje</w:t>
            </w:r>
          </w:p>
        </w:tc>
        <w:tc>
          <w:tcPr>
            <w:tcW w:w="1418" w:type="dxa"/>
          </w:tcPr>
          <w:p w14:paraId="6C6BB5C3"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i/>
                <w:noProof/>
                <w:sz w:val="22"/>
                <w:szCs w:val="22"/>
                <w:lang w:val="sr-Latn-ME"/>
              </w:rPr>
              <w:t xml:space="preserve">Često: </w:t>
            </w:r>
            <w:r w:rsidRPr="00B82EF7">
              <w:rPr>
                <w:rFonts w:asciiTheme="majorBidi" w:hAnsiTheme="majorBidi" w:cstheme="majorBidi"/>
                <w:b/>
                <w:noProof/>
                <w:sz w:val="22"/>
                <w:szCs w:val="22"/>
                <w:lang w:val="sr-Latn-ME"/>
              </w:rPr>
              <w:t>krvarenje</w:t>
            </w:r>
            <w:r w:rsidRPr="00B82EF7">
              <w:rPr>
                <w:rFonts w:asciiTheme="majorBidi" w:hAnsiTheme="majorBidi" w:cstheme="majorBidi"/>
                <w:b/>
                <w:noProof/>
                <w:sz w:val="22"/>
                <w:szCs w:val="22"/>
                <w:vertAlign w:val="superscript"/>
                <w:lang w:val="sr-Latn-ME"/>
              </w:rPr>
              <w:t>α</w:t>
            </w:r>
          </w:p>
          <w:p w14:paraId="7B28FCE3" w14:textId="2D12814D"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Povremeno: </w:t>
            </w:r>
            <w:r w:rsidRPr="00B82EF7">
              <w:rPr>
                <w:rFonts w:asciiTheme="majorBidi" w:hAnsiTheme="majorBidi" w:cstheme="majorBidi"/>
                <w:b/>
                <w:noProof/>
                <w:sz w:val="22"/>
                <w:szCs w:val="22"/>
                <w:lang w:val="sr-Latn-ME"/>
              </w:rPr>
              <w:t>intrakranij</w:t>
            </w:r>
            <w:r w:rsidR="009615FD"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alno krvarenje, retroperito</w:t>
            </w:r>
            <w:r w:rsidR="009615FD"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nealno krvarenje</w:t>
            </w:r>
          </w:p>
        </w:tc>
      </w:tr>
    </w:tbl>
    <w:p w14:paraId="6D46964D"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b/>
          <w:bCs/>
          <w:noProof/>
          <w:sz w:val="22"/>
          <w:szCs w:val="22"/>
          <w:vertAlign w:val="superscript"/>
          <w:lang w:val="sr-Latn-ME"/>
        </w:rPr>
        <w:t>α</w:t>
      </w:r>
      <w:r w:rsidRPr="00B82EF7">
        <w:rPr>
          <w:rFonts w:asciiTheme="majorBidi" w:hAnsiTheme="majorBidi" w:cstheme="majorBidi"/>
          <w:noProof/>
          <w:sz w:val="22"/>
          <w:szCs w:val="22"/>
          <w:lang w:val="sr-Latn-ME"/>
        </w:rPr>
        <w:t>: kao što su: hematom, ekhimoza (osim na m</w:t>
      </w:r>
      <w:r w:rsidR="006F6136"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injekcije), hematom oko rane, hematurija, epistaksa i gastrointestinalno krvarenje</w:t>
      </w:r>
    </w:p>
    <w:p w14:paraId="4800E75B" w14:textId="77777777"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 </w:t>
      </w:r>
    </w:p>
    <w:p w14:paraId="65B870BD"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Trombocitopenija i trombocitoza</w:t>
      </w:r>
    </w:p>
    <w:tbl>
      <w:tblPr>
        <w:tblStyle w:val="TableGrid"/>
        <w:tblW w:w="5237" w:type="pct"/>
        <w:tblLayout w:type="fixed"/>
        <w:tblLook w:val="04A0" w:firstRow="1" w:lastRow="0" w:firstColumn="1" w:lastColumn="0" w:noHBand="0" w:noVBand="1"/>
      </w:tblPr>
      <w:tblGrid>
        <w:gridCol w:w="972"/>
        <w:gridCol w:w="1819"/>
        <w:gridCol w:w="1967"/>
        <w:gridCol w:w="1796"/>
        <w:gridCol w:w="1800"/>
        <w:gridCol w:w="1139"/>
      </w:tblGrid>
      <w:tr w:rsidR="00B531D5" w:rsidRPr="00B82EF7" w14:paraId="6922C503" w14:textId="77777777" w:rsidTr="00F131CD">
        <w:trPr>
          <w:trHeight w:val="1465"/>
        </w:trPr>
        <w:tc>
          <w:tcPr>
            <w:tcW w:w="512" w:type="pct"/>
          </w:tcPr>
          <w:p w14:paraId="6FC9E4F7" w14:textId="77777777" w:rsidR="004E2355" w:rsidRPr="00B82EF7" w:rsidRDefault="004E2355" w:rsidP="004E2355">
            <w:pPr>
              <w:tabs>
                <w:tab w:val="left" w:pos="284"/>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Klasa sistema organa po</w:t>
            </w:r>
          </w:p>
          <w:p w14:paraId="2F61BD8F" w14:textId="77777777" w:rsidR="004E2355" w:rsidRPr="00B82EF7" w:rsidRDefault="004E2355" w:rsidP="004E2355">
            <w:pPr>
              <w:tabs>
                <w:tab w:val="left" w:pos="284"/>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MedDRA</w:t>
            </w:r>
          </w:p>
        </w:tc>
        <w:tc>
          <w:tcPr>
            <w:tcW w:w="958" w:type="pct"/>
          </w:tcPr>
          <w:p w14:paraId="53B1EB18"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Profilaksa kod hirurških pacijenata</w:t>
            </w:r>
          </w:p>
        </w:tc>
        <w:tc>
          <w:tcPr>
            <w:tcW w:w="1036" w:type="pct"/>
          </w:tcPr>
          <w:p w14:paraId="6B94D0E2"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Profilaksa kod internističkih pacijenata</w:t>
            </w:r>
          </w:p>
        </w:tc>
        <w:tc>
          <w:tcPr>
            <w:tcW w:w="946" w:type="pct"/>
          </w:tcPr>
          <w:p w14:paraId="471E4DC9"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DVT sa ili bez PE</w:t>
            </w:r>
          </w:p>
        </w:tc>
        <w:tc>
          <w:tcPr>
            <w:tcW w:w="948" w:type="pct"/>
          </w:tcPr>
          <w:p w14:paraId="709AF035"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nestabilnom anginom i infarktom miokarda bez Q-talasa</w:t>
            </w:r>
          </w:p>
        </w:tc>
        <w:tc>
          <w:tcPr>
            <w:tcW w:w="600" w:type="pct"/>
          </w:tcPr>
          <w:p w14:paraId="02FE1971" w14:textId="77777777" w:rsidR="004E2355" w:rsidRPr="00B82EF7" w:rsidRDefault="004E2355" w:rsidP="004E2355">
            <w:pPr>
              <w:tabs>
                <w:tab w:val="left" w:pos="284"/>
              </w:tabs>
              <w:spacing w:after="120"/>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Terapija kod pacijenata sa akutnim STEMI</w:t>
            </w:r>
          </w:p>
        </w:tc>
      </w:tr>
      <w:tr w:rsidR="00B531D5" w:rsidRPr="00B82EF7" w14:paraId="418C650F" w14:textId="77777777" w:rsidTr="00F131CD">
        <w:trPr>
          <w:trHeight w:val="2063"/>
        </w:trPr>
        <w:tc>
          <w:tcPr>
            <w:tcW w:w="512" w:type="pct"/>
          </w:tcPr>
          <w:p w14:paraId="75ECF06F" w14:textId="77777777" w:rsidR="004E2355" w:rsidRPr="00B82EF7" w:rsidRDefault="004E2355" w:rsidP="004E2355">
            <w:pPr>
              <w:tabs>
                <w:tab w:val="left" w:pos="284"/>
              </w:tabs>
              <w:spacing w:after="120"/>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Poremećaji krvi i limfnog sistema</w:t>
            </w:r>
          </w:p>
        </w:tc>
        <w:tc>
          <w:tcPr>
            <w:tcW w:w="958" w:type="pct"/>
          </w:tcPr>
          <w:p w14:paraId="1DD0DC32" w14:textId="77777777" w:rsidR="004E2355" w:rsidRPr="00B82EF7" w:rsidRDefault="004E2355" w:rsidP="004E2355">
            <w:pPr>
              <w:spacing w:after="120"/>
              <w:ind w:left="-62" w:right="-44"/>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Veoma često: </w:t>
            </w:r>
            <w:r w:rsidRPr="00B82EF7">
              <w:rPr>
                <w:rFonts w:asciiTheme="majorBidi" w:hAnsiTheme="majorBidi" w:cstheme="majorBidi"/>
                <w:b/>
                <w:noProof/>
                <w:sz w:val="22"/>
                <w:szCs w:val="22"/>
                <w:lang w:val="sr-Latn-ME"/>
              </w:rPr>
              <w:t>trombocitoza</w:t>
            </w:r>
            <w:r w:rsidRPr="00B82EF7">
              <w:rPr>
                <w:rFonts w:asciiTheme="majorBidi" w:hAnsiTheme="majorBidi" w:cstheme="majorBidi"/>
                <w:b/>
                <w:noProof/>
                <w:sz w:val="22"/>
                <w:szCs w:val="22"/>
                <w:vertAlign w:val="superscript"/>
                <w:lang w:val="sr-Latn-ME"/>
              </w:rPr>
              <w:t>β</w:t>
            </w:r>
          </w:p>
          <w:p w14:paraId="709C2607" w14:textId="77777777" w:rsidR="004E2355" w:rsidRPr="00B82EF7" w:rsidRDefault="004E2355" w:rsidP="004E2355">
            <w:pPr>
              <w:spacing w:after="120"/>
              <w:ind w:left="-62" w:right="-44"/>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Često: </w:t>
            </w:r>
            <w:r w:rsidRPr="00B82EF7">
              <w:rPr>
                <w:rFonts w:asciiTheme="majorBidi" w:hAnsiTheme="majorBidi" w:cstheme="majorBidi"/>
                <w:b/>
                <w:noProof/>
                <w:sz w:val="22"/>
                <w:szCs w:val="22"/>
                <w:lang w:val="sr-Latn-ME"/>
              </w:rPr>
              <w:t>trombocitopenija</w:t>
            </w:r>
          </w:p>
        </w:tc>
        <w:tc>
          <w:tcPr>
            <w:tcW w:w="1036" w:type="pct"/>
          </w:tcPr>
          <w:p w14:paraId="316BDFC4" w14:textId="77777777" w:rsidR="004E2355" w:rsidRPr="00B82EF7" w:rsidRDefault="004E2355" w:rsidP="004E2355">
            <w:pPr>
              <w:spacing w:after="120"/>
              <w:ind w:left="-31" w:right="-104"/>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Povremeno: </w:t>
            </w:r>
            <w:r w:rsidRPr="00B82EF7">
              <w:rPr>
                <w:rFonts w:asciiTheme="majorBidi" w:hAnsiTheme="majorBidi" w:cstheme="majorBidi"/>
                <w:b/>
                <w:noProof/>
                <w:sz w:val="22"/>
                <w:szCs w:val="22"/>
                <w:lang w:val="sr-Latn-ME"/>
              </w:rPr>
              <w:t>trombocitopenija</w:t>
            </w:r>
          </w:p>
        </w:tc>
        <w:tc>
          <w:tcPr>
            <w:tcW w:w="946" w:type="pct"/>
          </w:tcPr>
          <w:p w14:paraId="12743A8C" w14:textId="77777777" w:rsidR="004E2355" w:rsidRPr="00B82EF7" w:rsidRDefault="004E2355" w:rsidP="004E2355">
            <w:pPr>
              <w:spacing w:after="120"/>
              <w:ind w:left="-22" w:right="-20"/>
              <w:rPr>
                <w:rFonts w:asciiTheme="majorBidi" w:hAnsiTheme="majorBidi" w:cstheme="majorBidi"/>
                <w:b/>
                <w:noProof/>
                <w:sz w:val="22"/>
                <w:szCs w:val="22"/>
                <w:lang w:val="sr-Latn-ME"/>
              </w:rPr>
            </w:pPr>
            <w:r w:rsidRPr="00B82EF7">
              <w:rPr>
                <w:rFonts w:asciiTheme="majorBidi" w:hAnsiTheme="majorBidi" w:cstheme="majorBidi"/>
                <w:i/>
                <w:noProof/>
                <w:sz w:val="22"/>
                <w:szCs w:val="22"/>
                <w:lang w:val="sr-Latn-ME"/>
              </w:rPr>
              <w:t xml:space="preserve">Veoma često: </w:t>
            </w:r>
            <w:r w:rsidRPr="00B82EF7">
              <w:rPr>
                <w:rFonts w:asciiTheme="majorBidi" w:hAnsiTheme="majorBidi" w:cstheme="majorBidi"/>
                <w:b/>
                <w:noProof/>
                <w:sz w:val="22"/>
                <w:szCs w:val="22"/>
                <w:lang w:val="sr-Latn-ME"/>
              </w:rPr>
              <w:t>trombocitoza</w:t>
            </w:r>
            <w:r w:rsidRPr="00B82EF7">
              <w:rPr>
                <w:rFonts w:asciiTheme="majorBidi" w:hAnsiTheme="majorBidi" w:cstheme="majorBidi"/>
                <w:b/>
                <w:noProof/>
                <w:sz w:val="22"/>
                <w:szCs w:val="22"/>
                <w:vertAlign w:val="superscript"/>
                <w:lang w:val="sr-Latn-ME"/>
              </w:rPr>
              <w:t>β</w:t>
            </w:r>
          </w:p>
          <w:p w14:paraId="0FF6C642" w14:textId="77777777" w:rsidR="004E2355" w:rsidRPr="00B82EF7" w:rsidRDefault="004E2355" w:rsidP="004E2355">
            <w:pPr>
              <w:spacing w:after="120"/>
              <w:ind w:left="-22" w:right="-20"/>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Često:</w:t>
            </w:r>
            <w:r w:rsidRPr="00B82EF7">
              <w:rPr>
                <w:rFonts w:asciiTheme="majorBidi" w:hAnsiTheme="majorBidi" w:cstheme="majorBidi"/>
                <w:noProof/>
                <w:sz w:val="22"/>
                <w:szCs w:val="22"/>
                <w:lang w:val="sr-Latn-ME"/>
              </w:rPr>
              <w:t xml:space="preserve"> </w:t>
            </w:r>
            <w:r w:rsidRPr="00B82EF7">
              <w:rPr>
                <w:rFonts w:asciiTheme="majorBidi" w:hAnsiTheme="majorBidi" w:cstheme="majorBidi"/>
                <w:b/>
                <w:noProof/>
                <w:sz w:val="22"/>
                <w:szCs w:val="22"/>
                <w:lang w:val="sr-Latn-ME"/>
              </w:rPr>
              <w:t>trombocitopenija</w:t>
            </w:r>
          </w:p>
        </w:tc>
        <w:tc>
          <w:tcPr>
            <w:tcW w:w="948" w:type="pct"/>
          </w:tcPr>
          <w:p w14:paraId="09208AB3" w14:textId="77777777" w:rsidR="004E2355" w:rsidRPr="00B82EF7" w:rsidRDefault="004E2355" w:rsidP="004E2355">
            <w:pPr>
              <w:spacing w:after="120"/>
              <w:ind w:left="-16" w:right="-20"/>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Povremeno: </w:t>
            </w:r>
            <w:r w:rsidRPr="00B82EF7">
              <w:rPr>
                <w:rFonts w:asciiTheme="majorBidi" w:hAnsiTheme="majorBidi" w:cstheme="majorBidi"/>
                <w:b/>
                <w:noProof/>
                <w:sz w:val="22"/>
                <w:szCs w:val="22"/>
                <w:lang w:val="sr-Latn-ME"/>
              </w:rPr>
              <w:t>trombocitopenija</w:t>
            </w:r>
          </w:p>
        </w:tc>
        <w:tc>
          <w:tcPr>
            <w:tcW w:w="600" w:type="pct"/>
          </w:tcPr>
          <w:p w14:paraId="4075BBC3" w14:textId="33B1AA59" w:rsidR="004E2355" w:rsidRPr="00B82EF7" w:rsidRDefault="004E2355" w:rsidP="004E2355">
            <w:pPr>
              <w:spacing w:after="120"/>
              <w:ind w:left="-16" w:right="-104"/>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 xml:space="preserve">Često: </w:t>
            </w:r>
            <w:r w:rsidRPr="00B82EF7">
              <w:rPr>
                <w:rFonts w:asciiTheme="majorBidi" w:hAnsiTheme="majorBidi" w:cstheme="majorBidi"/>
                <w:b/>
                <w:noProof/>
                <w:sz w:val="22"/>
                <w:szCs w:val="22"/>
                <w:lang w:val="sr-Latn-ME"/>
              </w:rPr>
              <w:t>trombocit</w:t>
            </w:r>
            <w:r w:rsidR="00B531D5"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oza</w:t>
            </w:r>
            <w:r w:rsidRPr="00B82EF7">
              <w:rPr>
                <w:rFonts w:asciiTheme="majorBidi" w:hAnsiTheme="majorBidi" w:cstheme="majorBidi"/>
                <w:b/>
                <w:noProof/>
                <w:sz w:val="22"/>
                <w:szCs w:val="22"/>
                <w:vertAlign w:val="superscript"/>
                <w:lang w:val="sr-Latn-ME"/>
              </w:rPr>
              <w:t>β</w:t>
            </w:r>
            <w:r w:rsidRPr="00B82EF7">
              <w:rPr>
                <w:rFonts w:asciiTheme="majorBidi" w:hAnsiTheme="majorBidi" w:cstheme="majorBidi"/>
                <w:b/>
                <w:noProof/>
                <w:sz w:val="22"/>
                <w:szCs w:val="22"/>
                <w:lang w:val="sr-Latn-ME"/>
              </w:rPr>
              <w:t>, trombocit</w:t>
            </w:r>
            <w:r w:rsidR="00B531D5"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openija</w:t>
            </w:r>
          </w:p>
          <w:p w14:paraId="7FB0ED4B" w14:textId="13F3B92A" w:rsidR="004E2355" w:rsidRPr="00B82EF7" w:rsidRDefault="004E2355" w:rsidP="004E2355">
            <w:pPr>
              <w:spacing w:after="120"/>
              <w:ind w:left="-16" w:right="-104"/>
              <w:rPr>
                <w:rFonts w:asciiTheme="majorBidi" w:hAnsiTheme="majorBidi" w:cstheme="majorBidi"/>
                <w:noProof/>
                <w:sz w:val="22"/>
                <w:szCs w:val="22"/>
                <w:lang w:val="sr-Latn-ME"/>
              </w:rPr>
            </w:pPr>
            <w:r w:rsidRPr="00B82EF7">
              <w:rPr>
                <w:rFonts w:asciiTheme="majorBidi" w:hAnsiTheme="majorBidi" w:cstheme="majorBidi"/>
                <w:i/>
                <w:noProof/>
                <w:sz w:val="22"/>
                <w:szCs w:val="22"/>
                <w:lang w:val="sr-Latn-ME"/>
              </w:rPr>
              <w:t>Veoma r</w:t>
            </w:r>
            <w:r w:rsidR="00AF35C0" w:rsidRPr="00B82EF7">
              <w:rPr>
                <w:rFonts w:asciiTheme="majorBidi" w:hAnsiTheme="majorBidi" w:cstheme="majorBidi"/>
                <w:i/>
                <w:noProof/>
                <w:sz w:val="22"/>
                <w:szCs w:val="22"/>
                <w:lang w:val="sr-Latn-ME"/>
              </w:rPr>
              <w:t>ij</w:t>
            </w:r>
            <w:r w:rsidRPr="00B82EF7">
              <w:rPr>
                <w:rFonts w:asciiTheme="majorBidi" w:hAnsiTheme="majorBidi" w:cstheme="majorBidi"/>
                <w:i/>
                <w:noProof/>
                <w:sz w:val="22"/>
                <w:szCs w:val="22"/>
                <w:lang w:val="sr-Latn-ME"/>
              </w:rPr>
              <w:t xml:space="preserve">etko: </w:t>
            </w:r>
            <w:r w:rsidRPr="00B82EF7">
              <w:rPr>
                <w:rFonts w:asciiTheme="majorBidi" w:hAnsiTheme="majorBidi" w:cstheme="majorBidi"/>
                <w:b/>
                <w:noProof/>
                <w:sz w:val="22"/>
                <w:szCs w:val="22"/>
                <w:lang w:val="sr-Latn-ME"/>
              </w:rPr>
              <w:t>imunoale</w:t>
            </w:r>
            <w:r w:rsidR="00B531D5"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rgijska trombocit</w:t>
            </w:r>
            <w:r w:rsidR="00B531D5" w:rsidRPr="00B82EF7">
              <w:rPr>
                <w:rFonts w:asciiTheme="majorBidi" w:hAnsiTheme="majorBidi" w:cstheme="majorBidi"/>
                <w:b/>
                <w:noProof/>
                <w:sz w:val="22"/>
                <w:szCs w:val="22"/>
                <w:lang w:val="sr-Latn-ME"/>
              </w:rPr>
              <w:t>-</w:t>
            </w:r>
            <w:r w:rsidRPr="00B82EF7">
              <w:rPr>
                <w:rFonts w:asciiTheme="majorBidi" w:hAnsiTheme="majorBidi" w:cstheme="majorBidi"/>
                <w:b/>
                <w:noProof/>
                <w:sz w:val="22"/>
                <w:szCs w:val="22"/>
                <w:lang w:val="sr-Latn-ME"/>
              </w:rPr>
              <w:t>openija</w:t>
            </w:r>
          </w:p>
        </w:tc>
      </w:tr>
    </w:tbl>
    <w:p w14:paraId="420DD261" w14:textId="18DA2E38"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b/>
          <w:bCs/>
          <w:noProof/>
          <w:sz w:val="22"/>
          <w:szCs w:val="22"/>
          <w:vertAlign w:val="superscript"/>
          <w:lang w:val="sr-Latn-ME"/>
        </w:rPr>
        <w:t>β</w:t>
      </w:r>
      <w:r w:rsidRPr="00B82EF7">
        <w:rPr>
          <w:rFonts w:asciiTheme="majorBidi" w:hAnsiTheme="majorBidi" w:cstheme="majorBidi"/>
          <w:noProof/>
          <w:sz w:val="22"/>
          <w:szCs w:val="22"/>
          <w:lang w:val="sr-Latn-ME"/>
        </w:rPr>
        <w:t>: Povećanje broja trombocita &gt;400 G/</w:t>
      </w:r>
      <w:r w:rsidR="00D62E31" w:rsidRPr="00B82EF7">
        <w:rPr>
          <w:rFonts w:asciiTheme="majorBidi" w:hAnsiTheme="majorBidi" w:cstheme="majorBidi"/>
          <w:noProof/>
          <w:sz w:val="22"/>
          <w:szCs w:val="22"/>
          <w:lang w:val="sr-Latn-ME"/>
        </w:rPr>
        <w:t>l</w:t>
      </w:r>
    </w:p>
    <w:p w14:paraId="274CBC97" w14:textId="77777777" w:rsidR="004E2355" w:rsidRPr="00B82EF7" w:rsidRDefault="004E2355" w:rsidP="004E2355">
      <w:pPr>
        <w:tabs>
          <w:tab w:val="left" w:pos="284"/>
        </w:tabs>
        <w:jc w:val="both"/>
        <w:rPr>
          <w:rFonts w:asciiTheme="majorBidi" w:hAnsiTheme="majorBidi" w:cstheme="majorBidi"/>
          <w:noProof/>
          <w:sz w:val="22"/>
          <w:szCs w:val="22"/>
          <w:lang w:val="sr-Latn-ME"/>
        </w:rPr>
      </w:pPr>
    </w:p>
    <w:p w14:paraId="45EBAF2B" w14:textId="77777777" w:rsidR="004E2355" w:rsidRPr="00B82EF7" w:rsidRDefault="004E2355" w:rsidP="004D148D">
      <w:pPr>
        <w:tabs>
          <w:tab w:val="left" w:pos="284"/>
        </w:tabs>
        <w:spacing w:after="120"/>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Pedijatrijska populacija </w:t>
      </w:r>
    </w:p>
    <w:p w14:paraId="7DABD4F1" w14:textId="4F735B54" w:rsidR="004E2355" w:rsidRPr="00B82EF7" w:rsidRDefault="00B36F6D" w:rsidP="00C36CDC">
      <w:pPr>
        <w:tabs>
          <w:tab w:val="left" w:pos="540"/>
          <w:tab w:val="left" w:pos="569"/>
        </w:tabs>
        <w:jc w:val="both"/>
        <w:rPr>
          <w:rFonts w:asciiTheme="majorBidi" w:hAnsiTheme="majorBidi" w:cstheme="majorBidi"/>
          <w:noProof/>
          <w:sz w:val="22"/>
          <w:szCs w:val="22"/>
          <w:lang w:val="sr-Latn-ME"/>
        </w:rPr>
      </w:pPr>
      <w:r w:rsidRPr="00B82EF7">
        <w:rPr>
          <w:rFonts w:asciiTheme="majorBidi" w:hAnsiTheme="majorBidi" w:cstheme="majorBidi"/>
          <w:bCs/>
          <w:noProof/>
          <w:sz w:val="22"/>
          <w:szCs w:val="22"/>
          <w:lang w:val="sr-Latn-ME"/>
        </w:rPr>
        <w:t>Bezbjednost</w:t>
      </w:r>
      <w:r w:rsidR="004E2355" w:rsidRPr="00B82EF7">
        <w:rPr>
          <w:rFonts w:asciiTheme="majorBidi" w:hAnsiTheme="majorBidi" w:cstheme="majorBidi"/>
          <w:bCs/>
          <w:noProof/>
          <w:sz w:val="22"/>
          <w:szCs w:val="22"/>
          <w:lang w:val="sr-Latn-ME"/>
        </w:rPr>
        <w:t xml:space="preserve"> i efikasnost enoksaparin</w:t>
      </w:r>
      <w:r w:rsidR="00A13685" w:rsidRPr="00B82EF7">
        <w:rPr>
          <w:rFonts w:asciiTheme="majorBidi" w:hAnsiTheme="majorBidi" w:cstheme="majorBidi"/>
          <w:bCs/>
          <w:noProof/>
          <w:sz w:val="22"/>
          <w:szCs w:val="22"/>
          <w:lang w:val="sr-Latn-ME"/>
        </w:rPr>
        <w:t xml:space="preserve"> </w:t>
      </w:r>
      <w:r w:rsidR="004E2355" w:rsidRPr="00B82EF7">
        <w:rPr>
          <w:rFonts w:asciiTheme="majorBidi" w:hAnsiTheme="majorBidi" w:cstheme="majorBidi"/>
          <w:bCs/>
          <w:noProof/>
          <w:sz w:val="22"/>
          <w:szCs w:val="22"/>
          <w:lang w:val="sr-Latn-ME"/>
        </w:rPr>
        <w:t>natrijuma u pedijatriskoj populaciji ni</w:t>
      </w:r>
      <w:r w:rsidR="004809E2" w:rsidRPr="00B82EF7">
        <w:rPr>
          <w:rFonts w:asciiTheme="majorBidi" w:hAnsiTheme="majorBidi" w:cstheme="majorBidi"/>
          <w:bCs/>
          <w:noProof/>
          <w:sz w:val="22"/>
          <w:szCs w:val="22"/>
          <w:lang w:val="sr-Latn-ME"/>
        </w:rPr>
        <w:t>je</w:t>
      </w:r>
      <w:r w:rsidR="004E2355" w:rsidRPr="00B82EF7">
        <w:rPr>
          <w:rFonts w:asciiTheme="majorBidi" w:hAnsiTheme="majorBidi" w:cstheme="majorBidi"/>
          <w:bCs/>
          <w:noProof/>
          <w:sz w:val="22"/>
          <w:szCs w:val="22"/>
          <w:lang w:val="sr-Latn-ME"/>
        </w:rPr>
        <w:t xml:space="preserve">su ustanovljene </w:t>
      </w:r>
      <w:r w:rsidR="004E2355" w:rsidRPr="00B82EF7">
        <w:rPr>
          <w:rFonts w:asciiTheme="majorBidi" w:hAnsiTheme="majorBidi" w:cstheme="majorBidi"/>
          <w:noProof/>
          <w:sz w:val="22"/>
          <w:szCs w:val="22"/>
          <w:lang w:val="sr-Latn-ME"/>
        </w:rPr>
        <w:t>(</w:t>
      </w:r>
      <w:r w:rsidRPr="00B82EF7">
        <w:rPr>
          <w:rFonts w:asciiTheme="majorBidi" w:hAnsiTheme="majorBidi" w:cstheme="majorBidi"/>
          <w:noProof/>
          <w:sz w:val="22"/>
          <w:szCs w:val="22"/>
          <w:lang w:val="sr-Latn-ME"/>
        </w:rPr>
        <w:t>vidjeti odjeljak</w:t>
      </w:r>
      <w:r w:rsidR="004E2355" w:rsidRPr="00B82EF7">
        <w:rPr>
          <w:rFonts w:asciiTheme="majorBidi" w:hAnsiTheme="majorBidi" w:cstheme="majorBidi"/>
          <w:noProof/>
          <w:sz w:val="22"/>
          <w:szCs w:val="22"/>
          <w:lang w:val="sr-Latn-ME"/>
        </w:rPr>
        <w:t xml:space="preserve"> 4.2).</w:t>
      </w:r>
    </w:p>
    <w:p w14:paraId="441516F7" w14:textId="77777777" w:rsidR="004E2355" w:rsidRPr="00B82EF7" w:rsidRDefault="004E2355" w:rsidP="00F131CD">
      <w:pPr>
        <w:tabs>
          <w:tab w:val="left" w:pos="540"/>
          <w:tab w:val="left" w:pos="569"/>
        </w:tabs>
        <w:jc w:val="both"/>
        <w:rPr>
          <w:rFonts w:asciiTheme="majorBidi" w:hAnsiTheme="majorBidi" w:cstheme="majorBidi"/>
          <w:b/>
          <w:bCs/>
          <w:sz w:val="22"/>
          <w:szCs w:val="22"/>
          <w:lang w:val="sr-Latn-ME"/>
        </w:rPr>
      </w:pPr>
    </w:p>
    <w:p w14:paraId="781ECD7B" w14:textId="77777777" w:rsidR="005A23D2" w:rsidRPr="00B82EF7" w:rsidRDefault="005A23D2" w:rsidP="00F131CD">
      <w:pPr>
        <w:spacing w:after="200" w:line="276" w:lineRule="auto"/>
        <w:jc w:val="both"/>
        <w:rPr>
          <w:rFonts w:asciiTheme="majorBidi" w:eastAsia="Calibri" w:hAnsiTheme="majorBidi" w:cstheme="majorBidi"/>
          <w:sz w:val="22"/>
          <w:szCs w:val="22"/>
          <w:u w:val="single"/>
          <w:lang w:val="sr-Latn-ME"/>
        </w:rPr>
      </w:pPr>
      <w:r w:rsidRPr="00B82EF7">
        <w:rPr>
          <w:rFonts w:asciiTheme="majorBidi" w:eastAsia="Calibri" w:hAnsiTheme="majorBidi" w:cstheme="majorBidi"/>
          <w:sz w:val="22"/>
          <w:szCs w:val="22"/>
          <w:u w:val="single"/>
          <w:lang w:val="sr-Latn-ME"/>
        </w:rPr>
        <w:t>Prijavljivanje sumnji na neželjena dejstva</w:t>
      </w:r>
    </w:p>
    <w:p w14:paraId="50BDDA06" w14:textId="77777777" w:rsidR="005A23D2" w:rsidRPr="00B82EF7" w:rsidRDefault="005A23D2" w:rsidP="004D148D">
      <w:pPr>
        <w:spacing w:after="200"/>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Prijavljivanje neželjenih dejstava nakon dobijanja dozvole je od velikog značaja jer obezbjeđuje kont</w:t>
      </w:r>
      <w:r w:rsidR="00EA5765" w:rsidRPr="00B82EF7">
        <w:rPr>
          <w:rFonts w:asciiTheme="majorBidi" w:eastAsia="Calibri" w:hAnsiTheme="majorBidi" w:cstheme="majorBidi"/>
          <w:sz w:val="22"/>
          <w:szCs w:val="22"/>
          <w:lang w:val="sr-Latn-ME"/>
        </w:rPr>
        <w:t>inuirano praćenje odnosa korist</w:t>
      </w:r>
      <w:r w:rsidRPr="00B82EF7">
        <w:rPr>
          <w:rFonts w:asciiTheme="majorBidi" w:eastAsia="Calibri" w:hAnsiTheme="majorBidi" w:cstheme="majorBidi"/>
          <w:sz w:val="22"/>
          <w:szCs w:val="22"/>
          <w:lang w:val="sr-Latn-ME"/>
        </w:rPr>
        <w:t>/rizik primjene lijeka. Zdravstveni radnici treba da prijave svaku sumnju na neželjeno</w:t>
      </w:r>
      <w:r w:rsidR="009B062A" w:rsidRPr="00B82EF7">
        <w:rPr>
          <w:rFonts w:asciiTheme="majorBidi" w:eastAsia="Calibri" w:hAnsiTheme="majorBidi" w:cstheme="majorBidi"/>
          <w:sz w:val="22"/>
          <w:szCs w:val="22"/>
          <w:lang w:val="sr-Latn-ME"/>
        </w:rPr>
        <w:t xml:space="preserve"> </w:t>
      </w:r>
      <w:r w:rsidRPr="00B82EF7">
        <w:rPr>
          <w:rFonts w:asciiTheme="majorBidi" w:eastAsia="Calibri" w:hAnsiTheme="majorBidi" w:cstheme="majorBidi"/>
          <w:sz w:val="22"/>
          <w:szCs w:val="22"/>
          <w:lang w:val="sr-Latn-ME"/>
        </w:rPr>
        <w:t xml:space="preserve">dejstvo ovog lijeka </w:t>
      </w:r>
      <w:r w:rsidR="004E70AD" w:rsidRPr="00B82EF7">
        <w:rPr>
          <w:rFonts w:asciiTheme="majorBidi" w:eastAsia="Calibri" w:hAnsiTheme="majorBidi" w:cstheme="majorBidi"/>
          <w:sz w:val="22"/>
          <w:szCs w:val="22"/>
          <w:lang w:val="sr-Latn-ME"/>
        </w:rPr>
        <w:t>Institutu</w:t>
      </w:r>
      <w:r w:rsidRPr="00B82EF7">
        <w:rPr>
          <w:rFonts w:asciiTheme="majorBidi" w:eastAsia="Calibri" w:hAnsiTheme="majorBidi" w:cstheme="majorBidi"/>
          <w:sz w:val="22"/>
          <w:szCs w:val="22"/>
          <w:lang w:val="sr-Latn-ME"/>
        </w:rPr>
        <w:t xml:space="preserve"> za ljekove i medicinska sredstva</w:t>
      </w:r>
      <w:r w:rsidR="004E70AD" w:rsidRPr="00B82EF7">
        <w:rPr>
          <w:rFonts w:asciiTheme="majorBidi" w:eastAsia="Calibri" w:hAnsiTheme="majorBidi" w:cstheme="majorBidi"/>
          <w:sz w:val="22"/>
          <w:szCs w:val="22"/>
          <w:lang w:val="sr-Latn-ME"/>
        </w:rPr>
        <w:t xml:space="preserve"> </w:t>
      </w:r>
      <w:r w:rsidRPr="00B82EF7">
        <w:rPr>
          <w:rFonts w:asciiTheme="majorBidi" w:eastAsia="Calibri" w:hAnsiTheme="majorBidi" w:cstheme="majorBidi"/>
          <w:sz w:val="22"/>
          <w:szCs w:val="22"/>
          <w:lang w:val="sr-Latn-ME"/>
        </w:rPr>
        <w:t>(</w:t>
      </w:r>
      <w:r w:rsidR="004E70AD" w:rsidRPr="00B82EF7">
        <w:rPr>
          <w:rFonts w:asciiTheme="majorBidi" w:eastAsia="Calibri" w:hAnsiTheme="majorBidi" w:cstheme="majorBidi"/>
          <w:sz w:val="22"/>
          <w:szCs w:val="22"/>
          <w:lang w:val="sr-Latn-ME"/>
        </w:rPr>
        <w:t>CInMED</w:t>
      </w:r>
      <w:r w:rsidRPr="00B82EF7">
        <w:rPr>
          <w:rFonts w:asciiTheme="majorBidi" w:eastAsia="Calibri" w:hAnsiTheme="majorBidi" w:cstheme="majorBidi"/>
          <w:sz w:val="22"/>
          <w:szCs w:val="22"/>
          <w:lang w:val="sr-Latn-ME"/>
        </w:rPr>
        <w:t>):</w:t>
      </w:r>
    </w:p>
    <w:p w14:paraId="1E61F937" w14:textId="77777777" w:rsidR="005A23D2" w:rsidRPr="00B82EF7" w:rsidRDefault="004E70AD" w:rsidP="00C36CDC">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 xml:space="preserve">Institut </w:t>
      </w:r>
      <w:r w:rsidR="005A23D2" w:rsidRPr="00B82EF7">
        <w:rPr>
          <w:rFonts w:asciiTheme="majorBidi" w:eastAsia="Calibri" w:hAnsiTheme="majorBidi" w:cstheme="majorBidi"/>
          <w:sz w:val="22"/>
          <w:szCs w:val="22"/>
          <w:lang w:val="sr-Latn-ME"/>
        </w:rPr>
        <w:t xml:space="preserve">za ljekove i medicinska sredstva </w:t>
      </w:r>
    </w:p>
    <w:p w14:paraId="2FA26F13" w14:textId="77777777" w:rsidR="005A23D2" w:rsidRPr="00B82EF7" w:rsidRDefault="005A23D2">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Odjeljenje za farmakovigilancu</w:t>
      </w:r>
    </w:p>
    <w:p w14:paraId="058BF94F" w14:textId="77777777" w:rsidR="00EA5765" w:rsidRPr="00B82EF7" w:rsidRDefault="005A23D2">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Bulevar Ivana Crnojevića 64a, 81000 Podgorica</w:t>
      </w:r>
    </w:p>
    <w:p w14:paraId="0E1BAB35" w14:textId="77777777" w:rsidR="005A23D2" w:rsidRPr="00B82EF7" w:rsidRDefault="005A23D2" w:rsidP="00A46C9A">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lastRenderedPageBreak/>
        <w:t>tel: +382 (0) 20 310 280</w:t>
      </w:r>
    </w:p>
    <w:p w14:paraId="5683C6A7" w14:textId="77777777" w:rsidR="00EA5765" w:rsidRPr="00B82EF7" w:rsidRDefault="005A23D2" w:rsidP="00A46C9A">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fax:</w:t>
      </w:r>
      <w:r w:rsidR="00EA5765" w:rsidRPr="00B82EF7">
        <w:rPr>
          <w:rFonts w:asciiTheme="majorBidi" w:eastAsia="Calibri" w:hAnsiTheme="majorBidi" w:cstheme="majorBidi"/>
          <w:sz w:val="22"/>
          <w:szCs w:val="22"/>
          <w:lang w:val="sr-Latn-ME"/>
        </w:rPr>
        <w:t xml:space="preserve"> </w:t>
      </w:r>
      <w:r w:rsidRPr="00B82EF7">
        <w:rPr>
          <w:rFonts w:asciiTheme="majorBidi" w:eastAsia="Calibri" w:hAnsiTheme="majorBidi" w:cstheme="majorBidi"/>
          <w:sz w:val="22"/>
          <w:szCs w:val="22"/>
          <w:lang w:val="sr-Latn-ME"/>
        </w:rPr>
        <w:t>+382 (0) 20 310 581</w:t>
      </w:r>
    </w:p>
    <w:p w14:paraId="1868C991" w14:textId="77777777" w:rsidR="005A23D2" w:rsidRPr="00B82EF7" w:rsidRDefault="005036F8" w:rsidP="00A46C9A">
      <w:pPr>
        <w:pStyle w:val="NoSpacing"/>
        <w:jc w:val="both"/>
        <w:rPr>
          <w:rFonts w:asciiTheme="majorBidi" w:eastAsia="Calibri" w:hAnsiTheme="majorBidi" w:cstheme="majorBidi"/>
          <w:sz w:val="22"/>
          <w:szCs w:val="22"/>
          <w:lang w:val="sr-Latn-ME"/>
        </w:rPr>
      </w:pPr>
      <w:hyperlink r:id="rId8" w:history="1">
        <w:r w:rsidR="004E70AD" w:rsidRPr="00B82EF7">
          <w:rPr>
            <w:rStyle w:val="Hyperlink"/>
            <w:rFonts w:asciiTheme="majorBidi" w:eastAsia="Calibri" w:hAnsiTheme="majorBidi" w:cstheme="majorBidi"/>
            <w:sz w:val="22"/>
            <w:szCs w:val="22"/>
            <w:lang w:val="sr-Latn-ME"/>
          </w:rPr>
          <w:t>www.cinmed.me</w:t>
        </w:r>
      </w:hyperlink>
    </w:p>
    <w:p w14:paraId="07096B70" w14:textId="77777777" w:rsidR="00EA5765" w:rsidRPr="00B82EF7" w:rsidRDefault="005036F8" w:rsidP="00A46C9A">
      <w:pPr>
        <w:pStyle w:val="NoSpacing"/>
        <w:jc w:val="both"/>
        <w:rPr>
          <w:rFonts w:asciiTheme="majorBidi" w:eastAsia="Calibri" w:hAnsiTheme="majorBidi" w:cstheme="majorBidi"/>
          <w:color w:val="0000FF"/>
          <w:sz w:val="22"/>
          <w:szCs w:val="22"/>
          <w:u w:val="single"/>
          <w:lang w:val="sr-Latn-ME"/>
        </w:rPr>
      </w:pPr>
      <w:hyperlink r:id="rId9" w:history="1">
        <w:r w:rsidR="004E70AD" w:rsidRPr="00B82EF7">
          <w:rPr>
            <w:rStyle w:val="Hyperlink"/>
            <w:rFonts w:asciiTheme="majorBidi" w:eastAsia="Calibri" w:hAnsiTheme="majorBidi" w:cstheme="majorBidi"/>
            <w:sz w:val="22"/>
            <w:szCs w:val="22"/>
            <w:lang w:val="sr-Latn-ME"/>
          </w:rPr>
          <w:t>nezeljenadejstva@cinmed.me</w:t>
        </w:r>
      </w:hyperlink>
    </w:p>
    <w:p w14:paraId="0F6B5E2A" w14:textId="77777777" w:rsidR="005A23D2" w:rsidRPr="00B82EF7" w:rsidRDefault="005A23D2" w:rsidP="00A46C9A">
      <w:pPr>
        <w:pStyle w:val="NoSpacing"/>
        <w:jc w:val="both"/>
        <w:rPr>
          <w:rFonts w:asciiTheme="majorBidi" w:eastAsia="Calibri" w:hAnsiTheme="majorBidi" w:cstheme="majorBidi"/>
          <w:sz w:val="22"/>
          <w:szCs w:val="22"/>
          <w:lang w:val="sr-Latn-ME"/>
        </w:rPr>
      </w:pPr>
      <w:r w:rsidRPr="00B82EF7">
        <w:rPr>
          <w:rFonts w:asciiTheme="majorBidi" w:eastAsia="Calibri" w:hAnsiTheme="majorBidi" w:cstheme="majorBidi"/>
          <w:sz w:val="22"/>
          <w:szCs w:val="22"/>
          <w:lang w:val="sr-Latn-ME"/>
        </w:rPr>
        <w:t>putem IS zdravstvene zaštite</w:t>
      </w:r>
    </w:p>
    <w:p w14:paraId="250826C2" w14:textId="77777777" w:rsidR="00836B35" w:rsidRPr="00B82EF7" w:rsidRDefault="00836B35" w:rsidP="00480FB1">
      <w:pPr>
        <w:tabs>
          <w:tab w:val="left" w:pos="540"/>
          <w:tab w:val="left" w:pos="569"/>
        </w:tabs>
        <w:rPr>
          <w:rFonts w:asciiTheme="majorBidi" w:hAnsiTheme="majorBidi" w:cstheme="majorBidi"/>
          <w:b/>
          <w:bCs/>
          <w:sz w:val="22"/>
          <w:szCs w:val="22"/>
          <w:lang w:val="sr-Latn-ME"/>
        </w:rPr>
      </w:pPr>
    </w:p>
    <w:p w14:paraId="44C3AE7A" w14:textId="77777777" w:rsidR="00CD6F02"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4.9.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Predoziranje</w:t>
      </w:r>
      <w:r w:rsidR="002846DB" w:rsidRPr="00B82EF7">
        <w:rPr>
          <w:rFonts w:asciiTheme="majorBidi" w:hAnsiTheme="majorBidi" w:cstheme="majorBidi"/>
          <w:b/>
          <w:bCs/>
          <w:sz w:val="22"/>
          <w:szCs w:val="22"/>
          <w:lang w:val="sr-Latn-ME"/>
        </w:rPr>
        <w:t xml:space="preserve"> </w:t>
      </w:r>
    </w:p>
    <w:p w14:paraId="22095B89" w14:textId="77777777" w:rsidR="00CD6F02" w:rsidRPr="00B82EF7" w:rsidRDefault="00CD6F02" w:rsidP="00F131CD">
      <w:pPr>
        <w:tabs>
          <w:tab w:val="left" w:pos="540"/>
          <w:tab w:val="left" w:pos="569"/>
        </w:tabs>
        <w:jc w:val="both"/>
        <w:rPr>
          <w:rFonts w:asciiTheme="majorBidi" w:hAnsiTheme="majorBidi" w:cstheme="majorBidi"/>
          <w:b/>
          <w:bCs/>
          <w:sz w:val="22"/>
          <w:szCs w:val="22"/>
          <w:lang w:val="sr-Latn-ME"/>
        </w:rPr>
      </w:pPr>
    </w:p>
    <w:p w14:paraId="5C0948BF" w14:textId="77777777" w:rsidR="004E2355" w:rsidRPr="00B82EF7" w:rsidRDefault="004E2355" w:rsidP="004D148D">
      <w:pPr>
        <w:tabs>
          <w:tab w:val="left" w:pos="284"/>
        </w:tabs>
        <w:spacing w:after="120"/>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Znaci i simptomi </w:t>
      </w:r>
    </w:p>
    <w:p w14:paraId="6B38A725" w14:textId="77777777" w:rsidR="004E2355" w:rsidRPr="00B82EF7" w:rsidRDefault="004E2355" w:rsidP="00C36CDC">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Sl</w:t>
      </w:r>
      <w:r w:rsidR="00A13685" w:rsidRPr="00B82EF7">
        <w:rPr>
          <w:rFonts w:asciiTheme="majorBidi" w:hAnsiTheme="majorBidi" w:cstheme="majorBidi"/>
          <w:noProof/>
          <w:sz w:val="22"/>
          <w:szCs w:val="22"/>
          <w:lang w:val="sr-Latn-ME"/>
        </w:rPr>
        <w:t xml:space="preserve">učajno predoziranje enoksaparin </w:t>
      </w:r>
      <w:r w:rsidRPr="00B82EF7">
        <w:rPr>
          <w:rFonts w:asciiTheme="majorBidi" w:hAnsiTheme="majorBidi" w:cstheme="majorBidi"/>
          <w:noProof/>
          <w:sz w:val="22"/>
          <w:szCs w:val="22"/>
          <w:lang w:val="sr-Latn-ME"/>
        </w:rPr>
        <w:t xml:space="preserve">natrijumom nakon intravenske, ekstrakorporalne ili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može dovesti do hemoragijskih komplikacija. Malo je v</w:t>
      </w:r>
      <w:r w:rsidR="00A13685" w:rsidRPr="00B82EF7">
        <w:rPr>
          <w:rFonts w:asciiTheme="majorBidi" w:hAnsiTheme="majorBidi" w:cstheme="majorBidi"/>
          <w:noProof/>
          <w:sz w:val="22"/>
          <w:szCs w:val="22"/>
          <w:lang w:val="sr-Latn-ME"/>
        </w:rPr>
        <w:t xml:space="preserve">jerovatno da će se enoksaparin </w:t>
      </w:r>
      <w:r w:rsidRPr="00B82EF7">
        <w:rPr>
          <w:rFonts w:asciiTheme="majorBidi" w:hAnsiTheme="majorBidi" w:cstheme="majorBidi"/>
          <w:noProof/>
          <w:sz w:val="22"/>
          <w:szCs w:val="22"/>
          <w:lang w:val="sr-Latn-ME"/>
        </w:rPr>
        <w:t xml:space="preserve">natrijum apsorbovati nakon peroralne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čak ni ako se </w:t>
      </w:r>
      <w:r w:rsidR="00B25BBD" w:rsidRPr="00B82EF7">
        <w:rPr>
          <w:rFonts w:asciiTheme="majorBidi" w:hAnsiTheme="majorBidi" w:cstheme="majorBidi"/>
          <w:noProof/>
          <w:sz w:val="22"/>
          <w:szCs w:val="22"/>
          <w:lang w:val="sr-Latn-ME"/>
        </w:rPr>
        <w:t>prim</w:t>
      </w:r>
      <w:r w:rsidR="00A13685" w:rsidRPr="00B82EF7">
        <w:rPr>
          <w:rFonts w:asciiTheme="majorBidi" w:hAnsiTheme="majorBidi" w:cstheme="majorBidi"/>
          <w:noProof/>
          <w:sz w:val="22"/>
          <w:szCs w:val="22"/>
          <w:lang w:val="sr-Latn-ME"/>
        </w:rPr>
        <w:t>i</w:t>
      </w:r>
      <w:r w:rsidR="00B25BBD" w:rsidRPr="00B82EF7">
        <w:rPr>
          <w:rFonts w:asciiTheme="majorBidi" w:hAnsiTheme="majorBidi" w:cstheme="majorBidi"/>
          <w:noProof/>
          <w:sz w:val="22"/>
          <w:szCs w:val="22"/>
          <w:lang w:val="sr-Latn-ME"/>
        </w:rPr>
        <w:t>jene</w:t>
      </w:r>
      <w:r w:rsidRPr="00B82EF7">
        <w:rPr>
          <w:rFonts w:asciiTheme="majorBidi" w:hAnsiTheme="majorBidi" w:cstheme="majorBidi"/>
          <w:noProof/>
          <w:sz w:val="22"/>
          <w:szCs w:val="22"/>
          <w:lang w:val="sr-Latn-ME"/>
        </w:rPr>
        <w:t xml:space="preserve"> visoke doze. </w:t>
      </w:r>
    </w:p>
    <w:p w14:paraId="77711586" w14:textId="77777777" w:rsidR="004E2355" w:rsidRPr="00B82EF7" w:rsidRDefault="004E2355" w:rsidP="00AD1D08">
      <w:pPr>
        <w:tabs>
          <w:tab w:val="left" w:pos="284"/>
        </w:tabs>
        <w:jc w:val="both"/>
        <w:rPr>
          <w:rFonts w:asciiTheme="majorBidi" w:hAnsiTheme="majorBidi" w:cstheme="majorBidi"/>
          <w:noProof/>
          <w:sz w:val="22"/>
          <w:szCs w:val="22"/>
          <w:lang w:val="sr-Latn-ME"/>
        </w:rPr>
      </w:pPr>
    </w:p>
    <w:p w14:paraId="4853A2DA" w14:textId="77777777" w:rsidR="004E2355" w:rsidRPr="00B82EF7" w:rsidRDefault="004E2355" w:rsidP="00AD1D08">
      <w:pPr>
        <w:tabs>
          <w:tab w:val="left" w:pos="284"/>
        </w:tabs>
        <w:spacing w:after="120"/>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Terapija </w:t>
      </w:r>
    </w:p>
    <w:p w14:paraId="4B9B51B2"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Antikoagulantna dejstva mogu se u velikoj m</w:t>
      </w:r>
      <w:r w:rsidR="00A1368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eri neutralisati sporom intravenskom injekcijom protamina. Doza protamina zavisi od doze enoksaparin</w:t>
      </w:r>
      <w:r w:rsidR="00A13685"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 xml:space="preserve">natrijuma koja je ubrizgana: </w:t>
      </w:r>
    </w:p>
    <w:p w14:paraId="209A04F7" w14:textId="77777777" w:rsidR="004E2355" w:rsidRPr="00B82EF7" w:rsidRDefault="00A13685">
      <w:pPr>
        <w:numPr>
          <w:ilvl w:val="0"/>
          <w:numId w:val="32"/>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Ako je enoksaparin </w:t>
      </w:r>
      <w:r w:rsidR="004E2355" w:rsidRPr="00B82EF7">
        <w:rPr>
          <w:rFonts w:asciiTheme="majorBidi" w:hAnsiTheme="majorBidi" w:cstheme="majorBidi"/>
          <w:noProof/>
          <w:sz w:val="22"/>
          <w:szCs w:val="22"/>
          <w:lang w:val="sr-Latn-ME"/>
        </w:rPr>
        <w:t>natrijum prim</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enjen u prethodnih 8 sati, 1 mg protamina neutrališe antikoagulantno dejstvo 100 i.j. (1 mg) en</w:t>
      </w:r>
      <w:r w:rsidRPr="00B82EF7">
        <w:rPr>
          <w:rFonts w:asciiTheme="majorBidi" w:hAnsiTheme="majorBidi" w:cstheme="majorBidi"/>
          <w:noProof/>
          <w:sz w:val="22"/>
          <w:szCs w:val="22"/>
          <w:lang w:val="sr-Latn-ME"/>
        </w:rPr>
        <w:t xml:space="preserve">oksaparin </w:t>
      </w:r>
      <w:r w:rsidR="004E2355" w:rsidRPr="00B82EF7">
        <w:rPr>
          <w:rFonts w:asciiTheme="majorBidi" w:hAnsiTheme="majorBidi" w:cstheme="majorBidi"/>
          <w:noProof/>
          <w:sz w:val="22"/>
          <w:szCs w:val="22"/>
          <w:lang w:val="sr-Latn-ME"/>
        </w:rPr>
        <w:t xml:space="preserve">natrijuma. </w:t>
      </w:r>
    </w:p>
    <w:p w14:paraId="4FBD2F67" w14:textId="77777777" w:rsidR="004E2355" w:rsidRPr="00B82EF7" w:rsidRDefault="00A13685">
      <w:pPr>
        <w:numPr>
          <w:ilvl w:val="0"/>
          <w:numId w:val="32"/>
        </w:numPr>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Ako je enoksaparin </w:t>
      </w:r>
      <w:r w:rsidR="004E2355" w:rsidRPr="00B82EF7">
        <w:rPr>
          <w:rFonts w:asciiTheme="majorBidi" w:hAnsiTheme="majorBidi" w:cstheme="majorBidi"/>
          <w:noProof/>
          <w:sz w:val="22"/>
          <w:szCs w:val="22"/>
          <w:lang w:val="sr-Latn-ME"/>
        </w:rPr>
        <w:t>natrijum prim</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enjen više od 8 sati pr</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 xml:space="preserve">e </w:t>
      </w:r>
      <w:r w:rsidR="00B25BBD" w:rsidRPr="00B82EF7">
        <w:rPr>
          <w:rFonts w:asciiTheme="majorBidi" w:hAnsiTheme="majorBidi" w:cstheme="majorBidi"/>
          <w:noProof/>
          <w:sz w:val="22"/>
          <w:szCs w:val="22"/>
          <w:lang w:val="sr-Latn-ME"/>
        </w:rPr>
        <w:t>primjene</w:t>
      </w:r>
      <w:r w:rsidR="004E2355" w:rsidRPr="00B82EF7">
        <w:rPr>
          <w:rFonts w:asciiTheme="majorBidi" w:hAnsiTheme="majorBidi" w:cstheme="majorBidi"/>
          <w:noProof/>
          <w:sz w:val="22"/>
          <w:szCs w:val="22"/>
          <w:lang w:val="sr-Latn-ME"/>
        </w:rPr>
        <w:t xml:space="preserve"> protamina ili ako se utvrdi da treba </w:t>
      </w:r>
      <w:r w:rsidR="00B25BBD" w:rsidRPr="00B82EF7">
        <w:rPr>
          <w:rFonts w:asciiTheme="majorBidi" w:hAnsiTheme="majorBidi" w:cstheme="majorBidi"/>
          <w:noProof/>
          <w:sz w:val="22"/>
          <w:szCs w:val="22"/>
          <w:lang w:val="sr-Latn-ME"/>
        </w:rPr>
        <w:t>primjeni</w:t>
      </w:r>
      <w:r w:rsidR="004E2355" w:rsidRPr="00B82EF7">
        <w:rPr>
          <w:rFonts w:asciiTheme="majorBidi" w:hAnsiTheme="majorBidi" w:cstheme="majorBidi"/>
          <w:noProof/>
          <w:sz w:val="22"/>
          <w:szCs w:val="22"/>
          <w:lang w:val="sr-Latn-ME"/>
        </w:rPr>
        <w:t xml:space="preserve">ti još jednu dozu protamina, može se </w:t>
      </w:r>
      <w:r w:rsidR="00B25BBD" w:rsidRPr="00B82EF7">
        <w:rPr>
          <w:rFonts w:asciiTheme="majorBidi" w:hAnsiTheme="majorBidi" w:cstheme="majorBidi"/>
          <w:noProof/>
          <w:sz w:val="22"/>
          <w:szCs w:val="22"/>
          <w:lang w:val="sr-Latn-ME"/>
        </w:rPr>
        <w:t>primjeni</w:t>
      </w:r>
      <w:r w:rsidR="004E2355" w:rsidRPr="00B82EF7">
        <w:rPr>
          <w:rFonts w:asciiTheme="majorBidi" w:hAnsiTheme="majorBidi" w:cstheme="majorBidi"/>
          <w:noProof/>
          <w:sz w:val="22"/>
          <w:szCs w:val="22"/>
          <w:lang w:val="sr-Latn-ME"/>
        </w:rPr>
        <w:t>ti infuzija 0,5 mg protamina</w:t>
      </w:r>
      <w:r w:rsidRPr="00B82EF7">
        <w:rPr>
          <w:rFonts w:asciiTheme="majorBidi" w:hAnsiTheme="majorBidi" w:cstheme="majorBidi"/>
          <w:noProof/>
          <w:sz w:val="22"/>
          <w:szCs w:val="22"/>
          <w:lang w:val="sr-Latn-ME"/>
        </w:rPr>
        <w:t xml:space="preserve"> na 100 i.j. (1 mg) enoksaparin </w:t>
      </w:r>
      <w:r w:rsidR="004E2355" w:rsidRPr="00B82EF7">
        <w:rPr>
          <w:rFonts w:asciiTheme="majorBidi" w:hAnsiTheme="majorBidi" w:cstheme="majorBidi"/>
          <w:noProof/>
          <w:sz w:val="22"/>
          <w:szCs w:val="22"/>
          <w:lang w:val="sr-Latn-ME"/>
        </w:rPr>
        <w:t xml:space="preserve">natrijuma. </w:t>
      </w:r>
    </w:p>
    <w:p w14:paraId="7F33C45C" w14:textId="0788791D" w:rsidR="004E2355" w:rsidRPr="00B82EF7" w:rsidRDefault="004E2355" w:rsidP="00F131CD">
      <w:pPr>
        <w:numPr>
          <w:ilvl w:val="0"/>
          <w:numId w:val="32"/>
        </w:numPr>
        <w:ind w:left="360"/>
        <w:contextualSpacing/>
        <w:jc w:val="both"/>
        <w:rPr>
          <w:rFonts w:asciiTheme="majorBidi" w:hAnsiTheme="majorBidi" w:cstheme="majorBidi"/>
          <w:b/>
          <w:bCs/>
          <w:sz w:val="22"/>
          <w:szCs w:val="22"/>
          <w:lang w:val="sr-Latn-ME"/>
        </w:rPr>
      </w:pPr>
      <w:r w:rsidRPr="00B82EF7">
        <w:rPr>
          <w:rFonts w:asciiTheme="majorBidi" w:hAnsiTheme="majorBidi" w:cstheme="majorBidi"/>
          <w:noProof/>
          <w:sz w:val="22"/>
          <w:szCs w:val="22"/>
          <w:lang w:val="sr-Latn-ME"/>
        </w:rPr>
        <w:t>Ako je</w:t>
      </w:r>
      <w:r w:rsidR="00A13685" w:rsidRPr="00B82EF7">
        <w:rPr>
          <w:rFonts w:asciiTheme="majorBidi" w:hAnsiTheme="majorBidi" w:cstheme="majorBidi"/>
          <w:noProof/>
          <w:sz w:val="22"/>
          <w:szCs w:val="22"/>
          <w:lang w:val="sr-Latn-ME"/>
        </w:rPr>
        <w:t xml:space="preserve"> od injekcije enoksaparin </w:t>
      </w:r>
      <w:r w:rsidRPr="00B82EF7">
        <w:rPr>
          <w:rFonts w:asciiTheme="majorBidi" w:hAnsiTheme="majorBidi" w:cstheme="majorBidi"/>
          <w:noProof/>
          <w:sz w:val="22"/>
          <w:szCs w:val="22"/>
          <w:lang w:val="sr-Latn-ME"/>
        </w:rPr>
        <w:t xml:space="preserve">natrijuma prošlo više od 12 sati, </w:t>
      </w:r>
      <w:r w:rsidR="00B25BBD" w:rsidRPr="00B82EF7">
        <w:rPr>
          <w:rFonts w:asciiTheme="majorBidi" w:hAnsiTheme="majorBidi" w:cstheme="majorBidi"/>
          <w:noProof/>
          <w:sz w:val="22"/>
          <w:szCs w:val="22"/>
          <w:lang w:val="sr-Latn-ME"/>
        </w:rPr>
        <w:t>primjena</w:t>
      </w:r>
      <w:r w:rsidRPr="00B82EF7">
        <w:rPr>
          <w:rFonts w:asciiTheme="majorBidi" w:hAnsiTheme="majorBidi" w:cstheme="majorBidi"/>
          <w:noProof/>
          <w:sz w:val="22"/>
          <w:szCs w:val="22"/>
          <w:lang w:val="sr-Latn-ME"/>
        </w:rPr>
        <w:t xml:space="preserve"> protamina možda neće ni biti potrebna. Međutim, čak i kada se </w:t>
      </w:r>
      <w:r w:rsidR="00B25BBD" w:rsidRPr="00B82EF7">
        <w:rPr>
          <w:rFonts w:asciiTheme="majorBidi" w:hAnsiTheme="majorBidi" w:cstheme="majorBidi"/>
          <w:noProof/>
          <w:sz w:val="22"/>
          <w:szCs w:val="22"/>
          <w:lang w:val="sr-Latn-ME"/>
        </w:rPr>
        <w:t>prim</w:t>
      </w:r>
      <w:r w:rsidR="00A13685" w:rsidRPr="00B82EF7">
        <w:rPr>
          <w:rFonts w:asciiTheme="majorBidi" w:hAnsiTheme="majorBidi" w:cstheme="majorBidi"/>
          <w:noProof/>
          <w:sz w:val="22"/>
          <w:szCs w:val="22"/>
          <w:lang w:val="sr-Latn-ME"/>
        </w:rPr>
        <w:t>i</w:t>
      </w:r>
      <w:r w:rsidR="00B25BBD" w:rsidRPr="00B82EF7">
        <w:rPr>
          <w:rFonts w:asciiTheme="majorBidi" w:hAnsiTheme="majorBidi" w:cstheme="majorBidi"/>
          <w:noProof/>
          <w:sz w:val="22"/>
          <w:szCs w:val="22"/>
          <w:lang w:val="sr-Latn-ME"/>
        </w:rPr>
        <w:t>jene</w:t>
      </w:r>
      <w:r w:rsidRPr="00B82EF7">
        <w:rPr>
          <w:rFonts w:asciiTheme="majorBidi" w:hAnsiTheme="majorBidi" w:cstheme="majorBidi"/>
          <w:noProof/>
          <w:sz w:val="22"/>
          <w:szCs w:val="22"/>
          <w:lang w:val="sr-Latn-ME"/>
        </w:rPr>
        <w:t xml:space="preserve"> visoke doze protamina, anti-Xa aktivnost enoksaparin</w:t>
      </w:r>
      <w:r w:rsidR="00A13685"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natrijuma nikada se u potpunosti ne neutrališe (maksimalno 60%) (vid</w:t>
      </w:r>
      <w:r w:rsidR="00A1368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eti informacije o l</w:t>
      </w:r>
      <w:r w:rsidR="00A1368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eku za soli protamina).</w:t>
      </w:r>
    </w:p>
    <w:p w14:paraId="000106FF" w14:textId="402BD2CC" w:rsidR="00227BDB" w:rsidRDefault="00227BDB" w:rsidP="00F131CD">
      <w:pPr>
        <w:tabs>
          <w:tab w:val="left" w:pos="540"/>
          <w:tab w:val="left" w:pos="569"/>
        </w:tabs>
        <w:jc w:val="both"/>
        <w:rPr>
          <w:rFonts w:asciiTheme="majorBidi" w:hAnsiTheme="majorBidi" w:cstheme="majorBidi"/>
          <w:b/>
          <w:bCs/>
          <w:sz w:val="22"/>
          <w:szCs w:val="22"/>
          <w:lang w:val="sr-Latn-ME"/>
        </w:rPr>
      </w:pPr>
    </w:p>
    <w:p w14:paraId="6C42C3E2" w14:textId="77777777" w:rsidR="00B82EF7" w:rsidRPr="00B82EF7" w:rsidRDefault="00B82EF7" w:rsidP="00F131CD">
      <w:pPr>
        <w:tabs>
          <w:tab w:val="left" w:pos="540"/>
          <w:tab w:val="left" w:pos="569"/>
        </w:tabs>
        <w:jc w:val="both"/>
        <w:rPr>
          <w:rFonts w:asciiTheme="majorBidi" w:hAnsiTheme="majorBidi" w:cstheme="majorBidi"/>
          <w:b/>
          <w:bCs/>
          <w:sz w:val="22"/>
          <w:szCs w:val="22"/>
          <w:lang w:val="sr-Latn-ME"/>
        </w:rPr>
      </w:pPr>
    </w:p>
    <w:p w14:paraId="427604A2"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5.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FARMAKOLOŠK</w:t>
      </w:r>
      <w:r w:rsidR="000D425A" w:rsidRPr="00B82EF7">
        <w:rPr>
          <w:rFonts w:asciiTheme="majorBidi" w:hAnsiTheme="majorBidi" w:cstheme="majorBidi"/>
          <w:b/>
          <w:bCs/>
          <w:sz w:val="22"/>
          <w:szCs w:val="22"/>
          <w:lang w:val="sr-Latn-ME"/>
        </w:rPr>
        <w:t>I</w:t>
      </w:r>
      <w:r w:rsidRPr="00B82EF7">
        <w:rPr>
          <w:rFonts w:asciiTheme="majorBidi" w:hAnsiTheme="majorBidi" w:cstheme="majorBidi"/>
          <w:b/>
          <w:bCs/>
          <w:sz w:val="22"/>
          <w:szCs w:val="22"/>
          <w:lang w:val="sr-Latn-ME"/>
        </w:rPr>
        <w:t xml:space="preserve"> PODACI</w:t>
      </w:r>
    </w:p>
    <w:p w14:paraId="449C83D5"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p>
    <w:p w14:paraId="437A66EF"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5.1.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Farmakodinamski podaci</w:t>
      </w:r>
      <w:r w:rsidR="003A7059" w:rsidRPr="00B82EF7">
        <w:rPr>
          <w:rFonts w:asciiTheme="majorBidi" w:hAnsiTheme="majorBidi" w:cstheme="majorBidi"/>
          <w:b/>
          <w:bCs/>
          <w:sz w:val="22"/>
          <w:szCs w:val="22"/>
          <w:lang w:val="sr-Latn-ME"/>
        </w:rPr>
        <w:t xml:space="preserve"> </w:t>
      </w:r>
    </w:p>
    <w:p w14:paraId="49CBAF86" w14:textId="77777777" w:rsidR="00F45F77" w:rsidRPr="00B82EF7" w:rsidRDefault="00F45F77" w:rsidP="00F131CD">
      <w:pPr>
        <w:tabs>
          <w:tab w:val="left" w:pos="540"/>
          <w:tab w:val="left" w:pos="569"/>
        </w:tabs>
        <w:jc w:val="both"/>
        <w:rPr>
          <w:rFonts w:asciiTheme="majorBidi" w:hAnsiTheme="majorBidi" w:cstheme="majorBidi"/>
          <w:b/>
          <w:bCs/>
          <w:sz w:val="22"/>
          <w:szCs w:val="22"/>
          <w:lang w:val="sr-Latn-ME"/>
        </w:rPr>
      </w:pPr>
    </w:p>
    <w:p w14:paraId="26197336" w14:textId="0C94EE96" w:rsidR="0072020E" w:rsidRPr="00B82EF7" w:rsidRDefault="0072020E" w:rsidP="00F131CD">
      <w:pPr>
        <w:tabs>
          <w:tab w:val="left" w:pos="540"/>
          <w:tab w:val="left" w:pos="569"/>
        </w:tabs>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Farmakoterapijska grupa:</w:t>
      </w:r>
      <w:r w:rsidR="004E2355" w:rsidRPr="00B82EF7">
        <w:rPr>
          <w:rFonts w:asciiTheme="majorBidi" w:hAnsiTheme="majorBidi" w:cstheme="majorBidi"/>
          <w:sz w:val="22"/>
          <w:szCs w:val="22"/>
          <w:lang w:val="sr-Latn-ME"/>
        </w:rPr>
        <w:t xml:space="preserve"> </w:t>
      </w:r>
      <w:r w:rsidR="006415C0" w:rsidRPr="00B82EF7">
        <w:rPr>
          <w:rFonts w:asciiTheme="majorBidi" w:hAnsiTheme="majorBidi" w:cstheme="majorBidi"/>
          <w:bCs/>
          <w:sz w:val="22"/>
          <w:szCs w:val="22"/>
          <w:lang w:val="sr-Latn-ME"/>
        </w:rPr>
        <w:t>A</w:t>
      </w:r>
      <w:r w:rsidR="004E2355" w:rsidRPr="00B82EF7">
        <w:rPr>
          <w:rFonts w:asciiTheme="majorBidi" w:hAnsiTheme="majorBidi" w:cstheme="majorBidi"/>
          <w:bCs/>
          <w:sz w:val="22"/>
          <w:szCs w:val="22"/>
          <w:lang w:val="sr-Latn-ME"/>
        </w:rPr>
        <w:t>ntitromboti</w:t>
      </w:r>
      <w:r w:rsidR="006415C0" w:rsidRPr="00B82EF7">
        <w:rPr>
          <w:rFonts w:asciiTheme="majorBidi" w:hAnsiTheme="majorBidi" w:cstheme="majorBidi"/>
          <w:bCs/>
          <w:sz w:val="22"/>
          <w:szCs w:val="22"/>
          <w:lang w:val="sr-Latn-ME"/>
        </w:rPr>
        <w:t>ci</w:t>
      </w:r>
      <w:r w:rsidR="004E2355" w:rsidRPr="00B82EF7">
        <w:rPr>
          <w:rFonts w:asciiTheme="majorBidi" w:hAnsiTheme="majorBidi" w:cstheme="majorBidi"/>
          <w:bCs/>
          <w:sz w:val="22"/>
          <w:szCs w:val="22"/>
          <w:lang w:val="sr-Latn-ME"/>
        </w:rPr>
        <w:t>, heparinsk</w:t>
      </w:r>
      <w:r w:rsidR="006415C0" w:rsidRPr="00B82EF7">
        <w:rPr>
          <w:rFonts w:asciiTheme="majorBidi" w:hAnsiTheme="majorBidi" w:cstheme="majorBidi"/>
          <w:bCs/>
          <w:sz w:val="22"/>
          <w:szCs w:val="22"/>
          <w:lang w:val="sr-Latn-ME"/>
        </w:rPr>
        <w:t>a grupa</w:t>
      </w:r>
    </w:p>
    <w:p w14:paraId="396595B1"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092C6E30"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ATC kod:</w:t>
      </w:r>
      <w:r w:rsidR="004E2355" w:rsidRPr="00B82EF7">
        <w:rPr>
          <w:rFonts w:asciiTheme="majorBidi" w:hAnsiTheme="majorBidi" w:cstheme="majorBidi"/>
          <w:sz w:val="22"/>
          <w:szCs w:val="22"/>
          <w:lang w:val="sr-Latn-ME"/>
        </w:rPr>
        <w:t xml:space="preserve"> </w:t>
      </w:r>
      <w:r w:rsidR="004E2355" w:rsidRPr="00B82EF7">
        <w:rPr>
          <w:rFonts w:asciiTheme="majorBidi" w:hAnsiTheme="majorBidi" w:cstheme="majorBidi"/>
          <w:bCs/>
          <w:sz w:val="22"/>
          <w:szCs w:val="22"/>
          <w:lang w:val="sr-Latn-ME"/>
        </w:rPr>
        <w:t>B01AB05</w:t>
      </w:r>
    </w:p>
    <w:p w14:paraId="088BD479" w14:textId="77777777" w:rsidR="002E37A5" w:rsidRPr="00B82EF7" w:rsidRDefault="002E37A5" w:rsidP="00F131CD">
      <w:pPr>
        <w:tabs>
          <w:tab w:val="left" w:pos="540"/>
          <w:tab w:val="left" w:pos="569"/>
        </w:tabs>
        <w:jc w:val="both"/>
        <w:rPr>
          <w:rFonts w:asciiTheme="majorBidi" w:hAnsiTheme="majorBidi" w:cstheme="majorBidi"/>
          <w:b/>
          <w:bCs/>
          <w:sz w:val="22"/>
          <w:szCs w:val="22"/>
          <w:lang w:val="sr-Latn-ME"/>
        </w:rPr>
      </w:pPr>
    </w:p>
    <w:p w14:paraId="605DE7C6" w14:textId="12F1B8FE" w:rsidR="00CA03A1" w:rsidRPr="00B82EF7" w:rsidRDefault="006415C0"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Lijek </w:t>
      </w:r>
      <w:r w:rsidR="00CA03A1" w:rsidRPr="00B82EF7">
        <w:rPr>
          <w:rFonts w:asciiTheme="majorBidi" w:hAnsiTheme="majorBidi" w:cstheme="majorBidi"/>
          <w:noProof/>
          <w:sz w:val="22"/>
          <w:szCs w:val="22"/>
          <w:lang w:val="sr-Latn-ME"/>
        </w:rPr>
        <w:t>Crusia je biološki sličan lijek.</w:t>
      </w:r>
    </w:p>
    <w:p w14:paraId="5AC92545" w14:textId="77777777" w:rsidR="00CA03A1" w:rsidRPr="00B82EF7" w:rsidRDefault="00CA03A1" w:rsidP="00C36CDC">
      <w:pPr>
        <w:tabs>
          <w:tab w:val="left" w:pos="284"/>
        </w:tabs>
        <w:jc w:val="both"/>
        <w:rPr>
          <w:rFonts w:asciiTheme="majorBidi" w:hAnsiTheme="majorBidi" w:cstheme="majorBidi"/>
          <w:noProof/>
          <w:sz w:val="22"/>
          <w:szCs w:val="22"/>
          <w:u w:val="single"/>
          <w:lang w:val="sr-Latn-ME"/>
        </w:rPr>
      </w:pPr>
    </w:p>
    <w:p w14:paraId="7762DFCC" w14:textId="64104CC4"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Farmakodinamska dejstva </w:t>
      </w:r>
    </w:p>
    <w:p w14:paraId="27309E01" w14:textId="17C7A1B3"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je heparin niske molekulske mase, sa srednjom m</w:t>
      </w:r>
      <w:r w:rsidR="00A13685" w:rsidRPr="00B82EF7">
        <w:rPr>
          <w:rFonts w:asciiTheme="majorBidi" w:hAnsiTheme="majorBidi" w:cstheme="majorBidi"/>
          <w:noProof/>
          <w:sz w:val="22"/>
          <w:szCs w:val="22"/>
          <w:lang w:val="sr-Latn-ME"/>
        </w:rPr>
        <w:t xml:space="preserve">olekulskom masom od približno 4 </w:t>
      </w:r>
      <w:r w:rsidRPr="00B82EF7">
        <w:rPr>
          <w:rFonts w:asciiTheme="majorBidi" w:hAnsiTheme="majorBidi" w:cstheme="majorBidi"/>
          <w:noProof/>
          <w:sz w:val="22"/>
          <w:szCs w:val="22"/>
          <w:lang w:val="sr-Latn-ME"/>
        </w:rPr>
        <w:t>500 daltona, u kome su antitrombotička i antikoagulantna aktivnost standardnog heparina razdvojene. Aktivn</w:t>
      </w:r>
      <w:r w:rsidR="006415C0" w:rsidRPr="00B82EF7">
        <w:rPr>
          <w:rFonts w:asciiTheme="majorBidi" w:hAnsiTheme="majorBidi" w:cstheme="majorBidi"/>
          <w:noProof/>
          <w:sz w:val="22"/>
          <w:szCs w:val="22"/>
          <w:lang w:val="sr-Latn-ME"/>
        </w:rPr>
        <w:t>a</w:t>
      </w:r>
      <w:r w:rsidRPr="00B82EF7">
        <w:rPr>
          <w:rFonts w:asciiTheme="majorBidi" w:hAnsiTheme="majorBidi" w:cstheme="majorBidi"/>
          <w:noProof/>
          <w:sz w:val="22"/>
          <w:szCs w:val="22"/>
          <w:lang w:val="sr-Latn-ME"/>
        </w:rPr>
        <w:t xml:space="preserve"> </w:t>
      </w:r>
      <w:r w:rsidR="006415C0" w:rsidRPr="00B82EF7">
        <w:rPr>
          <w:rFonts w:asciiTheme="majorBidi" w:hAnsiTheme="majorBidi" w:cstheme="majorBidi"/>
          <w:noProof/>
          <w:sz w:val="22"/>
          <w:szCs w:val="22"/>
          <w:lang w:val="sr-Latn-ME"/>
        </w:rPr>
        <w:t xml:space="preserve">supstanca </w:t>
      </w:r>
      <w:r w:rsidRPr="00B82EF7">
        <w:rPr>
          <w:rFonts w:asciiTheme="majorBidi" w:hAnsiTheme="majorBidi" w:cstheme="majorBidi"/>
          <w:noProof/>
          <w:sz w:val="22"/>
          <w:szCs w:val="22"/>
          <w:lang w:val="sr-Latn-ME"/>
        </w:rPr>
        <w:t xml:space="preserve">je natrijumova so. </w:t>
      </w:r>
    </w:p>
    <w:p w14:paraId="0F2A60D0" w14:textId="77777777" w:rsidR="00A13685" w:rsidRPr="00B82EF7" w:rsidRDefault="00A13685">
      <w:pPr>
        <w:tabs>
          <w:tab w:val="left" w:pos="284"/>
        </w:tabs>
        <w:jc w:val="both"/>
        <w:rPr>
          <w:rFonts w:asciiTheme="majorBidi" w:hAnsiTheme="majorBidi" w:cstheme="majorBidi"/>
          <w:noProof/>
          <w:sz w:val="22"/>
          <w:szCs w:val="22"/>
          <w:lang w:val="sr-Latn-ME"/>
        </w:rPr>
      </w:pPr>
    </w:p>
    <w:p w14:paraId="67D0B3DF"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U prečišćenom sistemu </w:t>
      </w:r>
      <w:r w:rsidRPr="00B82EF7">
        <w:rPr>
          <w:rFonts w:asciiTheme="majorBidi" w:hAnsiTheme="majorBidi" w:cstheme="majorBidi"/>
          <w:i/>
          <w:iCs/>
          <w:noProof/>
          <w:sz w:val="22"/>
          <w:szCs w:val="22"/>
          <w:lang w:val="sr-Latn-ME"/>
        </w:rPr>
        <w:t>in vitro</w:t>
      </w:r>
      <w:r w:rsidRPr="00B82EF7">
        <w:rPr>
          <w:rFonts w:asciiTheme="majorBidi" w:hAnsiTheme="majorBidi" w:cstheme="majorBidi"/>
          <w:noProof/>
          <w:sz w:val="22"/>
          <w:szCs w:val="22"/>
          <w:lang w:val="sr-Latn-ME"/>
        </w:rPr>
        <w:t>, enoksapar</w:t>
      </w:r>
      <w:r w:rsidR="00CA3AF0" w:rsidRPr="00B82EF7">
        <w:rPr>
          <w:rFonts w:asciiTheme="majorBidi" w:hAnsiTheme="majorBidi" w:cstheme="majorBidi"/>
          <w:noProof/>
          <w:sz w:val="22"/>
          <w:szCs w:val="22"/>
          <w:lang w:val="sr-Latn-ME"/>
        </w:rPr>
        <w:t xml:space="preserve">in </w:t>
      </w:r>
      <w:r w:rsidRPr="00B82EF7">
        <w:rPr>
          <w:rFonts w:asciiTheme="majorBidi" w:hAnsiTheme="majorBidi" w:cstheme="majorBidi"/>
          <w:noProof/>
          <w:sz w:val="22"/>
          <w:szCs w:val="22"/>
          <w:lang w:val="sr-Latn-ME"/>
        </w:rPr>
        <w:t xml:space="preserve">natrijum ostvaruje visoku anti-Xa aktivnost (približno 100 i.j./mg) i nisku anti-IIa ili antitrombinsku aktivnost (približno 28 i.j./mg), uz odnos od 3,6. Ove antikoagulantne aktivnosti su posredovane antitrombinom III (ATIII), što dovodi do antitrombotičke aktivnosti kod ljudi. </w:t>
      </w:r>
    </w:p>
    <w:p w14:paraId="4C916793" w14:textId="77777777" w:rsidR="00A13685" w:rsidRPr="00B82EF7" w:rsidRDefault="00A13685">
      <w:pPr>
        <w:tabs>
          <w:tab w:val="left" w:pos="284"/>
        </w:tabs>
        <w:jc w:val="both"/>
        <w:rPr>
          <w:rFonts w:asciiTheme="majorBidi" w:hAnsiTheme="majorBidi" w:cstheme="majorBidi"/>
          <w:noProof/>
          <w:sz w:val="22"/>
          <w:szCs w:val="22"/>
          <w:lang w:val="sr-Latn-ME"/>
        </w:rPr>
      </w:pPr>
    </w:p>
    <w:p w14:paraId="013F4C05" w14:textId="77777777" w:rsidR="00CA3AF0"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Osim anti-Xa i anti-IIa aktivnosti, kod zdravih ispitanika i pacijenata kao i na nekliničkim modelima utvrđena su i dodatna antitrombotička i antiinflamatorna svojstva enoksaparina. </w:t>
      </w:r>
    </w:p>
    <w:p w14:paraId="74541895" w14:textId="6092FC29"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Ona uključuju ATIII zavisnu inhibiciju drugih koagulacionih faktora, poput faktora VIIa, indukciju oslobađanja endogenog inhibitora aktivacije spoljašnjeg puta koagulacije (engl. </w:t>
      </w:r>
      <w:r w:rsidRPr="00B82EF7">
        <w:rPr>
          <w:rFonts w:asciiTheme="majorBidi" w:hAnsiTheme="majorBidi" w:cstheme="majorBidi"/>
          <w:i/>
          <w:iCs/>
          <w:noProof/>
          <w:sz w:val="22"/>
          <w:szCs w:val="22"/>
          <w:lang w:val="sr-Latn-ME"/>
        </w:rPr>
        <w:t>tissue factor pathway inhibitor</w:t>
      </w:r>
      <w:r w:rsidRPr="00B82EF7">
        <w:rPr>
          <w:rFonts w:asciiTheme="majorBidi" w:hAnsiTheme="majorBidi" w:cstheme="majorBidi"/>
          <w:noProof/>
          <w:sz w:val="22"/>
          <w:szCs w:val="22"/>
          <w:lang w:val="sr-Latn-ME"/>
        </w:rPr>
        <w:t xml:space="preserve">, TFPI), kao i smanjeno oslobađanje von Willebrand faktora (vWF) iz vaskularnog endotela u krvotok. Poznato je da ovi faktori doprinose sveukupnom antitrombotičkom dejstvu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w:t>
      </w:r>
    </w:p>
    <w:p w14:paraId="593FF1E2" w14:textId="01E08A3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lastRenderedPageBreak/>
        <w:t>Kada se koristi u profi</w:t>
      </w:r>
      <w:r w:rsidR="00603E96" w:rsidRPr="00B82EF7">
        <w:rPr>
          <w:rFonts w:asciiTheme="majorBidi" w:hAnsiTheme="majorBidi" w:cstheme="majorBidi"/>
          <w:noProof/>
          <w:sz w:val="22"/>
          <w:szCs w:val="22"/>
          <w:lang w:val="sr-Latn-ME"/>
        </w:rPr>
        <w:t xml:space="preserve">laktičkoj terapiji, enoksaparin </w:t>
      </w:r>
      <w:r w:rsidRPr="00B82EF7">
        <w:rPr>
          <w:rFonts w:asciiTheme="majorBidi" w:hAnsiTheme="majorBidi" w:cstheme="majorBidi"/>
          <w:noProof/>
          <w:sz w:val="22"/>
          <w:szCs w:val="22"/>
          <w:lang w:val="sr-Latn-ME"/>
        </w:rPr>
        <w:t>natrijum ne utiče značajno na aktivirano parcijalno tromboplastinsko vr</w:t>
      </w:r>
      <w:r w:rsidR="00603E96"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eme (aPTT). Kada se koristi u k</w:t>
      </w:r>
      <w:r w:rsidR="00603E96" w:rsidRPr="00B82EF7">
        <w:rPr>
          <w:rFonts w:asciiTheme="majorBidi" w:hAnsiTheme="majorBidi" w:cstheme="majorBidi"/>
          <w:noProof/>
          <w:sz w:val="22"/>
          <w:szCs w:val="22"/>
          <w:lang w:val="sr-Latn-ME"/>
        </w:rPr>
        <w:t xml:space="preserve">urativnoj terapiji, enoksaparin </w:t>
      </w:r>
      <w:r w:rsidRPr="00B82EF7">
        <w:rPr>
          <w:rFonts w:asciiTheme="majorBidi" w:hAnsiTheme="majorBidi" w:cstheme="majorBidi"/>
          <w:noProof/>
          <w:sz w:val="22"/>
          <w:szCs w:val="22"/>
          <w:lang w:val="sr-Latn-ME"/>
        </w:rPr>
        <w:t>natrijum može produžiti aPTT 1,5 – 2,2 puta u odnosu na kontrolno vr</w:t>
      </w:r>
      <w:r w:rsidR="00603E96"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eme </w:t>
      </w:r>
      <w:r w:rsidR="00D12197" w:rsidRPr="00B82EF7">
        <w:rPr>
          <w:rFonts w:asciiTheme="majorBidi" w:hAnsiTheme="majorBidi" w:cstheme="majorBidi"/>
          <w:noProof/>
          <w:sz w:val="22"/>
          <w:szCs w:val="22"/>
          <w:lang w:val="sr-Latn-ME"/>
        </w:rPr>
        <w:t>pri maksimalnoj</w:t>
      </w:r>
      <w:r w:rsidRPr="00B82EF7">
        <w:rPr>
          <w:rFonts w:asciiTheme="majorBidi" w:hAnsiTheme="majorBidi" w:cstheme="majorBidi"/>
          <w:noProof/>
          <w:sz w:val="22"/>
          <w:szCs w:val="22"/>
          <w:lang w:val="sr-Latn-ME"/>
        </w:rPr>
        <w:t xml:space="preserve"> aktivnosti.</w:t>
      </w:r>
    </w:p>
    <w:p w14:paraId="052F43BF" w14:textId="77777777" w:rsidR="004E2355" w:rsidRPr="00B82EF7" w:rsidRDefault="004E2355">
      <w:pPr>
        <w:tabs>
          <w:tab w:val="left" w:pos="284"/>
        </w:tabs>
        <w:jc w:val="both"/>
        <w:rPr>
          <w:rFonts w:asciiTheme="majorBidi" w:hAnsiTheme="majorBidi" w:cstheme="majorBidi"/>
          <w:noProof/>
          <w:sz w:val="22"/>
          <w:szCs w:val="22"/>
          <w:lang w:val="sr-Latn-ME"/>
        </w:rPr>
      </w:pPr>
    </w:p>
    <w:p w14:paraId="0146A54C" w14:textId="77777777" w:rsidR="004E2355" w:rsidRPr="00B82EF7" w:rsidRDefault="004E2355">
      <w:pPr>
        <w:tabs>
          <w:tab w:val="left" w:pos="284"/>
        </w:tabs>
        <w:spacing w:after="120"/>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Klinička efikasnost i </w:t>
      </w:r>
      <w:r w:rsidR="00B36F6D" w:rsidRPr="00B82EF7">
        <w:rPr>
          <w:rFonts w:asciiTheme="majorBidi" w:hAnsiTheme="majorBidi" w:cstheme="majorBidi"/>
          <w:noProof/>
          <w:sz w:val="22"/>
          <w:szCs w:val="22"/>
          <w:u w:val="single"/>
          <w:lang w:val="sr-Latn-ME"/>
        </w:rPr>
        <w:t>bezbjednost</w:t>
      </w:r>
      <w:r w:rsidRPr="00B82EF7">
        <w:rPr>
          <w:rFonts w:asciiTheme="majorBidi" w:hAnsiTheme="majorBidi" w:cstheme="majorBidi"/>
          <w:noProof/>
          <w:sz w:val="22"/>
          <w:szCs w:val="22"/>
          <w:u w:val="single"/>
          <w:lang w:val="sr-Latn-ME"/>
        </w:rPr>
        <w:t xml:space="preserve"> </w:t>
      </w:r>
    </w:p>
    <w:p w14:paraId="0E3FFCD9" w14:textId="77777777" w:rsidR="004E2355" w:rsidRPr="00B82EF7" w:rsidRDefault="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Profilaksa venske tromboembolijske bolesti povezane sa hirurškim zahvatom </w:t>
      </w:r>
    </w:p>
    <w:p w14:paraId="47D3D910" w14:textId="77777777" w:rsidR="004E2355" w:rsidRPr="00B82EF7" w:rsidRDefault="004E2355">
      <w:pPr>
        <w:numPr>
          <w:ilvl w:val="0"/>
          <w:numId w:val="34"/>
        </w:numPr>
        <w:spacing w:after="120"/>
        <w:ind w:left="360"/>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Produžena profilaksa VTE nakon ortopedskog hirurškog zahvata </w:t>
      </w:r>
    </w:p>
    <w:p w14:paraId="253B240D" w14:textId="7F899BC7" w:rsidR="004E2355" w:rsidRPr="00B82EF7" w:rsidRDefault="004E2355">
      <w:pPr>
        <w:spacing w:after="120"/>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dvostruko sl</w:t>
      </w:r>
      <w:r w:rsidR="009E746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epoj studiji produžene profilakse kod pacijenata podvrgnutih operaciji zam</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ene kuka, 179 pacijenata bez venske tromboembolijske bolesti, koji su prvobitno (tokom hospitalizacije) bili na terapiji enoksaparin</w:t>
      </w:r>
      <w:r w:rsidR="009E7469"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w:t>
      </w:r>
      <w:r w:rsidR="009E7469" w:rsidRPr="00B82EF7">
        <w:rPr>
          <w:rFonts w:asciiTheme="majorBidi" w:hAnsiTheme="majorBidi" w:cstheme="majorBidi"/>
          <w:noProof/>
          <w:sz w:val="22"/>
          <w:szCs w:val="22"/>
          <w:lang w:val="sr-Latn-ME"/>
        </w:rPr>
        <w:t>trijumom u subkutanoj dozi od 4</w:t>
      </w:r>
      <w:r w:rsidRPr="00B82EF7">
        <w:rPr>
          <w:rFonts w:asciiTheme="majorBidi" w:hAnsiTheme="majorBidi" w:cstheme="majorBidi"/>
          <w:noProof/>
          <w:sz w:val="22"/>
          <w:szCs w:val="22"/>
          <w:lang w:val="sr-Latn-ME"/>
        </w:rPr>
        <w:t>000 i.j. (40 mg), randomizovano je tako da nakon otpuštan</w:t>
      </w:r>
      <w:r w:rsidR="009E7469" w:rsidRPr="00B82EF7">
        <w:rPr>
          <w:rFonts w:asciiTheme="majorBidi" w:hAnsiTheme="majorBidi" w:cstheme="majorBidi"/>
          <w:noProof/>
          <w:sz w:val="22"/>
          <w:szCs w:val="22"/>
          <w:lang w:val="sr-Latn-ME"/>
        </w:rPr>
        <w:t xml:space="preserve">ja iz bolnice prima enoksaparin </w:t>
      </w:r>
      <w:r w:rsidRPr="00B82EF7">
        <w:rPr>
          <w:rFonts w:asciiTheme="majorBidi" w:hAnsiTheme="majorBidi" w:cstheme="majorBidi"/>
          <w:noProof/>
          <w:sz w:val="22"/>
          <w:szCs w:val="22"/>
          <w:lang w:val="sr-Latn-ME"/>
        </w:rPr>
        <w:t>natrijum u dozi od 4000 i.j. (40 mg) (n=90) s.c. jednom dnevno ili placebo (n=89) tokom 3 ned</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elje. Incidenca DVT tokom produžene profilakse bila </w:t>
      </w:r>
      <w:r w:rsidR="009E7469" w:rsidRPr="00B82EF7">
        <w:rPr>
          <w:rFonts w:asciiTheme="majorBidi" w:hAnsiTheme="majorBidi" w:cstheme="majorBidi"/>
          <w:noProof/>
          <w:sz w:val="22"/>
          <w:szCs w:val="22"/>
          <w:lang w:val="sr-Latn-ME"/>
        </w:rPr>
        <w:t xml:space="preserve">je značajno niža uz enoksaparin </w:t>
      </w:r>
      <w:r w:rsidRPr="00B82EF7">
        <w:rPr>
          <w:rFonts w:asciiTheme="majorBidi" w:hAnsiTheme="majorBidi" w:cstheme="majorBidi"/>
          <w:noProof/>
          <w:sz w:val="22"/>
          <w:szCs w:val="22"/>
          <w:lang w:val="sr-Latn-ME"/>
        </w:rPr>
        <w:t>natrijum u poređenju sa placebom, a nije prijavljen nijedan slučaj PE. Nije došlo do velikih krvarenja.</w:t>
      </w:r>
    </w:p>
    <w:p w14:paraId="60977F76" w14:textId="77777777" w:rsidR="004E2355" w:rsidRPr="00B82EF7" w:rsidRDefault="004E2355">
      <w:pPr>
        <w:spacing w:after="120"/>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Podaci o efikasnosti navedeni su u tabeli u nastavku.</w:t>
      </w:r>
    </w:p>
    <w:p w14:paraId="2F01B17A" w14:textId="77777777" w:rsidR="004E2355" w:rsidRPr="00B82EF7" w:rsidRDefault="004E2355" w:rsidP="004E2355">
      <w:pPr>
        <w:ind w:left="360"/>
        <w:jc w:val="both"/>
        <w:rPr>
          <w:rFonts w:asciiTheme="majorBidi" w:hAnsiTheme="majorBidi" w:cstheme="majorBidi"/>
          <w:noProof/>
          <w:sz w:val="22"/>
          <w:szCs w:val="22"/>
          <w:lang w:val="sr-Latn-ME"/>
        </w:rPr>
      </w:pPr>
    </w:p>
    <w:tbl>
      <w:tblPr>
        <w:tblStyle w:val="TableGrid"/>
        <w:tblW w:w="0" w:type="auto"/>
        <w:tblLook w:val="04A0" w:firstRow="1" w:lastRow="0" w:firstColumn="1" w:lastColumn="0" w:noHBand="0" w:noVBand="1"/>
      </w:tblPr>
      <w:tblGrid>
        <w:gridCol w:w="3048"/>
        <w:gridCol w:w="3031"/>
        <w:gridCol w:w="2984"/>
      </w:tblGrid>
      <w:tr w:rsidR="004E2355" w:rsidRPr="00B82EF7" w14:paraId="318BAFF1" w14:textId="77777777" w:rsidTr="00683C8C">
        <w:tc>
          <w:tcPr>
            <w:tcW w:w="3209" w:type="dxa"/>
          </w:tcPr>
          <w:p w14:paraId="6F026677" w14:textId="77777777" w:rsidR="004E2355" w:rsidRPr="00B82EF7" w:rsidRDefault="004E2355" w:rsidP="004E2355">
            <w:pPr>
              <w:tabs>
                <w:tab w:val="left" w:pos="284"/>
              </w:tabs>
              <w:jc w:val="both"/>
              <w:rPr>
                <w:rFonts w:asciiTheme="majorBidi" w:hAnsiTheme="majorBidi" w:cstheme="majorBidi"/>
                <w:b/>
                <w:noProof/>
                <w:sz w:val="22"/>
                <w:szCs w:val="22"/>
                <w:lang w:val="sr-Latn-ME"/>
              </w:rPr>
            </w:pPr>
          </w:p>
        </w:tc>
        <w:tc>
          <w:tcPr>
            <w:tcW w:w="3210" w:type="dxa"/>
          </w:tcPr>
          <w:p w14:paraId="4A21D891" w14:textId="5D2A1967" w:rsidR="004E2355" w:rsidRPr="00B82EF7" w:rsidRDefault="009E7469"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Enoksaparin natrijum 4</w:t>
            </w:r>
            <w:r w:rsidR="004E2355" w:rsidRPr="00B82EF7">
              <w:rPr>
                <w:rFonts w:asciiTheme="majorBidi" w:hAnsiTheme="majorBidi" w:cstheme="majorBidi"/>
                <w:b/>
                <w:noProof/>
                <w:sz w:val="22"/>
                <w:szCs w:val="22"/>
                <w:lang w:val="sr-Latn-ME"/>
              </w:rPr>
              <w:t>000 i.j. (40 mg) jednom dnevno s.c.</w:t>
            </w:r>
          </w:p>
          <w:p w14:paraId="0F7E1DE7"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c>
          <w:tcPr>
            <w:tcW w:w="3210" w:type="dxa"/>
          </w:tcPr>
          <w:p w14:paraId="744DD79E"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 xml:space="preserve">Placebo </w:t>
            </w:r>
          </w:p>
          <w:p w14:paraId="6955CB25"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jednom dnevno s.c.</w:t>
            </w:r>
          </w:p>
          <w:p w14:paraId="1B5F494C"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r>
      <w:tr w:rsidR="004E2355" w:rsidRPr="00B82EF7" w14:paraId="395A8771" w14:textId="77777777" w:rsidTr="00683C8C">
        <w:tc>
          <w:tcPr>
            <w:tcW w:w="3209" w:type="dxa"/>
          </w:tcPr>
          <w:p w14:paraId="56E98764"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Svi l</w:t>
            </w:r>
            <w:r w:rsidR="009E7469" w:rsidRPr="00B82EF7">
              <w:rPr>
                <w:rFonts w:asciiTheme="majorBidi" w:hAnsiTheme="majorBidi" w:cstheme="majorBidi"/>
                <w:b/>
                <w:noProof/>
                <w:sz w:val="22"/>
                <w:szCs w:val="22"/>
                <w:lang w:val="sr-Latn-ME"/>
              </w:rPr>
              <w:t>ij</w:t>
            </w:r>
            <w:r w:rsidRPr="00B82EF7">
              <w:rPr>
                <w:rFonts w:asciiTheme="majorBidi" w:hAnsiTheme="majorBidi" w:cstheme="majorBidi"/>
                <w:b/>
                <w:noProof/>
                <w:sz w:val="22"/>
                <w:szCs w:val="22"/>
                <w:lang w:val="sr-Latn-ME"/>
              </w:rPr>
              <w:t>ečeni pacijenti koji su primali produženu profilaksu</w:t>
            </w:r>
          </w:p>
        </w:tc>
        <w:tc>
          <w:tcPr>
            <w:tcW w:w="3210" w:type="dxa"/>
          </w:tcPr>
          <w:p w14:paraId="57FBF52C"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90 (100)</w:t>
            </w:r>
          </w:p>
        </w:tc>
        <w:tc>
          <w:tcPr>
            <w:tcW w:w="3210" w:type="dxa"/>
          </w:tcPr>
          <w:p w14:paraId="77F97DC3"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89 (100)</w:t>
            </w:r>
          </w:p>
        </w:tc>
      </w:tr>
      <w:tr w:rsidR="004E2355" w:rsidRPr="00B82EF7" w14:paraId="085A5EC3" w14:textId="77777777" w:rsidTr="00683C8C">
        <w:tc>
          <w:tcPr>
            <w:tcW w:w="3209" w:type="dxa"/>
          </w:tcPr>
          <w:p w14:paraId="610ADF94" w14:textId="77777777" w:rsidR="004E2355" w:rsidRPr="00B82EF7" w:rsidRDefault="004E2355" w:rsidP="004E2355">
            <w:pPr>
              <w:tabs>
                <w:tab w:val="left" w:pos="284"/>
              </w:tabs>
              <w:spacing w:after="120"/>
              <w:jc w:val="both"/>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Ukupna VTE</w:t>
            </w:r>
          </w:p>
        </w:tc>
        <w:tc>
          <w:tcPr>
            <w:tcW w:w="3210" w:type="dxa"/>
          </w:tcPr>
          <w:p w14:paraId="79300F52"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6 (6,6)</w:t>
            </w:r>
          </w:p>
        </w:tc>
        <w:tc>
          <w:tcPr>
            <w:tcW w:w="3210" w:type="dxa"/>
          </w:tcPr>
          <w:p w14:paraId="43C8C5D5"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18 (20,2)</w:t>
            </w:r>
          </w:p>
        </w:tc>
      </w:tr>
      <w:tr w:rsidR="004E2355" w:rsidRPr="00B82EF7" w14:paraId="6165227B" w14:textId="77777777" w:rsidTr="00683C8C">
        <w:tc>
          <w:tcPr>
            <w:tcW w:w="3209" w:type="dxa"/>
          </w:tcPr>
          <w:p w14:paraId="0DF22547" w14:textId="77777777" w:rsidR="004E2355" w:rsidRPr="00B82EF7" w:rsidRDefault="004E2355" w:rsidP="004E2355">
            <w:pPr>
              <w:numPr>
                <w:ilvl w:val="0"/>
                <w:numId w:val="34"/>
              </w:numPr>
              <w:tabs>
                <w:tab w:val="left" w:pos="284"/>
              </w:tabs>
              <w:spacing w:after="120"/>
              <w:ind w:left="337" w:hanging="33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Ukupna DVT (%)</w:t>
            </w:r>
          </w:p>
        </w:tc>
        <w:tc>
          <w:tcPr>
            <w:tcW w:w="3210" w:type="dxa"/>
          </w:tcPr>
          <w:p w14:paraId="1D8CBE61"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6 (6,6)*</w:t>
            </w:r>
          </w:p>
        </w:tc>
        <w:tc>
          <w:tcPr>
            <w:tcW w:w="3210" w:type="dxa"/>
          </w:tcPr>
          <w:p w14:paraId="3B7061CF"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18 (20,2)</w:t>
            </w:r>
          </w:p>
        </w:tc>
      </w:tr>
      <w:tr w:rsidR="004E2355" w:rsidRPr="00B82EF7" w14:paraId="02737278" w14:textId="77777777" w:rsidTr="00683C8C">
        <w:tc>
          <w:tcPr>
            <w:tcW w:w="3209" w:type="dxa"/>
          </w:tcPr>
          <w:p w14:paraId="7FE8B22E" w14:textId="77777777" w:rsidR="004E2355" w:rsidRPr="00B82EF7" w:rsidRDefault="004E2355" w:rsidP="004E2355">
            <w:pPr>
              <w:numPr>
                <w:ilvl w:val="0"/>
                <w:numId w:val="34"/>
              </w:numPr>
              <w:tabs>
                <w:tab w:val="left" w:pos="284"/>
              </w:tabs>
              <w:spacing w:after="120"/>
              <w:ind w:left="337" w:hanging="33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Proksimalna DVT (%)</w:t>
            </w:r>
          </w:p>
        </w:tc>
        <w:tc>
          <w:tcPr>
            <w:tcW w:w="3210" w:type="dxa"/>
          </w:tcPr>
          <w:p w14:paraId="1D088553"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5 (5,6)</w:t>
            </w:r>
            <w:r w:rsidRPr="00B82EF7">
              <w:rPr>
                <w:rFonts w:asciiTheme="majorBidi" w:hAnsiTheme="majorBidi" w:cstheme="majorBidi"/>
                <w:noProof/>
                <w:sz w:val="22"/>
                <w:szCs w:val="22"/>
                <w:vertAlign w:val="superscript"/>
                <w:lang w:val="sr-Latn-ME"/>
              </w:rPr>
              <w:t>#</w:t>
            </w:r>
          </w:p>
        </w:tc>
        <w:tc>
          <w:tcPr>
            <w:tcW w:w="3210" w:type="dxa"/>
          </w:tcPr>
          <w:p w14:paraId="6AEF894E"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7 (8,8)</w:t>
            </w:r>
          </w:p>
        </w:tc>
      </w:tr>
      <w:tr w:rsidR="004E2355" w:rsidRPr="00B82EF7" w14:paraId="445469C4" w14:textId="77777777" w:rsidTr="00683C8C">
        <w:tc>
          <w:tcPr>
            <w:tcW w:w="9629" w:type="dxa"/>
            <w:gridSpan w:val="3"/>
          </w:tcPr>
          <w:p w14:paraId="21FB2642" w14:textId="77777777"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naspram placeba = 0,008</w:t>
            </w:r>
          </w:p>
          <w:p w14:paraId="3AF78274"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naspram placeba = 0,537</w:t>
            </w:r>
          </w:p>
        </w:tc>
      </w:tr>
    </w:tbl>
    <w:p w14:paraId="756A64EF" w14:textId="77777777" w:rsidR="004E2355" w:rsidRPr="00B82EF7" w:rsidRDefault="004E2355" w:rsidP="004E2355">
      <w:pPr>
        <w:spacing w:after="120"/>
        <w:ind w:left="360"/>
        <w:jc w:val="both"/>
        <w:rPr>
          <w:rFonts w:asciiTheme="majorBidi" w:hAnsiTheme="majorBidi" w:cstheme="majorBidi"/>
          <w:noProof/>
          <w:sz w:val="22"/>
          <w:szCs w:val="22"/>
          <w:lang w:val="sr-Latn-ME"/>
        </w:rPr>
      </w:pPr>
    </w:p>
    <w:p w14:paraId="0DAF11C6" w14:textId="09B2D045" w:rsidR="004E2355" w:rsidRPr="00B82EF7" w:rsidRDefault="004E2355" w:rsidP="004E2355">
      <w:pPr>
        <w:spacing w:after="120"/>
        <w:ind w:left="36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drugoj dvostruko sl</w:t>
      </w:r>
      <w:r w:rsidR="009E746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epoj studiji, 262 pacijenta bez VTE podvrgnuta operaciji zam</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ene kuka, koja su prvobitno (tokom hospitalizacij</w:t>
      </w:r>
      <w:r w:rsidR="009E7469" w:rsidRPr="00B82EF7">
        <w:rPr>
          <w:rFonts w:asciiTheme="majorBidi" w:hAnsiTheme="majorBidi" w:cstheme="majorBidi"/>
          <w:noProof/>
          <w:sz w:val="22"/>
          <w:szCs w:val="22"/>
          <w:lang w:val="sr-Latn-ME"/>
        </w:rPr>
        <w:t xml:space="preserve">e) bila na terapiji enoksaparin </w:t>
      </w:r>
      <w:r w:rsidRPr="00B82EF7">
        <w:rPr>
          <w:rFonts w:asciiTheme="majorBidi" w:hAnsiTheme="majorBidi" w:cstheme="majorBidi"/>
          <w:noProof/>
          <w:sz w:val="22"/>
          <w:szCs w:val="22"/>
          <w:lang w:val="sr-Latn-ME"/>
        </w:rPr>
        <w:t xml:space="preserve">natrijumom u subkutanoj dozi od </w:t>
      </w:r>
      <w:r w:rsidR="009E7469" w:rsidRPr="00B82EF7">
        <w:rPr>
          <w:rFonts w:asciiTheme="majorBidi" w:hAnsiTheme="majorBidi" w:cstheme="majorBidi"/>
          <w:noProof/>
          <w:sz w:val="22"/>
          <w:szCs w:val="22"/>
          <w:lang w:val="sr-Latn-ME"/>
        </w:rPr>
        <w:t>4000 i.j. (40 mg), ra</w:t>
      </w:r>
      <w:r w:rsidRPr="00B82EF7">
        <w:rPr>
          <w:rFonts w:asciiTheme="majorBidi" w:hAnsiTheme="majorBidi" w:cstheme="majorBidi"/>
          <w:noProof/>
          <w:sz w:val="22"/>
          <w:szCs w:val="22"/>
          <w:lang w:val="sr-Latn-ME"/>
        </w:rPr>
        <w:t>n</w:t>
      </w:r>
      <w:r w:rsidR="009E7469" w:rsidRPr="00B82EF7">
        <w:rPr>
          <w:rFonts w:asciiTheme="majorBidi" w:hAnsiTheme="majorBidi" w:cstheme="majorBidi"/>
          <w:noProof/>
          <w:sz w:val="22"/>
          <w:szCs w:val="22"/>
          <w:lang w:val="sr-Latn-ME"/>
        </w:rPr>
        <w:t>d</w:t>
      </w:r>
      <w:r w:rsidRPr="00B82EF7">
        <w:rPr>
          <w:rFonts w:asciiTheme="majorBidi" w:hAnsiTheme="majorBidi" w:cstheme="majorBidi"/>
          <w:noProof/>
          <w:sz w:val="22"/>
          <w:szCs w:val="22"/>
          <w:lang w:val="sr-Latn-ME"/>
        </w:rPr>
        <w:t>omizovana su tako da nakon otpuštanja iz bolnice primaju enoksaparin</w:t>
      </w:r>
      <w:r w:rsidR="009E7469"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 u dozi od 4000 i.j. (40 mg) (n=131) s.c. jednom dnevno ili placebo (n=131) tokom 3 ned</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elje. Slično kao i u prvoj studiji, incidenca VTE tokom produžene bila je značajno niža uz enoksaparin</w:t>
      </w:r>
      <w:r w:rsidR="009E7469"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 u poređenju sa placebom i z</w:t>
      </w:r>
      <w:r w:rsidR="009E7469" w:rsidRPr="00B82EF7">
        <w:rPr>
          <w:rFonts w:asciiTheme="majorBidi" w:hAnsiTheme="majorBidi" w:cstheme="majorBidi"/>
          <w:noProof/>
          <w:sz w:val="22"/>
          <w:szCs w:val="22"/>
          <w:lang w:val="sr-Latn-ME"/>
        </w:rPr>
        <w:t xml:space="preserve">a ukupnu VTE (21 uz enoksaparin </w:t>
      </w:r>
      <w:r w:rsidRPr="00B82EF7">
        <w:rPr>
          <w:rFonts w:asciiTheme="majorBidi" w:hAnsiTheme="majorBidi" w:cstheme="majorBidi"/>
          <w:noProof/>
          <w:sz w:val="22"/>
          <w:szCs w:val="22"/>
          <w:lang w:val="sr-Latn-ME"/>
        </w:rPr>
        <w:t>natrijum [16%] naspram 45 uz placebo [34,4%]; p=0,001) i za pr</w:t>
      </w:r>
      <w:r w:rsidR="009E7469" w:rsidRPr="00B82EF7">
        <w:rPr>
          <w:rFonts w:asciiTheme="majorBidi" w:hAnsiTheme="majorBidi" w:cstheme="majorBidi"/>
          <w:noProof/>
          <w:sz w:val="22"/>
          <w:szCs w:val="22"/>
          <w:lang w:val="sr-Latn-ME"/>
        </w:rPr>
        <w:t xml:space="preserve">oksimalnu DVT (8 uz enoksaparin </w:t>
      </w:r>
      <w:r w:rsidRPr="00B82EF7">
        <w:rPr>
          <w:rFonts w:asciiTheme="majorBidi" w:hAnsiTheme="majorBidi" w:cstheme="majorBidi"/>
          <w:noProof/>
          <w:sz w:val="22"/>
          <w:szCs w:val="22"/>
          <w:lang w:val="sr-Latn-ME"/>
        </w:rPr>
        <w:t>natrijum [6,1%] naspram 28 uz placebo [21,4%]; p &lt; 0,001). Nije utvrđena razlika u većim krvarenjima izmeđ</w:t>
      </w:r>
      <w:r w:rsidR="009E7469" w:rsidRPr="00B82EF7">
        <w:rPr>
          <w:rFonts w:asciiTheme="majorBidi" w:hAnsiTheme="majorBidi" w:cstheme="majorBidi"/>
          <w:noProof/>
          <w:sz w:val="22"/>
          <w:szCs w:val="22"/>
          <w:lang w:val="sr-Latn-ME"/>
        </w:rPr>
        <w:t xml:space="preserve">u grupe na terapiji enoksaparin </w:t>
      </w:r>
      <w:r w:rsidRPr="00B82EF7">
        <w:rPr>
          <w:rFonts w:asciiTheme="majorBidi" w:hAnsiTheme="majorBidi" w:cstheme="majorBidi"/>
          <w:noProof/>
          <w:sz w:val="22"/>
          <w:szCs w:val="22"/>
          <w:lang w:val="sr-Latn-ME"/>
        </w:rPr>
        <w:t>natrijumom i grupe koja je primala placebo.</w:t>
      </w:r>
    </w:p>
    <w:p w14:paraId="1049909B" w14:textId="77777777" w:rsidR="004E2355" w:rsidRPr="00B82EF7" w:rsidRDefault="004E2355" w:rsidP="009E7469">
      <w:pPr>
        <w:numPr>
          <w:ilvl w:val="0"/>
          <w:numId w:val="33"/>
        </w:numPr>
        <w:ind w:left="35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Produžena profilaksa DVT nakon onkološkog hirurškog zahvata </w:t>
      </w:r>
    </w:p>
    <w:p w14:paraId="713D3C35" w14:textId="0FD4DB98" w:rsidR="004E2355" w:rsidRPr="00B82EF7" w:rsidRDefault="004E2355" w:rsidP="009E7469">
      <w:pPr>
        <w:ind w:left="357"/>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Dvostruko </w:t>
      </w:r>
      <w:r w:rsidR="009E7469" w:rsidRPr="00B82EF7">
        <w:rPr>
          <w:rFonts w:asciiTheme="majorBidi" w:hAnsiTheme="majorBidi" w:cstheme="majorBidi"/>
          <w:noProof/>
          <w:sz w:val="22"/>
          <w:szCs w:val="22"/>
          <w:lang w:val="sr-Latn-ME"/>
        </w:rPr>
        <w:t>slijepa</w:t>
      </w:r>
      <w:r w:rsidRPr="00B82EF7">
        <w:rPr>
          <w:rFonts w:asciiTheme="majorBidi" w:hAnsiTheme="majorBidi" w:cstheme="majorBidi"/>
          <w:noProof/>
          <w:sz w:val="22"/>
          <w:szCs w:val="22"/>
          <w:lang w:val="sr-Latn-ME"/>
        </w:rPr>
        <w:t xml:space="preserve">, multicentrična studija poredila je </w:t>
      </w:r>
      <w:r w:rsidR="00B36F6D" w:rsidRPr="00B82EF7">
        <w:rPr>
          <w:rFonts w:asciiTheme="majorBidi" w:hAnsiTheme="majorBidi" w:cstheme="majorBidi"/>
          <w:noProof/>
          <w:sz w:val="22"/>
          <w:szCs w:val="22"/>
          <w:lang w:val="sr-Latn-ME"/>
        </w:rPr>
        <w:t>bezbjednost</w:t>
      </w:r>
      <w:r w:rsidRPr="00B82EF7">
        <w:rPr>
          <w:rFonts w:asciiTheme="majorBidi" w:hAnsiTheme="majorBidi" w:cstheme="majorBidi"/>
          <w:noProof/>
          <w:sz w:val="22"/>
          <w:szCs w:val="22"/>
          <w:lang w:val="sr-Latn-ME"/>
        </w:rPr>
        <w:t xml:space="preserve"> i efik</w:t>
      </w:r>
      <w:r w:rsidR="009E7469" w:rsidRPr="00B82EF7">
        <w:rPr>
          <w:rFonts w:asciiTheme="majorBidi" w:hAnsiTheme="majorBidi" w:cstheme="majorBidi"/>
          <w:noProof/>
          <w:sz w:val="22"/>
          <w:szCs w:val="22"/>
          <w:lang w:val="sr-Latn-ME"/>
        </w:rPr>
        <w:t>asnost četvo</w:t>
      </w:r>
      <w:r w:rsidRPr="00B82EF7">
        <w:rPr>
          <w:rFonts w:asciiTheme="majorBidi" w:hAnsiTheme="majorBidi" w:cstheme="majorBidi"/>
          <w:noProof/>
          <w:sz w:val="22"/>
          <w:szCs w:val="22"/>
          <w:lang w:val="sr-Latn-ME"/>
        </w:rPr>
        <w:t>ro</w:t>
      </w:r>
      <w:r w:rsidR="00811A52" w:rsidRPr="00B82EF7">
        <w:rPr>
          <w:rFonts w:asciiTheme="majorBidi" w:hAnsiTheme="majorBidi" w:cstheme="majorBidi"/>
          <w:noProof/>
          <w:sz w:val="22"/>
          <w:szCs w:val="22"/>
          <w:lang w:val="sr-Latn-ME"/>
        </w:rPr>
        <w:t>nedjeljn</w:t>
      </w:r>
      <w:r w:rsidRPr="00B82EF7">
        <w:rPr>
          <w:rFonts w:asciiTheme="majorBidi" w:hAnsiTheme="majorBidi" w:cstheme="majorBidi"/>
          <w:noProof/>
          <w:sz w:val="22"/>
          <w:szCs w:val="22"/>
          <w:lang w:val="sr-Latn-ME"/>
        </w:rPr>
        <w:t>og i jedno</w:t>
      </w:r>
      <w:r w:rsidR="00811A52" w:rsidRPr="00B82EF7">
        <w:rPr>
          <w:rFonts w:asciiTheme="majorBidi" w:hAnsiTheme="majorBidi" w:cstheme="majorBidi"/>
          <w:noProof/>
          <w:sz w:val="22"/>
          <w:szCs w:val="22"/>
          <w:lang w:val="sr-Latn-ME"/>
        </w:rPr>
        <w:t>nedjeljn</w:t>
      </w:r>
      <w:r w:rsidRPr="00B82EF7">
        <w:rPr>
          <w:rFonts w:asciiTheme="majorBidi" w:hAnsiTheme="majorBidi" w:cstheme="majorBidi"/>
          <w:noProof/>
          <w:sz w:val="22"/>
          <w:szCs w:val="22"/>
          <w:lang w:val="sr-Latn-ME"/>
        </w:rPr>
        <w:t>o</w:t>
      </w:r>
      <w:r w:rsidR="009E7469" w:rsidRPr="00B82EF7">
        <w:rPr>
          <w:rFonts w:asciiTheme="majorBidi" w:hAnsiTheme="majorBidi" w:cstheme="majorBidi"/>
          <w:noProof/>
          <w:sz w:val="22"/>
          <w:szCs w:val="22"/>
          <w:lang w:val="sr-Latn-ME"/>
        </w:rPr>
        <w:t xml:space="preserve">g režima profilakse enoksaparin </w:t>
      </w:r>
      <w:r w:rsidRPr="00B82EF7">
        <w:rPr>
          <w:rFonts w:asciiTheme="majorBidi" w:hAnsiTheme="majorBidi" w:cstheme="majorBidi"/>
          <w:noProof/>
          <w:sz w:val="22"/>
          <w:szCs w:val="22"/>
          <w:lang w:val="sr-Latn-ME"/>
        </w:rPr>
        <w:t>natrijumom kod 332 pacijenta podvrgnuta elektivnoj operaciji karcinoma u pred</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elu abdomena ili karlice. P</w:t>
      </w:r>
      <w:r w:rsidR="009E7469" w:rsidRPr="00B82EF7">
        <w:rPr>
          <w:rFonts w:asciiTheme="majorBidi" w:hAnsiTheme="majorBidi" w:cstheme="majorBidi"/>
          <w:noProof/>
          <w:sz w:val="22"/>
          <w:szCs w:val="22"/>
          <w:lang w:val="sr-Latn-ME"/>
        </w:rPr>
        <w:t xml:space="preserve">acijenti su primali enoksaparin </w:t>
      </w:r>
      <w:r w:rsidRPr="00B82EF7">
        <w:rPr>
          <w:rFonts w:asciiTheme="majorBidi" w:hAnsiTheme="majorBidi" w:cstheme="majorBidi"/>
          <w:noProof/>
          <w:sz w:val="22"/>
          <w:szCs w:val="22"/>
          <w:lang w:val="sr-Latn-ME"/>
        </w:rPr>
        <w:t>natrijum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s.c.) svakodnevno tokom 6 do 10 dana, nakon čega su bili rando</w:t>
      </w:r>
      <w:r w:rsidR="009E7469" w:rsidRPr="00B82EF7">
        <w:rPr>
          <w:rFonts w:asciiTheme="majorBidi" w:hAnsiTheme="majorBidi" w:cstheme="majorBidi"/>
          <w:noProof/>
          <w:sz w:val="22"/>
          <w:szCs w:val="22"/>
          <w:lang w:val="sr-Latn-ME"/>
        </w:rPr>
        <w:t xml:space="preserve">mizovani da primaju enoksaparin </w:t>
      </w:r>
      <w:r w:rsidRPr="00B82EF7">
        <w:rPr>
          <w:rFonts w:asciiTheme="majorBidi" w:hAnsiTheme="majorBidi" w:cstheme="majorBidi"/>
          <w:noProof/>
          <w:sz w:val="22"/>
          <w:szCs w:val="22"/>
          <w:lang w:val="sr-Latn-ME"/>
        </w:rPr>
        <w:t>natrijum ili placebo tokom još 21 dana. Obostrana venografija je sprovedena između 25. i 31. dana, ili ranije ako su se pojavili simptomi venske tromboembolije. Pacijenti su praćeni tokom tri m</w:t>
      </w:r>
      <w:r w:rsidR="009E7469" w:rsidRPr="00B82EF7">
        <w:rPr>
          <w:rFonts w:asciiTheme="majorBidi" w:hAnsiTheme="majorBidi" w:cstheme="majorBidi"/>
          <w:noProof/>
          <w:sz w:val="22"/>
          <w:szCs w:val="22"/>
          <w:lang w:val="sr-Latn-ME"/>
        </w:rPr>
        <w:t xml:space="preserve">jeseca. Profilaksa enoksaparin </w:t>
      </w:r>
      <w:r w:rsidRPr="00B82EF7">
        <w:rPr>
          <w:rFonts w:asciiTheme="majorBidi" w:hAnsiTheme="majorBidi" w:cstheme="majorBidi"/>
          <w:noProof/>
          <w:sz w:val="22"/>
          <w:szCs w:val="22"/>
          <w:lang w:val="sr-Latn-ME"/>
        </w:rPr>
        <w:t>natrijumom tokom četiri ned</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elje nakon operacije karcinoma u pred</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elu abdomena ili karlice značajno je snizila incidencu tromboze potvrđene venografijom u poređenju sa jedno</w:t>
      </w:r>
      <w:r w:rsidR="00811A52" w:rsidRPr="00B82EF7">
        <w:rPr>
          <w:rFonts w:asciiTheme="majorBidi" w:hAnsiTheme="majorBidi" w:cstheme="majorBidi"/>
          <w:noProof/>
          <w:sz w:val="22"/>
          <w:szCs w:val="22"/>
          <w:lang w:val="sr-Latn-ME"/>
        </w:rPr>
        <w:t>nedjeljn</w:t>
      </w:r>
      <w:r w:rsidR="009E7469" w:rsidRPr="00B82EF7">
        <w:rPr>
          <w:rFonts w:asciiTheme="majorBidi" w:hAnsiTheme="majorBidi" w:cstheme="majorBidi"/>
          <w:noProof/>
          <w:sz w:val="22"/>
          <w:szCs w:val="22"/>
          <w:lang w:val="sr-Latn-ME"/>
        </w:rPr>
        <w:t xml:space="preserve">om profilaksom enoksaparin </w:t>
      </w:r>
      <w:r w:rsidRPr="00B82EF7">
        <w:rPr>
          <w:rFonts w:asciiTheme="majorBidi" w:hAnsiTheme="majorBidi" w:cstheme="majorBidi"/>
          <w:noProof/>
          <w:sz w:val="22"/>
          <w:szCs w:val="22"/>
          <w:lang w:val="sr-Latn-ME"/>
        </w:rPr>
        <w:t>natrijumom. Stopa venske tromboembolije na kraju dvostruko sl</w:t>
      </w:r>
      <w:r w:rsidR="009E7469"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epe faze iznosila je 12,0% (n=20) u grupi koja je primala placebo i 4,8% (n=8) </w:t>
      </w:r>
      <w:r w:rsidR="009E7469" w:rsidRPr="00B82EF7">
        <w:rPr>
          <w:rFonts w:asciiTheme="majorBidi" w:hAnsiTheme="majorBidi" w:cstheme="majorBidi"/>
          <w:noProof/>
          <w:sz w:val="22"/>
          <w:szCs w:val="22"/>
          <w:lang w:val="sr-Latn-ME"/>
        </w:rPr>
        <w:t xml:space="preserve">u grupi na terapiji enoksaparin </w:t>
      </w:r>
      <w:r w:rsidRPr="00B82EF7">
        <w:rPr>
          <w:rFonts w:asciiTheme="majorBidi" w:hAnsiTheme="majorBidi" w:cstheme="majorBidi"/>
          <w:noProof/>
          <w:sz w:val="22"/>
          <w:szCs w:val="22"/>
          <w:lang w:val="sr-Latn-ME"/>
        </w:rPr>
        <w:t>natrijumom; p=0,02. Ova razlika je bila prisutna i nakon tri m</w:t>
      </w:r>
      <w:r w:rsidR="009E7469"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eseca (13,8% naspram 5,5% [n=23 naspram 9], p=0,01). Nije bilo razlike u stopama krvarenja ili drugih komplikacija tokom dvostruko sl</w:t>
      </w:r>
      <w:r w:rsidR="007E1FF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epe faze i tokom perioda praćenja. </w:t>
      </w:r>
    </w:p>
    <w:p w14:paraId="6FB7C50F" w14:textId="77777777" w:rsidR="004E2355" w:rsidRPr="00B82EF7" w:rsidRDefault="004E2355" w:rsidP="004E2355">
      <w:pPr>
        <w:spacing w:after="120"/>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lastRenderedPageBreak/>
        <w:t xml:space="preserve">Profilaksa venske tromboembolijske bolesti kod internističkih pacijenata sa akutnom bolešću za koju se očekuje da će ograničiti pokretljivost </w:t>
      </w:r>
    </w:p>
    <w:p w14:paraId="780FC423" w14:textId="2BECAF13" w:rsidR="004E2355" w:rsidRPr="00B82EF7" w:rsidRDefault="004E2355" w:rsidP="00D937C0">
      <w:pPr>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dvostruko sl</w:t>
      </w:r>
      <w:r w:rsidR="007E1FF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epoj, multicentričnoj studiji sa </w:t>
      </w:r>
      <w:r w:rsidR="007E1FF7" w:rsidRPr="00B82EF7">
        <w:rPr>
          <w:rFonts w:asciiTheme="majorBidi" w:hAnsiTheme="majorBidi" w:cstheme="majorBidi"/>
          <w:noProof/>
          <w:sz w:val="22"/>
          <w:szCs w:val="22"/>
          <w:lang w:val="sr-Latn-ME"/>
        </w:rPr>
        <w:t>paralelnim grupama, enoksaparin natrijum u dozi od 2000 i.j. (20 mg) ili 4</w:t>
      </w:r>
      <w:r w:rsidRPr="00B82EF7">
        <w:rPr>
          <w:rFonts w:asciiTheme="majorBidi" w:hAnsiTheme="majorBidi" w:cstheme="majorBidi"/>
          <w:noProof/>
          <w:sz w:val="22"/>
          <w:szCs w:val="22"/>
          <w:lang w:val="sr-Latn-ME"/>
        </w:rPr>
        <w:t xml:space="preserve">000 i.j. (40 mg) subkutano jednom dnevno je poređen sa placebom u profilaksi DVT kod internističkih pacijenata sa izuzetno ograničenom pokretljivošću tokom akutne bolesti (definisano kao udaljenost hodom &lt; 10 metara tokom ≤ 3 dana). Ova studija je uključivala pacijente sa srčanom insuficijencijom (NYHA kategorije III ili IV), sa akutnim respiratornim arestom ili komplikovanom hroničnom respiratornom insuficijencijom i sa akutnom infekcijom ili akutnom reumatskom bolešću; ukoliko su povezani sa najmanje jednim faktorom rizika za VTE (starost ≥ 75 godina, rak, prethodna VTE, gojaznost, varikozne vene, hormonska terapija i hronična srčana ili respiratorna insuficijencija). </w:t>
      </w:r>
    </w:p>
    <w:p w14:paraId="0FE45DF1" w14:textId="33D0EF48" w:rsidR="004E2355" w:rsidRPr="00B82EF7" w:rsidRDefault="004E2355" w:rsidP="00D937C0">
      <w:pPr>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stu</w:t>
      </w:r>
      <w:r w:rsidR="007E1FF7" w:rsidRPr="00B82EF7">
        <w:rPr>
          <w:rFonts w:asciiTheme="majorBidi" w:hAnsiTheme="majorBidi" w:cstheme="majorBidi"/>
          <w:noProof/>
          <w:sz w:val="22"/>
          <w:szCs w:val="22"/>
          <w:lang w:val="sr-Latn-ME"/>
        </w:rPr>
        <w:t>diju su bila uključena ukupno 1</w:t>
      </w:r>
      <w:r w:rsidRPr="00B82EF7">
        <w:rPr>
          <w:rFonts w:asciiTheme="majorBidi" w:hAnsiTheme="majorBidi" w:cstheme="majorBidi"/>
          <w:noProof/>
          <w:sz w:val="22"/>
          <w:szCs w:val="22"/>
          <w:lang w:val="sr-Latn-ME"/>
        </w:rPr>
        <w:t>102 pacijenta, a terapiju je primalo njih 1073. Terapija je trajala 6 do 14 dana (medijana trajanja: 7 dana). Kada se prim</w:t>
      </w:r>
      <w:r w:rsidR="007E1FF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enjivao u dozi od 4000 i.j. (40 mg) </w:t>
      </w:r>
      <w:r w:rsidR="007E1FF7" w:rsidRPr="00B82EF7">
        <w:rPr>
          <w:rFonts w:asciiTheme="majorBidi" w:hAnsiTheme="majorBidi" w:cstheme="majorBidi"/>
          <w:noProof/>
          <w:sz w:val="22"/>
          <w:szCs w:val="22"/>
          <w:lang w:val="sr-Latn-ME"/>
        </w:rPr>
        <w:t xml:space="preserve">s.c. jednom dnevno, enoksaparin </w:t>
      </w:r>
      <w:r w:rsidRPr="00B82EF7">
        <w:rPr>
          <w:rFonts w:asciiTheme="majorBidi" w:hAnsiTheme="majorBidi" w:cstheme="majorBidi"/>
          <w:noProof/>
          <w:sz w:val="22"/>
          <w:szCs w:val="22"/>
          <w:lang w:val="sr-Latn-ME"/>
        </w:rPr>
        <w:t>natrijum je značajno snizio incidencu VTE u odnosu na placebo. Podaci o efikasnosti su navedeni u tabeli u nastavku.</w:t>
      </w:r>
    </w:p>
    <w:p w14:paraId="46F49754" w14:textId="77777777" w:rsidR="004E2355" w:rsidRPr="00B82EF7" w:rsidRDefault="004E2355" w:rsidP="004E2355">
      <w:pPr>
        <w:jc w:val="both"/>
        <w:rPr>
          <w:rFonts w:asciiTheme="majorBidi" w:hAnsiTheme="majorBidi" w:cstheme="majorBidi"/>
          <w:noProof/>
          <w:sz w:val="22"/>
          <w:szCs w:val="22"/>
          <w:lang w:val="sr-Latn-ME"/>
        </w:rPr>
      </w:pPr>
    </w:p>
    <w:tbl>
      <w:tblPr>
        <w:tblStyle w:val="TableGrid"/>
        <w:tblW w:w="0" w:type="auto"/>
        <w:tblLook w:val="04A0" w:firstRow="1" w:lastRow="0" w:firstColumn="1" w:lastColumn="0" w:noHBand="0" w:noVBand="1"/>
      </w:tblPr>
      <w:tblGrid>
        <w:gridCol w:w="2379"/>
        <w:gridCol w:w="2300"/>
        <w:gridCol w:w="2300"/>
        <w:gridCol w:w="2084"/>
      </w:tblGrid>
      <w:tr w:rsidR="004E2355" w:rsidRPr="00B82EF7" w14:paraId="44C3EDC2" w14:textId="77777777" w:rsidTr="00683C8C">
        <w:tc>
          <w:tcPr>
            <w:tcW w:w="2515" w:type="dxa"/>
            <w:vAlign w:val="center"/>
          </w:tcPr>
          <w:p w14:paraId="305E54DF"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p>
        </w:tc>
        <w:tc>
          <w:tcPr>
            <w:tcW w:w="2430" w:type="dxa"/>
            <w:vAlign w:val="center"/>
          </w:tcPr>
          <w:p w14:paraId="2DEAC34F" w14:textId="71787771" w:rsidR="004E2355" w:rsidRPr="00B82EF7" w:rsidRDefault="007E1FF7"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 xml:space="preserve">Enoksaparin </w:t>
            </w:r>
            <w:r w:rsidR="004E2355" w:rsidRPr="00B82EF7">
              <w:rPr>
                <w:rFonts w:asciiTheme="majorBidi" w:hAnsiTheme="majorBidi" w:cstheme="majorBidi"/>
                <w:b/>
                <w:noProof/>
                <w:sz w:val="22"/>
                <w:szCs w:val="22"/>
                <w:lang w:val="sr-Latn-ME"/>
              </w:rPr>
              <w:t xml:space="preserve">natrijum </w:t>
            </w:r>
            <w:r w:rsidRPr="00B82EF7">
              <w:rPr>
                <w:rFonts w:asciiTheme="majorBidi" w:hAnsiTheme="majorBidi" w:cstheme="majorBidi"/>
                <w:b/>
                <w:noProof/>
                <w:sz w:val="22"/>
                <w:szCs w:val="22"/>
                <w:lang w:val="sr-Latn-ME"/>
              </w:rPr>
              <w:t>2000</w:t>
            </w:r>
            <w:r w:rsidR="004E2355" w:rsidRPr="00B82EF7">
              <w:rPr>
                <w:rFonts w:asciiTheme="majorBidi" w:hAnsiTheme="majorBidi" w:cstheme="majorBidi"/>
                <w:b/>
                <w:noProof/>
                <w:sz w:val="22"/>
                <w:szCs w:val="22"/>
                <w:lang w:val="sr-Latn-ME"/>
              </w:rPr>
              <w:t xml:space="preserve"> i.j. (20 mg) jednom dnevno s.c.</w:t>
            </w:r>
          </w:p>
          <w:p w14:paraId="22536E70"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c>
          <w:tcPr>
            <w:tcW w:w="2430" w:type="dxa"/>
            <w:vAlign w:val="center"/>
          </w:tcPr>
          <w:p w14:paraId="75C09620" w14:textId="358B2589" w:rsidR="004E2355" w:rsidRPr="00B82EF7" w:rsidRDefault="007E1FF7"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 xml:space="preserve">Enoksaparin </w:t>
            </w:r>
            <w:r w:rsidR="004E2355" w:rsidRPr="00B82EF7">
              <w:rPr>
                <w:rFonts w:asciiTheme="majorBidi" w:hAnsiTheme="majorBidi" w:cstheme="majorBidi"/>
                <w:b/>
                <w:noProof/>
                <w:sz w:val="22"/>
                <w:szCs w:val="22"/>
                <w:lang w:val="sr-Latn-ME"/>
              </w:rPr>
              <w:t xml:space="preserve">natrijum </w:t>
            </w:r>
            <w:r w:rsidRPr="00B82EF7">
              <w:rPr>
                <w:rFonts w:asciiTheme="majorBidi" w:hAnsiTheme="majorBidi" w:cstheme="majorBidi"/>
                <w:b/>
                <w:noProof/>
                <w:sz w:val="22"/>
                <w:szCs w:val="22"/>
                <w:lang w:val="sr-Latn-ME"/>
              </w:rPr>
              <w:t>4000</w:t>
            </w:r>
            <w:r w:rsidR="004E2355" w:rsidRPr="00B82EF7">
              <w:rPr>
                <w:rFonts w:asciiTheme="majorBidi" w:hAnsiTheme="majorBidi" w:cstheme="majorBidi"/>
                <w:b/>
                <w:noProof/>
                <w:sz w:val="22"/>
                <w:szCs w:val="22"/>
                <w:lang w:val="sr-Latn-ME"/>
              </w:rPr>
              <w:t xml:space="preserve"> i.j. (40 mg) jednom dnevno s.c.</w:t>
            </w:r>
          </w:p>
          <w:p w14:paraId="784C48DA"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c>
          <w:tcPr>
            <w:tcW w:w="2254" w:type="dxa"/>
            <w:vAlign w:val="center"/>
          </w:tcPr>
          <w:p w14:paraId="2193BD85"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Placebo</w:t>
            </w:r>
          </w:p>
          <w:p w14:paraId="3BDA6791"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r>
      <w:tr w:rsidR="004E2355" w:rsidRPr="00B82EF7" w14:paraId="1F808162" w14:textId="77777777" w:rsidTr="00683C8C">
        <w:tc>
          <w:tcPr>
            <w:tcW w:w="2515" w:type="dxa"/>
          </w:tcPr>
          <w:p w14:paraId="2B84FB47" w14:textId="77777777" w:rsidR="004E2355" w:rsidRPr="00B82EF7" w:rsidRDefault="004E2355" w:rsidP="004E2355">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Svi internistički pacijenti koji su primali terapiju tokom akutne bolesti</w:t>
            </w:r>
          </w:p>
        </w:tc>
        <w:tc>
          <w:tcPr>
            <w:tcW w:w="2430" w:type="dxa"/>
            <w:vAlign w:val="center"/>
          </w:tcPr>
          <w:p w14:paraId="27A8976E"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287 (100)</w:t>
            </w:r>
          </w:p>
        </w:tc>
        <w:tc>
          <w:tcPr>
            <w:tcW w:w="2430" w:type="dxa"/>
            <w:vAlign w:val="center"/>
          </w:tcPr>
          <w:p w14:paraId="09C61920"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291 (100)</w:t>
            </w:r>
          </w:p>
        </w:tc>
        <w:tc>
          <w:tcPr>
            <w:tcW w:w="2254" w:type="dxa"/>
            <w:vAlign w:val="center"/>
          </w:tcPr>
          <w:p w14:paraId="0FBEA304"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288 (100)</w:t>
            </w:r>
          </w:p>
        </w:tc>
      </w:tr>
      <w:tr w:rsidR="004E2355" w:rsidRPr="00B82EF7" w14:paraId="6467FD85" w14:textId="77777777" w:rsidTr="00683C8C">
        <w:tc>
          <w:tcPr>
            <w:tcW w:w="2515" w:type="dxa"/>
          </w:tcPr>
          <w:p w14:paraId="1FF05788" w14:textId="77777777" w:rsidR="004E2355" w:rsidRPr="00B82EF7" w:rsidRDefault="004E2355" w:rsidP="004E2355">
            <w:pPr>
              <w:tabs>
                <w:tab w:val="left" w:pos="284"/>
              </w:tabs>
              <w:spacing w:after="120"/>
              <w:jc w:val="both"/>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Ukupna VTE</w:t>
            </w:r>
          </w:p>
        </w:tc>
        <w:tc>
          <w:tcPr>
            <w:tcW w:w="2430" w:type="dxa"/>
            <w:vAlign w:val="center"/>
          </w:tcPr>
          <w:p w14:paraId="625AC875"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43 (15,0)</w:t>
            </w:r>
          </w:p>
        </w:tc>
        <w:tc>
          <w:tcPr>
            <w:tcW w:w="2430" w:type="dxa"/>
            <w:vAlign w:val="center"/>
          </w:tcPr>
          <w:p w14:paraId="4FC9185B"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16 (5,5)</w:t>
            </w:r>
          </w:p>
        </w:tc>
        <w:tc>
          <w:tcPr>
            <w:tcW w:w="2254" w:type="dxa"/>
            <w:vAlign w:val="center"/>
          </w:tcPr>
          <w:p w14:paraId="70B82B74"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43 (14,9)</w:t>
            </w:r>
          </w:p>
        </w:tc>
      </w:tr>
      <w:tr w:rsidR="004E2355" w:rsidRPr="00B82EF7" w14:paraId="08127F40" w14:textId="77777777" w:rsidTr="00683C8C">
        <w:tc>
          <w:tcPr>
            <w:tcW w:w="2515" w:type="dxa"/>
          </w:tcPr>
          <w:p w14:paraId="0475C53D" w14:textId="77777777" w:rsidR="004E2355" w:rsidRPr="00B82EF7" w:rsidRDefault="004E2355" w:rsidP="004E2355">
            <w:pPr>
              <w:numPr>
                <w:ilvl w:val="0"/>
                <w:numId w:val="34"/>
              </w:numPr>
              <w:tabs>
                <w:tab w:val="left" w:pos="284"/>
              </w:tabs>
              <w:spacing w:after="120"/>
              <w:ind w:left="157" w:hanging="15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Ukupna DVT (%)</w:t>
            </w:r>
          </w:p>
        </w:tc>
        <w:tc>
          <w:tcPr>
            <w:tcW w:w="2430" w:type="dxa"/>
            <w:vAlign w:val="center"/>
          </w:tcPr>
          <w:p w14:paraId="351C7A8B"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43 (15,0)</w:t>
            </w:r>
          </w:p>
        </w:tc>
        <w:tc>
          <w:tcPr>
            <w:tcW w:w="2430" w:type="dxa"/>
            <w:vAlign w:val="center"/>
          </w:tcPr>
          <w:p w14:paraId="209607FB"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16 (5,5)</w:t>
            </w:r>
          </w:p>
        </w:tc>
        <w:tc>
          <w:tcPr>
            <w:tcW w:w="2254" w:type="dxa"/>
            <w:vAlign w:val="center"/>
          </w:tcPr>
          <w:p w14:paraId="36BCE7B9"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40 (13,9)</w:t>
            </w:r>
          </w:p>
        </w:tc>
      </w:tr>
      <w:tr w:rsidR="004E2355" w:rsidRPr="00B82EF7" w14:paraId="2997A49E" w14:textId="77777777" w:rsidTr="00683C8C">
        <w:tc>
          <w:tcPr>
            <w:tcW w:w="2515" w:type="dxa"/>
          </w:tcPr>
          <w:p w14:paraId="48A861F6" w14:textId="77777777" w:rsidR="004E2355" w:rsidRPr="00B82EF7" w:rsidRDefault="004E2355" w:rsidP="004E2355">
            <w:pPr>
              <w:numPr>
                <w:ilvl w:val="0"/>
                <w:numId w:val="34"/>
              </w:numPr>
              <w:tabs>
                <w:tab w:val="left" w:pos="284"/>
              </w:tabs>
              <w:spacing w:after="120"/>
              <w:ind w:left="157" w:hanging="15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Proksimalna DVT (%)</w:t>
            </w:r>
          </w:p>
        </w:tc>
        <w:tc>
          <w:tcPr>
            <w:tcW w:w="2430" w:type="dxa"/>
            <w:vAlign w:val="center"/>
          </w:tcPr>
          <w:p w14:paraId="7EC2FE8B"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13 (4,5)</w:t>
            </w:r>
          </w:p>
        </w:tc>
        <w:tc>
          <w:tcPr>
            <w:tcW w:w="2430" w:type="dxa"/>
            <w:vAlign w:val="center"/>
          </w:tcPr>
          <w:p w14:paraId="19AC1515"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5 (1,7)</w:t>
            </w:r>
          </w:p>
        </w:tc>
        <w:tc>
          <w:tcPr>
            <w:tcW w:w="2254" w:type="dxa"/>
            <w:vAlign w:val="center"/>
          </w:tcPr>
          <w:p w14:paraId="79B18065"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14 (4,9)</w:t>
            </w:r>
          </w:p>
        </w:tc>
      </w:tr>
      <w:tr w:rsidR="004E2355" w:rsidRPr="00B82EF7" w14:paraId="448D5A85" w14:textId="77777777" w:rsidTr="00683C8C">
        <w:tc>
          <w:tcPr>
            <w:tcW w:w="9629" w:type="dxa"/>
            <w:gridSpan w:val="4"/>
          </w:tcPr>
          <w:p w14:paraId="39931A0A" w14:textId="77777777"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VTE = venski tromboembolijski događaji koji su uključivali DVT, PE i smrtne slučajeve za koje se smatralo da im je uzrok tromboembolija</w:t>
            </w:r>
          </w:p>
          <w:p w14:paraId="5B5AC6E6" w14:textId="77777777"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u odnosu na placebo = 0,0002</w:t>
            </w:r>
          </w:p>
        </w:tc>
      </w:tr>
    </w:tbl>
    <w:p w14:paraId="7DD6688B" w14:textId="77777777" w:rsidR="004E2355" w:rsidRPr="00B82EF7" w:rsidRDefault="004E2355" w:rsidP="004E2355">
      <w:pPr>
        <w:jc w:val="both"/>
        <w:rPr>
          <w:rFonts w:asciiTheme="majorBidi" w:hAnsiTheme="majorBidi" w:cstheme="majorBidi"/>
          <w:noProof/>
          <w:sz w:val="22"/>
          <w:szCs w:val="22"/>
          <w:lang w:val="sr-Latn-ME"/>
        </w:rPr>
      </w:pPr>
    </w:p>
    <w:p w14:paraId="3032B5FC" w14:textId="1E2300E0" w:rsidR="0041183D" w:rsidRPr="00B82EF7" w:rsidRDefault="004E2355" w:rsidP="00926AFA">
      <w:pPr>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Približno 3 m</w:t>
      </w:r>
      <w:r w:rsidR="007E1FF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eseca nakon uključivanja u studiju, incidenca VTE i dalje je bila značajno niža </w:t>
      </w:r>
      <w:r w:rsidR="007E1FF7" w:rsidRPr="00B82EF7">
        <w:rPr>
          <w:rFonts w:asciiTheme="majorBidi" w:hAnsiTheme="majorBidi" w:cstheme="majorBidi"/>
          <w:noProof/>
          <w:sz w:val="22"/>
          <w:szCs w:val="22"/>
          <w:lang w:val="sr-Latn-ME"/>
        </w:rPr>
        <w:t xml:space="preserve">u grupi na terapiji enoksaparin </w:t>
      </w:r>
      <w:r w:rsidRPr="00B82EF7">
        <w:rPr>
          <w:rFonts w:asciiTheme="majorBidi" w:hAnsiTheme="majorBidi" w:cstheme="majorBidi"/>
          <w:noProof/>
          <w:sz w:val="22"/>
          <w:szCs w:val="22"/>
          <w:lang w:val="sr-Latn-ME"/>
        </w:rPr>
        <w:t xml:space="preserve">natrijumom u dozi od 4000 i.j. (40 mg) nego u grupi koja je primala placebo. </w:t>
      </w:r>
    </w:p>
    <w:p w14:paraId="2C9ECA0D" w14:textId="58A963BA" w:rsidR="004E2355" w:rsidRPr="00B82EF7" w:rsidRDefault="004E2355" w:rsidP="00926AFA">
      <w:pPr>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Stopa svih krvarenja i većih krvarenja iznosila je 8,6% odnosno 1,1% u grupi koja je primala placebo, 11,7% odnosno 0,3% u grupi na terapiji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om u dozi od </w:t>
      </w:r>
      <w:r w:rsidR="007E1FF7" w:rsidRPr="00B82EF7">
        <w:rPr>
          <w:rFonts w:asciiTheme="majorBidi" w:hAnsiTheme="majorBidi" w:cstheme="majorBidi"/>
          <w:noProof/>
          <w:sz w:val="22"/>
          <w:szCs w:val="22"/>
          <w:lang w:val="sr-Latn-ME"/>
        </w:rPr>
        <w:t>2000</w:t>
      </w:r>
      <w:r w:rsidRPr="00B82EF7">
        <w:rPr>
          <w:rFonts w:asciiTheme="majorBidi" w:hAnsiTheme="majorBidi" w:cstheme="majorBidi"/>
          <w:noProof/>
          <w:sz w:val="22"/>
          <w:szCs w:val="22"/>
          <w:lang w:val="sr-Latn-ME"/>
        </w:rPr>
        <w:t xml:space="preserve"> i.j. (20 mg) i 12,6% odnosno 1,7% u grupi na terapiji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om u dozi od </w:t>
      </w:r>
      <w:r w:rsidR="007E1FF7" w:rsidRPr="00B82EF7">
        <w:rPr>
          <w:rFonts w:asciiTheme="majorBidi" w:hAnsiTheme="majorBidi" w:cstheme="majorBidi"/>
          <w:noProof/>
          <w:sz w:val="22"/>
          <w:szCs w:val="22"/>
          <w:lang w:val="sr-Latn-ME"/>
        </w:rPr>
        <w:t>4 000</w:t>
      </w:r>
      <w:r w:rsidRPr="00B82EF7">
        <w:rPr>
          <w:rFonts w:asciiTheme="majorBidi" w:hAnsiTheme="majorBidi" w:cstheme="majorBidi"/>
          <w:noProof/>
          <w:sz w:val="22"/>
          <w:szCs w:val="22"/>
          <w:lang w:val="sr-Latn-ME"/>
        </w:rPr>
        <w:t xml:space="preserve"> i.j. (40 mg).</w:t>
      </w:r>
    </w:p>
    <w:p w14:paraId="62BA1E9A" w14:textId="77777777" w:rsidR="004E2355" w:rsidRPr="00B82EF7" w:rsidRDefault="004E2355" w:rsidP="007E1FF7">
      <w:pPr>
        <w:tabs>
          <w:tab w:val="left" w:pos="284"/>
        </w:tabs>
        <w:jc w:val="both"/>
        <w:rPr>
          <w:rFonts w:asciiTheme="majorBidi" w:hAnsiTheme="majorBidi" w:cstheme="majorBidi"/>
          <w:noProof/>
          <w:sz w:val="22"/>
          <w:szCs w:val="22"/>
          <w:lang w:val="sr-Latn-ME"/>
        </w:rPr>
      </w:pPr>
    </w:p>
    <w:p w14:paraId="1934D789" w14:textId="77777777"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Terapija duboke venske tromboze praćene plućnom embolijom ili bez nje </w:t>
      </w:r>
    </w:p>
    <w:p w14:paraId="1B3D513A" w14:textId="68D209DB"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multicentričnoj studiji sa paralelnim grupama, 900 pacijenata sa akutnom DVT donjih ekstremiteta, sa ili bez PE, bilo je randomizovano za bolničko l</w:t>
      </w:r>
      <w:r w:rsidR="007E1FF7" w:rsidRPr="00B82EF7">
        <w:rPr>
          <w:rFonts w:asciiTheme="majorBidi" w:hAnsiTheme="majorBidi" w:cstheme="majorBidi"/>
          <w:noProof/>
          <w:sz w:val="22"/>
          <w:szCs w:val="22"/>
          <w:lang w:val="sr-Latn-ME"/>
        </w:rPr>
        <w:t xml:space="preserve">iječenje (i) enoksaparin </w:t>
      </w:r>
      <w:r w:rsidRPr="00B82EF7">
        <w:rPr>
          <w:rFonts w:asciiTheme="majorBidi" w:hAnsiTheme="majorBidi" w:cstheme="majorBidi"/>
          <w:noProof/>
          <w:sz w:val="22"/>
          <w:szCs w:val="22"/>
          <w:lang w:val="sr-Latn-ME"/>
        </w:rPr>
        <w:t xml:space="preserve">natrijumom u dozi od 150 i.j./kg (1,5 mg/kg) s.c. </w:t>
      </w:r>
      <w:r w:rsidR="007E1FF7" w:rsidRPr="00B82EF7">
        <w:rPr>
          <w:rFonts w:asciiTheme="majorBidi" w:hAnsiTheme="majorBidi" w:cstheme="majorBidi"/>
          <w:noProof/>
          <w:sz w:val="22"/>
          <w:szCs w:val="22"/>
          <w:lang w:val="sr-Latn-ME"/>
        </w:rPr>
        <w:t xml:space="preserve">jednom dnevno, (ii) enoksaparin </w:t>
      </w:r>
      <w:r w:rsidRPr="00B82EF7">
        <w:rPr>
          <w:rFonts w:asciiTheme="majorBidi" w:hAnsiTheme="majorBidi" w:cstheme="majorBidi"/>
          <w:noProof/>
          <w:sz w:val="22"/>
          <w:szCs w:val="22"/>
          <w:lang w:val="sr-Latn-ME"/>
        </w:rPr>
        <w:t>natrijumom u dozi od 100 i.j./kg (1 mg/kg) s.c. svakih 12 sati ili (iii) intravenskim bolusom heparina (</w:t>
      </w:r>
      <w:r w:rsidR="007E1FF7" w:rsidRPr="00B82EF7">
        <w:rPr>
          <w:rFonts w:asciiTheme="majorBidi" w:hAnsiTheme="majorBidi" w:cstheme="majorBidi"/>
          <w:noProof/>
          <w:sz w:val="22"/>
          <w:szCs w:val="22"/>
          <w:lang w:val="sr-Latn-ME"/>
        </w:rPr>
        <w:t>5000</w:t>
      </w:r>
      <w:r w:rsidRPr="00B82EF7">
        <w:rPr>
          <w:rFonts w:asciiTheme="majorBidi" w:hAnsiTheme="majorBidi" w:cstheme="majorBidi"/>
          <w:noProof/>
          <w:sz w:val="22"/>
          <w:szCs w:val="22"/>
          <w:lang w:val="sr-Latn-ME"/>
        </w:rPr>
        <w:t xml:space="preserve"> i.j.) nakon čega je usl</w:t>
      </w:r>
      <w:r w:rsidR="007E1FF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edila kontinuirana infuzija (prim</w:t>
      </w:r>
      <w:r w:rsidR="007E1FF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enjena radi postizanja aPTT od 55 do 85 sekundi). U studiju je bilo uključeno ukupno 900 pacijenta, i svi su primali terapiju. Svi pacijenti su primali i </w:t>
      </w:r>
      <w:r w:rsidRPr="00B82EF7">
        <w:rPr>
          <w:rFonts w:asciiTheme="majorBidi" w:hAnsiTheme="majorBidi" w:cstheme="majorBidi"/>
          <w:bCs/>
          <w:noProof/>
          <w:sz w:val="22"/>
          <w:szCs w:val="22"/>
          <w:lang w:val="sr-Latn-ME"/>
        </w:rPr>
        <w:t>varfarin</w:t>
      </w:r>
      <w:r w:rsidR="007E1FF7" w:rsidRPr="00B82EF7">
        <w:rPr>
          <w:rFonts w:asciiTheme="majorBidi" w:hAnsiTheme="majorBidi" w:cstheme="majorBidi"/>
          <w:noProof/>
          <w:sz w:val="22"/>
          <w:szCs w:val="22"/>
          <w:lang w:val="sr-Latn-ME"/>
        </w:rPr>
        <w:t xml:space="preserve"> </w:t>
      </w:r>
      <w:r w:rsidRPr="00B82EF7">
        <w:rPr>
          <w:rFonts w:asciiTheme="majorBidi" w:hAnsiTheme="majorBidi" w:cstheme="majorBidi"/>
          <w:bCs/>
          <w:noProof/>
          <w:sz w:val="22"/>
          <w:szCs w:val="22"/>
          <w:lang w:val="sr-Latn-ME"/>
        </w:rPr>
        <w:t>natrijum</w:t>
      </w:r>
      <w:r w:rsidRPr="00B82EF7">
        <w:rPr>
          <w:rFonts w:asciiTheme="majorBidi" w:hAnsiTheme="majorBidi" w:cstheme="majorBidi"/>
          <w:noProof/>
          <w:sz w:val="22"/>
          <w:szCs w:val="22"/>
          <w:lang w:val="sr-Latn-ME"/>
        </w:rPr>
        <w:t xml:space="preserve"> (doza prilagođena prema protrombinskom vremenu radi postizanja INR od 2,0 do 3,0), počevši 72 sata nak</w:t>
      </w:r>
      <w:r w:rsidR="007E1FF7" w:rsidRPr="00B82EF7">
        <w:rPr>
          <w:rFonts w:asciiTheme="majorBidi" w:hAnsiTheme="majorBidi" w:cstheme="majorBidi"/>
          <w:noProof/>
          <w:sz w:val="22"/>
          <w:szCs w:val="22"/>
          <w:lang w:val="sr-Latn-ME"/>
        </w:rPr>
        <w:t xml:space="preserve">on početka terapije enoksaparin </w:t>
      </w:r>
      <w:r w:rsidRPr="00B82EF7">
        <w:rPr>
          <w:rFonts w:asciiTheme="majorBidi" w:hAnsiTheme="majorBidi" w:cstheme="majorBidi"/>
          <w:noProof/>
          <w:sz w:val="22"/>
          <w:szCs w:val="22"/>
          <w:lang w:val="sr-Latn-ME"/>
        </w:rPr>
        <w:t>natrijumom ili standardnim heparinom, pa tokom perioda o</w:t>
      </w:r>
      <w:r w:rsidR="007E1FF7" w:rsidRPr="00B82EF7">
        <w:rPr>
          <w:rFonts w:asciiTheme="majorBidi" w:hAnsiTheme="majorBidi" w:cstheme="majorBidi"/>
          <w:noProof/>
          <w:sz w:val="22"/>
          <w:szCs w:val="22"/>
          <w:lang w:val="sr-Latn-ME"/>
        </w:rPr>
        <w:t xml:space="preserve">d 90 dana. Terapija enoksaparin </w:t>
      </w:r>
      <w:r w:rsidRPr="00B82EF7">
        <w:rPr>
          <w:rFonts w:asciiTheme="majorBidi" w:hAnsiTheme="majorBidi" w:cstheme="majorBidi"/>
          <w:noProof/>
          <w:sz w:val="22"/>
          <w:szCs w:val="22"/>
          <w:lang w:val="sr-Latn-ME"/>
        </w:rPr>
        <w:t>natrijumom ili standardnim heparinom prim</w:t>
      </w:r>
      <w:r w:rsidR="007E1FF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enjivala se tokom najmanje 5 dana i do pos</w:t>
      </w:r>
      <w:r w:rsidR="007E1FF7" w:rsidRPr="00B82EF7">
        <w:rPr>
          <w:rFonts w:asciiTheme="majorBidi" w:hAnsiTheme="majorBidi" w:cstheme="majorBidi"/>
          <w:noProof/>
          <w:sz w:val="22"/>
          <w:szCs w:val="22"/>
          <w:lang w:val="sr-Latn-ME"/>
        </w:rPr>
        <w:t xml:space="preserve">tizanja ciljnog INR uz varfarin </w:t>
      </w:r>
      <w:r w:rsidRPr="00B82EF7">
        <w:rPr>
          <w:rFonts w:asciiTheme="majorBidi" w:hAnsiTheme="majorBidi" w:cstheme="majorBidi"/>
          <w:noProof/>
          <w:sz w:val="22"/>
          <w:szCs w:val="22"/>
          <w:lang w:val="sr-Latn-ME"/>
        </w:rPr>
        <w:t>natrijum. Oba režima l</w:t>
      </w:r>
      <w:r w:rsidR="007E1FF7" w:rsidRPr="00B82EF7">
        <w:rPr>
          <w:rFonts w:asciiTheme="majorBidi" w:hAnsiTheme="majorBidi" w:cstheme="majorBidi"/>
          <w:noProof/>
          <w:sz w:val="22"/>
          <w:szCs w:val="22"/>
          <w:lang w:val="sr-Latn-ME"/>
        </w:rPr>
        <w:t xml:space="preserve">iječenja enoksaparin </w:t>
      </w:r>
      <w:r w:rsidRPr="00B82EF7">
        <w:rPr>
          <w:rFonts w:asciiTheme="majorBidi" w:hAnsiTheme="majorBidi" w:cstheme="majorBidi"/>
          <w:noProof/>
          <w:sz w:val="22"/>
          <w:szCs w:val="22"/>
          <w:lang w:val="sr-Latn-ME"/>
        </w:rPr>
        <w:t>natrijumom bila su ekvivalentna terapiji standardnim heparinom u pogledu smanjenja rizika od rekurentne venske tromboembolije (DVT sa ili bez PE). Podaci o efikasnosti su navedeni u tabeli u nastavku.</w:t>
      </w:r>
    </w:p>
    <w:p w14:paraId="1A61E93A" w14:textId="77777777" w:rsidR="004E2355" w:rsidRPr="00B82EF7" w:rsidRDefault="004E2355" w:rsidP="007E1FF7">
      <w:pPr>
        <w:tabs>
          <w:tab w:val="left" w:pos="284"/>
        </w:tabs>
        <w:jc w:val="both"/>
        <w:rPr>
          <w:rFonts w:asciiTheme="majorBidi" w:hAnsiTheme="majorBidi" w:cstheme="majorBidi"/>
          <w:noProof/>
          <w:sz w:val="22"/>
          <w:szCs w:val="22"/>
          <w:lang w:val="sr-Latn-ME"/>
        </w:rPr>
      </w:pPr>
    </w:p>
    <w:tbl>
      <w:tblPr>
        <w:tblStyle w:val="TableGrid"/>
        <w:tblW w:w="0" w:type="auto"/>
        <w:tblLook w:val="04A0" w:firstRow="1" w:lastRow="0" w:firstColumn="1" w:lastColumn="0" w:noHBand="0" w:noVBand="1"/>
      </w:tblPr>
      <w:tblGrid>
        <w:gridCol w:w="2282"/>
        <w:gridCol w:w="2278"/>
        <w:gridCol w:w="2278"/>
        <w:gridCol w:w="2225"/>
      </w:tblGrid>
      <w:tr w:rsidR="004E2355" w:rsidRPr="00B82EF7" w14:paraId="188DD816" w14:textId="77777777" w:rsidTr="00683C8C">
        <w:tc>
          <w:tcPr>
            <w:tcW w:w="2425" w:type="dxa"/>
            <w:vAlign w:val="center"/>
          </w:tcPr>
          <w:p w14:paraId="393D10AA"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p>
        </w:tc>
        <w:tc>
          <w:tcPr>
            <w:tcW w:w="2430" w:type="dxa"/>
            <w:vAlign w:val="center"/>
          </w:tcPr>
          <w:p w14:paraId="76B5253E"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Enoksaparin</w:t>
            </w:r>
            <w:r w:rsidR="007E1FF7" w:rsidRPr="00B82EF7">
              <w:rPr>
                <w:rFonts w:asciiTheme="majorBidi" w:hAnsiTheme="majorBidi" w:cstheme="majorBidi"/>
                <w:b/>
                <w:noProof/>
                <w:sz w:val="22"/>
                <w:szCs w:val="22"/>
                <w:lang w:val="sr-Latn-ME"/>
              </w:rPr>
              <w:t xml:space="preserve"> </w:t>
            </w:r>
            <w:r w:rsidRPr="00B82EF7">
              <w:rPr>
                <w:rFonts w:asciiTheme="majorBidi" w:hAnsiTheme="majorBidi" w:cstheme="majorBidi"/>
                <w:b/>
                <w:noProof/>
                <w:sz w:val="22"/>
                <w:szCs w:val="22"/>
                <w:lang w:val="sr-Latn-ME"/>
              </w:rPr>
              <w:t>natrijum 150 i.j./kg (1,5 mg/kg) jednom dnevno s.c.</w:t>
            </w:r>
          </w:p>
          <w:p w14:paraId="1E62B369"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c>
          <w:tcPr>
            <w:tcW w:w="2430" w:type="dxa"/>
            <w:vAlign w:val="center"/>
          </w:tcPr>
          <w:p w14:paraId="4B898E99" w14:textId="77777777" w:rsidR="004E2355" w:rsidRPr="00B82EF7" w:rsidRDefault="007E1FF7"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 xml:space="preserve">Enoksaparin </w:t>
            </w:r>
            <w:r w:rsidR="004E2355" w:rsidRPr="00B82EF7">
              <w:rPr>
                <w:rFonts w:asciiTheme="majorBidi" w:hAnsiTheme="majorBidi" w:cstheme="majorBidi"/>
                <w:b/>
                <w:noProof/>
                <w:sz w:val="22"/>
                <w:szCs w:val="22"/>
                <w:lang w:val="sr-Latn-ME"/>
              </w:rPr>
              <w:t>natrijum 100 i.j./kg (1 mg/kg) dvaput dnevno s.c.</w:t>
            </w:r>
          </w:p>
          <w:p w14:paraId="77305A0C"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n (%)</w:t>
            </w:r>
          </w:p>
        </w:tc>
        <w:tc>
          <w:tcPr>
            <w:tcW w:w="2344" w:type="dxa"/>
            <w:vAlign w:val="center"/>
          </w:tcPr>
          <w:tbl>
            <w:tblPr>
              <w:tblW w:w="0" w:type="auto"/>
              <w:tblBorders>
                <w:top w:val="nil"/>
                <w:left w:val="nil"/>
                <w:bottom w:val="nil"/>
                <w:right w:val="nil"/>
              </w:tblBorders>
              <w:tblLook w:val="0000" w:firstRow="0" w:lastRow="0" w:firstColumn="0" w:lastColumn="0" w:noHBand="0" w:noVBand="0"/>
            </w:tblPr>
            <w:tblGrid>
              <w:gridCol w:w="2009"/>
            </w:tblGrid>
            <w:tr w:rsidR="004E2355" w:rsidRPr="00B82EF7" w14:paraId="2BE79628" w14:textId="77777777" w:rsidTr="00683C8C">
              <w:trPr>
                <w:trHeight w:val="615"/>
              </w:trPr>
              <w:tc>
                <w:tcPr>
                  <w:tcW w:w="0" w:type="auto"/>
                </w:tcPr>
                <w:p w14:paraId="14FB6FBB" w14:textId="77777777" w:rsidR="004E2355" w:rsidRPr="00B82EF7" w:rsidRDefault="004E2355" w:rsidP="004E2355">
                  <w:pPr>
                    <w:tabs>
                      <w:tab w:val="left" w:pos="284"/>
                    </w:tabs>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 xml:space="preserve">Heparin – </w:t>
                  </w:r>
                </w:p>
                <w:p w14:paraId="0CFA05AB" w14:textId="77777777" w:rsidR="004E2355" w:rsidRPr="00B82EF7" w:rsidRDefault="004E2355" w:rsidP="004E2355">
                  <w:pPr>
                    <w:tabs>
                      <w:tab w:val="left" w:pos="284"/>
                    </w:tabs>
                    <w:jc w:val="center"/>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 xml:space="preserve">i.v. terapija prilagođena prema aPTT </w:t>
                  </w:r>
                </w:p>
                <w:p w14:paraId="6EB83574"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r w:rsidRPr="00B82EF7">
                    <w:rPr>
                      <w:rFonts w:asciiTheme="majorBidi" w:hAnsiTheme="majorBidi" w:cstheme="majorBidi"/>
                      <w:b/>
                      <w:bCs/>
                      <w:noProof/>
                      <w:sz w:val="22"/>
                      <w:szCs w:val="22"/>
                      <w:lang w:val="sr-Latn-ME"/>
                    </w:rPr>
                    <w:t xml:space="preserve">n (%) </w:t>
                  </w:r>
                </w:p>
              </w:tc>
            </w:tr>
          </w:tbl>
          <w:p w14:paraId="6E784F79" w14:textId="77777777" w:rsidR="004E2355" w:rsidRPr="00B82EF7" w:rsidRDefault="004E2355" w:rsidP="004E2355">
            <w:pPr>
              <w:tabs>
                <w:tab w:val="left" w:pos="284"/>
              </w:tabs>
              <w:jc w:val="center"/>
              <w:rPr>
                <w:rFonts w:asciiTheme="majorBidi" w:hAnsiTheme="majorBidi" w:cstheme="majorBidi"/>
                <w:b/>
                <w:noProof/>
                <w:sz w:val="22"/>
                <w:szCs w:val="22"/>
                <w:lang w:val="sr-Latn-ME"/>
              </w:rPr>
            </w:pPr>
          </w:p>
        </w:tc>
      </w:tr>
      <w:tr w:rsidR="004E2355" w:rsidRPr="00B82EF7" w14:paraId="20EB27EC" w14:textId="77777777" w:rsidTr="00683C8C">
        <w:tc>
          <w:tcPr>
            <w:tcW w:w="2425" w:type="dxa"/>
          </w:tcPr>
          <w:p w14:paraId="14A772AD" w14:textId="77777777" w:rsidR="004E2355" w:rsidRPr="00B82EF7" w:rsidRDefault="004E2355" w:rsidP="006B1403">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Svi l</w:t>
            </w:r>
            <w:r w:rsidR="007E1FF7" w:rsidRPr="00B82EF7">
              <w:rPr>
                <w:rFonts w:asciiTheme="majorBidi" w:hAnsiTheme="majorBidi" w:cstheme="majorBidi"/>
                <w:b/>
                <w:noProof/>
                <w:sz w:val="22"/>
                <w:szCs w:val="22"/>
                <w:lang w:val="sr-Latn-ME"/>
              </w:rPr>
              <w:t>ij</w:t>
            </w:r>
            <w:r w:rsidRPr="00B82EF7">
              <w:rPr>
                <w:rFonts w:asciiTheme="majorBidi" w:hAnsiTheme="majorBidi" w:cstheme="majorBidi"/>
                <w:b/>
                <w:noProof/>
                <w:sz w:val="22"/>
                <w:szCs w:val="22"/>
                <w:lang w:val="sr-Latn-ME"/>
              </w:rPr>
              <w:t>ečeni pacijenti sa DVT sa ili bez PE</w:t>
            </w:r>
          </w:p>
        </w:tc>
        <w:tc>
          <w:tcPr>
            <w:tcW w:w="2430" w:type="dxa"/>
            <w:vAlign w:val="center"/>
          </w:tcPr>
          <w:p w14:paraId="76E7108A"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298 (100)</w:t>
            </w:r>
          </w:p>
        </w:tc>
        <w:tc>
          <w:tcPr>
            <w:tcW w:w="2430" w:type="dxa"/>
            <w:vAlign w:val="center"/>
          </w:tcPr>
          <w:p w14:paraId="19727918"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312 (100)</w:t>
            </w:r>
          </w:p>
        </w:tc>
        <w:tc>
          <w:tcPr>
            <w:tcW w:w="2344" w:type="dxa"/>
            <w:vAlign w:val="center"/>
          </w:tcPr>
          <w:p w14:paraId="579C440A"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290 (100)</w:t>
            </w:r>
          </w:p>
        </w:tc>
      </w:tr>
      <w:tr w:rsidR="004E2355" w:rsidRPr="00B82EF7" w14:paraId="07A95FEF" w14:textId="77777777" w:rsidTr="00683C8C">
        <w:tc>
          <w:tcPr>
            <w:tcW w:w="2425" w:type="dxa"/>
          </w:tcPr>
          <w:p w14:paraId="78675EF9" w14:textId="77777777" w:rsidR="004E2355" w:rsidRPr="00B82EF7" w:rsidRDefault="004E2355" w:rsidP="00F131CD">
            <w:pPr>
              <w:tabs>
                <w:tab w:val="left" w:pos="284"/>
              </w:tabs>
              <w:spacing w:after="120"/>
              <w:rPr>
                <w:rFonts w:asciiTheme="majorBidi" w:hAnsiTheme="majorBidi" w:cstheme="majorBidi"/>
                <w:b/>
                <w:noProof/>
                <w:sz w:val="22"/>
                <w:szCs w:val="22"/>
                <w:lang w:val="sr-Latn-ME"/>
              </w:rPr>
            </w:pPr>
            <w:r w:rsidRPr="00B82EF7">
              <w:rPr>
                <w:rFonts w:asciiTheme="majorBidi" w:hAnsiTheme="majorBidi" w:cstheme="majorBidi"/>
                <w:b/>
                <w:noProof/>
                <w:sz w:val="22"/>
                <w:szCs w:val="22"/>
                <w:lang w:val="sr-Latn-ME"/>
              </w:rPr>
              <w:t>Ukupna VTE</w:t>
            </w:r>
          </w:p>
        </w:tc>
        <w:tc>
          <w:tcPr>
            <w:tcW w:w="2430" w:type="dxa"/>
            <w:vAlign w:val="center"/>
          </w:tcPr>
          <w:p w14:paraId="30B37948" w14:textId="3CA84FFC"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13 (4,</w:t>
            </w:r>
            <w:r w:rsidR="00E00215" w:rsidRPr="00B82EF7">
              <w:rPr>
                <w:rFonts w:asciiTheme="majorBidi" w:hAnsiTheme="majorBidi" w:cstheme="majorBidi"/>
                <w:noProof/>
                <w:sz w:val="22"/>
                <w:szCs w:val="22"/>
                <w:lang w:val="sr-Latn-ME"/>
              </w:rPr>
              <w:t>4</w:t>
            </w:r>
            <w:r w:rsidRPr="00B82EF7">
              <w:rPr>
                <w:rFonts w:asciiTheme="majorBidi" w:hAnsiTheme="majorBidi" w:cstheme="majorBidi"/>
                <w:noProof/>
                <w:sz w:val="22"/>
                <w:szCs w:val="22"/>
                <w:lang w:val="sr-Latn-ME"/>
              </w:rPr>
              <w:t>)*</w:t>
            </w:r>
          </w:p>
        </w:tc>
        <w:tc>
          <w:tcPr>
            <w:tcW w:w="2430" w:type="dxa"/>
            <w:vAlign w:val="center"/>
          </w:tcPr>
          <w:p w14:paraId="70409EB0"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9 (2,9)*</w:t>
            </w:r>
          </w:p>
        </w:tc>
        <w:tc>
          <w:tcPr>
            <w:tcW w:w="2344" w:type="dxa"/>
            <w:vAlign w:val="center"/>
          </w:tcPr>
          <w:p w14:paraId="7A14B67A"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12 (4,1)</w:t>
            </w:r>
          </w:p>
        </w:tc>
      </w:tr>
      <w:tr w:rsidR="004E2355" w:rsidRPr="00B82EF7" w14:paraId="35081EAA" w14:textId="77777777" w:rsidTr="00683C8C">
        <w:tc>
          <w:tcPr>
            <w:tcW w:w="2425" w:type="dxa"/>
          </w:tcPr>
          <w:p w14:paraId="07D1FFD0" w14:textId="77777777" w:rsidR="004E2355" w:rsidRPr="00B82EF7" w:rsidRDefault="004E2355" w:rsidP="00F131CD">
            <w:pPr>
              <w:numPr>
                <w:ilvl w:val="0"/>
                <w:numId w:val="34"/>
              </w:numPr>
              <w:tabs>
                <w:tab w:val="left" w:pos="284"/>
              </w:tabs>
              <w:spacing w:after="120"/>
              <w:ind w:left="157" w:hanging="157"/>
              <w:contextualSpacing/>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Samo DVT (%)</w:t>
            </w:r>
          </w:p>
        </w:tc>
        <w:tc>
          <w:tcPr>
            <w:tcW w:w="2430" w:type="dxa"/>
            <w:vAlign w:val="center"/>
          </w:tcPr>
          <w:p w14:paraId="1E4F7394"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11 (3,7)</w:t>
            </w:r>
          </w:p>
        </w:tc>
        <w:tc>
          <w:tcPr>
            <w:tcW w:w="2430" w:type="dxa"/>
            <w:vAlign w:val="center"/>
          </w:tcPr>
          <w:p w14:paraId="6911C443"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7 (2,2)</w:t>
            </w:r>
          </w:p>
        </w:tc>
        <w:tc>
          <w:tcPr>
            <w:tcW w:w="2344" w:type="dxa"/>
            <w:vAlign w:val="center"/>
          </w:tcPr>
          <w:p w14:paraId="69A333D3"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8 (2,8)</w:t>
            </w:r>
          </w:p>
        </w:tc>
      </w:tr>
      <w:tr w:rsidR="004E2355" w:rsidRPr="00B82EF7" w14:paraId="2134BDCF" w14:textId="77777777" w:rsidTr="00683C8C">
        <w:tc>
          <w:tcPr>
            <w:tcW w:w="2425" w:type="dxa"/>
          </w:tcPr>
          <w:p w14:paraId="138D20A6" w14:textId="77777777" w:rsidR="004E2355" w:rsidRPr="00B82EF7" w:rsidRDefault="004E2355" w:rsidP="00F131CD">
            <w:pPr>
              <w:numPr>
                <w:ilvl w:val="0"/>
                <w:numId w:val="34"/>
              </w:numPr>
              <w:tabs>
                <w:tab w:val="left" w:pos="284"/>
              </w:tabs>
              <w:spacing w:after="120"/>
              <w:ind w:left="157" w:hanging="157"/>
              <w:contextualSpacing/>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Proksimalna DVT (%)</w:t>
            </w:r>
          </w:p>
        </w:tc>
        <w:tc>
          <w:tcPr>
            <w:tcW w:w="2430" w:type="dxa"/>
            <w:vAlign w:val="center"/>
          </w:tcPr>
          <w:p w14:paraId="282A3F52"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9 (3,0)</w:t>
            </w:r>
          </w:p>
        </w:tc>
        <w:tc>
          <w:tcPr>
            <w:tcW w:w="2430" w:type="dxa"/>
            <w:vAlign w:val="center"/>
          </w:tcPr>
          <w:p w14:paraId="77CBFD69"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6 (1,9)</w:t>
            </w:r>
          </w:p>
        </w:tc>
        <w:tc>
          <w:tcPr>
            <w:tcW w:w="2344" w:type="dxa"/>
            <w:vAlign w:val="center"/>
          </w:tcPr>
          <w:p w14:paraId="67C59011"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7 (2,4)</w:t>
            </w:r>
          </w:p>
        </w:tc>
      </w:tr>
      <w:tr w:rsidR="004E2355" w:rsidRPr="00B82EF7" w14:paraId="635D0D41" w14:textId="77777777" w:rsidTr="00683C8C">
        <w:tc>
          <w:tcPr>
            <w:tcW w:w="2425" w:type="dxa"/>
          </w:tcPr>
          <w:p w14:paraId="7F627BAC" w14:textId="77777777" w:rsidR="004E2355" w:rsidRPr="00B82EF7" w:rsidRDefault="004E2355" w:rsidP="00F131CD">
            <w:pPr>
              <w:numPr>
                <w:ilvl w:val="0"/>
                <w:numId w:val="34"/>
              </w:numPr>
              <w:tabs>
                <w:tab w:val="left" w:pos="284"/>
              </w:tabs>
              <w:spacing w:after="120"/>
              <w:ind w:left="157" w:hanging="157"/>
              <w:contextualSpacing/>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PE (%)</w:t>
            </w:r>
          </w:p>
        </w:tc>
        <w:tc>
          <w:tcPr>
            <w:tcW w:w="2430" w:type="dxa"/>
            <w:vAlign w:val="center"/>
          </w:tcPr>
          <w:p w14:paraId="002F6EA6"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 (0,7)</w:t>
            </w:r>
          </w:p>
        </w:tc>
        <w:tc>
          <w:tcPr>
            <w:tcW w:w="2430" w:type="dxa"/>
            <w:vAlign w:val="center"/>
          </w:tcPr>
          <w:p w14:paraId="36B47ED7"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2 (0,6)</w:t>
            </w:r>
          </w:p>
        </w:tc>
        <w:tc>
          <w:tcPr>
            <w:tcW w:w="2344" w:type="dxa"/>
            <w:vAlign w:val="center"/>
          </w:tcPr>
          <w:p w14:paraId="4572E236" w14:textId="77777777" w:rsidR="004E2355" w:rsidRPr="00B82EF7" w:rsidRDefault="004E2355" w:rsidP="004E2355">
            <w:pPr>
              <w:tabs>
                <w:tab w:val="left" w:pos="284"/>
              </w:tabs>
              <w:spacing w:after="120"/>
              <w:jc w:val="center"/>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4 (1,4)</w:t>
            </w:r>
          </w:p>
        </w:tc>
      </w:tr>
      <w:tr w:rsidR="004E2355" w:rsidRPr="00B82EF7" w14:paraId="7705C213" w14:textId="77777777" w:rsidTr="00683C8C">
        <w:tc>
          <w:tcPr>
            <w:tcW w:w="9629" w:type="dxa"/>
            <w:gridSpan w:val="4"/>
          </w:tcPr>
          <w:p w14:paraId="03D25613" w14:textId="77777777"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VTE = venski tromboembolijski događaji (DVT sa ili bez PE)</w:t>
            </w:r>
          </w:p>
          <w:p w14:paraId="373CDA1D" w14:textId="77777777"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*Intervali pouzdanosti od 95% za razlike između terapija za ukupnu VTE bili su:</w:t>
            </w:r>
          </w:p>
          <w:p w14:paraId="348861C1" w14:textId="77777777" w:rsidR="004E2355" w:rsidRPr="00B82EF7" w:rsidRDefault="007E1FF7" w:rsidP="004E2355">
            <w:pPr>
              <w:numPr>
                <w:ilvl w:val="0"/>
                <w:numId w:val="35"/>
              </w:numPr>
              <w:tabs>
                <w:tab w:val="left" w:pos="284"/>
              </w:tabs>
              <w:ind w:left="157" w:hanging="15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jednom dnevno naspram heparina (-3,0 do 3,5)</w:t>
            </w:r>
          </w:p>
          <w:p w14:paraId="6F1AED12" w14:textId="77777777" w:rsidR="004E2355" w:rsidRPr="00B82EF7" w:rsidRDefault="007E1FF7" w:rsidP="004E2355">
            <w:pPr>
              <w:numPr>
                <w:ilvl w:val="0"/>
                <w:numId w:val="35"/>
              </w:numPr>
              <w:tabs>
                <w:tab w:val="left" w:pos="284"/>
              </w:tabs>
              <w:ind w:left="157" w:hanging="157"/>
              <w:contextualSpacing/>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svakih 12 sati naspram heparina (-4,2 do 1,7)</w:t>
            </w:r>
          </w:p>
        </w:tc>
      </w:tr>
    </w:tbl>
    <w:p w14:paraId="32F33A88" w14:textId="77777777" w:rsidR="004E2355" w:rsidRPr="00B82EF7" w:rsidRDefault="004E2355" w:rsidP="004E2355">
      <w:pPr>
        <w:tabs>
          <w:tab w:val="left" w:pos="284"/>
        </w:tabs>
        <w:jc w:val="both"/>
        <w:rPr>
          <w:rFonts w:asciiTheme="majorBidi" w:hAnsiTheme="majorBidi" w:cstheme="majorBidi"/>
          <w:noProof/>
          <w:sz w:val="22"/>
          <w:szCs w:val="22"/>
          <w:lang w:val="sr-Latn-ME"/>
        </w:rPr>
      </w:pPr>
    </w:p>
    <w:p w14:paraId="392BEFCF" w14:textId="3FE56140" w:rsidR="004E2355" w:rsidRPr="00B82EF7" w:rsidRDefault="004E2355" w:rsidP="004E235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Stopa većih krvarenja iznosila je 1,7% </w:t>
      </w:r>
      <w:r w:rsidR="007E1FF7" w:rsidRPr="00B82EF7">
        <w:rPr>
          <w:rFonts w:asciiTheme="majorBidi" w:hAnsiTheme="majorBidi" w:cstheme="majorBidi"/>
          <w:noProof/>
          <w:sz w:val="22"/>
          <w:szCs w:val="22"/>
          <w:lang w:val="sr-Latn-ME"/>
        </w:rPr>
        <w:t xml:space="preserve">u grupi na terapiji enoksaparin </w:t>
      </w:r>
      <w:r w:rsidRPr="00B82EF7">
        <w:rPr>
          <w:rFonts w:asciiTheme="majorBidi" w:hAnsiTheme="majorBidi" w:cstheme="majorBidi"/>
          <w:noProof/>
          <w:sz w:val="22"/>
          <w:szCs w:val="22"/>
          <w:lang w:val="sr-Latn-ME"/>
        </w:rPr>
        <w:t xml:space="preserve">natrijumom u dozi od 150 i.j./kg (1,5 mg/kg) jednom dnevno, 1,3% </w:t>
      </w:r>
      <w:r w:rsidR="007E1FF7" w:rsidRPr="00B82EF7">
        <w:rPr>
          <w:rFonts w:asciiTheme="majorBidi" w:hAnsiTheme="majorBidi" w:cstheme="majorBidi"/>
          <w:noProof/>
          <w:sz w:val="22"/>
          <w:szCs w:val="22"/>
          <w:lang w:val="sr-Latn-ME"/>
        </w:rPr>
        <w:t xml:space="preserve">u grupi na terapiji enoksaparin </w:t>
      </w:r>
      <w:r w:rsidRPr="00B82EF7">
        <w:rPr>
          <w:rFonts w:asciiTheme="majorBidi" w:hAnsiTheme="majorBidi" w:cstheme="majorBidi"/>
          <w:noProof/>
          <w:sz w:val="22"/>
          <w:szCs w:val="22"/>
          <w:lang w:val="sr-Latn-ME"/>
        </w:rPr>
        <w:t>natrijumom u dozi od 100 i.j./kg (1 mg/kg) dvaput dnevno i 2,1% u grupi koja je primala heparin.</w:t>
      </w:r>
    </w:p>
    <w:p w14:paraId="659B9A82" w14:textId="77777777" w:rsidR="004E2355" w:rsidRPr="00B82EF7" w:rsidRDefault="004E2355" w:rsidP="007E1FF7">
      <w:pPr>
        <w:tabs>
          <w:tab w:val="left" w:pos="284"/>
        </w:tabs>
        <w:jc w:val="both"/>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Terapija nestabilne angine i infarkta miokarda bez elevacije ST-segmenta</w:t>
      </w:r>
    </w:p>
    <w:p w14:paraId="1D8363EA" w14:textId="4605A873"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veliku multi</w:t>
      </w:r>
      <w:r w:rsidR="007E1FF7" w:rsidRPr="00B82EF7">
        <w:rPr>
          <w:rFonts w:asciiTheme="majorBidi" w:hAnsiTheme="majorBidi" w:cstheme="majorBidi"/>
          <w:noProof/>
          <w:sz w:val="22"/>
          <w:szCs w:val="22"/>
          <w:lang w:val="sr-Latn-ME"/>
        </w:rPr>
        <w:t>centričnu studiju uključen je 3</w:t>
      </w:r>
      <w:r w:rsidRPr="00B82EF7">
        <w:rPr>
          <w:rFonts w:asciiTheme="majorBidi" w:hAnsiTheme="majorBidi" w:cstheme="majorBidi"/>
          <w:noProof/>
          <w:sz w:val="22"/>
          <w:szCs w:val="22"/>
          <w:lang w:val="sr-Latn-ME"/>
        </w:rPr>
        <w:t>171 pacijent u akutnoj fazi nestabilne angine ili infarkta miokarda bez Q-talasa. Pacijenti su bili randomizovani da u kombinaciji s acetilsalicilnom kiselinom (100 do 325 mg jednom dnevno) primaju enoksaparin</w:t>
      </w:r>
      <w:r w:rsidR="007E1FF7"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natrijum u dozi od 100 i.j./kg (1 mg/kg) s.c. svakih 12 sati ili nefrakcionisani heparin u intravenskoj dozi prilagođenoj prema aPTT. Pacijente je bilo neophodno hospitalizovati u trajanju</w:t>
      </w:r>
      <w:r w:rsidR="00FA07C2"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 xml:space="preserve">od najmanje 2, a najviše 8 dana, do kliničke stabilizacije, revaskularizacione procedure ili otpuštanja iz bolnice. Pacijente je bilo neophodno pratiti do 30 dana. U poređenju sa heparinom,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je značajno snizio kombinovanu incidencu angine pektoris, infarkta miokarda i smrti, uz smanjenje sa 19,8 na 16,6% (smanjenje relativnog rizika: 16,2%) 14. dana. To sniženje kombinovane incidence bilo je održano nakon 30 dana (sa 23,3 na 19,8%; smanjenje relativnog rizika: 15%).</w:t>
      </w:r>
      <w:r w:rsidR="007E1FF7"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Nije bilo značajnih razlika u većim krvarenjima, iako je krvarenje na m</w:t>
      </w:r>
      <w:r w:rsidR="007F2011"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estu s.c injekcije bilo češće.</w:t>
      </w:r>
    </w:p>
    <w:p w14:paraId="549CD70E" w14:textId="77777777" w:rsidR="004E2355" w:rsidRPr="00B82EF7" w:rsidRDefault="004E2355" w:rsidP="007E1FF7">
      <w:pPr>
        <w:tabs>
          <w:tab w:val="left" w:pos="284"/>
        </w:tabs>
        <w:jc w:val="both"/>
        <w:rPr>
          <w:rFonts w:asciiTheme="majorBidi" w:hAnsiTheme="majorBidi" w:cstheme="majorBidi"/>
          <w:noProof/>
          <w:sz w:val="22"/>
          <w:szCs w:val="22"/>
          <w:lang w:val="sr-Latn-ME"/>
        </w:rPr>
      </w:pPr>
    </w:p>
    <w:p w14:paraId="1FF32621" w14:textId="77777777" w:rsidR="004E2355" w:rsidRPr="00B82EF7" w:rsidRDefault="004E2355" w:rsidP="007E1FF7">
      <w:pPr>
        <w:tabs>
          <w:tab w:val="left" w:pos="284"/>
        </w:tabs>
        <w:jc w:val="both"/>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Terapija akutnog infarkta miokarda sa elevacijom ST-segmenta</w:t>
      </w:r>
    </w:p>
    <w:p w14:paraId="4E0A84FF" w14:textId="556A1D07"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U velikoj multice</w:t>
      </w:r>
      <w:r w:rsidR="007E1FF7" w:rsidRPr="00B82EF7">
        <w:rPr>
          <w:rFonts w:asciiTheme="majorBidi" w:hAnsiTheme="majorBidi" w:cstheme="majorBidi"/>
          <w:noProof/>
          <w:sz w:val="22"/>
          <w:szCs w:val="22"/>
          <w:lang w:val="sr-Latn-ME"/>
        </w:rPr>
        <w:t xml:space="preserve">ntričnoj studiji, 20 </w:t>
      </w:r>
      <w:r w:rsidRPr="00B82EF7">
        <w:rPr>
          <w:rFonts w:asciiTheme="majorBidi" w:hAnsiTheme="majorBidi" w:cstheme="majorBidi"/>
          <w:noProof/>
          <w:sz w:val="22"/>
          <w:szCs w:val="22"/>
          <w:lang w:val="sr-Latn-ME"/>
        </w:rPr>
        <w:t xml:space="preserve">479 pacijenta sa STEMI koji su bili kandidati za primanje fibrinolitičke terapije, randomizovano je za primanje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u jednokratnoj bolusnoj dozi od </w:t>
      </w:r>
      <w:r w:rsidR="00DE758E" w:rsidRPr="00B82EF7">
        <w:rPr>
          <w:rFonts w:asciiTheme="majorBidi" w:hAnsiTheme="majorBidi" w:cstheme="majorBidi"/>
          <w:noProof/>
          <w:sz w:val="22"/>
          <w:szCs w:val="22"/>
          <w:lang w:val="sr-Latn-ME"/>
        </w:rPr>
        <w:t>3000</w:t>
      </w:r>
      <w:r w:rsidRPr="00B82EF7">
        <w:rPr>
          <w:rFonts w:asciiTheme="majorBidi" w:hAnsiTheme="majorBidi" w:cstheme="majorBidi"/>
          <w:noProof/>
          <w:sz w:val="22"/>
          <w:szCs w:val="22"/>
          <w:lang w:val="sr-Latn-ME"/>
        </w:rPr>
        <w:t xml:space="preserve"> i.j. (30 mg) i.v. plus 100 i.j./kg (1 mg/kg) s.c., nakon čega su sl</w:t>
      </w:r>
      <w:r w:rsidR="007E1FF7"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edile subkutane injekcije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u dozi od 100 i.j./kg (1 mg/kg) na svakih 12 sati, ili za primanje nefrakcionisanog heparina u intravenskoj dozi prilagođenoj prema aPTT tokom 48 sati. Svi pacijenti su primali i acetilsalicilnu kiselinu tokom najmanje 30 dana. Strategija doziranja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bila je prilagođena kod pacijenata sa teškim oštećenjem bubrežne funkcije i pacijenata starije od 75 godina. Subkutane injekcije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prim</w:t>
      </w:r>
      <w:r w:rsidR="007E1FF7"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enjivale su se do otpusta iz bolnice ili tokom najviše osam dana (što god da nastupi prvo).</w:t>
      </w:r>
    </w:p>
    <w:p w14:paraId="049D0FA5" w14:textId="27F28BBE" w:rsidR="004E2355" w:rsidRPr="00B82EF7" w:rsidRDefault="007E1FF7"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4 </w:t>
      </w:r>
      <w:r w:rsidR="004E2355" w:rsidRPr="00B82EF7">
        <w:rPr>
          <w:rFonts w:asciiTheme="majorBidi" w:hAnsiTheme="majorBidi" w:cstheme="majorBidi"/>
          <w:noProof/>
          <w:sz w:val="22"/>
          <w:szCs w:val="22"/>
          <w:lang w:val="sr-Latn-ME"/>
        </w:rPr>
        <w:t xml:space="preserve">716 pacijenta podvrgnuto je perkutanoj koronarnoj intervenciji uz </w:t>
      </w:r>
      <w:r w:rsidR="00B25BBD" w:rsidRPr="00B82EF7">
        <w:rPr>
          <w:rFonts w:asciiTheme="majorBidi" w:hAnsiTheme="majorBidi" w:cstheme="majorBidi"/>
          <w:noProof/>
          <w:sz w:val="22"/>
          <w:szCs w:val="22"/>
          <w:lang w:val="sr-Latn-ME"/>
        </w:rPr>
        <w:t>primjenu</w:t>
      </w:r>
      <w:r w:rsidR="004E2355" w:rsidRPr="00B82EF7">
        <w:rPr>
          <w:rFonts w:asciiTheme="majorBidi" w:hAnsiTheme="majorBidi" w:cstheme="majorBidi"/>
          <w:noProof/>
          <w:sz w:val="22"/>
          <w:szCs w:val="22"/>
          <w:lang w:val="sr-Latn-ME"/>
        </w:rPr>
        <w:t xml:space="preserve"> antitrombotičke </w:t>
      </w:r>
      <w:r w:rsidR="00573FC1" w:rsidRPr="00B82EF7">
        <w:rPr>
          <w:rFonts w:asciiTheme="majorBidi" w:hAnsiTheme="majorBidi" w:cstheme="majorBidi"/>
          <w:noProof/>
          <w:sz w:val="22"/>
          <w:szCs w:val="22"/>
          <w:lang w:val="sr-Latn-ME"/>
        </w:rPr>
        <w:t xml:space="preserve">potpore </w:t>
      </w:r>
      <w:r w:rsidR="007F2011" w:rsidRPr="00B82EF7">
        <w:rPr>
          <w:rFonts w:asciiTheme="majorBidi" w:hAnsiTheme="majorBidi" w:cstheme="majorBidi"/>
          <w:noProof/>
          <w:sz w:val="22"/>
          <w:szCs w:val="22"/>
          <w:lang w:val="sr-Latn-ME"/>
        </w:rPr>
        <w:t>zaslijepljenim</w:t>
      </w:r>
      <w:r w:rsidR="004E2355" w:rsidRPr="00B82EF7">
        <w:rPr>
          <w:rFonts w:asciiTheme="majorBidi" w:hAnsiTheme="majorBidi" w:cstheme="majorBidi"/>
          <w:noProof/>
          <w:sz w:val="22"/>
          <w:szCs w:val="22"/>
          <w:lang w:val="sr-Latn-ME"/>
        </w:rPr>
        <w:t xml:space="preserve"> ispitivani</w:t>
      </w:r>
      <w:r w:rsidR="007F2011" w:rsidRPr="00B82EF7">
        <w:rPr>
          <w:rFonts w:asciiTheme="majorBidi" w:hAnsiTheme="majorBidi" w:cstheme="majorBidi"/>
          <w:noProof/>
          <w:sz w:val="22"/>
          <w:szCs w:val="22"/>
          <w:lang w:val="sr-Latn-ME"/>
        </w:rPr>
        <w:t>m</w:t>
      </w:r>
      <w:r w:rsidR="004E2355" w:rsidRPr="00B82EF7">
        <w:rPr>
          <w:rFonts w:asciiTheme="majorBidi" w:hAnsiTheme="majorBidi" w:cstheme="majorBidi"/>
          <w:noProof/>
          <w:sz w:val="22"/>
          <w:szCs w:val="22"/>
          <w:lang w:val="sr-Latn-ME"/>
        </w:rPr>
        <w:t xml:space="preserve"> </w:t>
      </w:r>
      <w:r w:rsidR="004E6DFB" w:rsidRPr="00B82EF7">
        <w:rPr>
          <w:rFonts w:asciiTheme="majorBidi" w:hAnsiTheme="majorBidi" w:cstheme="majorBidi"/>
          <w:noProof/>
          <w:sz w:val="22"/>
          <w:szCs w:val="22"/>
          <w:lang w:val="sr-Latn-ME"/>
        </w:rPr>
        <w:t>l</w:t>
      </w:r>
      <w:r w:rsidR="007F2011" w:rsidRPr="00B82EF7">
        <w:rPr>
          <w:rFonts w:asciiTheme="majorBidi" w:hAnsiTheme="majorBidi" w:cstheme="majorBidi"/>
          <w:noProof/>
          <w:sz w:val="22"/>
          <w:szCs w:val="22"/>
          <w:lang w:val="sr-Latn-ME"/>
        </w:rPr>
        <w:t>ijekom</w:t>
      </w:r>
      <w:r w:rsidR="00573FC1" w:rsidRPr="00B82EF7">
        <w:rPr>
          <w:rFonts w:asciiTheme="majorBidi" w:hAnsiTheme="majorBidi" w:cstheme="majorBidi"/>
          <w:noProof/>
          <w:sz w:val="22"/>
          <w:szCs w:val="22"/>
          <w:lang w:val="sr-Latn-ME"/>
        </w:rPr>
        <w:t>.</w:t>
      </w:r>
      <w:r w:rsidR="004E2355" w:rsidRPr="00B82EF7">
        <w:rPr>
          <w:rFonts w:asciiTheme="majorBidi" w:hAnsiTheme="majorBidi" w:cstheme="majorBidi"/>
          <w:noProof/>
          <w:sz w:val="22"/>
          <w:szCs w:val="22"/>
          <w:lang w:val="sr-Latn-ME"/>
        </w:rPr>
        <w:t xml:space="preserve"> Dakle, kod pacijenta koji su primali </w:t>
      </w: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PCI je sproveden uz </w:t>
      </w:r>
      <w:r w:rsidR="00B25BBD" w:rsidRPr="00B82EF7">
        <w:rPr>
          <w:rFonts w:asciiTheme="majorBidi" w:hAnsiTheme="majorBidi" w:cstheme="majorBidi"/>
          <w:noProof/>
          <w:sz w:val="22"/>
          <w:szCs w:val="22"/>
          <w:lang w:val="sr-Latn-ME"/>
        </w:rPr>
        <w:t>primjenu</w:t>
      </w:r>
      <w:r w:rsidR="004E2355" w:rsidRPr="00B82EF7">
        <w:rPr>
          <w:rFonts w:asciiTheme="majorBidi" w:hAnsiTheme="majorBidi" w:cstheme="majorBidi"/>
          <w:noProof/>
          <w:sz w:val="22"/>
          <w:szCs w:val="22"/>
          <w:lang w:val="sr-Latn-ME"/>
        </w:rPr>
        <w:t xml:space="preserve"> </w:t>
      </w: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a (bez prelaska na drugi l</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ek) prema režimu utvrđenom u prethodnim ispitivanjima, tj. bez dodatne doze ako je posl</w:t>
      </w:r>
      <w:r w:rsidR="00573FC1"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ednja subkutana doza prim</w:t>
      </w:r>
      <w:r w:rsidR="00600683"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enjena manje od 8 sati pr</w:t>
      </w:r>
      <w:r w:rsidR="00600683"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 xml:space="preserve">e balon dilatacije, odnosno uz intravensku bolusnu dozu </w:t>
      </w: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a od 30 i.j./kg (0,3 mg/kg) ako je posl</w:t>
      </w:r>
      <w:r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ednja subkutana doza prim</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enjena više od 8 sati pr</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 balon dilatacije.</w:t>
      </w:r>
    </w:p>
    <w:p w14:paraId="496CC45F" w14:textId="77777777"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U poređenju sa nefrakcionisanim heparinom,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je značajno snizio incidencu primarnog krajnjeg ishoda, kao kombinovanog krajnjeg ishoda koji objedinjuje smrt zbog bilo kog uzroka ili ponovljen infarkt miokarda u prvih 30 dana nakon randomizacije (9,9% u grupi koja je primala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u poređenju sa 12,0% u grupi koja je primala nefrakcionisani heparin), uz smanjenje relativnog rizika za 17% (p &lt; 0,001).</w:t>
      </w:r>
    </w:p>
    <w:p w14:paraId="6CB65031" w14:textId="77777777"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lastRenderedPageBreak/>
        <w:t xml:space="preserve">Terapijska korist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koja je prim</w:t>
      </w:r>
      <w:r w:rsidR="00A3233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ećena kod niza ishoda efikasnosti, nastupila je nakon 48 sati, kada je </w:t>
      </w:r>
      <w:r w:rsidR="00A32335" w:rsidRPr="00B82EF7">
        <w:rPr>
          <w:rFonts w:asciiTheme="majorBidi" w:hAnsiTheme="majorBidi" w:cstheme="majorBidi"/>
          <w:noProof/>
          <w:sz w:val="22"/>
          <w:szCs w:val="22"/>
          <w:lang w:val="sr-Latn-ME"/>
        </w:rPr>
        <w:t>zabilježen</w:t>
      </w:r>
      <w:r w:rsidRPr="00B82EF7">
        <w:rPr>
          <w:rFonts w:asciiTheme="majorBidi" w:hAnsiTheme="majorBidi" w:cstheme="majorBidi"/>
          <w:noProof/>
          <w:sz w:val="22"/>
          <w:szCs w:val="22"/>
          <w:lang w:val="sr-Latn-ME"/>
        </w:rPr>
        <w:t>o smanjenje relativnog rizika od ponovljenog infarkta miokarda za 35% u poređenju sa terapijom nefrakcionisanim heparinom (p &lt; 0,001).</w:t>
      </w:r>
    </w:p>
    <w:p w14:paraId="292F6648" w14:textId="77777777"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Povoljan efekat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na primarni krajnji ishod bio je dosl</w:t>
      </w:r>
      <w:r w:rsidR="00A3233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edan u svim ključnim podgrupama, uključujući podgrupe prema starosti, polu, lokalizaciji infarkta, dijabetesu u anamnezi, infarktu miokarda u anamnezi, vrsti prim</w:t>
      </w:r>
      <w:r w:rsidR="00A3233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enjenog fibrinolitika i vremenu do početka terapije ispitivanim l</w:t>
      </w:r>
      <w:r w:rsidR="00A3233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ekom.</w:t>
      </w:r>
    </w:p>
    <w:p w14:paraId="1A73A303" w14:textId="77777777" w:rsidR="004E2355" w:rsidRPr="00B82EF7" w:rsidRDefault="00A3233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Primijećen</w:t>
      </w:r>
      <w:r w:rsidR="004E2355" w:rsidRPr="00B82EF7">
        <w:rPr>
          <w:rFonts w:asciiTheme="majorBidi" w:hAnsiTheme="majorBidi" w:cstheme="majorBidi"/>
          <w:noProof/>
          <w:sz w:val="22"/>
          <w:szCs w:val="22"/>
          <w:lang w:val="sr-Latn-ME"/>
        </w:rPr>
        <w:t xml:space="preserve">a je značajna terapijska korist </w:t>
      </w:r>
      <w:r w:rsidR="007E1FF7"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a u poređenju sa nefrakcionisanim heparinom kod pacijenata podvrgnutih perkutanoj koronarnoj intervenciji u roku od 30 dana nakon randomizacije (smanjenje relativnog rizika za 23%) ili l</w:t>
      </w:r>
      <w:r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ečenih internistički (smanjenje relativnog rizika za 15%; p=0,27 za interakciju).</w:t>
      </w:r>
    </w:p>
    <w:p w14:paraId="61416F2C" w14:textId="5C7D87DE" w:rsidR="004E2355" w:rsidRPr="00B82EF7" w:rsidRDefault="004E2355" w:rsidP="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Stopa kompozitnog krajnjeg ishoda</w:t>
      </w:r>
      <w:r w:rsidRPr="00B82EF7">
        <w:rPr>
          <w:rFonts w:asciiTheme="majorBidi" w:eastAsia="TimesNewRoman" w:hAnsiTheme="majorBidi" w:cstheme="majorBidi"/>
          <w:sz w:val="22"/>
          <w:szCs w:val="22"/>
          <w:lang w:val="sr-Latn-ME"/>
        </w:rPr>
        <w:t xml:space="preserve"> </w:t>
      </w:r>
      <w:r w:rsidRPr="00B82EF7">
        <w:rPr>
          <w:rFonts w:asciiTheme="majorBidi" w:hAnsiTheme="majorBidi" w:cstheme="majorBidi"/>
          <w:noProof/>
          <w:sz w:val="22"/>
          <w:szCs w:val="22"/>
          <w:lang w:val="sr-Latn-ME"/>
        </w:rPr>
        <w:t>na nivou 30 dana, koji je uključivao smrt, ponovljeni infarkt miokarda ili intrakranijalno krvarenje (m</w:t>
      </w:r>
      <w:r w:rsidR="00573FC1"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era neto kliničke koristi), bila je značajno niža (p &lt; 0,0001) u grupi koja je primala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(10,1%) nego u grupi na terapiji heparinom (12,2%), što predstavlja smanjenje relativnog rizika za 17% u korist terapije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om.</w:t>
      </w:r>
    </w:p>
    <w:p w14:paraId="2652D6F5" w14:textId="77777777" w:rsidR="004E2355" w:rsidRPr="00B82EF7" w:rsidRDefault="004E2355"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Incidenca većih krvarenja nakon 30 dana bila je značajno viša (p &lt; 0,0001) u grupi na terapiji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om (2,1%) nego u grupi koja je primala heparin (1,4%). Incidenca gastrointestinalnog krvarenja bila je viša u grupi na terapiji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om (0,5%) nego u grupi koja je primala heparin (0,1%), dok je incidenca intrakranijalnog krvarenja bila slična u ob</w:t>
      </w:r>
      <w:r w:rsidR="00A3233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 grupe (0,8% uz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naspram 0,7% uz heparin).</w:t>
      </w:r>
    </w:p>
    <w:p w14:paraId="530D4507" w14:textId="77777777" w:rsidR="004E2355" w:rsidRPr="00B82EF7" w:rsidRDefault="004E2355" w:rsidP="00C36CDC">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Povoljan efekat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na primarni krajnji ishod uočen tokom prvih 30 dana održao se tokom 12-m</w:t>
      </w:r>
      <w:r w:rsidR="00A3233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esečnog perioda praćenja.</w:t>
      </w:r>
    </w:p>
    <w:p w14:paraId="3F1DF715" w14:textId="77777777" w:rsidR="004E2355" w:rsidRPr="00B82EF7" w:rsidRDefault="004E2355">
      <w:pPr>
        <w:tabs>
          <w:tab w:val="left" w:pos="284"/>
        </w:tabs>
        <w:jc w:val="both"/>
        <w:rPr>
          <w:rFonts w:asciiTheme="majorBidi" w:hAnsiTheme="majorBidi" w:cstheme="majorBidi"/>
          <w:noProof/>
          <w:sz w:val="22"/>
          <w:szCs w:val="22"/>
          <w:lang w:val="sr-Latn-ME"/>
        </w:rPr>
      </w:pPr>
    </w:p>
    <w:p w14:paraId="7B9CBCCA" w14:textId="77777777" w:rsidR="004E2355" w:rsidRPr="00B82EF7" w:rsidRDefault="004E2355">
      <w:pPr>
        <w:tabs>
          <w:tab w:val="left" w:pos="284"/>
        </w:tabs>
        <w:jc w:val="both"/>
        <w:rPr>
          <w:rFonts w:asciiTheme="majorBidi" w:hAnsiTheme="majorBidi" w:cstheme="majorBidi"/>
          <w:i/>
          <w:noProof/>
          <w:sz w:val="22"/>
          <w:szCs w:val="22"/>
          <w:lang w:val="sr-Latn-ME"/>
        </w:rPr>
      </w:pPr>
      <w:r w:rsidRPr="00B82EF7">
        <w:rPr>
          <w:rFonts w:asciiTheme="majorBidi" w:hAnsiTheme="majorBidi" w:cstheme="majorBidi"/>
          <w:i/>
          <w:noProof/>
          <w:sz w:val="22"/>
          <w:szCs w:val="22"/>
          <w:lang w:val="sr-Latn-ME"/>
        </w:rPr>
        <w:t>Poremećaj  funkcije jetre</w:t>
      </w:r>
    </w:p>
    <w:p w14:paraId="47037B42" w14:textId="1EE7C534" w:rsidR="004E2355" w:rsidRPr="00B82EF7" w:rsidRDefault="004E2355" w:rsidP="00F131CD">
      <w:pPr>
        <w:tabs>
          <w:tab w:val="left" w:pos="540"/>
          <w:tab w:val="left" w:pos="569"/>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Prema podacima iz literature, čini se da je </w:t>
      </w:r>
      <w:r w:rsidR="00B25BBD" w:rsidRPr="00B82EF7">
        <w:rPr>
          <w:rFonts w:asciiTheme="majorBidi" w:hAnsiTheme="majorBidi" w:cstheme="majorBidi"/>
          <w:noProof/>
          <w:sz w:val="22"/>
          <w:szCs w:val="22"/>
          <w:lang w:val="sr-Latn-ME"/>
        </w:rPr>
        <w:t>primjena</w:t>
      </w:r>
      <w:r w:rsidRPr="00B82EF7">
        <w:rPr>
          <w:rFonts w:asciiTheme="majorBidi" w:hAnsiTheme="majorBidi" w:cstheme="majorBidi"/>
          <w:noProof/>
          <w:sz w:val="22"/>
          <w:szCs w:val="22"/>
          <w:lang w:val="sr-Latn-ME"/>
        </w:rPr>
        <w:t xml:space="preserve">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u dozi od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kod pacijenata sa cirozom (Child-Pugh klasa B-C) bezb</w:t>
      </w:r>
      <w:r w:rsidR="00A3233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edna i efikasna za sprečavanje tromboze portalne vene. Treba napomenuti da ispitivanja literature mogu imati ograničenja. Potreban je oprez kod pacijenata sa oštećenjem funkcije jetre, jer kod ovih pacijenata postoji povećana mogućnost krvarenja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 a ni</w:t>
      </w:r>
      <w:r w:rsidR="00573FC1"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sprovedena formalna ispitivanja utvrđivanja doze kod pacijenta sa cirozom (Child-Pugh klasa A, B i C).</w:t>
      </w:r>
    </w:p>
    <w:p w14:paraId="6B9C5FC7" w14:textId="77777777" w:rsidR="004E2355" w:rsidRPr="00B82EF7" w:rsidRDefault="004E2355" w:rsidP="00F131CD">
      <w:pPr>
        <w:tabs>
          <w:tab w:val="left" w:pos="540"/>
          <w:tab w:val="left" w:pos="569"/>
        </w:tabs>
        <w:jc w:val="both"/>
        <w:rPr>
          <w:rFonts w:asciiTheme="majorBidi" w:hAnsiTheme="majorBidi" w:cstheme="majorBidi"/>
          <w:b/>
          <w:bCs/>
          <w:sz w:val="22"/>
          <w:szCs w:val="22"/>
          <w:lang w:val="sr-Latn-ME"/>
        </w:rPr>
      </w:pPr>
    </w:p>
    <w:p w14:paraId="69133619"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5.2.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Farmakokinetički podaci</w:t>
      </w:r>
      <w:r w:rsidR="003A7059" w:rsidRPr="00B82EF7">
        <w:rPr>
          <w:rFonts w:asciiTheme="majorBidi" w:hAnsiTheme="majorBidi" w:cstheme="majorBidi"/>
          <w:b/>
          <w:bCs/>
          <w:sz w:val="22"/>
          <w:szCs w:val="22"/>
          <w:lang w:val="sr-Latn-ME"/>
        </w:rPr>
        <w:t xml:space="preserve"> </w:t>
      </w:r>
    </w:p>
    <w:p w14:paraId="210F5100" w14:textId="77777777" w:rsidR="0072020E" w:rsidRPr="00B82EF7" w:rsidRDefault="0072020E" w:rsidP="00F131CD">
      <w:pPr>
        <w:tabs>
          <w:tab w:val="left" w:pos="540"/>
          <w:tab w:val="left" w:pos="569"/>
        </w:tabs>
        <w:jc w:val="both"/>
        <w:rPr>
          <w:rFonts w:asciiTheme="majorBidi" w:hAnsiTheme="majorBidi" w:cstheme="majorBidi"/>
          <w:bCs/>
          <w:sz w:val="22"/>
          <w:szCs w:val="22"/>
          <w:lang w:val="sr-Latn-ME"/>
        </w:rPr>
      </w:pPr>
    </w:p>
    <w:p w14:paraId="63A32066" w14:textId="77777777" w:rsidR="004E2355" w:rsidRPr="00B82EF7" w:rsidRDefault="004E2355" w:rsidP="004D148D">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Opšte karakteristike</w:t>
      </w:r>
    </w:p>
    <w:p w14:paraId="041EDA20" w14:textId="77777777" w:rsidR="004E2355" w:rsidRPr="00B82EF7" w:rsidRDefault="004E2355"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Farmakokinetički parametri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proučavani su uglavnom na osnovu vremenskog toka plazmatske anti-Xa aktivnosti, kao i anti-IIa aktivnosti, pri preporučenom opsegu doza nakon jednokratne i ponovljene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kao i nakon jednokratne intravenske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Kvantitativno određivanje anti-Xa i anti-IIa farmakokinetičke aktivnosti je izvršeno uz pomoć validiranih amidolitičkih metoda. </w:t>
      </w:r>
    </w:p>
    <w:p w14:paraId="2EA2B4C6" w14:textId="77777777" w:rsidR="004E2355" w:rsidRPr="00B82EF7" w:rsidRDefault="004E2355" w:rsidP="00C36CDC">
      <w:pPr>
        <w:tabs>
          <w:tab w:val="left" w:pos="284"/>
        </w:tabs>
        <w:jc w:val="both"/>
        <w:rPr>
          <w:rFonts w:asciiTheme="majorBidi" w:hAnsiTheme="majorBidi" w:cstheme="majorBidi"/>
          <w:noProof/>
          <w:sz w:val="22"/>
          <w:szCs w:val="22"/>
          <w:lang w:val="sr-Latn-ME"/>
        </w:rPr>
      </w:pPr>
    </w:p>
    <w:p w14:paraId="32FDDDC8" w14:textId="3C8512D0" w:rsidR="004E2355" w:rsidRPr="00B82EF7" w:rsidRDefault="00573FC1" w:rsidP="00573FC1">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Re</w:t>
      </w:r>
      <w:r w:rsidR="004E2355" w:rsidRPr="00B82EF7">
        <w:rPr>
          <w:rFonts w:asciiTheme="majorBidi" w:hAnsiTheme="majorBidi" w:cstheme="majorBidi"/>
          <w:noProof/>
          <w:sz w:val="22"/>
          <w:szCs w:val="22"/>
          <w:u w:val="single"/>
          <w:lang w:val="sr-Latn-ME"/>
        </w:rPr>
        <w:t xml:space="preserve">sorpcija </w:t>
      </w:r>
    </w:p>
    <w:p w14:paraId="503210EE"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Apsolutna bioraspoloživost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nakon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subkutane injekcije, utvrđena na osnovu anti-Xa aktivnosti, iznosi približno 100%. </w:t>
      </w:r>
    </w:p>
    <w:p w14:paraId="2BC05B0C" w14:textId="77777777" w:rsidR="00A32335" w:rsidRPr="00B82EF7" w:rsidRDefault="00A32335">
      <w:pPr>
        <w:tabs>
          <w:tab w:val="left" w:pos="284"/>
        </w:tabs>
        <w:jc w:val="both"/>
        <w:rPr>
          <w:rFonts w:asciiTheme="majorBidi" w:hAnsiTheme="majorBidi" w:cstheme="majorBidi"/>
          <w:noProof/>
          <w:sz w:val="22"/>
          <w:szCs w:val="22"/>
          <w:lang w:val="sr-Latn-ME"/>
        </w:rPr>
      </w:pPr>
    </w:p>
    <w:p w14:paraId="0D719402"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Mogu se koristiti različite doze i formulacije, kao i režimi doziranja. </w:t>
      </w:r>
    </w:p>
    <w:p w14:paraId="5947D07D" w14:textId="43F939E3"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Srednja vr</w:t>
      </w:r>
      <w:r w:rsidR="00A3233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ednost maksimalne plazmatske anti-Xa aktivnosti uočena je 3 do 5 sati nakon s.c. injekcije, a iznosi približno 0,2, 0,4, 1,0 odnosno 1,3 anti-Xa i.j./</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nakon jednokratne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doze od </w:t>
      </w:r>
      <w:r w:rsidR="007E1FF7" w:rsidRPr="00B82EF7">
        <w:rPr>
          <w:rFonts w:asciiTheme="majorBidi" w:hAnsiTheme="majorBidi" w:cstheme="majorBidi"/>
          <w:noProof/>
          <w:sz w:val="22"/>
          <w:szCs w:val="22"/>
          <w:lang w:val="sr-Latn-ME"/>
        </w:rPr>
        <w:t>2000</w:t>
      </w:r>
      <w:r w:rsidRPr="00B82EF7">
        <w:rPr>
          <w:rFonts w:asciiTheme="majorBidi" w:hAnsiTheme="majorBidi" w:cstheme="majorBidi"/>
          <w:noProof/>
          <w:sz w:val="22"/>
          <w:szCs w:val="22"/>
          <w:lang w:val="sr-Latn-ME"/>
        </w:rPr>
        <w:t xml:space="preserve"> i.j. (20 mg),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100 i.j./kg (1 mg/kg) odnosno 150 i.j./kg (1,5 mg/kg). </w:t>
      </w:r>
    </w:p>
    <w:p w14:paraId="33163B5B" w14:textId="77777777" w:rsidR="00A32335" w:rsidRPr="00B82EF7" w:rsidRDefault="00A32335">
      <w:pPr>
        <w:tabs>
          <w:tab w:val="left" w:pos="284"/>
        </w:tabs>
        <w:jc w:val="both"/>
        <w:rPr>
          <w:rFonts w:asciiTheme="majorBidi" w:hAnsiTheme="majorBidi" w:cstheme="majorBidi"/>
          <w:noProof/>
          <w:sz w:val="22"/>
          <w:szCs w:val="22"/>
          <w:lang w:val="sr-Latn-ME"/>
        </w:rPr>
      </w:pPr>
    </w:p>
    <w:p w14:paraId="76EFD3C5"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Intravenska bolusna doza od </w:t>
      </w:r>
      <w:r w:rsidR="00DE758E" w:rsidRPr="00B82EF7">
        <w:rPr>
          <w:rFonts w:asciiTheme="majorBidi" w:hAnsiTheme="majorBidi" w:cstheme="majorBidi"/>
          <w:noProof/>
          <w:sz w:val="22"/>
          <w:szCs w:val="22"/>
          <w:lang w:val="sr-Latn-ME"/>
        </w:rPr>
        <w:t>3000</w:t>
      </w:r>
      <w:r w:rsidRPr="00B82EF7">
        <w:rPr>
          <w:rFonts w:asciiTheme="majorBidi" w:hAnsiTheme="majorBidi" w:cstheme="majorBidi"/>
          <w:noProof/>
          <w:sz w:val="22"/>
          <w:szCs w:val="22"/>
          <w:lang w:val="sr-Latn-ME"/>
        </w:rPr>
        <w:t xml:space="preserve"> i.j. (30 mg) i neposredno zatim subkutana doza od 100 i.j./kg (1 mg/kg) na svakih 12 sati dovele su do početne maksimalne anti-Xa aktivnosti od 1,16 i.j./</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(n=16) i </w:t>
      </w:r>
      <w:r w:rsidR="00A32335" w:rsidRPr="00B82EF7">
        <w:rPr>
          <w:rFonts w:asciiTheme="majorBidi" w:hAnsiTheme="majorBidi" w:cstheme="majorBidi"/>
          <w:noProof/>
          <w:sz w:val="22"/>
          <w:szCs w:val="22"/>
          <w:lang w:val="sr-Latn-ME"/>
        </w:rPr>
        <w:t>prosječn</w:t>
      </w:r>
      <w:r w:rsidRPr="00B82EF7">
        <w:rPr>
          <w:rFonts w:asciiTheme="majorBidi" w:hAnsiTheme="majorBidi" w:cstheme="majorBidi"/>
          <w:noProof/>
          <w:sz w:val="22"/>
          <w:szCs w:val="22"/>
          <w:lang w:val="sr-Latn-ME"/>
        </w:rPr>
        <w:t>e izloženosti koja je iznosila 88% nivoa u stanju dinamičke ravnoteže. Stanje dinamičke ravnoteže postiže se drugog dana terapije.</w:t>
      </w:r>
    </w:p>
    <w:p w14:paraId="699C11DE" w14:textId="77777777" w:rsidR="00A32335" w:rsidRPr="00B82EF7" w:rsidRDefault="00A32335">
      <w:pPr>
        <w:tabs>
          <w:tab w:val="left" w:pos="284"/>
        </w:tabs>
        <w:jc w:val="both"/>
        <w:rPr>
          <w:rFonts w:asciiTheme="majorBidi" w:hAnsiTheme="majorBidi" w:cstheme="majorBidi"/>
          <w:noProof/>
          <w:sz w:val="22"/>
          <w:szCs w:val="22"/>
          <w:lang w:val="sr-Latn-ME"/>
        </w:rPr>
      </w:pPr>
    </w:p>
    <w:p w14:paraId="236661AB" w14:textId="4B2E873D"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Nakon ponovljene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doze od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jednom dnevno i 150 i.j./kg (1,5 mg/kg) jednom dnevno kod zdravih dobrovoljaca, stanje dinamičke ravnoteže se postiže 2. dana, uz pros</w:t>
      </w:r>
      <w:r w:rsidR="00A3233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ečan stepen izloženosti koji je približno 15% veći nego nakon jednokratne doze. Nakon ponovljene subkutane </w:t>
      </w:r>
      <w:r w:rsidR="00B25BBD" w:rsidRPr="00B82EF7">
        <w:rPr>
          <w:rFonts w:asciiTheme="majorBidi" w:hAnsiTheme="majorBidi" w:cstheme="majorBidi"/>
          <w:noProof/>
          <w:sz w:val="22"/>
          <w:szCs w:val="22"/>
          <w:lang w:val="sr-Latn-ME"/>
        </w:rPr>
        <w:lastRenderedPageBreak/>
        <w:t>primjene</w:t>
      </w:r>
      <w:r w:rsidRPr="00B82EF7">
        <w:rPr>
          <w:rFonts w:asciiTheme="majorBidi" w:hAnsiTheme="majorBidi" w:cstheme="majorBidi"/>
          <w:noProof/>
          <w:sz w:val="22"/>
          <w:szCs w:val="22"/>
          <w:lang w:val="sr-Latn-ME"/>
        </w:rPr>
        <w:t xml:space="preserve"> doze od 100 i.j./kg (1 mg/kg) dvaput dnevno, stanje dinamičke ravnoteže se postiže između 3. i 4. dana, uz srednju </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izloženosti koja je približno 65% veća nego nakon jednokratne doze i srednju </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maksimalne i minimalne anti-Xa aktivnosti od približno 1,2 odnosno 0,52 i.j./</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w:t>
      </w:r>
    </w:p>
    <w:p w14:paraId="29BDA5CE" w14:textId="77777777" w:rsidR="00A32335" w:rsidRPr="00B82EF7" w:rsidRDefault="00A32335">
      <w:pPr>
        <w:tabs>
          <w:tab w:val="left" w:pos="284"/>
        </w:tabs>
        <w:jc w:val="both"/>
        <w:rPr>
          <w:rFonts w:asciiTheme="majorBidi" w:hAnsiTheme="majorBidi" w:cstheme="majorBidi"/>
          <w:noProof/>
          <w:sz w:val="22"/>
          <w:szCs w:val="22"/>
          <w:lang w:val="sr-Latn-ME"/>
        </w:rPr>
      </w:pPr>
    </w:p>
    <w:p w14:paraId="6B8E8AA7"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Injekciona zapremina i koncentracija doze u opsegu od 100 do 200 mg/</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ne utiču na farmakokinetičke parametre kod zdravih dobrovoljaca. </w:t>
      </w:r>
    </w:p>
    <w:p w14:paraId="566A190F"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Izgleda da je farmakokinetika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linearna u svim preporučenim opsezima doza. </w:t>
      </w:r>
    </w:p>
    <w:p w14:paraId="3F503FF9"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Intraindividualna i interindividualna varijabilnost je niska. Nakon ponovljene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ne dolazi do akumulacije. </w:t>
      </w:r>
    </w:p>
    <w:p w14:paraId="04B3000A" w14:textId="77777777" w:rsidR="00A32335" w:rsidRPr="00B82EF7" w:rsidRDefault="00A32335">
      <w:pPr>
        <w:tabs>
          <w:tab w:val="left" w:pos="284"/>
        </w:tabs>
        <w:jc w:val="both"/>
        <w:rPr>
          <w:rFonts w:asciiTheme="majorBidi" w:hAnsiTheme="majorBidi" w:cstheme="majorBidi"/>
          <w:noProof/>
          <w:sz w:val="22"/>
          <w:szCs w:val="22"/>
          <w:lang w:val="sr-Latn-ME"/>
        </w:rPr>
      </w:pPr>
    </w:p>
    <w:p w14:paraId="6215252C"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Plazmatska anti-IIa aktivnost nakon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približno je desetostruko niža nego anti-Xa aktivnost. Srednja </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maksimalne anti-IIa aktivnosti </w:t>
      </w:r>
      <w:r w:rsidR="00A32335" w:rsidRPr="00B82EF7">
        <w:rPr>
          <w:rFonts w:asciiTheme="majorBidi" w:hAnsiTheme="majorBidi" w:cstheme="majorBidi"/>
          <w:noProof/>
          <w:sz w:val="22"/>
          <w:szCs w:val="22"/>
          <w:lang w:val="sr-Latn-ME"/>
        </w:rPr>
        <w:t>bilježi</w:t>
      </w:r>
      <w:r w:rsidRPr="00B82EF7">
        <w:rPr>
          <w:rFonts w:asciiTheme="majorBidi" w:hAnsiTheme="majorBidi" w:cstheme="majorBidi"/>
          <w:noProof/>
          <w:sz w:val="22"/>
          <w:szCs w:val="22"/>
          <w:lang w:val="sr-Latn-ME"/>
        </w:rPr>
        <w:t xml:space="preserve"> se približno 3 do 4 sata nakon subkutane injekcije i dostiže </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i od 0,13 i.j./</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i 0,19 i.j./</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 nakon ponovljene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doze od 100 i.j./kg (1 mg/kg) dvaput dnevno, odnosno 150 i.j./kg (1,5 mg/kg) jednom dnevno. </w:t>
      </w:r>
    </w:p>
    <w:p w14:paraId="603FE2E6" w14:textId="77777777" w:rsidR="004E2355" w:rsidRPr="00B82EF7" w:rsidRDefault="004E2355">
      <w:pPr>
        <w:tabs>
          <w:tab w:val="left" w:pos="284"/>
        </w:tabs>
        <w:jc w:val="both"/>
        <w:rPr>
          <w:rFonts w:asciiTheme="majorBidi" w:hAnsiTheme="majorBidi" w:cstheme="majorBidi"/>
          <w:noProof/>
          <w:sz w:val="22"/>
          <w:szCs w:val="22"/>
          <w:lang w:val="sr-Latn-ME"/>
        </w:rPr>
      </w:pPr>
    </w:p>
    <w:p w14:paraId="0DF06A33" w14:textId="77777777"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Distribucija </w:t>
      </w:r>
    </w:p>
    <w:p w14:paraId="5B26D56E"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Volumen distribucije anti-Xa aktivnosti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iznosi približno 4,3 litr</w:t>
      </w:r>
      <w:r w:rsidR="00A32335" w:rsidRPr="00B82EF7">
        <w:rPr>
          <w:rFonts w:asciiTheme="majorBidi" w:hAnsiTheme="majorBidi" w:cstheme="majorBidi"/>
          <w:noProof/>
          <w:sz w:val="22"/>
          <w:szCs w:val="22"/>
          <w:lang w:val="sr-Latn-ME"/>
        </w:rPr>
        <w:t>a</w:t>
      </w:r>
      <w:r w:rsidRPr="00B82EF7">
        <w:rPr>
          <w:rFonts w:asciiTheme="majorBidi" w:hAnsiTheme="majorBidi" w:cstheme="majorBidi"/>
          <w:noProof/>
          <w:sz w:val="22"/>
          <w:szCs w:val="22"/>
          <w:lang w:val="sr-Latn-ME"/>
        </w:rPr>
        <w:t xml:space="preserve"> i približan je volumenu krvi. </w:t>
      </w:r>
    </w:p>
    <w:p w14:paraId="7BD6D1EC" w14:textId="77777777" w:rsidR="004E2355" w:rsidRPr="00B82EF7" w:rsidRDefault="004E2355">
      <w:pPr>
        <w:tabs>
          <w:tab w:val="left" w:pos="284"/>
        </w:tabs>
        <w:jc w:val="both"/>
        <w:rPr>
          <w:rFonts w:asciiTheme="majorBidi" w:hAnsiTheme="majorBidi" w:cstheme="majorBidi"/>
          <w:noProof/>
          <w:sz w:val="22"/>
          <w:szCs w:val="22"/>
          <w:lang w:val="sr-Latn-ME"/>
        </w:rPr>
      </w:pPr>
    </w:p>
    <w:p w14:paraId="7B403953" w14:textId="77777777"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Biotransformacija </w:t>
      </w:r>
    </w:p>
    <w:p w14:paraId="69E42940" w14:textId="77777777" w:rsidR="004E2355" w:rsidRPr="00B82EF7" w:rsidRDefault="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se prvenstveno metaboliše u jetri procesima desulfacije i/ili depolimerizacije, kojima se razgrađuje na fragmente manje molekulske mase i znatno smanjene biološke aktivnosti. </w:t>
      </w:r>
    </w:p>
    <w:p w14:paraId="710F5F14" w14:textId="77777777" w:rsidR="004E2355" w:rsidRPr="00B82EF7" w:rsidRDefault="004E2355">
      <w:pPr>
        <w:tabs>
          <w:tab w:val="left" w:pos="284"/>
        </w:tabs>
        <w:jc w:val="both"/>
        <w:rPr>
          <w:rFonts w:asciiTheme="majorBidi" w:hAnsiTheme="majorBidi" w:cstheme="majorBidi"/>
          <w:noProof/>
          <w:sz w:val="22"/>
          <w:szCs w:val="22"/>
          <w:lang w:val="sr-Latn-ME"/>
        </w:rPr>
      </w:pPr>
    </w:p>
    <w:p w14:paraId="75BF7281" w14:textId="77777777"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Eliminacija </w:t>
      </w:r>
    </w:p>
    <w:p w14:paraId="4C98C2F6" w14:textId="531032B8" w:rsidR="004E2355" w:rsidRPr="00B82EF7" w:rsidRDefault="007E1FF7">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je l</w:t>
      </w:r>
      <w:r w:rsidR="00B033CC" w:rsidRPr="00B82EF7">
        <w:rPr>
          <w:rFonts w:asciiTheme="majorBidi" w:hAnsiTheme="majorBidi" w:cstheme="majorBidi"/>
          <w:noProof/>
          <w:sz w:val="22"/>
          <w:szCs w:val="22"/>
          <w:lang w:val="sr-Latn-ME"/>
        </w:rPr>
        <w:t>ij</w:t>
      </w:r>
      <w:r w:rsidR="004E2355" w:rsidRPr="00B82EF7">
        <w:rPr>
          <w:rFonts w:asciiTheme="majorBidi" w:hAnsiTheme="majorBidi" w:cstheme="majorBidi"/>
          <w:noProof/>
          <w:sz w:val="22"/>
          <w:szCs w:val="22"/>
          <w:lang w:val="sr-Latn-ME"/>
        </w:rPr>
        <w:t xml:space="preserve">ek sa niskom stopom klirensa; srednja </w:t>
      </w:r>
      <w:r w:rsidR="00A32335" w:rsidRPr="00B82EF7">
        <w:rPr>
          <w:rFonts w:asciiTheme="majorBidi" w:hAnsiTheme="majorBidi" w:cstheme="majorBidi"/>
          <w:noProof/>
          <w:sz w:val="22"/>
          <w:szCs w:val="22"/>
          <w:lang w:val="sr-Latn-ME"/>
        </w:rPr>
        <w:t>vrijednost</w:t>
      </w:r>
      <w:r w:rsidR="004E2355" w:rsidRPr="00B82EF7">
        <w:rPr>
          <w:rFonts w:asciiTheme="majorBidi" w:hAnsiTheme="majorBidi" w:cstheme="majorBidi"/>
          <w:noProof/>
          <w:sz w:val="22"/>
          <w:szCs w:val="22"/>
          <w:lang w:val="sr-Latn-ME"/>
        </w:rPr>
        <w:t xml:space="preserve"> plazmatskog klirensa anti-Xa aktivnosti nakon i.v. infuzije doze od 150 i.j./kg (1,5 mg/kg) u trajanju 6 sati iznosi 0,74 </w:t>
      </w:r>
      <w:r w:rsidR="00A32335" w:rsidRPr="00B82EF7">
        <w:rPr>
          <w:rFonts w:asciiTheme="majorBidi" w:hAnsiTheme="majorBidi" w:cstheme="majorBidi"/>
          <w:noProof/>
          <w:sz w:val="22"/>
          <w:szCs w:val="22"/>
          <w:lang w:val="sr-Latn-ME"/>
        </w:rPr>
        <w:t>l</w:t>
      </w:r>
      <w:r w:rsidR="004E2355" w:rsidRPr="00B82EF7">
        <w:rPr>
          <w:rFonts w:asciiTheme="majorBidi" w:hAnsiTheme="majorBidi" w:cstheme="majorBidi"/>
          <w:noProof/>
          <w:sz w:val="22"/>
          <w:szCs w:val="22"/>
          <w:lang w:val="sr-Latn-ME"/>
        </w:rPr>
        <w:t xml:space="preserve">/h. </w:t>
      </w:r>
    </w:p>
    <w:p w14:paraId="1B7C3A33" w14:textId="743780F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Izgleda da je eliminacija jednofazna, a poluvr</w:t>
      </w:r>
      <w:r w:rsidR="00B033CC"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eme eliminacije se kreće u rasponu od približno 5 sati nakon jednokratne subkutane doze do približno 7 sati nakon ponovljene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w:t>
      </w:r>
    </w:p>
    <w:p w14:paraId="07D18069" w14:textId="240D85DC"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Bubrežni klirens aktivnih fragmenata predstavlja približno 10% prim</w:t>
      </w:r>
      <w:r w:rsidR="00843A9A"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 xml:space="preserve">enjene doze, dok na ukupno izlučivanje aktivnih i neaktivnih fragmenata putem bubrega otpada približno 40% doze. </w:t>
      </w:r>
    </w:p>
    <w:p w14:paraId="0B37F35F" w14:textId="77777777" w:rsidR="004E2355" w:rsidRPr="00B82EF7" w:rsidRDefault="004E2355">
      <w:pPr>
        <w:tabs>
          <w:tab w:val="left" w:pos="284"/>
        </w:tabs>
        <w:jc w:val="both"/>
        <w:rPr>
          <w:rFonts w:asciiTheme="majorBidi" w:hAnsiTheme="majorBidi" w:cstheme="majorBidi"/>
          <w:noProof/>
          <w:sz w:val="22"/>
          <w:szCs w:val="22"/>
          <w:lang w:val="sr-Latn-ME"/>
        </w:rPr>
      </w:pPr>
    </w:p>
    <w:p w14:paraId="7C8031F7" w14:textId="77777777" w:rsidR="004E2355" w:rsidRPr="00B82EF7" w:rsidRDefault="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Posebne populacije </w:t>
      </w:r>
    </w:p>
    <w:p w14:paraId="5D09C23F" w14:textId="77777777" w:rsidR="004E2355" w:rsidRPr="00B82EF7" w:rsidRDefault="004E2355">
      <w:pPr>
        <w:tabs>
          <w:tab w:val="left" w:pos="284"/>
        </w:tabs>
        <w:jc w:val="both"/>
        <w:rPr>
          <w:rFonts w:asciiTheme="majorBidi" w:hAnsiTheme="majorBidi" w:cstheme="majorBidi"/>
          <w:noProof/>
          <w:sz w:val="22"/>
          <w:szCs w:val="22"/>
          <w:u w:val="single"/>
          <w:lang w:val="sr-Latn-ME"/>
        </w:rPr>
      </w:pPr>
    </w:p>
    <w:p w14:paraId="5A6DCBEB"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Starije osobe </w:t>
      </w:r>
    </w:p>
    <w:p w14:paraId="4134D8D4" w14:textId="6428A7AF"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Prema rezultatima populacione farmakokinetičke analize, kinetički profil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nije drugačiji kod starijih osoba u poređenju sa </w:t>
      </w:r>
      <w:r w:rsidR="00A32335" w:rsidRPr="00B82EF7">
        <w:rPr>
          <w:rFonts w:asciiTheme="majorBidi" w:hAnsiTheme="majorBidi" w:cstheme="majorBidi"/>
          <w:noProof/>
          <w:sz w:val="22"/>
          <w:szCs w:val="22"/>
          <w:lang w:val="sr-Latn-ME"/>
        </w:rPr>
        <w:t>ml</w:t>
      </w:r>
      <w:r w:rsidRPr="00B82EF7">
        <w:rPr>
          <w:rFonts w:asciiTheme="majorBidi" w:hAnsiTheme="majorBidi" w:cstheme="majorBidi"/>
          <w:noProof/>
          <w:sz w:val="22"/>
          <w:szCs w:val="22"/>
          <w:lang w:val="sr-Latn-ME"/>
        </w:rPr>
        <w:t xml:space="preserve">ađim ispitanicima kada je bubrežna funkcija normalna. Međutim, poznato je da se bubrežna funkcija smanjuje sa starošću, pa eliminacija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može biti smanjena kod starijih pacijenata (</w:t>
      </w:r>
      <w:r w:rsidR="00811A52" w:rsidRPr="00B82EF7">
        <w:rPr>
          <w:rFonts w:asciiTheme="majorBidi" w:hAnsiTheme="majorBidi" w:cstheme="majorBidi"/>
          <w:noProof/>
          <w:sz w:val="22"/>
          <w:szCs w:val="22"/>
          <w:lang w:val="sr-Latn-ME"/>
        </w:rPr>
        <w:t>vidjeti</w:t>
      </w:r>
      <w:r w:rsidRPr="00B82EF7">
        <w:rPr>
          <w:rFonts w:asciiTheme="majorBidi" w:hAnsiTheme="majorBidi" w:cstheme="majorBidi"/>
          <w:noProof/>
          <w:sz w:val="22"/>
          <w:szCs w:val="22"/>
          <w:lang w:val="sr-Latn-ME"/>
        </w:rPr>
        <w:t xml:space="preserve"> od</w:t>
      </w:r>
      <w:r w:rsidR="00843A9A"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eljke 4.2 i 4.4).</w:t>
      </w:r>
    </w:p>
    <w:p w14:paraId="236F0A6B" w14:textId="77777777" w:rsidR="004E2355" w:rsidRPr="00B82EF7" w:rsidRDefault="004E2355">
      <w:pPr>
        <w:tabs>
          <w:tab w:val="left" w:pos="284"/>
        </w:tabs>
        <w:jc w:val="both"/>
        <w:rPr>
          <w:rFonts w:asciiTheme="majorBidi" w:hAnsiTheme="majorBidi" w:cstheme="majorBidi"/>
          <w:noProof/>
          <w:sz w:val="22"/>
          <w:szCs w:val="22"/>
          <w:lang w:val="sr-Latn-ME"/>
        </w:rPr>
      </w:pPr>
    </w:p>
    <w:p w14:paraId="75EF76B2"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 funkcije jetre </w:t>
      </w:r>
    </w:p>
    <w:p w14:paraId="7EA983F8" w14:textId="105B8848"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U studiji sprovedenoj kod pacijenata sa uznapredovalom cirozom na terapiji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om u dozi od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jednom dnevno, smanjenje maksimalne anti-Xa aktivnosti bilo je povezano sa povećanjem težine oštećenja funkcije jetre (koje se oc</w:t>
      </w:r>
      <w:r w:rsidR="00811A5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enjivalo prema Child-Pugh klasifikaciji). Ovo smanjenje je uglavnom pripisano padu nivoa ATIII kao posl</w:t>
      </w:r>
      <w:r w:rsidR="00811A5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edici smanjene sinteze ATIII kod pacijenata sa oštećenjem funkcije jetre. </w:t>
      </w:r>
    </w:p>
    <w:p w14:paraId="4838C44B" w14:textId="77777777" w:rsidR="004E2355" w:rsidRPr="00B82EF7" w:rsidRDefault="004E2355">
      <w:pPr>
        <w:tabs>
          <w:tab w:val="left" w:pos="284"/>
        </w:tabs>
        <w:jc w:val="both"/>
        <w:rPr>
          <w:rFonts w:asciiTheme="majorBidi" w:hAnsiTheme="majorBidi" w:cstheme="majorBidi"/>
          <w:noProof/>
          <w:sz w:val="22"/>
          <w:szCs w:val="22"/>
          <w:lang w:val="sr-Latn-ME"/>
        </w:rPr>
      </w:pPr>
    </w:p>
    <w:p w14:paraId="44CF4D2F"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 xml:space="preserve">Poremećaj funkcije bubrega </w:t>
      </w:r>
    </w:p>
    <w:p w14:paraId="5FD0D90B" w14:textId="6337CF87" w:rsidR="004E2355" w:rsidRPr="00B82EF7" w:rsidRDefault="00A3233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Primijećen</w:t>
      </w:r>
      <w:r w:rsidR="004E2355" w:rsidRPr="00B82EF7">
        <w:rPr>
          <w:rFonts w:asciiTheme="majorBidi" w:hAnsiTheme="majorBidi" w:cstheme="majorBidi"/>
          <w:noProof/>
          <w:sz w:val="22"/>
          <w:szCs w:val="22"/>
          <w:lang w:val="sr-Latn-ME"/>
        </w:rPr>
        <w:t xml:space="preserve"> je linearan odnos između plazmatskog klirensa anti-Xa aktivnosti i klirensa kreatinina u stanju dinamičke ravnoteže, što upućuje na smanjen klirens </w:t>
      </w:r>
      <w:r w:rsidR="007E1FF7"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a kod pacijenata sa smanjenom bubrežnom funkcijom. Izloženost anti-Xa aktivnosti, izražena kao PIK pri ravnotežnoj koncentraciji, neznatno je povišena kod blage (klirens kreatinina: 50 – 80 </w:t>
      </w:r>
      <w:r w:rsidRPr="00B82EF7">
        <w:rPr>
          <w:rFonts w:asciiTheme="majorBidi" w:hAnsiTheme="majorBidi" w:cstheme="majorBidi"/>
          <w:noProof/>
          <w:sz w:val="22"/>
          <w:szCs w:val="22"/>
          <w:lang w:val="sr-Latn-ME"/>
        </w:rPr>
        <w:t>ml</w:t>
      </w:r>
      <w:r w:rsidR="004E2355" w:rsidRPr="00B82EF7">
        <w:rPr>
          <w:rFonts w:asciiTheme="majorBidi" w:hAnsiTheme="majorBidi" w:cstheme="majorBidi"/>
          <w:noProof/>
          <w:sz w:val="22"/>
          <w:szCs w:val="22"/>
          <w:lang w:val="sr-Latn-ME"/>
        </w:rPr>
        <w:t>/min) i um</w:t>
      </w:r>
      <w:r w:rsidR="00811A52"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 xml:space="preserve">erene (klirens kreatinina: 30 – 50 </w:t>
      </w:r>
      <w:r w:rsidRPr="00B82EF7">
        <w:rPr>
          <w:rFonts w:asciiTheme="majorBidi" w:hAnsiTheme="majorBidi" w:cstheme="majorBidi"/>
          <w:noProof/>
          <w:sz w:val="22"/>
          <w:szCs w:val="22"/>
          <w:lang w:val="sr-Latn-ME"/>
        </w:rPr>
        <w:t>ml</w:t>
      </w:r>
      <w:r w:rsidR="004E2355" w:rsidRPr="00B82EF7">
        <w:rPr>
          <w:rFonts w:asciiTheme="majorBidi" w:hAnsiTheme="majorBidi" w:cstheme="majorBidi"/>
          <w:noProof/>
          <w:sz w:val="22"/>
          <w:szCs w:val="22"/>
          <w:lang w:val="sr-Latn-ME"/>
        </w:rPr>
        <w:t xml:space="preserve">/min) bubrežne insuficijencije nakon ponovljene subkutane </w:t>
      </w:r>
      <w:r w:rsidR="00B25BBD" w:rsidRPr="00B82EF7">
        <w:rPr>
          <w:rFonts w:asciiTheme="majorBidi" w:hAnsiTheme="majorBidi" w:cstheme="majorBidi"/>
          <w:noProof/>
          <w:sz w:val="22"/>
          <w:szCs w:val="22"/>
          <w:lang w:val="sr-Latn-ME"/>
        </w:rPr>
        <w:t>primjene</w:t>
      </w:r>
      <w:r w:rsidR="004E2355" w:rsidRPr="00B82EF7">
        <w:rPr>
          <w:rFonts w:asciiTheme="majorBidi" w:hAnsiTheme="majorBidi" w:cstheme="majorBidi"/>
          <w:noProof/>
          <w:sz w:val="22"/>
          <w:szCs w:val="22"/>
          <w:lang w:val="sr-Latn-ME"/>
        </w:rPr>
        <w:t xml:space="preserve"> doze od </w:t>
      </w:r>
      <w:r w:rsidR="00811A52" w:rsidRPr="00B82EF7">
        <w:rPr>
          <w:rFonts w:asciiTheme="majorBidi" w:hAnsiTheme="majorBidi" w:cstheme="majorBidi"/>
          <w:noProof/>
          <w:sz w:val="22"/>
          <w:szCs w:val="22"/>
          <w:lang w:val="sr-Latn-ME"/>
        </w:rPr>
        <w:t>4</w:t>
      </w:r>
      <w:r w:rsidR="007E1FF7" w:rsidRPr="00B82EF7">
        <w:rPr>
          <w:rFonts w:asciiTheme="majorBidi" w:hAnsiTheme="majorBidi" w:cstheme="majorBidi"/>
          <w:noProof/>
          <w:sz w:val="22"/>
          <w:szCs w:val="22"/>
          <w:lang w:val="sr-Latn-ME"/>
        </w:rPr>
        <w:t>000</w:t>
      </w:r>
      <w:r w:rsidR="004E2355" w:rsidRPr="00B82EF7">
        <w:rPr>
          <w:rFonts w:asciiTheme="majorBidi" w:hAnsiTheme="majorBidi" w:cstheme="majorBidi"/>
          <w:noProof/>
          <w:sz w:val="22"/>
          <w:szCs w:val="22"/>
          <w:lang w:val="sr-Latn-ME"/>
        </w:rPr>
        <w:t xml:space="preserve"> i.j. (40 mg) jednom dnevno. Kod pacijenata sa težim oblikom bubrežne insuficijencije (klirens kreatinina &lt; 30 </w:t>
      </w:r>
      <w:r w:rsidRPr="00B82EF7">
        <w:rPr>
          <w:rFonts w:asciiTheme="majorBidi" w:hAnsiTheme="majorBidi" w:cstheme="majorBidi"/>
          <w:noProof/>
          <w:sz w:val="22"/>
          <w:szCs w:val="22"/>
          <w:lang w:val="sr-Latn-ME"/>
        </w:rPr>
        <w:t>ml</w:t>
      </w:r>
      <w:r w:rsidR="004E2355" w:rsidRPr="00B82EF7">
        <w:rPr>
          <w:rFonts w:asciiTheme="majorBidi" w:hAnsiTheme="majorBidi" w:cstheme="majorBidi"/>
          <w:noProof/>
          <w:sz w:val="22"/>
          <w:szCs w:val="22"/>
          <w:lang w:val="sr-Latn-ME"/>
        </w:rPr>
        <w:t xml:space="preserve">/min), PIK pri ravnotežnoj koncentraciji značajno je povišena u proseku za 65% nakon ponovljene subkutane </w:t>
      </w:r>
      <w:r w:rsidR="00B25BBD" w:rsidRPr="00B82EF7">
        <w:rPr>
          <w:rFonts w:asciiTheme="majorBidi" w:hAnsiTheme="majorBidi" w:cstheme="majorBidi"/>
          <w:noProof/>
          <w:sz w:val="22"/>
          <w:szCs w:val="22"/>
          <w:lang w:val="sr-Latn-ME"/>
        </w:rPr>
        <w:t>primjene</w:t>
      </w:r>
      <w:r w:rsidR="004E2355" w:rsidRPr="00B82EF7">
        <w:rPr>
          <w:rFonts w:asciiTheme="majorBidi" w:hAnsiTheme="majorBidi" w:cstheme="majorBidi"/>
          <w:noProof/>
          <w:sz w:val="22"/>
          <w:szCs w:val="22"/>
          <w:lang w:val="sr-Latn-ME"/>
        </w:rPr>
        <w:t xml:space="preserve"> doze od </w:t>
      </w:r>
      <w:r w:rsidR="007E1FF7" w:rsidRPr="00B82EF7">
        <w:rPr>
          <w:rFonts w:asciiTheme="majorBidi" w:hAnsiTheme="majorBidi" w:cstheme="majorBidi"/>
          <w:noProof/>
          <w:sz w:val="22"/>
          <w:szCs w:val="22"/>
          <w:lang w:val="sr-Latn-ME"/>
        </w:rPr>
        <w:t>4000</w:t>
      </w:r>
      <w:r w:rsidR="004E2355" w:rsidRPr="00B82EF7">
        <w:rPr>
          <w:rFonts w:asciiTheme="majorBidi" w:hAnsiTheme="majorBidi" w:cstheme="majorBidi"/>
          <w:noProof/>
          <w:sz w:val="22"/>
          <w:szCs w:val="22"/>
          <w:lang w:val="sr-Latn-ME"/>
        </w:rPr>
        <w:t xml:space="preserve"> i.j. (40 mg) jednom dnevno (vid</w:t>
      </w:r>
      <w:r w:rsidR="00811A52"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eti od</w:t>
      </w:r>
      <w:r w:rsidR="00843A9A"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 xml:space="preserve">eljke 4.4 i 4.2). </w:t>
      </w:r>
    </w:p>
    <w:p w14:paraId="6A235415" w14:textId="77777777" w:rsidR="004E2355" w:rsidRPr="00B82EF7" w:rsidRDefault="004E2355">
      <w:pPr>
        <w:tabs>
          <w:tab w:val="left" w:pos="284"/>
        </w:tabs>
        <w:jc w:val="both"/>
        <w:rPr>
          <w:rFonts w:asciiTheme="majorBidi" w:hAnsiTheme="majorBidi" w:cstheme="majorBidi"/>
          <w:noProof/>
          <w:sz w:val="22"/>
          <w:szCs w:val="22"/>
          <w:lang w:val="sr-Latn-ME"/>
        </w:rPr>
      </w:pPr>
    </w:p>
    <w:p w14:paraId="3935E90C" w14:textId="77777777" w:rsidR="00B82EF7" w:rsidRDefault="00B82EF7">
      <w:pPr>
        <w:tabs>
          <w:tab w:val="left" w:pos="284"/>
        </w:tabs>
        <w:jc w:val="both"/>
        <w:rPr>
          <w:rFonts w:asciiTheme="majorBidi" w:hAnsiTheme="majorBidi" w:cstheme="majorBidi"/>
          <w:i/>
          <w:iCs/>
          <w:noProof/>
          <w:sz w:val="22"/>
          <w:szCs w:val="22"/>
          <w:lang w:val="sr-Latn-ME"/>
        </w:rPr>
      </w:pPr>
    </w:p>
    <w:p w14:paraId="685DA8B5" w14:textId="2DB94FC4"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lastRenderedPageBreak/>
        <w:t xml:space="preserve">Hemodijaliza </w:t>
      </w:r>
    </w:p>
    <w:p w14:paraId="6C1E03FD"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Nakon jednokratne intravenske doze od 25 i.j. (0,25 mg/kg), 50 i.j. (0,50 mg/kg) ili 100 i.j./kg (1,0 mg/kg), farmakokinetika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je d</w:t>
      </w:r>
      <w:r w:rsidR="00811A5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elovala slično onoj u kontrolnoj grupi, ali je PIK bila dvostruko viša nego u kontrolnoj grupi. </w:t>
      </w:r>
    </w:p>
    <w:p w14:paraId="568BF1C0" w14:textId="77777777" w:rsidR="004E2355" w:rsidRPr="00B82EF7" w:rsidRDefault="004E2355">
      <w:pPr>
        <w:tabs>
          <w:tab w:val="left" w:pos="284"/>
        </w:tabs>
        <w:jc w:val="both"/>
        <w:rPr>
          <w:rFonts w:asciiTheme="majorBidi" w:hAnsiTheme="majorBidi" w:cstheme="majorBidi"/>
          <w:noProof/>
          <w:sz w:val="22"/>
          <w:szCs w:val="22"/>
          <w:lang w:val="sr-Latn-ME"/>
        </w:rPr>
      </w:pPr>
    </w:p>
    <w:p w14:paraId="51C641DE" w14:textId="77777777"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i/>
          <w:iCs/>
          <w:noProof/>
          <w:sz w:val="22"/>
          <w:szCs w:val="22"/>
          <w:lang w:val="sr-Latn-ME"/>
        </w:rPr>
        <w:t>T</w:t>
      </w:r>
      <w:r w:rsidR="00811A52" w:rsidRPr="00B82EF7">
        <w:rPr>
          <w:rFonts w:asciiTheme="majorBidi" w:hAnsiTheme="majorBidi" w:cstheme="majorBidi"/>
          <w:i/>
          <w:iCs/>
          <w:noProof/>
          <w:sz w:val="22"/>
          <w:szCs w:val="22"/>
          <w:lang w:val="sr-Latn-ME"/>
        </w:rPr>
        <w:t>j</w:t>
      </w:r>
      <w:r w:rsidRPr="00B82EF7">
        <w:rPr>
          <w:rFonts w:asciiTheme="majorBidi" w:hAnsiTheme="majorBidi" w:cstheme="majorBidi"/>
          <w:i/>
          <w:iCs/>
          <w:noProof/>
          <w:sz w:val="22"/>
          <w:szCs w:val="22"/>
          <w:lang w:val="sr-Latn-ME"/>
        </w:rPr>
        <w:t xml:space="preserve">elesna masa </w:t>
      </w:r>
    </w:p>
    <w:p w14:paraId="3DD9C9CD" w14:textId="07507049"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Nakon ponovljene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subkutane doze od 150 i.j./kg (1,5 mg/kg) jednom dnevno, srednja </w:t>
      </w:r>
      <w:r w:rsidR="00A32335" w:rsidRPr="00B82EF7">
        <w:rPr>
          <w:rFonts w:asciiTheme="majorBidi" w:hAnsiTheme="majorBidi" w:cstheme="majorBidi"/>
          <w:noProof/>
          <w:sz w:val="22"/>
          <w:szCs w:val="22"/>
          <w:lang w:val="sr-Latn-ME"/>
        </w:rPr>
        <w:t>vrijednost</w:t>
      </w:r>
      <w:r w:rsidRPr="00B82EF7">
        <w:rPr>
          <w:rFonts w:asciiTheme="majorBidi" w:hAnsiTheme="majorBidi" w:cstheme="majorBidi"/>
          <w:noProof/>
          <w:sz w:val="22"/>
          <w:szCs w:val="22"/>
          <w:lang w:val="sr-Latn-ME"/>
        </w:rPr>
        <w:t xml:space="preserve"> PIK anti-Xa aktivnosti u stanju dinamičke ravnoteže bila je neznatno viša kod gojaznih zdravih dobrovoljaca (ITM: 30 – 48 kg/m</w:t>
      </w:r>
      <w:r w:rsidRPr="00B82EF7">
        <w:rPr>
          <w:rFonts w:asciiTheme="majorBidi" w:hAnsiTheme="majorBidi" w:cstheme="majorBidi"/>
          <w:noProof/>
          <w:sz w:val="22"/>
          <w:szCs w:val="22"/>
          <w:vertAlign w:val="superscript"/>
          <w:lang w:val="sr-Latn-ME"/>
        </w:rPr>
        <w:t>2</w:t>
      </w:r>
      <w:r w:rsidRPr="00B82EF7">
        <w:rPr>
          <w:rFonts w:asciiTheme="majorBidi" w:hAnsiTheme="majorBidi" w:cstheme="majorBidi"/>
          <w:noProof/>
          <w:sz w:val="22"/>
          <w:szCs w:val="22"/>
          <w:lang w:val="sr-Latn-ME"/>
        </w:rPr>
        <w:t>) nego kod kontrolnih ispitanika koji ni</w:t>
      </w:r>
      <w:r w:rsidR="00843A9A"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gojazni, dok maksimalna plazmatska anti-Xa aktivnost nije bila povećana. Klirens prilagođen prema t</w:t>
      </w:r>
      <w:r w:rsidR="00F9599C"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elesnoj masi kod gojaznih ispitanika manji je kod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w:t>
      </w:r>
    </w:p>
    <w:p w14:paraId="38348108" w14:textId="77777777" w:rsidR="00F9599C" w:rsidRPr="00B82EF7" w:rsidRDefault="00F9599C">
      <w:pPr>
        <w:tabs>
          <w:tab w:val="left" w:pos="284"/>
        </w:tabs>
        <w:jc w:val="both"/>
        <w:rPr>
          <w:rFonts w:asciiTheme="majorBidi" w:hAnsiTheme="majorBidi" w:cstheme="majorBidi"/>
          <w:noProof/>
          <w:sz w:val="22"/>
          <w:szCs w:val="22"/>
          <w:lang w:val="sr-Latn-ME"/>
        </w:rPr>
      </w:pPr>
    </w:p>
    <w:p w14:paraId="671F8361" w14:textId="1ADEFA26" w:rsidR="004E2355" w:rsidRPr="00B82EF7" w:rsidRDefault="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Kod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doza koje ni</w:t>
      </w:r>
      <w:r w:rsidR="00843A9A"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su bile prilagođene prema t</w:t>
      </w:r>
      <w:r w:rsidR="00811A5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elesnoj masi, nakon jednokratne subkutane doze od </w:t>
      </w:r>
      <w:r w:rsidR="007E1FF7" w:rsidRPr="00B82EF7">
        <w:rPr>
          <w:rFonts w:asciiTheme="majorBidi" w:hAnsiTheme="majorBidi" w:cstheme="majorBidi"/>
          <w:noProof/>
          <w:sz w:val="22"/>
          <w:szCs w:val="22"/>
          <w:lang w:val="sr-Latn-ME"/>
        </w:rPr>
        <w:t>4000</w:t>
      </w:r>
      <w:r w:rsidRPr="00B82EF7">
        <w:rPr>
          <w:rFonts w:asciiTheme="majorBidi" w:hAnsiTheme="majorBidi" w:cstheme="majorBidi"/>
          <w:noProof/>
          <w:sz w:val="22"/>
          <w:szCs w:val="22"/>
          <w:lang w:val="sr-Latn-ME"/>
        </w:rPr>
        <w:t xml:space="preserve"> i.j. (40 mg) utvrđeno je da je izloženost anti-Xa aktivnosti bila 52% veća kod žena niske </w:t>
      </w:r>
      <w:r w:rsidR="00811A52" w:rsidRPr="00B82EF7">
        <w:rPr>
          <w:rFonts w:asciiTheme="majorBidi" w:hAnsiTheme="majorBidi" w:cstheme="majorBidi"/>
          <w:noProof/>
          <w:sz w:val="22"/>
          <w:szCs w:val="22"/>
          <w:lang w:val="sr-Latn-ME"/>
        </w:rPr>
        <w:t>tjelesne</w:t>
      </w:r>
      <w:r w:rsidRPr="00B82EF7">
        <w:rPr>
          <w:rFonts w:asciiTheme="majorBidi" w:hAnsiTheme="majorBidi" w:cstheme="majorBidi"/>
          <w:noProof/>
          <w:sz w:val="22"/>
          <w:szCs w:val="22"/>
          <w:lang w:val="sr-Latn-ME"/>
        </w:rPr>
        <w:t xml:space="preserve"> mase (&lt; 45 kg) i 27% veća kod muškaraca niske </w:t>
      </w:r>
      <w:r w:rsidR="00811A52" w:rsidRPr="00B82EF7">
        <w:rPr>
          <w:rFonts w:asciiTheme="majorBidi" w:hAnsiTheme="majorBidi" w:cstheme="majorBidi"/>
          <w:noProof/>
          <w:sz w:val="22"/>
          <w:szCs w:val="22"/>
          <w:lang w:val="sr-Latn-ME"/>
        </w:rPr>
        <w:t>tjelesne</w:t>
      </w:r>
      <w:r w:rsidRPr="00B82EF7">
        <w:rPr>
          <w:rFonts w:asciiTheme="majorBidi" w:hAnsiTheme="majorBidi" w:cstheme="majorBidi"/>
          <w:noProof/>
          <w:sz w:val="22"/>
          <w:szCs w:val="22"/>
          <w:lang w:val="sr-Latn-ME"/>
        </w:rPr>
        <w:t xml:space="preserve"> mase (&lt; 57 kg) u poređenju sa kontrolnim ispitanicima normalne </w:t>
      </w:r>
      <w:r w:rsidR="00811A52" w:rsidRPr="00B82EF7">
        <w:rPr>
          <w:rFonts w:asciiTheme="majorBidi" w:hAnsiTheme="majorBidi" w:cstheme="majorBidi"/>
          <w:noProof/>
          <w:sz w:val="22"/>
          <w:szCs w:val="22"/>
          <w:lang w:val="sr-Latn-ME"/>
        </w:rPr>
        <w:t>tjelesne</w:t>
      </w:r>
      <w:r w:rsidRPr="00B82EF7">
        <w:rPr>
          <w:rFonts w:asciiTheme="majorBidi" w:hAnsiTheme="majorBidi" w:cstheme="majorBidi"/>
          <w:noProof/>
          <w:sz w:val="22"/>
          <w:szCs w:val="22"/>
          <w:lang w:val="sr-Latn-ME"/>
        </w:rPr>
        <w:t xml:space="preserve"> mase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4.4). </w:t>
      </w:r>
    </w:p>
    <w:p w14:paraId="3F000C23" w14:textId="77777777" w:rsidR="004E2355" w:rsidRPr="00B82EF7" w:rsidRDefault="004E2355">
      <w:pPr>
        <w:tabs>
          <w:tab w:val="left" w:pos="284"/>
        </w:tabs>
        <w:jc w:val="both"/>
        <w:rPr>
          <w:rFonts w:asciiTheme="majorBidi" w:hAnsiTheme="majorBidi" w:cstheme="majorBidi"/>
          <w:noProof/>
          <w:sz w:val="22"/>
          <w:szCs w:val="22"/>
          <w:lang w:val="sr-Latn-ME"/>
        </w:rPr>
      </w:pPr>
    </w:p>
    <w:p w14:paraId="7FDE63C4" w14:textId="77777777" w:rsidR="004E2355" w:rsidRPr="00B82EF7" w:rsidRDefault="00D87C4F">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Farmakokinetički</w:t>
      </w:r>
      <w:r w:rsidR="0052207A" w:rsidRPr="00B82EF7">
        <w:rPr>
          <w:rFonts w:asciiTheme="majorBidi" w:hAnsiTheme="majorBidi" w:cstheme="majorBidi"/>
          <w:noProof/>
          <w:sz w:val="22"/>
          <w:szCs w:val="22"/>
          <w:u w:val="single"/>
          <w:lang w:val="sr-Latn-ME"/>
        </w:rPr>
        <w:t>/farmakodinamičk</w:t>
      </w:r>
      <w:r w:rsidRPr="00B82EF7">
        <w:rPr>
          <w:rFonts w:asciiTheme="majorBidi" w:hAnsiTheme="majorBidi" w:cstheme="majorBidi"/>
          <w:noProof/>
          <w:sz w:val="22"/>
          <w:szCs w:val="22"/>
          <w:u w:val="single"/>
          <w:lang w:val="sr-Latn-ME"/>
        </w:rPr>
        <w:t>i</w:t>
      </w:r>
      <w:r w:rsidR="004E2355" w:rsidRPr="00B82EF7">
        <w:rPr>
          <w:rFonts w:asciiTheme="majorBidi" w:hAnsiTheme="majorBidi" w:cstheme="majorBidi"/>
          <w:noProof/>
          <w:sz w:val="22"/>
          <w:szCs w:val="22"/>
          <w:u w:val="single"/>
          <w:lang w:val="sr-Latn-ME"/>
        </w:rPr>
        <w:t xml:space="preserve"> </w:t>
      </w:r>
      <w:r w:rsidRPr="00B82EF7">
        <w:rPr>
          <w:rFonts w:asciiTheme="majorBidi" w:hAnsiTheme="majorBidi" w:cstheme="majorBidi"/>
          <w:noProof/>
          <w:sz w:val="22"/>
          <w:szCs w:val="22"/>
          <w:u w:val="single"/>
          <w:lang w:val="sr-Latn-ME"/>
        </w:rPr>
        <w:t>odnos</w:t>
      </w:r>
    </w:p>
    <w:p w14:paraId="11A65A3B" w14:textId="177DE781" w:rsidR="004E2355" w:rsidRPr="00B82EF7" w:rsidRDefault="004E2355">
      <w:pPr>
        <w:tabs>
          <w:tab w:val="left" w:pos="540"/>
          <w:tab w:val="left" w:pos="569"/>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Ni</w:t>
      </w:r>
      <w:r w:rsidR="00843A9A"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 xml:space="preserve">su </w:t>
      </w:r>
      <w:r w:rsidR="00A32335" w:rsidRPr="00B82EF7">
        <w:rPr>
          <w:rFonts w:asciiTheme="majorBidi" w:hAnsiTheme="majorBidi" w:cstheme="majorBidi"/>
          <w:noProof/>
          <w:sz w:val="22"/>
          <w:szCs w:val="22"/>
          <w:lang w:val="sr-Latn-ME"/>
        </w:rPr>
        <w:t>primijećen</w:t>
      </w:r>
      <w:r w:rsidRPr="00B82EF7">
        <w:rPr>
          <w:rFonts w:asciiTheme="majorBidi" w:hAnsiTheme="majorBidi" w:cstheme="majorBidi"/>
          <w:noProof/>
          <w:sz w:val="22"/>
          <w:szCs w:val="22"/>
          <w:lang w:val="sr-Latn-ME"/>
        </w:rPr>
        <w:t xml:space="preserve">e farmakokinetičke interakcije između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a i trombolitika pri njihovoj istovremenoj </w:t>
      </w:r>
      <w:r w:rsidR="00B25BBD" w:rsidRPr="00B82EF7">
        <w:rPr>
          <w:rFonts w:asciiTheme="majorBidi" w:hAnsiTheme="majorBidi" w:cstheme="majorBidi"/>
          <w:noProof/>
          <w:sz w:val="22"/>
          <w:szCs w:val="22"/>
          <w:lang w:val="sr-Latn-ME"/>
        </w:rPr>
        <w:t>primjeni</w:t>
      </w:r>
      <w:r w:rsidRPr="00B82EF7">
        <w:rPr>
          <w:rFonts w:asciiTheme="majorBidi" w:hAnsiTheme="majorBidi" w:cstheme="majorBidi"/>
          <w:noProof/>
          <w:sz w:val="22"/>
          <w:szCs w:val="22"/>
          <w:lang w:val="sr-Latn-ME"/>
        </w:rPr>
        <w:t>.</w:t>
      </w:r>
    </w:p>
    <w:p w14:paraId="35E03F02" w14:textId="77777777" w:rsidR="004E2355" w:rsidRPr="00B82EF7" w:rsidRDefault="004E2355">
      <w:pPr>
        <w:tabs>
          <w:tab w:val="left" w:pos="540"/>
          <w:tab w:val="left" w:pos="569"/>
        </w:tabs>
        <w:jc w:val="both"/>
        <w:rPr>
          <w:rFonts w:asciiTheme="majorBidi" w:hAnsiTheme="majorBidi" w:cstheme="majorBidi"/>
          <w:bCs/>
          <w:sz w:val="22"/>
          <w:szCs w:val="22"/>
          <w:lang w:val="sr-Latn-ME"/>
        </w:rPr>
      </w:pPr>
    </w:p>
    <w:p w14:paraId="76DE04B1" w14:textId="77777777" w:rsidR="0072020E"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5.3.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 xml:space="preserve">Pretklinički podaci o bezbjednosti </w:t>
      </w:r>
    </w:p>
    <w:p w14:paraId="3E66F9C1" w14:textId="77777777" w:rsidR="00836B35" w:rsidRPr="00B82EF7" w:rsidRDefault="00836B35" w:rsidP="00F131CD">
      <w:pPr>
        <w:tabs>
          <w:tab w:val="left" w:pos="540"/>
          <w:tab w:val="left" w:pos="569"/>
        </w:tabs>
        <w:jc w:val="both"/>
        <w:rPr>
          <w:rFonts w:asciiTheme="majorBidi" w:hAnsiTheme="majorBidi" w:cstheme="majorBidi"/>
          <w:bCs/>
          <w:sz w:val="22"/>
          <w:szCs w:val="22"/>
          <w:lang w:val="sr-Latn-ME"/>
        </w:rPr>
      </w:pPr>
    </w:p>
    <w:p w14:paraId="0F8839E8" w14:textId="346F0AA6" w:rsidR="004E2355" w:rsidRPr="00B82EF7" w:rsidRDefault="004E2355" w:rsidP="004D148D">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Pored antikoagulantnih efekata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nije bilo dokaza štetnih dejstava pri dozi od 15 mg/kg na dan u 13-ned</w:t>
      </w:r>
      <w:r w:rsidR="00811A5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eljnoj studiji toksičnosti subkutane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na pacovima i psima, kao ni pri dozi od 10 mg/kg na dan u 26- </w:t>
      </w:r>
      <w:r w:rsidR="00811A52" w:rsidRPr="00B82EF7">
        <w:rPr>
          <w:rFonts w:asciiTheme="majorBidi" w:hAnsiTheme="majorBidi" w:cstheme="majorBidi"/>
          <w:noProof/>
          <w:sz w:val="22"/>
          <w:szCs w:val="22"/>
          <w:lang w:val="sr-Latn-ME"/>
        </w:rPr>
        <w:t>nedjeljn</w:t>
      </w:r>
      <w:r w:rsidRPr="00B82EF7">
        <w:rPr>
          <w:rFonts w:asciiTheme="majorBidi" w:hAnsiTheme="majorBidi" w:cstheme="majorBidi"/>
          <w:noProof/>
          <w:sz w:val="22"/>
          <w:szCs w:val="22"/>
          <w:lang w:val="sr-Latn-ME"/>
        </w:rPr>
        <w:t>oj studiji subkutane</w:t>
      </w:r>
      <w:r w:rsidR="00843A9A" w:rsidRPr="00B82EF7">
        <w:rPr>
          <w:rFonts w:asciiTheme="majorBidi" w:hAnsiTheme="majorBidi" w:cstheme="majorBidi"/>
          <w:noProof/>
          <w:sz w:val="22"/>
          <w:szCs w:val="22"/>
          <w:lang w:val="sr-Latn-ME"/>
        </w:rPr>
        <w:t xml:space="preserve"> toksičnosti</w:t>
      </w:r>
      <w:r w:rsidRPr="00B82EF7">
        <w:rPr>
          <w:rFonts w:asciiTheme="majorBidi" w:hAnsiTheme="majorBidi" w:cstheme="majorBidi"/>
          <w:noProof/>
          <w:sz w:val="22"/>
          <w:szCs w:val="22"/>
          <w:lang w:val="sr-Latn-ME"/>
        </w:rPr>
        <w:t xml:space="preserve"> i intravenske </w:t>
      </w:r>
      <w:r w:rsidR="00B25BBD" w:rsidRPr="00B82EF7">
        <w:rPr>
          <w:rFonts w:asciiTheme="majorBidi" w:hAnsiTheme="majorBidi" w:cstheme="majorBidi"/>
          <w:noProof/>
          <w:sz w:val="22"/>
          <w:szCs w:val="22"/>
          <w:lang w:val="sr-Latn-ME"/>
        </w:rPr>
        <w:t>primjene</w:t>
      </w:r>
      <w:r w:rsidRPr="00B82EF7">
        <w:rPr>
          <w:rFonts w:asciiTheme="majorBidi" w:hAnsiTheme="majorBidi" w:cstheme="majorBidi"/>
          <w:noProof/>
          <w:sz w:val="22"/>
          <w:szCs w:val="22"/>
          <w:lang w:val="sr-Latn-ME"/>
        </w:rPr>
        <w:t xml:space="preserve"> na pacovima i majmunima. </w:t>
      </w:r>
    </w:p>
    <w:p w14:paraId="1524A37D" w14:textId="77777777" w:rsidR="00F9599C" w:rsidRPr="00B82EF7" w:rsidRDefault="00F9599C" w:rsidP="00C36CDC">
      <w:pPr>
        <w:tabs>
          <w:tab w:val="left" w:pos="284"/>
        </w:tabs>
        <w:jc w:val="both"/>
        <w:rPr>
          <w:rFonts w:asciiTheme="majorBidi" w:hAnsiTheme="majorBidi" w:cstheme="majorBidi"/>
          <w:noProof/>
          <w:sz w:val="22"/>
          <w:szCs w:val="22"/>
          <w:lang w:val="sr-Latn-ME"/>
        </w:rPr>
      </w:pPr>
    </w:p>
    <w:p w14:paraId="7822361F" w14:textId="2DCB5F6A" w:rsidR="004E2355" w:rsidRPr="00B82EF7" w:rsidRDefault="007E1FF7" w:rsidP="00843A9A">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nije pokazao mutagenu aktivnost u testovima </w:t>
      </w:r>
      <w:r w:rsidR="004E2355" w:rsidRPr="00B82EF7">
        <w:rPr>
          <w:rFonts w:asciiTheme="majorBidi" w:hAnsiTheme="majorBidi" w:cstheme="majorBidi"/>
          <w:i/>
          <w:iCs/>
          <w:noProof/>
          <w:sz w:val="22"/>
          <w:szCs w:val="22"/>
          <w:lang w:val="sr-Latn-ME"/>
        </w:rPr>
        <w:t>in vitro</w:t>
      </w:r>
      <w:r w:rsidR="004E2355" w:rsidRPr="00B82EF7">
        <w:rPr>
          <w:rFonts w:asciiTheme="majorBidi" w:hAnsiTheme="majorBidi" w:cstheme="majorBidi"/>
          <w:noProof/>
          <w:sz w:val="22"/>
          <w:szCs w:val="22"/>
          <w:lang w:val="sr-Latn-ME"/>
        </w:rPr>
        <w:t>, uključujući Ames</w:t>
      </w:r>
      <w:r w:rsidR="00843A9A" w:rsidRPr="00B82EF7">
        <w:rPr>
          <w:rFonts w:asciiTheme="majorBidi" w:hAnsiTheme="majorBidi" w:cstheme="majorBidi"/>
          <w:noProof/>
          <w:sz w:val="22"/>
          <w:szCs w:val="22"/>
          <w:lang w:val="sr-Latn-ME"/>
        </w:rPr>
        <w:t>-</w:t>
      </w:r>
      <w:r w:rsidR="004E2355" w:rsidRPr="00B82EF7">
        <w:rPr>
          <w:rFonts w:asciiTheme="majorBidi" w:hAnsiTheme="majorBidi" w:cstheme="majorBidi"/>
          <w:noProof/>
          <w:sz w:val="22"/>
          <w:szCs w:val="22"/>
          <w:lang w:val="sr-Latn-ME"/>
        </w:rPr>
        <w:t>ov test i test mutacija na ćelijama limfoma</w:t>
      </w:r>
      <w:r w:rsidR="00331EE2" w:rsidRPr="00B82EF7">
        <w:rPr>
          <w:rFonts w:asciiTheme="majorBidi" w:hAnsiTheme="majorBidi" w:cstheme="majorBidi"/>
          <w:noProof/>
          <w:sz w:val="22"/>
          <w:szCs w:val="22"/>
          <w:lang w:val="sr-Latn-ME"/>
        </w:rPr>
        <w:t xml:space="preserve"> miša</w:t>
      </w:r>
      <w:r w:rsidR="004E2355" w:rsidRPr="00B82EF7">
        <w:rPr>
          <w:rFonts w:asciiTheme="majorBidi" w:hAnsiTheme="majorBidi" w:cstheme="majorBidi"/>
          <w:noProof/>
          <w:sz w:val="22"/>
          <w:szCs w:val="22"/>
          <w:lang w:val="sr-Latn-ME"/>
        </w:rPr>
        <w:t xml:space="preserve">, kao ni klastogenu aktivnost u testu hromozomskih aberacija na ljudskim limfocitima </w:t>
      </w:r>
      <w:r w:rsidR="004E2355" w:rsidRPr="00B82EF7">
        <w:rPr>
          <w:rFonts w:asciiTheme="majorBidi" w:hAnsiTheme="majorBidi" w:cstheme="majorBidi"/>
          <w:i/>
          <w:iCs/>
          <w:noProof/>
          <w:sz w:val="22"/>
          <w:szCs w:val="22"/>
          <w:lang w:val="sr-Latn-ME"/>
        </w:rPr>
        <w:t xml:space="preserve">in vitro </w:t>
      </w:r>
      <w:r w:rsidR="004E2355" w:rsidRPr="00B82EF7">
        <w:rPr>
          <w:rFonts w:asciiTheme="majorBidi" w:hAnsiTheme="majorBidi" w:cstheme="majorBidi"/>
          <w:noProof/>
          <w:sz w:val="22"/>
          <w:szCs w:val="22"/>
          <w:lang w:val="sr-Latn-ME"/>
        </w:rPr>
        <w:t>i testu hromozomskih aberacija na ćelijama ko</w:t>
      </w:r>
      <w:r w:rsidR="00331EE2" w:rsidRPr="00B82EF7">
        <w:rPr>
          <w:rFonts w:asciiTheme="majorBidi" w:hAnsiTheme="majorBidi" w:cstheme="majorBidi"/>
          <w:noProof/>
          <w:sz w:val="22"/>
          <w:szCs w:val="22"/>
          <w:lang w:val="sr-Latn-ME"/>
        </w:rPr>
        <w:t>st</w:t>
      </w:r>
      <w:r w:rsidR="004E2355" w:rsidRPr="00B82EF7">
        <w:rPr>
          <w:rFonts w:asciiTheme="majorBidi" w:hAnsiTheme="majorBidi" w:cstheme="majorBidi"/>
          <w:noProof/>
          <w:sz w:val="22"/>
          <w:szCs w:val="22"/>
          <w:lang w:val="sr-Latn-ME"/>
        </w:rPr>
        <w:t xml:space="preserve">ne srži pacova </w:t>
      </w:r>
      <w:r w:rsidR="004E2355" w:rsidRPr="00B82EF7">
        <w:rPr>
          <w:rFonts w:asciiTheme="majorBidi" w:hAnsiTheme="majorBidi" w:cstheme="majorBidi"/>
          <w:i/>
          <w:iCs/>
          <w:noProof/>
          <w:sz w:val="22"/>
          <w:szCs w:val="22"/>
          <w:lang w:val="sr-Latn-ME"/>
        </w:rPr>
        <w:t>in vivo</w:t>
      </w:r>
      <w:r w:rsidR="004E2355" w:rsidRPr="00B82EF7">
        <w:rPr>
          <w:rFonts w:asciiTheme="majorBidi" w:hAnsiTheme="majorBidi" w:cstheme="majorBidi"/>
          <w:noProof/>
          <w:sz w:val="22"/>
          <w:szCs w:val="22"/>
          <w:lang w:val="sr-Latn-ME"/>
        </w:rPr>
        <w:t xml:space="preserve">. </w:t>
      </w:r>
    </w:p>
    <w:p w14:paraId="7338A1C9" w14:textId="77777777" w:rsidR="006B2311" w:rsidRPr="00B82EF7" w:rsidRDefault="006B2311">
      <w:pPr>
        <w:tabs>
          <w:tab w:val="left" w:pos="284"/>
        </w:tabs>
        <w:jc w:val="both"/>
        <w:rPr>
          <w:rFonts w:asciiTheme="majorBidi" w:hAnsiTheme="majorBidi" w:cstheme="majorBidi"/>
          <w:noProof/>
          <w:sz w:val="22"/>
          <w:szCs w:val="22"/>
          <w:lang w:val="sr-Latn-ME"/>
        </w:rPr>
      </w:pPr>
    </w:p>
    <w:p w14:paraId="53832FFB" w14:textId="278195A4" w:rsidR="00396DFD" w:rsidRPr="00B82EF7" w:rsidRDefault="004E2355" w:rsidP="00F131CD">
      <w:pPr>
        <w:tabs>
          <w:tab w:val="left" w:pos="540"/>
          <w:tab w:val="left" w:pos="569"/>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Studije sprovedene na skotnim ženkama pacova i kunića pri subkutanim dozama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a do 30 mg/kg/dan ni</w:t>
      </w:r>
      <w:r w:rsidR="00331EE2" w:rsidRPr="00B82EF7">
        <w:rPr>
          <w:rFonts w:asciiTheme="majorBidi" w:hAnsiTheme="majorBidi" w:cstheme="majorBidi"/>
          <w:noProof/>
          <w:sz w:val="22"/>
          <w:szCs w:val="22"/>
          <w:lang w:val="sr-Latn-ME"/>
        </w:rPr>
        <w:t>je</w:t>
      </w:r>
      <w:r w:rsidRPr="00B82EF7">
        <w:rPr>
          <w:rFonts w:asciiTheme="majorBidi" w:hAnsiTheme="majorBidi" w:cstheme="majorBidi"/>
          <w:noProof/>
          <w:sz w:val="22"/>
          <w:szCs w:val="22"/>
          <w:lang w:val="sr-Latn-ME"/>
        </w:rPr>
        <w:t xml:space="preserve">su otkrile dokaze teratogenih efekata ni fetotoksičnosti. Utvrđeno je da </w:t>
      </w:r>
      <w:r w:rsidR="007E1FF7" w:rsidRPr="00B82EF7">
        <w:rPr>
          <w:rFonts w:asciiTheme="majorBidi" w:hAnsiTheme="majorBidi" w:cstheme="majorBidi"/>
          <w:noProof/>
          <w:sz w:val="22"/>
          <w:szCs w:val="22"/>
          <w:lang w:val="sr-Latn-ME"/>
        </w:rPr>
        <w:t>enoksaparin natrijum</w:t>
      </w:r>
      <w:r w:rsidRPr="00B82EF7">
        <w:rPr>
          <w:rFonts w:asciiTheme="majorBidi" w:hAnsiTheme="majorBidi" w:cstheme="majorBidi"/>
          <w:noProof/>
          <w:sz w:val="22"/>
          <w:szCs w:val="22"/>
          <w:lang w:val="sr-Latn-ME"/>
        </w:rPr>
        <w:t xml:space="preserve"> ne utiče na plodnost ni reproduktivnu sposobnost mužjaka i ženki pacova pri subkutanim dozama do 20 mg/kg/dan.</w:t>
      </w:r>
    </w:p>
    <w:p w14:paraId="6AD49F9A" w14:textId="52179F26" w:rsidR="004E2355" w:rsidRDefault="004E2355" w:rsidP="00F131CD">
      <w:pPr>
        <w:tabs>
          <w:tab w:val="left" w:pos="540"/>
          <w:tab w:val="left" w:pos="569"/>
        </w:tabs>
        <w:jc w:val="both"/>
        <w:rPr>
          <w:rFonts w:asciiTheme="majorBidi" w:hAnsiTheme="majorBidi" w:cstheme="majorBidi"/>
          <w:b/>
          <w:bCs/>
          <w:sz w:val="22"/>
          <w:szCs w:val="22"/>
          <w:lang w:val="sr-Latn-ME"/>
        </w:rPr>
      </w:pPr>
    </w:p>
    <w:p w14:paraId="6F415E87" w14:textId="77777777" w:rsidR="00B82EF7" w:rsidRPr="00B82EF7" w:rsidRDefault="00B82EF7" w:rsidP="00F131CD">
      <w:pPr>
        <w:tabs>
          <w:tab w:val="left" w:pos="540"/>
          <w:tab w:val="left" w:pos="569"/>
        </w:tabs>
        <w:jc w:val="both"/>
        <w:rPr>
          <w:rFonts w:asciiTheme="majorBidi" w:hAnsiTheme="majorBidi" w:cstheme="majorBidi"/>
          <w:b/>
          <w:bCs/>
          <w:sz w:val="22"/>
          <w:szCs w:val="22"/>
          <w:lang w:val="sr-Latn-ME"/>
        </w:rPr>
      </w:pPr>
    </w:p>
    <w:p w14:paraId="79FBB49A"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6.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FARMACEUTSKI PODACI</w:t>
      </w:r>
    </w:p>
    <w:p w14:paraId="484C7A3F" w14:textId="77777777" w:rsidR="00836B35" w:rsidRPr="00B82EF7" w:rsidRDefault="00836B35" w:rsidP="00480FB1">
      <w:pPr>
        <w:tabs>
          <w:tab w:val="left" w:pos="540"/>
          <w:tab w:val="left" w:pos="569"/>
        </w:tabs>
        <w:rPr>
          <w:rFonts w:asciiTheme="majorBidi" w:hAnsiTheme="majorBidi" w:cstheme="majorBidi"/>
          <w:bCs/>
          <w:sz w:val="22"/>
          <w:szCs w:val="22"/>
          <w:lang w:val="sr-Latn-ME"/>
        </w:rPr>
      </w:pPr>
    </w:p>
    <w:p w14:paraId="38FA97EE"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6.1.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Lista pomoćnih supstanci</w:t>
      </w:r>
      <w:r w:rsidR="002E0135" w:rsidRPr="00B82EF7">
        <w:rPr>
          <w:rFonts w:asciiTheme="majorBidi" w:hAnsiTheme="majorBidi" w:cstheme="majorBidi"/>
          <w:b/>
          <w:bCs/>
          <w:sz w:val="22"/>
          <w:szCs w:val="22"/>
          <w:lang w:val="sr-Latn-ME"/>
        </w:rPr>
        <w:t xml:space="preserve"> (ekscipijenasa)</w:t>
      </w:r>
    </w:p>
    <w:p w14:paraId="00A36586" w14:textId="77777777" w:rsidR="0072020E" w:rsidRPr="00B82EF7" w:rsidRDefault="0072020E" w:rsidP="00480FB1">
      <w:pPr>
        <w:tabs>
          <w:tab w:val="left" w:pos="540"/>
          <w:tab w:val="left" w:pos="569"/>
        </w:tabs>
        <w:rPr>
          <w:rFonts w:asciiTheme="majorBidi" w:hAnsiTheme="majorBidi" w:cstheme="majorBidi"/>
          <w:bCs/>
          <w:sz w:val="22"/>
          <w:szCs w:val="22"/>
          <w:lang w:val="sr-Latn-ME"/>
        </w:rPr>
      </w:pPr>
    </w:p>
    <w:p w14:paraId="177A73EA" w14:textId="77777777" w:rsidR="004E2355" w:rsidRPr="00B82EF7" w:rsidRDefault="004E2355" w:rsidP="00480FB1">
      <w:pPr>
        <w:tabs>
          <w:tab w:val="left" w:pos="540"/>
          <w:tab w:val="left" w:pos="569"/>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Voda za injekcije</w:t>
      </w:r>
    </w:p>
    <w:p w14:paraId="4FBD8E42" w14:textId="77777777" w:rsidR="004E2355" w:rsidRPr="00B82EF7" w:rsidRDefault="004E2355" w:rsidP="00480FB1">
      <w:pPr>
        <w:tabs>
          <w:tab w:val="left" w:pos="540"/>
          <w:tab w:val="left" w:pos="569"/>
        </w:tabs>
        <w:rPr>
          <w:rFonts w:asciiTheme="majorBidi" w:hAnsiTheme="majorBidi" w:cstheme="majorBidi"/>
          <w:bCs/>
          <w:sz w:val="22"/>
          <w:szCs w:val="22"/>
          <w:lang w:val="sr-Latn-ME"/>
        </w:rPr>
      </w:pPr>
    </w:p>
    <w:p w14:paraId="36074C70"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6.2.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Inkompatibilnost</w:t>
      </w:r>
      <w:r w:rsidR="002846DB" w:rsidRPr="00B82EF7">
        <w:rPr>
          <w:rFonts w:asciiTheme="majorBidi" w:hAnsiTheme="majorBidi" w:cstheme="majorBidi"/>
          <w:b/>
          <w:bCs/>
          <w:sz w:val="22"/>
          <w:szCs w:val="22"/>
          <w:lang w:val="sr-Latn-ME"/>
        </w:rPr>
        <w:t>i</w:t>
      </w:r>
    </w:p>
    <w:p w14:paraId="510C275F" w14:textId="77777777" w:rsidR="0072020E" w:rsidRPr="00B82EF7" w:rsidRDefault="0072020E" w:rsidP="00480FB1">
      <w:pPr>
        <w:tabs>
          <w:tab w:val="left" w:pos="540"/>
          <w:tab w:val="left" w:pos="569"/>
        </w:tabs>
        <w:rPr>
          <w:rFonts w:asciiTheme="majorBidi" w:hAnsiTheme="majorBidi" w:cstheme="majorBidi"/>
          <w:bCs/>
          <w:sz w:val="22"/>
          <w:szCs w:val="22"/>
          <w:lang w:val="sr-Latn-ME"/>
        </w:rPr>
      </w:pPr>
    </w:p>
    <w:p w14:paraId="5A4F5AAD" w14:textId="77777777" w:rsidR="004E2355" w:rsidRPr="00B82EF7" w:rsidRDefault="004E2355" w:rsidP="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Subkutana injekcija </w:t>
      </w:r>
    </w:p>
    <w:p w14:paraId="31567FA8" w14:textId="1991DA5B" w:rsidR="004E2355" w:rsidRPr="00B82EF7" w:rsidRDefault="004E2355" w:rsidP="004E2355">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Ne </w:t>
      </w:r>
      <w:r w:rsidR="00AA7815" w:rsidRPr="00B82EF7">
        <w:rPr>
          <w:rFonts w:asciiTheme="majorBidi" w:hAnsiTheme="majorBidi" w:cstheme="majorBidi"/>
          <w:noProof/>
          <w:sz w:val="22"/>
          <w:szCs w:val="22"/>
          <w:lang w:val="sr-Latn-ME"/>
        </w:rPr>
        <w:t xml:space="preserve">smije se </w:t>
      </w:r>
      <w:r w:rsidR="00811A52" w:rsidRPr="00B82EF7">
        <w:rPr>
          <w:rFonts w:asciiTheme="majorBidi" w:hAnsiTheme="majorBidi" w:cstheme="majorBidi"/>
          <w:noProof/>
          <w:sz w:val="22"/>
          <w:szCs w:val="22"/>
          <w:lang w:val="sr-Latn-ME"/>
        </w:rPr>
        <w:t>miješati</w:t>
      </w:r>
      <w:r w:rsidRPr="00B82EF7">
        <w:rPr>
          <w:rFonts w:asciiTheme="majorBidi" w:hAnsiTheme="majorBidi" w:cstheme="majorBidi"/>
          <w:noProof/>
          <w:sz w:val="22"/>
          <w:szCs w:val="22"/>
          <w:lang w:val="sr-Latn-ME"/>
        </w:rPr>
        <w:t xml:space="preserve"> sa drugim </w:t>
      </w:r>
      <w:r w:rsidR="004E6DFB" w:rsidRPr="00B82EF7">
        <w:rPr>
          <w:rFonts w:asciiTheme="majorBidi" w:hAnsiTheme="majorBidi" w:cstheme="majorBidi"/>
          <w:noProof/>
          <w:sz w:val="22"/>
          <w:szCs w:val="22"/>
          <w:lang w:val="sr-Latn-ME"/>
        </w:rPr>
        <w:t>ljekovi</w:t>
      </w:r>
      <w:r w:rsidRPr="00B82EF7">
        <w:rPr>
          <w:rFonts w:asciiTheme="majorBidi" w:hAnsiTheme="majorBidi" w:cstheme="majorBidi"/>
          <w:noProof/>
          <w:sz w:val="22"/>
          <w:szCs w:val="22"/>
          <w:lang w:val="sr-Latn-ME"/>
        </w:rPr>
        <w:t xml:space="preserve">ma. </w:t>
      </w:r>
    </w:p>
    <w:p w14:paraId="46A9FD13" w14:textId="77777777" w:rsidR="006B2311" w:rsidRPr="00B82EF7" w:rsidRDefault="006B2311" w:rsidP="004E2355">
      <w:pPr>
        <w:tabs>
          <w:tab w:val="left" w:pos="284"/>
        </w:tabs>
        <w:jc w:val="both"/>
        <w:rPr>
          <w:rFonts w:asciiTheme="majorBidi" w:hAnsiTheme="majorBidi" w:cstheme="majorBidi"/>
          <w:noProof/>
          <w:sz w:val="22"/>
          <w:szCs w:val="22"/>
          <w:lang w:val="sr-Latn-ME"/>
        </w:rPr>
      </w:pPr>
    </w:p>
    <w:p w14:paraId="5E6C1D95" w14:textId="6E183CB9" w:rsidR="004E2355" w:rsidRPr="00B82EF7" w:rsidRDefault="004E2355" w:rsidP="004E2355">
      <w:pPr>
        <w:tabs>
          <w:tab w:val="left" w:pos="284"/>
        </w:tabs>
        <w:jc w:val="both"/>
        <w:rPr>
          <w:rFonts w:asciiTheme="majorBidi" w:hAnsiTheme="majorBidi" w:cstheme="majorBidi"/>
          <w:noProof/>
          <w:sz w:val="22"/>
          <w:szCs w:val="22"/>
          <w:u w:val="single"/>
          <w:lang w:val="sr-Latn-ME"/>
        </w:rPr>
      </w:pPr>
      <w:r w:rsidRPr="00B82EF7">
        <w:rPr>
          <w:rFonts w:asciiTheme="majorBidi" w:hAnsiTheme="majorBidi" w:cstheme="majorBidi"/>
          <w:noProof/>
          <w:sz w:val="22"/>
          <w:szCs w:val="22"/>
          <w:u w:val="single"/>
          <w:lang w:val="sr-Latn-ME"/>
        </w:rPr>
        <w:t xml:space="preserve">Intravenska (bolus) injekcija (samo za indikaciju akutni STEMI): </w:t>
      </w:r>
    </w:p>
    <w:p w14:paraId="74B7B6E4" w14:textId="5D12E91C" w:rsidR="004E2355" w:rsidRPr="00B82EF7" w:rsidRDefault="007E1FF7" w:rsidP="00AA7815">
      <w:pPr>
        <w:tabs>
          <w:tab w:val="left" w:pos="540"/>
          <w:tab w:val="left" w:pos="569"/>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Enoksaparin natrijum</w:t>
      </w:r>
      <w:r w:rsidR="004E2355" w:rsidRPr="00B82EF7">
        <w:rPr>
          <w:rFonts w:asciiTheme="majorBidi" w:hAnsiTheme="majorBidi" w:cstheme="majorBidi"/>
          <w:noProof/>
          <w:sz w:val="22"/>
          <w:szCs w:val="22"/>
          <w:lang w:val="sr-Latn-ME"/>
        </w:rPr>
        <w:t xml:space="preserve"> se može bezb</w:t>
      </w:r>
      <w:r w:rsidR="00811A52" w:rsidRPr="00B82EF7">
        <w:rPr>
          <w:rFonts w:asciiTheme="majorBidi" w:hAnsiTheme="majorBidi" w:cstheme="majorBidi"/>
          <w:noProof/>
          <w:sz w:val="22"/>
          <w:szCs w:val="22"/>
          <w:lang w:val="sr-Latn-ME"/>
        </w:rPr>
        <w:t>j</w:t>
      </w:r>
      <w:r w:rsidR="004E2355" w:rsidRPr="00B82EF7">
        <w:rPr>
          <w:rFonts w:asciiTheme="majorBidi" w:hAnsiTheme="majorBidi" w:cstheme="majorBidi"/>
          <w:noProof/>
          <w:sz w:val="22"/>
          <w:szCs w:val="22"/>
          <w:lang w:val="sr-Latn-ME"/>
        </w:rPr>
        <w:t xml:space="preserve">edno </w:t>
      </w:r>
      <w:r w:rsidR="00B25BBD" w:rsidRPr="00B82EF7">
        <w:rPr>
          <w:rFonts w:asciiTheme="majorBidi" w:hAnsiTheme="majorBidi" w:cstheme="majorBidi"/>
          <w:noProof/>
          <w:sz w:val="22"/>
          <w:szCs w:val="22"/>
          <w:lang w:val="sr-Latn-ME"/>
        </w:rPr>
        <w:t>primjenjivati</w:t>
      </w:r>
      <w:r w:rsidR="004E2355" w:rsidRPr="00B82EF7">
        <w:rPr>
          <w:rFonts w:asciiTheme="majorBidi" w:hAnsiTheme="majorBidi" w:cstheme="majorBidi"/>
          <w:noProof/>
          <w:sz w:val="22"/>
          <w:szCs w:val="22"/>
          <w:lang w:val="sr-Latn-ME"/>
        </w:rPr>
        <w:t xml:space="preserve"> sa fiziološk</w:t>
      </w:r>
      <w:r w:rsidR="00AA7815" w:rsidRPr="00B82EF7">
        <w:rPr>
          <w:rFonts w:asciiTheme="majorBidi" w:hAnsiTheme="majorBidi" w:cstheme="majorBidi"/>
          <w:noProof/>
          <w:sz w:val="22"/>
          <w:szCs w:val="22"/>
          <w:lang w:val="sr-Latn-ME"/>
        </w:rPr>
        <w:t>i</w:t>
      </w:r>
      <w:r w:rsidR="004E2355" w:rsidRPr="00B82EF7">
        <w:rPr>
          <w:rFonts w:asciiTheme="majorBidi" w:hAnsiTheme="majorBidi" w:cstheme="majorBidi"/>
          <w:noProof/>
          <w:sz w:val="22"/>
          <w:szCs w:val="22"/>
          <w:lang w:val="sr-Latn-ME"/>
        </w:rPr>
        <w:t xml:space="preserve">m rastvorom (0,9%) ili vodenim rastvorom </w:t>
      </w:r>
      <w:r w:rsidR="00AA7815" w:rsidRPr="00B82EF7">
        <w:rPr>
          <w:rFonts w:asciiTheme="majorBidi" w:hAnsiTheme="majorBidi" w:cstheme="majorBidi"/>
          <w:noProof/>
          <w:sz w:val="22"/>
          <w:szCs w:val="22"/>
          <w:lang w:val="sr-Latn-ME"/>
        </w:rPr>
        <w:t xml:space="preserve">glukoze </w:t>
      </w:r>
      <w:r w:rsidR="004E2355" w:rsidRPr="00B82EF7">
        <w:rPr>
          <w:rFonts w:asciiTheme="majorBidi" w:hAnsiTheme="majorBidi" w:cstheme="majorBidi"/>
          <w:noProof/>
          <w:sz w:val="22"/>
          <w:szCs w:val="22"/>
          <w:lang w:val="sr-Latn-ME"/>
        </w:rPr>
        <w:t>(5%) (</w:t>
      </w:r>
      <w:r w:rsidR="00B36F6D" w:rsidRPr="00B82EF7">
        <w:rPr>
          <w:rFonts w:asciiTheme="majorBidi" w:hAnsiTheme="majorBidi" w:cstheme="majorBidi"/>
          <w:noProof/>
          <w:sz w:val="22"/>
          <w:szCs w:val="22"/>
          <w:lang w:val="sr-Latn-ME"/>
        </w:rPr>
        <w:t>vidjeti odjeljak</w:t>
      </w:r>
      <w:r w:rsidR="004E2355" w:rsidRPr="00B82EF7">
        <w:rPr>
          <w:rFonts w:asciiTheme="majorBidi" w:hAnsiTheme="majorBidi" w:cstheme="majorBidi"/>
          <w:noProof/>
          <w:sz w:val="22"/>
          <w:szCs w:val="22"/>
          <w:lang w:val="sr-Latn-ME"/>
        </w:rPr>
        <w:t xml:space="preserve"> 4.2).</w:t>
      </w:r>
    </w:p>
    <w:p w14:paraId="46F039E5" w14:textId="77777777" w:rsidR="004E2355" w:rsidRPr="00B82EF7" w:rsidRDefault="004E2355" w:rsidP="004E2355">
      <w:pPr>
        <w:tabs>
          <w:tab w:val="left" w:pos="540"/>
          <w:tab w:val="left" w:pos="569"/>
        </w:tabs>
        <w:rPr>
          <w:rFonts w:asciiTheme="majorBidi" w:hAnsiTheme="majorBidi" w:cstheme="majorBidi"/>
          <w:bCs/>
          <w:sz w:val="22"/>
          <w:szCs w:val="22"/>
          <w:lang w:val="sr-Latn-ME"/>
        </w:rPr>
      </w:pPr>
    </w:p>
    <w:p w14:paraId="08E9E3C8"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6.3.</w:t>
      </w:r>
      <w:r w:rsidR="00C05DF8" w:rsidRPr="00B82EF7">
        <w:rPr>
          <w:rFonts w:asciiTheme="majorBidi" w:hAnsiTheme="majorBidi" w:cstheme="majorBidi"/>
          <w:b/>
          <w:bCs/>
          <w:sz w:val="22"/>
          <w:szCs w:val="22"/>
          <w:lang w:val="sr-Latn-ME"/>
        </w:rPr>
        <w:t xml:space="preserve">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Rok upotrebe</w:t>
      </w:r>
    </w:p>
    <w:p w14:paraId="0FD41E1D" w14:textId="77777777" w:rsidR="0072020E" w:rsidRPr="00B82EF7" w:rsidRDefault="0072020E" w:rsidP="00480FB1">
      <w:pPr>
        <w:tabs>
          <w:tab w:val="left" w:pos="540"/>
          <w:tab w:val="left" w:pos="569"/>
        </w:tabs>
        <w:rPr>
          <w:rFonts w:asciiTheme="majorBidi" w:hAnsiTheme="majorBidi" w:cstheme="majorBidi"/>
          <w:bCs/>
          <w:sz w:val="22"/>
          <w:szCs w:val="22"/>
          <w:lang w:val="sr-Latn-ME"/>
        </w:rPr>
      </w:pPr>
    </w:p>
    <w:p w14:paraId="579409B0" w14:textId="77777777" w:rsidR="004E2355" w:rsidRPr="00B82EF7" w:rsidRDefault="004E2355" w:rsidP="00480FB1">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3 godine.</w:t>
      </w:r>
    </w:p>
    <w:p w14:paraId="654485E5" w14:textId="77777777" w:rsidR="004E2355" w:rsidRPr="00B82EF7" w:rsidRDefault="004E2355" w:rsidP="00480FB1">
      <w:pPr>
        <w:tabs>
          <w:tab w:val="left" w:pos="540"/>
          <w:tab w:val="left" w:pos="569"/>
        </w:tabs>
        <w:rPr>
          <w:rFonts w:asciiTheme="majorBidi" w:hAnsiTheme="majorBidi" w:cstheme="majorBidi"/>
          <w:bCs/>
          <w:sz w:val="22"/>
          <w:szCs w:val="22"/>
          <w:lang w:val="sr-Latn-ME"/>
        </w:rPr>
      </w:pPr>
    </w:p>
    <w:p w14:paraId="10D17DAF"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lastRenderedPageBreak/>
        <w:t xml:space="preserve">6.4.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Posebne mjere upozorenja pri čuvanju</w:t>
      </w:r>
      <w:r w:rsidR="00F8570A" w:rsidRPr="00B82EF7">
        <w:rPr>
          <w:rFonts w:asciiTheme="majorBidi" w:hAnsiTheme="majorBidi" w:cstheme="majorBidi"/>
          <w:b/>
          <w:bCs/>
          <w:sz w:val="22"/>
          <w:szCs w:val="22"/>
          <w:lang w:val="sr-Latn-ME"/>
        </w:rPr>
        <w:t xml:space="preserve"> lijeka</w:t>
      </w:r>
    </w:p>
    <w:p w14:paraId="4FCF4DBB" w14:textId="77777777" w:rsidR="00EC2532" w:rsidRPr="00B82EF7" w:rsidRDefault="00EC2532" w:rsidP="00480FB1">
      <w:pPr>
        <w:tabs>
          <w:tab w:val="left" w:pos="540"/>
          <w:tab w:val="left" w:pos="569"/>
        </w:tabs>
        <w:rPr>
          <w:rFonts w:asciiTheme="majorBidi" w:hAnsiTheme="majorBidi" w:cstheme="majorBidi"/>
          <w:bCs/>
          <w:sz w:val="22"/>
          <w:szCs w:val="22"/>
          <w:lang w:val="sr-Latn-ME"/>
        </w:rPr>
      </w:pPr>
    </w:p>
    <w:p w14:paraId="5EE5F0C0" w14:textId="77777777" w:rsidR="004E2355" w:rsidRPr="00B82EF7" w:rsidRDefault="004E2355" w:rsidP="00480FB1">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Čuvati na temperaturi do 25°C. Ne zamrzavati.</w:t>
      </w:r>
    </w:p>
    <w:p w14:paraId="3651CC38" w14:textId="77777777" w:rsidR="008F2B2C" w:rsidRPr="00B82EF7" w:rsidRDefault="008F2B2C" w:rsidP="00480FB1">
      <w:pPr>
        <w:tabs>
          <w:tab w:val="left" w:pos="540"/>
          <w:tab w:val="left" w:pos="569"/>
        </w:tabs>
        <w:rPr>
          <w:rFonts w:asciiTheme="majorBidi" w:hAnsiTheme="majorBidi" w:cstheme="majorBidi"/>
          <w:bCs/>
          <w:sz w:val="22"/>
          <w:szCs w:val="22"/>
          <w:lang w:val="sr-Latn-ME"/>
        </w:rPr>
      </w:pPr>
    </w:p>
    <w:p w14:paraId="7B144B58"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6.5. </w:t>
      </w:r>
      <w:r w:rsidR="00480FB1" w:rsidRPr="00B82EF7">
        <w:rPr>
          <w:rFonts w:asciiTheme="majorBidi" w:hAnsiTheme="majorBidi" w:cstheme="majorBidi"/>
          <w:b/>
          <w:bCs/>
          <w:sz w:val="22"/>
          <w:szCs w:val="22"/>
          <w:lang w:val="sr-Latn-ME"/>
        </w:rPr>
        <w:tab/>
      </w:r>
      <w:r w:rsidR="002846DB" w:rsidRPr="00B82EF7">
        <w:rPr>
          <w:rFonts w:asciiTheme="majorBidi" w:hAnsiTheme="majorBidi" w:cstheme="majorBidi"/>
          <w:b/>
          <w:bCs/>
          <w:sz w:val="22"/>
          <w:szCs w:val="22"/>
          <w:lang w:val="sr-Latn-ME"/>
        </w:rPr>
        <w:t xml:space="preserve">Vrsta i sadržaj </w:t>
      </w:r>
      <w:r w:rsidR="00F8570A" w:rsidRPr="00B82EF7">
        <w:rPr>
          <w:rFonts w:asciiTheme="majorBidi" w:hAnsiTheme="majorBidi" w:cstheme="majorBidi"/>
          <w:b/>
          <w:bCs/>
          <w:sz w:val="22"/>
          <w:szCs w:val="22"/>
          <w:lang w:val="sr-Latn-ME"/>
        </w:rPr>
        <w:t>pakovanja</w:t>
      </w:r>
      <w:r w:rsidR="00C06864" w:rsidRPr="00B82EF7">
        <w:rPr>
          <w:rFonts w:asciiTheme="majorBidi" w:hAnsiTheme="majorBidi" w:cstheme="majorBidi"/>
          <w:b/>
          <w:bCs/>
          <w:sz w:val="22"/>
          <w:szCs w:val="22"/>
          <w:lang w:val="sr-Latn-ME"/>
        </w:rPr>
        <w:t xml:space="preserve"> </w:t>
      </w:r>
    </w:p>
    <w:p w14:paraId="549B685A" w14:textId="77777777" w:rsidR="0072020E" w:rsidRPr="00B82EF7" w:rsidRDefault="0072020E" w:rsidP="00480FB1">
      <w:pPr>
        <w:tabs>
          <w:tab w:val="left" w:pos="540"/>
          <w:tab w:val="left" w:pos="569"/>
        </w:tabs>
        <w:rPr>
          <w:rFonts w:asciiTheme="majorBidi" w:hAnsiTheme="majorBidi" w:cstheme="majorBidi"/>
          <w:bCs/>
          <w:sz w:val="22"/>
          <w:szCs w:val="22"/>
          <w:lang w:val="sr-Latn-ME"/>
        </w:rPr>
      </w:pPr>
    </w:p>
    <w:p w14:paraId="68FF286C" w14:textId="77777777" w:rsidR="008F2B2C" w:rsidRPr="00B82EF7" w:rsidRDefault="008F2B2C" w:rsidP="008F2B2C">
      <w:pPr>
        <w:tabs>
          <w:tab w:val="left" w:pos="284"/>
        </w:tabs>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Prethodno napunjen injekcioni špric od stakla (hidrolitička grupa I) ​​sa hlorobutilnim gumenim čepom i sa postavljenom iglom za injekciju, sa ili bez </w:t>
      </w:r>
      <w:r w:rsidRPr="00B82EF7">
        <w:rPr>
          <w:rFonts w:asciiTheme="majorBidi" w:hAnsiTheme="majorBidi" w:cstheme="majorBidi"/>
          <w:bCs/>
          <w:noProof/>
          <w:sz w:val="22"/>
          <w:szCs w:val="22"/>
          <w:lang w:val="sr-Latn-ME"/>
        </w:rPr>
        <w:t>automatskog sigurnosnog uređaja</w:t>
      </w:r>
      <w:r w:rsidRPr="00B82EF7">
        <w:rPr>
          <w:rFonts w:asciiTheme="majorBidi" w:hAnsiTheme="majorBidi" w:cstheme="majorBidi"/>
          <w:noProof/>
          <w:sz w:val="22"/>
          <w:szCs w:val="22"/>
          <w:lang w:val="sr-Latn-ME"/>
        </w:rPr>
        <w:t xml:space="preserve">. </w:t>
      </w:r>
    </w:p>
    <w:p w14:paraId="1FBEAE5F" w14:textId="77777777" w:rsidR="008F2B2C" w:rsidRPr="00B82EF7" w:rsidRDefault="008F2B2C" w:rsidP="008F2B2C">
      <w:pPr>
        <w:tabs>
          <w:tab w:val="left" w:pos="284"/>
        </w:tabs>
        <w:jc w:val="both"/>
        <w:rPr>
          <w:rFonts w:asciiTheme="majorBidi" w:hAnsiTheme="majorBidi" w:cstheme="majorBidi"/>
          <w:noProof/>
          <w:sz w:val="22"/>
          <w:szCs w:val="22"/>
          <w:lang w:val="sr-Latn-ME"/>
        </w:rPr>
      </w:pPr>
    </w:p>
    <w:p w14:paraId="71344501" w14:textId="77777777" w:rsidR="008F2B2C" w:rsidRPr="00B82EF7" w:rsidRDefault="008F2B2C" w:rsidP="008F2B2C">
      <w:pPr>
        <w:tabs>
          <w:tab w:val="left" w:pos="540"/>
          <w:tab w:val="left" w:pos="569"/>
        </w:tabs>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Prethodno napunjeni injekcioni špricevi se nalaze u plastičnom ulošku upakovanom u kartonsku kutiju.</w:t>
      </w:r>
    </w:p>
    <w:p w14:paraId="7D48370A" w14:textId="77777777" w:rsidR="008F2B2C" w:rsidRPr="00B82EF7" w:rsidRDefault="008F2B2C" w:rsidP="008F2B2C">
      <w:pPr>
        <w:tabs>
          <w:tab w:val="left" w:pos="540"/>
          <w:tab w:val="left" w:pos="569"/>
        </w:tabs>
        <w:rPr>
          <w:rFonts w:asciiTheme="majorBidi" w:hAnsiTheme="majorBidi" w:cstheme="majorBidi"/>
          <w:bCs/>
          <w:sz w:val="22"/>
          <w:szCs w:val="22"/>
          <w:lang w:val="sr-Latn-ME"/>
        </w:rPr>
      </w:pPr>
    </w:p>
    <w:p w14:paraId="56746840" w14:textId="7F792F06" w:rsidR="008F2B2C" w:rsidRPr="00B82EF7" w:rsidRDefault="008F2B2C" w:rsidP="008F2B2C">
      <w:pPr>
        <w:tabs>
          <w:tab w:val="left" w:pos="284"/>
        </w:tabs>
        <w:jc w:val="both"/>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 xml:space="preserve">Crusia </w:t>
      </w:r>
      <w:r w:rsidR="007E1FF7" w:rsidRPr="00B82EF7">
        <w:rPr>
          <w:rFonts w:asciiTheme="majorBidi" w:hAnsiTheme="majorBidi" w:cstheme="majorBidi"/>
          <w:b/>
          <w:bCs/>
          <w:noProof/>
          <w:sz w:val="22"/>
          <w:szCs w:val="22"/>
          <w:lang w:val="sr-Latn-ME"/>
        </w:rPr>
        <w:t>2</w:t>
      </w:r>
      <w:r w:rsidR="00C078D9" w:rsidRPr="00B82EF7">
        <w:rPr>
          <w:rFonts w:asciiTheme="majorBidi" w:hAnsiTheme="majorBidi" w:cstheme="majorBidi"/>
          <w:b/>
          <w:bCs/>
          <w:noProof/>
          <w:sz w:val="22"/>
          <w:szCs w:val="22"/>
          <w:lang w:val="sr-Latn-ME"/>
        </w:rPr>
        <w:t xml:space="preserve"> </w:t>
      </w:r>
      <w:r w:rsidR="007E1FF7" w:rsidRPr="00B82EF7">
        <w:rPr>
          <w:rFonts w:asciiTheme="majorBidi" w:hAnsiTheme="majorBidi" w:cstheme="majorBidi"/>
          <w:b/>
          <w:bCs/>
          <w:noProof/>
          <w:sz w:val="22"/>
          <w:szCs w:val="22"/>
          <w:lang w:val="sr-Latn-ME"/>
        </w:rPr>
        <w:t>000</w:t>
      </w:r>
      <w:r w:rsidRPr="00B82EF7">
        <w:rPr>
          <w:rFonts w:asciiTheme="majorBidi" w:hAnsiTheme="majorBidi" w:cstheme="majorBidi"/>
          <w:b/>
          <w:bCs/>
          <w:noProof/>
          <w:sz w:val="22"/>
          <w:szCs w:val="22"/>
          <w:lang w:val="sr-Latn-ME"/>
        </w:rPr>
        <w:t xml:space="preserve"> i.j./0,2 </w:t>
      </w:r>
      <w:r w:rsidR="00A32335" w:rsidRPr="00B82EF7">
        <w:rPr>
          <w:rFonts w:asciiTheme="majorBidi" w:hAnsiTheme="majorBidi" w:cstheme="majorBidi"/>
          <w:b/>
          <w:bCs/>
          <w:noProof/>
          <w:sz w:val="22"/>
          <w:szCs w:val="22"/>
          <w:lang w:val="sr-Latn-ME"/>
        </w:rPr>
        <w:t>ml</w:t>
      </w:r>
      <w:r w:rsidRPr="00B82EF7">
        <w:rPr>
          <w:rFonts w:asciiTheme="majorBidi" w:hAnsiTheme="majorBidi" w:cstheme="majorBidi"/>
          <w:b/>
          <w:bCs/>
          <w:noProof/>
          <w:sz w:val="22"/>
          <w:szCs w:val="22"/>
          <w:lang w:val="sr-Latn-ME"/>
        </w:rPr>
        <w:t>, rastvor za injekciju u napunjenom injekcionom špricu</w:t>
      </w:r>
    </w:p>
    <w:p w14:paraId="4AD05590" w14:textId="77777777" w:rsidR="008F2B2C" w:rsidRPr="00B82EF7" w:rsidRDefault="008F2B2C" w:rsidP="008F2B2C">
      <w:pPr>
        <w:tabs>
          <w:tab w:val="left" w:pos="284"/>
        </w:tabs>
        <w:spacing w:after="120"/>
        <w:jc w:val="both"/>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0,2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za injekciju u negraduisanom napunjenom injekcionom špricu zapremine 0,5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Veličina pakovanja: 10 špriceva.</w:t>
      </w:r>
    </w:p>
    <w:p w14:paraId="356F47E2" w14:textId="1C72E9CE" w:rsidR="008F2B2C" w:rsidRPr="00B82EF7" w:rsidRDefault="008F2B2C" w:rsidP="008F2B2C">
      <w:pPr>
        <w:tabs>
          <w:tab w:val="left" w:pos="284"/>
        </w:tabs>
        <w:jc w:val="both"/>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 xml:space="preserve">Crusia </w:t>
      </w:r>
      <w:r w:rsidR="007E1FF7" w:rsidRPr="00B82EF7">
        <w:rPr>
          <w:rFonts w:asciiTheme="majorBidi" w:hAnsiTheme="majorBidi" w:cstheme="majorBidi"/>
          <w:b/>
          <w:bCs/>
          <w:noProof/>
          <w:sz w:val="22"/>
          <w:szCs w:val="22"/>
          <w:lang w:val="sr-Latn-ME"/>
        </w:rPr>
        <w:t>4</w:t>
      </w:r>
      <w:r w:rsidR="00C078D9" w:rsidRPr="00B82EF7">
        <w:rPr>
          <w:rFonts w:asciiTheme="majorBidi" w:hAnsiTheme="majorBidi" w:cstheme="majorBidi"/>
          <w:b/>
          <w:bCs/>
          <w:noProof/>
          <w:sz w:val="22"/>
          <w:szCs w:val="22"/>
          <w:lang w:val="sr-Latn-ME"/>
        </w:rPr>
        <w:t xml:space="preserve"> </w:t>
      </w:r>
      <w:r w:rsidR="007E1FF7" w:rsidRPr="00B82EF7">
        <w:rPr>
          <w:rFonts w:asciiTheme="majorBidi" w:hAnsiTheme="majorBidi" w:cstheme="majorBidi"/>
          <w:b/>
          <w:bCs/>
          <w:noProof/>
          <w:sz w:val="22"/>
          <w:szCs w:val="22"/>
          <w:lang w:val="sr-Latn-ME"/>
        </w:rPr>
        <w:t>000</w:t>
      </w:r>
      <w:r w:rsidRPr="00B82EF7">
        <w:rPr>
          <w:rFonts w:asciiTheme="majorBidi" w:hAnsiTheme="majorBidi" w:cstheme="majorBidi"/>
          <w:b/>
          <w:bCs/>
          <w:noProof/>
          <w:sz w:val="22"/>
          <w:szCs w:val="22"/>
          <w:lang w:val="sr-Latn-ME"/>
        </w:rPr>
        <w:t xml:space="preserve"> i.j</w:t>
      </w:r>
      <w:r w:rsidR="00997BA5" w:rsidRPr="00B82EF7">
        <w:rPr>
          <w:rFonts w:asciiTheme="majorBidi" w:hAnsiTheme="majorBidi" w:cstheme="majorBidi"/>
          <w:b/>
          <w:bCs/>
          <w:noProof/>
          <w:sz w:val="22"/>
          <w:szCs w:val="22"/>
          <w:lang w:val="sr-Latn-ME"/>
        </w:rPr>
        <w:t>/</w:t>
      </w:r>
      <w:r w:rsidRPr="00B82EF7">
        <w:rPr>
          <w:rFonts w:asciiTheme="majorBidi" w:hAnsiTheme="majorBidi" w:cstheme="majorBidi"/>
          <w:b/>
          <w:bCs/>
          <w:noProof/>
          <w:sz w:val="22"/>
          <w:szCs w:val="22"/>
          <w:lang w:val="sr-Latn-ME"/>
        </w:rPr>
        <w:t xml:space="preserve">0,4 </w:t>
      </w:r>
      <w:r w:rsidR="00A32335" w:rsidRPr="00B82EF7">
        <w:rPr>
          <w:rFonts w:asciiTheme="majorBidi" w:hAnsiTheme="majorBidi" w:cstheme="majorBidi"/>
          <w:b/>
          <w:bCs/>
          <w:noProof/>
          <w:sz w:val="22"/>
          <w:szCs w:val="22"/>
          <w:lang w:val="sr-Latn-ME"/>
        </w:rPr>
        <w:t>ml</w:t>
      </w:r>
      <w:r w:rsidRPr="00B82EF7">
        <w:rPr>
          <w:rFonts w:asciiTheme="majorBidi" w:hAnsiTheme="majorBidi" w:cstheme="majorBidi"/>
          <w:b/>
          <w:bCs/>
          <w:noProof/>
          <w:sz w:val="22"/>
          <w:szCs w:val="22"/>
          <w:lang w:val="sr-Latn-ME"/>
        </w:rPr>
        <w:t>, rastvor za injekciju u napunjenom injekcionom špricu</w:t>
      </w:r>
    </w:p>
    <w:p w14:paraId="09258963" w14:textId="77777777" w:rsidR="008F2B2C" w:rsidRPr="00B82EF7" w:rsidRDefault="008F2B2C" w:rsidP="008F2B2C">
      <w:pPr>
        <w:tabs>
          <w:tab w:val="left" w:pos="284"/>
        </w:tabs>
        <w:spacing w:after="120"/>
        <w:jc w:val="both"/>
        <w:rPr>
          <w:rFonts w:asciiTheme="majorBidi" w:hAnsiTheme="majorBidi" w:cstheme="majorBidi"/>
          <w:b/>
          <w:bCs/>
          <w:noProof/>
          <w:sz w:val="22"/>
          <w:szCs w:val="22"/>
          <w:lang w:val="sr-Latn-ME"/>
        </w:rPr>
      </w:pPr>
      <w:r w:rsidRPr="00B82EF7">
        <w:rPr>
          <w:rFonts w:asciiTheme="majorBidi" w:hAnsiTheme="majorBidi" w:cstheme="majorBidi"/>
          <w:bCs/>
          <w:noProof/>
          <w:sz w:val="22"/>
          <w:szCs w:val="22"/>
          <w:lang w:val="sr-Latn-ME"/>
        </w:rPr>
        <w:t xml:space="preserve">0,4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za injekciju u negraduisanom napunjenom injekcionom špricu zapremine 0,5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Veličina pakovanja: 10 špriceva.</w:t>
      </w:r>
    </w:p>
    <w:p w14:paraId="00145E1B" w14:textId="760A5BE5" w:rsidR="008F2B2C" w:rsidRPr="00B82EF7" w:rsidRDefault="00811A52" w:rsidP="008F2B2C">
      <w:pPr>
        <w:tabs>
          <w:tab w:val="left" w:pos="284"/>
        </w:tabs>
        <w:jc w:val="both"/>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Crusia 6</w:t>
      </w:r>
      <w:r w:rsidR="00C078D9" w:rsidRPr="00B82EF7">
        <w:rPr>
          <w:rFonts w:asciiTheme="majorBidi" w:hAnsiTheme="majorBidi" w:cstheme="majorBidi"/>
          <w:b/>
          <w:bCs/>
          <w:noProof/>
          <w:sz w:val="22"/>
          <w:szCs w:val="22"/>
          <w:lang w:val="sr-Latn-ME"/>
        </w:rPr>
        <w:t xml:space="preserve"> </w:t>
      </w:r>
      <w:r w:rsidR="008F2B2C" w:rsidRPr="00B82EF7">
        <w:rPr>
          <w:rFonts w:asciiTheme="majorBidi" w:hAnsiTheme="majorBidi" w:cstheme="majorBidi"/>
          <w:b/>
          <w:bCs/>
          <w:noProof/>
          <w:sz w:val="22"/>
          <w:szCs w:val="22"/>
          <w:lang w:val="sr-Latn-ME"/>
        </w:rPr>
        <w:t xml:space="preserve">000 i.j./0,6 </w:t>
      </w:r>
      <w:r w:rsidR="00A32335" w:rsidRPr="00B82EF7">
        <w:rPr>
          <w:rFonts w:asciiTheme="majorBidi" w:hAnsiTheme="majorBidi" w:cstheme="majorBidi"/>
          <w:b/>
          <w:bCs/>
          <w:noProof/>
          <w:sz w:val="22"/>
          <w:szCs w:val="22"/>
          <w:lang w:val="sr-Latn-ME"/>
        </w:rPr>
        <w:t>ml</w:t>
      </w:r>
      <w:r w:rsidR="008F2B2C" w:rsidRPr="00B82EF7">
        <w:rPr>
          <w:rFonts w:asciiTheme="majorBidi" w:hAnsiTheme="majorBidi" w:cstheme="majorBidi"/>
          <w:b/>
          <w:bCs/>
          <w:noProof/>
          <w:sz w:val="22"/>
          <w:szCs w:val="22"/>
          <w:lang w:val="sr-Latn-ME"/>
        </w:rPr>
        <w:t>, rastvor za injekciju u napunjenom injekcionom špricu</w:t>
      </w:r>
    </w:p>
    <w:p w14:paraId="286ADBB2" w14:textId="77777777" w:rsidR="008F2B2C" w:rsidRPr="00B82EF7" w:rsidRDefault="008F2B2C" w:rsidP="008F2B2C">
      <w:pPr>
        <w:tabs>
          <w:tab w:val="left" w:pos="284"/>
        </w:tabs>
        <w:spacing w:after="120"/>
        <w:jc w:val="both"/>
        <w:rPr>
          <w:rFonts w:asciiTheme="majorBidi" w:hAnsiTheme="majorBidi" w:cstheme="majorBidi"/>
          <w:b/>
          <w:bCs/>
          <w:noProof/>
          <w:sz w:val="22"/>
          <w:szCs w:val="22"/>
          <w:lang w:val="sr-Latn-ME"/>
        </w:rPr>
      </w:pPr>
      <w:r w:rsidRPr="00B82EF7">
        <w:rPr>
          <w:rFonts w:asciiTheme="majorBidi" w:hAnsiTheme="majorBidi" w:cstheme="majorBidi"/>
          <w:bCs/>
          <w:noProof/>
          <w:sz w:val="22"/>
          <w:szCs w:val="22"/>
          <w:lang w:val="sr-Latn-ME"/>
        </w:rPr>
        <w:t xml:space="preserve">0,6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za injekciju u graduisanom napunjenom injekcionom špricu zapremine 1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Veličina pakovanja: 10 špriceva.</w:t>
      </w:r>
    </w:p>
    <w:p w14:paraId="267B03C0" w14:textId="13C5F542" w:rsidR="008F2B2C" w:rsidRPr="00B82EF7" w:rsidRDefault="00811A52" w:rsidP="008F2B2C">
      <w:pPr>
        <w:tabs>
          <w:tab w:val="left" w:pos="284"/>
        </w:tabs>
        <w:jc w:val="both"/>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Crusia 8</w:t>
      </w:r>
      <w:r w:rsidR="00C078D9" w:rsidRPr="00B82EF7">
        <w:rPr>
          <w:rFonts w:asciiTheme="majorBidi" w:hAnsiTheme="majorBidi" w:cstheme="majorBidi"/>
          <w:b/>
          <w:bCs/>
          <w:noProof/>
          <w:sz w:val="22"/>
          <w:szCs w:val="22"/>
          <w:lang w:val="sr-Latn-ME"/>
        </w:rPr>
        <w:t xml:space="preserve"> </w:t>
      </w:r>
      <w:r w:rsidR="008F2B2C" w:rsidRPr="00B82EF7">
        <w:rPr>
          <w:rFonts w:asciiTheme="majorBidi" w:hAnsiTheme="majorBidi" w:cstheme="majorBidi"/>
          <w:b/>
          <w:bCs/>
          <w:noProof/>
          <w:sz w:val="22"/>
          <w:szCs w:val="22"/>
          <w:lang w:val="sr-Latn-ME"/>
        </w:rPr>
        <w:t>000 i.j.</w:t>
      </w:r>
      <w:r w:rsidR="00997BA5" w:rsidRPr="00B82EF7">
        <w:rPr>
          <w:rFonts w:asciiTheme="majorBidi" w:hAnsiTheme="majorBidi" w:cstheme="majorBidi"/>
          <w:b/>
          <w:bCs/>
          <w:noProof/>
          <w:sz w:val="22"/>
          <w:szCs w:val="22"/>
          <w:lang w:val="sr-Latn-ME"/>
        </w:rPr>
        <w:t>/</w:t>
      </w:r>
      <w:r w:rsidR="008F2B2C" w:rsidRPr="00B82EF7">
        <w:rPr>
          <w:rFonts w:asciiTheme="majorBidi" w:hAnsiTheme="majorBidi" w:cstheme="majorBidi"/>
          <w:b/>
          <w:bCs/>
          <w:noProof/>
          <w:sz w:val="22"/>
          <w:szCs w:val="22"/>
          <w:lang w:val="sr-Latn-ME"/>
        </w:rPr>
        <w:t xml:space="preserve">0,8 </w:t>
      </w:r>
      <w:r w:rsidR="00A32335" w:rsidRPr="00B82EF7">
        <w:rPr>
          <w:rFonts w:asciiTheme="majorBidi" w:hAnsiTheme="majorBidi" w:cstheme="majorBidi"/>
          <w:b/>
          <w:bCs/>
          <w:noProof/>
          <w:sz w:val="22"/>
          <w:szCs w:val="22"/>
          <w:lang w:val="sr-Latn-ME"/>
        </w:rPr>
        <w:t>ml</w:t>
      </w:r>
      <w:r w:rsidR="008F2B2C" w:rsidRPr="00B82EF7">
        <w:rPr>
          <w:rFonts w:asciiTheme="majorBidi" w:hAnsiTheme="majorBidi" w:cstheme="majorBidi"/>
          <w:b/>
          <w:bCs/>
          <w:noProof/>
          <w:sz w:val="22"/>
          <w:szCs w:val="22"/>
          <w:lang w:val="sr-Latn-ME"/>
        </w:rPr>
        <w:t>, rastvor za injekciju u napunjenom injekcionom špricu</w:t>
      </w:r>
    </w:p>
    <w:p w14:paraId="584B93D2" w14:textId="77777777" w:rsidR="008F2B2C" w:rsidRPr="00B82EF7" w:rsidRDefault="008F2B2C" w:rsidP="008F2B2C">
      <w:pPr>
        <w:tabs>
          <w:tab w:val="left" w:pos="284"/>
        </w:tabs>
        <w:spacing w:after="120"/>
        <w:jc w:val="both"/>
        <w:rPr>
          <w:rFonts w:asciiTheme="majorBidi" w:hAnsiTheme="majorBidi" w:cstheme="majorBidi"/>
          <w:b/>
          <w:bCs/>
          <w:noProof/>
          <w:sz w:val="22"/>
          <w:szCs w:val="22"/>
          <w:lang w:val="sr-Latn-ME"/>
        </w:rPr>
      </w:pPr>
      <w:r w:rsidRPr="00B82EF7">
        <w:rPr>
          <w:rFonts w:asciiTheme="majorBidi" w:hAnsiTheme="majorBidi" w:cstheme="majorBidi"/>
          <w:bCs/>
          <w:noProof/>
          <w:sz w:val="22"/>
          <w:szCs w:val="22"/>
          <w:lang w:val="sr-Latn-ME"/>
        </w:rPr>
        <w:t xml:space="preserve">0,8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za injekciju u graduisanom napunjenom injekcionom špricu zapremine 1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Veličina pakovanja: 10 špriceva.</w:t>
      </w:r>
    </w:p>
    <w:p w14:paraId="6672CC88" w14:textId="4472E728" w:rsidR="008F2B2C" w:rsidRPr="00B82EF7" w:rsidRDefault="00811A52" w:rsidP="008F2B2C">
      <w:pPr>
        <w:tabs>
          <w:tab w:val="left" w:pos="284"/>
        </w:tabs>
        <w:jc w:val="both"/>
        <w:rPr>
          <w:rFonts w:asciiTheme="majorBidi" w:hAnsiTheme="majorBidi" w:cstheme="majorBidi"/>
          <w:b/>
          <w:bCs/>
          <w:noProof/>
          <w:sz w:val="22"/>
          <w:szCs w:val="22"/>
          <w:lang w:val="sr-Latn-ME"/>
        </w:rPr>
      </w:pPr>
      <w:r w:rsidRPr="00B82EF7">
        <w:rPr>
          <w:rFonts w:asciiTheme="majorBidi" w:hAnsiTheme="majorBidi" w:cstheme="majorBidi"/>
          <w:b/>
          <w:bCs/>
          <w:noProof/>
          <w:sz w:val="22"/>
          <w:szCs w:val="22"/>
          <w:lang w:val="sr-Latn-ME"/>
        </w:rPr>
        <w:t>Crusia 10</w:t>
      </w:r>
      <w:r w:rsidR="00C078D9" w:rsidRPr="00B82EF7">
        <w:rPr>
          <w:rFonts w:asciiTheme="majorBidi" w:hAnsiTheme="majorBidi" w:cstheme="majorBidi"/>
          <w:b/>
          <w:bCs/>
          <w:noProof/>
          <w:sz w:val="22"/>
          <w:szCs w:val="22"/>
          <w:lang w:val="sr-Latn-ME"/>
        </w:rPr>
        <w:t xml:space="preserve"> </w:t>
      </w:r>
      <w:r w:rsidR="008F2B2C" w:rsidRPr="00B82EF7">
        <w:rPr>
          <w:rFonts w:asciiTheme="majorBidi" w:hAnsiTheme="majorBidi" w:cstheme="majorBidi"/>
          <w:b/>
          <w:bCs/>
          <w:noProof/>
          <w:sz w:val="22"/>
          <w:szCs w:val="22"/>
          <w:lang w:val="sr-Latn-ME"/>
        </w:rPr>
        <w:t xml:space="preserve">000 i.j./1 </w:t>
      </w:r>
      <w:r w:rsidR="00A32335" w:rsidRPr="00B82EF7">
        <w:rPr>
          <w:rFonts w:asciiTheme="majorBidi" w:hAnsiTheme="majorBidi" w:cstheme="majorBidi"/>
          <w:b/>
          <w:bCs/>
          <w:noProof/>
          <w:sz w:val="22"/>
          <w:szCs w:val="22"/>
          <w:lang w:val="sr-Latn-ME"/>
        </w:rPr>
        <w:t>ml</w:t>
      </w:r>
      <w:r w:rsidR="008F2B2C" w:rsidRPr="00B82EF7">
        <w:rPr>
          <w:rFonts w:asciiTheme="majorBidi" w:hAnsiTheme="majorBidi" w:cstheme="majorBidi"/>
          <w:b/>
          <w:bCs/>
          <w:noProof/>
          <w:sz w:val="22"/>
          <w:szCs w:val="22"/>
          <w:lang w:val="sr-Latn-ME"/>
        </w:rPr>
        <w:t>, rastvor za injekciju u napunjenom injekcionom špricu</w:t>
      </w:r>
    </w:p>
    <w:p w14:paraId="5D1D772A" w14:textId="77777777" w:rsidR="008F2B2C" w:rsidRPr="00B82EF7" w:rsidRDefault="008F2B2C" w:rsidP="008F2B2C">
      <w:pPr>
        <w:tabs>
          <w:tab w:val="left" w:pos="540"/>
          <w:tab w:val="left" w:pos="569"/>
        </w:tabs>
        <w:rPr>
          <w:rFonts w:asciiTheme="majorBidi" w:hAnsiTheme="majorBidi" w:cstheme="majorBidi"/>
          <w:bCs/>
          <w:noProof/>
          <w:sz w:val="22"/>
          <w:szCs w:val="22"/>
          <w:lang w:val="sr-Latn-ME"/>
        </w:rPr>
      </w:pPr>
      <w:r w:rsidRPr="00B82EF7">
        <w:rPr>
          <w:rFonts w:asciiTheme="majorBidi" w:hAnsiTheme="majorBidi" w:cstheme="majorBidi"/>
          <w:bCs/>
          <w:noProof/>
          <w:sz w:val="22"/>
          <w:szCs w:val="22"/>
          <w:lang w:val="sr-Latn-ME"/>
        </w:rPr>
        <w:t xml:space="preserve">1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xml:space="preserve"> rastvora za injekciju u graduisanom napunjenom injekcionom špricu zapremine 1 </w:t>
      </w:r>
      <w:r w:rsidR="00A32335" w:rsidRPr="00B82EF7">
        <w:rPr>
          <w:rFonts w:asciiTheme="majorBidi" w:hAnsiTheme="majorBidi" w:cstheme="majorBidi"/>
          <w:bCs/>
          <w:noProof/>
          <w:sz w:val="22"/>
          <w:szCs w:val="22"/>
          <w:lang w:val="sr-Latn-ME"/>
        </w:rPr>
        <w:t>ml</w:t>
      </w:r>
      <w:r w:rsidRPr="00B82EF7">
        <w:rPr>
          <w:rFonts w:asciiTheme="majorBidi" w:hAnsiTheme="majorBidi" w:cstheme="majorBidi"/>
          <w:bCs/>
          <w:noProof/>
          <w:sz w:val="22"/>
          <w:szCs w:val="22"/>
          <w:lang w:val="sr-Latn-ME"/>
        </w:rPr>
        <w:t>. Veličina pakovanja: 10 špriceva.</w:t>
      </w:r>
    </w:p>
    <w:p w14:paraId="4E716677" w14:textId="77777777" w:rsidR="008F2B2C" w:rsidRPr="00B82EF7" w:rsidRDefault="008F2B2C" w:rsidP="008F2B2C">
      <w:pPr>
        <w:tabs>
          <w:tab w:val="left" w:pos="540"/>
          <w:tab w:val="left" w:pos="569"/>
        </w:tabs>
        <w:rPr>
          <w:rFonts w:asciiTheme="majorBidi" w:hAnsiTheme="majorBidi" w:cstheme="majorBidi"/>
          <w:bCs/>
          <w:sz w:val="22"/>
          <w:szCs w:val="22"/>
          <w:lang w:val="sr-Latn-ME"/>
        </w:rPr>
      </w:pPr>
    </w:p>
    <w:p w14:paraId="6F74C5C2" w14:textId="77777777" w:rsidR="002846DB" w:rsidRPr="00B82EF7" w:rsidRDefault="0072020E"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6.6.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color w:val="000000"/>
          <w:sz w:val="22"/>
          <w:szCs w:val="22"/>
          <w:lang w:val="sr-Latn-ME"/>
        </w:rPr>
        <w:t>Posebne mjere opreza pri odlaganju materijala koji treba odbaciti nakon primjene lijeka</w:t>
      </w:r>
      <w:r w:rsidRPr="00B82EF7">
        <w:rPr>
          <w:rFonts w:asciiTheme="majorBidi" w:hAnsiTheme="majorBidi" w:cstheme="majorBidi"/>
          <w:b/>
          <w:bCs/>
          <w:sz w:val="22"/>
          <w:szCs w:val="22"/>
          <w:lang w:val="sr-Latn-ME"/>
        </w:rPr>
        <w:t xml:space="preserve"> </w:t>
      </w:r>
      <w:r w:rsidR="00310F03" w:rsidRPr="00B82EF7">
        <w:rPr>
          <w:rFonts w:asciiTheme="majorBidi" w:hAnsiTheme="majorBidi" w:cstheme="majorBidi"/>
          <w:b/>
          <w:bCs/>
          <w:sz w:val="22"/>
          <w:szCs w:val="22"/>
          <w:lang w:val="sr-Latn-ME"/>
        </w:rPr>
        <w:t>(i druga uputs</w:t>
      </w:r>
      <w:r w:rsidR="004109FA" w:rsidRPr="00B82EF7">
        <w:rPr>
          <w:rFonts w:asciiTheme="majorBidi" w:hAnsiTheme="majorBidi" w:cstheme="majorBidi"/>
          <w:b/>
          <w:bCs/>
          <w:sz w:val="22"/>
          <w:szCs w:val="22"/>
          <w:lang w:val="sr-Latn-ME"/>
        </w:rPr>
        <w:t>t</w:t>
      </w:r>
      <w:r w:rsidR="00310F03" w:rsidRPr="00B82EF7">
        <w:rPr>
          <w:rFonts w:asciiTheme="majorBidi" w:hAnsiTheme="majorBidi" w:cstheme="majorBidi"/>
          <w:b/>
          <w:bCs/>
          <w:sz w:val="22"/>
          <w:szCs w:val="22"/>
          <w:lang w:val="sr-Latn-ME"/>
        </w:rPr>
        <w:t xml:space="preserve">va za rukovanje lijekom) </w:t>
      </w:r>
    </w:p>
    <w:p w14:paraId="6DD39E35" w14:textId="77777777" w:rsidR="00B66A70" w:rsidRPr="00B82EF7" w:rsidRDefault="00B66A70" w:rsidP="00F131CD">
      <w:pPr>
        <w:tabs>
          <w:tab w:val="left" w:pos="540"/>
          <w:tab w:val="left" w:pos="569"/>
        </w:tabs>
        <w:jc w:val="both"/>
        <w:rPr>
          <w:rFonts w:asciiTheme="majorBidi" w:hAnsiTheme="majorBidi" w:cstheme="majorBidi"/>
          <w:b/>
          <w:bCs/>
          <w:sz w:val="22"/>
          <w:szCs w:val="22"/>
          <w:lang w:val="sr-Latn-ME"/>
        </w:rPr>
      </w:pPr>
    </w:p>
    <w:p w14:paraId="6A694579" w14:textId="77777777" w:rsidR="008F2B2C" w:rsidRPr="00B82EF7" w:rsidRDefault="008F2B2C" w:rsidP="00331EE2">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Prethodno napunjeni špric je spreman za neposrednu upotrebu (</w:t>
      </w:r>
      <w:r w:rsidR="00B36F6D" w:rsidRPr="00B82EF7">
        <w:rPr>
          <w:rFonts w:asciiTheme="majorBidi" w:hAnsiTheme="majorBidi" w:cstheme="majorBidi"/>
          <w:noProof/>
          <w:sz w:val="22"/>
          <w:szCs w:val="22"/>
          <w:lang w:val="sr-Latn-ME"/>
        </w:rPr>
        <w:t>vidjeti odjeljak</w:t>
      </w:r>
      <w:r w:rsidRPr="00B82EF7">
        <w:rPr>
          <w:rFonts w:asciiTheme="majorBidi" w:hAnsiTheme="majorBidi" w:cstheme="majorBidi"/>
          <w:noProof/>
          <w:sz w:val="22"/>
          <w:szCs w:val="22"/>
          <w:lang w:val="sr-Latn-ME"/>
        </w:rPr>
        <w:t xml:space="preserve"> 4.2).</w:t>
      </w:r>
    </w:p>
    <w:p w14:paraId="639B1449" w14:textId="252CF496" w:rsidR="008F2B2C" w:rsidRPr="00B82EF7" w:rsidRDefault="008F2B2C" w:rsidP="00AA7815">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Za špriceve sa sigurnosnim sistemom igla mora biti </w:t>
      </w:r>
      <w:r w:rsidR="00331EE2" w:rsidRPr="00B82EF7">
        <w:rPr>
          <w:rFonts w:asciiTheme="majorBidi" w:hAnsiTheme="majorBidi" w:cstheme="majorBidi"/>
          <w:noProof/>
          <w:sz w:val="22"/>
          <w:szCs w:val="22"/>
          <w:lang w:val="sr-Latn-ME"/>
        </w:rPr>
        <w:t>okrenuta</w:t>
      </w:r>
      <w:r w:rsidRPr="00B82EF7">
        <w:rPr>
          <w:rFonts w:asciiTheme="majorBidi" w:hAnsiTheme="majorBidi" w:cstheme="majorBidi"/>
          <w:noProof/>
          <w:sz w:val="22"/>
          <w:szCs w:val="22"/>
          <w:lang w:val="sr-Latn-ME"/>
        </w:rPr>
        <w:t xml:space="preserve"> od korisnika i </w:t>
      </w:r>
      <w:r w:rsidR="00331EE2" w:rsidRPr="00B82EF7">
        <w:rPr>
          <w:rFonts w:asciiTheme="majorBidi" w:hAnsiTheme="majorBidi" w:cstheme="majorBidi"/>
          <w:noProof/>
          <w:sz w:val="22"/>
          <w:szCs w:val="22"/>
          <w:lang w:val="sr-Latn-ME"/>
        </w:rPr>
        <w:t>svih ostalih koji su</w:t>
      </w:r>
      <w:r w:rsidRPr="00B82EF7">
        <w:rPr>
          <w:rFonts w:asciiTheme="majorBidi" w:hAnsiTheme="majorBidi" w:cstheme="majorBidi"/>
          <w:noProof/>
          <w:sz w:val="22"/>
          <w:szCs w:val="22"/>
          <w:lang w:val="sr-Latn-ME"/>
        </w:rPr>
        <w:t xml:space="preserve"> prisutn</w:t>
      </w:r>
      <w:r w:rsidR="00331EE2" w:rsidRPr="00B82EF7">
        <w:rPr>
          <w:rFonts w:asciiTheme="majorBidi" w:hAnsiTheme="majorBidi" w:cstheme="majorBidi"/>
          <w:noProof/>
          <w:sz w:val="22"/>
          <w:szCs w:val="22"/>
          <w:lang w:val="sr-Latn-ME"/>
        </w:rPr>
        <w:t>i</w:t>
      </w:r>
      <w:r w:rsidRPr="00B82EF7">
        <w:rPr>
          <w:rFonts w:asciiTheme="majorBidi" w:hAnsiTheme="majorBidi" w:cstheme="majorBidi"/>
          <w:noProof/>
          <w:sz w:val="22"/>
          <w:szCs w:val="22"/>
          <w:lang w:val="sr-Latn-ME"/>
        </w:rPr>
        <w:t>. Sigurnosni sistem se aktivira čvrstim pritiskom na klip</w:t>
      </w:r>
      <w:r w:rsidR="00331EE2" w:rsidRPr="00B82EF7">
        <w:rPr>
          <w:rFonts w:asciiTheme="majorBidi" w:hAnsiTheme="majorBidi" w:cstheme="majorBidi"/>
          <w:noProof/>
          <w:sz w:val="22"/>
          <w:szCs w:val="22"/>
          <w:lang w:val="sr-Latn-ME"/>
        </w:rPr>
        <w:t xml:space="preserve"> šprica</w:t>
      </w:r>
      <w:r w:rsidRPr="00B82EF7">
        <w:rPr>
          <w:rFonts w:asciiTheme="majorBidi" w:hAnsiTheme="majorBidi" w:cstheme="majorBidi"/>
          <w:noProof/>
          <w:sz w:val="22"/>
          <w:szCs w:val="22"/>
          <w:lang w:val="sr-Latn-ME"/>
        </w:rPr>
        <w:t xml:space="preserve">. Zaštitni </w:t>
      </w:r>
      <w:r w:rsidR="00331EE2" w:rsidRPr="00B82EF7">
        <w:rPr>
          <w:rFonts w:asciiTheme="majorBidi" w:hAnsiTheme="majorBidi" w:cstheme="majorBidi"/>
          <w:noProof/>
          <w:sz w:val="22"/>
          <w:szCs w:val="22"/>
          <w:lang w:val="sr-Latn-ME"/>
        </w:rPr>
        <w:t xml:space="preserve">sistem </w:t>
      </w:r>
      <w:r w:rsidRPr="00B82EF7">
        <w:rPr>
          <w:rFonts w:asciiTheme="majorBidi" w:hAnsiTheme="majorBidi" w:cstheme="majorBidi"/>
          <w:noProof/>
          <w:sz w:val="22"/>
          <w:szCs w:val="22"/>
          <w:lang w:val="sr-Latn-ME"/>
        </w:rPr>
        <w:t>će automatski prekriti iglu i proizvesti zvučni klik koji potvrđuje aktivaciju uređaja.</w:t>
      </w:r>
    </w:p>
    <w:p w14:paraId="4F6632D9" w14:textId="206C8259" w:rsidR="008F2B2C" w:rsidRPr="00B82EF7" w:rsidRDefault="008F2B2C">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 xml:space="preserve">Crusia napunjeni špricevi </w:t>
      </w:r>
      <w:r w:rsidR="00AA7815" w:rsidRPr="00B82EF7">
        <w:rPr>
          <w:rFonts w:asciiTheme="majorBidi" w:hAnsiTheme="majorBidi" w:cstheme="majorBidi"/>
          <w:noProof/>
          <w:sz w:val="22"/>
          <w:szCs w:val="22"/>
          <w:lang w:val="sr-Latn-ME"/>
        </w:rPr>
        <w:t>namijenjeni za jednokratnu upotrebu</w:t>
      </w:r>
      <w:r w:rsidRPr="00B82EF7">
        <w:rPr>
          <w:rFonts w:asciiTheme="majorBidi" w:hAnsiTheme="majorBidi" w:cstheme="majorBidi"/>
          <w:noProof/>
          <w:sz w:val="22"/>
          <w:szCs w:val="22"/>
          <w:lang w:val="sr-Latn-ME"/>
        </w:rPr>
        <w:t xml:space="preserve"> – treba odbaciti sav neiskorišćeni proizvod. </w:t>
      </w:r>
    </w:p>
    <w:p w14:paraId="1EB9921D" w14:textId="7DD1667F" w:rsidR="008F2B2C" w:rsidRPr="00B82EF7" w:rsidRDefault="008F2B2C">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Prov</w:t>
      </w:r>
      <w:r w:rsidR="00331EE2"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erite rok upotrebe naveden na spoljnjem pakovanju ili na špricu. L</w:t>
      </w:r>
      <w:r w:rsidR="00811A52" w:rsidRPr="00B82EF7">
        <w:rPr>
          <w:rFonts w:asciiTheme="majorBidi" w:hAnsiTheme="majorBidi" w:cstheme="majorBidi"/>
          <w:noProof/>
          <w:sz w:val="22"/>
          <w:szCs w:val="22"/>
          <w:lang w:val="sr-Latn-ME"/>
        </w:rPr>
        <w:t>ij</w:t>
      </w:r>
      <w:r w:rsidRPr="00B82EF7">
        <w:rPr>
          <w:rFonts w:asciiTheme="majorBidi" w:hAnsiTheme="majorBidi" w:cstheme="majorBidi"/>
          <w:bCs/>
          <w:noProof/>
          <w:sz w:val="22"/>
          <w:szCs w:val="22"/>
          <w:lang w:val="sr-Latn-ME"/>
        </w:rPr>
        <w:t>ek se ne sm</w:t>
      </w:r>
      <w:r w:rsidR="00811A52" w:rsidRPr="00B82EF7">
        <w:rPr>
          <w:rFonts w:asciiTheme="majorBidi" w:hAnsiTheme="majorBidi" w:cstheme="majorBidi"/>
          <w:bCs/>
          <w:noProof/>
          <w:sz w:val="22"/>
          <w:szCs w:val="22"/>
          <w:lang w:val="sr-Latn-ME"/>
        </w:rPr>
        <w:t>ij</w:t>
      </w:r>
      <w:r w:rsidRPr="00B82EF7">
        <w:rPr>
          <w:rFonts w:asciiTheme="majorBidi" w:hAnsiTheme="majorBidi" w:cstheme="majorBidi"/>
          <w:bCs/>
          <w:noProof/>
          <w:sz w:val="22"/>
          <w:szCs w:val="22"/>
          <w:lang w:val="sr-Latn-ME"/>
        </w:rPr>
        <w:t>e koristiti</w:t>
      </w:r>
      <w:r w:rsidRPr="00B82EF7">
        <w:rPr>
          <w:rFonts w:asciiTheme="majorBidi" w:hAnsiTheme="majorBidi" w:cstheme="majorBidi"/>
          <w:noProof/>
          <w:sz w:val="22"/>
          <w:szCs w:val="22"/>
          <w:lang w:val="sr-Latn-ME"/>
        </w:rPr>
        <w:t xml:space="preserve"> nakon </w:t>
      </w:r>
      <w:r w:rsidRPr="00B82EF7">
        <w:rPr>
          <w:rFonts w:asciiTheme="majorBidi" w:hAnsiTheme="majorBidi" w:cstheme="majorBidi"/>
          <w:bCs/>
          <w:noProof/>
          <w:sz w:val="22"/>
          <w:szCs w:val="22"/>
          <w:lang w:val="sr-Latn-ME"/>
        </w:rPr>
        <w:t>isteka roka upotrebe</w:t>
      </w:r>
      <w:r w:rsidRPr="00B82EF7">
        <w:rPr>
          <w:rFonts w:asciiTheme="majorBidi" w:hAnsiTheme="majorBidi" w:cstheme="majorBidi"/>
          <w:noProof/>
          <w:sz w:val="22"/>
          <w:szCs w:val="22"/>
          <w:lang w:val="sr-Latn-ME"/>
        </w:rPr>
        <w:t>. Prov</w:t>
      </w:r>
      <w:r w:rsidR="00997BA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 xml:space="preserve">erite da špric nije oštećen i da je proizvod bistar rastvor bez čestica. Ako je špric oštećen ili proizvod nije </w:t>
      </w:r>
      <w:r w:rsidR="00331EE2" w:rsidRPr="00B82EF7">
        <w:rPr>
          <w:rFonts w:asciiTheme="majorBidi" w:hAnsiTheme="majorBidi" w:cstheme="majorBidi"/>
          <w:noProof/>
          <w:sz w:val="22"/>
          <w:szCs w:val="22"/>
          <w:lang w:val="sr-Latn-ME"/>
        </w:rPr>
        <w:t>bistar</w:t>
      </w:r>
      <w:r w:rsidRPr="00B82EF7">
        <w:rPr>
          <w:rFonts w:asciiTheme="majorBidi" w:hAnsiTheme="majorBidi" w:cstheme="majorBidi"/>
          <w:noProof/>
          <w:sz w:val="22"/>
          <w:szCs w:val="22"/>
          <w:lang w:val="sr-Latn-ME"/>
        </w:rPr>
        <w:t xml:space="preserve"> rastvor, upotr</w:t>
      </w:r>
      <w:r w:rsidR="00997BA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ebite drugi napunjeni špric.</w:t>
      </w:r>
    </w:p>
    <w:p w14:paraId="50272FDC" w14:textId="655611FE" w:rsidR="008F2B2C" w:rsidRPr="00B82EF7" w:rsidRDefault="008F2B2C">
      <w:pPr>
        <w:tabs>
          <w:tab w:val="left" w:pos="284"/>
        </w:tabs>
        <w:spacing w:after="120"/>
        <w:jc w:val="both"/>
        <w:rPr>
          <w:rFonts w:asciiTheme="majorBidi" w:hAnsiTheme="majorBidi" w:cstheme="majorBidi"/>
          <w:noProof/>
          <w:sz w:val="22"/>
          <w:szCs w:val="22"/>
          <w:lang w:val="sr-Latn-ME"/>
        </w:rPr>
      </w:pPr>
      <w:r w:rsidRPr="00B82EF7">
        <w:rPr>
          <w:rFonts w:asciiTheme="majorBidi" w:hAnsiTheme="majorBidi" w:cstheme="majorBidi"/>
          <w:noProof/>
          <w:sz w:val="22"/>
          <w:szCs w:val="22"/>
          <w:lang w:val="sr-Latn-ME"/>
        </w:rPr>
        <w:t>Špric (zajedno sa pričvršćenom iglom) treba odmah nakon upotrebe baciti u najbližu posudu za odlaganje oštr</w:t>
      </w:r>
      <w:r w:rsidR="00FC0D84" w:rsidRPr="00B82EF7">
        <w:rPr>
          <w:rFonts w:asciiTheme="majorBidi" w:hAnsiTheme="majorBidi" w:cstheme="majorBidi"/>
          <w:noProof/>
          <w:sz w:val="22"/>
          <w:szCs w:val="22"/>
          <w:lang w:val="sr-Latn-ME"/>
        </w:rPr>
        <w:t>ih predmeta</w:t>
      </w:r>
      <w:r w:rsidRPr="00B82EF7">
        <w:rPr>
          <w:rFonts w:asciiTheme="majorBidi" w:hAnsiTheme="majorBidi" w:cstheme="majorBidi"/>
          <w:noProof/>
          <w:sz w:val="22"/>
          <w:szCs w:val="22"/>
          <w:lang w:val="sr-Latn-ME"/>
        </w:rPr>
        <w:t>. Poklopac posude mora biti čvrsto zatvoren i posuda odložena izvan domašaja d</w:t>
      </w:r>
      <w:r w:rsidR="00997BA5" w:rsidRPr="00B82EF7">
        <w:rPr>
          <w:rFonts w:asciiTheme="majorBidi" w:hAnsiTheme="majorBidi" w:cstheme="majorBidi"/>
          <w:noProof/>
          <w:sz w:val="22"/>
          <w:szCs w:val="22"/>
          <w:lang w:val="sr-Latn-ME"/>
        </w:rPr>
        <w:t>j</w:t>
      </w:r>
      <w:r w:rsidRPr="00B82EF7">
        <w:rPr>
          <w:rFonts w:asciiTheme="majorBidi" w:hAnsiTheme="majorBidi" w:cstheme="majorBidi"/>
          <w:noProof/>
          <w:sz w:val="22"/>
          <w:szCs w:val="22"/>
          <w:lang w:val="sr-Latn-ME"/>
        </w:rPr>
        <w:t>ece.</w:t>
      </w:r>
    </w:p>
    <w:p w14:paraId="0A63F626" w14:textId="21A12E47" w:rsidR="008F2B2C" w:rsidRPr="00B82EF7" w:rsidRDefault="008F2B2C" w:rsidP="00F131CD">
      <w:pPr>
        <w:tabs>
          <w:tab w:val="left" w:pos="540"/>
          <w:tab w:val="left" w:pos="569"/>
        </w:tabs>
        <w:jc w:val="both"/>
        <w:rPr>
          <w:rFonts w:asciiTheme="majorBidi" w:hAnsiTheme="majorBidi" w:cstheme="majorBidi"/>
          <w:b/>
          <w:bCs/>
          <w:sz w:val="22"/>
          <w:szCs w:val="22"/>
          <w:lang w:val="sr-Latn-ME"/>
        </w:rPr>
      </w:pPr>
      <w:r w:rsidRPr="00B82EF7">
        <w:rPr>
          <w:rFonts w:asciiTheme="majorBidi" w:hAnsiTheme="majorBidi" w:cstheme="majorBidi"/>
          <w:noProof/>
          <w:sz w:val="22"/>
          <w:szCs w:val="22"/>
          <w:lang w:val="sr-Latn-ME"/>
        </w:rPr>
        <w:t>Neupotr</w:t>
      </w:r>
      <w:r w:rsidR="00997BA5"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ebljeni l</w:t>
      </w:r>
      <w:r w:rsidR="00811A52" w:rsidRPr="00B82EF7">
        <w:rPr>
          <w:rFonts w:asciiTheme="majorBidi" w:hAnsiTheme="majorBidi" w:cstheme="majorBidi"/>
          <w:noProof/>
          <w:sz w:val="22"/>
          <w:szCs w:val="22"/>
          <w:lang w:val="sr-Latn-ME"/>
        </w:rPr>
        <w:t>ij</w:t>
      </w:r>
      <w:r w:rsidRPr="00B82EF7">
        <w:rPr>
          <w:rFonts w:asciiTheme="majorBidi" w:hAnsiTheme="majorBidi" w:cstheme="majorBidi"/>
          <w:noProof/>
          <w:sz w:val="22"/>
          <w:szCs w:val="22"/>
          <w:lang w:val="sr-Latn-ME"/>
        </w:rPr>
        <w:t>ek ili otpadni materijal se uništava u skladu sa važećim propisima.</w:t>
      </w:r>
    </w:p>
    <w:p w14:paraId="37E6C082" w14:textId="270A86FA" w:rsidR="0072020E" w:rsidRDefault="0072020E" w:rsidP="00480FB1">
      <w:pPr>
        <w:tabs>
          <w:tab w:val="left" w:pos="540"/>
          <w:tab w:val="left" w:pos="569"/>
        </w:tabs>
        <w:rPr>
          <w:rFonts w:asciiTheme="majorBidi" w:hAnsiTheme="majorBidi" w:cstheme="majorBidi"/>
          <w:bCs/>
          <w:sz w:val="22"/>
          <w:szCs w:val="22"/>
          <w:lang w:val="sr-Latn-ME"/>
        </w:rPr>
      </w:pPr>
    </w:p>
    <w:p w14:paraId="59E8EC13" w14:textId="77777777" w:rsidR="00B82EF7" w:rsidRPr="00B82EF7" w:rsidRDefault="00B82EF7" w:rsidP="00480FB1">
      <w:pPr>
        <w:tabs>
          <w:tab w:val="left" w:pos="540"/>
          <w:tab w:val="left" w:pos="569"/>
        </w:tabs>
        <w:rPr>
          <w:rFonts w:asciiTheme="majorBidi" w:hAnsiTheme="majorBidi" w:cstheme="majorBidi"/>
          <w:bCs/>
          <w:sz w:val="22"/>
          <w:szCs w:val="22"/>
          <w:lang w:val="sr-Latn-ME"/>
        </w:rPr>
      </w:pPr>
    </w:p>
    <w:p w14:paraId="2A74179D" w14:textId="77777777" w:rsidR="00F8570A"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7.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NOSILAC DOZVOLE</w:t>
      </w:r>
      <w:r w:rsidR="00483928" w:rsidRPr="00B82EF7">
        <w:rPr>
          <w:rFonts w:asciiTheme="majorBidi" w:hAnsiTheme="majorBidi" w:cstheme="majorBidi"/>
          <w:b/>
          <w:bCs/>
          <w:sz w:val="22"/>
          <w:szCs w:val="22"/>
          <w:lang w:val="sr-Latn-ME"/>
        </w:rPr>
        <w:t xml:space="preserve"> </w:t>
      </w:r>
    </w:p>
    <w:p w14:paraId="42BABA73" w14:textId="77777777" w:rsidR="00C61BE0" w:rsidRPr="00B82EF7" w:rsidRDefault="00C61BE0" w:rsidP="00480FB1">
      <w:pPr>
        <w:tabs>
          <w:tab w:val="left" w:pos="540"/>
          <w:tab w:val="left" w:pos="569"/>
        </w:tabs>
        <w:rPr>
          <w:rFonts w:asciiTheme="majorBidi" w:hAnsiTheme="majorBidi" w:cstheme="majorBidi"/>
          <w:bCs/>
          <w:sz w:val="22"/>
          <w:szCs w:val="22"/>
          <w:lang w:val="sr-Latn-ME"/>
        </w:rPr>
      </w:pPr>
    </w:p>
    <w:p w14:paraId="108FB482" w14:textId="77777777" w:rsidR="00811A52" w:rsidRPr="00B82EF7" w:rsidRDefault="00811A52" w:rsidP="00811A52">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Farmont MP d.o.o.</w:t>
      </w:r>
    </w:p>
    <w:p w14:paraId="740C93D3" w14:textId="073DE303" w:rsidR="00811A52" w:rsidRPr="00B82EF7" w:rsidRDefault="00811A52" w:rsidP="00811A52">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Kosić, Stari put bb, Danilovgrad</w:t>
      </w:r>
      <w:r w:rsidR="00835E55" w:rsidRPr="00B82EF7">
        <w:rPr>
          <w:rFonts w:asciiTheme="majorBidi" w:hAnsiTheme="majorBidi" w:cstheme="majorBidi"/>
          <w:bCs/>
          <w:sz w:val="22"/>
          <w:szCs w:val="22"/>
          <w:lang w:val="sr-Latn-ME"/>
        </w:rPr>
        <w:t>, Crna Gora</w:t>
      </w:r>
    </w:p>
    <w:p w14:paraId="218FF320" w14:textId="1A548200" w:rsidR="00C37FD7" w:rsidRDefault="00C37FD7" w:rsidP="00480FB1">
      <w:pPr>
        <w:tabs>
          <w:tab w:val="left" w:pos="540"/>
          <w:tab w:val="left" w:pos="569"/>
        </w:tabs>
        <w:rPr>
          <w:rFonts w:asciiTheme="majorBidi" w:hAnsiTheme="majorBidi" w:cstheme="majorBidi"/>
          <w:bCs/>
          <w:sz w:val="22"/>
          <w:szCs w:val="22"/>
          <w:lang w:val="sr-Latn-ME"/>
        </w:rPr>
      </w:pPr>
    </w:p>
    <w:p w14:paraId="370BED54" w14:textId="5D8CD666" w:rsidR="00B82EF7" w:rsidRDefault="00B82EF7" w:rsidP="00480FB1">
      <w:pPr>
        <w:tabs>
          <w:tab w:val="left" w:pos="540"/>
          <w:tab w:val="left" w:pos="569"/>
        </w:tabs>
        <w:rPr>
          <w:rFonts w:asciiTheme="majorBidi" w:hAnsiTheme="majorBidi" w:cstheme="majorBidi"/>
          <w:bCs/>
          <w:sz w:val="22"/>
          <w:szCs w:val="22"/>
          <w:lang w:val="sr-Latn-ME"/>
        </w:rPr>
      </w:pPr>
    </w:p>
    <w:p w14:paraId="7F09DFFE" w14:textId="77777777" w:rsidR="00B82EF7" w:rsidRPr="00B82EF7" w:rsidRDefault="00B82EF7" w:rsidP="00480FB1">
      <w:pPr>
        <w:tabs>
          <w:tab w:val="left" w:pos="540"/>
          <w:tab w:val="left" w:pos="569"/>
        </w:tabs>
        <w:rPr>
          <w:rFonts w:asciiTheme="majorBidi" w:hAnsiTheme="majorBidi" w:cstheme="majorBidi"/>
          <w:bCs/>
          <w:sz w:val="22"/>
          <w:szCs w:val="22"/>
          <w:lang w:val="sr-Latn-ME"/>
        </w:rPr>
      </w:pPr>
    </w:p>
    <w:p w14:paraId="2A6ED4A3"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lastRenderedPageBreak/>
        <w:t xml:space="preserve">8.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BROJ DOZVOLE</w:t>
      </w:r>
      <w:r w:rsidR="008A6D43" w:rsidRPr="00B82EF7">
        <w:rPr>
          <w:rFonts w:asciiTheme="majorBidi" w:hAnsiTheme="majorBidi" w:cstheme="majorBidi"/>
          <w:b/>
          <w:bCs/>
          <w:sz w:val="22"/>
          <w:szCs w:val="22"/>
          <w:lang w:val="sr-Latn-ME"/>
        </w:rPr>
        <w:t xml:space="preserve"> ZA STAVLJANJE LIJEKA U PROMET</w:t>
      </w:r>
    </w:p>
    <w:p w14:paraId="78E04C06" w14:textId="77777777" w:rsidR="00811A52" w:rsidRPr="00B82EF7" w:rsidRDefault="00811A52" w:rsidP="00480FB1">
      <w:pPr>
        <w:tabs>
          <w:tab w:val="left" w:pos="540"/>
          <w:tab w:val="left" w:pos="569"/>
        </w:tabs>
        <w:rPr>
          <w:rFonts w:asciiTheme="majorBidi" w:hAnsiTheme="majorBidi" w:cstheme="majorBidi"/>
          <w:b/>
          <w:bCs/>
          <w:sz w:val="22"/>
          <w:szCs w:val="22"/>
          <w:lang w:val="sr-Latn-ME"/>
        </w:rPr>
      </w:pPr>
    </w:p>
    <w:p w14:paraId="4FD18813" w14:textId="0B48843B" w:rsidR="00811A52" w:rsidRPr="00B82EF7" w:rsidRDefault="00811A52" w:rsidP="00811A52">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2 000 i.j./0,2 ml, rastvor za injekciju u napunjenom injekcionom špricu</w:t>
      </w:r>
      <w:r w:rsidR="00B82EF7">
        <w:rPr>
          <w:rFonts w:asciiTheme="majorBidi" w:hAnsiTheme="majorBidi" w:cstheme="majorBidi"/>
          <w:bCs/>
          <w:sz w:val="22"/>
          <w:szCs w:val="22"/>
          <w:lang w:val="sr-Latn-ME"/>
        </w:rPr>
        <w:t>: 2030/22/2069 - 2324</w:t>
      </w:r>
    </w:p>
    <w:p w14:paraId="345E3185" w14:textId="38B68854" w:rsidR="00811A52" w:rsidRPr="00B82EF7" w:rsidRDefault="00811A52" w:rsidP="00B82EF7">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4 000 i.j./0,4 ml, rastvor za injekciju u napunjenom injekcionom špricu</w:t>
      </w:r>
      <w:r w:rsidR="00B82EF7">
        <w:rPr>
          <w:rFonts w:asciiTheme="majorBidi" w:hAnsiTheme="majorBidi" w:cstheme="majorBidi"/>
          <w:bCs/>
          <w:sz w:val="22"/>
          <w:szCs w:val="22"/>
          <w:lang w:val="sr-Latn-ME"/>
        </w:rPr>
        <w:t>: 2030/22/2070</w:t>
      </w:r>
      <w:r w:rsidR="00B82EF7">
        <w:rPr>
          <w:rFonts w:asciiTheme="majorBidi" w:hAnsiTheme="majorBidi" w:cstheme="majorBidi"/>
          <w:bCs/>
          <w:sz w:val="22"/>
          <w:szCs w:val="22"/>
          <w:lang w:val="sr-Latn-ME"/>
        </w:rPr>
        <w:t xml:space="preserve"> - 232</w:t>
      </w:r>
      <w:r w:rsidR="00B82EF7">
        <w:rPr>
          <w:rFonts w:asciiTheme="majorBidi" w:hAnsiTheme="majorBidi" w:cstheme="majorBidi"/>
          <w:bCs/>
          <w:sz w:val="22"/>
          <w:szCs w:val="22"/>
          <w:lang w:val="sr-Latn-ME"/>
        </w:rPr>
        <w:t>5</w:t>
      </w:r>
    </w:p>
    <w:p w14:paraId="1C9E9562" w14:textId="063FFC5D" w:rsidR="00811A52" w:rsidRPr="00B82EF7" w:rsidRDefault="00811A52" w:rsidP="00B82EF7">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6 000 i.j. /0,6 ml, rastvor za injekciju u napunjenom injekcionom špricu</w:t>
      </w:r>
      <w:r w:rsidR="00B82EF7">
        <w:rPr>
          <w:rFonts w:asciiTheme="majorBidi" w:hAnsiTheme="majorBidi" w:cstheme="majorBidi"/>
          <w:bCs/>
          <w:sz w:val="22"/>
          <w:szCs w:val="22"/>
          <w:lang w:val="sr-Latn-ME"/>
        </w:rPr>
        <w:t xml:space="preserve">: </w:t>
      </w:r>
      <w:r w:rsidR="00B82EF7">
        <w:rPr>
          <w:rFonts w:asciiTheme="majorBidi" w:hAnsiTheme="majorBidi" w:cstheme="majorBidi"/>
          <w:bCs/>
          <w:sz w:val="22"/>
          <w:szCs w:val="22"/>
          <w:lang w:val="sr-Latn-ME"/>
        </w:rPr>
        <w:t>2030/22/207</w:t>
      </w:r>
      <w:r w:rsidR="00B82EF7">
        <w:rPr>
          <w:rFonts w:asciiTheme="majorBidi" w:hAnsiTheme="majorBidi" w:cstheme="majorBidi"/>
          <w:bCs/>
          <w:sz w:val="22"/>
          <w:szCs w:val="22"/>
          <w:lang w:val="sr-Latn-ME"/>
        </w:rPr>
        <w:t>1</w:t>
      </w:r>
      <w:r w:rsidR="00B82EF7">
        <w:rPr>
          <w:rFonts w:asciiTheme="majorBidi" w:hAnsiTheme="majorBidi" w:cstheme="majorBidi"/>
          <w:bCs/>
          <w:sz w:val="22"/>
          <w:szCs w:val="22"/>
          <w:lang w:val="sr-Latn-ME"/>
        </w:rPr>
        <w:t xml:space="preserve"> - 232</w:t>
      </w:r>
      <w:r w:rsidR="00B82EF7">
        <w:rPr>
          <w:rFonts w:asciiTheme="majorBidi" w:hAnsiTheme="majorBidi" w:cstheme="majorBidi"/>
          <w:bCs/>
          <w:sz w:val="22"/>
          <w:szCs w:val="22"/>
          <w:lang w:val="sr-Latn-ME"/>
        </w:rPr>
        <w:t>6</w:t>
      </w:r>
    </w:p>
    <w:p w14:paraId="0AD590D2" w14:textId="2CD50C86" w:rsidR="00811A52" w:rsidRPr="00B82EF7" w:rsidRDefault="00811A52" w:rsidP="00B82EF7">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8 000 i.j./0,8 ml, rastvor za injekciju u napunjenom injekcionom špricu</w:t>
      </w:r>
      <w:r w:rsidR="00B82EF7">
        <w:rPr>
          <w:rFonts w:asciiTheme="majorBidi" w:hAnsiTheme="majorBidi" w:cstheme="majorBidi"/>
          <w:bCs/>
          <w:sz w:val="22"/>
          <w:szCs w:val="22"/>
          <w:lang w:val="sr-Latn-ME"/>
        </w:rPr>
        <w:t xml:space="preserve">: </w:t>
      </w:r>
      <w:r w:rsidR="00B82EF7">
        <w:rPr>
          <w:rFonts w:asciiTheme="majorBidi" w:hAnsiTheme="majorBidi" w:cstheme="majorBidi"/>
          <w:bCs/>
          <w:sz w:val="22"/>
          <w:szCs w:val="22"/>
          <w:lang w:val="sr-Latn-ME"/>
        </w:rPr>
        <w:t>2030/22/207</w:t>
      </w:r>
      <w:r w:rsidR="00B82EF7">
        <w:rPr>
          <w:rFonts w:asciiTheme="majorBidi" w:hAnsiTheme="majorBidi" w:cstheme="majorBidi"/>
          <w:bCs/>
          <w:sz w:val="22"/>
          <w:szCs w:val="22"/>
          <w:lang w:val="sr-Latn-ME"/>
        </w:rPr>
        <w:t>2</w:t>
      </w:r>
      <w:r w:rsidR="00B82EF7">
        <w:rPr>
          <w:rFonts w:asciiTheme="majorBidi" w:hAnsiTheme="majorBidi" w:cstheme="majorBidi"/>
          <w:bCs/>
          <w:sz w:val="22"/>
          <w:szCs w:val="22"/>
          <w:lang w:val="sr-Latn-ME"/>
        </w:rPr>
        <w:t xml:space="preserve"> - 232</w:t>
      </w:r>
      <w:r w:rsidR="00B82EF7">
        <w:rPr>
          <w:rFonts w:asciiTheme="majorBidi" w:hAnsiTheme="majorBidi" w:cstheme="majorBidi"/>
          <w:bCs/>
          <w:sz w:val="22"/>
          <w:szCs w:val="22"/>
          <w:lang w:val="sr-Latn-ME"/>
        </w:rPr>
        <w:t>7</w:t>
      </w:r>
    </w:p>
    <w:p w14:paraId="3E216EF4" w14:textId="2EF960AC" w:rsidR="0072020E" w:rsidRPr="00B82EF7" w:rsidRDefault="00811A52" w:rsidP="00B82EF7">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10 000 i.j./1 ml, rastvor za injekciju u napunjenom injekcionom špricu</w:t>
      </w:r>
      <w:r w:rsidR="00B82EF7">
        <w:rPr>
          <w:rFonts w:asciiTheme="majorBidi" w:hAnsiTheme="majorBidi" w:cstheme="majorBidi"/>
          <w:bCs/>
          <w:sz w:val="22"/>
          <w:szCs w:val="22"/>
          <w:lang w:val="sr-Latn-ME"/>
        </w:rPr>
        <w:t xml:space="preserve">: </w:t>
      </w:r>
      <w:r w:rsidR="00B82EF7">
        <w:rPr>
          <w:rFonts w:asciiTheme="majorBidi" w:hAnsiTheme="majorBidi" w:cstheme="majorBidi"/>
          <w:bCs/>
          <w:sz w:val="22"/>
          <w:szCs w:val="22"/>
          <w:lang w:val="sr-Latn-ME"/>
        </w:rPr>
        <w:t>2030/22/207</w:t>
      </w:r>
      <w:r w:rsidR="00B82EF7">
        <w:rPr>
          <w:rFonts w:asciiTheme="majorBidi" w:hAnsiTheme="majorBidi" w:cstheme="majorBidi"/>
          <w:bCs/>
          <w:sz w:val="22"/>
          <w:szCs w:val="22"/>
          <w:lang w:val="sr-Latn-ME"/>
        </w:rPr>
        <w:t>3</w:t>
      </w:r>
      <w:r w:rsidR="00B82EF7">
        <w:rPr>
          <w:rFonts w:asciiTheme="majorBidi" w:hAnsiTheme="majorBidi" w:cstheme="majorBidi"/>
          <w:bCs/>
          <w:sz w:val="22"/>
          <w:szCs w:val="22"/>
          <w:lang w:val="sr-Latn-ME"/>
        </w:rPr>
        <w:t xml:space="preserve"> - 232</w:t>
      </w:r>
      <w:r w:rsidR="00B82EF7">
        <w:rPr>
          <w:rFonts w:asciiTheme="majorBidi" w:hAnsiTheme="majorBidi" w:cstheme="majorBidi"/>
          <w:bCs/>
          <w:sz w:val="22"/>
          <w:szCs w:val="22"/>
          <w:lang w:val="sr-Latn-ME"/>
        </w:rPr>
        <w:t>8</w:t>
      </w:r>
    </w:p>
    <w:p w14:paraId="23AA55FE" w14:textId="1A9BBE4C" w:rsidR="00F45F77" w:rsidRDefault="00F45F77" w:rsidP="00480FB1">
      <w:pPr>
        <w:tabs>
          <w:tab w:val="left" w:pos="540"/>
          <w:tab w:val="left" w:pos="569"/>
        </w:tabs>
        <w:rPr>
          <w:rFonts w:asciiTheme="majorBidi" w:hAnsiTheme="majorBidi" w:cstheme="majorBidi"/>
          <w:bCs/>
          <w:sz w:val="22"/>
          <w:szCs w:val="22"/>
          <w:lang w:val="sr-Latn-ME"/>
        </w:rPr>
      </w:pPr>
    </w:p>
    <w:p w14:paraId="63E03A01" w14:textId="77777777" w:rsidR="00B82EF7" w:rsidRPr="00B82EF7" w:rsidRDefault="00B82EF7" w:rsidP="00480FB1">
      <w:pPr>
        <w:tabs>
          <w:tab w:val="left" w:pos="540"/>
          <w:tab w:val="left" w:pos="569"/>
        </w:tabs>
        <w:rPr>
          <w:rFonts w:asciiTheme="majorBidi" w:hAnsiTheme="majorBidi" w:cstheme="majorBidi"/>
          <w:bCs/>
          <w:sz w:val="22"/>
          <w:szCs w:val="22"/>
          <w:lang w:val="sr-Latn-ME"/>
        </w:rPr>
      </w:pPr>
    </w:p>
    <w:p w14:paraId="58B1B276" w14:textId="77777777" w:rsidR="0072020E" w:rsidRPr="00B82EF7" w:rsidRDefault="0072020E" w:rsidP="00480FB1">
      <w:pPr>
        <w:tabs>
          <w:tab w:val="left" w:pos="540"/>
          <w:tab w:val="left" w:pos="569"/>
        </w:tabs>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9. </w:t>
      </w:r>
      <w:r w:rsidR="00480FB1" w:rsidRPr="00B82EF7">
        <w:rPr>
          <w:rFonts w:asciiTheme="majorBidi" w:hAnsiTheme="majorBidi" w:cstheme="majorBidi"/>
          <w:b/>
          <w:bCs/>
          <w:sz w:val="22"/>
          <w:szCs w:val="22"/>
          <w:lang w:val="sr-Latn-ME"/>
        </w:rPr>
        <w:tab/>
      </w:r>
      <w:r w:rsidRPr="00B82EF7">
        <w:rPr>
          <w:rFonts w:asciiTheme="majorBidi" w:hAnsiTheme="majorBidi" w:cstheme="majorBidi"/>
          <w:b/>
          <w:bCs/>
          <w:sz w:val="22"/>
          <w:szCs w:val="22"/>
          <w:lang w:val="sr-Latn-ME"/>
        </w:rPr>
        <w:t xml:space="preserve">DATUM </w:t>
      </w:r>
      <w:r w:rsidR="00C05DF8" w:rsidRPr="00B82EF7">
        <w:rPr>
          <w:rFonts w:asciiTheme="majorBidi" w:hAnsiTheme="majorBidi" w:cstheme="majorBidi"/>
          <w:b/>
          <w:bCs/>
          <w:sz w:val="22"/>
          <w:szCs w:val="22"/>
          <w:lang w:val="sr-Latn-ME"/>
        </w:rPr>
        <w:t xml:space="preserve">PRVE </w:t>
      </w:r>
      <w:r w:rsidR="008A6D43" w:rsidRPr="00B82EF7">
        <w:rPr>
          <w:rFonts w:asciiTheme="majorBidi" w:hAnsiTheme="majorBidi" w:cstheme="majorBidi"/>
          <w:b/>
          <w:bCs/>
          <w:sz w:val="22"/>
          <w:szCs w:val="22"/>
          <w:lang w:val="sr-Latn-ME"/>
        </w:rPr>
        <w:t>DOZVOLE</w:t>
      </w:r>
      <w:r w:rsidR="00C05DF8" w:rsidRPr="00B82EF7">
        <w:rPr>
          <w:rFonts w:asciiTheme="majorBidi" w:hAnsiTheme="majorBidi" w:cstheme="majorBidi"/>
          <w:b/>
          <w:bCs/>
          <w:sz w:val="22"/>
          <w:szCs w:val="22"/>
          <w:lang w:val="sr-Latn-ME"/>
        </w:rPr>
        <w:t>/OBNOVE DOZVOLE</w:t>
      </w:r>
      <w:r w:rsidR="008A6D43" w:rsidRPr="00B82EF7">
        <w:rPr>
          <w:rFonts w:asciiTheme="majorBidi" w:hAnsiTheme="majorBidi" w:cstheme="majorBidi"/>
          <w:b/>
          <w:bCs/>
          <w:sz w:val="22"/>
          <w:szCs w:val="22"/>
          <w:lang w:val="sr-Latn-ME"/>
        </w:rPr>
        <w:t xml:space="preserve"> ZA STAVLJANJE LIJEKA U PROMET</w:t>
      </w:r>
    </w:p>
    <w:p w14:paraId="3DB96AFA" w14:textId="77777777" w:rsidR="00FC0D84" w:rsidRPr="00B82EF7" w:rsidRDefault="00FC0D84" w:rsidP="00811A52">
      <w:pPr>
        <w:tabs>
          <w:tab w:val="left" w:pos="284"/>
        </w:tabs>
        <w:jc w:val="both"/>
        <w:rPr>
          <w:rFonts w:asciiTheme="majorBidi" w:hAnsiTheme="majorBidi" w:cstheme="majorBidi"/>
          <w:bCs/>
          <w:noProof/>
          <w:sz w:val="22"/>
          <w:szCs w:val="22"/>
          <w:lang w:val="sr-Latn-ME"/>
        </w:rPr>
      </w:pPr>
    </w:p>
    <w:p w14:paraId="6A684EA2" w14:textId="66AC85B6" w:rsidR="00811A52" w:rsidRPr="00B82EF7" w:rsidRDefault="00B82EF7" w:rsidP="00811A52">
      <w:pPr>
        <w:rPr>
          <w:rFonts w:asciiTheme="majorBidi" w:hAnsiTheme="majorBidi" w:cstheme="majorBidi"/>
          <w:i/>
          <w:iCs/>
          <w:color w:val="808080"/>
          <w:sz w:val="22"/>
          <w:szCs w:val="22"/>
          <w:lang w:val="sr-Latn-ME"/>
        </w:rPr>
      </w:pPr>
      <w:r>
        <w:rPr>
          <w:rFonts w:asciiTheme="majorBidi" w:hAnsiTheme="majorBidi" w:cstheme="majorBidi"/>
          <w:bCs/>
          <w:noProof/>
          <w:sz w:val="22"/>
          <w:szCs w:val="22"/>
          <w:lang w:val="sr-Latn-ME"/>
        </w:rPr>
        <w:t>05.09.2022. godine</w:t>
      </w:r>
    </w:p>
    <w:p w14:paraId="3E9D89A6" w14:textId="77777777" w:rsidR="00811A52" w:rsidRPr="00B82EF7" w:rsidRDefault="00811A52" w:rsidP="00480FB1">
      <w:pPr>
        <w:tabs>
          <w:tab w:val="left" w:pos="540"/>
          <w:tab w:val="left" w:pos="569"/>
        </w:tabs>
        <w:rPr>
          <w:rFonts w:asciiTheme="majorBidi" w:hAnsiTheme="majorBidi" w:cstheme="majorBidi"/>
          <w:b/>
          <w:bCs/>
          <w:sz w:val="22"/>
          <w:szCs w:val="22"/>
          <w:lang w:val="sr-Latn-ME"/>
        </w:rPr>
      </w:pPr>
    </w:p>
    <w:p w14:paraId="3CB67541" w14:textId="77777777" w:rsidR="00836B35" w:rsidRPr="00B82EF7" w:rsidRDefault="00836B35" w:rsidP="00480FB1">
      <w:pPr>
        <w:tabs>
          <w:tab w:val="left" w:pos="540"/>
          <w:tab w:val="left" w:pos="569"/>
        </w:tabs>
        <w:rPr>
          <w:rFonts w:asciiTheme="majorBidi" w:hAnsiTheme="majorBidi" w:cstheme="majorBidi"/>
          <w:bCs/>
          <w:sz w:val="22"/>
          <w:szCs w:val="22"/>
          <w:lang w:val="sr-Latn-ME"/>
        </w:rPr>
      </w:pPr>
      <w:bookmarkStart w:id="0" w:name="_GoBack"/>
      <w:bookmarkEnd w:id="0"/>
    </w:p>
    <w:p w14:paraId="3EBD112F" w14:textId="57ADBD49" w:rsidR="003F6A59" w:rsidRDefault="0072020E" w:rsidP="00683C8C">
      <w:pPr>
        <w:tabs>
          <w:tab w:val="left" w:pos="540"/>
          <w:tab w:val="left" w:pos="569"/>
        </w:tabs>
        <w:ind w:left="540" w:hanging="540"/>
        <w:rPr>
          <w:rFonts w:asciiTheme="majorBidi" w:hAnsiTheme="majorBidi" w:cstheme="majorBidi"/>
          <w:b/>
          <w:bCs/>
          <w:sz w:val="22"/>
          <w:szCs w:val="22"/>
          <w:lang w:val="sr-Latn-ME"/>
        </w:rPr>
      </w:pPr>
      <w:r w:rsidRPr="00B82EF7">
        <w:rPr>
          <w:rFonts w:asciiTheme="majorBidi" w:hAnsiTheme="majorBidi" w:cstheme="majorBidi"/>
          <w:b/>
          <w:bCs/>
          <w:sz w:val="22"/>
          <w:szCs w:val="22"/>
          <w:lang w:val="sr-Latn-ME"/>
        </w:rPr>
        <w:t xml:space="preserve">10. </w:t>
      </w:r>
      <w:r w:rsidR="00480FB1" w:rsidRPr="00B82EF7">
        <w:rPr>
          <w:rFonts w:asciiTheme="majorBidi" w:hAnsiTheme="majorBidi" w:cstheme="majorBidi"/>
          <w:b/>
          <w:bCs/>
          <w:sz w:val="22"/>
          <w:szCs w:val="22"/>
          <w:lang w:val="sr-Latn-ME"/>
        </w:rPr>
        <w:tab/>
      </w:r>
      <w:r w:rsidR="002846DB" w:rsidRPr="00B82EF7">
        <w:rPr>
          <w:rFonts w:asciiTheme="majorBidi" w:hAnsiTheme="majorBidi" w:cstheme="majorBidi"/>
          <w:b/>
          <w:bCs/>
          <w:sz w:val="22"/>
          <w:szCs w:val="22"/>
          <w:lang w:val="sr-Latn-ME"/>
        </w:rPr>
        <w:t>D</w:t>
      </w:r>
      <w:r w:rsidR="00EC2532" w:rsidRPr="00B82EF7">
        <w:rPr>
          <w:rFonts w:asciiTheme="majorBidi" w:hAnsiTheme="majorBidi" w:cstheme="majorBidi"/>
          <w:b/>
          <w:bCs/>
          <w:sz w:val="22"/>
          <w:szCs w:val="22"/>
          <w:lang w:val="sr-Latn-ME"/>
        </w:rPr>
        <w:t xml:space="preserve">ATUM REVIZIJE TEKSTA </w:t>
      </w:r>
    </w:p>
    <w:p w14:paraId="3F436C04" w14:textId="5F3D8925" w:rsidR="00B82EF7" w:rsidRDefault="00B82EF7" w:rsidP="00683C8C">
      <w:pPr>
        <w:tabs>
          <w:tab w:val="left" w:pos="540"/>
          <w:tab w:val="left" w:pos="569"/>
        </w:tabs>
        <w:ind w:left="540" w:hanging="540"/>
        <w:rPr>
          <w:rFonts w:asciiTheme="majorBidi" w:hAnsiTheme="majorBidi" w:cstheme="majorBidi"/>
          <w:b/>
          <w:bCs/>
          <w:sz w:val="22"/>
          <w:szCs w:val="22"/>
          <w:lang w:val="sr-Latn-ME"/>
        </w:rPr>
      </w:pPr>
    </w:p>
    <w:p w14:paraId="56C339DD" w14:textId="106937B8" w:rsidR="00B82EF7" w:rsidRPr="00B82EF7" w:rsidRDefault="00B82EF7" w:rsidP="00683C8C">
      <w:pPr>
        <w:tabs>
          <w:tab w:val="left" w:pos="540"/>
          <w:tab w:val="left" w:pos="569"/>
        </w:tabs>
        <w:ind w:left="540" w:hanging="540"/>
        <w:rPr>
          <w:rFonts w:asciiTheme="majorBidi" w:hAnsiTheme="majorBidi" w:cstheme="majorBidi"/>
          <w:sz w:val="22"/>
          <w:szCs w:val="22"/>
          <w:lang w:val="sr-Latn-ME"/>
        </w:rPr>
      </w:pPr>
      <w:r w:rsidRPr="00B82EF7">
        <w:rPr>
          <w:rFonts w:asciiTheme="majorBidi" w:hAnsiTheme="majorBidi" w:cstheme="majorBidi"/>
          <w:sz w:val="22"/>
          <w:szCs w:val="22"/>
          <w:lang w:val="sr-Latn-ME"/>
        </w:rPr>
        <w:t>Septembar, 2022. godine</w:t>
      </w:r>
    </w:p>
    <w:sectPr w:rsidR="00B82EF7" w:rsidRPr="00B82EF7" w:rsidSect="006B5404">
      <w:footerReference w:type="default" r:id="rId10"/>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2D66" w16cex:dateUtc="2022-09-01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86A2B" w16cid:durableId="26BB2D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7695" w14:textId="77777777" w:rsidR="005036F8" w:rsidRDefault="005036F8">
      <w:r>
        <w:separator/>
      </w:r>
    </w:p>
  </w:endnote>
  <w:endnote w:type="continuationSeparator" w:id="0">
    <w:p w14:paraId="3722BE97" w14:textId="77777777" w:rsidR="005036F8" w:rsidRDefault="0050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57FF" w14:textId="6B5D413B" w:rsidR="00750ECA" w:rsidRPr="00B23F69" w:rsidRDefault="00750EC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82EF7">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82EF7">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8BAC" w14:textId="77777777" w:rsidR="005036F8" w:rsidRDefault="005036F8">
      <w:r>
        <w:separator/>
      </w:r>
    </w:p>
  </w:footnote>
  <w:footnote w:type="continuationSeparator" w:id="0">
    <w:p w14:paraId="45B1E834" w14:textId="77777777" w:rsidR="005036F8" w:rsidRDefault="00503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5.5pt;height:13.5pt;visibility:visible" o:bullet="t">
        <v:imagedata r:id="rId1" o:title="BT_1000x858px"/>
      </v:shape>
    </w:pict>
  </w:numPicBullet>
  <w:abstractNum w:abstractNumId="0" w15:restartNumberingAfterBreak="0">
    <w:nsid w:val="08136A13"/>
    <w:multiLevelType w:val="hybridMultilevel"/>
    <w:tmpl w:val="2EC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0EA4"/>
    <w:multiLevelType w:val="hybridMultilevel"/>
    <w:tmpl w:val="D03E6B64"/>
    <w:lvl w:ilvl="0" w:tplc="AB3ED9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F22F59"/>
    <w:multiLevelType w:val="hybridMultilevel"/>
    <w:tmpl w:val="248E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054CE"/>
    <w:multiLevelType w:val="hybridMultilevel"/>
    <w:tmpl w:val="47889108"/>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010A1"/>
    <w:multiLevelType w:val="hybridMultilevel"/>
    <w:tmpl w:val="36A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D3532"/>
    <w:multiLevelType w:val="hybridMultilevel"/>
    <w:tmpl w:val="2D00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97790"/>
    <w:multiLevelType w:val="hybridMultilevel"/>
    <w:tmpl w:val="A90EE814"/>
    <w:lvl w:ilvl="0" w:tplc="04090001">
      <w:start w:val="1"/>
      <w:numFmt w:val="bullet"/>
      <w:lvlText w:val=""/>
      <w:lvlJc w:val="left"/>
      <w:pPr>
        <w:ind w:left="720" w:hanging="360"/>
      </w:pPr>
      <w:rPr>
        <w:rFonts w:ascii="Symbol" w:hAnsi="Symbol" w:hint="default"/>
      </w:rPr>
    </w:lvl>
    <w:lvl w:ilvl="1" w:tplc="0A9419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BC457F"/>
    <w:multiLevelType w:val="hybridMultilevel"/>
    <w:tmpl w:val="E19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46F70"/>
    <w:multiLevelType w:val="hybridMultilevel"/>
    <w:tmpl w:val="D0ACCC78"/>
    <w:lvl w:ilvl="0" w:tplc="04090001">
      <w:start w:val="1"/>
      <w:numFmt w:val="bullet"/>
      <w:lvlText w:val=""/>
      <w:lvlJc w:val="left"/>
      <w:pPr>
        <w:ind w:left="720" w:hanging="360"/>
      </w:pPr>
      <w:rPr>
        <w:rFonts w:ascii="Symbol" w:hAnsi="Symbol" w:hint="default"/>
      </w:rPr>
    </w:lvl>
    <w:lvl w:ilvl="1" w:tplc="AB3ED97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D972FE2"/>
    <w:multiLevelType w:val="hybridMultilevel"/>
    <w:tmpl w:val="FE3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451B0"/>
    <w:multiLevelType w:val="hybridMultilevel"/>
    <w:tmpl w:val="DEE8EE80"/>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4C6"/>
    <w:multiLevelType w:val="hybridMultilevel"/>
    <w:tmpl w:val="0AD6FD00"/>
    <w:lvl w:ilvl="0" w:tplc="AB3ED9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9545523"/>
    <w:multiLevelType w:val="hybridMultilevel"/>
    <w:tmpl w:val="DAC8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607DA"/>
    <w:multiLevelType w:val="hybridMultilevel"/>
    <w:tmpl w:val="CBA656C0"/>
    <w:lvl w:ilvl="0" w:tplc="AB3ED9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853E99"/>
    <w:multiLevelType w:val="hybridMultilevel"/>
    <w:tmpl w:val="7A20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74869"/>
    <w:multiLevelType w:val="hybridMultilevel"/>
    <w:tmpl w:val="C92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902AB"/>
    <w:multiLevelType w:val="hybridMultilevel"/>
    <w:tmpl w:val="A8C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D6BC0"/>
    <w:multiLevelType w:val="hybridMultilevel"/>
    <w:tmpl w:val="9D40104A"/>
    <w:lvl w:ilvl="0" w:tplc="F3187F7A">
      <w:start w:val="1"/>
      <w:numFmt w:val="bullet"/>
      <w:lvlText w:val=""/>
      <w:lvlJc w:val="left"/>
      <w:pPr>
        <w:ind w:left="1080" w:hanging="360"/>
      </w:pPr>
      <w:rPr>
        <w:rFonts w:ascii="Symbol" w:hAnsi="Symbol" w:hint="default"/>
      </w:rPr>
    </w:lvl>
    <w:lvl w:ilvl="1" w:tplc="AB3ED97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7563A4"/>
    <w:multiLevelType w:val="hybridMultilevel"/>
    <w:tmpl w:val="4E84A51A"/>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E1A17"/>
    <w:multiLevelType w:val="hybridMultilevel"/>
    <w:tmpl w:val="CF1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7D6DF4"/>
    <w:multiLevelType w:val="hybridMultilevel"/>
    <w:tmpl w:val="EB34D84C"/>
    <w:lvl w:ilvl="0" w:tplc="F3187F7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E477615"/>
    <w:multiLevelType w:val="hybridMultilevel"/>
    <w:tmpl w:val="89F6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E767F"/>
    <w:multiLevelType w:val="hybridMultilevel"/>
    <w:tmpl w:val="112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97475"/>
    <w:multiLevelType w:val="hybridMultilevel"/>
    <w:tmpl w:val="2004AA98"/>
    <w:lvl w:ilvl="0" w:tplc="F3187F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9"/>
  </w:num>
  <w:num w:numId="3">
    <w:abstractNumId w:val="2"/>
  </w:num>
  <w:num w:numId="4">
    <w:abstractNumId w:val="22"/>
  </w:num>
  <w:num w:numId="5">
    <w:abstractNumId w:val="11"/>
  </w:num>
  <w:num w:numId="6">
    <w:abstractNumId w:val="3"/>
  </w:num>
  <w:num w:numId="7">
    <w:abstractNumId w:val="19"/>
  </w:num>
  <w:num w:numId="8">
    <w:abstractNumId w:val="10"/>
  </w:num>
  <w:num w:numId="9">
    <w:abstractNumId w:val="15"/>
  </w:num>
  <w:num w:numId="10">
    <w:abstractNumId w:val="32"/>
  </w:num>
  <w:num w:numId="11">
    <w:abstractNumId w:val="13"/>
  </w:num>
  <w:num w:numId="12">
    <w:abstractNumId w:val="6"/>
  </w:num>
  <w:num w:numId="13">
    <w:abstractNumId w:val="30"/>
  </w:num>
  <w:num w:numId="14">
    <w:abstractNumId w:val="8"/>
  </w:num>
  <w:num w:numId="15">
    <w:abstractNumId w:val="5"/>
  </w:num>
  <w:num w:numId="16">
    <w:abstractNumId w:val="27"/>
  </w:num>
  <w:num w:numId="17">
    <w:abstractNumId w:val="7"/>
  </w:num>
  <w:num w:numId="18">
    <w:abstractNumId w:val="33"/>
  </w:num>
  <w:num w:numId="19">
    <w:abstractNumId w:val="17"/>
  </w:num>
  <w:num w:numId="20">
    <w:abstractNumId w:val="16"/>
  </w:num>
  <w:num w:numId="21">
    <w:abstractNumId w:val="26"/>
  </w:num>
  <w:num w:numId="22">
    <w:abstractNumId w:val="14"/>
  </w:num>
  <w:num w:numId="23">
    <w:abstractNumId w:val="28"/>
  </w:num>
  <w:num w:numId="24">
    <w:abstractNumId w:val="34"/>
  </w:num>
  <w:num w:numId="25">
    <w:abstractNumId w:val="21"/>
  </w:num>
  <w:num w:numId="26">
    <w:abstractNumId w:val="1"/>
  </w:num>
  <w:num w:numId="27">
    <w:abstractNumId w:val="31"/>
  </w:num>
  <w:num w:numId="28">
    <w:abstractNumId w:val="23"/>
  </w:num>
  <w:num w:numId="29">
    <w:abstractNumId w:val="24"/>
  </w:num>
  <w:num w:numId="30">
    <w:abstractNumId w:val="20"/>
  </w:num>
  <w:num w:numId="31">
    <w:abstractNumId w:val="25"/>
  </w:num>
  <w:num w:numId="32">
    <w:abstractNumId w:val="4"/>
  </w:num>
  <w:num w:numId="33">
    <w:abstractNumId w:val="0"/>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F6E"/>
    <w:rsid w:val="00007199"/>
    <w:rsid w:val="000176CA"/>
    <w:rsid w:val="00036FA0"/>
    <w:rsid w:val="0003793F"/>
    <w:rsid w:val="00045279"/>
    <w:rsid w:val="00057E35"/>
    <w:rsid w:val="000758A9"/>
    <w:rsid w:val="00076726"/>
    <w:rsid w:val="000776AC"/>
    <w:rsid w:val="00080303"/>
    <w:rsid w:val="000965C4"/>
    <w:rsid w:val="000A27A6"/>
    <w:rsid w:val="000A3F58"/>
    <w:rsid w:val="000A4414"/>
    <w:rsid w:val="000B262A"/>
    <w:rsid w:val="000D1A74"/>
    <w:rsid w:val="000D2343"/>
    <w:rsid w:val="000D33BC"/>
    <w:rsid w:val="000D3449"/>
    <w:rsid w:val="000D425A"/>
    <w:rsid w:val="000D60CC"/>
    <w:rsid w:val="000E2084"/>
    <w:rsid w:val="000E6F55"/>
    <w:rsid w:val="000F0F88"/>
    <w:rsid w:val="000F20E4"/>
    <w:rsid w:val="000F77FA"/>
    <w:rsid w:val="00107BF7"/>
    <w:rsid w:val="00126F53"/>
    <w:rsid w:val="001470EA"/>
    <w:rsid w:val="0014766D"/>
    <w:rsid w:val="001536CC"/>
    <w:rsid w:val="00182C55"/>
    <w:rsid w:val="00190DAA"/>
    <w:rsid w:val="001A3FBA"/>
    <w:rsid w:val="001A5518"/>
    <w:rsid w:val="001B1029"/>
    <w:rsid w:val="001B1C6A"/>
    <w:rsid w:val="001B513A"/>
    <w:rsid w:val="001C1263"/>
    <w:rsid w:val="001C1417"/>
    <w:rsid w:val="001D2748"/>
    <w:rsid w:val="001E390B"/>
    <w:rsid w:val="001F42FB"/>
    <w:rsid w:val="001F719A"/>
    <w:rsid w:val="002031B3"/>
    <w:rsid w:val="00205906"/>
    <w:rsid w:val="002144FD"/>
    <w:rsid w:val="00215931"/>
    <w:rsid w:val="00224C91"/>
    <w:rsid w:val="00227BDB"/>
    <w:rsid w:val="00234CB1"/>
    <w:rsid w:val="002352F8"/>
    <w:rsid w:val="002510A5"/>
    <w:rsid w:val="00254A0A"/>
    <w:rsid w:val="00260C92"/>
    <w:rsid w:val="00266046"/>
    <w:rsid w:val="0027530F"/>
    <w:rsid w:val="002846DB"/>
    <w:rsid w:val="00284CCD"/>
    <w:rsid w:val="002B427E"/>
    <w:rsid w:val="002B7632"/>
    <w:rsid w:val="002C0BD8"/>
    <w:rsid w:val="002C6637"/>
    <w:rsid w:val="002E0135"/>
    <w:rsid w:val="002E17C6"/>
    <w:rsid w:val="002E37A5"/>
    <w:rsid w:val="002E3AA9"/>
    <w:rsid w:val="002F5B22"/>
    <w:rsid w:val="00303B9F"/>
    <w:rsid w:val="00310F03"/>
    <w:rsid w:val="003247D2"/>
    <w:rsid w:val="00331EE2"/>
    <w:rsid w:val="003445C1"/>
    <w:rsid w:val="0034791E"/>
    <w:rsid w:val="00355B61"/>
    <w:rsid w:val="00362686"/>
    <w:rsid w:val="00371510"/>
    <w:rsid w:val="003936B1"/>
    <w:rsid w:val="003951EF"/>
    <w:rsid w:val="00396DFD"/>
    <w:rsid w:val="003A7059"/>
    <w:rsid w:val="003B51C0"/>
    <w:rsid w:val="003B5FA6"/>
    <w:rsid w:val="003B7A36"/>
    <w:rsid w:val="003C17AB"/>
    <w:rsid w:val="003C7823"/>
    <w:rsid w:val="003E1DCC"/>
    <w:rsid w:val="003F11A1"/>
    <w:rsid w:val="003F1408"/>
    <w:rsid w:val="003F6A59"/>
    <w:rsid w:val="00403E41"/>
    <w:rsid w:val="004065C8"/>
    <w:rsid w:val="004109FA"/>
    <w:rsid w:val="00410EA3"/>
    <w:rsid w:val="0041183D"/>
    <w:rsid w:val="00411B4B"/>
    <w:rsid w:val="00415BEE"/>
    <w:rsid w:val="00427F85"/>
    <w:rsid w:val="00431FA8"/>
    <w:rsid w:val="00436F42"/>
    <w:rsid w:val="004378B4"/>
    <w:rsid w:val="00443337"/>
    <w:rsid w:val="00450664"/>
    <w:rsid w:val="00451314"/>
    <w:rsid w:val="00452E9D"/>
    <w:rsid w:val="004534C7"/>
    <w:rsid w:val="004671AA"/>
    <w:rsid w:val="004809E2"/>
    <w:rsid w:val="00480FB1"/>
    <w:rsid w:val="00483928"/>
    <w:rsid w:val="00483E5F"/>
    <w:rsid w:val="004968CE"/>
    <w:rsid w:val="004B1216"/>
    <w:rsid w:val="004C10AF"/>
    <w:rsid w:val="004C331F"/>
    <w:rsid w:val="004C3FB3"/>
    <w:rsid w:val="004D148D"/>
    <w:rsid w:val="004D2DA2"/>
    <w:rsid w:val="004D2F91"/>
    <w:rsid w:val="004D6103"/>
    <w:rsid w:val="004E0385"/>
    <w:rsid w:val="004E2355"/>
    <w:rsid w:val="004E3BCE"/>
    <w:rsid w:val="004E6DFB"/>
    <w:rsid w:val="004E70AD"/>
    <w:rsid w:val="004F02EE"/>
    <w:rsid w:val="004F0E97"/>
    <w:rsid w:val="00501DD1"/>
    <w:rsid w:val="005036F8"/>
    <w:rsid w:val="00504BE9"/>
    <w:rsid w:val="005148B4"/>
    <w:rsid w:val="00515C21"/>
    <w:rsid w:val="0052207A"/>
    <w:rsid w:val="00530BD7"/>
    <w:rsid w:val="00545CD2"/>
    <w:rsid w:val="005476F3"/>
    <w:rsid w:val="005606F4"/>
    <w:rsid w:val="00572527"/>
    <w:rsid w:val="00573E40"/>
    <w:rsid w:val="00573FC1"/>
    <w:rsid w:val="00576348"/>
    <w:rsid w:val="00580FBC"/>
    <w:rsid w:val="00583431"/>
    <w:rsid w:val="005A0B2E"/>
    <w:rsid w:val="005A23D2"/>
    <w:rsid w:val="005A36CB"/>
    <w:rsid w:val="005A60A3"/>
    <w:rsid w:val="005B49B8"/>
    <w:rsid w:val="005C0741"/>
    <w:rsid w:val="005C5EF4"/>
    <w:rsid w:val="005D1FF0"/>
    <w:rsid w:val="005E2E0B"/>
    <w:rsid w:val="005E7A7D"/>
    <w:rsid w:val="00600683"/>
    <w:rsid w:val="00602457"/>
    <w:rsid w:val="00603E96"/>
    <w:rsid w:val="0063123F"/>
    <w:rsid w:val="006415C0"/>
    <w:rsid w:val="00644FC3"/>
    <w:rsid w:val="00646410"/>
    <w:rsid w:val="00646BD1"/>
    <w:rsid w:val="0065112A"/>
    <w:rsid w:val="006561C2"/>
    <w:rsid w:val="0066188E"/>
    <w:rsid w:val="0066451A"/>
    <w:rsid w:val="00671CB3"/>
    <w:rsid w:val="00674BAF"/>
    <w:rsid w:val="00682200"/>
    <w:rsid w:val="00683C8C"/>
    <w:rsid w:val="00692BF6"/>
    <w:rsid w:val="00695DF4"/>
    <w:rsid w:val="006A1497"/>
    <w:rsid w:val="006B0BD1"/>
    <w:rsid w:val="006B1403"/>
    <w:rsid w:val="006B2311"/>
    <w:rsid w:val="006B5404"/>
    <w:rsid w:val="006D1756"/>
    <w:rsid w:val="006D20A5"/>
    <w:rsid w:val="006D37BF"/>
    <w:rsid w:val="006D3CD3"/>
    <w:rsid w:val="006F6136"/>
    <w:rsid w:val="00702E22"/>
    <w:rsid w:val="00706FE7"/>
    <w:rsid w:val="0071200F"/>
    <w:rsid w:val="00712BC5"/>
    <w:rsid w:val="00716850"/>
    <w:rsid w:val="0072020E"/>
    <w:rsid w:val="00720B07"/>
    <w:rsid w:val="00745BC3"/>
    <w:rsid w:val="00750ECA"/>
    <w:rsid w:val="00757E49"/>
    <w:rsid w:val="00786071"/>
    <w:rsid w:val="007918FC"/>
    <w:rsid w:val="007A2732"/>
    <w:rsid w:val="007A3ECB"/>
    <w:rsid w:val="007D7BB3"/>
    <w:rsid w:val="007E1FF7"/>
    <w:rsid w:val="007E2D1E"/>
    <w:rsid w:val="007F2011"/>
    <w:rsid w:val="008002BB"/>
    <w:rsid w:val="00804C51"/>
    <w:rsid w:val="00805E66"/>
    <w:rsid w:val="00811A52"/>
    <w:rsid w:val="00816625"/>
    <w:rsid w:val="00824AB9"/>
    <w:rsid w:val="00835E55"/>
    <w:rsid w:val="00836B35"/>
    <w:rsid w:val="00843A9A"/>
    <w:rsid w:val="00843BDE"/>
    <w:rsid w:val="0085428A"/>
    <w:rsid w:val="008612A9"/>
    <w:rsid w:val="0087588C"/>
    <w:rsid w:val="00877469"/>
    <w:rsid w:val="00891D2E"/>
    <w:rsid w:val="0089705C"/>
    <w:rsid w:val="008A6D43"/>
    <w:rsid w:val="008B491E"/>
    <w:rsid w:val="008C1A28"/>
    <w:rsid w:val="008C2E98"/>
    <w:rsid w:val="008D51B2"/>
    <w:rsid w:val="008E234A"/>
    <w:rsid w:val="008E49BD"/>
    <w:rsid w:val="008E53E9"/>
    <w:rsid w:val="008E5771"/>
    <w:rsid w:val="008F2B2C"/>
    <w:rsid w:val="008F458F"/>
    <w:rsid w:val="008F4ACF"/>
    <w:rsid w:val="00922EE0"/>
    <w:rsid w:val="00924166"/>
    <w:rsid w:val="00926AFA"/>
    <w:rsid w:val="009303F7"/>
    <w:rsid w:val="00940B9B"/>
    <w:rsid w:val="0095676E"/>
    <w:rsid w:val="00956983"/>
    <w:rsid w:val="009615FD"/>
    <w:rsid w:val="00963CF0"/>
    <w:rsid w:val="00964BB1"/>
    <w:rsid w:val="009775D9"/>
    <w:rsid w:val="00997175"/>
    <w:rsid w:val="00997BA5"/>
    <w:rsid w:val="00997DE6"/>
    <w:rsid w:val="009A1847"/>
    <w:rsid w:val="009B062A"/>
    <w:rsid w:val="009B2FBD"/>
    <w:rsid w:val="009E544B"/>
    <w:rsid w:val="009E7469"/>
    <w:rsid w:val="009E7C6F"/>
    <w:rsid w:val="009F1793"/>
    <w:rsid w:val="009F2D23"/>
    <w:rsid w:val="00A01D69"/>
    <w:rsid w:val="00A02335"/>
    <w:rsid w:val="00A1342F"/>
    <w:rsid w:val="00A13685"/>
    <w:rsid w:val="00A16D03"/>
    <w:rsid w:val="00A22A51"/>
    <w:rsid w:val="00A32335"/>
    <w:rsid w:val="00A36E3E"/>
    <w:rsid w:val="00A46247"/>
    <w:rsid w:val="00A46C9A"/>
    <w:rsid w:val="00A55660"/>
    <w:rsid w:val="00A57D4D"/>
    <w:rsid w:val="00A619F3"/>
    <w:rsid w:val="00A62A73"/>
    <w:rsid w:val="00A826E6"/>
    <w:rsid w:val="00A82BDE"/>
    <w:rsid w:val="00A87FF6"/>
    <w:rsid w:val="00AA0A3B"/>
    <w:rsid w:val="00AA2763"/>
    <w:rsid w:val="00AA33B6"/>
    <w:rsid w:val="00AA7815"/>
    <w:rsid w:val="00AB50CA"/>
    <w:rsid w:val="00AB6D64"/>
    <w:rsid w:val="00AC53CE"/>
    <w:rsid w:val="00AD1D08"/>
    <w:rsid w:val="00AD2193"/>
    <w:rsid w:val="00AE3BC8"/>
    <w:rsid w:val="00AF2AC7"/>
    <w:rsid w:val="00AF35C0"/>
    <w:rsid w:val="00AF74CE"/>
    <w:rsid w:val="00AF7A60"/>
    <w:rsid w:val="00B033CC"/>
    <w:rsid w:val="00B208DB"/>
    <w:rsid w:val="00B2338D"/>
    <w:rsid w:val="00B23F69"/>
    <w:rsid w:val="00B25BBD"/>
    <w:rsid w:val="00B36F6D"/>
    <w:rsid w:val="00B41BA4"/>
    <w:rsid w:val="00B52A1D"/>
    <w:rsid w:val="00B531D5"/>
    <w:rsid w:val="00B60619"/>
    <w:rsid w:val="00B66A70"/>
    <w:rsid w:val="00B67366"/>
    <w:rsid w:val="00B80EE1"/>
    <w:rsid w:val="00B82EF7"/>
    <w:rsid w:val="00B84135"/>
    <w:rsid w:val="00BC097D"/>
    <w:rsid w:val="00BC62A7"/>
    <w:rsid w:val="00BE350B"/>
    <w:rsid w:val="00C04D34"/>
    <w:rsid w:val="00C05DF8"/>
    <w:rsid w:val="00C06864"/>
    <w:rsid w:val="00C078D9"/>
    <w:rsid w:val="00C10B8F"/>
    <w:rsid w:val="00C10F54"/>
    <w:rsid w:val="00C146B6"/>
    <w:rsid w:val="00C17E07"/>
    <w:rsid w:val="00C23D8D"/>
    <w:rsid w:val="00C326D2"/>
    <w:rsid w:val="00C326D4"/>
    <w:rsid w:val="00C34387"/>
    <w:rsid w:val="00C36CDC"/>
    <w:rsid w:val="00C37AA3"/>
    <w:rsid w:val="00C37FD7"/>
    <w:rsid w:val="00C43419"/>
    <w:rsid w:val="00C44CF3"/>
    <w:rsid w:val="00C61BE0"/>
    <w:rsid w:val="00C6707E"/>
    <w:rsid w:val="00C70B0E"/>
    <w:rsid w:val="00C7292C"/>
    <w:rsid w:val="00C773CA"/>
    <w:rsid w:val="00C83785"/>
    <w:rsid w:val="00C94C0D"/>
    <w:rsid w:val="00C966E7"/>
    <w:rsid w:val="00CA03A1"/>
    <w:rsid w:val="00CA1FEB"/>
    <w:rsid w:val="00CA3AF0"/>
    <w:rsid w:val="00CD4F85"/>
    <w:rsid w:val="00CD6F02"/>
    <w:rsid w:val="00CE246D"/>
    <w:rsid w:val="00CF07A0"/>
    <w:rsid w:val="00CF3E03"/>
    <w:rsid w:val="00CF4E79"/>
    <w:rsid w:val="00D0082A"/>
    <w:rsid w:val="00D12197"/>
    <w:rsid w:val="00D212B6"/>
    <w:rsid w:val="00D21455"/>
    <w:rsid w:val="00D219FD"/>
    <w:rsid w:val="00D44C9D"/>
    <w:rsid w:val="00D47634"/>
    <w:rsid w:val="00D47F2F"/>
    <w:rsid w:val="00D62E31"/>
    <w:rsid w:val="00D65058"/>
    <w:rsid w:val="00D709B3"/>
    <w:rsid w:val="00D73D77"/>
    <w:rsid w:val="00D7779D"/>
    <w:rsid w:val="00D87C4F"/>
    <w:rsid w:val="00D90DFC"/>
    <w:rsid w:val="00D937C0"/>
    <w:rsid w:val="00DA2ED6"/>
    <w:rsid w:val="00DA5F28"/>
    <w:rsid w:val="00DB76B8"/>
    <w:rsid w:val="00DC2EA1"/>
    <w:rsid w:val="00DD6AAF"/>
    <w:rsid w:val="00DD7F82"/>
    <w:rsid w:val="00DE233B"/>
    <w:rsid w:val="00DE3F5C"/>
    <w:rsid w:val="00DE758E"/>
    <w:rsid w:val="00DF1D20"/>
    <w:rsid w:val="00DF4D3C"/>
    <w:rsid w:val="00E00215"/>
    <w:rsid w:val="00E158CB"/>
    <w:rsid w:val="00E21324"/>
    <w:rsid w:val="00E246B9"/>
    <w:rsid w:val="00E31FEA"/>
    <w:rsid w:val="00E45169"/>
    <w:rsid w:val="00E46520"/>
    <w:rsid w:val="00E47787"/>
    <w:rsid w:val="00E50CC0"/>
    <w:rsid w:val="00E51C30"/>
    <w:rsid w:val="00E5337D"/>
    <w:rsid w:val="00E55532"/>
    <w:rsid w:val="00E628D0"/>
    <w:rsid w:val="00E64180"/>
    <w:rsid w:val="00E71136"/>
    <w:rsid w:val="00E74AEE"/>
    <w:rsid w:val="00E818EE"/>
    <w:rsid w:val="00E868E5"/>
    <w:rsid w:val="00E9237A"/>
    <w:rsid w:val="00E939FA"/>
    <w:rsid w:val="00EA5765"/>
    <w:rsid w:val="00EC2532"/>
    <w:rsid w:val="00ED7812"/>
    <w:rsid w:val="00EF3B86"/>
    <w:rsid w:val="00F002CD"/>
    <w:rsid w:val="00F131CD"/>
    <w:rsid w:val="00F312C6"/>
    <w:rsid w:val="00F317E9"/>
    <w:rsid w:val="00F34554"/>
    <w:rsid w:val="00F354FE"/>
    <w:rsid w:val="00F45F77"/>
    <w:rsid w:val="00F5167F"/>
    <w:rsid w:val="00F52258"/>
    <w:rsid w:val="00F60A2A"/>
    <w:rsid w:val="00F635B5"/>
    <w:rsid w:val="00F63634"/>
    <w:rsid w:val="00F64D5A"/>
    <w:rsid w:val="00F65EC0"/>
    <w:rsid w:val="00F8570A"/>
    <w:rsid w:val="00F8647D"/>
    <w:rsid w:val="00F91C7B"/>
    <w:rsid w:val="00F9599C"/>
    <w:rsid w:val="00FA07C2"/>
    <w:rsid w:val="00FA0CC4"/>
    <w:rsid w:val="00FA6981"/>
    <w:rsid w:val="00FC0D84"/>
    <w:rsid w:val="00FE4631"/>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62E5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D7F8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82"/>
    <w:pPr>
      <w:tabs>
        <w:tab w:val="left" w:pos="284"/>
      </w:tabs>
      <w:ind w:left="720"/>
      <w:contextualSpacing/>
      <w:jc w:val="both"/>
    </w:pPr>
    <w:rPr>
      <w:sz w:val="22"/>
    </w:rPr>
  </w:style>
  <w:style w:type="character" w:customStyle="1" w:styleId="markedcontent">
    <w:name w:val="markedcontent"/>
    <w:basedOn w:val="DefaultParagraphFont"/>
    <w:rsid w:val="00F63634"/>
  </w:style>
  <w:style w:type="paragraph" w:styleId="BodyText">
    <w:name w:val="Body Text"/>
    <w:basedOn w:val="Normal"/>
    <w:link w:val="BodyTextChar"/>
    <w:uiPriority w:val="1"/>
    <w:unhideWhenUsed/>
    <w:qFormat/>
    <w:rsid w:val="00303B9F"/>
    <w:pPr>
      <w:widowControl w:val="0"/>
      <w:autoSpaceDE w:val="0"/>
      <w:autoSpaceDN w:val="0"/>
      <w:ind w:left="232"/>
    </w:pPr>
    <w:rPr>
      <w:sz w:val="22"/>
      <w:szCs w:val="22"/>
    </w:rPr>
  </w:style>
  <w:style w:type="character" w:customStyle="1" w:styleId="BodyTextChar">
    <w:name w:val="Body Text Char"/>
    <w:basedOn w:val="DefaultParagraphFont"/>
    <w:link w:val="BodyText"/>
    <w:uiPriority w:val="1"/>
    <w:rsid w:val="00303B9F"/>
    <w:rPr>
      <w:sz w:val="22"/>
      <w:szCs w:val="22"/>
      <w:lang w:val="en-US" w:eastAsia="en-US"/>
    </w:rPr>
  </w:style>
  <w:style w:type="paragraph" w:styleId="Revision">
    <w:name w:val="Revision"/>
    <w:hidden/>
    <w:uiPriority w:val="99"/>
    <w:semiHidden/>
    <w:rsid w:val="00745BC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90219">
      <w:bodyDiv w:val="1"/>
      <w:marLeft w:val="0"/>
      <w:marRight w:val="0"/>
      <w:marTop w:val="0"/>
      <w:marBottom w:val="0"/>
      <w:divBdr>
        <w:top w:val="none" w:sz="0" w:space="0" w:color="auto"/>
        <w:left w:val="none" w:sz="0" w:space="0" w:color="auto"/>
        <w:bottom w:val="none" w:sz="0" w:space="0" w:color="auto"/>
        <w:right w:val="none" w:sz="0" w:space="0" w:color="auto"/>
      </w:divBdr>
    </w:div>
    <w:div w:id="843401679">
      <w:bodyDiv w:val="1"/>
      <w:marLeft w:val="0"/>
      <w:marRight w:val="0"/>
      <w:marTop w:val="0"/>
      <w:marBottom w:val="0"/>
      <w:divBdr>
        <w:top w:val="none" w:sz="0" w:space="0" w:color="auto"/>
        <w:left w:val="none" w:sz="0" w:space="0" w:color="auto"/>
        <w:bottom w:val="none" w:sz="0" w:space="0" w:color="auto"/>
        <w:right w:val="none" w:sz="0" w:space="0" w:color="auto"/>
      </w:divBdr>
    </w:div>
    <w:div w:id="11094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FD01-1E95-41CA-9EA5-F74D3BAE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10854</Words>
  <Characters>61873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72582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cp:lastPrinted>2022-08-11T08:44:00Z</cp:lastPrinted>
  <dcterms:created xsi:type="dcterms:W3CDTF">2022-09-01T11:20:00Z</dcterms:created>
  <dcterms:modified xsi:type="dcterms:W3CDTF">2022-09-05T06:43:00Z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