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377DD" w14:textId="77777777" w:rsidR="001A5518" w:rsidRPr="00E845ED" w:rsidRDefault="001A5518" w:rsidP="001A5518">
      <w:pPr>
        <w:rPr>
          <w:b/>
          <w:bCs/>
          <w:i/>
          <w:iCs/>
          <w:sz w:val="22"/>
          <w:szCs w:val="22"/>
          <w:u w:val="single"/>
          <w:lang w:val="sr-Latn-ME"/>
        </w:rPr>
      </w:pPr>
    </w:p>
    <w:p w14:paraId="5CEA293B" w14:textId="77777777" w:rsidR="00F91C7B" w:rsidRPr="00E845ED" w:rsidRDefault="00F91C7B" w:rsidP="001A5518">
      <w:pPr>
        <w:rPr>
          <w:b/>
          <w:bCs/>
          <w:i/>
          <w:iCs/>
          <w:sz w:val="22"/>
          <w:szCs w:val="22"/>
          <w:u w:val="single"/>
          <w:lang w:val="sr-Latn-ME"/>
        </w:rPr>
      </w:pPr>
    </w:p>
    <w:p w14:paraId="1E3CB55F" w14:textId="77777777" w:rsidR="002510A5" w:rsidRPr="00E845ED" w:rsidRDefault="002510A5" w:rsidP="002510A5">
      <w:pPr>
        <w:jc w:val="center"/>
        <w:rPr>
          <w:b/>
          <w:bCs/>
          <w:iCs/>
          <w:sz w:val="22"/>
          <w:szCs w:val="22"/>
          <w:u w:val="single"/>
          <w:lang w:val="sr-Latn-ME"/>
        </w:rPr>
      </w:pPr>
      <w:r w:rsidRPr="00E845ED">
        <w:rPr>
          <w:b/>
          <w:bCs/>
          <w:iCs/>
          <w:sz w:val="22"/>
          <w:szCs w:val="22"/>
          <w:u w:val="single"/>
          <w:lang w:val="sr-Latn-ME"/>
        </w:rPr>
        <w:t>SAŽETAK KARAKTERISTIKA LIJEKA</w:t>
      </w:r>
    </w:p>
    <w:p w14:paraId="1A06B76F" w14:textId="77777777" w:rsidR="002510A5" w:rsidRPr="00E845ED" w:rsidRDefault="002510A5" w:rsidP="002510A5">
      <w:pPr>
        <w:rPr>
          <w:b/>
          <w:bCs/>
          <w:i/>
          <w:iCs/>
          <w:sz w:val="22"/>
          <w:szCs w:val="22"/>
          <w:u w:val="single"/>
          <w:lang w:val="sr-Latn-ME"/>
        </w:rPr>
      </w:pPr>
    </w:p>
    <w:p w14:paraId="0EB7E077" w14:textId="77777777" w:rsidR="003C17AB" w:rsidRPr="00E845ED" w:rsidRDefault="003C17AB" w:rsidP="00CA1FEB">
      <w:pPr>
        <w:rPr>
          <w:sz w:val="22"/>
          <w:szCs w:val="22"/>
          <w:lang w:val="sr-Latn-ME"/>
        </w:rPr>
      </w:pPr>
    </w:p>
    <w:p w14:paraId="2128F1FC" w14:textId="77777777" w:rsidR="00C37FD7" w:rsidRPr="00E845ED" w:rsidRDefault="00C37FD7" w:rsidP="00F5167F">
      <w:pPr>
        <w:tabs>
          <w:tab w:val="left" w:pos="540"/>
          <w:tab w:val="left" w:pos="569"/>
        </w:tabs>
        <w:rPr>
          <w:bCs/>
          <w:sz w:val="22"/>
          <w:szCs w:val="22"/>
          <w:lang w:val="sr-Latn-ME"/>
        </w:rPr>
      </w:pPr>
    </w:p>
    <w:p w14:paraId="3AD8152F"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1.</w:t>
      </w:r>
      <w:r w:rsidR="00F5167F" w:rsidRPr="00E845ED">
        <w:rPr>
          <w:b/>
          <w:bCs/>
          <w:sz w:val="22"/>
          <w:szCs w:val="22"/>
          <w:lang w:val="sr-Latn-ME"/>
        </w:rPr>
        <w:tab/>
      </w:r>
      <w:r w:rsidR="002846DB" w:rsidRPr="00E845ED">
        <w:rPr>
          <w:b/>
          <w:bCs/>
          <w:sz w:val="22"/>
          <w:szCs w:val="22"/>
          <w:lang w:val="sr-Latn-ME"/>
        </w:rPr>
        <w:t xml:space="preserve">NAZIV </w:t>
      </w:r>
      <w:r w:rsidRPr="00E845ED">
        <w:rPr>
          <w:b/>
          <w:bCs/>
          <w:sz w:val="22"/>
          <w:szCs w:val="22"/>
          <w:lang w:val="sr-Latn-ME"/>
        </w:rPr>
        <w:t>LIJEKA</w:t>
      </w:r>
    </w:p>
    <w:p w14:paraId="0EB16E3D" w14:textId="77777777" w:rsidR="00EC2532" w:rsidRPr="00E845ED" w:rsidRDefault="00EC2532" w:rsidP="00D542D8">
      <w:pPr>
        <w:jc w:val="both"/>
        <w:rPr>
          <w:sz w:val="22"/>
          <w:szCs w:val="22"/>
          <w:lang w:val="sr-Latn-ME"/>
        </w:rPr>
      </w:pPr>
    </w:p>
    <w:p w14:paraId="47DEDC8C" w14:textId="4539E2F9" w:rsidR="00107BF7" w:rsidRPr="00E845ED" w:rsidRDefault="003A6AED" w:rsidP="00D542D8">
      <w:pPr>
        <w:jc w:val="both"/>
        <w:rPr>
          <w:i/>
          <w:iCs/>
          <w:color w:val="808080"/>
          <w:sz w:val="22"/>
          <w:szCs w:val="22"/>
          <w:lang w:val="sr-Latn-ME"/>
        </w:rPr>
      </w:pPr>
      <w:r w:rsidRPr="00E845ED">
        <w:rPr>
          <w:sz w:val="22"/>
          <w:szCs w:val="22"/>
          <w:lang w:val="sr-Latn-ME"/>
        </w:rPr>
        <w:t>Rocuronium bromide Kalceks, 50 mg/5ml, rastvor za injekciju/infuziju.</w:t>
      </w:r>
    </w:p>
    <w:p w14:paraId="4BBFBE27" w14:textId="77777777" w:rsidR="000D425A" w:rsidRPr="00E845ED" w:rsidRDefault="000D425A" w:rsidP="00D542D8">
      <w:pPr>
        <w:jc w:val="both"/>
        <w:rPr>
          <w:bCs/>
          <w:sz w:val="22"/>
          <w:szCs w:val="22"/>
          <w:lang w:val="sr-Latn-ME"/>
        </w:rPr>
      </w:pPr>
    </w:p>
    <w:p w14:paraId="15EEA919" w14:textId="3D8B8483" w:rsidR="006D20A5" w:rsidRPr="00E845ED" w:rsidRDefault="006D20A5" w:rsidP="00D542D8">
      <w:pPr>
        <w:jc w:val="both"/>
        <w:rPr>
          <w:sz w:val="22"/>
          <w:szCs w:val="22"/>
          <w:lang w:val="sr-Latn-ME"/>
        </w:rPr>
      </w:pPr>
      <w:r w:rsidRPr="00E845ED">
        <w:rPr>
          <w:sz w:val="22"/>
          <w:szCs w:val="22"/>
          <w:lang w:val="sr-Latn-ME"/>
        </w:rPr>
        <w:t>INN:</w:t>
      </w:r>
      <w:r w:rsidR="003A6AED" w:rsidRPr="00E845ED">
        <w:rPr>
          <w:sz w:val="22"/>
          <w:szCs w:val="22"/>
          <w:lang w:val="sr-Latn-ME"/>
        </w:rPr>
        <w:t xml:space="preserve"> rokuronijum bromid</w:t>
      </w:r>
    </w:p>
    <w:p w14:paraId="66DE3033" w14:textId="77777777" w:rsidR="00530BD7" w:rsidRPr="00E845ED" w:rsidRDefault="00530BD7" w:rsidP="00D542D8">
      <w:pPr>
        <w:jc w:val="both"/>
        <w:rPr>
          <w:bCs/>
          <w:sz w:val="22"/>
          <w:szCs w:val="22"/>
          <w:lang w:val="sr-Latn-ME"/>
        </w:rPr>
      </w:pPr>
    </w:p>
    <w:p w14:paraId="74EC0B70"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2. </w:t>
      </w:r>
      <w:r w:rsidR="00F5167F" w:rsidRPr="00E845ED">
        <w:rPr>
          <w:b/>
          <w:bCs/>
          <w:sz w:val="22"/>
          <w:szCs w:val="22"/>
          <w:lang w:val="sr-Latn-ME"/>
        </w:rPr>
        <w:tab/>
      </w:r>
      <w:r w:rsidRPr="00E845ED">
        <w:rPr>
          <w:b/>
          <w:bCs/>
          <w:sz w:val="22"/>
          <w:szCs w:val="22"/>
          <w:lang w:val="sr-Latn-ME"/>
        </w:rPr>
        <w:t>KVALITATIVNI I KVANTITATIVNI SASTAV</w:t>
      </w:r>
    </w:p>
    <w:p w14:paraId="1E7FABA5" w14:textId="77777777" w:rsidR="005A0B2E" w:rsidRPr="00E845ED" w:rsidRDefault="005A0B2E" w:rsidP="00D542D8">
      <w:pPr>
        <w:jc w:val="both"/>
        <w:rPr>
          <w:sz w:val="22"/>
          <w:szCs w:val="22"/>
          <w:lang w:val="sr-Latn-ME"/>
        </w:rPr>
      </w:pPr>
    </w:p>
    <w:p w14:paraId="38055A55" w14:textId="347DBF37" w:rsidR="003A6AED" w:rsidRPr="00E845ED" w:rsidRDefault="003A6AED" w:rsidP="00D542D8">
      <w:pPr>
        <w:jc w:val="both"/>
        <w:rPr>
          <w:sz w:val="22"/>
          <w:szCs w:val="22"/>
          <w:lang w:val="sr-Latn-ME"/>
        </w:rPr>
      </w:pPr>
      <w:r w:rsidRPr="00E845ED">
        <w:rPr>
          <w:sz w:val="22"/>
          <w:szCs w:val="22"/>
          <w:lang w:val="sr-Latn-ME"/>
        </w:rPr>
        <w:t xml:space="preserve">1 ml rastvora </w:t>
      </w:r>
      <w:r w:rsidR="001177DE" w:rsidRPr="00E845ED">
        <w:rPr>
          <w:sz w:val="22"/>
          <w:szCs w:val="22"/>
          <w:lang w:val="sr-Latn-ME"/>
        </w:rPr>
        <w:t xml:space="preserve">za injekciju/infuziju </w:t>
      </w:r>
      <w:r w:rsidRPr="00E845ED">
        <w:rPr>
          <w:sz w:val="22"/>
          <w:szCs w:val="22"/>
          <w:lang w:val="sr-Latn-ME"/>
        </w:rPr>
        <w:t>sadrži 10 mg rokuronijum bromida.</w:t>
      </w:r>
    </w:p>
    <w:p w14:paraId="40673529" w14:textId="3F015A16" w:rsidR="003A6AED" w:rsidRPr="00E845ED" w:rsidRDefault="003A6AED" w:rsidP="00D542D8">
      <w:pPr>
        <w:jc w:val="both"/>
        <w:rPr>
          <w:sz w:val="22"/>
          <w:szCs w:val="22"/>
          <w:lang w:val="sr-Latn-ME"/>
        </w:rPr>
      </w:pPr>
      <w:r w:rsidRPr="00E845ED">
        <w:rPr>
          <w:sz w:val="22"/>
          <w:szCs w:val="22"/>
          <w:lang w:val="sr-Latn-ME"/>
        </w:rPr>
        <w:t xml:space="preserve">Svaka bočica </w:t>
      </w:r>
      <w:r w:rsidR="006464F2" w:rsidRPr="00E845ED">
        <w:rPr>
          <w:sz w:val="22"/>
          <w:szCs w:val="22"/>
          <w:lang w:val="sr-Latn-ME"/>
        </w:rPr>
        <w:t>sa</w:t>
      </w:r>
      <w:r w:rsidRPr="00E845ED">
        <w:rPr>
          <w:sz w:val="22"/>
          <w:szCs w:val="22"/>
          <w:lang w:val="sr-Latn-ME"/>
        </w:rPr>
        <w:t xml:space="preserve"> 5 ml rastvora sadrži 50 mg rokuronijum bromida.</w:t>
      </w:r>
    </w:p>
    <w:p w14:paraId="526F4E45" w14:textId="77777777" w:rsidR="003A6AED" w:rsidRPr="00E845ED" w:rsidRDefault="003A6AED" w:rsidP="00D542D8">
      <w:pPr>
        <w:jc w:val="both"/>
        <w:rPr>
          <w:sz w:val="22"/>
          <w:szCs w:val="22"/>
          <w:lang w:val="sr-Latn-ME"/>
        </w:rPr>
      </w:pPr>
    </w:p>
    <w:p w14:paraId="131A87E2" w14:textId="08F9726B" w:rsidR="003A6AED" w:rsidRPr="00E845ED" w:rsidRDefault="003A6AED" w:rsidP="00D542D8">
      <w:pPr>
        <w:jc w:val="both"/>
        <w:rPr>
          <w:sz w:val="22"/>
          <w:szCs w:val="22"/>
          <w:lang w:val="sr-Latn-ME"/>
        </w:rPr>
      </w:pPr>
      <w:r w:rsidRPr="00E845ED">
        <w:rPr>
          <w:sz w:val="22"/>
          <w:szCs w:val="22"/>
          <w:lang w:val="sr-Latn-ME"/>
        </w:rPr>
        <w:t>Pomoćn</w:t>
      </w:r>
      <w:r w:rsidR="009356B2" w:rsidRPr="00E845ED">
        <w:rPr>
          <w:sz w:val="22"/>
          <w:szCs w:val="22"/>
          <w:lang w:val="sr-Latn-ME"/>
        </w:rPr>
        <w:t>a</w:t>
      </w:r>
      <w:r w:rsidRPr="00E845ED">
        <w:rPr>
          <w:sz w:val="22"/>
          <w:szCs w:val="22"/>
          <w:lang w:val="sr-Latn-ME"/>
        </w:rPr>
        <w:t xml:space="preserve"> s</w:t>
      </w:r>
      <w:r w:rsidR="009356B2" w:rsidRPr="00E845ED">
        <w:rPr>
          <w:sz w:val="22"/>
          <w:szCs w:val="22"/>
          <w:lang w:val="sr-Latn-ME"/>
        </w:rPr>
        <w:t>uspstanca</w:t>
      </w:r>
      <w:r w:rsidRPr="00E845ED">
        <w:rPr>
          <w:sz w:val="22"/>
          <w:szCs w:val="22"/>
          <w:lang w:val="sr-Latn-ME"/>
        </w:rPr>
        <w:t xml:space="preserve"> sa </w:t>
      </w:r>
      <w:r w:rsidR="009356B2" w:rsidRPr="00E845ED">
        <w:rPr>
          <w:sz w:val="22"/>
          <w:szCs w:val="22"/>
          <w:lang w:val="sr-Latn-ME"/>
        </w:rPr>
        <w:t>potvrđenim</w:t>
      </w:r>
      <w:r w:rsidRPr="00E845ED">
        <w:rPr>
          <w:sz w:val="22"/>
          <w:szCs w:val="22"/>
          <w:lang w:val="sr-Latn-ME"/>
        </w:rPr>
        <w:t xml:space="preserve"> dejstvom: 1 ml sadrži 1,64 mg natrijuma.</w:t>
      </w:r>
    </w:p>
    <w:p w14:paraId="2B6B735A" w14:textId="77777777" w:rsidR="003A6AED" w:rsidRPr="00E845ED" w:rsidRDefault="003A6AED" w:rsidP="00D542D8">
      <w:pPr>
        <w:jc w:val="both"/>
        <w:rPr>
          <w:sz w:val="22"/>
          <w:szCs w:val="22"/>
          <w:lang w:val="sr-Latn-ME"/>
        </w:rPr>
      </w:pPr>
      <w:r w:rsidRPr="00E845ED">
        <w:rPr>
          <w:sz w:val="22"/>
          <w:szCs w:val="22"/>
          <w:lang w:val="sr-Latn-ME"/>
        </w:rPr>
        <w:t>Za spisak svih ekscipijenasa, pogledati dio 6.1.</w:t>
      </w:r>
    </w:p>
    <w:p w14:paraId="34ECFA65" w14:textId="77777777" w:rsidR="00C37FD7" w:rsidRPr="00E845ED" w:rsidRDefault="00C37FD7" w:rsidP="00D542D8">
      <w:pPr>
        <w:jc w:val="both"/>
        <w:rPr>
          <w:sz w:val="22"/>
          <w:szCs w:val="22"/>
          <w:lang w:val="sr-Latn-ME"/>
        </w:rPr>
      </w:pPr>
    </w:p>
    <w:p w14:paraId="024EB223"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3. </w:t>
      </w:r>
      <w:r w:rsidR="00F5167F" w:rsidRPr="00E845ED">
        <w:rPr>
          <w:b/>
          <w:bCs/>
          <w:sz w:val="22"/>
          <w:szCs w:val="22"/>
          <w:lang w:val="sr-Latn-ME"/>
        </w:rPr>
        <w:tab/>
      </w:r>
      <w:r w:rsidRPr="00E845ED">
        <w:rPr>
          <w:b/>
          <w:bCs/>
          <w:sz w:val="22"/>
          <w:szCs w:val="22"/>
          <w:lang w:val="sr-Latn-ME"/>
        </w:rPr>
        <w:t>FARMACEUTSKI OBLIK</w:t>
      </w:r>
      <w:r w:rsidR="009F2D23" w:rsidRPr="00E845ED">
        <w:rPr>
          <w:b/>
          <w:bCs/>
          <w:sz w:val="22"/>
          <w:szCs w:val="22"/>
          <w:lang w:val="sr-Latn-ME"/>
        </w:rPr>
        <w:t xml:space="preserve"> </w:t>
      </w:r>
    </w:p>
    <w:p w14:paraId="20149A18" w14:textId="372F379A" w:rsidR="00411B4B" w:rsidRPr="00E845ED" w:rsidRDefault="00411B4B" w:rsidP="00D542D8">
      <w:pPr>
        <w:jc w:val="both"/>
        <w:rPr>
          <w:bCs/>
          <w:sz w:val="22"/>
          <w:szCs w:val="22"/>
          <w:lang w:val="sr-Latn-ME"/>
        </w:rPr>
      </w:pPr>
    </w:p>
    <w:p w14:paraId="05D3D008" w14:textId="77777777" w:rsidR="003A6AED" w:rsidRPr="00E845ED" w:rsidRDefault="003A6AED" w:rsidP="005C47CD">
      <w:pPr>
        <w:jc w:val="both"/>
        <w:rPr>
          <w:rFonts w:eastAsiaTheme="minorHAnsi"/>
          <w:sz w:val="22"/>
          <w:szCs w:val="22"/>
          <w:lang w:val="sr-Latn-ME"/>
        </w:rPr>
      </w:pPr>
      <w:r w:rsidRPr="00E845ED">
        <w:rPr>
          <w:rFonts w:eastAsiaTheme="minorHAnsi"/>
          <w:sz w:val="22"/>
          <w:szCs w:val="22"/>
          <w:lang w:val="sr-Latn-ME"/>
        </w:rPr>
        <w:t>Rastvor za injekciju/infuziju.</w:t>
      </w:r>
    </w:p>
    <w:p w14:paraId="29E06E5E" w14:textId="3E5ECC86" w:rsidR="003A6AED" w:rsidRPr="00E845ED" w:rsidRDefault="003A6AED" w:rsidP="000B2BC5">
      <w:pPr>
        <w:jc w:val="both"/>
        <w:rPr>
          <w:rFonts w:eastAsiaTheme="minorHAnsi"/>
          <w:sz w:val="22"/>
          <w:szCs w:val="22"/>
          <w:lang w:val="sr-Latn-ME"/>
        </w:rPr>
      </w:pPr>
      <w:r w:rsidRPr="00E845ED">
        <w:rPr>
          <w:rFonts w:eastAsiaTheme="minorHAnsi"/>
          <w:sz w:val="22"/>
          <w:szCs w:val="22"/>
          <w:lang w:val="sr-Latn-ME"/>
        </w:rPr>
        <w:t xml:space="preserve">Bistar, bezbojan </w:t>
      </w:r>
      <w:r w:rsidR="00C42FA1">
        <w:rPr>
          <w:rFonts w:eastAsiaTheme="minorHAnsi"/>
          <w:sz w:val="22"/>
          <w:szCs w:val="22"/>
          <w:lang w:val="sr-Latn-ME"/>
        </w:rPr>
        <w:t>do</w:t>
      </w:r>
      <w:r w:rsidRPr="00E845ED">
        <w:rPr>
          <w:rFonts w:eastAsiaTheme="minorHAnsi"/>
          <w:sz w:val="22"/>
          <w:szCs w:val="22"/>
          <w:lang w:val="sr-Latn-ME"/>
        </w:rPr>
        <w:t xml:space="preserve"> žućkast rastvor, bez vidljivih čestica. </w:t>
      </w:r>
    </w:p>
    <w:p w14:paraId="21F6CD1D" w14:textId="77777777" w:rsidR="003A6AED" w:rsidRPr="00E845ED" w:rsidRDefault="003A6AED">
      <w:pPr>
        <w:jc w:val="both"/>
        <w:rPr>
          <w:rFonts w:eastAsiaTheme="minorHAnsi"/>
          <w:sz w:val="22"/>
          <w:szCs w:val="22"/>
          <w:lang w:val="sr-Latn-ME"/>
        </w:rPr>
      </w:pPr>
      <w:r w:rsidRPr="00E845ED">
        <w:rPr>
          <w:rFonts w:eastAsiaTheme="minorHAnsi"/>
          <w:sz w:val="22"/>
          <w:szCs w:val="22"/>
          <w:lang w:val="sr-Latn-ME"/>
        </w:rPr>
        <w:t>pH rastvora je 3,8-4,2.</w:t>
      </w:r>
    </w:p>
    <w:p w14:paraId="2974EDCE" w14:textId="360B1B65" w:rsidR="003A6AED" w:rsidRPr="00E845ED" w:rsidRDefault="003A6AED" w:rsidP="00D542D8">
      <w:pPr>
        <w:jc w:val="both"/>
        <w:rPr>
          <w:bCs/>
          <w:sz w:val="22"/>
          <w:szCs w:val="22"/>
          <w:lang w:val="sr-Latn-ME"/>
        </w:rPr>
      </w:pPr>
      <w:r w:rsidRPr="00E845ED">
        <w:rPr>
          <w:rFonts w:eastAsiaTheme="minorHAnsi"/>
          <w:sz w:val="22"/>
          <w:szCs w:val="22"/>
          <w:lang w:val="sr-Latn-ME"/>
        </w:rPr>
        <w:t>Osmolalnost</w:t>
      </w:r>
      <w:r w:rsidR="00180199" w:rsidRPr="00E845ED">
        <w:rPr>
          <w:rFonts w:eastAsiaTheme="minorHAnsi"/>
          <w:sz w:val="22"/>
          <w:szCs w:val="22"/>
          <w:lang w:val="sr-Latn-ME"/>
        </w:rPr>
        <w:t xml:space="preserve"> rastvora</w:t>
      </w:r>
      <w:r w:rsidRPr="00E845ED">
        <w:rPr>
          <w:rFonts w:eastAsiaTheme="minorHAnsi"/>
          <w:sz w:val="22"/>
          <w:szCs w:val="22"/>
          <w:lang w:val="sr-Latn-ME"/>
        </w:rPr>
        <w:t xml:space="preserve"> je približno 280 mOsm/kg.</w:t>
      </w:r>
    </w:p>
    <w:p w14:paraId="51685918" w14:textId="77777777" w:rsidR="00EC2532" w:rsidRPr="00E845ED" w:rsidRDefault="00EC2532" w:rsidP="00D542D8">
      <w:pPr>
        <w:jc w:val="both"/>
        <w:rPr>
          <w:bCs/>
          <w:sz w:val="22"/>
          <w:szCs w:val="22"/>
          <w:lang w:val="sr-Latn-ME"/>
        </w:rPr>
      </w:pPr>
    </w:p>
    <w:p w14:paraId="2B2EDE6A"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4. </w:t>
      </w:r>
      <w:r w:rsidR="00480FB1" w:rsidRPr="00E845ED">
        <w:rPr>
          <w:b/>
          <w:bCs/>
          <w:sz w:val="22"/>
          <w:szCs w:val="22"/>
          <w:lang w:val="sr-Latn-ME"/>
        </w:rPr>
        <w:tab/>
      </w:r>
      <w:r w:rsidRPr="00E845ED">
        <w:rPr>
          <w:b/>
          <w:bCs/>
          <w:sz w:val="22"/>
          <w:szCs w:val="22"/>
          <w:lang w:val="sr-Latn-ME"/>
        </w:rPr>
        <w:t>KLINIČKI PODACI</w:t>
      </w:r>
    </w:p>
    <w:p w14:paraId="4017432D" w14:textId="77777777" w:rsidR="00CD6F02" w:rsidRPr="00E845ED" w:rsidRDefault="00CD6F02" w:rsidP="00D542D8">
      <w:pPr>
        <w:tabs>
          <w:tab w:val="left" w:pos="540"/>
          <w:tab w:val="left" w:pos="569"/>
        </w:tabs>
        <w:jc w:val="both"/>
        <w:rPr>
          <w:bCs/>
          <w:sz w:val="22"/>
          <w:szCs w:val="22"/>
          <w:lang w:val="sr-Latn-ME"/>
        </w:rPr>
      </w:pPr>
    </w:p>
    <w:p w14:paraId="5778F7CD"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4.1. </w:t>
      </w:r>
      <w:r w:rsidR="00480FB1" w:rsidRPr="00E845ED">
        <w:rPr>
          <w:b/>
          <w:bCs/>
          <w:sz w:val="22"/>
          <w:szCs w:val="22"/>
          <w:lang w:val="sr-Latn-ME"/>
        </w:rPr>
        <w:tab/>
      </w:r>
      <w:r w:rsidRPr="00E845ED">
        <w:rPr>
          <w:b/>
          <w:bCs/>
          <w:sz w:val="22"/>
          <w:szCs w:val="22"/>
          <w:lang w:val="sr-Latn-ME"/>
        </w:rPr>
        <w:t>Terapijske indikacije</w:t>
      </w:r>
    </w:p>
    <w:p w14:paraId="56C7673C" w14:textId="45EE77FE" w:rsidR="00411B4B" w:rsidRPr="00E845ED" w:rsidRDefault="00411B4B" w:rsidP="00D542D8">
      <w:pPr>
        <w:tabs>
          <w:tab w:val="left" w:pos="540"/>
          <w:tab w:val="left" w:pos="569"/>
        </w:tabs>
        <w:jc w:val="both"/>
        <w:rPr>
          <w:bCs/>
          <w:sz w:val="22"/>
          <w:szCs w:val="22"/>
          <w:lang w:val="sr-Latn-ME"/>
        </w:rPr>
      </w:pPr>
    </w:p>
    <w:p w14:paraId="687E2602" w14:textId="71117946" w:rsidR="003A6AED" w:rsidRPr="00E845ED" w:rsidRDefault="00D46D2D" w:rsidP="005C47CD">
      <w:pPr>
        <w:tabs>
          <w:tab w:val="left" w:pos="540"/>
          <w:tab w:val="left" w:pos="569"/>
        </w:tabs>
        <w:jc w:val="both"/>
        <w:rPr>
          <w:bCs/>
          <w:sz w:val="22"/>
          <w:szCs w:val="22"/>
          <w:lang w:val="sr-Latn-ME"/>
        </w:rPr>
      </w:pPr>
      <w:r w:rsidRPr="00E845ED">
        <w:rPr>
          <w:bCs/>
          <w:sz w:val="22"/>
          <w:szCs w:val="22"/>
          <w:lang w:val="sr-Latn-ME"/>
        </w:rPr>
        <w:t xml:space="preserve">Lijek </w:t>
      </w:r>
      <w:r w:rsidR="003A6AED" w:rsidRPr="00E845ED">
        <w:rPr>
          <w:bCs/>
          <w:sz w:val="22"/>
          <w:szCs w:val="22"/>
          <w:lang w:val="sr-Latn-ME"/>
        </w:rPr>
        <w:t>Rokuronijum bromid</w:t>
      </w:r>
      <w:r w:rsidRPr="00E845ED">
        <w:rPr>
          <w:bCs/>
          <w:sz w:val="22"/>
          <w:szCs w:val="22"/>
          <w:lang w:val="sr-Latn-ME"/>
        </w:rPr>
        <w:t>e</w:t>
      </w:r>
      <w:r w:rsidR="008957A3" w:rsidRPr="00E845ED">
        <w:rPr>
          <w:bCs/>
          <w:sz w:val="22"/>
          <w:szCs w:val="22"/>
          <w:lang w:val="sr-Latn-ME"/>
        </w:rPr>
        <w:t xml:space="preserve"> Kalceks</w:t>
      </w:r>
      <w:r w:rsidR="003A6AED" w:rsidRPr="00E845ED">
        <w:rPr>
          <w:bCs/>
          <w:sz w:val="22"/>
          <w:szCs w:val="22"/>
          <w:lang w:val="sr-Latn-ME"/>
        </w:rPr>
        <w:t xml:space="preserve"> je indikovan za primjenu kod odraslih i pedijatrijskih pacijenata (od novorođenčadi do adolescenata [0 do &lt;18 godina]) kao dodatak opštoj anesteziji</w:t>
      </w:r>
      <w:r w:rsidR="00180199" w:rsidRPr="00E845ED">
        <w:rPr>
          <w:lang w:val="sr-Latn-ME"/>
        </w:rPr>
        <w:t xml:space="preserve"> </w:t>
      </w:r>
      <w:r w:rsidR="00180199" w:rsidRPr="00E845ED">
        <w:rPr>
          <w:bCs/>
          <w:sz w:val="22"/>
          <w:szCs w:val="22"/>
          <w:lang w:val="sr-Latn-ME"/>
        </w:rPr>
        <w:t>za olakšavanje trahealne intubacije</w:t>
      </w:r>
      <w:r w:rsidR="003A6AED" w:rsidRPr="00E845ED">
        <w:rPr>
          <w:bCs/>
          <w:sz w:val="22"/>
          <w:szCs w:val="22"/>
          <w:lang w:val="sr-Latn-ME"/>
        </w:rPr>
        <w:t xml:space="preserve"> tokom rutinskog uvođenja u anesteziju i za obezb</w:t>
      </w:r>
      <w:r w:rsidRPr="00E845ED">
        <w:rPr>
          <w:bCs/>
          <w:sz w:val="22"/>
          <w:szCs w:val="22"/>
          <w:lang w:val="sr-Latn-ME"/>
        </w:rPr>
        <w:t>j</w:t>
      </w:r>
      <w:r w:rsidR="003A6AED" w:rsidRPr="00E845ED">
        <w:rPr>
          <w:bCs/>
          <w:sz w:val="22"/>
          <w:szCs w:val="22"/>
          <w:lang w:val="sr-Latn-ME"/>
        </w:rPr>
        <w:t xml:space="preserve">eđenje relaksacije </w:t>
      </w:r>
      <w:r w:rsidR="00180199" w:rsidRPr="00E845ED">
        <w:rPr>
          <w:bCs/>
          <w:sz w:val="22"/>
          <w:szCs w:val="22"/>
          <w:lang w:val="sr-Latn-ME"/>
        </w:rPr>
        <w:t>skeletne muskulature tokom hirurške intervencije</w:t>
      </w:r>
      <w:r w:rsidR="003A6AED" w:rsidRPr="00E845ED">
        <w:rPr>
          <w:bCs/>
          <w:sz w:val="22"/>
          <w:szCs w:val="22"/>
          <w:lang w:val="sr-Latn-ME"/>
        </w:rPr>
        <w:t xml:space="preserve">. </w:t>
      </w:r>
      <w:r w:rsidR="00180199" w:rsidRPr="00E845ED">
        <w:rPr>
          <w:bCs/>
          <w:sz w:val="22"/>
          <w:szCs w:val="22"/>
          <w:lang w:val="sr-Latn-ME"/>
        </w:rPr>
        <w:t>Takođe, kod odraslih, l</w:t>
      </w:r>
      <w:r w:rsidR="00505F22" w:rsidRPr="00E845ED">
        <w:rPr>
          <w:bCs/>
          <w:sz w:val="22"/>
          <w:szCs w:val="22"/>
          <w:lang w:val="sr-Latn-ME"/>
        </w:rPr>
        <w:t>ij</w:t>
      </w:r>
      <w:r w:rsidR="00180199" w:rsidRPr="00E845ED">
        <w:rPr>
          <w:bCs/>
          <w:sz w:val="22"/>
          <w:szCs w:val="22"/>
          <w:lang w:val="sr-Latn-ME"/>
        </w:rPr>
        <w:t>ek Rocuronium bromide Kalceks je indikovan za olakšavanje trahealne intubacije tokom brzog uvođenja u anesteziju i kao dodatak u jedinicama intenzivne n</w:t>
      </w:r>
      <w:r w:rsidR="008957A3" w:rsidRPr="00E845ED">
        <w:rPr>
          <w:bCs/>
          <w:sz w:val="22"/>
          <w:szCs w:val="22"/>
          <w:lang w:val="sr-Latn-ME"/>
        </w:rPr>
        <w:t>j</w:t>
      </w:r>
      <w:r w:rsidR="00180199" w:rsidRPr="00E845ED">
        <w:rPr>
          <w:bCs/>
          <w:sz w:val="22"/>
          <w:szCs w:val="22"/>
          <w:lang w:val="sr-Latn-ME"/>
        </w:rPr>
        <w:t>ege (JIN), za olakšavanje intubacije i mehaničke ventilacije</w:t>
      </w:r>
      <w:r w:rsidR="003A6AED" w:rsidRPr="00E845ED">
        <w:rPr>
          <w:bCs/>
          <w:sz w:val="22"/>
          <w:szCs w:val="22"/>
          <w:lang w:val="sr-Latn-ME"/>
        </w:rPr>
        <w:t>.</w:t>
      </w:r>
    </w:p>
    <w:p w14:paraId="269DF5FB" w14:textId="77777777" w:rsidR="003A6AED" w:rsidRPr="00E845ED" w:rsidRDefault="003A6AED" w:rsidP="00D542D8">
      <w:pPr>
        <w:tabs>
          <w:tab w:val="left" w:pos="540"/>
          <w:tab w:val="left" w:pos="569"/>
        </w:tabs>
        <w:jc w:val="both"/>
        <w:rPr>
          <w:bCs/>
          <w:sz w:val="22"/>
          <w:szCs w:val="22"/>
          <w:lang w:val="sr-Latn-ME"/>
        </w:rPr>
      </w:pPr>
    </w:p>
    <w:p w14:paraId="3AD05AFD"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4.2. </w:t>
      </w:r>
      <w:r w:rsidR="00480FB1" w:rsidRPr="00E845ED">
        <w:rPr>
          <w:b/>
          <w:bCs/>
          <w:sz w:val="22"/>
          <w:szCs w:val="22"/>
          <w:lang w:val="sr-Latn-ME"/>
        </w:rPr>
        <w:tab/>
      </w:r>
      <w:r w:rsidRPr="00E845ED">
        <w:rPr>
          <w:b/>
          <w:bCs/>
          <w:sz w:val="22"/>
          <w:szCs w:val="22"/>
          <w:lang w:val="sr-Latn-ME"/>
        </w:rPr>
        <w:t>Doziranje i način primjene</w:t>
      </w:r>
    </w:p>
    <w:p w14:paraId="663F6EDB" w14:textId="77777777" w:rsidR="0072020E" w:rsidRPr="00E845ED" w:rsidRDefault="0072020E" w:rsidP="00D542D8">
      <w:pPr>
        <w:tabs>
          <w:tab w:val="left" w:pos="540"/>
          <w:tab w:val="left" w:pos="569"/>
        </w:tabs>
        <w:jc w:val="both"/>
        <w:rPr>
          <w:bCs/>
          <w:sz w:val="22"/>
          <w:szCs w:val="22"/>
          <w:lang w:val="sr-Latn-ME"/>
        </w:rPr>
      </w:pPr>
    </w:p>
    <w:p w14:paraId="2A8CA452" w14:textId="77777777" w:rsidR="00452E9D" w:rsidRPr="00E845ED" w:rsidRDefault="00452E9D" w:rsidP="005C47CD">
      <w:pPr>
        <w:tabs>
          <w:tab w:val="left" w:pos="540"/>
          <w:tab w:val="left" w:pos="569"/>
        </w:tabs>
        <w:jc w:val="both"/>
        <w:rPr>
          <w:bCs/>
          <w:sz w:val="22"/>
          <w:szCs w:val="22"/>
          <w:u w:val="single"/>
          <w:lang w:val="sr-Latn-ME"/>
        </w:rPr>
      </w:pPr>
      <w:r w:rsidRPr="00E845ED">
        <w:rPr>
          <w:bCs/>
          <w:sz w:val="22"/>
          <w:szCs w:val="22"/>
          <w:u w:val="single"/>
          <w:lang w:val="sr-Latn-ME"/>
        </w:rPr>
        <w:t>Doziranje</w:t>
      </w:r>
    </w:p>
    <w:p w14:paraId="3CE7E181" w14:textId="7FE5289C" w:rsidR="003A6AED" w:rsidRPr="00E845ED" w:rsidRDefault="008957A3" w:rsidP="000B2BC5">
      <w:pPr>
        <w:jc w:val="both"/>
        <w:rPr>
          <w:rFonts w:eastAsiaTheme="minorHAnsi"/>
          <w:sz w:val="22"/>
          <w:szCs w:val="22"/>
          <w:lang w:val="sr-Latn-ME"/>
        </w:rPr>
      </w:pPr>
      <w:r w:rsidRPr="00E845ED">
        <w:rPr>
          <w:sz w:val="22"/>
          <w:szCs w:val="22"/>
          <w:lang w:val="sr-Latn-ME"/>
        </w:rPr>
        <w:t>Kao i drugi neuromuskularni blokatori</w:t>
      </w:r>
      <w:r w:rsidR="003A6AED" w:rsidRPr="00E845ED">
        <w:rPr>
          <w:rFonts w:eastAsiaTheme="minorHAnsi"/>
          <w:sz w:val="22"/>
          <w:szCs w:val="22"/>
          <w:lang w:val="sr-Latn-ME"/>
        </w:rPr>
        <w:t xml:space="preserve">, </w:t>
      </w:r>
      <w:r w:rsidR="00180199" w:rsidRPr="00E845ED">
        <w:rPr>
          <w:rFonts w:eastAsiaTheme="minorHAnsi"/>
          <w:sz w:val="22"/>
          <w:szCs w:val="22"/>
          <w:lang w:val="sr-Latn-ME"/>
        </w:rPr>
        <w:t>lijek R</w:t>
      </w:r>
      <w:r w:rsidR="003A6AED" w:rsidRPr="00E845ED">
        <w:rPr>
          <w:rFonts w:eastAsiaTheme="minorHAnsi"/>
          <w:sz w:val="22"/>
          <w:szCs w:val="22"/>
          <w:lang w:val="sr-Latn-ME"/>
        </w:rPr>
        <w:t>okuronijum bromid</w:t>
      </w:r>
      <w:r w:rsidRPr="00E845ED">
        <w:rPr>
          <w:rFonts w:eastAsiaTheme="minorHAnsi"/>
          <w:sz w:val="22"/>
          <w:szCs w:val="22"/>
          <w:lang w:val="sr-Latn-ME"/>
        </w:rPr>
        <w:t>e</w:t>
      </w:r>
      <w:r w:rsidRPr="00E845ED">
        <w:rPr>
          <w:bCs/>
          <w:sz w:val="22"/>
          <w:szCs w:val="22"/>
          <w:lang w:val="sr-Latn-ME"/>
        </w:rPr>
        <w:t xml:space="preserve"> Kalceks</w:t>
      </w:r>
      <w:r w:rsidR="003A6AED" w:rsidRPr="00E845ED">
        <w:rPr>
          <w:rFonts w:eastAsiaTheme="minorHAnsi"/>
          <w:sz w:val="22"/>
          <w:szCs w:val="22"/>
          <w:lang w:val="sr-Latn-ME"/>
        </w:rPr>
        <w:t xml:space="preserve"> treba da bude primjenjivan isključivo </w:t>
      </w:r>
      <w:r w:rsidRPr="00E845ED">
        <w:rPr>
          <w:rFonts w:eastAsiaTheme="minorHAnsi"/>
          <w:sz w:val="22"/>
          <w:szCs w:val="22"/>
          <w:lang w:val="sr-Latn-ME"/>
        </w:rPr>
        <w:t>od strane ili pod nadzorom kliničkog l</w:t>
      </w:r>
      <w:r w:rsidR="00B974AC" w:rsidRPr="00E845ED">
        <w:rPr>
          <w:rFonts w:eastAsiaTheme="minorHAnsi"/>
          <w:sz w:val="22"/>
          <w:szCs w:val="22"/>
          <w:lang w:val="sr-Latn-ME"/>
        </w:rPr>
        <w:t>j</w:t>
      </w:r>
      <w:r w:rsidRPr="00E845ED">
        <w:rPr>
          <w:rFonts w:eastAsiaTheme="minorHAnsi"/>
          <w:sz w:val="22"/>
          <w:szCs w:val="22"/>
          <w:lang w:val="sr-Latn-ME"/>
        </w:rPr>
        <w:t>ekara sa iskustvom, koji poznaje dejstvo i upotrebu ovih l</w:t>
      </w:r>
      <w:r w:rsidR="00B974AC" w:rsidRPr="00E845ED">
        <w:rPr>
          <w:rFonts w:eastAsiaTheme="minorHAnsi"/>
          <w:sz w:val="22"/>
          <w:szCs w:val="22"/>
          <w:lang w:val="sr-Latn-ME"/>
        </w:rPr>
        <w:t>j</w:t>
      </w:r>
      <w:r w:rsidRPr="00E845ED">
        <w:rPr>
          <w:rFonts w:eastAsiaTheme="minorHAnsi"/>
          <w:sz w:val="22"/>
          <w:szCs w:val="22"/>
          <w:lang w:val="sr-Latn-ME"/>
        </w:rPr>
        <w:t>ekova</w:t>
      </w:r>
      <w:r w:rsidR="003A6AED" w:rsidRPr="00E845ED">
        <w:rPr>
          <w:rFonts w:eastAsiaTheme="minorHAnsi"/>
          <w:sz w:val="22"/>
          <w:szCs w:val="22"/>
          <w:lang w:val="sr-Latn-ME"/>
        </w:rPr>
        <w:t>.</w:t>
      </w:r>
    </w:p>
    <w:p w14:paraId="26C2ED81" w14:textId="77777777" w:rsidR="003A6AED" w:rsidRPr="00E845ED" w:rsidRDefault="003A6AED">
      <w:pPr>
        <w:jc w:val="both"/>
        <w:rPr>
          <w:rFonts w:eastAsiaTheme="minorHAnsi"/>
          <w:color w:val="0000FF"/>
          <w:sz w:val="22"/>
          <w:szCs w:val="22"/>
          <w:lang w:val="sr-Latn-ME"/>
        </w:rPr>
      </w:pPr>
    </w:p>
    <w:p w14:paraId="32BC4BE8" w14:textId="55D91010" w:rsidR="003A6AED" w:rsidRPr="00E845ED" w:rsidRDefault="003A6AED">
      <w:pPr>
        <w:tabs>
          <w:tab w:val="left" w:pos="540"/>
          <w:tab w:val="left" w:pos="569"/>
        </w:tabs>
        <w:jc w:val="both"/>
        <w:rPr>
          <w:rFonts w:eastAsiaTheme="minorHAnsi"/>
          <w:sz w:val="22"/>
          <w:szCs w:val="22"/>
          <w:lang w:val="sr-Latn-ME"/>
        </w:rPr>
      </w:pPr>
      <w:r w:rsidRPr="00E845ED">
        <w:rPr>
          <w:rFonts w:eastAsiaTheme="minorHAnsi"/>
          <w:sz w:val="22"/>
          <w:szCs w:val="22"/>
          <w:lang w:val="sr-Latn-ME"/>
        </w:rPr>
        <w:t xml:space="preserve">Kao i kod drugih neuromuskularnih blokatora, doziranje </w:t>
      </w:r>
      <w:r w:rsidR="005C47CD" w:rsidRPr="00E845ED">
        <w:rPr>
          <w:rFonts w:eastAsiaTheme="minorHAnsi"/>
          <w:sz w:val="22"/>
          <w:szCs w:val="22"/>
          <w:lang w:val="sr-Latn-ME"/>
        </w:rPr>
        <w:t>R</w:t>
      </w:r>
      <w:r w:rsidRPr="00E845ED">
        <w:rPr>
          <w:rFonts w:eastAsiaTheme="minorHAnsi"/>
          <w:sz w:val="22"/>
          <w:szCs w:val="22"/>
          <w:lang w:val="sr-Latn-ME"/>
        </w:rPr>
        <w:t xml:space="preserve">okuronijum bromida treba </w:t>
      </w:r>
      <w:r w:rsidR="00B974AC" w:rsidRPr="00E845ED">
        <w:rPr>
          <w:rFonts w:eastAsiaTheme="minorHAnsi"/>
          <w:sz w:val="22"/>
          <w:szCs w:val="22"/>
          <w:lang w:val="sr-Latn-ME"/>
        </w:rPr>
        <w:t>da bude individualno za svakog pacijenta. Pri određivanju doze treba uzeti u obzir metodu anestezije, očekivano trajanje hirurške intervencije, način sedacije i očekivano trajanje mehaničke ventilacije, moguću interakciju sa drugim l</w:t>
      </w:r>
      <w:r w:rsidR="007655FC" w:rsidRPr="00E845ED">
        <w:rPr>
          <w:rFonts w:eastAsiaTheme="minorHAnsi"/>
          <w:sz w:val="22"/>
          <w:szCs w:val="22"/>
          <w:lang w:val="sr-Latn-ME"/>
        </w:rPr>
        <w:t>j</w:t>
      </w:r>
      <w:r w:rsidR="00B974AC" w:rsidRPr="00E845ED">
        <w:rPr>
          <w:rFonts w:eastAsiaTheme="minorHAnsi"/>
          <w:sz w:val="22"/>
          <w:szCs w:val="22"/>
          <w:lang w:val="sr-Latn-ME"/>
        </w:rPr>
        <w:t>ekovima koji se prim</w:t>
      </w:r>
      <w:r w:rsidR="00FB1926" w:rsidRPr="00E845ED">
        <w:rPr>
          <w:rFonts w:eastAsiaTheme="minorHAnsi"/>
          <w:sz w:val="22"/>
          <w:szCs w:val="22"/>
          <w:lang w:val="sr-Latn-ME"/>
        </w:rPr>
        <w:t>j</w:t>
      </w:r>
      <w:r w:rsidR="00B974AC" w:rsidRPr="00E845ED">
        <w:rPr>
          <w:rFonts w:eastAsiaTheme="minorHAnsi"/>
          <w:sz w:val="22"/>
          <w:szCs w:val="22"/>
          <w:lang w:val="sr-Latn-ME"/>
        </w:rPr>
        <w:t>enjuju istovremeno i stanje pacijenta</w:t>
      </w:r>
      <w:r w:rsidRPr="00E845ED">
        <w:rPr>
          <w:rFonts w:eastAsiaTheme="minorHAnsi"/>
          <w:sz w:val="22"/>
          <w:szCs w:val="22"/>
          <w:lang w:val="sr-Latn-ME"/>
        </w:rPr>
        <w:t>.</w:t>
      </w:r>
    </w:p>
    <w:p w14:paraId="7CB8D147" w14:textId="77777777" w:rsidR="003A6AED" w:rsidRPr="00E845ED" w:rsidRDefault="003A6AED">
      <w:pPr>
        <w:tabs>
          <w:tab w:val="left" w:pos="540"/>
          <w:tab w:val="left" w:pos="569"/>
        </w:tabs>
        <w:jc w:val="both"/>
        <w:rPr>
          <w:rFonts w:eastAsiaTheme="minorHAnsi"/>
          <w:sz w:val="22"/>
          <w:szCs w:val="22"/>
          <w:lang w:val="sr-Latn-ME"/>
        </w:rPr>
      </w:pPr>
    </w:p>
    <w:p w14:paraId="5941945E" w14:textId="080E2942" w:rsidR="003A6AED" w:rsidRPr="00E845ED" w:rsidRDefault="00B974AC">
      <w:pPr>
        <w:tabs>
          <w:tab w:val="left" w:pos="540"/>
          <w:tab w:val="left" w:pos="569"/>
        </w:tabs>
        <w:jc w:val="both"/>
        <w:rPr>
          <w:rFonts w:eastAsiaTheme="minorHAnsi"/>
          <w:sz w:val="22"/>
          <w:szCs w:val="22"/>
          <w:lang w:val="sr-Latn-ME"/>
        </w:rPr>
      </w:pPr>
      <w:r w:rsidRPr="00E845ED">
        <w:rPr>
          <w:rFonts w:eastAsiaTheme="minorHAnsi"/>
          <w:sz w:val="22"/>
          <w:szCs w:val="22"/>
          <w:lang w:val="sr-Latn-ME"/>
        </w:rPr>
        <w:t xml:space="preserve">Korišćenje adekvatne tehnike </w:t>
      </w:r>
      <w:r w:rsidR="00FB1926" w:rsidRPr="00E845ED">
        <w:rPr>
          <w:rFonts w:eastAsiaTheme="minorHAnsi"/>
          <w:sz w:val="22"/>
          <w:szCs w:val="22"/>
          <w:lang w:val="sr-Latn-ME"/>
        </w:rPr>
        <w:t xml:space="preserve">neuromuskularnog monitoringa </w:t>
      </w:r>
      <w:r w:rsidRPr="00E845ED">
        <w:rPr>
          <w:rFonts w:eastAsiaTheme="minorHAnsi"/>
          <w:sz w:val="22"/>
          <w:szCs w:val="22"/>
          <w:lang w:val="sr-Latn-ME"/>
        </w:rPr>
        <w:t>preporučuje</w:t>
      </w:r>
      <w:r w:rsidR="00FB1926" w:rsidRPr="00E845ED">
        <w:rPr>
          <w:rFonts w:eastAsiaTheme="minorHAnsi"/>
          <w:sz w:val="22"/>
          <w:szCs w:val="22"/>
          <w:lang w:val="sr-Latn-ME"/>
        </w:rPr>
        <w:t xml:space="preserve"> se</w:t>
      </w:r>
      <w:r w:rsidRPr="00E845ED">
        <w:rPr>
          <w:rFonts w:eastAsiaTheme="minorHAnsi"/>
          <w:sz w:val="22"/>
          <w:szCs w:val="22"/>
          <w:lang w:val="sr-Latn-ME"/>
        </w:rPr>
        <w:t xml:space="preserve"> za praćenje neuromuskularnog bloka i oporavka</w:t>
      </w:r>
      <w:r w:rsidR="003A6AED" w:rsidRPr="00E845ED">
        <w:rPr>
          <w:rFonts w:eastAsiaTheme="minorHAnsi"/>
          <w:sz w:val="22"/>
          <w:szCs w:val="22"/>
          <w:lang w:val="sr-Latn-ME"/>
        </w:rPr>
        <w:t>.</w:t>
      </w:r>
    </w:p>
    <w:p w14:paraId="43E5B27D" w14:textId="77777777" w:rsidR="003A6AED" w:rsidRPr="00E845ED" w:rsidRDefault="003A6AED">
      <w:pPr>
        <w:tabs>
          <w:tab w:val="left" w:pos="540"/>
          <w:tab w:val="left" w:pos="569"/>
        </w:tabs>
        <w:jc w:val="both"/>
        <w:rPr>
          <w:rFonts w:eastAsiaTheme="minorHAnsi"/>
          <w:sz w:val="22"/>
          <w:szCs w:val="22"/>
          <w:lang w:val="sr-Latn-ME"/>
        </w:rPr>
      </w:pPr>
    </w:p>
    <w:p w14:paraId="2F50C1FA" w14:textId="6F508734" w:rsidR="00B974AC" w:rsidRPr="00E845ED" w:rsidRDefault="00B974AC">
      <w:pPr>
        <w:tabs>
          <w:tab w:val="left" w:pos="540"/>
          <w:tab w:val="left" w:pos="569"/>
        </w:tabs>
        <w:jc w:val="both"/>
        <w:rPr>
          <w:rFonts w:eastAsiaTheme="minorHAnsi"/>
          <w:sz w:val="22"/>
          <w:szCs w:val="22"/>
          <w:lang w:val="sr-Latn-ME"/>
        </w:rPr>
      </w:pPr>
      <w:r w:rsidRPr="00E845ED">
        <w:rPr>
          <w:rFonts w:eastAsiaTheme="minorHAnsi"/>
          <w:sz w:val="22"/>
          <w:szCs w:val="22"/>
          <w:lang w:val="sr-Latn-ME"/>
        </w:rPr>
        <w:t xml:space="preserve">Inhalacioni anestetici </w:t>
      </w:r>
      <w:r w:rsidR="00FB1926" w:rsidRPr="00E845ED">
        <w:rPr>
          <w:rFonts w:eastAsiaTheme="minorHAnsi"/>
          <w:sz w:val="22"/>
          <w:szCs w:val="22"/>
          <w:lang w:val="sr-Latn-ME"/>
        </w:rPr>
        <w:t xml:space="preserve">pojačavaju neuromuskularni blok </w:t>
      </w:r>
      <w:r w:rsidRPr="00E845ED">
        <w:rPr>
          <w:rFonts w:eastAsiaTheme="minorHAnsi"/>
          <w:sz w:val="22"/>
          <w:szCs w:val="22"/>
          <w:lang w:val="sr-Latn-ME"/>
        </w:rPr>
        <w:t>l</w:t>
      </w:r>
      <w:r w:rsidR="00FB1926" w:rsidRPr="00E845ED">
        <w:rPr>
          <w:rFonts w:eastAsiaTheme="minorHAnsi"/>
          <w:sz w:val="22"/>
          <w:szCs w:val="22"/>
          <w:lang w:val="sr-Latn-ME"/>
        </w:rPr>
        <w:t>ij</w:t>
      </w:r>
      <w:r w:rsidRPr="00E845ED">
        <w:rPr>
          <w:rFonts w:eastAsiaTheme="minorHAnsi"/>
          <w:sz w:val="22"/>
          <w:szCs w:val="22"/>
          <w:lang w:val="sr-Latn-ME"/>
        </w:rPr>
        <w:t>eka Rocuronium bromide Kalceks. Ovo pojačavanje, međutim, postaje klinički relevantno tokom anestezije kada inhalacioni anestetici dostignu koncentracije u tkivima potrebne za ovu interakciju. Shodno tome, prilagođavanje doze l</w:t>
      </w:r>
      <w:r w:rsidR="00FB1926" w:rsidRPr="00E845ED">
        <w:rPr>
          <w:rFonts w:eastAsiaTheme="minorHAnsi"/>
          <w:sz w:val="22"/>
          <w:szCs w:val="22"/>
          <w:lang w:val="sr-Latn-ME"/>
        </w:rPr>
        <w:t>ij</w:t>
      </w:r>
      <w:r w:rsidRPr="00E845ED">
        <w:rPr>
          <w:rFonts w:eastAsiaTheme="minorHAnsi"/>
          <w:sz w:val="22"/>
          <w:szCs w:val="22"/>
          <w:lang w:val="sr-Latn-ME"/>
        </w:rPr>
        <w:t>eka Rocuronium bromide Kalceks treba izvesti prim</w:t>
      </w:r>
      <w:r w:rsidR="00FB1926" w:rsidRPr="00E845ED">
        <w:rPr>
          <w:rFonts w:eastAsiaTheme="minorHAnsi"/>
          <w:sz w:val="22"/>
          <w:szCs w:val="22"/>
          <w:lang w:val="sr-Latn-ME"/>
        </w:rPr>
        <w:t>j</w:t>
      </w:r>
      <w:r w:rsidRPr="00E845ED">
        <w:rPr>
          <w:rFonts w:eastAsiaTheme="minorHAnsi"/>
          <w:sz w:val="22"/>
          <w:szCs w:val="22"/>
          <w:lang w:val="sr-Latn-ME"/>
        </w:rPr>
        <w:t>enom manjih doza za održavanje u r</w:t>
      </w:r>
      <w:r w:rsidR="00FB1926" w:rsidRPr="00E845ED">
        <w:rPr>
          <w:rFonts w:eastAsiaTheme="minorHAnsi"/>
          <w:sz w:val="22"/>
          <w:szCs w:val="22"/>
          <w:lang w:val="sr-Latn-ME"/>
        </w:rPr>
        <w:t>j</w:t>
      </w:r>
      <w:r w:rsidRPr="00E845ED">
        <w:rPr>
          <w:rFonts w:eastAsiaTheme="minorHAnsi"/>
          <w:sz w:val="22"/>
          <w:szCs w:val="22"/>
          <w:lang w:val="sr-Latn-ME"/>
        </w:rPr>
        <w:t xml:space="preserve">eđim intervalima </w:t>
      </w:r>
      <w:r w:rsidRPr="00E845ED">
        <w:rPr>
          <w:rFonts w:eastAsiaTheme="minorHAnsi"/>
          <w:sz w:val="22"/>
          <w:szCs w:val="22"/>
          <w:lang w:val="sr-Latn-ME"/>
        </w:rPr>
        <w:lastRenderedPageBreak/>
        <w:t>ili sporijom infuzijom tokom dugotrajnih procedura (dužih od 1 sata) pod inhalacionom anestezijom (vid</w:t>
      </w:r>
      <w:r w:rsidR="00FB1926" w:rsidRPr="00E845ED">
        <w:rPr>
          <w:rFonts w:eastAsiaTheme="minorHAnsi"/>
          <w:sz w:val="22"/>
          <w:szCs w:val="22"/>
          <w:lang w:val="sr-Latn-ME"/>
        </w:rPr>
        <w:t>j</w:t>
      </w:r>
      <w:r w:rsidRPr="00E845ED">
        <w:rPr>
          <w:rFonts w:eastAsiaTheme="minorHAnsi"/>
          <w:sz w:val="22"/>
          <w:szCs w:val="22"/>
          <w:lang w:val="sr-Latn-ME"/>
        </w:rPr>
        <w:t xml:space="preserve">eti </w:t>
      </w:r>
      <w:r w:rsidR="005C47CD" w:rsidRPr="00E845ED">
        <w:rPr>
          <w:rFonts w:eastAsiaTheme="minorHAnsi"/>
          <w:sz w:val="22"/>
          <w:szCs w:val="22"/>
          <w:lang w:val="sr-Latn-ME"/>
        </w:rPr>
        <w:t xml:space="preserve">dio </w:t>
      </w:r>
      <w:r w:rsidRPr="00E845ED">
        <w:rPr>
          <w:rFonts w:eastAsiaTheme="minorHAnsi"/>
          <w:sz w:val="22"/>
          <w:szCs w:val="22"/>
          <w:lang w:val="sr-Latn-ME"/>
        </w:rPr>
        <w:t>4.5).</w:t>
      </w:r>
    </w:p>
    <w:p w14:paraId="5DFD452B" w14:textId="2350F826" w:rsidR="003A6AED" w:rsidRPr="00E845ED" w:rsidRDefault="00B974AC">
      <w:pPr>
        <w:tabs>
          <w:tab w:val="left" w:pos="540"/>
          <w:tab w:val="left" w:pos="569"/>
        </w:tabs>
        <w:jc w:val="both"/>
        <w:rPr>
          <w:rFonts w:eastAsiaTheme="minorHAnsi"/>
          <w:sz w:val="22"/>
          <w:szCs w:val="22"/>
          <w:lang w:val="sr-Latn-ME"/>
        </w:rPr>
      </w:pPr>
      <w:r w:rsidRPr="00E845ED">
        <w:rPr>
          <w:rFonts w:eastAsiaTheme="minorHAnsi"/>
          <w:sz w:val="22"/>
          <w:szCs w:val="22"/>
          <w:lang w:val="sr-Latn-ME"/>
        </w:rPr>
        <w:t>Kod odraslih pacijenata sl</w:t>
      </w:r>
      <w:r w:rsidR="00FB1926" w:rsidRPr="00E845ED">
        <w:rPr>
          <w:rFonts w:eastAsiaTheme="minorHAnsi"/>
          <w:sz w:val="22"/>
          <w:szCs w:val="22"/>
          <w:lang w:val="sr-Latn-ME"/>
        </w:rPr>
        <w:t>j</w:t>
      </w:r>
      <w:r w:rsidRPr="00E845ED">
        <w:rPr>
          <w:rFonts w:eastAsiaTheme="minorHAnsi"/>
          <w:sz w:val="22"/>
          <w:szCs w:val="22"/>
          <w:lang w:val="sr-Latn-ME"/>
        </w:rPr>
        <w:t>edeće preporuke za doziranje mogu služiti kao opšte sm</w:t>
      </w:r>
      <w:r w:rsidR="00FB1926" w:rsidRPr="00E845ED">
        <w:rPr>
          <w:rFonts w:eastAsiaTheme="minorHAnsi"/>
          <w:sz w:val="22"/>
          <w:szCs w:val="22"/>
          <w:lang w:val="sr-Latn-ME"/>
        </w:rPr>
        <w:t>j</w:t>
      </w:r>
      <w:r w:rsidRPr="00E845ED">
        <w:rPr>
          <w:rFonts w:eastAsiaTheme="minorHAnsi"/>
          <w:sz w:val="22"/>
          <w:szCs w:val="22"/>
          <w:lang w:val="sr-Latn-ME"/>
        </w:rPr>
        <w:t>ernice za trahealnu intubaciju i mišićnu relaksaciju tokom hirurških procedura kratkog do dugog trajanja i za upotrebu u jedinicama intenzivne n</w:t>
      </w:r>
      <w:r w:rsidR="00FB1926" w:rsidRPr="00E845ED">
        <w:rPr>
          <w:rFonts w:eastAsiaTheme="minorHAnsi"/>
          <w:sz w:val="22"/>
          <w:szCs w:val="22"/>
          <w:lang w:val="sr-Latn-ME"/>
        </w:rPr>
        <w:t>j</w:t>
      </w:r>
      <w:r w:rsidRPr="00E845ED">
        <w:rPr>
          <w:rFonts w:eastAsiaTheme="minorHAnsi"/>
          <w:sz w:val="22"/>
          <w:szCs w:val="22"/>
          <w:lang w:val="sr-Latn-ME"/>
        </w:rPr>
        <w:t>ege</w:t>
      </w:r>
      <w:r w:rsidR="003A6AED" w:rsidRPr="00E845ED">
        <w:rPr>
          <w:rFonts w:eastAsiaTheme="minorHAnsi"/>
          <w:sz w:val="22"/>
          <w:szCs w:val="22"/>
          <w:lang w:val="sr-Latn-ME"/>
        </w:rPr>
        <w:t>.</w:t>
      </w:r>
    </w:p>
    <w:p w14:paraId="585361B4" w14:textId="77777777" w:rsidR="003A6AED" w:rsidRPr="00E845ED" w:rsidRDefault="003A6AED" w:rsidP="00D542D8">
      <w:pPr>
        <w:tabs>
          <w:tab w:val="left" w:pos="540"/>
          <w:tab w:val="left" w:pos="569"/>
        </w:tabs>
        <w:jc w:val="both"/>
        <w:rPr>
          <w:rFonts w:eastAsiaTheme="minorHAnsi"/>
          <w:lang w:val="sr-Latn-ME"/>
        </w:rPr>
      </w:pPr>
    </w:p>
    <w:p w14:paraId="5E29E174" w14:textId="27E0EF05" w:rsidR="003A6AED" w:rsidRPr="00E845ED" w:rsidRDefault="003A6AED" w:rsidP="00D542D8">
      <w:pPr>
        <w:tabs>
          <w:tab w:val="left" w:pos="540"/>
          <w:tab w:val="left" w:pos="569"/>
        </w:tabs>
        <w:jc w:val="both"/>
        <w:rPr>
          <w:b/>
          <w:bCs/>
          <w:sz w:val="22"/>
          <w:szCs w:val="22"/>
          <w:lang w:val="sr-Latn-ME"/>
        </w:rPr>
      </w:pPr>
      <w:r w:rsidRPr="00E845ED">
        <w:rPr>
          <w:b/>
          <w:bCs/>
          <w:sz w:val="22"/>
          <w:szCs w:val="22"/>
          <w:lang w:val="sr-Latn-ME"/>
        </w:rPr>
        <w:t>Hirurške procedure</w:t>
      </w:r>
    </w:p>
    <w:p w14:paraId="7B3E5CD8" w14:textId="77777777" w:rsidR="00BF033C" w:rsidRPr="00E845ED" w:rsidRDefault="00BF033C" w:rsidP="00D542D8">
      <w:pPr>
        <w:tabs>
          <w:tab w:val="left" w:pos="540"/>
          <w:tab w:val="left" w:pos="569"/>
        </w:tabs>
        <w:jc w:val="both"/>
        <w:rPr>
          <w:b/>
          <w:bCs/>
          <w:sz w:val="22"/>
          <w:szCs w:val="22"/>
          <w:lang w:val="sr-Latn-ME"/>
        </w:rPr>
      </w:pPr>
    </w:p>
    <w:p w14:paraId="07BAF5D6" w14:textId="77777777" w:rsidR="003A6AED" w:rsidRPr="00E845ED" w:rsidRDefault="003A6AED" w:rsidP="005C47CD">
      <w:pPr>
        <w:tabs>
          <w:tab w:val="left" w:pos="540"/>
          <w:tab w:val="left" w:pos="569"/>
        </w:tabs>
        <w:jc w:val="both"/>
        <w:rPr>
          <w:bCs/>
          <w:sz w:val="22"/>
          <w:szCs w:val="22"/>
          <w:u w:val="single"/>
          <w:lang w:val="sr-Latn-ME"/>
        </w:rPr>
      </w:pPr>
      <w:r w:rsidRPr="00E845ED">
        <w:rPr>
          <w:bCs/>
          <w:sz w:val="22"/>
          <w:szCs w:val="22"/>
          <w:u w:val="single"/>
          <w:lang w:val="sr-Latn-ME"/>
        </w:rPr>
        <w:t>Trahealna intubacija</w:t>
      </w:r>
    </w:p>
    <w:p w14:paraId="042AF98B" w14:textId="77777777" w:rsidR="003A6AED" w:rsidRPr="00E845ED" w:rsidRDefault="003A6AED" w:rsidP="000B2BC5">
      <w:pPr>
        <w:tabs>
          <w:tab w:val="left" w:pos="540"/>
          <w:tab w:val="left" w:pos="569"/>
        </w:tabs>
        <w:jc w:val="both"/>
        <w:rPr>
          <w:bCs/>
          <w:sz w:val="22"/>
          <w:szCs w:val="22"/>
          <w:lang w:val="sr-Latn-ME"/>
        </w:rPr>
      </w:pPr>
      <w:r w:rsidRPr="00E845ED">
        <w:rPr>
          <w:bCs/>
          <w:sz w:val="22"/>
          <w:szCs w:val="22"/>
          <w:lang w:val="sr-Latn-ME"/>
        </w:rPr>
        <w:t>Standardna doza za intubaciju tokom rutinske anestezije je 0,6 mg/kg rokuronijum bromida, nakon čega se u roku od 60 sekundi uspostavljaju adekvatni uslovi za intubaciju kod skoro svih pacijenata. Doza od 1,0 mg/kg rokuronijum bromida se preporučuje za olakšavanje trahealne intubacije tokom brzog uvođenja u anesteziju, nakon čega se nakon 60 sekundi uspostavljaju adekvatni uslovi za intubaciju kod skoro svih pacijenata. Ako se za brzo uvođenje u anesteziju koristi doza rokuronijum bromida od 0,6 mg/kg, preporučuje se intubacija pacijenta 90 sekundi nakon primjene rokuronijum bromida.</w:t>
      </w:r>
    </w:p>
    <w:p w14:paraId="7FB407FC" w14:textId="77777777" w:rsidR="003A6AED" w:rsidRPr="00E845ED" w:rsidRDefault="003A6AED">
      <w:pPr>
        <w:tabs>
          <w:tab w:val="left" w:pos="540"/>
          <w:tab w:val="left" w:pos="569"/>
        </w:tabs>
        <w:jc w:val="both"/>
        <w:rPr>
          <w:bCs/>
          <w:sz w:val="22"/>
          <w:szCs w:val="22"/>
          <w:lang w:val="sr-Latn-ME"/>
        </w:rPr>
      </w:pPr>
    </w:p>
    <w:p w14:paraId="38A33B1E" w14:textId="176C2D83"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Za </w:t>
      </w:r>
      <w:r w:rsidR="005C47CD" w:rsidRPr="00E845ED">
        <w:rPr>
          <w:bCs/>
          <w:sz w:val="22"/>
          <w:szCs w:val="22"/>
          <w:lang w:val="sr-Latn-ME"/>
        </w:rPr>
        <w:t xml:space="preserve">primjenu </w:t>
      </w:r>
      <w:r w:rsidRPr="00E845ED">
        <w:rPr>
          <w:bCs/>
          <w:sz w:val="22"/>
          <w:szCs w:val="22"/>
          <w:lang w:val="sr-Latn-ME"/>
        </w:rPr>
        <w:t xml:space="preserve">rokuronijum bromida tokom brzog uvođenja u anesteziju </w:t>
      </w:r>
      <w:r w:rsidR="00FC6844" w:rsidRPr="00E845ED">
        <w:rPr>
          <w:bCs/>
          <w:sz w:val="22"/>
          <w:szCs w:val="22"/>
          <w:lang w:val="sr-Latn-ME"/>
        </w:rPr>
        <w:t xml:space="preserve">kod pacijentkinja </w:t>
      </w:r>
      <w:r w:rsidR="00BF033C" w:rsidRPr="00E845ED">
        <w:rPr>
          <w:bCs/>
          <w:sz w:val="22"/>
          <w:szCs w:val="22"/>
          <w:lang w:val="sr-Latn-ME"/>
        </w:rPr>
        <w:t>koje su podvrgnute</w:t>
      </w:r>
      <w:r w:rsidRPr="00E845ED">
        <w:rPr>
          <w:bCs/>
          <w:sz w:val="22"/>
          <w:szCs w:val="22"/>
          <w:lang w:val="sr-Latn-ME"/>
        </w:rPr>
        <w:t xml:space="preserve"> carskom rezu, pogledajte </w:t>
      </w:r>
      <w:r w:rsidR="005C47CD" w:rsidRPr="00E845ED">
        <w:rPr>
          <w:bCs/>
          <w:sz w:val="22"/>
          <w:szCs w:val="22"/>
          <w:lang w:val="sr-Latn-ME"/>
        </w:rPr>
        <w:t xml:space="preserve">dio </w:t>
      </w:r>
      <w:r w:rsidRPr="00E845ED">
        <w:rPr>
          <w:bCs/>
          <w:sz w:val="22"/>
          <w:szCs w:val="22"/>
          <w:lang w:val="sr-Latn-ME"/>
        </w:rPr>
        <w:t>4.6.</w:t>
      </w:r>
    </w:p>
    <w:p w14:paraId="691FCF61" w14:textId="77777777" w:rsidR="003A6AED" w:rsidRPr="00E845ED" w:rsidRDefault="003A6AED">
      <w:pPr>
        <w:tabs>
          <w:tab w:val="left" w:pos="540"/>
          <w:tab w:val="left" w:pos="569"/>
        </w:tabs>
        <w:jc w:val="both"/>
        <w:rPr>
          <w:bCs/>
          <w:sz w:val="22"/>
          <w:szCs w:val="22"/>
          <w:lang w:val="sr-Latn-ME"/>
        </w:rPr>
      </w:pPr>
    </w:p>
    <w:p w14:paraId="0463A225" w14:textId="1B6110E6"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V</w:t>
      </w:r>
      <w:r w:rsidR="00BF033C" w:rsidRPr="00E845ED">
        <w:rPr>
          <w:bCs/>
          <w:sz w:val="22"/>
          <w:szCs w:val="22"/>
          <w:u w:val="single"/>
          <w:lang w:val="sr-Latn-ME"/>
        </w:rPr>
        <w:t>iše</w:t>
      </w:r>
      <w:r w:rsidRPr="00E845ED">
        <w:rPr>
          <w:bCs/>
          <w:sz w:val="22"/>
          <w:szCs w:val="22"/>
          <w:u w:val="single"/>
          <w:lang w:val="sr-Latn-ME"/>
        </w:rPr>
        <w:t xml:space="preserve"> doze</w:t>
      </w:r>
    </w:p>
    <w:p w14:paraId="7D501A1D" w14:textId="158C1FC0"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Ako postoji razlog za primjenu </w:t>
      </w:r>
      <w:r w:rsidR="007655FC" w:rsidRPr="00E845ED">
        <w:rPr>
          <w:bCs/>
          <w:sz w:val="22"/>
          <w:szCs w:val="22"/>
          <w:lang w:val="sr-Latn-ME"/>
        </w:rPr>
        <w:t>viših</w:t>
      </w:r>
      <w:r w:rsidRPr="00E845ED">
        <w:rPr>
          <w:bCs/>
          <w:sz w:val="22"/>
          <w:szCs w:val="22"/>
          <w:lang w:val="sr-Latn-ME"/>
        </w:rPr>
        <w:t xml:space="preserve"> doza kod pojedinih pacijenata, iz kliničkih studija nema naznaka da je upotreba početnih doza do 2 mg/kg rokuronijum bromida povezana sa povećanom učestalošću ili težinom kardiovaskularnih efekata. Upotreba ovih visokih doza rokuronijum bromida </w:t>
      </w:r>
      <w:r w:rsidR="005C47CD" w:rsidRPr="00E845ED">
        <w:rPr>
          <w:bCs/>
          <w:sz w:val="22"/>
          <w:szCs w:val="22"/>
          <w:lang w:val="sr-Latn-ME"/>
        </w:rPr>
        <w:t xml:space="preserve">skraćuje </w:t>
      </w:r>
      <w:r w:rsidRPr="00E845ED">
        <w:rPr>
          <w:bCs/>
          <w:sz w:val="22"/>
          <w:szCs w:val="22"/>
          <w:lang w:val="sr-Latn-ME"/>
        </w:rPr>
        <w:t>vrijeme početka</w:t>
      </w:r>
      <w:r w:rsidR="005C47CD" w:rsidRPr="00E845ED">
        <w:rPr>
          <w:bCs/>
          <w:sz w:val="22"/>
          <w:szCs w:val="22"/>
          <w:lang w:val="sr-Latn-ME"/>
        </w:rPr>
        <w:t xml:space="preserve"> djelovanja</w:t>
      </w:r>
      <w:r w:rsidRPr="00E845ED">
        <w:rPr>
          <w:bCs/>
          <w:sz w:val="22"/>
          <w:szCs w:val="22"/>
          <w:lang w:val="sr-Latn-ME"/>
        </w:rPr>
        <w:t xml:space="preserve"> i povećava trajanje djelovanja (vidjeti </w:t>
      </w:r>
      <w:r w:rsidR="001A1F19" w:rsidRPr="00E845ED">
        <w:rPr>
          <w:bCs/>
          <w:sz w:val="22"/>
          <w:szCs w:val="22"/>
          <w:lang w:val="sr-Latn-ME"/>
        </w:rPr>
        <w:t xml:space="preserve">dio </w:t>
      </w:r>
      <w:r w:rsidRPr="00E845ED">
        <w:rPr>
          <w:bCs/>
          <w:sz w:val="22"/>
          <w:szCs w:val="22"/>
          <w:lang w:val="sr-Latn-ME"/>
        </w:rPr>
        <w:t>5.1).</w:t>
      </w:r>
    </w:p>
    <w:p w14:paraId="0506BEFA" w14:textId="77777777" w:rsidR="003A6AED" w:rsidRPr="00E845ED" w:rsidRDefault="003A6AED">
      <w:pPr>
        <w:tabs>
          <w:tab w:val="left" w:pos="540"/>
          <w:tab w:val="left" w:pos="569"/>
        </w:tabs>
        <w:jc w:val="both"/>
        <w:rPr>
          <w:bCs/>
          <w:sz w:val="22"/>
          <w:szCs w:val="22"/>
          <w:lang w:val="sr-Latn-ME"/>
        </w:rPr>
      </w:pPr>
    </w:p>
    <w:p w14:paraId="6ED93AC9"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Doza održavanja</w:t>
      </w:r>
    </w:p>
    <w:p w14:paraId="1EB1132E" w14:textId="1F461748"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Preporučena doza u cilju održavanja je 0,15 mg/kg rokuronijum bromida; u slučaju dugotrajne inhalacione anestezije, </w:t>
      </w:r>
      <w:r w:rsidR="001A1F19" w:rsidRPr="00E845ED">
        <w:rPr>
          <w:bCs/>
          <w:sz w:val="22"/>
          <w:szCs w:val="22"/>
          <w:lang w:val="sr-Latn-ME"/>
        </w:rPr>
        <w:t>dozu</w:t>
      </w:r>
      <w:r w:rsidRPr="00E845ED">
        <w:rPr>
          <w:bCs/>
          <w:sz w:val="22"/>
          <w:szCs w:val="22"/>
          <w:lang w:val="sr-Latn-ME"/>
        </w:rPr>
        <w:t xml:space="preserve"> treba smanjiti na 0,075-0,1 mg/kg rokuronijum bromida. Doze održavanja najbolje je primijeniti kada se amplitud</w:t>
      </w:r>
      <w:r w:rsidR="001A1F19" w:rsidRPr="00E845ED">
        <w:rPr>
          <w:bCs/>
          <w:sz w:val="22"/>
          <w:szCs w:val="22"/>
          <w:lang w:val="sr-Latn-ME"/>
        </w:rPr>
        <w:t>a</w:t>
      </w:r>
      <w:r w:rsidRPr="00E845ED">
        <w:rPr>
          <w:bCs/>
          <w:sz w:val="22"/>
          <w:szCs w:val="22"/>
          <w:lang w:val="sr-Latn-ME"/>
        </w:rPr>
        <w:t xml:space="preserve"> trzaja vrati na 25% u odnosu na kontrolnu vrijednost ili kada su prisutna 2 do 3 odgovora na niz od četiri stimulacije</w:t>
      </w:r>
      <w:r w:rsidR="00EB697A" w:rsidRPr="00E845ED">
        <w:rPr>
          <w:bCs/>
          <w:sz w:val="22"/>
          <w:szCs w:val="22"/>
          <w:lang w:val="sr-Latn-ME"/>
        </w:rPr>
        <w:t xml:space="preserve"> (engl. </w:t>
      </w:r>
      <w:r w:rsidR="00EB697A" w:rsidRPr="00E845ED">
        <w:rPr>
          <w:bCs/>
          <w:i/>
          <w:iCs/>
          <w:sz w:val="22"/>
          <w:szCs w:val="22"/>
          <w:lang w:val="sr-Latn-ME"/>
        </w:rPr>
        <w:t>train of four</w:t>
      </w:r>
      <w:r w:rsidR="00EB697A" w:rsidRPr="00E845ED">
        <w:rPr>
          <w:bCs/>
          <w:sz w:val="22"/>
          <w:szCs w:val="22"/>
          <w:lang w:val="sr-Latn-ME"/>
        </w:rPr>
        <w:t>, TOF).</w:t>
      </w:r>
    </w:p>
    <w:p w14:paraId="0A397D64" w14:textId="77777777" w:rsidR="003A6AED" w:rsidRPr="00E845ED" w:rsidRDefault="003A6AED">
      <w:pPr>
        <w:tabs>
          <w:tab w:val="left" w:pos="540"/>
          <w:tab w:val="left" w:pos="569"/>
        </w:tabs>
        <w:jc w:val="both"/>
        <w:rPr>
          <w:bCs/>
          <w:sz w:val="22"/>
          <w:szCs w:val="22"/>
          <w:lang w:val="sr-Latn-ME"/>
        </w:rPr>
      </w:pPr>
    </w:p>
    <w:p w14:paraId="5A8C2936"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Kontinuirana infuzija</w:t>
      </w:r>
    </w:p>
    <w:p w14:paraId="4E15EC2F" w14:textId="65B18B59"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Ako se rokuronijum bromid primjenjuje </w:t>
      </w:r>
      <w:r w:rsidR="00EB697A" w:rsidRPr="00E845ED">
        <w:rPr>
          <w:bCs/>
          <w:sz w:val="22"/>
          <w:szCs w:val="22"/>
          <w:lang w:val="sr-Latn-ME"/>
        </w:rPr>
        <w:t>putem kontinuirane infuzije</w:t>
      </w:r>
      <w:r w:rsidRPr="00E845ED">
        <w:rPr>
          <w:bCs/>
          <w:sz w:val="22"/>
          <w:szCs w:val="22"/>
          <w:lang w:val="sr-Latn-ME"/>
        </w:rPr>
        <w:t>, preporučuje se primjena</w:t>
      </w:r>
      <w:r w:rsidR="00EB697A" w:rsidRPr="00E845ED">
        <w:rPr>
          <w:bCs/>
          <w:sz w:val="22"/>
          <w:szCs w:val="22"/>
          <w:lang w:val="sr-Latn-ME"/>
        </w:rPr>
        <w:t xml:space="preserve"> početne</w:t>
      </w:r>
      <w:r w:rsidRPr="00E845ED">
        <w:rPr>
          <w:bCs/>
          <w:sz w:val="22"/>
          <w:szCs w:val="22"/>
          <w:lang w:val="sr-Latn-ME"/>
        </w:rPr>
        <w:t xml:space="preserve"> doze od 0,6 mg/kg rokuronijum bromida i kada pacijent počne da se oporavlja od neuromuskularnog bloka, započeti primjenu infuzijom. Brzina infuzije treba da se podesi tako da se amplituda trzaja održava na 10% u odnosu na kontrolnu vrijednost ili da se održi 1 do 2 odgovora na niz od četiri stimulacije. Kod odraslih osoba pod intravenskom anestezijom, brzina infuzije potrebna za održavanje neuromuskularnog bloka na ovom nivou kreće se u rasponu od 0,3-0,6 mg/kg/h (300-600 mikrograma/kg/h), a pod inhalacionom anestezijom brzina infuzije kreće se od 0,3-0,4 mg/kg/h. </w:t>
      </w:r>
      <w:r w:rsidR="00186954" w:rsidRPr="00E845ED">
        <w:rPr>
          <w:bCs/>
          <w:sz w:val="22"/>
          <w:szCs w:val="22"/>
          <w:lang w:val="sr-Latn-ME"/>
        </w:rPr>
        <w:t>Kontinuirani monitoring neuromuskularnog bloka se preporučuje pošto potrebna brzina infuzije varira od pacijenta do pacijenta i u zavisnosti od metode anestezije koja se prim</w:t>
      </w:r>
      <w:r w:rsidR="00BF033C" w:rsidRPr="00E845ED">
        <w:rPr>
          <w:bCs/>
          <w:sz w:val="22"/>
          <w:szCs w:val="22"/>
          <w:lang w:val="sr-Latn-ME"/>
        </w:rPr>
        <w:t>j</w:t>
      </w:r>
      <w:r w:rsidR="00186954" w:rsidRPr="00E845ED">
        <w:rPr>
          <w:bCs/>
          <w:sz w:val="22"/>
          <w:szCs w:val="22"/>
          <w:lang w:val="sr-Latn-ME"/>
        </w:rPr>
        <w:t>enjuje</w:t>
      </w:r>
      <w:r w:rsidRPr="00E845ED">
        <w:rPr>
          <w:bCs/>
          <w:sz w:val="22"/>
          <w:szCs w:val="22"/>
          <w:lang w:val="sr-Latn-ME"/>
        </w:rPr>
        <w:t>.</w:t>
      </w:r>
    </w:p>
    <w:p w14:paraId="3A12B2AC" w14:textId="77777777" w:rsidR="003A6AED" w:rsidRPr="00E845ED" w:rsidRDefault="003A6AED">
      <w:pPr>
        <w:tabs>
          <w:tab w:val="left" w:pos="540"/>
          <w:tab w:val="left" w:pos="569"/>
        </w:tabs>
        <w:jc w:val="both"/>
        <w:rPr>
          <w:bCs/>
          <w:sz w:val="22"/>
          <w:szCs w:val="22"/>
          <w:lang w:val="sr-Latn-ME"/>
        </w:rPr>
      </w:pPr>
    </w:p>
    <w:p w14:paraId="7A5D4407"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Pedijatrijska populacija</w:t>
      </w:r>
    </w:p>
    <w:p w14:paraId="6707AEAF" w14:textId="77777777" w:rsidR="003A6AED" w:rsidRPr="00E845ED" w:rsidRDefault="003A6AED">
      <w:pPr>
        <w:tabs>
          <w:tab w:val="left" w:pos="540"/>
          <w:tab w:val="left" w:pos="569"/>
        </w:tabs>
        <w:jc w:val="both"/>
        <w:rPr>
          <w:bCs/>
          <w:sz w:val="22"/>
          <w:szCs w:val="22"/>
          <w:lang w:val="sr-Latn-ME"/>
        </w:rPr>
      </w:pPr>
      <w:r w:rsidRPr="00E845ED">
        <w:rPr>
          <w:bCs/>
          <w:sz w:val="22"/>
          <w:szCs w:val="22"/>
          <w:lang w:val="sr-Latn-ME"/>
        </w:rPr>
        <w:t>Za novorođenčad (0-27 dana), odojčad (28 dana-2 mjeseca), mlađu djecu (3-23 mjeseca), djecu (2-11 godina) i adolescente (12-17 godina) preporučena doza intubacije tokom rutinske anestezije i doze održavanja slična je kao i kod odraslih.</w:t>
      </w:r>
    </w:p>
    <w:p w14:paraId="2CC57061" w14:textId="77777777" w:rsidR="003A6AED" w:rsidRPr="00E845ED" w:rsidRDefault="003A6AED">
      <w:pPr>
        <w:tabs>
          <w:tab w:val="left" w:pos="540"/>
          <w:tab w:val="left" w:pos="569"/>
        </w:tabs>
        <w:jc w:val="both"/>
        <w:rPr>
          <w:bCs/>
          <w:sz w:val="22"/>
          <w:szCs w:val="22"/>
          <w:lang w:val="sr-Latn-ME"/>
        </w:rPr>
      </w:pPr>
    </w:p>
    <w:p w14:paraId="2D74F5EF" w14:textId="7F36FFB6" w:rsidR="003A6AED" w:rsidRPr="00E845ED" w:rsidRDefault="003A6AED">
      <w:pPr>
        <w:tabs>
          <w:tab w:val="left" w:pos="540"/>
          <w:tab w:val="left" w:pos="569"/>
        </w:tabs>
        <w:jc w:val="both"/>
        <w:rPr>
          <w:bCs/>
          <w:sz w:val="22"/>
          <w:szCs w:val="22"/>
          <w:lang w:val="sr-Latn-ME"/>
        </w:rPr>
      </w:pPr>
      <w:r w:rsidRPr="00E845ED">
        <w:rPr>
          <w:bCs/>
          <w:sz w:val="22"/>
          <w:szCs w:val="22"/>
          <w:lang w:val="sr-Latn-ME"/>
        </w:rPr>
        <w:t>Međutim, trajanje djelovanja pojedinačne doze intubacije će biti duže kod novorođenčadi i odojčadi nego kod djece (vid</w:t>
      </w:r>
      <w:r w:rsidR="00BF033C" w:rsidRPr="00E845ED">
        <w:rPr>
          <w:bCs/>
          <w:sz w:val="22"/>
          <w:szCs w:val="22"/>
          <w:lang w:val="sr-Latn-ME"/>
        </w:rPr>
        <w:t>j</w:t>
      </w:r>
      <w:r w:rsidRPr="00E845ED">
        <w:rPr>
          <w:bCs/>
          <w:sz w:val="22"/>
          <w:szCs w:val="22"/>
          <w:lang w:val="sr-Latn-ME"/>
        </w:rPr>
        <w:t xml:space="preserve">eti </w:t>
      </w:r>
      <w:r w:rsidR="008103A5" w:rsidRPr="00E845ED">
        <w:rPr>
          <w:bCs/>
          <w:sz w:val="22"/>
          <w:szCs w:val="22"/>
          <w:lang w:val="sr-Latn-ME"/>
        </w:rPr>
        <w:t xml:space="preserve">dio </w:t>
      </w:r>
      <w:r w:rsidRPr="00E845ED">
        <w:rPr>
          <w:bCs/>
          <w:sz w:val="22"/>
          <w:szCs w:val="22"/>
          <w:lang w:val="sr-Latn-ME"/>
        </w:rPr>
        <w:t>5.1)</w:t>
      </w:r>
    </w:p>
    <w:p w14:paraId="7B0B8A3E" w14:textId="77777777" w:rsidR="003A6AED" w:rsidRPr="00E845ED" w:rsidRDefault="003A6AED">
      <w:pPr>
        <w:tabs>
          <w:tab w:val="left" w:pos="540"/>
          <w:tab w:val="left" w:pos="569"/>
        </w:tabs>
        <w:jc w:val="both"/>
        <w:rPr>
          <w:bCs/>
          <w:sz w:val="22"/>
          <w:szCs w:val="22"/>
          <w:lang w:val="sr-Latn-ME"/>
        </w:rPr>
      </w:pPr>
    </w:p>
    <w:p w14:paraId="04C3641D" w14:textId="00F3E29F"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Za kontinuiranu infuziju u pedijatriji, brzina infuzije, osim za djecu </w:t>
      </w:r>
      <w:r w:rsidR="00186954" w:rsidRPr="00E845ED">
        <w:rPr>
          <w:bCs/>
          <w:sz w:val="22"/>
          <w:szCs w:val="22"/>
          <w:lang w:val="sr-Latn-ME"/>
        </w:rPr>
        <w:t xml:space="preserve">uzrasta </w:t>
      </w:r>
      <w:r w:rsidRPr="00E845ED">
        <w:rPr>
          <w:bCs/>
          <w:sz w:val="22"/>
          <w:szCs w:val="22"/>
          <w:lang w:val="sr-Latn-ME"/>
        </w:rPr>
        <w:t>2-11 godina, ista je kao i za odrasle. Za djecu od 2 do 11 godina mogu biti potrebne veće brzine infuzije.</w:t>
      </w:r>
    </w:p>
    <w:p w14:paraId="56E45C1D" w14:textId="77777777" w:rsidR="003A6AED" w:rsidRPr="00E845ED" w:rsidRDefault="003A6AED">
      <w:pPr>
        <w:tabs>
          <w:tab w:val="left" w:pos="540"/>
          <w:tab w:val="left" w:pos="569"/>
        </w:tabs>
        <w:jc w:val="both"/>
        <w:rPr>
          <w:bCs/>
          <w:sz w:val="22"/>
          <w:szCs w:val="22"/>
          <w:lang w:val="sr-Latn-ME"/>
        </w:rPr>
      </w:pPr>
    </w:p>
    <w:p w14:paraId="11AEAB7D" w14:textId="7BFCEF4F" w:rsidR="003A6AED" w:rsidRPr="00E845ED" w:rsidRDefault="003A6AED">
      <w:pPr>
        <w:tabs>
          <w:tab w:val="left" w:pos="540"/>
          <w:tab w:val="left" w:pos="569"/>
        </w:tabs>
        <w:jc w:val="both"/>
        <w:rPr>
          <w:bCs/>
          <w:sz w:val="22"/>
          <w:szCs w:val="22"/>
          <w:lang w:val="sr-Latn-ME"/>
        </w:rPr>
      </w:pPr>
      <w:r w:rsidRPr="00E845ED">
        <w:rPr>
          <w:bCs/>
          <w:sz w:val="22"/>
          <w:szCs w:val="22"/>
          <w:lang w:val="sr-Latn-ME"/>
        </w:rPr>
        <w:t>Dakle, za djecu (2-11 godina) preporučuju se iste početne brzine infuzije kao i za odrasle, a zatim to treba prilagoditi tako da se amplitud</w:t>
      </w:r>
      <w:r w:rsidR="008103A5" w:rsidRPr="00E845ED">
        <w:rPr>
          <w:bCs/>
          <w:sz w:val="22"/>
          <w:szCs w:val="22"/>
          <w:lang w:val="sr-Latn-ME"/>
        </w:rPr>
        <w:t>a</w:t>
      </w:r>
      <w:r w:rsidRPr="00E845ED">
        <w:rPr>
          <w:bCs/>
          <w:sz w:val="22"/>
          <w:szCs w:val="22"/>
          <w:lang w:val="sr-Latn-ME"/>
        </w:rPr>
        <w:t xml:space="preserve"> trzaja održava na 10% u odnosu na kontrolnu vrijednosti ili da se održava 1 ili 2 odgovora na niz od četiri stimulacije tokom procedure.</w:t>
      </w:r>
    </w:p>
    <w:p w14:paraId="74F5A3E9" w14:textId="77777777" w:rsidR="003A6AED" w:rsidRPr="00E845ED" w:rsidRDefault="003A6AED">
      <w:pPr>
        <w:tabs>
          <w:tab w:val="left" w:pos="540"/>
          <w:tab w:val="left" w:pos="569"/>
        </w:tabs>
        <w:jc w:val="both"/>
        <w:rPr>
          <w:bCs/>
          <w:sz w:val="22"/>
          <w:szCs w:val="22"/>
          <w:lang w:val="sr-Latn-ME"/>
        </w:rPr>
      </w:pPr>
    </w:p>
    <w:p w14:paraId="0E9E291E" w14:textId="37C4CA16" w:rsidR="003A6AED" w:rsidRPr="00E845ED" w:rsidRDefault="003A6AED">
      <w:pPr>
        <w:tabs>
          <w:tab w:val="left" w:pos="540"/>
          <w:tab w:val="left" w:pos="569"/>
        </w:tabs>
        <w:jc w:val="both"/>
        <w:rPr>
          <w:bCs/>
          <w:sz w:val="22"/>
          <w:szCs w:val="22"/>
          <w:lang w:val="sr-Latn-ME"/>
        </w:rPr>
      </w:pPr>
      <w:r w:rsidRPr="00E845ED">
        <w:rPr>
          <w:bCs/>
          <w:sz w:val="22"/>
          <w:szCs w:val="22"/>
          <w:lang w:val="sr-Latn-ME"/>
        </w:rPr>
        <w:lastRenderedPageBreak/>
        <w:t xml:space="preserve">Iskustvo sa rokuronijum bromidom </w:t>
      </w:r>
      <w:r w:rsidR="00186954" w:rsidRPr="00E845ED">
        <w:rPr>
          <w:bCs/>
          <w:sz w:val="22"/>
          <w:szCs w:val="22"/>
          <w:lang w:val="sr-Latn-ME"/>
        </w:rPr>
        <w:t>kod brze sekvencijalne indukcije kod pedijatrijskih pacijenata je ograničeno</w:t>
      </w:r>
      <w:r w:rsidRPr="00E845ED">
        <w:rPr>
          <w:bCs/>
          <w:sz w:val="22"/>
          <w:szCs w:val="22"/>
          <w:lang w:val="sr-Latn-ME"/>
        </w:rPr>
        <w:t>. Zbog toga se rokuronijum bromid ne preporučuje za olakšavanje stanja trahealne intubacije tokom brzog uvođenja u anesteziju kod pedijatrijskih pacijenata.</w:t>
      </w:r>
    </w:p>
    <w:p w14:paraId="649C26F5" w14:textId="77777777" w:rsidR="003A6AED" w:rsidRPr="00E845ED" w:rsidRDefault="003A6AED">
      <w:pPr>
        <w:tabs>
          <w:tab w:val="left" w:pos="540"/>
          <w:tab w:val="left" w:pos="569"/>
        </w:tabs>
        <w:jc w:val="both"/>
        <w:rPr>
          <w:bCs/>
          <w:sz w:val="22"/>
          <w:szCs w:val="22"/>
          <w:lang w:val="sr-Latn-ME"/>
        </w:rPr>
      </w:pPr>
    </w:p>
    <w:p w14:paraId="558F74A5"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Gerijatrijski pacijenti i pacijenti sa bolestima jetre i/ili bolestima bilijarnog trakta i/ili renalne insuficijencije</w:t>
      </w:r>
    </w:p>
    <w:p w14:paraId="7B7AD081" w14:textId="0BDB3F75"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Standardna </w:t>
      </w:r>
      <w:r w:rsidR="00510ED8" w:rsidRPr="00E845ED">
        <w:rPr>
          <w:bCs/>
          <w:sz w:val="22"/>
          <w:szCs w:val="22"/>
          <w:lang w:val="sr-Latn-ME"/>
        </w:rPr>
        <w:t xml:space="preserve">doza za intubaciju </w:t>
      </w:r>
      <w:r w:rsidRPr="00E845ED">
        <w:rPr>
          <w:bCs/>
          <w:sz w:val="22"/>
          <w:szCs w:val="22"/>
          <w:lang w:val="sr-Latn-ME"/>
        </w:rPr>
        <w:t xml:space="preserve">za </w:t>
      </w:r>
      <w:r w:rsidR="00510ED8" w:rsidRPr="00E845ED">
        <w:rPr>
          <w:bCs/>
          <w:sz w:val="22"/>
          <w:szCs w:val="22"/>
          <w:lang w:val="sr-Latn-ME"/>
        </w:rPr>
        <w:t>gerijatrijske</w:t>
      </w:r>
      <w:r w:rsidRPr="00E845ED">
        <w:rPr>
          <w:bCs/>
          <w:sz w:val="22"/>
          <w:szCs w:val="22"/>
          <w:lang w:val="sr-Latn-ME"/>
        </w:rPr>
        <w:t xml:space="preserve"> pacijente i pacijente sa oboljenjima jetre i/ili bolestima bilijarnog trakta i/ili renalne insuficijencije tokom rutinske anestezije je 0,6 mg/kg rokuronijum bromida. Za brzo uvođenje u anesteziju kod pacijenata kod kojih se očekuje produženo trajanje djelovanja treba razmotriti dozu od 0,6 mg/kg. Bez obzira na primjenjenu anestezionu tehniku, preporučena doza održava</w:t>
      </w:r>
      <w:r w:rsidR="002C687D" w:rsidRPr="00E845ED">
        <w:rPr>
          <w:bCs/>
          <w:sz w:val="22"/>
          <w:szCs w:val="22"/>
          <w:lang w:val="sr-Latn-ME"/>
        </w:rPr>
        <w:t>nja za ove pacijente je 0,075-0,</w:t>
      </w:r>
      <w:r w:rsidRPr="00E845ED">
        <w:rPr>
          <w:bCs/>
          <w:sz w:val="22"/>
          <w:szCs w:val="22"/>
          <w:lang w:val="sr-Latn-ME"/>
        </w:rPr>
        <w:t xml:space="preserve">1 mg/kg rokuronijum bromida, a preporučena brzina infuzije je 0,3-0,4 mg/kg/h (vidjeti „Kontinuirana infuzija“). (Vidjeti takođe </w:t>
      </w:r>
      <w:r w:rsidR="008103A5" w:rsidRPr="00E845ED">
        <w:rPr>
          <w:bCs/>
          <w:sz w:val="22"/>
          <w:szCs w:val="22"/>
          <w:lang w:val="sr-Latn-ME"/>
        </w:rPr>
        <w:t xml:space="preserve">dio </w:t>
      </w:r>
      <w:r w:rsidRPr="00E845ED">
        <w:rPr>
          <w:bCs/>
          <w:sz w:val="22"/>
          <w:szCs w:val="22"/>
          <w:lang w:val="sr-Latn-ME"/>
        </w:rPr>
        <w:t>4.4.)</w:t>
      </w:r>
    </w:p>
    <w:p w14:paraId="319DDAA7" w14:textId="77777777" w:rsidR="003A6AED" w:rsidRPr="00E845ED" w:rsidRDefault="003A6AED">
      <w:pPr>
        <w:tabs>
          <w:tab w:val="left" w:pos="540"/>
          <w:tab w:val="left" w:pos="569"/>
        </w:tabs>
        <w:jc w:val="both"/>
        <w:rPr>
          <w:bCs/>
          <w:sz w:val="22"/>
          <w:szCs w:val="22"/>
          <w:lang w:val="sr-Latn-ME"/>
        </w:rPr>
      </w:pPr>
    </w:p>
    <w:p w14:paraId="0FDA00D4"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Pacijenti sa prekomjernom tjelesnom masom i gojazni pacijenti</w:t>
      </w:r>
    </w:p>
    <w:p w14:paraId="395E756C" w14:textId="1EECAC63" w:rsidR="003A6AED" w:rsidRPr="00E845ED" w:rsidRDefault="003A6AED">
      <w:pPr>
        <w:tabs>
          <w:tab w:val="left" w:pos="540"/>
          <w:tab w:val="left" w:pos="569"/>
        </w:tabs>
        <w:jc w:val="both"/>
        <w:rPr>
          <w:bCs/>
          <w:sz w:val="22"/>
          <w:szCs w:val="22"/>
          <w:lang w:val="sr-Latn-ME"/>
        </w:rPr>
      </w:pPr>
      <w:r w:rsidRPr="00E845ED">
        <w:rPr>
          <w:bCs/>
          <w:sz w:val="22"/>
          <w:szCs w:val="22"/>
          <w:lang w:val="sr-Latn-ME"/>
        </w:rPr>
        <w:t>Kada se koristi kod pacijenata sa prekomjernom tjelesnom masom ili kod gojaznih pacijenata (</w:t>
      </w:r>
      <w:r w:rsidR="00974954" w:rsidRPr="00E845ED">
        <w:rPr>
          <w:bCs/>
          <w:sz w:val="22"/>
          <w:szCs w:val="22"/>
          <w:lang w:val="sr-Latn-ME"/>
        </w:rPr>
        <w:t>po definiciji to su pacijenti čija je t</w:t>
      </w:r>
      <w:r w:rsidR="002C687D" w:rsidRPr="00E845ED">
        <w:rPr>
          <w:bCs/>
          <w:sz w:val="22"/>
          <w:szCs w:val="22"/>
          <w:lang w:val="sr-Latn-ME"/>
        </w:rPr>
        <w:t>j</w:t>
      </w:r>
      <w:r w:rsidR="00974954" w:rsidRPr="00E845ED">
        <w:rPr>
          <w:bCs/>
          <w:sz w:val="22"/>
          <w:szCs w:val="22"/>
          <w:lang w:val="sr-Latn-ME"/>
        </w:rPr>
        <w:t>elesna masa za 30% veća od idealne tjelesne mase</w:t>
      </w:r>
      <w:r w:rsidRPr="00E845ED">
        <w:rPr>
          <w:bCs/>
          <w:sz w:val="22"/>
          <w:szCs w:val="22"/>
          <w:lang w:val="sr-Latn-ME"/>
        </w:rPr>
        <w:t>), doze treba smanjiti uzimajući u obzir idealnu tjelesnu masu.</w:t>
      </w:r>
    </w:p>
    <w:p w14:paraId="77CB70BF" w14:textId="77777777" w:rsidR="003A6AED" w:rsidRPr="00E845ED" w:rsidRDefault="003A6AED" w:rsidP="00D542D8">
      <w:pPr>
        <w:tabs>
          <w:tab w:val="left" w:pos="540"/>
          <w:tab w:val="left" w:pos="569"/>
        </w:tabs>
        <w:jc w:val="both"/>
        <w:rPr>
          <w:bCs/>
          <w:sz w:val="22"/>
          <w:szCs w:val="22"/>
          <w:lang w:val="sr-Latn-ME"/>
        </w:rPr>
      </w:pPr>
    </w:p>
    <w:p w14:paraId="345246B1" w14:textId="625C17AF" w:rsidR="00974954" w:rsidRPr="00E845ED" w:rsidRDefault="00974954" w:rsidP="00D542D8">
      <w:pPr>
        <w:tabs>
          <w:tab w:val="left" w:pos="540"/>
          <w:tab w:val="left" w:pos="569"/>
        </w:tabs>
        <w:jc w:val="both"/>
        <w:rPr>
          <w:b/>
          <w:sz w:val="22"/>
          <w:szCs w:val="22"/>
          <w:lang w:val="sr-Latn-ME"/>
        </w:rPr>
      </w:pPr>
      <w:r w:rsidRPr="00E845ED">
        <w:rPr>
          <w:b/>
          <w:sz w:val="22"/>
          <w:szCs w:val="22"/>
          <w:lang w:val="sr-Latn-ME"/>
        </w:rPr>
        <w:t>Procedure u jedinicama intenzivne njege (JIN)</w:t>
      </w:r>
    </w:p>
    <w:p w14:paraId="58C53C57" w14:textId="77777777" w:rsidR="00974954" w:rsidRPr="00E845ED" w:rsidRDefault="00974954" w:rsidP="00D542D8">
      <w:pPr>
        <w:tabs>
          <w:tab w:val="left" w:pos="540"/>
          <w:tab w:val="left" w:pos="569"/>
        </w:tabs>
        <w:jc w:val="both"/>
        <w:rPr>
          <w:bCs/>
          <w:sz w:val="22"/>
          <w:szCs w:val="22"/>
          <w:lang w:val="sr-Latn-ME"/>
        </w:rPr>
      </w:pPr>
    </w:p>
    <w:p w14:paraId="73C92DBF" w14:textId="536EB291" w:rsidR="003A6AED" w:rsidRPr="00E845ED" w:rsidRDefault="003A6AED" w:rsidP="005C47CD">
      <w:pPr>
        <w:tabs>
          <w:tab w:val="left" w:pos="540"/>
          <w:tab w:val="left" w:pos="569"/>
        </w:tabs>
        <w:jc w:val="both"/>
        <w:rPr>
          <w:bCs/>
          <w:sz w:val="22"/>
          <w:szCs w:val="22"/>
          <w:u w:val="single"/>
          <w:lang w:val="sr-Latn-ME"/>
        </w:rPr>
      </w:pPr>
      <w:r w:rsidRPr="00E845ED">
        <w:rPr>
          <w:bCs/>
          <w:sz w:val="22"/>
          <w:szCs w:val="22"/>
          <w:u w:val="single"/>
          <w:lang w:val="sr-Latn-ME"/>
        </w:rPr>
        <w:t>Trahealna intubacija</w:t>
      </w:r>
    </w:p>
    <w:p w14:paraId="07ECE171" w14:textId="77777777" w:rsidR="003A6AED" w:rsidRPr="00E845ED" w:rsidRDefault="003A6AED" w:rsidP="000B2BC5">
      <w:pPr>
        <w:tabs>
          <w:tab w:val="left" w:pos="540"/>
          <w:tab w:val="left" w:pos="569"/>
        </w:tabs>
        <w:jc w:val="both"/>
        <w:rPr>
          <w:bCs/>
          <w:sz w:val="22"/>
          <w:szCs w:val="22"/>
          <w:lang w:val="sr-Latn-ME"/>
        </w:rPr>
      </w:pPr>
      <w:r w:rsidRPr="00E845ED">
        <w:rPr>
          <w:bCs/>
          <w:sz w:val="22"/>
          <w:szCs w:val="22"/>
          <w:lang w:val="sr-Latn-ME"/>
        </w:rPr>
        <w:t xml:space="preserve">Za trahealnu intubaciju, treba koristiti iste doze koje su navedene kod hirurških procedura. </w:t>
      </w:r>
    </w:p>
    <w:p w14:paraId="259152A4" w14:textId="77777777" w:rsidR="003A6AED" w:rsidRPr="00E845ED" w:rsidRDefault="003A6AED">
      <w:pPr>
        <w:tabs>
          <w:tab w:val="left" w:pos="540"/>
          <w:tab w:val="left" w:pos="569"/>
        </w:tabs>
        <w:jc w:val="both"/>
        <w:rPr>
          <w:bCs/>
          <w:sz w:val="22"/>
          <w:szCs w:val="22"/>
          <w:lang w:val="sr-Latn-ME"/>
        </w:rPr>
      </w:pPr>
    </w:p>
    <w:p w14:paraId="531C25F5" w14:textId="27CB0EC4"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Doz</w:t>
      </w:r>
      <w:r w:rsidR="00974954" w:rsidRPr="00E845ED">
        <w:rPr>
          <w:bCs/>
          <w:sz w:val="22"/>
          <w:szCs w:val="22"/>
          <w:u w:val="single"/>
          <w:lang w:val="sr-Latn-ME"/>
        </w:rPr>
        <w:t>e</w:t>
      </w:r>
      <w:r w:rsidRPr="00E845ED">
        <w:rPr>
          <w:bCs/>
          <w:sz w:val="22"/>
          <w:szCs w:val="22"/>
          <w:u w:val="single"/>
          <w:lang w:val="sr-Latn-ME"/>
        </w:rPr>
        <w:t xml:space="preserve"> održavanja</w:t>
      </w:r>
    </w:p>
    <w:p w14:paraId="79E913AC" w14:textId="751E342E" w:rsidR="003A6AED" w:rsidRPr="00E845ED" w:rsidRDefault="003A6AED">
      <w:pPr>
        <w:tabs>
          <w:tab w:val="left" w:pos="540"/>
          <w:tab w:val="left" w:pos="569"/>
        </w:tabs>
        <w:jc w:val="both"/>
        <w:rPr>
          <w:bCs/>
          <w:sz w:val="22"/>
          <w:szCs w:val="22"/>
          <w:lang w:val="sr-Latn-ME"/>
        </w:rPr>
      </w:pPr>
      <w:r w:rsidRPr="00E845ED">
        <w:rPr>
          <w:bCs/>
          <w:sz w:val="22"/>
          <w:szCs w:val="22"/>
          <w:lang w:val="sr-Latn-ME"/>
        </w:rPr>
        <w:t>Preporučuje se upotreba početne udarne doze od 0,6 mg/kg rokuronijum bromida, nakon čega slijedi kontinuirana infuzija čim se visina amplitude vrati na 10% ili nakon ponovne pojave 1 do 2 odgovora na niz od četiri stimulacije. Doziranje uvijek treba titri</w:t>
      </w:r>
      <w:r w:rsidR="008103A5" w:rsidRPr="00E845ED">
        <w:rPr>
          <w:bCs/>
          <w:sz w:val="22"/>
          <w:szCs w:val="22"/>
          <w:lang w:val="sr-Latn-ME"/>
        </w:rPr>
        <w:t>r</w:t>
      </w:r>
      <w:r w:rsidRPr="00E845ED">
        <w:rPr>
          <w:bCs/>
          <w:sz w:val="22"/>
          <w:szCs w:val="22"/>
          <w:lang w:val="sr-Latn-ME"/>
        </w:rPr>
        <w:t xml:space="preserve">ati da bi se postiglo dejstvo kod </w:t>
      </w:r>
      <w:r w:rsidR="00646348" w:rsidRPr="00E845ED">
        <w:rPr>
          <w:bCs/>
          <w:sz w:val="22"/>
          <w:szCs w:val="22"/>
          <w:lang w:val="sr-Latn-ME"/>
        </w:rPr>
        <w:t xml:space="preserve">svakog pacijenta </w:t>
      </w:r>
      <w:r w:rsidRPr="00E845ED">
        <w:rPr>
          <w:bCs/>
          <w:sz w:val="22"/>
          <w:szCs w:val="22"/>
          <w:lang w:val="sr-Latn-ME"/>
        </w:rPr>
        <w:t xml:space="preserve">pojedinačno. Preporučena početna brzina infuzije za održavanje neuromuskularnog bloka od 80-90% (1 do 2 trzaja na TOF stimulaciju) kod odraslih pacijenata je 0,3-0,6 mg/kg/h tokom prvog sata primjene, </w:t>
      </w:r>
      <w:r w:rsidR="00646348" w:rsidRPr="00E845ED">
        <w:rPr>
          <w:bCs/>
          <w:sz w:val="22"/>
          <w:szCs w:val="22"/>
          <w:lang w:val="sr-Latn-ME"/>
        </w:rPr>
        <w:t>a koju treba smanjiti tokom sljedećih 6 - 12 sati</w:t>
      </w:r>
      <w:r w:rsidRPr="00E845ED">
        <w:rPr>
          <w:bCs/>
          <w:sz w:val="22"/>
          <w:szCs w:val="22"/>
          <w:lang w:val="sr-Latn-ME"/>
        </w:rPr>
        <w:t xml:space="preserve">, prema </w:t>
      </w:r>
      <w:r w:rsidR="009C23B8" w:rsidRPr="00E845ED">
        <w:rPr>
          <w:bCs/>
          <w:sz w:val="22"/>
          <w:szCs w:val="22"/>
          <w:lang w:val="sr-Latn-ME"/>
        </w:rPr>
        <w:t>individualnom</w:t>
      </w:r>
      <w:r w:rsidRPr="00E845ED">
        <w:rPr>
          <w:bCs/>
          <w:sz w:val="22"/>
          <w:szCs w:val="22"/>
          <w:lang w:val="sr-Latn-ME"/>
        </w:rPr>
        <w:t xml:space="preserve"> odgovoru. Nakon toga, </w:t>
      </w:r>
      <w:r w:rsidR="009C23B8" w:rsidRPr="00E845ED">
        <w:rPr>
          <w:bCs/>
          <w:sz w:val="22"/>
          <w:szCs w:val="22"/>
          <w:lang w:val="sr-Latn-ME"/>
        </w:rPr>
        <w:t>zaht</w:t>
      </w:r>
      <w:r w:rsidR="002C687D" w:rsidRPr="00E845ED">
        <w:rPr>
          <w:bCs/>
          <w:sz w:val="22"/>
          <w:szCs w:val="22"/>
          <w:lang w:val="sr-Latn-ME"/>
        </w:rPr>
        <w:t>j</w:t>
      </w:r>
      <w:r w:rsidR="009C23B8" w:rsidRPr="00E845ED">
        <w:rPr>
          <w:bCs/>
          <w:sz w:val="22"/>
          <w:szCs w:val="22"/>
          <w:lang w:val="sr-Latn-ME"/>
        </w:rPr>
        <w:t>evi za individualnom dozom ostaju relativno konstantni</w:t>
      </w:r>
      <w:r w:rsidRPr="00E845ED">
        <w:rPr>
          <w:bCs/>
          <w:sz w:val="22"/>
          <w:szCs w:val="22"/>
          <w:lang w:val="sr-Latn-ME"/>
        </w:rPr>
        <w:t>.</w:t>
      </w:r>
    </w:p>
    <w:p w14:paraId="7DA4AE5C" w14:textId="77777777" w:rsidR="003A6AED" w:rsidRPr="00E845ED" w:rsidRDefault="003A6AED">
      <w:pPr>
        <w:tabs>
          <w:tab w:val="left" w:pos="540"/>
          <w:tab w:val="left" w:pos="569"/>
        </w:tabs>
        <w:jc w:val="both"/>
        <w:rPr>
          <w:bCs/>
          <w:sz w:val="22"/>
          <w:szCs w:val="22"/>
          <w:lang w:val="sr-Latn-ME"/>
        </w:rPr>
      </w:pPr>
    </w:p>
    <w:p w14:paraId="31C1E972" w14:textId="22C4D042" w:rsidR="003A6AED" w:rsidRPr="00E845ED" w:rsidRDefault="003A6AED">
      <w:pPr>
        <w:tabs>
          <w:tab w:val="left" w:pos="540"/>
          <w:tab w:val="left" w:pos="569"/>
        </w:tabs>
        <w:jc w:val="both"/>
        <w:rPr>
          <w:bCs/>
          <w:sz w:val="22"/>
          <w:szCs w:val="22"/>
          <w:lang w:val="sr-Latn-ME"/>
        </w:rPr>
      </w:pPr>
      <w:r w:rsidRPr="00E845ED">
        <w:rPr>
          <w:bCs/>
          <w:sz w:val="22"/>
          <w:szCs w:val="22"/>
          <w:lang w:val="sr-Latn-ME"/>
        </w:rPr>
        <w:t>U kontrolisanim kliničkim studijama utvrđena je velika varijabilnost među pacijentima u brzini infuzije po satu, sa srednjim brzinama infuzije na sat u rasponu od 0,2-0,5 mg/kg/h, zavisno od prirode i stepena insuficijencije organa, pratećih ljekova i individualnih karakteristika pacijenta.</w:t>
      </w:r>
      <w:r w:rsidR="002C687D" w:rsidRPr="00E845ED">
        <w:rPr>
          <w:bCs/>
          <w:sz w:val="22"/>
          <w:szCs w:val="22"/>
          <w:lang w:val="sr-Latn-ME"/>
        </w:rPr>
        <w:t xml:space="preserve"> </w:t>
      </w:r>
      <w:r w:rsidRPr="00E845ED">
        <w:rPr>
          <w:bCs/>
          <w:sz w:val="22"/>
          <w:szCs w:val="22"/>
          <w:lang w:val="sr-Latn-ME"/>
        </w:rPr>
        <w:t>Da bi se obezbjedila optimalna individualna kontrola pacijenta, izričito se preporučuje monitoring neuromuskularne transmisije. Ispitivana je primjena do 7 dana.</w:t>
      </w:r>
    </w:p>
    <w:p w14:paraId="77259526" w14:textId="77777777" w:rsidR="003A6AED" w:rsidRPr="00E845ED" w:rsidRDefault="003A6AED">
      <w:pPr>
        <w:tabs>
          <w:tab w:val="left" w:pos="540"/>
          <w:tab w:val="left" w:pos="569"/>
        </w:tabs>
        <w:jc w:val="both"/>
        <w:rPr>
          <w:bCs/>
          <w:sz w:val="22"/>
          <w:szCs w:val="22"/>
          <w:lang w:val="sr-Latn-ME"/>
        </w:rPr>
      </w:pPr>
    </w:p>
    <w:p w14:paraId="77D7D1BB" w14:textId="77777777" w:rsidR="003A6AED" w:rsidRPr="00E845ED" w:rsidRDefault="003A6AED">
      <w:pPr>
        <w:tabs>
          <w:tab w:val="left" w:pos="540"/>
          <w:tab w:val="left" w:pos="569"/>
        </w:tabs>
        <w:jc w:val="both"/>
        <w:rPr>
          <w:bCs/>
          <w:sz w:val="22"/>
          <w:szCs w:val="22"/>
          <w:u w:val="single"/>
          <w:lang w:val="sr-Latn-ME"/>
        </w:rPr>
      </w:pPr>
      <w:r w:rsidRPr="00E845ED">
        <w:rPr>
          <w:bCs/>
          <w:sz w:val="22"/>
          <w:szCs w:val="22"/>
          <w:u w:val="single"/>
          <w:lang w:val="sr-Latn-ME"/>
        </w:rPr>
        <w:t>Posebne grupe pacijenata</w:t>
      </w:r>
    </w:p>
    <w:p w14:paraId="39A96EBF" w14:textId="5C17B919" w:rsidR="003A6AED" w:rsidRPr="00E845ED" w:rsidRDefault="003A6AED">
      <w:pPr>
        <w:tabs>
          <w:tab w:val="left" w:pos="540"/>
          <w:tab w:val="left" w:pos="569"/>
        </w:tabs>
        <w:jc w:val="both"/>
        <w:rPr>
          <w:bCs/>
          <w:sz w:val="22"/>
          <w:szCs w:val="22"/>
          <w:lang w:val="sr-Latn-ME"/>
        </w:rPr>
      </w:pPr>
      <w:r w:rsidRPr="00E845ED">
        <w:rPr>
          <w:bCs/>
          <w:sz w:val="22"/>
          <w:szCs w:val="22"/>
          <w:lang w:val="sr-Latn-ME"/>
        </w:rPr>
        <w:t>Rokuronijum bromid se ne preporučuje za olakšavanje mehaničke ventilacije u intenzivnoj njezi kod pedijatrijskih i gerijatrijskih pacijenata zbog nedostatka podataka o bezb</w:t>
      </w:r>
      <w:r w:rsidR="005A571B" w:rsidRPr="00E845ED">
        <w:rPr>
          <w:bCs/>
          <w:sz w:val="22"/>
          <w:szCs w:val="22"/>
          <w:lang w:val="sr-Latn-ME"/>
        </w:rPr>
        <w:t>j</w:t>
      </w:r>
      <w:r w:rsidRPr="00E845ED">
        <w:rPr>
          <w:bCs/>
          <w:sz w:val="22"/>
          <w:szCs w:val="22"/>
          <w:lang w:val="sr-Latn-ME"/>
        </w:rPr>
        <w:t>ednosti i efikasnosti.</w:t>
      </w:r>
    </w:p>
    <w:p w14:paraId="71624AD7" w14:textId="77777777" w:rsidR="003A6AED" w:rsidRPr="00E845ED" w:rsidRDefault="003A6AED">
      <w:pPr>
        <w:tabs>
          <w:tab w:val="left" w:pos="540"/>
          <w:tab w:val="left" w:pos="569"/>
        </w:tabs>
        <w:jc w:val="both"/>
        <w:rPr>
          <w:bCs/>
          <w:sz w:val="22"/>
          <w:szCs w:val="22"/>
          <w:u w:val="single"/>
          <w:lang w:val="sr-Latn-ME"/>
        </w:rPr>
      </w:pPr>
    </w:p>
    <w:p w14:paraId="473BB5B2" w14:textId="3AFE91A6" w:rsidR="00452E9D" w:rsidRPr="00E845ED" w:rsidRDefault="00452E9D">
      <w:pPr>
        <w:tabs>
          <w:tab w:val="left" w:pos="540"/>
          <w:tab w:val="left" w:pos="569"/>
        </w:tabs>
        <w:jc w:val="both"/>
        <w:rPr>
          <w:bCs/>
          <w:sz w:val="22"/>
          <w:szCs w:val="22"/>
          <w:u w:val="single"/>
          <w:lang w:val="sr-Latn-ME"/>
        </w:rPr>
      </w:pPr>
      <w:r w:rsidRPr="00E845ED">
        <w:rPr>
          <w:bCs/>
          <w:sz w:val="22"/>
          <w:szCs w:val="22"/>
          <w:u w:val="single"/>
          <w:lang w:val="sr-Latn-ME"/>
        </w:rPr>
        <w:t>Način primjene</w:t>
      </w:r>
    </w:p>
    <w:p w14:paraId="53266C8A" w14:textId="73763E14" w:rsidR="003A6AED" w:rsidRPr="00E845ED" w:rsidRDefault="003A6AED">
      <w:pPr>
        <w:tabs>
          <w:tab w:val="left" w:pos="540"/>
          <w:tab w:val="left" w:pos="569"/>
        </w:tabs>
        <w:jc w:val="both"/>
        <w:rPr>
          <w:bCs/>
          <w:sz w:val="22"/>
          <w:szCs w:val="22"/>
          <w:lang w:val="sr-Latn-ME"/>
        </w:rPr>
      </w:pPr>
      <w:r w:rsidRPr="00E845ED">
        <w:rPr>
          <w:bCs/>
          <w:sz w:val="22"/>
          <w:szCs w:val="22"/>
          <w:lang w:val="sr-Latn-ME"/>
        </w:rPr>
        <w:t xml:space="preserve">Rokuronijum bromid se primjenjuje intravenski ili kao bolus injekcija ili kao kontinuirana infuzija (vidjeti </w:t>
      </w:r>
      <w:r w:rsidR="009048F6" w:rsidRPr="00E845ED">
        <w:rPr>
          <w:bCs/>
          <w:sz w:val="22"/>
          <w:szCs w:val="22"/>
          <w:lang w:val="sr-Latn-ME"/>
        </w:rPr>
        <w:t xml:space="preserve">dio </w:t>
      </w:r>
      <w:r w:rsidRPr="00E845ED">
        <w:rPr>
          <w:bCs/>
          <w:sz w:val="22"/>
          <w:szCs w:val="22"/>
          <w:lang w:val="sr-Latn-ME"/>
        </w:rPr>
        <w:t>6.6).</w:t>
      </w:r>
    </w:p>
    <w:p w14:paraId="58B64A80" w14:textId="77777777" w:rsidR="00452E9D" w:rsidRPr="00E845ED" w:rsidRDefault="00452E9D" w:rsidP="00D542D8">
      <w:pPr>
        <w:tabs>
          <w:tab w:val="left" w:pos="540"/>
          <w:tab w:val="left" w:pos="569"/>
        </w:tabs>
        <w:jc w:val="both"/>
        <w:rPr>
          <w:bCs/>
          <w:sz w:val="22"/>
          <w:szCs w:val="22"/>
          <w:lang w:val="sr-Latn-ME"/>
        </w:rPr>
      </w:pPr>
    </w:p>
    <w:p w14:paraId="6454EC5C"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4.3. </w:t>
      </w:r>
      <w:r w:rsidR="00480FB1" w:rsidRPr="00E845ED">
        <w:rPr>
          <w:b/>
          <w:bCs/>
          <w:sz w:val="22"/>
          <w:szCs w:val="22"/>
          <w:lang w:val="sr-Latn-ME"/>
        </w:rPr>
        <w:tab/>
      </w:r>
      <w:r w:rsidRPr="00E845ED">
        <w:rPr>
          <w:b/>
          <w:bCs/>
          <w:sz w:val="22"/>
          <w:szCs w:val="22"/>
          <w:lang w:val="sr-Latn-ME"/>
        </w:rPr>
        <w:t>Kontraindikacije</w:t>
      </w:r>
    </w:p>
    <w:p w14:paraId="28FC79CA" w14:textId="418822AB" w:rsidR="0072020E" w:rsidRPr="00E845ED" w:rsidRDefault="0072020E" w:rsidP="00D542D8">
      <w:pPr>
        <w:tabs>
          <w:tab w:val="left" w:pos="540"/>
          <w:tab w:val="left" w:pos="569"/>
        </w:tabs>
        <w:jc w:val="both"/>
        <w:rPr>
          <w:bCs/>
          <w:sz w:val="22"/>
          <w:szCs w:val="22"/>
          <w:lang w:val="sr-Latn-ME"/>
        </w:rPr>
      </w:pPr>
    </w:p>
    <w:p w14:paraId="1EA6E280" w14:textId="1A3877C2" w:rsidR="003A6AED" w:rsidRPr="00E845ED" w:rsidRDefault="003A6AED" w:rsidP="005C47CD">
      <w:pPr>
        <w:tabs>
          <w:tab w:val="left" w:pos="540"/>
          <w:tab w:val="left" w:pos="569"/>
        </w:tabs>
        <w:jc w:val="both"/>
        <w:rPr>
          <w:bCs/>
          <w:sz w:val="22"/>
          <w:szCs w:val="22"/>
          <w:lang w:val="sr-Latn-ME"/>
        </w:rPr>
      </w:pPr>
      <w:r w:rsidRPr="00E845ED">
        <w:rPr>
          <w:bCs/>
          <w:sz w:val="22"/>
          <w:szCs w:val="22"/>
          <w:lang w:val="sr-Latn-ME"/>
        </w:rPr>
        <w:t xml:space="preserve">Preosjetljivost na rokuronijum ili na bromidni jon ili bilo koji od pomoćnih sastojaka navedenih u </w:t>
      </w:r>
      <w:r w:rsidR="009048F6" w:rsidRPr="00E845ED">
        <w:rPr>
          <w:bCs/>
          <w:sz w:val="22"/>
          <w:szCs w:val="22"/>
          <w:lang w:val="sr-Latn-ME"/>
        </w:rPr>
        <w:t xml:space="preserve">dijelu </w:t>
      </w:r>
      <w:r w:rsidRPr="00E845ED">
        <w:rPr>
          <w:bCs/>
          <w:sz w:val="22"/>
          <w:szCs w:val="22"/>
          <w:lang w:val="sr-Latn-ME"/>
        </w:rPr>
        <w:t>6.1.</w:t>
      </w:r>
    </w:p>
    <w:p w14:paraId="44DC3047" w14:textId="77777777" w:rsidR="005A571B" w:rsidRPr="00E845ED" w:rsidRDefault="005A571B" w:rsidP="00D542D8">
      <w:pPr>
        <w:tabs>
          <w:tab w:val="left" w:pos="540"/>
          <w:tab w:val="left" w:pos="569"/>
        </w:tabs>
        <w:jc w:val="both"/>
        <w:rPr>
          <w:bCs/>
          <w:sz w:val="22"/>
          <w:szCs w:val="22"/>
          <w:lang w:val="sr-Latn-ME"/>
        </w:rPr>
      </w:pPr>
    </w:p>
    <w:p w14:paraId="78D8F13A"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 xml:space="preserve">4.4. </w:t>
      </w:r>
      <w:r w:rsidR="00480FB1" w:rsidRPr="00E845ED">
        <w:rPr>
          <w:b/>
          <w:bCs/>
          <w:sz w:val="22"/>
          <w:szCs w:val="22"/>
          <w:lang w:val="sr-Latn-ME"/>
        </w:rPr>
        <w:tab/>
      </w:r>
      <w:r w:rsidRPr="00E845ED">
        <w:rPr>
          <w:b/>
          <w:bCs/>
          <w:sz w:val="22"/>
          <w:szCs w:val="22"/>
          <w:lang w:val="sr-Latn-ME"/>
        </w:rPr>
        <w:t>Posebna upozorenja i mjere opreza pri upotrebi lijeka</w:t>
      </w:r>
    </w:p>
    <w:p w14:paraId="35AB3CC6" w14:textId="77777777" w:rsidR="0072020E" w:rsidRPr="00E845ED" w:rsidRDefault="0072020E" w:rsidP="00D542D8">
      <w:pPr>
        <w:tabs>
          <w:tab w:val="left" w:pos="540"/>
          <w:tab w:val="left" w:pos="569"/>
        </w:tabs>
        <w:jc w:val="both"/>
        <w:rPr>
          <w:bCs/>
          <w:sz w:val="22"/>
          <w:szCs w:val="22"/>
          <w:lang w:val="sr-Latn-ME"/>
        </w:rPr>
      </w:pPr>
    </w:p>
    <w:p w14:paraId="3AF55E36" w14:textId="035715F0" w:rsidR="008F0875" w:rsidRPr="00E845ED" w:rsidRDefault="008F0875" w:rsidP="005C47CD">
      <w:pPr>
        <w:tabs>
          <w:tab w:val="left" w:pos="540"/>
          <w:tab w:val="left" w:pos="569"/>
        </w:tabs>
        <w:jc w:val="both"/>
        <w:rPr>
          <w:sz w:val="22"/>
          <w:szCs w:val="22"/>
          <w:lang w:val="sr-Latn-ME"/>
        </w:rPr>
      </w:pPr>
      <w:r w:rsidRPr="00E845ED">
        <w:rPr>
          <w:sz w:val="22"/>
          <w:szCs w:val="22"/>
          <w:lang w:val="sr-Latn-ME"/>
        </w:rPr>
        <w:t>Budući da rokuronijum bromid izaziva paralizu disajnih mišića, ventilaciona podrška je obavezna za pacijente koji se liječe ovim lijekom dok se ne uspostavi adekvatno spontano disanje. Kao i kod svih neuromuskularnih blokatora, važno je predvidjeti poteškoće sa intubacijom, naročito kada se primjenjuje</w:t>
      </w:r>
      <w:r w:rsidR="009048F6" w:rsidRPr="00E845ED">
        <w:rPr>
          <w:sz w:val="22"/>
          <w:szCs w:val="22"/>
          <w:lang w:val="sr-Latn-ME"/>
        </w:rPr>
        <w:t xml:space="preserve"> kao dio</w:t>
      </w:r>
      <w:r w:rsidRPr="00E845ED">
        <w:rPr>
          <w:sz w:val="22"/>
          <w:szCs w:val="22"/>
          <w:lang w:val="sr-Latn-ME"/>
        </w:rPr>
        <w:t xml:space="preserve"> tehnik</w:t>
      </w:r>
      <w:r w:rsidR="009048F6" w:rsidRPr="00E845ED">
        <w:rPr>
          <w:sz w:val="22"/>
          <w:szCs w:val="22"/>
          <w:lang w:val="sr-Latn-ME"/>
        </w:rPr>
        <w:t>e</w:t>
      </w:r>
      <w:r w:rsidRPr="00E845ED">
        <w:rPr>
          <w:sz w:val="22"/>
          <w:szCs w:val="22"/>
          <w:lang w:val="sr-Latn-ME"/>
        </w:rPr>
        <w:t xml:space="preserve"> brzog uvođenja u anesteziju.</w:t>
      </w:r>
      <w:r w:rsidR="00413C47" w:rsidRPr="00E845ED">
        <w:rPr>
          <w:lang w:val="sr-Latn-ME"/>
        </w:rPr>
        <w:t xml:space="preserve"> </w:t>
      </w:r>
    </w:p>
    <w:p w14:paraId="722C161B" w14:textId="77777777" w:rsidR="008F0875" w:rsidRPr="00E845ED" w:rsidRDefault="008F0875" w:rsidP="005C47CD">
      <w:pPr>
        <w:tabs>
          <w:tab w:val="left" w:pos="540"/>
          <w:tab w:val="left" w:pos="569"/>
        </w:tabs>
        <w:jc w:val="both"/>
        <w:rPr>
          <w:sz w:val="22"/>
          <w:szCs w:val="22"/>
          <w:lang w:val="sr-Latn-ME"/>
        </w:rPr>
      </w:pPr>
    </w:p>
    <w:p w14:paraId="2058F782" w14:textId="3E5E7E1C" w:rsidR="008F0875" w:rsidRPr="00E845ED" w:rsidRDefault="008F0875" w:rsidP="000B2BC5">
      <w:pPr>
        <w:tabs>
          <w:tab w:val="left" w:pos="540"/>
          <w:tab w:val="left" w:pos="569"/>
        </w:tabs>
        <w:jc w:val="both"/>
        <w:rPr>
          <w:sz w:val="22"/>
          <w:szCs w:val="22"/>
          <w:lang w:val="sr-Latn-ME"/>
        </w:rPr>
      </w:pPr>
      <w:r w:rsidRPr="00E845ED">
        <w:rPr>
          <w:sz w:val="22"/>
          <w:szCs w:val="22"/>
          <w:lang w:val="sr-Latn-ME"/>
        </w:rPr>
        <w:t xml:space="preserve">Kao i kod ostalih neuromuskularnih blokatora, zabilježena je i rezidualna neuromuskularna blokada kod primjene rokuronijum bromida. Da bi se spriječile komplikacije koje su rezultat </w:t>
      </w:r>
      <w:r w:rsidR="00C45F77" w:rsidRPr="00E845ED">
        <w:rPr>
          <w:sz w:val="22"/>
          <w:szCs w:val="22"/>
          <w:lang w:val="sr-Latn-ME"/>
        </w:rPr>
        <w:t xml:space="preserve">rezidualnog </w:t>
      </w:r>
      <w:r w:rsidRPr="00E845ED">
        <w:rPr>
          <w:sz w:val="22"/>
          <w:szCs w:val="22"/>
          <w:lang w:val="sr-Latn-ME"/>
        </w:rPr>
        <w:t xml:space="preserve">neuromuskularnog bloka, preporučuje se ekstubacija tek nakon što se pacijent dovoljno oporavi od neuromuskularnog bloka. Gerijatrijski pacijenti (stariji od 65 godina) mogu imati povećan rizik </w:t>
      </w:r>
      <w:r w:rsidR="009A40CC" w:rsidRPr="00E845ED">
        <w:rPr>
          <w:sz w:val="22"/>
          <w:szCs w:val="22"/>
          <w:lang w:val="sr-Latn-ME"/>
        </w:rPr>
        <w:t xml:space="preserve">od rezidualnog </w:t>
      </w:r>
      <w:r w:rsidRPr="00E845ED">
        <w:rPr>
          <w:sz w:val="22"/>
          <w:szCs w:val="22"/>
          <w:lang w:val="sr-Latn-ME"/>
        </w:rPr>
        <w:t xml:space="preserve">neuromuskularnog bloka. Ostale faktore koji mogu izazvati rezidualnu neuromuskularnu blokadu nakon ekstubacije u postoperativnoj fazi (kao što su interakcije ljekova ili stanje pacijenta) takođe treba uzeti u obzir. Ako se ne koristi kao dio standardne kliničke prakse, treba razmotriti </w:t>
      </w:r>
      <w:r w:rsidR="00C45F77" w:rsidRPr="00E845ED">
        <w:rPr>
          <w:sz w:val="22"/>
          <w:szCs w:val="22"/>
          <w:lang w:val="sr-Latn-ME"/>
        </w:rPr>
        <w:t>korišćenje sredstava za reverziju (kupiranje) dejstva (kao što su sugamadeks ili inhibitori acetilholinesteraze)</w:t>
      </w:r>
      <w:r w:rsidRPr="00E845ED">
        <w:rPr>
          <w:sz w:val="22"/>
          <w:szCs w:val="22"/>
          <w:lang w:val="sr-Latn-ME"/>
        </w:rPr>
        <w:t xml:space="preserve">, naročito u </w:t>
      </w:r>
      <w:r w:rsidR="00C42F19" w:rsidRPr="00E845ED">
        <w:rPr>
          <w:sz w:val="22"/>
          <w:szCs w:val="22"/>
          <w:lang w:val="sr-Latn-ME"/>
        </w:rPr>
        <w:t xml:space="preserve">slučajevima kada postoji veća vjerovatnoća pojave </w:t>
      </w:r>
      <w:r w:rsidRPr="00E845ED">
        <w:rPr>
          <w:sz w:val="22"/>
          <w:szCs w:val="22"/>
          <w:lang w:val="sr-Latn-ME"/>
        </w:rPr>
        <w:t>rezidualne neuromuskularne blokade.</w:t>
      </w:r>
    </w:p>
    <w:p w14:paraId="3D666304" w14:textId="1BF169EC" w:rsidR="00310A15" w:rsidRPr="00E845ED" w:rsidRDefault="00310A15">
      <w:pPr>
        <w:tabs>
          <w:tab w:val="left" w:pos="540"/>
          <w:tab w:val="left" w:pos="569"/>
        </w:tabs>
        <w:jc w:val="both"/>
        <w:rPr>
          <w:sz w:val="22"/>
          <w:szCs w:val="22"/>
          <w:lang w:val="sr-Latn-ME"/>
        </w:rPr>
      </w:pPr>
    </w:p>
    <w:p w14:paraId="17793191" w14:textId="78F810CB" w:rsidR="00310A15" w:rsidRPr="00E845ED" w:rsidRDefault="00310A15">
      <w:pPr>
        <w:tabs>
          <w:tab w:val="left" w:pos="540"/>
          <w:tab w:val="left" w:pos="569"/>
        </w:tabs>
        <w:jc w:val="both"/>
        <w:rPr>
          <w:sz w:val="22"/>
          <w:szCs w:val="22"/>
          <w:lang w:val="sr-Latn-ME"/>
        </w:rPr>
      </w:pPr>
      <w:r w:rsidRPr="00E845ED">
        <w:rPr>
          <w:sz w:val="22"/>
          <w:szCs w:val="22"/>
          <w:lang w:val="sr-Latn-ME"/>
        </w:rPr>
        <w:t xml:space="preserve">Prijavljene su visoke stope alergijske unakrsne reaktivnosti između neuromuskularnih blokatora. Stoga, gdje je moguće, prije primjene rokuronijum bromida, treba isključiti hipersenzitivnost na druge neuromišićne blokatore. Rokuronijum bromid treba koristiti samo kada je to apsolutno neophodno kod osjetljivih pacijenata. Pacijente koji dožive reakciju hipersenzitivnosti pod opštom anestezijom treba naknadno testirati na </w:t>
      </w:r>
      <w:r w:rsidR="007655FC" w:rsidRPr="00E845ED">
        <w:rPr>
          <w:sz w:val="22"/>
          <w:szCs w:val="22"/>
          <w:lang w:val="sr-Latn-ME"/>
        </w:rPr>
        <w:t>hipersenzitivnost</w:t>
      </w:r>
      <w:r w:rsidRPr="00E845ED">
        <w:rPr>
          <w:sz w:val="22"/>
          <w:szCs w:val="22"/>
          <w:lang w:val="sr-Latn-ME"/>
        </w:rPr>
        <w:t xml:space="preserve"> na druge neuromišićne blokatore.</w:t>
      </w:r>
    </w:p>
    <w:p w14:paraId="38F30551" w14:textId="77777777" w:rsidR="002073D1" w:rsidRPr="00E845ED" w:rsidRDefault="002073D1">
      <w:pPr>
        <w:tabs>
          <w:tab w:val="left" w:pos="540"/>
          <w:tab w:val="left" w:pos="569"/>
        </w:tabs>
        <w:jc w:val="both"/>
        <w:rPr>
          <w:sz w:val="22"/>
          <w:szCs w:val="22"/>
          <w:lang w:val="sr-Latn-ME"/>
        </w:rPr>
      </w:pPr>
    </w:p>
    <w:p w14:paraId="00BCE402" w14:textId="77777777" w:rsidR="008F0875" w:rsidRPr="00E845ED" w:rsidRDefault="008F0875">
      <w:pPr>
        <w:tabs>
          <w:tab w:val="left" w:pos="540"/>
          <w:tab w:val="left" w:pos="569"/>
        </w:tabs>
        <w:jc w:val="both"/>
        <w:rPr>
          <w:sz w:val="22"/>
          <w:szCs w:val="22"/>
          <w:lang w:val="sr-Latn-ME"/>
        </w:rPr>
      </w:pPr>
      <w:r w:rsidRPr="00E845ED">
        <w:rPr>
          <w:sz w:val="22"/>
          <w:szCs w:val="22"/>
          <w:lang w:val="sr-Latn-ME"/>
        </w:rPr>
        <w:t>Rokuronijum može da poveća brzinu srčanog rada.</w:t>
      </w:r>
    </w:p>
    <w:p w14:paraId="6983DFE4" w14:textId="3EF13E1A" w:rsidR="008F0875" w:rsidRPr="00E845ED" w:rsidRDefault="008F0875">
      <w:pPr>
        <w:tabs>
          <w:tab w:val="left" w:pos="540"/>
          <w:tab w:val="left" w:pos="569"/>
        </w:tabs>
        <w:jc w:val="both"/>
        <w:rPr>
          <w:sz w:val="22"/>
          <w:szCs w:val="22"/>
          <w:lang w:val="sr-Latn-ME"/>
        </w:rPr>
      </w:pPr>
      <w:r w:rsidRPr="00E845ED">
        <w:rPr>
          <w:sz w:val="22"/>
          <w:szCs w:val="22"/>
          <w:lang w:val="sr-Latn-ME"/>
        </w:rPr>
        <w:t>Uopšteno, nakon dugotrajne primjene neuromuskularnih blokatora u JIN, prim</w:t>
      </w:r>
      <w:r w:rsidR="002073D1" w:rsidRPr="00E845ED">
        <w:rPr>
          <w:sz w:val="22"/>
          <w:szCs w:val="22"/>
          <w:lang w:val="sr-Latn-ME"/>
        </w:rPr>
        <w:t>i</w:t>
      </w:r>
      <w:r w:rsidRPr="00E845ED">
        <w:rPr>
          <w:sz w:val="22"/>
          <w:szCs w:val="22"/>
          <w:lang w:val="sr-Latn-ME"/>
        </w:rPr>
        <w:t xml:space="preserve">jećena je pojava produžene paralize, odnosno slabosti </w:t>
      </w:r>
      <w:r w:rsidR="002073D1" w:rsidRPr="00E845ED">
        <w:rPr>
          <w:sz w:val="22"/>
          <w:szCs w:val="22"/>
          <w:lang w:val="sr-Latn-ME"/>
        </w:rPr>
        <w:t>skeletne muskulature</w:t>
      </w:r>
      <w:r w:rsidRPr="00E845ED">
        <w:rPr>
          <w:sz w:val="22"/>
          <w:szCs w:val="22"/>
          <w:lang w:val="sr-Latn-ME"/>
        </w:rPr>
        <w:t xml:space="preserve">. Da bi se spriječilo moguće produženo trajanje neuromuskularne blokade, odnosno predoziranje, neophodno je da se vrši monitoring neuromišićne transmisije tokom upotrebe neuromuskularnih blokatora. Pored toga, pacijenti bi trebalo da dobiju odgovarajuće analgetike i </w:t>
      </w:r>
      <w:r w:rsidR="002073D1" w:rsidRPr="00E845ED">
        <w:rPr>
          <w:sz w:val="22"/>
          <w:szCs w:val="22"/>
          <w:lang w:val="sr-Latn-ME"/>
        </w:rPr>
        <w:t>sedaciju</w:t>
      </w:r>
      <w:r w:rsidRPr="00E845ED">
        <w:rPr>
          <w:sz w:val="22"/>
          <w:szCs w:val="22"/>
          <w:lang w:val="sr-Latn-ME"/>
        </w:rPr>
        <w:t>. Takođe, neuromuskularne blokatore treba titri</w:t>
      </w:r>
      <w:r w:rsidR="009048F6" w:rsidRPr="00E845ED">
        <w:rPr>
          <w:sz w:val="22"/>
          <w:szCs w:val="22"/>
          <w:lang w:val="sr-Latn-ME"/>
        </w:rPr>
        <w:t>r</w:t>
      </w:r>
      <w:r w:rsidRPr="00E845ED">
        <w:rPr>
          <w:sz w:val="22"/>
          <w:szCs w:val="22"/>
          <w:lang w:val="sr-Latn-ME"/>
        </w:rPr>
        <w:t xml:space="preserve">ati tako da im se dejstvo prilagodi pojedinačnim pacijentima ili pod nadzorom iskusnih medicinskih stručnjaka koji su upoznati sa njihovim dejstvom i </w:t>
      </w:r>
      <w:r w:rsidR="002073D1" w:rsidRPr="00E845ED">
        <w:rPr>
          <w:sz w:val="22"/>
          <w:szCs w:val="22"/>
          <w:lang w:val="sr-Latn-ME"/>
        </w:rPr>
        <w:t>tehnikama adekvatnog neuromuskularnog monitoringa,</w:t>
      </w:r>
      <w:r w:rsidR="009048F6" w:rsidRPr="00E845ED">
        <w:rPr>
          <w:sz w:val="22"/>
          <w:szCs w:val="22"/>
          <w:lang w:val="sr-Latn-ME"/>
        </w:rPr>
        <w:t xml:space="preserve"> </w:t>
      </w:r>
      <w:r w:rsidR="002073D1" w:rsidRPr="00E845ED">
        <w:rPr>
          <w:sz w:val="22"/>
          <w:szCs w:val="22"/>
          <w:lang w:val="sr-Latn-ME"/>
        </w:rPr>
        <w:t>i/ili nadgledanja primjene ovih ljekova</w:t>
      </w:r>
      <w:r w:rsidRPr="00E845ED">
        <w:rPr>
          <w:sz w:val="22"/>
          <w:szCs w:val="22"/>
          <w:lang w:val="sr-Latn-ME"/>
        </w:rPr>
        <w:t>.</w:t>
      </w:r>
    </w:p>
    <w:p w14:paraId="03310C65" w14:textId="77777777" w:rsidR="008F0875" w:rsidRPr="00E845ED" w:rsidRDefault="008F0875">
      <w:pPr>
        <w:tabs>
          <w:tab w:val="left" w:pos="540"/>
          <w:tab w:val="left" w:pos="569"/>
        </w:tabs>
        <w:jc w:val="both"/>
        <w:rPr>
          <w:sz w:val="22"/>
          <w:szCs w:val="22"/>
          <w:lang w:val="sr-Latn-ME"/>
        </w:rPr>
      </w:pPr>
    </w:p>
    <w:p w14:paraId="0BB5201D" w14:textId="77777777" w:rsidR="008F0875" w:rsidRPr="00E845ED" w:rsidRDefault="008F0875">
      <w:pPr>
        <w:tabs>
          <w:tab w:val="left" w:pos="540"/>
          <w:tab w:val="left" w:pos="569"/>
        </w:tabs>
        <w:jc w:val="both"/>
        <w:rPr>
          <w:sz w:val="22"/>
          <w:szCs w:val="22"/>
          <w:lang w:val="sr-Latn-ME"/>
        </w:rPr>
      </w:pPr>
      <w:r w:rsidRPr="00E845ED">
        <w:rPr>
          <w:sz w:val="22"/>
          <w:szCs w:val="22"/>
          <w:lang w:val="sr-Latn-ME"/>
        </w:rPr>
        <w:t>Često se javlja miopatija nakon dugotrajne primjene drugih nedepolarizujućih sredstava za neuromuskularnu blokadu u JIN u kombinaciji sa terapijom kortikosteroidima. Stoga, kod pacijenata kod kojih se primjenjuju i neuromuskularni blokatori i kortikosteroidi, period primjene neuromuskularnih blokatora treba ograničiti što je više moguće.</w:t>
      </w:r>
    </w:p>
    <w:p w14:paraId="3E9DAC77" w14:textId="77777777" w:rsidR="008F0875" w:rsidRPr="00E845ED" w:rsidRDefault="008F0875">
      <w:pPr>
        <w:tabs>
          <w:tab w:val="left" w:pos="540"/>
          <w:tab w:val="left" w:pos="569"/>
        </w:tabs>
        <w:jc w:val="both"/>
        <w:rPr>
          <w:sz w:val="22"/>
          <w:szCs w:val="22"/>
          <w:lang w:val="sr-Latn-ME"/>
        </w:rPr>
      </w:pPr>
    </w:p>
    <w:p w14:paraId="41EE16FB" w14:textId="17F6459E" w:rsidR="008F0875" w:rsidRPr="00E845ED" w:rsidRDefault="008F0875">
      <w:pPr>
        <w:tabs>
          <w:tab w:val="left" w:pos="540"/>
          <w:tab w:val="left" w:pos="569"/>
        </w:tabs>
        <w:jc w:val="both"/>
        <w:rPr>
          <w:sz w:val="22"/>
          <w:szCs w:val="22"/>
          <w:lang w:val="sr-Latn-ME"/>
        </w:rPr>
      </w:pPr>
      <w:r w:rsidRPr="00E845ED">
        <w:rPr>
          <w:sz w:val="22"/>
          <w:szCs w:val="22"/>
          <w:lang w:val="sr-Latn-ME"/>
        </w:rPr>
        <w:t>Ako se suk</w:t>
      </w:r>
      <w:r w:rsidR="006E04BE" w:rsidRPr="00E845ED">
        <w:rPr>
          <w:sz w:val="22"/>
          <w:szCs w:val="22"/>
          <w:lang w:val="sr-Latn-ME"/>
        </w:rPr>
        <w:t>s</w:t>
      </w:r>
      <w:r w:rsidRPr="00E845ED">
        <w:rPr>
          <w:sz w:val="22"/>
          <w:szCs w:val="22"/>
          <w:lang w:val="sr-Latn-ME"/>
        </w:rPr>
        <w:t>ametonijum koristi za intubaciju, primjena rokuronijum bromida treba da bude odložena sve dok se pacijent klinički ne oporavi od neuromuskularne blokade indukovane suksametonijumom.</w:t>
      </w:r>
    </w:p>
    <w:p w14:paraId="65F469DB" w14:textId="77777777" w:rsidR="008F0875" w:rsidRPr="00E845ED" w:rsidRDefault="008F0875">
      <w:pPr>
        <w:tabs>
          <w:tab w:val="left" w:pos="540"/>
          <w:tab w:val="left" w:pos="569"/>
        </w:tabs>
        <w:jc w:val="both"/>
        <w:rPr>
          <w:sz w:val="22"/>
          <w:szCs w:val="22"/>
          <w:lang w:val="sr-Latn-ME"/>
        </w:rPr>
      </w:pPr>
    </w:p>
    <w:p w14:paraId="6C8DEC1E" w14:textId="1695DAA1" w:rsidR="008F0875" w:rsidRPr="00E845ED" w:rsidRDefault="008F0875">
      <w:pPr>
        <w:tabs>
          <w:tab w:val="left" w:pos="540"/>
          <w:tab w:val="left" w:pos="569"/>
        </w:tabs>
        <w:jc w:val="both"/>
        <w:rPr>
          <w:sz w:val="22"/>
          <w:szCs w:val="22"/>
          <w:lang w:val="sr-Latn-ME"/>
        </w:rPr>
      </w:pPr>
      <w:r w:rsidRPr="00E845ED">
        <w:rPr>
          <w:sz w:val="22"/>
          <w:szCs w:val="22"/>
          <w:lang w:val="sr-Latn-ME"/>
        </w:rPr>
        <w:t>Budući da se rokuronijum bromid uvijek koristi sa drugim ljekovima i zbog rizika od maligne hipertermije tokom anestezije, čak i u nedostatku poznatih faktora okidača, ljekari treba da prepoznaju rane simptome, potvrdne dijagnoze i liječenje maligne hipertermije prije početka primjene anestezije. Studije na životinjama pokazale su da rokuronijum bromid nije faktor okidač za pojavu maligne hipertermije. Zab</w:t>
      </w:r>
      <w:r w:rsidR="002073D1" w:rsidRPr="00E845ED">
        <w:rPr>
          <w:sz w:val="22"/>
          <w:szCs w:val="22"/>
          <w:lang w:val="sr-Latn-ME"/>
        </w:rPr>
        <w:t>ilje</w:t>
      </w:r>
      <w:r w:rsidRPr="00E845ED">
        <w:rPr>
          <w:sz w:val="22"/>
          <w:szCs w:val="22"/>
          <w:lang w:val="sr-Latn-ME"/>
        </w:rPr>
        <w:t>ženi su rijetki slučajevi maligne hipertermije nakon primjene rokuronijum bromida tokom ispitivanja nakon stavljanja lijeka u promet; međutim, kauzalna povezanost nije dokazana.</w:t>
      </w:r>
    </w:p>
    <w:p w14:paraId="1BA83AE1" w14:textId="77777777" w:rsidR="008F0875" w:rsidRPr="00E845ED" w:rsidRDefault="008F0875">
      <w:pPr>
        <w:tabs>
          <w:tab w:val="left" w:pos="540"/>
          <w:tab w:val="left" w:pos="569"/>
        </w:tabs>
        <w:jc w:val="both"/>
        <w:rPr>
          <w:sz w:val="22"/>
          <w:szCs w:val="22"/>
          <w:lang w:val="sr-Latn-ME"/>
        </w:rPr>
      </w:pPr>
    </w:p>
    <w:p w14:paraId="1FE78682" w14:textId="77777777" w:rsidR="008F0875" w:rsidRPr="00E845ED" w:rsidRDefault="008F0875">
      <w:pPr>
        <w:tabs>
          <w:tab w:val="left" w:pos="540"/>
          <w:tab w:val="left" w:pos="569"/>
        </w:tabs>
        <w:jc w:val="both"/>
        <w:rPr>
          <w:b/>
          <w:bCs/>
          <w:sz w:val="22"/>
          <w:szCs w:val="22"/>
          <w:lang w:val="sr-Latn-ME"/>
        </w:rPr>
      </w:pPr>
      <w:r w:rsidRPr="00E845ED">
        <w:rPr>
          <w:b/>
          <w:bCs/>
          <w:sz w:val="22"/>
          <w:szCs w:val="22"/>
          <w:lang w:val="sr-Latn-ME"/>
        </w:rPr>
        <w:t>Sljedeća stanja mogu uticati na farmakokinetiku i/ili farmakodinamiku rokuronijum bromida</w:t>
      </w:r>
    </w:p>
    <w:p w14:paraId="101FE89F" w14:textId="77777777" w:rsidR="008F0875" w:rsidRPr="00E845ED" w:rsidRDefault="008F0875">
      <w:pPr>
        <w:tabs>
          <w:tab w:val="left" w:pos="540"/>
          <w:tab w:val="left" w:pos="569"/>
        </w:tabs>
        <w:jc w:val="both"/>
        <w:rPr>
          <w:sz w:val="22"/>
          <w:szCs w:val="22"/>
          <w:lang w:val="sr-Latn-ME"/>
        </w:rPr>
      </w:pPr>
    </w:p>
    <w:p w14:paraId="332BC280"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Bolesti jetre i/ili bilijarnog trakta i renalna insuficijencija</w:t>
      </w:r>
    </w:p>
    <w:p w14:paraId="30D17ED2" w14:textId="37BD2D7F" w:rsidR="008F0875" w:rsidRPr="00E845ED" w:rsidRDefault="008F0875">
      <w:pPr>
        <w:tabs>
          <w:tab w:val="left" w:pos="540"/>
          <w:tab w:val="left" w:pos="569"/>
        </w:tabs>
        <w:jc w:val="both"/>
        <w:rPr>
          <w:sz w:val="22"/>
          <w:szCs w:val="22"/>
          <w:lang w:val="sr-Latn-ME"/>
        </w:rPr>
      </w:pPr>
      <w:r w:rsidRPr="00E845ED">
        <w:rPr>
          <w:sz w:val="22"/>
          <w:szCs w:val="22"/>
          <w:lang w:val="sr-Latn-ME"/>
        </w:rPr>
        <w:t>Budući da se rokuronijum izlučuje u urin</w:t>
      </w:r>
      <w:r w:rsidR="000B2BC5" w:rsidRPr="00E845ED">
        <w:rPr>
          <w:sz w:val="22"/>
          <w:szCs w:val="22"/>
          <w:lang w:val="sr-Latn-ME"/>
        </w:rPr>
        <w:t>u</w:t>
      </w:r>
      <w:r w:rsidRPr="00E845ED">
        <w:rPr>
          <w:sz w:val="22"/>
          <w:szCs w:val="22"/>
          <w:lang w:val="sr-Latn-ME"/>
        </w:rPr>
        <w:t xml:space="preserve"> i žuč</w:t>
      </w:r>
      <w:r w:rsidR="000B2BC5" w:rsidRPr="00E845ED">
        <w:rPr>
          <w:sz w:val="22"/>
          <w:szCs w:val="22"/>
          <w:lang w:val="sr-Latn-ME"/>
        </w:rPr>
        <w:t>i</w:t>
      </w:r>
      <w:r w:rsidRPr="00E845ED">
        <w:rPr>
          <w:sz w:val="22"/>
          <w:szCs w:val="22"/>
          <w:lang w:val="sr-Latn-ME"/>
        </w:rPr>
        <w:t xml:space="preserve">, treba ga koristiti sa oprezom kod pacijenata sa klinički značajnim </w:t>
      </w:r>
      <w:r w:rsidR="005B3467" w:rsidRPr="00E845ED">
        <w:rPr>
          <w:sz w:val="22"/>
          <w:szCs w:val="22"/>
          <w:lang w:val="sr-Latn-ME"/>
        </w:rPr>
        <w:t>oboljenjima</w:t>
      </w:r>
      <w:r w:rsidRPr="00E845ED">
        <w:rPr>
          <w:sz w:val="22"/>
          <w:szCs w:val="22"/>
          <w:lang w:val="sr-Latn-ME"/>
        </w:rPr>
        <w:t xml:space="preserve"> jetre, odnosno bolestima bilijarnog trakta, odnosno renalnom insuficijencijom. </w:t>
      </w:r>
      <w:r w:rsidR="005B3467" w:rsidRPr="00E845ED">
        <w:rPr>
          <w:sz w:val="22"/>
          <w:szCs w:val="22"/>
          <w:lang w:val="sr-Latn-ME"/>
        </w:rPr>
        <w:t>Kod ovih grupa pacijenata</w:t>
      </w:r>
      <w:r w:rsidRPr="00E845ED">
        <w:rPr>
          <w:sz w:val="22"/>
          <w:szCs w:val="22"/>
          <w:lang w:val="sr-Latn-ME"/>
        </w:rPr>
        <w:t xml:space="preserve"> prim</w:t>
      </w:r>
      <w:r w:rsidR="006E04BE" w:rsidRPr="00E845ED">
        <w:rPr>
          <w:sz w:val="22"/>
          <w:szCs w:val="22"/>
          <w:lang w:val="sr-Latn-ME"/>
        </w:rPr>
        <w:t>i</w:t>
      </w:r>
      <w:r w:rsidRPr="00E845ED">
        <w:rPr>
          <w:sz w:val="22"/>
          <w:szCs w:val="22"/>
          <w:lang w:val="sr-Latn-ME"/>
        </w:rPr>
        <w:t xml:space="preserve">jećeno je produženo </w:t>
      </w:r>
      <w:r w:rsidR="005B3467" w:rsidRPr="00E845ED">
        <w:rPr>
          <w:sz w:val="22"/>
          <w:szCs w:val="22"/>
          <w:lang w:val="sr-Latn-ME"/>
        </w:rPr>
        <w:t>trajanje dejstva</w:t>
      </w:r>
      <w:r w:rsidRPr="00E845ED">
        <w:rPr>
          <w:sz w:val="22"/>
          <w:szCs w:val="22"/>
          <w:lang w:val="sr-Latn-ME"/>
        </w:rPr>
        <w:t xml:space="preserve"> kod primjene doza od 0,6 mg/kg rokuronijum bromida.</w:t>
      </w:r>
    </w:p>
    <w:p w14:paraId="6FFAFB5A" w14:textId="77777777" w:rsidR="008F0875" w:rsidRPr="00E845ED" w:rsidRDefault="008F0875">
      <w:pPr>
        <w:tabs>
          <w:tab w:val="left" w:pos="540"/>
          <w:tab w:val="left" w:pos="569"/>
        </w:tabs>
        <w:jc w:val="both"/>
        <w:rPr>
          <w:sz w:val="22"/>
          <w:szCs w:val="22"/>
          <w:lang w:val="sr-Latn-ME"/>
        </w:rPr>
      </w:pPr>
    </w:p>
    <w:p w14:paraId="0A89AD53"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Produženo vrijeme cirkulacije</w:t>
      </w:r>
    </w:p>
    <w:p w14:paraId="5ECB05EB" w14:textId="77B1B9C7" w:rsidR="008F0875" w:rsidRPr="00E845ED" w:rsidRDefault="008F0875">
      <w:pPr>
        <w:tabs>
          <w:tab w:val="left" w:pos="540"/>
          <w:tab w:val="left" w:pos="569"/>
        </w:tabs>
        <w:jc w:val="both"/>
        <w:rPr>
          <w:sz w:val="22"/>
          <w:szCs w:val="22"/>
          <w:lang w:val="sr-Latn-ME"/>
        </w:rPr>
      </w:pPr>
      <w:r w:rsidRPr="00E845ED">
        <w:rPr>
          <w:sz w:val="22"/>
          <w:szCs w:val="22"/>
          <w:lang w:val="sr-Latn-ME"/>
        </w:rPr>
        <w:t>Uslovi povezani sa produženim vremenom cirkulacije, kao što su kardiovaskularne bolesti, starost i edematozno stanje koje rezultira povećan</w:t>
      </w:r>
      <w:r w:rsidR="002F371B" w:rsidRPr="00E845ED">
        <w:rPr>
          <w:sz w:val="22"/>
          <w:szCs w:val="22"/>
          <w:lang w:val="sr-Latn-ME"/>
        </w:rPr>
        <w:t>i</w:t>
      </w:r>
      <w:r w:rsidRPr="00E845ED">
        <w:rPr>
          <w:sz w:val="22"/>
          <w:szCs w:val="22"/>
          <w:lang w:val="sr-Latn-ME"/>
        </w:rPr>
        <w:t>m volumenom distribucije, mogu doprinijeti sporijem početku djelovanja. Dužina dejstva takođe može biti produžena zbog smanjenog klirensa iz plazme.</w:t>
      </w:r>
    </w:p>
    <w:p w14:paraId="2DAEEE20" w14:textId="1C739207" w:rsidR="008F0875" w:rsidRPr="00E845ED" w:rsidRDefault="008F0875">
      <w:pPr>
        <w:tabs>
          <w:tab w:val="left" w:pos="540"/>
          <w:tab w:val="left" w:pos="569"/>
        </w:tabs>
        <w:jc w:val="both"/>
        <w:rPr>
          <w:sz w:val="22"/>
          <w:szCs w:val="22"/>
          <w:lang w:val="sr-Latn-ME"/>
        </w:rPr>
      </w:pPr>
    </w:p>
    <w:p w14:paraId="18B5E406" w14:textId="77777777" w:rsidR="00FB4552" w:rsidRPr="00E845ED" w:rsidRDefault="00FB4552">
      <w:pPr>
        <w:tabs>
          <w:tab w:val="left" w:pos="540"/>
          <w:tab w:val="left" w:pos="569"/>
        </w:tabs>
        <w:jc w:val="both"/>
        <w:rPr>
          <w:sz w:val="22"/>
          <w:szCs w:val="22"/>
          <w:lang w:val="sr-Latn-ME"/>
        </w:rPr>
      </w:pPr>
    </w:p>
    <w:p w14:paraId="2AF20EBA"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lastRenderedPageBreak/>
        <w:t>Neuromuskularno oboljenje</w:t>
      </w:r>
    </w:p>
    <w:p w14:paraId="232BCBE4" w14:textId="6F659F16" w:rsidR="008F0875" w:rsidRPr="00E845ED" w:rsidRDefault="008F0875">
      <w:pPr>
        <w:tabs>
          <w:tab w:val="left" w:pos="540"/>
          <w:tab w:val="left" w:pos="569"/>
        </w:tabs>
        <w:jc w:val="both"/>
        <w:rPr>
          <w:sz w:val="22"/>
          <w:szCs w:val="22"/>
          <w:lang w:val="sr-Latn-ME"/>
        </w:rPr>
      </w:pPr>
      <w:r w:rsidRPr="00E845ED">
        <w:rPr>
          <w:sz w:val="22"/>
          <w:szCs w:val="22"/>
          <w:lang w:val="sr-Latn-ME"/>
        </w:rPr>
        <w:t>Kao i drugi neuromuskularni blokatori, rokuronijum bromid treba primjenjivati sa izuzetnim oprezom kod pacijenata sa neuromuskularnim oboljenjima ili nakon poliomielitisa, jer se u tim slučajevima reakcija na neuromuskularne blokatore može značajno izm</w:t>
      </w:r>
      <w:r w:rsidR="002F371B" w:rsidRPr="00E845ED">
        <w:rPr>
          <w:sz w:val="22"/>
          <w:szCs w:val="22"/>
          <w:lang w:val="sr-Latn-ME"/>
        </w:rPr>
        <w:t>i</w:t>
      </w:r>
      <w:r w:rsidRPr="00E845ED">
        <w:rPr>
          <w:sz w:val="22"/>
          <w:szCs w:val="22"/>
          <w:lang w:val="sr-Latn-ME"/>
        </w:rPr>
        <w:t>jeniti. Jačina i smjer ove promjene mogu se veoma razlikovati. Kod pacijenata sa miastenijom gravis ili miasteničnim sindromom (Eaton-Lambert), male doze rokuronijum bromida mogu imati zn</w:t>
      </w:r>
      <w:r w:rsidR="00B27734" w:rsidRPr="00E845ED">
        <w:rPr>
          <w:sz w:val="22"/>
          <w:szCs w:val="22"/>
          <w:lang w:val="sr-Latn-ME"/>
        </w:rPr>
        <w:t>a</w:t>
      </w:r>
      <w:r w:rsidRPr="00E845ED">
        <w:rPr>
          <w:sz w:val="22"/>
          <w:szCs w:val="22"/>
          <w:lang w:val="sr-Latn-ME"/>
        </w:rPr>
        <w:t>č</w:t>
      </w:r>
      <w:r w:rsidR="00B27734" w:rsidRPr="00E845ED">
        <w:rPr>
          <w:sz w:val="22"/>
          <w:szCs w:val="22"/>
          <w:lang w:val="sr-Latn-ME"/>
        </w:rPr>
        <w:t>aj</w:t>
      </w:r>
      <w:r w:rsidRPr="00E845ED">
        <w:rPr>
          <w:sz w:val="22"/>
          <w:szCs w:val="22"/>
          <w:lang w:val="sr-Latn-ME"/>
        </w:rPr>
        <w:t>ne efekte i rokuronijum bromid treba prilagoditi u odnosu na reakciju.</w:t>
      </w:r>
    </w:p>
    <w:p w14:paraId="6239A6E5" w14:textId="77777777" w:rsidR="008F0875" w:rsidRPr="00E845ED" w:rsidRDefault="008F0875">
      <w:pPr>
        <w:tabs>
          <w:tab w:val="left" w:pos="540"/>
          <w:tab w:val="left" w:pos="569"/>
        </w:tabs>
        <w:jc w:val="both"/>
        <w:rPr>
          <w:sz w:val="22"/>
          <w:szCs w:val="22"/>
          <w:lang w:val="sr-Latn-ME"/>
        </w:rPr>
      </w:pPr>
    </w:p>
    <w:p w14:paraId="58C47A74"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Hipotermija</w:t>
      </w:r>
    </w:p>
    <w:p w14:paraId="049A9720" w14:textId="47E841D6" w:rsidR="008F0875" w:rsidRPr="00E845ED" w:rsidRDefault="008F0875">
      <w:pPr>
        <w:tabs>
          <w:tab w:val="left" w:pos="540"/>
          <w:tab w:val="left" w:pos="569"/>
        </w:tabs>
        <w:jc w:val="both"/>
        <w:rPr>
          <w:sz w:val="22"/>
          <w:szCs w:val="22"/>
          <w:lang w:val="sr-Latn-ME"/>
        </w:rPr>
      </w:pPr>
      <w:r w:rsidRPr="00E845ED">
        <w:rPr>
          <w:sz w:val="22"/>
          <w:szCs w:val="22"/>
          <w:lang w:val="sr-Latn-ME"/>
        </w:rPr>
        <w:t xml:space="preserve">Kod hirurških intervencija u hipotermičkim uslovima, </w:t>
      </w:r>
      <w:r w:rsidR="00B27734" w:rsidRPr="00E845ED">
        <w:rPr>
          <w:sz w:val="22"/>
          <w:szCs w:val="22"/>
          <w:lang w:val="sr-Latn-ME"/>
        </w:rPr>
        <w:t>efekat</w:t>
      </w:r>
      <w:r w:rsidRPr="00E845ED">
        <w:rPr>
          <w:sz w:val="22"/>
          <w:szCs w:val="22"/>
          <w:lang w:val="sr-Latn-ME"/>
        </w:rPr>
        <w:t xml:space="preserve"> neuromuskularne blokade usljed primjene rokuronijum bromida je pojačan, a trajanje produženo.</w:t>
      </w:r>
    </w:p>
    <w:p w14:paraId="39A45814" w14:textId="77777777" w:rsidR="008F0875" w:rsidRPr="00E845ED" w:rsidRDefault="008F0875">
      <w:pPr>
        <w:tabs>
          <w:tab w:val="left" w:pos="540"/>
          <w:tab w:val="left" w:pos="569"/>
        </w:tabs>
        <w:jc w:val="both"/>
        <w:rPr>
          <w:sz w:val="22"/>
          <w:szCs w:val="22"/>
          <w:lang w:val="sr-Latn-ME"/>
        </w:rPr>
      </w:pPr>
    </w:p>
    <w:p w14:paraId="70D3CC9B"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Gojaznost</w:t>
      </w:r>
    </w:p>
    <w:p w14:paraId="085D523E" w14:textId="128BDCBD" w:rsidR="008F0875" w:rsidRPr="00E845ED" w:rsidRDefault="008F0875">
      <w:pPr>
        <w:tabs>
          <w:tab w:val="left" w:pos="540"/>
          <w:tab w:val="left" w:pos="569"/>
        </w:tabs>
        <w:jc w:val="both"/>
        <w:rPr>
          <w:sz w:val="22"/>
          <w:szCs w:val="22"/>
          <w:lang w:val="sr-Latn-ME"/>
        </w:rPr>
      </w:pPr>
      <w:r w:rsidRPr="00E845ED">
        <w:rPr>
          <w:sz w:val="22"/>
          <w:szCs w:val="22"/>
          <w:lang w:val="sr-Latn-ME"/>
        </w:rPr>
        <w:t>Kao i drugi neuromuskularni blokatori, rokuronijum bromid može imati dugotrajno dejstvo i dovesti do kasnijeg spontanog oporavka kod gojaznih pacijenata kada se prim</w:t>
      </w:r>
      <w:r w:rsidR="00B27734" w:rsidRPr="00E845ED">
        <w:rPr>
          <w:sz w:val="22"/>
          <w:szCs w:val="22"/>
          <w:lang w:val="sr-Latn-ME"/>
        </w:rPr>
        <w:t>i</w:t>
      </w:r>
      <w:r w:rsidRPr="00E845ED">
        <w:rPr>
          <w:sz w:val="22"/>
          <w:szCs w:val="22"/>
          <w:lang w:val="sr-Latn-ME"/>
        </w:rPr>
        <w:t>jenjene doze računaju u odnosu na stvarnu tjelesnu masu.</w:t>
      </w:r>
    </w:p>
    <w:p w14:paraId="7F28D8C8" w14:textId="77777777" w:rsidR="008F0875" w:rsidRPr="00E845ED" w:rsidRDefault="008F0875">
      <w:pPr>
        <w:tabs>
          <w:tab w:val="left" w:pos="540"/>
          <w:tab w:val="left" w:pos="569"/>
        </w:tabs>
        <w:jc w:val="both"/>
        <w:rPr>
          <w:sz w:val="22"/>
          <w:szCs w:val="22"/>
          <w:lang w:val="sr-Latn-ME"/>
        </w:rPr>
      </w:pPr>
    </w:p>
    <w:p w14:paraId="5D115CB4"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Opekotine</w:t>
      </w:r>
    </w:p>
    <w:p w14:paraId="7E1E3C87" w14:textId="77777777" w:rsidR="008F0875" w:rsidRPr="00E845ED" w:rsidRDefault="008F0875">
      <w:pPr>
        <w:tabs>
          <w:tab w:val="left" w:pos="540"/>
          <w:tab w:val="left" w:pos="569"/>
        </w:tabs>
        <w:jc w:val="both"/>
        <w:rPr>
          <w:sz w:val="22"/>
          <w:szCs w:val="22"/>
          <w:lang w:val="sr-Latn-ME"/>
        </w:rPr>
      </w:pPr>
      <w:r w:rsidRPr="00E845ED">
        <w:rPr>
          <w:sz w:val="22"/>
          <w:szCs w:val="22"/>
          <w:lang w:val="sr-Latn-ME"/>
        </w:rPr>
        <w:t>Poznato je da pacijenti sa opekotinama razvijaju otpornost na nedepolarizujuće neuromuskularne blokatore. Preporučuje se da se doza prilagodi reakciji pacijenta.</w:t>
      </w:r>
    </w:p>
    <w:p w14:paraId="690510C2" w14:textId="1D2DB6E9" w:rsidR="008F0875" w:rsidRPr="00E845ED" w:rsidRDefault="008F0875">
      <w:pPr>
        <w:tabs>
          <w:tab w:val="left" w:pos="540"/>
          <w:tab w:val="left" w:pos="569"/>
        </w:tabs>
        <w:jc w:val="both"/>
        <w:rPr>
          <w:sz w:val="22"/>
          <w:szCs w:val="22"/>
          <w:lang w:val="sr-Latn-ME"/>
        </w:rPr>
      </w:pPr>
    </w:p>
    <w:p w14:paraId="0260DD4A" w14:textId="34329924" w:rsidR="008F0875" w:rsidRPr="00E845ED" w:rsidRDefault="008F0875">
      <w:pPr>
        <w:tabs>
          <w:tab w:val="left" w:pos="540"/>
          <w:tab w:val="left" w:pos="569"/>
        </w:tabs>
        <w:jc w:val="both"/>
        <w:rPr>
          <w:b/>
          <w:bCs/>
          <w:sz w:val="22"/>
          <w:szCs w:val="22"/>
          <w:lang w:val="sr-Latn-ME"/>
        </w:rPr>
      </w:pPr>
      <w:r w:rsidRPr="00E845ED">
        <w:rPr>
          <w:b/>
          <w:bCs/>
          <w:sz w:val="22"/>
          <w:szCs w:val="22"/>
          <w:lang w:val="sr-Latn-ME"/>
        </w:rPr>
        <w:t xml:space="preserve">Stanja koja mogu povećati dejstva rokuronijum </w:t>
      </w:r>
      <w:r w:rsidR="00386A27" w:rsidRPr="00E845ED">
        <w:rPr>
          <w:b/>
          <w:bCs/>
          <w:sz w:val="22"/>
          <w:szCs w:val="22"/>
          <w:lang w:val="sr-Latn-ME"/>
        </w:rPr>
        <w:t>bromid</w:t>
      </w:r>
      <w:r w:rsidR="000B2BC5" w:rsidRPr="00E845ED">
        <w:rPr>
          <w:b/>
          <w:bCs/>
          <w:sz w:val="22"/>
          <w:szCs w:val="22"/>
          <w:lang w:val="sr-Latn-ME"/>
        </w:rPr>
        <w:t>a</w:t>
      </w:r>
    </w:p>
    <w:p w14:paraId="51FCC652" w14:textId="77777777" w:rsidR="00386A27" w:rsidRPr="00E845ED" w:rsidRDefault="00386A27">
      <w:pPr>
        <w:tabs>
          <w:tab w:val="left" w:pos="540"/>
          <w:tab w:val="left" w:pos="569"/>
        </w:tabs>
        <w:jc w:val="both"/>
        <w:rPr>
          <w:b/>
          <w:bCs/>
          <w:sz w:val="22"/>
          <w:szCs w:val="22"/>
          <w:lang w:val="sr-Latn-ME"/>
        </w:rPr>
      </w:pPr>
    </w:p>
    <w:p w14:paraId="731067C0" w14:textId="77777777" w:rsidR="008E3196" w:rsidRPr="00E845ED" w:rsidRDefault="008F0875">
      <w:pPr>
        <w:tabs>
          <w:tab w:val="left" w:pos="540"/>
          <w:tab w:val="left" w:pos="569"/>
        </w:tabs>
        <w:jc w:val="both"/>
        <w:rPr>
          <w:sz w:val="22"/>
          <w:szCs w:val="22"/>
          <w:lang w:val="sr-Latn-ME"/>
        </w:rPr>
      </w:pPr>
      <w:r w:rsidRPr="00E845ED">
        <w:rPr>
          <w:sz w:val="22"/>
          <w:szCs w:val="22"/>
          <w:lang w:val="sr-Latn-ME"/>
        </w:rPr>
        <w:t>Hipokalijemija (npr.nakon obilnog povraćanja, dijareje i terapije diureticima), hipermagneziemija, hipokalcemija (nakon masivnih transfuzija), hipoproteinemija, dehidracija, acidoza, hiperkapnija, kaheksija.</w:t>
      </w:r>
      <w:r w:rsidR="00386A27" w:rsidRPr="00E845ED">
        <w:rPr>
          <w:sz w:val="22"/>
          <w:szCs w:val="22"/>
          <w:lang w:val="sr-Latn-ME"/>
        </w:rPr>
        <w:t xml:space="preserve"> </w:t>
      </w:r>
    </w:p>
    <w:p w14:paraId="054757C4" w14:textId="0E9E8992" w:rsidR="00057E35" w:rsidRPr="00E845ED" w:rsidRDefault="008F0875">
      <w:pPr>
        <w:tabs>
          <w:tab w:val="left" w:pos="540"/>
          <w:tab w:val="left" w:pos="569"/>
        </w:tabs>
        <w:jc w:val="both"/>
        <w:rPr>
          <w:sz w:val="22"/>
          <w:szCs w:val="22"/>
          <w:lang w:val="sr-Latn-ME"/>
        </w:rPr>
      </w:pPr>
      <w:r w:rsidRPr="00E845ED">
        <w:rPr>
          <w:sz w:val="22"/>
          <w:szCs w:val="22"/>
          <w:lang w:val="sr-Latn-ME"/>
        </w:rPr>
        <w:t>Teški poremećaji elektrolita, izm</w:t>
      </w:r>
      <w:r w:rsidR="00386A27" w:rsidRPr="00E845ED">
        <w:rPr>
          <w:sz w:val="22"/>
          <w:szCs w:val="22"/>
          <w:lang w:val="sr-Latn-ME"/>
        </w:rPr>
        <w:t>i</w:t>
      </w:r>
      <w:r w:rsidRPr="00E845ED">
        <w:rPr>
          <w:sz w:val="22"/>
          <w:szCs w:val="22"/>
          <w:lang w:val="sr-Latn-ME"/>
        </w:rPr>
        <w:t>jenjena pH krvi ili dehidracija su stanja koja mogu povećati dejstva lijeka i stoga ih treba korigovati kada je to moguće.</w:t>
      </w:r>
    </w:p>
    <w:p w14:paraId="6D90416B" w14:textId="522A9A7F" w:rsidR="00386A27" w:rsidRPr="00E845ED" w:rsidRDefault="00386A27">
      <w:pPr>
        <w:tabs>
          <w:tab w:val="left" w:pos="540"/>
          <w:tab w:val="left" w:pos="569"/>
        </w:tabs>
        <w:jc w:val="both"/>
        <w:rPr>
          <w:sz w:val="22"/>
          <w:szCs w:val="22"/>
          <w:lang w:val="sr-Latn-ME"/>
        </w:rPr>
      </w:pPr>
    </w:p>
    <w:p w14:paraId="14F53C1A" w14:textId="5769160D" w:rsidR="00386A27" w:rsidRPr="00E845ED" w:rsidRDefault="00386A27">
      <w:pPr>
        <w:tabs>
          <w:tab w:val="left" w:pos="540"/>
          <w:tab w:val="left" w:pos="569"/>
        </w:tabs>
        <w:jc w:val="both"/>
        <w:rPr>
          <w:sz w:val="22"/>
          <w:szCs w:val="22"/>
          <w:lang w:val="sr-Latn-ME"/>
        </w:rPr>
      </w:pPr>
      <w:r w:rsidRPr="00E845ED">
        <w:rPr>
          <w:sz w:val="22"/>
          <w:szCs w:val="22"/>
          <w:lang w:val="sr-Latn-ME"/>
        </w:rPr>
        <w:t>Ovaj lijek sadrži manje od 1 mmol natrijuma (23 mg) po mililitru, odnosno suštinski je bez natrijum</w:t>
      </w:r>
      <w:r w:rsidR="008E3196" w:rsidRPr="00E845ED">
        <w:rPr>
          <w:sz w:val="22"/>
          <w:szCs w:val="22"/>
          <w:lang w:val="sr-Latn-ME"/>
        </w:rPr>
        <w:t>a</w:t>
      </w:r>
      <w:r w:rsidRPr="00E845ED">
        <w:rPr>
          <w:sz w:val="22"/>
          <w:szCs w:val="22"/>
          <w:lang w:val="sr-Latn-ME"/>
        </w:rPr>
        <w:t>.</w:t>
      </w:r>
    </w:p>
    <w:p w14:paraId="1CFEB9E5" w14:textId="77777777" w:rsidR="00057E35" w:rsidRPr="00E845ED" w:rsidRDefault="00057E35" w:rsidP="00D542D8">
      <w:pPr>
        <w:tabs>
          <w:tab w:val="left" w:pos="540"/>
          <w:tab w:val="left" w:pos="569"/>
        </w:tabs>
        <w:jc w:val="both"/>
        <w:rPr>
          <w:bCs/>
          <w:sz w:val="22"/>
          <w:szCs w:val="22"/>
          <w:lang w:val="sr-Latn-ME"/>
        </w:rPr>
      </w:pPr>
    </w:p>
    <w:p w14:paraId="732E48CD" w14:textId="77777777" w:rsidR="00411B4B" w:rsidRPr="00E845ED" w:rsidRDefault="00411B4B" w:rsidP="00D542D8">
      <w:pPr>
        <w:tabs>
          <w:tab w:val="left" w:pos="540"/>
          <w:tab w:val="left" w:pos="569"/>
        </w:tabs>
        <w:jc w:val="both"/>
        <w:rPr>
          <w:b/>
          <w:bCs/>
          <w:sz w:val="22"/>
          <w:szCs w:val="22"/>
          <w:lang w:val="sr-Latn-ME"/>
        </w:rPr>
      </w:pPr>
      <w:r w:rsidRPr="00E845ED">
        <w:rPr>
          <w:b/>
          <w:bCs/>
          <w:sz w:val="22"/>
          <w:szCs w:val="22"/>
          <w:lang w:val="sr-Latn-ME"/>
        </w:rPr>
        <w:t>4.5.</w:t>
      </w:r>
      <w:r w:rsidR="000D60CC" w:rsidRPr="00E845ED">
        <w:rPr>
          <w:b/>
          <w:bCs/>
          <w:sz w:val="22"/>
          <w:szCs w:val="22"/>
          <w:lang w:val="sr-Latn-ME"/>
        </w:rPr>
        <w:tab/>
      </w:r>
      <w:r w:rsidRPr="00E845ED">
        <w:rPr>
          <w:b/>
          <w:bCs/>
          <w:sz w:val="22"/>
          <w:szCs w:val="22"/>
          <w:lang w:val="sr-Latn-ME"/>
        </w:rPr>
        <w:t>Interakcije sa drugim ljekovima i druge vrste interakcija</w:t>
      </w:r>
    </w:p>
    <w:p w14:paraId="51ABCCAB" w14:textId="7D501B7E" w:rsidR="0072020E" w:rsidRPr="00E845ED" w:rsidRDefault="0072020E" w:rsidP="00D542D8">
      <w:pPr>
        <w:tabs>
          <w:tab w:val="left" w:pos="540"/>
          <w:tab w:val="left" w:pos="569"/>
        </w:tabs>
        <w:jc w:val="both"/>
        <w:rPr>
          <w:bCs/>
          <w:sz w:val="22"/>
          <w:szCs w:val="22"/>
          <w:lang w:val="sr-Latn-ME"/>
        </w:rPr>
      </w:pPr>
    </w:p>
    <w:p w14:paraId="053BBEB1" w14:textId="10C76BBE" w:rsidR="008F0875" w:rsidRPr="00E845ED" w:rsidRDefault="008F0875" w:rsidP="005C47CD">
      <w:pPr>
        <w:tabs>
          <w:tab w:val="left" w:pos="540"/>
          <w:tab w:val="left" w:pos="569"/>
        </w:tabs>
        <w:jc w:val="both"/>
        <w:rPr>
          <w:bCs/>
          <w:sz w:val="22"/>
          <w:szCs w:val="22"/>
          <w:lang w:val="sr-Latn-ME"/>
        </w:rPr>
      </w:pPr>
      <w:r w:rsidRPr="00E845ED">
        <w:rPr>
          <w:bCs/>
          <w:sz w:val="22"/>
          <w:szCs w:val="22"/>
          <w:lang w:val="sr-Latn-ME"/>
        </w:rPr>
        <w:t>Pokazalo se da sljedeći ljekovi utiču na jačinu, odnosno vrijeme djelovanja nedepolarizujućih neuromuskularnih blokatora.</w:t>
      </w:r>
    </w:p>
    <w:p w14:paraId="4D7D1697" w14:textId="0EEC28F8" w:rsidR="008F0875" w:rsidRPr="00E845ED" w:rsidRDefault="008F0875" w:rsidP="00D542D8">
      <w:pPr>
        <w:tabs>
          <w:tab w:val="left" w:pos="540"/>
          <w:tab w:val="left" w:pos="569"/>
        </w:tabs>
        <w:jc w:val="both"/>
        <w:rPr>
          <w:bCs/>
          <w:sz w:val="22"/>
          <w:szCs w:val="22"/>
          <w:lang w:val="sr-Latn-ME"/>
        </w:rPr>
      </w:pPr>
    </w:p>
    <w:p w14:paraId="1B495EB8" w14:textId="77777777" w:rsidR="008F0875" w:rsidRPr="00E845ED" w:rsidRDefault="008F0875" w:rsidP="00D542D8">
      <w:pPr>
        <w:tabs>
          <w:tab w:val="left" w:pos="540"/>
          <w:tab w:val="left" w:pos="569"/>
        </w:tabs>
        <w:jc w:val="both"/>
        <w:rPr>
          <w:b/>
          <w:sz w:val="22"/>
          <w:szCs w:val="22"/>
          <w:lang w:val="sr-Latn-ME"/>
        </w:rPr>
      </w:pPr>
      <w:r w:rsidRPr="00E845ED">
        <w:rPr>
          <w:b/>
          <w:sz w:val="22"/>
          <w:szCs w:val="22"/>
          <w:lang w:val="sr-Latn-ME"/>
        </w:rPr>
        <w:t>Uticaj drugih ljekova na rokuronijum bromid</w:t>
      </w:r>
    </w:p>
    <w:p w14:paraId="68C375AF" w14:textId="77777777" w:rsidR="008F0875" w:rsidRPr="00E845ED" w:rsidRDefault="008F0875" w:rsidP="00D542D8">
      <w:pPr>
        <w:tabs>
          <w:tab w:val="left" w:pos="540"/>
          <w:tab w:val="left" w:pos="569"/>
        </w:tabs>
        <w:jc w:val="both"/>
        <w:rPr>
          <w:bCs/>
          <w:sz w:val="22"/>
          <w:szCs w:val="22"/>
          <w:lang w:val="sr-Latn-ME"/>
        </w:rPr>
      </w:pPr>
    </w:p>
    <w:p w14:paraId="2D86A74C" w14:textId="77777777" w:rsidR="008F0875" w:rsidRPr="00E845ED" w:rsidRDefault="008F0875" w:rsidP="005C47CD">
      <w:pPr>
        <w:tabs>
          <w:tab w:val="left" w:pos="540"/>
          <w:tab w:val="left" w:pos="569"/>
        </w:tabs>
        <w:jc w:val="both"/>
        <w:rPr>
          <w:bCs/>
          <w:sz w:val="22"/>
          <w:szCs w:val="22"/>
          <w:lang w:val="sr-Latn-ME"/>
        </w:rPr>
      </w:pPr>
      <w:r w:rsidRPr="00E845ED">
        <w:rPr>
          <w:bCs/>
          <w:sz w:val="22"/>
          <w:szCs w:val="22"/>
          <w:u w:val="single"/>
          <w:lang w:val="sr-Latn-ME"/>
        </w:rPr>
        <w:t>Pojačano dejstvo</w:t>
      </w:r>
      <w:r w:rsidRPr="00E845ED">
        <w:rPr>
          <w:bCs/>
          <w:sz w:val="22"/>
          <w:szCs w:val="22"/>
          <w:lang w:val="sr-Latn-ME"/>
        </w:rPr>
        <w:t>:</w:t>
      </w:r>
    </w:p>
    <w:p w14:paraId="21CCD797" w14:textId="1429D139" w:rsidR="008F0875" w:rsidRPr="00E845ED" w:rsidRDefault="008F0875" w:rsidP="000B2BC5">
      <w:pPr>
        <w:pStyle w:val="ListParagraph"/>
        <w:numPr>
          <w:ilvl w:val="0"/>
          <w:numId w:val="12"/>
        </w:numPr>
        <w:ind w:left="540" w:hanging="180"/>
        <w:jc w:val="both"/>
        <w:rPr>
          <w:bCs/>
          <w:sz w:val="22"/>
          <w:szCs w:val="22"/>
          <w:lang w:val="sr-Latn-ME"/>
        </w:rPr>
      </w:pPr>
      <w:r w:rsidRPr="00E845ED">
        <w:rPr>
          <w:bCs/>
          <w:sz w:val="22"/>
          <w:szCs w:val="22"/>
          <w:lang w:val="sr-Latn-ME"/>
        </w:rPr>
        <w:t xml:space="preserve">halogenirani inhalacioni anestetici pojačavaju neuromuskularnu blokadu kod primjene rokuronijum bromide. Efekat postaje očigledan tek sa dozama održavanja (vidjeti </w:t>
      </w:r>
      <w:r w:rsidR="000B2BC5" w:rsidRPr="00E845ED">
        <w:rPr>
          <w:bCs/>
          <w:sz w:val="22"/>
          <w:szCs w:val="22"/>
          <w:lang w:val="sr-Latn-ME"/>
        </w:rPr>
        <w:t xml:space="preserve">dio </w:t>
      </w:r>
      <w:r w:rsidRPr="00E845ED">
        <w:rPr>
          <w:bCs/>
          <w:sz w:val="22"/>
          <w:szCs w:val="22"/>
          <w:lang w:val="sr-Latn-ME"/>
        </w:rPr>
        <w:t>4.2). Oporavak od blokade uz pomoć inhibitora acetilholinesteraze takođe može biti inhibiran;</w:t>
      </w:r>
    </w:p>
    <w:p w14:paraId="31EB94BF" w14:textId="57572060" w:rsidR="008E3196" w:rsidRPr="00E845ED" w:rsidRDefault="008E3196" w:rsidP="000B2BC5">
      <w:pPr>
        <w:pStyle w:val="ListParagraph"/>
        <w:numPr>
          <w:ilvl w:val="0"/>
          <w:numId w:val="12"/>
        </w:numPr>
        <w:ind w:left="540" w:hanging="180"/>
        <w:jc w:val="both"/>
        <w:rPr>
          <w:bCs/>
          <w:sz w:val="22"/>
          <w:szCs w:val="22"/>
          <w:lang w:val="sr-Latn-ME"/>
        </w:rPr>
      </w:pPr>
      <w:r w:rsidRPr="00E845ED">
        <w:rPr>
          <w:bCs/>
          <w:sz w:val="22"/>
          <w:szCs w:val="22"/>
          <w:lang w:val="sr-Latn-ME"/>
        </w:rPr>
        <w:t>visoke doze: tiopentala, metoheksitala, ketamina, fentanila, gamahidroksibutirata, etomidate i propofola;</w:t>
      </w:r>
    </w:p>
    <w:p w14:paraId="4481F909" w14:textId="5B32EEB3" w:rsidR="00204463" w:rsidRPr="00E845ED" w:rsidRDefault="00204463">
      <w:pPr>
        <w:pStyle w:val="ListParagraph"/>
        <w:numPr>
          <w:ilvl w:val="0"/>
          <w:numId w:val="12"/>
        </w:numPr>
        <w:ind w:left="540" w:hanging="180"/>
        <w:jc w:val="both"/>
        <w:rPr>
          <w:bCs/>
          <w:sz w:val="22"/>
          <w:szCs w:val="22"/>
          <w:lang w:val="sr-Latn-ME"/>
        </w:rPr>
      </w:pPr>
      <w:r w:rsidRPr="00E845ED">
        <w:rPr>
          <w:bCs/>
          <w:sz w:val="22"/>
          <w:szCs w:val="22"/>
          <w:lang w:val="sr-Latn-ME"/>
        </w:rPr>
        <w:t>ostali nedepolarizujući neuromuskularni blokatori;</w:t>
      </w:r>
    </w:p>
    <w:p w14:paraId="4A77928C" w14:textId="234C34B3" w:rsidR="008F0875" w:rsidRPr="00E845ED" w:rsidRDefault="008F0875">
      <w:pPr>
        <w:pStyle w:val="ListParagraph"/>
        <w:numPr>
          <w:ilvl w:val="0"/>
          <w:numId w:val="12"/>
        </w:numPr>
        <w:tabs>
          <w:tab w:val="left" w:pos="450"/>
          <w:tab w:val="left" w:pos="540"/>
        </w:tabs>
        <w:ind w:left="540" w:hanging="180"/>
        <w:jc w:val="both"/>
        <w:rPr>
          <w:bCs/>
          <w:sz w:val="22"/>
          <w:szCs w:val="22"/>
          <w:lang w:val="sr-Latn-ME"/>
        </w:rPr>
      </w:pPr>
      <w:r w:rsidRPr="00E845ED">
        <w:rPr>
          <w:bCs/>
          <w:sz w:val="22"/>
          <w:szCs w:val="22"/>
          <w:lang w:val="sr-Latn-ME"/>
        </w:rPr>
        <w:t xml:space="preserve">nakon intubacije sa suksametonijumom (vidjeti </w:t>
      </w:r>
      <w:r w:rsidR="004D5964" w:rsidRPr="00E845ED">
        <w:rPr>
          <w:bCs/>
          <w:sz w:val="22"/>
          <w:szCs w:val="22"/>
          <w:lang w:val="sr-Latn-ME"/>
        </w:rPr>
        <w:t xml:space="preserve">dio </w:t>
      </w:r>
      <w:r w:rsidRPr="00E845ED">
        <w:rPr>
          <w:bCs/>
          <w:sz w:val="22"/>
          <w:szCs w:val="22"/>
          <w:lang w:val="sr-Latn-ME"/>
        </w:rPr>
        <w:t>4.4);</w:t>
      </w:r>
    </w:p>
    <w:p w14:paraId="683DE4C4" w14:textId="3D8E8B52" w:rsidR="008F0875" w:rsidRPr="00E845ED" w:rsidRDefault="008F0875">
      <w:pPr>
        <w:pStyle w:val="ListParagraph"/>
        <w:numPr>
          <w:ilvl w:val="0"/>
          <w:numId w:val="12"/>
        </w:numPr>
        <w:tabs>
          <w:tab w:val="left" w:pos="450"/>
          <w:tab w:val="left" w:pos="540"/>
        </w:tabs>
        <w:ind w:left="540" w:hanging="180"/>
        <w:jc w:val="both"/>
        <w:rPr>
          <w:bCs/>
          <w:sz w:val="22"/>
          <w:szCs w:val="22"/>
          <w:lang w:val="sr-Latn-ME"/>
        </w:rPr>
      </w:pPr>
      <w:r w:rsidRPr="00E845ED">
        <w:rPr>
          <w:bCs/>
          <w:sz w:val="22"/>
          <w:szCs w:val="22"/>
          <w:lang w:val="sr-Latn-ME"/>
        </w:rPr>
        <w:t xml:space="preserve">dugotrajna paralelna primjena kortikosteroida i rokuronijum bromida u JIN može dovesti do produženog trajanja neuromuskularne blokade ili miopatije (vidjeti </w:t>
      </w:r>
      <w:r w:rsidR="004D5964" w:rsidRPr="00E845ED">
        <w:rPr>
          <w:bCs/>
          <w:sz w:val="22"/>
          <w:szCs w:val="22"/>
          <w:lang w:val="sr-Latn-ME"/>
        </w:rPr>
        <w:t xml:space="preserve">djelove </w:t>
      </w:r>
      <w:r w:rsidRPr="00E845ED">
        <w:rPr>
          <w:bCs/>
          <w:sz w:val="22"/>
          <w:szCs w:val="22"/>
          <w:lang w:val="sr-Latn-ME"/>
        </w:rPr>
        <w:t>4.4 i 4.8).</w:t>
      </w:r>
    </w:p>
    <w:p w14:paraId="66A70F8F" w14:textId="77777777" w:rsidR="008F0875" w:rsidRPr="00E845ED" w:rsidRDefault="008F0875">
      <w:pPr>
        <w:tabs>
          <w:tab w:val="left" w:pos="540"/>
          <w:tab w:val="left" w:pos="569"/>
        </w:tabs>
        <w:jc w:val="both"/>
        <w:rPr>
          <w:bCs/>
          <w:sz w:val="22"/>
          <w:szCs w:val="22"/>
          <w:lang w:val="sr-Latn-ME"/>
        </w:rPr>
      </w:pPr>
    </w:p>
    <w:p w14:paraId="320CCD86" w14:textId="77777777" w:rsidR="008F0875" w:rsidRPr="00E845ED" w:rsidRDefault="008F0875">
      <w:pPr>
        <w:tabs>
          <w:tab w:val="left" w:pos="540"/>
          <w:tab w:val="left" w:pos="569"/>
        </w:tabs>
        <w:jc w:val="both"/>
        <w:rPr>
          <w:bCs/>
          <w:sz w:val="22"/>
          <w:szCs w:val="22"/>
          <w:lang w:val="sr-Latn-ME"/>
        </w:rPr>
      </w:pPr>
      <w:r w:rsidRPr="00E845ED">
        <w:rPr>
          <w:bCs/>
          <w:sz w:val="22"/>
          <w:szCs w:val="22"/>
          <w:lang w:val="sr-Latn-ME"/>
        </w:rPr>
        <w:t>Ostali ljekovi:</w:t>
      </w:r>
    </w:p>
    <w:p w14:paraId="303548B9" w14:textId="096D8AD9" w:rsidR="008F0875" w:rsidRPr="00E845ED" w:rsidRDefault="008F0875">
      <w:pPr>
        <w:pStyle w:val="ListParagraph"/>
        <w:numPr>
          <w:ilvl w:val="0"/>
          <w:numId w:val="15"/>
        </w:numPr>
        <w:tabs>
          <w:tab w:val="left" w:pos="540"/>
          <w:tab w:val="left" w:pos="569"/>
        </w:tabs>
        <w:ind w:left="540" w:hanging="180"/>
        <w:jc w:val="both"/>
        <w:rPr>
          <w:bCs/>
          <w:sz w:val="22"/>
          <w:szCs w:val="22"/>
          <w:lang w:val="sr-Latn-ME"/>
        </w:rPr>
      </w:pPr>
      <w:r w:rsidRPr="00E845ED">
        <w:rPr>
          <w:bCs/>
          <w:sz w:val="22"/>
          <w:szCs w:val="22"/>
          <w:lang w:val="sr-Latn-ME"/>
        </w:rPr>
        <w:t>antibiotici: aminoglikozidi, linkozamidi i polipeptidni antibiotici, acilamino-penicilinski antibiotici tetraciklini, velike doze metronidazola;</w:t>
      </w:r>
    </w:p>
    <w:p w14:paraId="0733C025" w14:textId="460E50EE" w:rsidR="008F0875" w:rsidRPr="00E845ED" w:rsidRDefault="008F0875">
      <w:pPr>
        <w:pStyle w:val="ListParagraph"/>
        <w:numPr>
          <w:ilvl w:val="0"/>
          <w:numId w:val="15"/>
        </w:numPr>
        <w:tabs>
          <w:tab w:val="left" w:pos="540"/>
          <w:tab w:val="left" w:pos="569"/>
        </w:tabs>
        <w:ind w:left="540" w:hanging="180"/>
        <w:jc w:val="both"/>
        <w:rPr>
          <w:bCs/>
          <w:sz w:val="22"/>
          <w:szCs w:val="22"/>
          <w:lang w:val="sr-Latn-ME"/>
        </w:rPr>
      </w:pPr>
      <w:r w:rsidRPr="00E845ED">
        <w:rPr>
          <w:bCs/>
          <w:sz w:val="22"/>
          <w:szCs w:val="22"/>
          <w:lang w:val="sr-Latn-ME"/>
        </w:rPr>
        <w:t xml:space="preserve">diuretici, tiamin, sredstva koja inhibiraju MAO, </w:t>
      </w:r>
      <w:r w:rsidR="004D5964" w:rsidRPr="00E845ED">
        <w:rPr>
          <w:bCs/>
          <w:sz w:val="22"/>
          <w:szCs w:val="22"/>
          <w:lang w:val="sr-Latn-ME"/>
        </w:rPr>
        <w:t>h</w:t>
      </w:r>
      <w:r w:rsidRPr="00E845ED">
        <w:rPr>
          <w:bCs/>
          <w:sz w:val="22"/>
          <w:szCs w:val="22"/>
          <w:lang w:val="sr-Latn-ME"/>
        </w:rPr>
        <w:t xml:space="preserve">inidin i njegov </w:t>
      </w:r>
      <w:r w:rsidR="0070368C" w:rsidRPr="00E845ED">
        <w:rPr>
          <w:bCs/>
          <w:sz w:val="22"/>
          <w:szCs w:val="22"/>
          <w:lang w:val="sr-Latn-ME"/>
        </w:rPr>
        <w:t xml:space="preserve">izomer </w:t>
      </w:r>
      <w:r w:rsidR="004D5964" w:rsidRPr="00E845ED">
        <w:rPr>
          <w:bCs/>
          <w:sz w:val="22"/>
          <w:szCs w:val="22"/>
          <w:lang w:val="sr-Latn-ME"/>
        </w:rPr>
        <w:t>h</w:t>
      </w:r>
      <w:r w:rsidRPr="00E845ED">
        <w:rPr>
          <w:bCs/>
          <w:sz w:val="22"/>
          <w:szCs w:val="22"/>
          <w:lang w:val="sr-Latn-ME"/>
        </w:rPr>
        <w:t>inin, protamin, sredstvo za blokiranje adrenergički blokator</w:t>
      </w:r>
      <w:r w:rsidR="004D5964" w:rsidRPr="00E845ED">
        <w:rPr>
          <w:bCs/>
          <w:sz w:val="22"/>
          <w:szCs w:val="22"/>
          <w:lang w:val="sr-Latn-ME"/>
        </w:rPr>
        <w:t>,</w:t>
      </w:r>
      <w:r w:rsidRPr="00E845ED">
        <w:rPr>
          <w:bCs/>
          <w:sz w:val="22"/>
          <w:szCs w:val="22"/>
          <w:lang w:val="sr-Latn-ME"/>
        </w:rPr>
        <w:t xml:space="preserve"> magnezijumove soli, blokatori kalcijumovih kanala, litijumove soli, lokalni anestetici (lidokain i.v., epiduraln</w:t>
      </w:r>
      <w:r w:rsidR="004D5964" w:rsidRPr="00E845ED">
        <w:rPr>
          <w:bCs/>
          <w:sz w:val="22"/>
          <w:szCs w:val="22"/>
          <w:lang w:val="sr-Latn-ME"/>
        </w:rPr>
        <w:t>i</w:t>
      </w:r>
      <w:r w:rsidRPr="00E845ED">
        <w:rPr>
          <w:bCs/>
          <w:sz w:val="22"/>
          <w:szCs w:val="22"/>
          <w:lang w:val="sr-Latn-ME"/>
        </w:rPr>
        <w:t xml:space="preserve"> bupivakain) i akutna primjena fenitoina ili beta blokatora.</w:t>
      </w:r>
    </w:p>
    <w:p w14:paraId="675F043C" w14:textId="77777777" w:rsidR="008F0875" w:rsidRPr="00E845ED" w:rsidRDefault="008F0875">
      <w:pPr>
        <w:tabs>
          <w:tab w:val="left" w:pos="540"/>
          <w:tab w:val="left" w:pos="569"/>
        </w:tabs>
        <w:jc w:val="both"/>
        <w:rPr>
          <w:bCs/>
          <w:sz w:val="22"/>
          <w:szCs w:val="22"/>
          <w:lang w:val="sr-Latn-ME"/>
        </w:rPr>
      </w:pPr>
    </w:p>
    <w:p w14:paraId="433265DC" w14:textId="7856D646" w:rsidR="008F0875" w:rsidRPr="00E845ED" w:rsidRDefault="008F0875">
      <w:pPr>
        <w:tabs>
          <w:tab w:val="left" w:pos="540"/>
          <w:tab w:val="left" w:pos="569"/>
        </w:tabs>
        <w:jc w:val="both"/>
        <w:rPr>
          <w:bCs/>
          <w:sz w:val="22"/>
          <w:szCs w:val="22"/>
          <w:lang w:val="sr-Latn-ME"/>
        </w:rPr>
      </w:pPr>
      <w:r w:rsidRPr="00E845ED">
        <w:rPr>
          <w:bCs/>
          <w:sz w:val="22"/>
          <w:szCs w:val="22"/>
          <w:lang w:val="sr-Latn-ME"/>
        </w:rPr>
        <w:lastRenderedPageBreak/>
        <w:t xml:space="preserve">Rekurarizacija se može javiti nakon postoperativne primjene: aminoglikozida, linkozamida, polipeptida i acilamino-penicilinskih antibiotika, </w:t>
      </w:r>
      <w:r w:rsidR="004D5964" w:rsidRPr="00E845ED">
        <w:rPr>
          <w:bCs/>
          <w:sz w:val="22"/>
          <w:szCs w:val="22"/>
          <w:lang w:val="sr-Latn-ME"/>
        </w:rPr>
        <w:t>h</w:t>
      </w:r>
      <w:r w:rsidRPr="00E845ED">
        <w:rPr>
          <w:bCs/>
          <w:sz w:val="22"/>
          <w:szCs w:val="22"/>
          <w:lang w:val="sr-Latn-ME"/>
        </w:rPr>
        <w:t xml:space="preserve">inidina, </w:t>
      </w:r>
      <w:r w:rsidR="004D5964" w:rsidRPr="00E845ED">
        <w:rPr>
          <w:bCs/>
          <w:sz w:val="22"/>
          <w:szCs w:val="22"/>
          <w:lang w:val="sr-Latn-ME"/>
        </w:rPr>
        <w:t>h</w:t>
      </w:r>
      <w:r w:rsidRPr="00E845ED">
        <w:rPr>
          <w:bCs/>
          <w:sz w:val="22"/>
          <w:szCs w:val="22"/>
          <w:lang w:val="sr-Latn-ME"/>
        </w:rPr>
        <w:t xml:space="preserve">inina i magnezijumovih soli (vidjeti </w:t>
      </w:r>
      <w:r w:rsidR="004D5964" w:rsidRPr="00E845ED">
        <w:rPr>
          <w:bCs/>
          <w:sz w:val="22"/>
          <w:szCs w:val="22"/>
          <w:lang w:val="sr-Latn-ME"/>
        </w:rPr>
        <w:t xml:space="preserve">dio </w:t>
      </w:r>
      <w:r w:rsidRPr="00E845ED">
        <w:rPr>
          <w:bCs/>
          <w:sz w:val="22"/>
          <w:szCs w:val="22"/>
          <w:lang w:val="sr-Latn-ME"/>
        </w:rPr>
        <w:t>4.4).</w:t>
      </w:r>
    </w:p>
    <w:p w14:paraId="7F7A909E" w14:textId="77777777" w:rsidR="008F0875" w:rsidRPr="00E845ED" w:rsidRDefault="008F0875">
      <w:pPr>
        <w:tabs>
          <w:tab w:val="left" w:pos="540"/>
          <w:tab w:val="left" w:pos="569"/>
        </w:tabs>
        <w:jc w:val="both"/>
        <w:rPr>
          <w:bCs/>
          <w:sz w:val="22"/>
          <w:szCs w:val="22"/>
          <w:lang w:val="sr-Latn-ME"/>
        </w:rPr>
      </w:pPr>
    </w:p>
    <w:p w14:paraId="1C0B0C97" w14:textId="77777777" w:rsidR="008F0875" w:rsidRPr="00E845ED" w:rsidRDefault="008F0875">
      <w:pPr>
        <w:tabs>
          <w:tab w:val="left" w:pos="540"/>
          <w:tab w:val="left" w:pos="569"/>
        </w:tabs>
        <w:jc w:val="both"/>
        <w:rPr>
          <w:bCs/>
          <w:sz w:val="22"/>
          <w:szCs w:val="22"/>
          <w:u w:val="single"/>
          <w:lang w:val="sr-Latn-ME"/>
        </w:rPr>
      </w:pPr>
      <w:r w:rsidRPr="00E845ED">
        <w:rPr>
          <w:bCs/>
          <w:sz w:val="22"/>
          <w:szCs w:val="22"/>
          <w:u w:val="single"/>
          <w:lang w:val="sr-Latn-ME"/>
        </w:rPr>
        <w:t>Smanjeno dejstvo:</w:t>
      </w:r>
    </w:p>
    <w:p w14:paraId="145A245D" w14:textId="75FF65E1" w:rsidR="0070368C" w:rsidRPr="00E845ED" w:rsidRDefault="0070368C">
      <w:pPr>
        <w:pStyle w:val="ListParagraph"/>
        <w:numPr>
          <w:ilvl w:val="0"/>
          <w:numId w:val="15"/>
        </w:numPr>
        <w:tabs>
          <w:tab w:val="left" w:pos="540"/>
          <w:tab w:val="left" w:pos="569"/>
        </w:tabs>
        <w:jc w:val="both"/>
        <w:rPr>
          <w:bCs/>
          <w:sz w:val="22"/>
          <w:szCs w:val="22"/>
          <w:lang w:val="sr-Latn-ME"/>
        </w:rPr>
      </w:pPr>
      <w:r w:rsidRPr="00E845ED">
        <w:rPr>
          <w:bCs/>
          <w:sz w:val="22"/>
          <w:szCs w:val="22"/>
          <w:lang w:val="sr-Latn-ME"/>
        </w:rPr>
        <w:t>neostigmin, edrofonijum, piridostigmin, derivati aminopiridina;</w:t>
      </w:r>
    </w:p>
    <w:p w14:paraId="6EEEB4D3" w14:textId="046E3E56" w:rsidR="008F0875" w:rsidRPr="00E845ED" w:rsidRDefault="008F0875">
      <w:pPr>
        <w:pStyle w:val="ListParagraph"/>
        <w:numPr>
          <w:ilvl w:val="0"/>
          <w:numId w:val="15"/>
        </w:numPr>
        <w:tabs>
          <w:tab w:val="left" w:pos="540"/>
          <w:tab w:val="left" w:pos="569"/>
        </w:tabs>
        <w:jc w:val="both"/>
        <w:rPr>
          <w:bCs/>
          <w:sz w:val="22"/>
          <w:szCs w:val="22"/>
          <w:lang w:val="sr-Latn-ME"/>
        </w:rPr>
      </w:pPr>
      <w:r w:rsidRPr="00E845ED">
        <w:rPr>
          <w:bCs/>
          <w:sz w:val="22"/>
          <w:szCs w:val="22"/>
          <w:lang w:val="sr-Latn-ME"/>
        </w:rPr>
        <w:t>prethodna hronična primjena</w:t>
      </w:r>
      <w:r w:rsidR="0070368C" w:rsidRPr="00E845ED">
        <w:rPr>
          <w:bCs/>
          <w:sz w:val="22"/>
          <w:szCs w:val="22"/>
          <w:lang w:val="sr-Latn-ME"/>
        </w:rPr>
        <w:t xml:space="preserve"> kortikosteroida,</w:t>
      </w:r>
      <w:r w:rsidRPr="00E845ED">
        <w:rPr>
          <w:bCs/>
          <w:sz w:val="22"/>
          <w:szCs w:val="22"/>
          <w:lang w:val="sr-Latn-ME"/>
        </w:rPr>
        <w:t xml:space="preserve"> fenitoina ili karbamazepina;</w:t>
      </w:r>
    </w:p>
    <w:p w14:paraId="569BF6CA" w14:textId="2F345281" w:rsidR="008F0875" w:rsidRPr="00E845ED" w:rsidRDefault="0070368C">
      <w:pPr>
        <w:pStyle w:val="ListParagraph"/>
        <w:numPr>
          <w:ilvl w:val="0"/>
          <w:numId w:val="15"/>
        </w:numPr>
        <w:tabs>
          <w:tab w:val="left" w:pos="540"/>
          <w:tab w:val="left" w:pos="569"/>
        </w:tabs>
        <w:ind w:left="540" w:hanging="180"/>
        <w:jc w:val="both"/>
        <w:rPr>
          <w:bCs/>
          <w:sz w:val="22"/>
          <w:szCs w:val="22"/>
          <w:lang w:val="sr-Latn-ME"/>
        </w:rPr>
      </w:pPr>
      <w:r w:rsidRPr="00E845ED">
        <w:rPr>
          <w:bCs/>
          <w:sz w:val="22"/>
          <w:szCs w:val="22"/>
          <w:lang w:val="sr-Latn-ME"/>
        </w:rPr>
        <w:t>noradrenalin (norepinefrin), azatioprin (</w:t>
      </w:r>
      <w:r w:rsidR="001A74A3" w:rsidRPr="00E845ED">
        <w:rPr>
          <w:bCs/>
          <w:sz w:val="22"/>
          <w:szCs w:val="22"/>
          <w:lang w:val="sr-Latn-ME"/>
        </w:rPr>
        <w:t xml:space="preserve">prolazno i ograničeno dejstvo samo), teofilin, </w:t>
      </w:r>
      <w:r w:rsidR="008F0875" w:rsidRPr="00E845ED">
        <w:rPr>
          <w:bCs/>
          <w:sz w:val="22"/>
          <w:szCs w:val="22"/>
          <w:lang w:val="sr-Latn-ME"/>
        </w:rPr>
        <w:t>kalcijum hlorid, kalijum hlorid;</w:t>
      </w:r>
    </w:p>
    <w:p w14:paraId="38579234" w14:textId="266563DC" w:rsidR="008F0875" w:rsidRPr="00E845ED" w:rsidRDefault="008F0875">
      <w:pPr>
        <w:pStyle w:val="ListParagraph"/>
        <w:numPr>
          <w:ilvl w:val="0"/>
          <w:numId w:val="15"/>
        </w:numPr>
        <w:tabs>
          <w:tab w:val="left" w:pos="540"/>
          <w:tab w:val="left" w:pos="569"/>
        </w:tabs>
        <w:jc w:val="both"/>
        <w:rPr>
          <w:bCs/>
          <w:sz w:val="22"/>
          <w:szCs w:val="22"/>
          <w:lang w:val="sr-Latn-ME"/>
        </w:rPr>
      </w:pPr>
      <w:r w:rsidRPr="00E845ED">
        <w:rPr>
          <w:bCs/>
          <w:sz w:val="22"/>
          <w:szCs w:val="22"/>
          <w:lang w:val="sr-Latn-ME"/>
        </w:rPr>
        <w:t>inhibitori proteaza (gabeksat, ulinastatin).</w:t>
      </w:r>
    </w:p>
    <w:p w14:paraId="1290A12C" w14:textId="77777777" w:rsidR="008F0875" w:rsidRPr="00E845ED" w:rsidRDefault="008F0875">
      <w:pPr>
        <w:tabs>
          <w:tab w:val="left" w:pos="540"/>
          <w:tab w:val="left" w:pos="569"/>
        </w:tabs>
        <w:jc w:val="both"/>
        <w:rPr>
          <w:bCs/>
          <w:sz w:val="22"/>
          <w:szCs w:val="22"/>
          <w:lang w:val="sr-Latn-ME"/>
        </w:rPr>
      </w:pPr>
    </w:p>
    <w:p w14:paraId="5183C503" w14:textId="08ED0E2B" w:rsidR="008F0875" w:rsidRPr="00E845ED" w:rsidRDefault="008F0875">
      <w:pPr>
        <w:tabs>
          <w:tab w:val="left" w:pos="540"/>
          <w:tab w:val="left" w:pos="569"/>
        </w:tabs>
        <w:jc w:val="both"/>
        <w:rPr>
          <w:bCs/>
          <w:sz w:val="22"/>
          <w:szCs w:val="22"/>
          <w:lang w:val="sr-Latn-ME"/>
        </w:rPr>
      </w:pPr>
      <w:r w:rsidRPr="00E845ED">
        <w:rPr>
          <w:bCs/>
          <w:sz w:val="22"/>
          <w:szCs w:val="22"/>
          <w:lang w:val="sr-Latn-ME"/>
        </w:rPr>
        <w:t>Promjenljivo dejstvo:</w:t>
      </w:r>
    </w:p>
    <w:p w14:paraId="4729EE7D" w14:textId="162485A3" w:rsidR="008F0875" w:rsidRPr="00E845ED" w:rsidRDefault="008F0875">
      <w:pPr>
        <w:pStyle w:val="ListParagraph"/>
        <w:numPr>
          <w:ilvl w:val="0"/>
          <w:numId w:val="15"/>
        </w:numPr>
        <w:tabs>
          <w:tab w:val="left" w:pos="540"/>
          <w:tab w:val="left" w:pos="569"/>
        </w:tabs>
        <w:ind w:left="540" w:hanging="180"/>
        <w:jc w:val="both"/>
        <w:rPr>
          <w:bCs/>
          <w:sz w:val="22"/>
          <w:szCs w:val="22"/>
          <w:lang w:val="sr-Latn-ME"/>
        </w:rPr>
      </w:pPr>
      <w:r w:rsidRPr="00E845ED">
        <w:rPr>
          <w:bCs/>
          <w:sz w:val="22"/>
          <w:szCs w:val="22"/>
          <w:lang w:val="sr-Latn-ME"/>
        </w:rPr>
        <w:t>primjena drugih nedepolarizujućih neuromuskularnih blokatora u kombinaciji sa rokuronijum bromidom može dovesti do slabljenja ili pojačavanja neuromuskularne blokade, zavisno od redosljeda primjene i upotrijebljenog neuromuskularnog blokatora;</w:t>
      </w:r>
    </w:p>
    <w:p w14:paraId="2EAF088E" w14:textId="411B77DB" w:rsidR="008F0875" w:rsidRPr="00E845ED" w:rsidRDefault="008F0875">
      <w:pPr>
        <w:pStyle w:val="ListParagraph"/>
        <w:numPr>
          <w:ilvl w:val="0"/>
          <w:numId w:val="15"/>
        </w:numPr>
        <w:tabs>
          <w:tab w:val="left" w:pos="540"/>
          <w:tab w:val="left" w:pos="569"/>
        </w:tabs>
        <w:ind w:left="540" w:hanging="180"/>
        <w:jc w:val="both"/>
        <w:rPr>
          <w:bCs/>
          <w:sz w:val="22"/>
          <w:szCs w:val="22"/>
          <w:lang w:val="sr-Latn-ME"/>
        </w:rPr>
      </w:pPr>
      <w:r w:rsidRPr="00E845ED">
        <w:rPr>
          <w:bCs/>
          <w:sz w:val="22"/>
          <w:szCs w:val="22"/>
          <w:lang w:val="sr-Latn-ME"/>
        </w:rPr>
        <w:t>suksametonijum koji se primjenjuje poslije primjene rokuronijum bromida može dovesti do jačanja ili slabljenja dejstva neuromuskularne blokade primjenom rokuronijum bromida.</w:t>
      </w:r>
    </w:p>
    <w:p w14:paraId="0BE7EC95" w14:textId="77777777" w:rsidR="008F0875" w:rsidRPr="00E845ED" w:rsidRDefault="008F0875">
      <w:pPr>
        <w:tabs>
          <w:tab w:val="left" w:pos="540"/>
          <w:tab w:val="left" w:pos="569"/>
        </w:tabs>
        <w:jc w:val="both"/>
        <w:rPr>
          <w:bCs/>
          <w:sz w:val="22"/>
          <w:szCs w:val="22"/>
          <w:lang w:val="sr-Latn-ME"/>
        </w:rPr>
      </w:pPr>
    </w:p>
    <w:p w14:paraId="5B6BBE0F" w14:textId="77777777" w:rsidR="008F0875" w:rsidRPr="00E845ED" w:rsidRDefault="008F0875">
      <w:pPr>
        <w:tabs>
          <w:tab w:val="left" w:pos="540"/>
          <w:tab w:val="left" w:pos="569"/>
        </w:tabs>
        <w:jc w:val="both"/>
        <w:rPr>
          <w:b/>
          <w:sz w:val="22"/>
          <w:szCs w:val="22"/>
          <w:lang w:val="sr-Latn-ME"/>
        </w:rPr>
      </w:pPr>
      <w:r w:rsidRPr="00E845ED">
        <w:rPr>
          <w:b/>
          <w:sz w:val="22"/>
          <w:szCs w:val="22"/>
          <w:lang w:val="sr-Latn-ME"/>
        </w:rPr>
        <w:t>Uticaj rokuronijum bromida na druge ljekove</w:t>
      </w:r>
    </w:p>
    <w:p w14:paraId="4F672C8D" w14:textId="77777777" w:rsidR="008F0875" w:rsidRPr="00E845ED" w:rsidRDefault="008F0875">
      <w:pPr>
        <w:tabs>
          <w:tab w:val="left" w:pos="540"/>
          <w:tab w:val="left" w:pos="569"/>
        </w:tabs>
        <w:jc w:val="both"/>
        <w:rPr>
          <w:bCs/>
          <w:sz w:val="22"/>
          <w:szCs w:val="22"/>
          <w:lang w:val="sr-Latn-ME"/>
        </w:rPr>
      </w:pPr>
    </w:p>
    <w:p w14:paraId="4424F4AA" w14:textId="77777777" w:rsidR="008F0875" w:rsidRPr="00E845ED" w:rsidRDefault="008F0875">
      <w:pPr>
        <w:tabs>
          <w:tab w:val="left" w:pos="540"/>
          <w:tab w:val="left" w:pos="569"/>
        </w:tabs>
        <w:jc w:val="both"/>
        <w:rPr>
          <w:bCs/>
          <w:sz w:val="22"/>
          <w:szCs w:val="22"/>
          <w:lang w:val="sr-Latn-ME"/>
        </w:rPr>
      </w:pPr>
      <w:r w:rsidRPr="00E845ED">
        <w:rPr>
          <w:bCs/>
          <w:sz w:val="22"/>
          <w:szCs w:val="22"/>
          <w:lang w:val="sr-Latn-ME"/>
        </w:rPr>
        <w:t xml:space="preserve">Rokuronijum bromid u kombinaciji sa lidokainom može rezultirati bržim početkom djelovanja lidokaina. </w:t>
      </w:r>
    </w:p>
    <w:p w14:paraId="58CAF69F" w14:textId="77777777" w:rsidR="008F0875" w:rsidRPr="00E845ED" w:rsidRDefault="008F0875">
      <w:pPr>
        <w:tabs>
          <w:tab w:val="left" w:pos="540"/>
          <w:tab w:val="left" w:pos="569"/>
        </w:tabs>
        <w:jc w:val="both"/>
        <w:rPr>
          <w:bCs/>
          <w:sz w:val="22"/>
          <w:szCs w:val="22"/>
          <w:lang w:val="sr-Latn-ME"/>
        </w:rPr>
      </w:pPr>
    </w:p>
    <w:p w14:paraId="7D641BEF" w14:textId="77777777" w:rsidR="008F0875" w:rsidRPr="00E845ED" w:rsidRDefault="008F0875">
      <w:pPr>
        <w:tabs>
          <w:tab w:val="left" w:pos="540"/>
          <w:tab w:val="left" w:pos="569"/>
        </w:tabs>
        <w:jc w:val="both"/>
        <w:rPr>
          <w:bCs/>
          <w:sz w:val="22"/>
          <w:szCs w:val="22"/>
          <w:u w:val="single"/>
          <w:lang w:val="sr-Latn-ME"/>
        </w:rPr>
      </w:pPr>
      <w:r w:rsidRPr="00E845ED">
        <w:rPr>
          <w:bCs/>
          <w:sz w:val="22"/>
          <w:szCs w:val="22"/>
          <w:u w:val="single"/>
          <w:lang w:val="sr-Latn-ME"/>
        </w:rPr>
        <w:t>Pedijatrijska populacija</w:t>
      </w:r>
    </w:p>
    <w:p w14:paraId="14EC5949" w14:textId="366735CA" w:rsidR="008F0875" w:rsidRPr="00E845ED" w:rsidRDefault="008F0875">
      <w:pPr>
        <w:tabs>
          <w:tab w:val="left" w:pos="540"/>
          <w:tab w:val="left" w:pos="569"/>
        </w:tabs>
        <w:jc w:val="both"/>
        <w:rPr>
          <w:bCs/>
          <w:sz w:val="22"/>
          <w:szCs w:val="22"/>
          <w:lang w:val="sr-Latn-ME"/>
        </w:rPr>
      </w:pPr>
      <w:r w:rsidRPr="00E845ED">
        <w:rPr>
          <w:bCs/>
          <w:sz w:val="22"/>
          <w:szCs w:val="22"/>
          <w:lang w:val="sr-Latn-ME"/>
        </w:rPr>
        <w:t>Nijesu sprovedene formalne studije interakcije. Gore</w:t>
      </w:r>
      <w:r w:rsidR="00180459" w:rsidRPr="00E845ED">
        <w:rPr>
          <w:bCs/>
          <w:sz w:val="22"/>
          <w:szCs w:val="22"/>
          <w:lang w:val="sr-Latn-ME"/>
        </w:rPr>
        <w:t xml:space="preserve"> </w:t>
      </w:r>
      <w:r w:rsidRPr="00E845ED">
        <w:rPr>
          <w:bCs/>
          <w:sz w:val="22"/>
          <w:szCs w:val="22"/>
          <w:lang w:val="sr-Latn-ME"/>
        </w:rPr>
        <w:t xml:space="preserve">navedena interakcija za odrasle i njihova posebna upozorenja i mjere predostrožnosti za upotrebu (vidjeti </w:t>
      </w:r>
      <w:r w:rsidR="00180459" w:rsidRPr="00E845ED">
        <w:rPr>
          <w:bCs/>
          <w:sz w:val="22"/>
          <w:szCs w:val="22"/>
          <w:lang w:val="sr-Latn-ME"/>
        </w:rPr>
        <w:t xml:space="preserve">dio </w:t>
      </w:r>
      <w:r w:rsidRPr="00E845ED">
        <w:rPr>
          <w:bCs/>
          <w:sz w:val="22"/>
          <w:szCs w:val="22"/>
          <w:lang w:val="sr-Latn-ME"/>
        </w:rPr>
        <w:t>4.4) treba uzeti u obzir kod pedijatrijskih pacijenata.</w:t>
      </w:r>
    </w:p>
    <w:p w14:paraId="0F40C42F" w14:textId="77777777" w:rsidR="008F0875" w:rsidRPr="00E845ED" w:rsidRDefault="008F0875" w:rsidP="00D542D8">
      <w:pPr>
        <w:tabs>
          <w:tab w:val="left" w:pos="540"/>
          <w:tab w:val="left" w:pos="569"/>
        </w:tabs>
        <w:jc w:val="both"/>
        <w:rPr>
          <w:bCs/>
          <w:sz w:val="22"/>
          <w:szCs w:val="22"/>
          <w:lang w:val="sr-Latn-ME"/>
        </w:rPr>
      </w:pPr>
    </w:p>
    <w:p w14:paraId="46D7A10D" w14:textId="77777777" w:rsidR="0072020E" w:rsidRPr="00E845ED" w:rsidRDefault="0072020E" w:rsidP="00D542D8">
      <w:pPr>
        <w:tabs>
          <w:tab w:val="left" w:pos="540"/>
          <w:tab w:val="left" w:pos="569"/>
        </w:tabs>
        <w:jc w:val="both"/>
        <w:rPr>
          <w:b/>
          <w:sz w:val="22"/>
          <w:szCs w:val="22"/>
          <w:lang w:val="sr-Latn-ME"/>
        </w:rPr>
      </w:pPr>
      <w:r w:rsidRPr="00E845ED">
        <w:rPr>
          <w:b/>
          <w:bCs/>
          <w:sz w:val="22"/>
          <w:szCs w:val="22"/>
          <w:lang w:val="sr-Latn-ME"/>
        </w:rPr>
        <w:t xml:space="preserve">4.6. </w:t>
      </w:r>
      <w:r w:rsidR="00480FB1" w:rsidRPr="00E845ED">
        <w:rPr>
          <w:b/>
          <w:bCs/>
          <w:sz w:val="22"/>
          <w:szCs w:val="22"/>
          <w:lang w:val="sr-Latn-ME"/>
        </w:rPr>
        <w:tab/>
      </w:r>
      <w:r w:rsidR="006D20A5" w:rsidRPr="00E845ED">
        <w:rPr>
          <w:b/>
          <w:sz w:val="22"/>
          <w:szCs w:val="22"/>
          <w:lang w:val="sr-Latn-ME"/>
        </w:rPr>
        <w:t>Plodnost, trudnoća i dojenje</w:t>
      </w:r>
    </w:p>
    <w:p w14:paraId="594A3CE6" w14:textId="77777777" w:rsidR="002031B3" w:rsidRPr="00E845ED" w:rsidRDefault="002031B3" w:rsidP="00D542D8">
      <w:pPr>
        <w:tabs>
          <w:tab w:val="left" w:pos="540"/>
          <w:tab w:val="left" w:pos="569"/>
        </w:tabs>
        <w:jc w:val="both"/>
        <w:rPr>
          <w:sz w:val="22"/>
          <w:szCs w:val="22"/>
          <w:u w:val="single"/>
          <w:lang w:val="sr-Latn-ME"/>
        </w:rPr>
      </w:pPr>
    </w:p>
    <w:p w14:paraId="100F20D8" w14:textId="77777777" w:rsidR="002031B3" w:rsidRPr="00E845ED" w:rsidRDefault="002031B3" w:rsidP="005C47CD">
      <w:pPr>
        <w:tabs>
          <w:tab w:val="left" w:pos="540"/>
          <w:tab w:val="left" w:pos="569"/>
        </w:tabs>
        <w:jc w:val="both"/>
        <w:rPr>
          <w:sz w:val="22"/>
          <w:szCs w:val="22"/>
          <w:u w:val="single"/>
          <w:lang w:val="sr-Latn-ME"/>
        </w:rPr>
      </w:pPr>
      <w:r w:rsidRPr="00E845ED">
        <w:rPr>
          <w:sz w:val="22"/>
          <w:szCs w:val="22"/>
          <w:u w:val="single"/>
          <w:lang w:val="sr-Latn-ME"/>
        </w:rPr>
        <w:t>Plodnost</w:t>
      </w:r>
    </w:p>
    <w:p w14:paraId="2F6BB76A" w14:textId="308751B0" w:rsidR="002031B3" w:rsidRPr="00E845ED" w:rsidRDefault="008F0875" w:rsidP="000B2BC5">
      <w:pPr>
        <w:tabs>
          <w:tab w:val="left" w:pos="540"/>
          <w:tab w:val="left" w:pos="569"/>
        </w:tabs>
        <w:jc w:val="both"/>
        <w:rPr>
          <w:sz w:val="22"/>
          <w:szCs w:val="22"/>
          <w:lang w:val="sr-Latn-ME"/>
        </w:rPr>
      </w:pPr>
      <w:r w:rsidRPr="00E845ED">
        <w:rPr>
          <w:sz w:val="22"/>
          <w:szCs w:val="22"/>
          <w:lang w:val="sr-Latn-ME"/>
        </w:rPr>
        <w:t xml:space="preserve">Nema podataka o dejstvu ovog </w:t>
      </w:r>
      <w:r w:rsidR="00180459" w:rsidRPr="00E845ED">
        <w:rPr>
          <w:sz w:val="22"/>
          <w:szCs w:val="22"/>
          <w:lang w:val="sr-Latn-ME"/>
        </w:rPr>
        <w:t xml:space="preserve">lijeka </w:t>
      </w:r>
      <w:r w:rsidRPr="00E845ED">
        <w:rPr>
          <w:sz w:val="22"/>
          <w:szCs w:val="22"/>
          <w:lang w:val="sr-Latn-ME"/>
        </w:rPr>
        <w:t>na plodnost.</w:t>
      </w:r>
    </w:p>
    <w:p w14:paraId="55258E82" w14:textId="77777777" w:rsidR="008F0875" w:rsidRPr="00E845ED" w:rsidRDefault="008F0875">
      <w:pPr>
        <w:tabs>
          <w:tab w:val="left" w:pos="540"/>
          <w:tab w:val="left" w:pos="569"/>
        </w:tabs>
        <w:jc w:val="both"/>
        <w:rPr>
          <w:sz w:val="22"/>
          <w:szCs w:val="22"/>
          <w:u w:val="single"/>
          <w:lang w:val="sr-Latn-ME"/>
        </w:rPr>
      </w:pPr>
    </w:p>
    <w:p w14:paraId="52683925" w14:textId="77777777" w:rsidR="007A3ECB" w:rsidRPr="00E845ED" w:rsidRDefault="007A3ECB">
      <w:pPr>
        <w:tabs>
          <w:tab w:val="left" w:pos="540"/>
          <w:tab w:val="left" w:pos="569"/>
        </w:tabs>
        <w:jc w:val="both"/>
        <w:rPr>
          <w:sz w:val="22"/>
          <w:szCs w:val="22"/>
          <w:u w:val="single"/>
          <w:lang w:val="sr-Latn-ME"/>
        </w:rPr>
      </w:pPr>
      <w:r w:rsidRPr="00E845ED">
        <w:rPr>
          <w:sz w:val="22"/>
          <w:szCs w:val="22"/>
          <w:u w:val="single"/>
          <w:lang w:val="sr-Latn-ME"/>
        </w:rPr>
        <w:t>Trudnoća</w:t>
      </w:r>
    </w:p>
    <w:p w14:paraId="03651FE7" w14:textId="1CD5B1E7" w:rsidR="002031B3" w:rsidRPr="00E845ED" w:rsidRDefault="008F0875">
      <w:pPr>
        <w:tabs>
          <w:tab w:val="left" w:pos="540"/>
          <w:tab w:val="left" w:pos="569"/>
        </w:tabs>
        <w:jc w:val="both"/>
        <w:rPr>
          <w:sz w:val="22"/>
          <w:szCs w:val="22"/>
          <w:lang w:val="sr-Latn-ME"/>
        </w:rPr>
      </w:pPr>
      <w:r w:rsidRPr="00E845ED">
        <w:rPr>
          <w:sz w:val="22"/>
          <w:szCs w:val="22"/>
          <w:lang w:val="sr-Latn-ME"/>
        </w:rPr>
        <w:t>Ne postoje klinički podaci o uticaju rokuronijum bromida na trudnoću. Studije na životinjama ne pokazuju direktna ili indirektna štetna dejstva vezana za trudnoću, embrionalni/fetalni razvoj, porođaj ili postnatalni razvoj. Treba biti oprezan prilikom propisivanja rokuronijum bromida trudnicama.</w:t>
      </w:r>
    </w:p>
    <w:p w14:paraId="45304DA9" w14:textId="3A024D07" w:rsidR="008F0875" w:rsidRPr="00E845ED" w:rsidRDefault="008F0875">
      <w:pPr>
        <w:tabs>
          <w:tab w:val="left" w:pos="540"/>
          <w:tab w:val="left" w:pos="569"/>
        </w:tabs>
        <w:jc w:val="both"/>
        <w:rPr>
          <w:sz w:val="22"/>
          <w:szCs w:val="22"/>
          <w:u w:val="single"/>
          <w:lang w:val="sr-Latn-ME"/>
        </w:rPr>
      </w:pPr>
    </w:p>
    <w:p w14:paraId="47E2E92C" w14:textId="77777777" w:rsidR="008F0875" w:rsidRPr="00E845ED" w:rsidRDefault="008F0875">
      <w:pPr>
        <w:tabs>
          <w:tab w:val="left" w:pos="540"/>
          <w:tab w:val="left" w:pos="569"/>
        </w:tabs>
        <w:jc w:val="both"/>
        <w:rPr>
          <w:sz w:val="22"/>
          <w:szCs w:val="22"/>
          <w:u w:val="single"/>
          <w:lang w:val="sr-Latn-ME"/>
        </w:rPr>
      </w:pPr>
      <w:r w:rsidRPr="00E845ED">
        <w:rPr>
          <w:sz w:val="22"/>
          <w:szCs w:val="22"/>
          <w:u w:val="single"/>
          <w:lang w:val="sr-Latn-ME"/>
        </w:rPr>
        <w:t>Carski rez</w:t>
      </w:r>
    </w:p>
    <w:p w14:paraId="67181C37" w14:textId="094548D0" w:rsidR="008F0875" w:rsidRPr="00E845ED" w:rsidRDefault="008F0875">
      <w:pPr>
        <w:tabs>
          <w:tab w:val="left" w:pos="540"/>
          <w:tab w:val="left" w:pos="569"/>
        </w:tabs>
        <w:jc w:val="both"/>
        <w:rPr>
          <w:sz w:val="22"/>
          <w:szCs w:val="22"/>
          <w:lang w:val="sr-Latn-ME"/>
        </w:rPr>
      </w:pPr>
      <w:r w:rsidRPr="00E845ED">
        <w:rPr>
          <w:sz w:val="22"/>
          <w:szCs w:val="22"/>
          <w:lang w:val="sr-Latn-ME"/>
        </w:rPr>
        <w:t>Kod pacijentkinja koje su podvrgnute carskom rezu, rokuronijum bromid može da se koristi kao dio tehnike brzog uvođenja u anesteziju, pod uslovom da se ne očekuju poteškoće sa intubacijom i ako se prim</w:t>
      </w:r>
      <w:r w:rsidR="00B93687" w:rsidRPr="00E845ED">
        <w:rPr>
          <w:sz w:val="22"/>
          <w:szCs w:val="22"/>
          <w:lang w:val="sr-Latn-ME"/>
        </w:rPr>
        <w:t>i</w:t>
      </w:r>
      <w:r w:rsidRPr="00E845ED">
        <w:rPr>
          <w:sz w:val="22"/>
          <w:szCs w:val="22"/>
          <w:lang w:val="sr-Latn-ME"/>
        </w:rPr>
        <w:t>jeni dovoljna doza agensa za anesteziju ili nakon intubacije suksametonijom. Međutim, rokuronijum bromid, primijenjen u dozama od 0,6 mg/kg, možda neće stvoriti adekvatne uslove za intubaciju sve do 90 sekundi nakon primjene. Pokazalo se da je ova doza sigurna kod pacijentkinja koje su podvrgnute carskom rezu.</w:t>
      </w:r>
    </w:p>
    <w:p w14:paraId="22FF6504" w14:textId="77777777" w:rsidR="008F0875" w:rsidRPr="00E845ED" w:rsidRDefault="008F0875">
      <w:pPr>
        <w:tabs>
          <w:tab w:val="left" w:pos="540"/>
          <w:tab w:val="left" w:pos="569"/>
        </w:tabs>
        <w:jc w:val="both"/>
        <w:rPr>
          <w:sz w:val="22"/>
          <w:szCs w:val="22"/>
          <w:lang w:val="sr-Latn-ME"/>
        </w:rPr>
      </w:pPr>
      <w:r w:rsidRPr="00E845ED">
        <w:rPr>
          <w:sz w:val="22"/>
          <w:szCs w:val="22"/>
          <w:lang w:val="sr-Latn-ME"/>
        </w:rPr>
        <w:t>Rokuronijum bromid ne utiče na Apgar skor, mišićni tonus fetusa ili kardiorespiratornu adaptaciju. Iz uzoraka krvi iz pupčane vrpce vidljivo je da dolazi do ograničenog prenosa rokuronijum bromida u posteljicu, zbog čega se ne sprovodi dalje posmatranje kliničkih neželjenih dejstava kod novorođenčadi.</w:t>
      </w:r>
    </w:p>
    <w:p w14:paraId="3AD307AC" w14:textId="77777777" w:rsidR="008F0875" w:rsidRPr="00E845ED" w:rsidRDefault="008F0875">
      <w:pPr>
        <w:tabs>
          <w:tab w:val="left" w:pos="540"/>
          <w:tab w:val="left" w:pos="569"/>
        </w:tabs>
        <w:jc w:val="both"/>
        <w:rPr>
          <w:sz w:val="22"/>
          <w:szCs w:val="22"/>
          <w:lang w:val="sr-Latn-ME"/>
        </w:rPr>
      </w:pPr>
    </w:p>
    <w:p w14:paraId="4CDA1452" w14:textId="77777777" w:rsidR="008F0875" w:rsidRPr="00E845ED" w:rsidRDefault="008F0875">
      <w:pPr>
        <w:tabs>
          <w:tab w:val="left" w:pos="540"/>
          <w:tab w:val="left" w:pos="569"/>
        </w:tabs>
        <w:jc w:val="both"/>
        <w:rPr>
          <w:sz w:val="22"/>
          <w:szCs w:val="22"/>
          <w:lang w:val="sr-Latn-ME"/>
        </w:rPr>
      </w:pPr>
      <w:r w:rsidRPr="00E845ED">
        <w:rPr>
          <w:sz w:val="22"/>
          <w:szCs w:val="22"/>
          <w:lang w:val="sr-Latn-ME"/>
        </w:rPr>
        <w:t>Napomena 1: doze od 1,0 mg/kg ispitivane su tokom brzog uvođenja u anesteziju, ali ne kod pacijenatkinja sa carskim rezom. Zbog toga se za ovu grupu pacijenata preporučuje isključivo doza od 0,6 mg/kg.</w:t>
      </w:r>
    </w:p>
    <w:p w14:paraId="654A6886" w14:textId="77777777" w:rsidR="008F0875" w:rsidRPr="00E845ED" w:rsidRDefault="008F0875">
      <w:pPr>
        <w:tabs>
          <w:tab w:val="left" w:pos="540"/>
          <w:tab w:val="left" w:pos="569"/>
        </w:tabs>
        <w:jc w:val="both"/>
        <w:rPr>
          <w:sz w:val="22"/>
          <w:szCs w:val="22"/>
          <w:lang w:val="sr-Latn-ME"/>
        </w:rPr>
      </w:pPr>
    </w:p>
    <w:p w14:paraId="0551DAE4" w14:textId="6533952B" w:rsidR="008F0875" w:rsidRPr="00E845ED" w:rsidRDefault="008F0875">
      <w:pPr>
        <w:tabs>
          <w:tab w:val="left" w:pos="540"/>
          <w:tab w:val="left" w:pos="569"/>
        </w:tabs>
        <w:jc w:val="both"/>
        <w:rPr>
          <w:sz w:val="22"/>
          <w:szCs w:val="22"/>
          <w:lang w:val="sr-Latn-ME"/>
        </w:rPr>
      </w:pPr>
      <w:r w:rsidRPr="00E845ED">
        <w:rPr>
          <w:sz w:val="22"/>
          <w:szCs w:val="22"/>
          <w:lang w:val="sr-Latn-ME"/>
        </w:rPr>
        <w:t>Napomena 2: Oporavak od neuromuskularne blokade izazvane neuromuskularnim blokatorima može biti inhibiran ili nezadovoljavajući kod pacijen</w:t>
      </w:r>
      <w:r w:rsidR="0018394B" w:rsidRPr="00E845ED">
        <w:rPr>
          <w:sz w:val="22"/>
          <w:szCs w:val="22"/>
          <w:lang w:val="sr-Latn-ME"/>
        </w:rPr>
        <w:t>tkinja</w:t>
      </w:r>
      <w:r w:rsidRPr="00E845ED">
        <w:rPr>
          <w:sz w:val="22"/>
          <w:szCs w:val="22"/>
          <w:lang w:val="sr-Latn-ME"/>
        </w:rPr>
        <w:t xml:space="preserve"> koj</w:t>
      </w:r>
      <w:r w:rsidR="0018394B" w:rsidRPr="00E845ED">
        <w:rPr>
          <w:sz w:val="22"/>
          <w:szCs w:val="22"/>
          <w:lang w:val="sr-Latn-ME"/>
        </w:rPr>
        <w:t>e</w:t>
      </w:r>
      <w:r w:rsidRPr="00E845ED">
        <w:rPr>
          <w:sz w:val="22"/>
          <w:szCs w:val="22"/>
          <w:lang w:val="sr-Latn-ME"/>
        </w:rPr>
        <w:t xml:space="preserve"> primaju magnezijumove soli kod toksemije u trudnoći, jer magnezijumove soli pojačavaju neuromuskularnu blokadu. Zbog toga, kod ovih pacijenata doziranje rokuronijum bromida treba smanjiti i prilagoditi prema odgovoru trzajem.</w:t>
      </w:r>
    </w:p>
    <w:p w14:paraId="0EDDCC42" w14:textId="77777777" w:rsidR="008F0875" w:rsidRPr="00E845ED" w:rsidRDefault="008F0875">
      <w:pPr>
        <w:tabs>
          <w:tab w:val="left" w:pos="540"/>
          <w:tab w:val="left" w:pos="569"/>
        </w:tabs>
        <w:jc w:val="both"/>
        <w:rPr>
          <w:sz w:val="22"/>
          <w:szCs w:val="22"/>
          <w:lang w:val="sr-Latn-ME"/>
        </w:rPr>
      </w:pPr>
    </w:p>
    <w:p w14:paraId="5985A421" w14:textId="472E9F56" w:rsidR="0072020E" w:rsidRPr="00E845ED" w:rsidRDefault="007A3ECB">
      <w:pPr>
        <w:tabs>
          <w:tab w:val="left" w:pos="540"/>
          <w:tab w:val="left" w:pos="569"/>
        </w:tabs>
        <w:jc w:val="both"/>
        <w:rPr>
          <w:sz w:val="22"/>
          <w:szCs w:val="22"/>
          <w:u w:val="single"/>
          <w:lang w:val="sr-Latn-ME"/>
        </w:rPr>
      </w:pPr>
      <w:r w:rsidRPr="00E845ED">
        <w:rPr>
          <w:sz w:val="22"/>
          <w:szCs w:val="22"/>
          <w:u w:val="single"/>
          <w:lang w:val="sr-Latn-ME"/>
        </w:rPr>
        <w:lastRenderedPageBreak/>
        <w:t xml:space="preserve">Dojenje </w:t>
      </w:r>
    </w:p>
    <w:p w14:paraId="6D18C639" w14:textId="0970A749" w:rsidR="008F0875" w:rsidRPr="00E845ED" w:rsidRDefault="008F0875">
      <w:pPr>
        <w:tabs>
          <w:tab w:val="left" w:pos="540"/>
          <w:tab w:val="left" w:pos="569"/>
        </w:tabs>
        <w:jc w:val="both"/>
        <w:rPr>
          <w:sz w:val="22"/>
          <w:szCs w:val="22"/>
          <w:lang w:val="sr-Latn-ME"/>
        </w:rPr>
      </w:pPr>
      <w:r w:rsidRPr="00E845ED">
        <w:rPr>
          <w:sz w:val="22"/>
          <w:szCs w:val="22"/>
          <w:lang w:val="sr-Latn-ME"/>
        </w:rPr>
        <w:t>Nije poznato da li se rokuronijum bromid izlučuje u majčino ml</w:t>
      </w:r>
      <w:r w:rsidR="0018394B" w:rsidRPr="00E845ED">
        <w:rPr>
          <w:sz w:val="22"/>
          <w:szCs w:val="22"/>
          <w:lang w:val="sr-Latn-ME"/>
        </w:rPr>
        <w:t>ij</w:t>
      </w:r>
      <w:r w:rsidRPr="00E845ED">
        <w:rPr>
          <w:sz w:val="22"/>
          <w:szCs w:val="22"/>
          <w:lang w:val="sr-Latn-ME"/>
        </w:rPr>
        <w:t>ek</w:t>
      </w:r>
      <w:r w:rsidR="0018394B" w:rsidRPr="00E845ED">
        <w:rPr>
          <w:sz w:val="22"/>
          <w:szCs w:val="22"/>
          <w:lang w:val="sr-Latn-ME"/>
        </w:rPr>
        <w:t>o</w:t>
      </w:r>
      <w:r w:rsidRPr="00E845ED">
        <w:rPr>
          <w:sz w:val="22"/>
          <w:szCs w:val="22"/>
          <w:lang w:val="sr-Latn-ME"/>
        </w:rPr>
        <w:t xml:space="preserve">. Studije na životinjama su pokazale beznačajne nivoe rokuronijum bromida u majčinom mlijeku. </w:t>
      </w:r>
    </w:p>
    <w:p w14:paraId="62A38865" w14:textId="3853EFD7" w:rsidR="008F0875" w:rsidRPr="00E845ED" w:rsidRDefault="008F0875">
      <w:pPr>
        <w:tabs>
          <w:tab w:val="left" w:pos="540"/>
          <w:tab w:val="left" w:pos="569"/>
        </w:tabs>
        <w:jc w:val="both"/>
        <w:rPr>
          <w:sz w:val="22"/>
          <w:szCs w:val="22"/>
          <w:lang w:val="sr-Latn-ME"/>
        </w:rPr>
      </w:pPr>
      <w:r w:rsidRPr="00E845ED">
        <w:rPr>
          <w:sz w:val="22"/>
          <w:szCs w:val="22"/>
          <w:lang w:val="sr-Latn-ME"/>
        </w:rPr>
        <w:t>Pronađeni su beznačajni nivoi rokuronijum bromida u mlijeku ženki pacova koje doje. Nema podataka o prisustvu rokuronijum bromida tokom laktacije kod žena. Ostali ljekovi ove klase pokazuju m</w:t>
      </w:r>
      <w:r w:rsidR="00180459" w:rsidRPr="00E845ED">
        <w:rPr>
          <w:sz w:val="22"/>
          <w:szCs w:val="22"/>
          <w:lang w:val="sr-Latn-ME"/>
        </w:rPr>
        <w:t>inimalno</w:t>
      </w:r>
      <w:r w:rsidRPr="00E845ED">
        <w:rPr>
          <w:sz w:val="22"/>
          <w:szCs w:val="22"/>
          <w:lang w:val="sr-Latn-ME"/>
        </w:rPr>
        <w:t xml:space="preserve"> izlučivanje u majčino</w:t>
      </w:r>
      <w:r w:rsidR="00180459" w:rsidRPr="00E845ED">
        <w:rPr>
          <w:sz w:val="22"/>
          <w:szCs w:val="22"/>
          <w:lang w:val="sr-Latn-ME"/>
        </w:rPr>
        <w:t>m</w:t>
      </w:r>
      <w:r w:rsidRPr="00E845ED">
        <w:rPr>
          <w:sz w:val="22"/>
          <w:szCs w:val="22"/>
          <w:lang w:val="sr-Latn-ME"/>
        </w:rPr>
        <w:t xml:space="preserve"> mlijek</w:t>
      </w:r>
      <w:r w:rsidR="00180459" w:rsidRPr="00E845ED">
        <w:rPr>
          <w:sz w:val="22"/>
          <w:szCs w:val="22"/>
          <w:lang w:val="sr-Latn-ME"/>
        </w:rPr>
        <w:t>u</w:t>
      </w:r>
      <w:r w:rsidRPr="00E845ED">
        <w:rPr>
          <w:sz w:val="22"/>
          <w:szCs w:val="22"/>
          <w:lang w:val="sr-Latn-ME"/>
        </w:rPr>
        <w:t xml:space="preserve"> i malu resorpciju od strane djeteta koje sisa. Rokuronijum bromid treba primjenjivati dojiljama samo kad ljekar utvrdi da koristi od primjene lijeka premašuju rizike. Nakon primjene jedne doze, preporučuje se uzdržavanje od sljedećeg dojenja tokom pet poluvremena eliminacije rokuronijuma, tj. oko 6 sati.</w:t>
      </w:r>
    </w:p>
    <w:p w14:paraId="76F65D34" w14:textId="77777777" w:rsidR="00227BDB" w:rsidRPr="00E845ED" w:rsidRDefault="00227BDB" w:rsidP="00D542D8">
      <w:pPr>
        <w:tabs>
          <w:tab w:val="left" w:pos="540"/>
          <w:tab w:val="left" w:pos="569"/>
        </w:tabs>
        <w:ind w:left="540" w:hanging="540"/>
        <w:jc w:val="both"/>
        <w:rPr>
          <w:b/>
          <w:bCs/>
          <w:sz w:val="22"/>
          <w:szCs w:val="22"/>
          <w:lang w:val="sr-Latn-ME"/>
        </w:rPr>
      </w:pPr>
    </w:p>
    <w:p w14:paraId="64627E36" w14:textId="77777777" w:rsidR="0072020E" w:rsidRPr="00E845ED" w:rsidRDefault="0072020E" w:rsidP="00D542D8">
      <w:pPr>
        <w:tabs>
          <w:tab w:val="left" w:pos="540"/>
          <w:tab w:val="left" w:pos="569"/>
        </w:tabs>
        <w:ind w:left="540" w:hanging="540"/>
        <w:jc w:val="both"/>
        <w:rPr>
          <w:b/>
          <w:bCs/>
          <w:sz w:val="22"/>
          <w:szCs w:val="22"/>
          <w:lang w:val="sr-Latn-ME"/>
        </w:rPr>
      </w:pPr>
      <w:r w:rsidRPr="00E845ED">
        <w:rPr>
          <w:b/>
          <w:bCs/>
          <w:sz w:val="22"/>
          <w:szCs w:val="22"/>
          <w:lang w:val="sr-Latn-ME"/>
        </w:rPr>
        <w:t xml:space="preserve">4.7. </w:t>
      </w:r>
      <w:r w:rsidR="00480FB1" w:rsidRPr="00E845ED">
        <w:rPr>
          <w:b/>
          <w:bCs/>
          <w:sz w:val="22"/>
          <w:szCs w:val="22"/>
          <w:lang w:val="sr-Latn-ME"/>
        </w:rPr>
        <w:tab/>
      </w:r>
      <w:r w:rsidRPr="00E845ED">
        <w:rPr>
          <w:b/>
          <w:bCs/>
          <w:sz w:val="22"/>
          <w:szCs w:val="22"/>
          <w:lang w:val="sr-Latn-ME"/>
        </w:rPr>
        <w:t xml:space="preserve">Uticaj na </w:t>
      </w:r>
      <w:r w:rsidR="002031B3" w:rsidRPr="00E845ED">
        <w:rPr>
          <w:b/>
          <w:bCs/>
          <w:sz w:val="22"/>
          <w:szCs w:val="22"/>
          <w:lang w:val="sr-Latn-ME"/>
        </w:rPr>
        <w:t xml:space="preserve">sposobnost </w:t>
      </w:r>
      <w:r w:rsidR="00F34554" w:rsidRPr="00E845ED">
        <w:rPr>
          <w:b/>
          <w:bCs/>
          <w:sz w:val="22"/>
          <w:szCs w:val="22"/>
          <w:lang w:val="sr-Latn-ME"/>
        </w:rPr>
        <w:t>upravljanja vozili</w:t>
      </w:r>
      <w:r w:rsidRPr="00E845ED">
        <w:rPr>
          <w:b/>
          <w:bCs/>
          <w:sz w:val="22"/>
          <w:szCs w:val="22"/>
          <w:lang w:val="sr-Latn-ME"/>
        </w:rPr>
        <w:t>m</w:t>
      </w:r>
      <w:r w:rsidR="00F34554" w:rsidRPr="00E845ED">
        <w:rPr>
          <w:b/>
          <w:bCs/>
          <w:sz w:val="22"/>
          <w:szCs w:val="22"/>
          <w:lang w:val="sr-Latn-ME"/>
        </w:rPr>
        <w:t>a</w:t>
      </w:r>
      <w:r w:rsidRPr="00E845ED">
        <w:rPr>
          <w:b/>
          <w:bCs/>
          <w:sz w:val="22"/>
          <w:szCs w:val="22"/>
          <w:lang w:val="sr-Latn-ME"/>
        </w:rPr>
        <w:t xml:space="preserve"> i </w:t>
      </w:r>
      <w:r w:rsidR="000D3449" w:rsidRPr="00E845ED">
        <w:rPr>
          <w:b/>
          <w:bCs/>
          <w:sz w:val="22"/>
          <w:szCs w:val="22"/>
          <w:lang w:val="sr-Latn-ME"/>
        </w:rPr>
        <w:t xml:space="preserve">rukovanje </w:t>
      </w:r>
      <w:r w:rsidRPr="00E845ED">
        <w:rPr>
          <w:b/>
          <w:bCs/>
          <w:sz w:val="22"/>
          <w:szCs w:val="22"/>
          <w:lang w:val="sr-Latn-ME"/>
        </w:rPr>
        <w:t>mašinama</w:t>
      </w:r>
    </w:p>
    <w:p w14:paraId="3190D43B" w14:textId="64CCAF02" w:rsidR="0072020E" w:rsidRPr="00E845ED" w:rsidRDefault="0072020E" w:rsidP="00D542D8">
      <w:pPr>
        <w:tabs>
          <w:tab w:val="left" w:pos="540"/>
          <w:tab w:val="left" w:pos="569"/>
        </w:tabs>
        <w:jc w:val="both"/>
        <w:rPr>
          <w:b/>
          <w:bCs/>
          <w:sz w:val="22"/>
          <w:szCs w:val="22"/>
          <w:lang w:val="sr-Latn-ME"/>
        </w:rPr>
      </w:pPr>
    </w:p>
    <w:p w14:paraId="1B62D118" w14:textId="71AF4A56" w:rsidR="008F0875" w:rsidRPr="00E845ED" w:rsidRDefault="001335CD" w:rsidP="005C47CD">
      <w:pPr>
        <w:tabs>
          <w:tab w:val="left" w:pos="540"/>
          <w:tab w:val="left" w:pos="569"/>
        </w:tabs>
        <w:jc w:val="both"/>
        <w:rPr>
          <w:sz w:val="22"/>
          <w:szCs w:val="22"/>
          <w:lang w:val="sr-Latn-ME"/>
        </w:rPr>
      </w:pPr>
      <w:r w:rsidRPr="00E845ED">
        <w:rPr>
          <w:sz w:val="22"/>
          <w:szCs w:val="22"/>
          <w:lang w:val="sr-Latn-ME"/>
        </w:rPr>
        <w:t>Lijek Rocuronium bromide Kalceks ima veliki uticaj na sposobnost upravljanja vozilima i rukovanja mašinama. Pošto se rokuronijum bromid koristi kao dodatak opštoj anesteziji, za ambulantne pacijente treba preduzeti uobičajene mjere predostrožnosti nakon opšte anestezije. Ne preporučuje se upravljanje vozilima ili rukovanje potencijalno opasnim mašinama tokom prvih 24 sata od potpunog oporavka nakon neuromuskularne blokade izazvane rokuronijum-bromidom.</w:t>
      </w:r>
    </w:p>
    <w:p w14:paraId="62B55D36" w14:textId="77777777" w:rsidR="008F0875" w:rsidRPr="00E845ED" w:rsidRDefault="008F0875" w:rsidP="00D542D8">
      <w:pPr>
        <w:tabs>
          <w:tab w:val="left" w:pos="540"/>
          <w:tab w:val="left" w:pos="569"/>
        </w:tabs>
        <w:jc w:val="both"/>
        <w:rPr>
          <w:sz w:val="22"/>
          <w:szCs w:val="22"/>
          <w:lang w:val="sr-Latn-ME"/>
        </w:rPr>
      </w:pPr>
    </w:p>
    <w:p w14:paraId="1C2AA384"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4.8. </w:t>
      </w:r>
      <w:r w:rsidR="00480FB1" w:rsidRPr="00E845ED">
        <w:rPr>
          <w:b/>
          <w:bCs/>
          <w:sz w:val="22"/>
          <w:szCs w:val="22"/>
          <w:lang w:val="sr-Latn-ME"/>
        </w:rPr>
        <w:tab/>
      </w:r>
      <w:r w:rsidRPr="00E845ED">
        <w:rPr>
          <w:b/>
          <w:bCs/>
          <w:sz w:val="22"/>
          <w:szCs w:val="22"/>
          <w:lang w:val="sr-Latn-ME"/>
        </w:rPr>
        <w:t>Neželjena dejstva</w:t>
      </w:r>
    </w:p>
    <w:p w14:paraId="2ACFCEC1" w14:textId="77777777" w:rsidR="004E70AD" w:rsidRPr="00E845ED" w:rsidRDefault="004E70AD" w:rsidP="00D542D8">
      <w:pPr>
        <w:tabs>
          <w:tab w:val="left" w:pos="540"/>
          <w:tab w:val="left" w:pos="569"/>
        </w:tabs>
        <w:jc w:val="both"/>
        <w:rPr>
          <w:b/>
          <w:bCs/>
          <w:sz w:val="22"/>
          <w:szCs w:val="22"/>
          <w:lang w:val="sr-Latn-ME"/>
        </w:rPr>
      </w:pPr>
    </w:p>
    <w:p w14:paraId="3A31A170" w14:textId="77777777" w:rsidR="008F0875" w:rsidRPr="00E845ED" w:rsidRDefault="008F0875" w:rsidP="005C47CD">
      <w:pPr>
        <w:pStyle w:val="NoSpacing"/>
        <w:jc w:val="both"/>
        <w:rPr>
          <w:rFonts w:eastAsia="Calibri"/>
          <w:sz w:val="22"/>
          <w:szCs w:val="22"/>
          <w:u w:val="single"/>
          <w:lang w:val="sr-Latn-ME"/>
        </w:rPr>
      </w:pPr>
      <w:r w:rsidRPr="00E845ED">
        <w:rPr>
          <w:rFonts w:eastAsia="Calibri"/>
          <w:sz w:val="22"/>
          <w:szCs w:val="22"/>
          <w:u w:val="single"/>
          <w:lang w:val="sr-Latn-ME"/>
        </w:rPr>
        <w:t>Sažetak bezbjednosnog profila</w:t>
      </w:r>
    </w:p>
    <w:p w14:paraId="1D0B1C28" w14:textId="77777777" w:rsidR="008F0875" w:rsidRPr="00E845ED" w:rsidRDefault="008F0875" w:rsidP="000B2BC5">
      <w:pPr>
        <w:pStyle w:val="NoSpacing"/>
        <w:jc w:val="both"/>
        <w:rPr>
          <w:rFonts w:eastAsia="Calibri"/>
          <w:sz w:val="22"/>
          <w:szCs w:val="22"/>
          <w:lang w:val="sr-Latn-ME"/>
        </w:rPr>
      </w:pPr>
    </w:p>
    <w:p w14:paraId="4E43F589" w14:textId="716E812E" w:rsidR="008F0875" w:rsidRPr="00E845ED" w:rsidRDefault="008F0875">
      <w:pPr>
        <w:pStyle w:val="NoSpacing"/>
        <w:jc w:val="both"/>
        <w:rPr>
          <w:rFonts w:eastAsia="Calibri"/>
          <w:sz w:val="22"/>
          <w:szCs w:val="22"/>
          <w:lang w:val="sr-Latn-ME"/>
        </w:rPr>
      </w:pPr>
      <w:r w:rsidRPr="00E845ED">
        <w:rPr>
          <w:rFonts w:eastAsia="Calibri"/>
          <w:sz w:val="22"/>
          <w:szCs w:val="22"/>
          <w:lang w:val="sr-Latn-ME"/>
        </w:rPr>
        <w:t>Neželjene reakcije koje se najčešće javljaju obuhvataju bol/reakciju na mjestu ubrizgavanja, promjene vitalnih funkcija i produženu neuromuskularnu blokadu. Najčešće prijavljene ozbiljne neželjene reakcije tokom post</w:t>
      </w:r>
      <w:r w:rsidR="001335CD" w:rsidRPr="00E845ED">
        <w:rPr>
          <w:rFonts w:eastAsia="Calibri"/>
          <w:sz w:val="22"/>
          <w:szCs w:val="22"/>
          <w:lang w:val="sr-Latn-ME"/>
        </w:rPr>
        <w:t>marketinškog praćenja</w:t>
      </w:r>
      <w:r w:rsidRPr="00E845ED">
        <w:rPr>
          <w:rFonts w:eastAsia="Calibri"/>
          <w:sz w:val="22"/>
          <w:szCs w:val="22"/>
          <w:lang w:val="sr-Latn-ME"/>
        </w:rPr>
        <w:t xml:space="preserve"> su „anafilaktičke i anafilaktoidne reakcije“ i </w:t>
      </w:r>
      <w:r w:rsidR="001335CD" w:rsidRPr="00E845ED">
        <w:rPr>
          <w:rFonts w:eastAsia="Calibri"/>
          <w:sz w:val="22"/>
          <w:szCs w:val="22"/>
          <w:lang w:val="sr-Latn-ME"/>
        </w:rPr>
        <w:t xml:space="preserve">njima </w:t>
      </w:r>
      <w:r w:rsidRPr="00E845ED">
        <w:rPr>
          <w:rFonts w:eastAsia="Calibri"/>
          <w:sz w:val="22"/>
          <w:szCs w:val="22"/>
          <w:lang w:val="sr-Latn-ME"/>
        </w:rPr>
        <w:t>pridruženi simptomi. Pogledati i objašnjenja ispod tabele.</w:t>
      </w:r>
    </w:p>
    <w:p w14:paraId="202F5BCB" w14:textId="77777777" w:rsidR="008F0875" w:rsidRPr="00E845ED" w:rsidRDefault="008F0875">
      <w:pPr>
        <w:pStyle w:val="NoSpacing"/>
        <w:jc w:val="both"/>
        <w:rPr>
          <w:rFonts w:eastAsia="Calibri"/>
          <w:sz w:val="22"/>
          <w:szCs w:val="22"/>
          <w:lang w:val="sr-Latn-ME"/>
        </w:rPr>
      </w:pPr>
    </w:p>
    <w:p w14:paraId="53E1381D" w14:textId="77777777" w:rsidR="008F0875" w:rsidRPr="00E845ED" w:rsidRDefault="008F0875">
      <w:pPr>
        <w:pStyle w:val="NoSpacing"/>
        <w:jc w:val="both"/>
        <w:rPr>
          <w:rFonts w:eastAsia="Calibri"/>
          <w:sz w:val="22"/>
          <w:szCs w:val="22"/>
          <w:lang w:val="sr-Latn-ME"/>
        </w:rPr>
      </w:pPr>
      <w:r w:rsidRPr="00E845ED">
        <w:rPr>
          <w:rFonts w:eastAsia="Calibri"/>
          <w:sz w:val="22"/>
          <w:szCs w:val="22"/>
          <w:lang w:val="sr-Latn-ME"/>
        </w:rPr>
        <w:t>Učestalost neželjenih dejstava klasifikovana je u sljedeće kategorije:</w:t>
      </w:r>
    </w:p>
    <w:p w14:paraId="02328150" w14:textId="0724DD61" w:rsidR="008F0875" w:rsidRPr="00E845ED" w:rsidRDefault="008F0875">
      <w:pPr>
        <w:pStyle w:val="NoSpacing"/>
        <w:jc w:val="both"/>
        <w:rPr>
          <w:rFonts w:eastAsia="Calibri"/>
          <w:sz w:val="22"/>
          <w:szCs w:val="22"/>
          <w:lang w:val="sr-Latn-ME"/>
        </w:rPr>
      </w:pPr>
      <w:r w:rsidRPr="00E845ED">
        <w:rPr>
          <w:rFonts w:eastAsia="Calibri"/>
          <w:sz w:val="22"/>
          <w:szCs w:val="22"/>
          <w:lang w:val="sr-Latn-ME"/>
        </w:rPr>
        <w:t xml:space="preserve">Povremeno </w:t>
      </w:r>
      <w:r w:rsidR="00054019" w:rsidRPr="00E845ED">
        <w:rPr>
          <w:rFonts w:eastAsia="Calibri"/>
          <w:sz w:val="22"/>
          <w:szCs w:val="22"/>
          <w:lang w:val="sr-Latn-ME"/>
        </w:rPr>
        <w:t xml:space="preserve"> </w:t>
      </w:r>
      <w:r w:rsidRPr="00E845ED">
        <w:rPr>
          <w:rFonts w:eastAsia="Calibri"/>
          <w:sz w:val="22"/>
          <w:szCs w:val="22"/>
          <w:lang w:val="sr-Latn-ME"/>
        </w:rPr>
        <w:t>(≥1/1</w:t>
      </w:r>
      <w:r w:rsidR="006B4F16" w:rsidRPr="00E845ED">
        <w:rPr>
          <w:rFonts w:eastAsia="Calibri"/>
          <w:sz w:val="22"/>
          <w:szCs w:val="22"/>
          <w:lang w:val="sr-Latn-ME"/>
        </w:rPr>
        <w:t xml:space="preserve"> </w:t>
      </w:r>
      <w:r w:rsidRPr="00E845ED">
        <w:rPr>
          <w:rFonts w:eastAsia="Calibri"/>
          <w:sz w:val="22"/>
          <w:szCs w:val="22"/>
          <w:lang w:val="sr-Latn-ME"/>
        </w:rPr>
        <w:t>000 do &lt;1/100)</w:t>
      </w:r>
    </w:p>
    <w:p w14:paraId="66978631" w14:textId="66EDD8E5" w:rsidR="008F0875" w:rsidRPr="00E845ED" w:rsidRDefault="008F0875">
      <w:pPr>
        <w:pStyle w:val="NoSpacing"/>
        <w:jc w:val="both"/>
        <w:rPr>
          <w:rFonts w:eastAsia="Calibri"/>
          <w:sz w:val="22"/>
          <w:szCs w:val="22"/>
          <w:lang w:val="sr-Latn-ME"/>
        </w:rPr>
      </w:pPr>
      <w:r w:rsidRPr="00E845ED">
        <w:rPr>
          <w:rFonts w:eastAsia="Calibri"/>
          <w:sz w:val="22"/>
          <w:szCs w:val="22"/>
          <w:lang w:val="sr-Latn-ME"/>
        </w:rPr>
        <w:t xml:space="preserve">Rijetko </w:t>
      </w:r>
      <w:r w:rsidRPr="00E845ED">
        <w:rPr>
          <w:rFonts w:eastAsia="Calibri"/>
          <w:sz w:val="22"/>
          <w:szCs w:val="22"/>
          <w:lang w:val="sr-Latn-ME"/>
        </w:rPr>
        <w:tab/>
        <w:t>(≥1/10</w:t>
      </w:r>
      <w:r w:rsidR="001335CD" w:rsidRPr="00E845ED">
        <w:rPr>
          <w:rFonts w:eastAsia="Calibri"/>
          <w:sz w:val="22"/>
          <w:szCs w:val="22"/>
          <w:lang w:val="sr-Latn-ME"/>
        </w:rPr>
        <w:t xml:space="preserve"> </w:t>
      </w:r>
      <w:r w:rsidRPr="00E845ED">
        <w:rPr>
          <w:rFonts w:eastAsia="Calibri"/>
          <w:sz w:val="22"/>
          <w:szCs w:val="22"/>
          <w:lang w:val="sr-Latn-ME"/>
        </w:rPr>
        <w:t>000 do &lt;1/1</w:t>
      </w:r>
      <w:r w:rsidR="006B4F16" w:rsidRPr="00E845ED">
        <w:rPr>
          <w:rFonts w:eastAsia="Calibri"/>
          <w:sz w:val="22"/>
          <w:szCs w:val="22"/>
          <w:lang w:val="sr-Latn-ME"/>
        </w:rPr>
        <w:t xml:space="preserve"> </w:t>
      </w:r>
      <w:r w:rsidRPr="00E845ED">
        <w:rPr>
          <w:rFonts w:eastAsia="Calibri"/>
          <w:sz w:val="22"/>
          <w:szCs w:val="22"/>
          <w:lang w:val="sr-Latn-ME"/>
        </w:rPr>
        <w:t>000)</w:t>
      </w:r>
    </w:p>
    <w:p w14:paraId="5E04057B" w14:textId="3A3B8096" w:rsidR="008F0875" w:rsidRPr="00E845ED" w:rsidRDefault="008F0875">
      <w:pPr>
        <w:pStyle w:val="NoSpacing"/>
        <w:jc w:val="both"/>
        <w:rPr>
          <w:rFonts w:eastAsia="Calibri"/>
          <w:sz w:val="22"/>
          <w:szCs w:val="22"/>
          <w:lang w:val="sr-Latn-ME"/>
        </w:rPr>
      </w:pPr>
      <w:r w:rsidRPr="00E845ED">
        <w:rPr>
          <w:rFonts w:eastAsia="Calibri"/>
          <w:sz w:val="22"/>
          <w:szCs w:val="22"/>
          <w:lang w:val="sr-Latn-ME"/>
        </w:rPr>
        <w:t>Veoma rijetko</w:t>
      </w:r>
      <w:r w:rsidRPr="00E845ED">
        <w:rPr>
          <w:rFonts w:eastAsia="Calibri"/>
          <w:sz w:val="22"/>
          <w:szCs w:val="22"/>
          <w:lang w:val="sr-Latn-ME"/>
        </w:rPr>
        <w:tab/>
        <w:t>(&lt;1/10</w:t>
      </w:r>
      <w:r w:rsidR="006B4F16" w:rsidRPr="00E845ED">
        <w:rPr>
          <w:rFonts w:eastAsia="Calibri"/>
          <w:sz w:val="22"/>
          <w:szCs w:val="22"/>
          <w:lang w:val="sr-Latn-ME"/>
        </w:rPr>
        <w:t xml:space="preserve"> </w:t>
      </w:r>
      <w:r w:rsidRPr="00E845ED">
        <w:rPr>
          <w:rFonts w:eastAsia="Calibri"/>
          <w:sz w:val="22"/>
          <w:szCs w:val="22"/>
          <w:lang w:val="sr-Latn-ME"/>
        </w:rPr>
        <w:t>000), nijesu poznata (ne mogu se proc</w:t>
      </w:r>
      <w:r w:rsidR="006B4F16" w:rsidRPr="00E845ED">
        <w:rPr>
          <w:rFonts w:eastAsia="Calibri"/>
          <w:sz w:val="22"/>
          <w:szCs w:val="22"/>
          <w:lang w:val="sr-Latn-ME"/>
        </w:rPr>
        <w:t>i</w:t>
      </w:r>
      <w:r w:rsidRPr="00E845ED">
        <w:rPr>
          <w:rFonts w:eastAsia="Calibri"/>
          <w:sz w:val="22"/>
          <w:szCs w:val="22"/>
          <w:lang w:val="sr-Latn-ME"/>
        </w:rPr>
        <w:t>jeniti na osnovu dostupnih podataka).</w:t>
      </w:r>
    </w:p>
    <w:p w14:paraId="5B531DF1" w14:textId="77777777" w:rsidR="008F0875" w:rsidRPr="00E845ED" w:rsidRDefault="008F0875">
      <w:pPr>
        <w:pStyle w:val="NoSpacing"/>
        <w:jc w:val="both"/>
        <w:rPr>
          <w:rFonts w:eastAsia="Calibri"/>
          <w:sz w:val="22"/>
          <w:szCs w:val="22"/>
          <w:lang w:val="sr-Latn-ME"/>
        </w:rPr>
      </w:pPr>
    </w:p>
    <w:p w14:paraId="1EB093B9" w14:textId="77777777" w:rsidR="008F0875" w:rsidRPr="00E845ED" w:rsidRDefault="008F0875">
      <w:pPr>
        <w:pStyle w:val="NoSpacing"/>
        <w:jc w:val="both"/>
        <w:rPr>
          <w:rFonts w:eastAsia="Calibri"/>
          <w:sz w:val="22"/>
          <w:szCs w:val="22"/>
          <w:lang w:val="sr-Latn-ME"/>
        </w:rPr>
      </w:pPr>
      <w:r w:rsidRPr="00E845ED">
        <w:rPr>
          <w:rFonts w:eastAsia="Calibri"/>
          <w:sz w:val="22"/>
          <w:szCs w:val="22"/>
          <w:lang w:val="sr-Latn-ME"/>
        </w:rPr>
        <w:t>Tabela 1. Tabelarni prikaz neželjenih reakcija</w:t>
      </w:r>
    </w:p>
    <w:p w14:paraId="771FECA1" w14:textId="77777777" w:rsidR="008F0875" w:rsidRPr="00E845ED" w:rsidRDefault="008F0875">
      <w:pPr>
        <w:pStyle w:val="NoSpacing"/>
        <w:jc w:val="both"/>
        <w:rPr>
          <w:rFonts w:eastAsia="Calibri"/>
          <w:sz w:val="22"/>
          <w:szCs w:val="22"/>
          <w:lang w:val="sr-Latn-ME"/>
        </w:rPr>
      </w:pPr>
    </w:p>
    <w:tbl>
      <w:tblPr>
        <w:tblStyle w:val="TableGrid"/>
        <w:tblW w:w="10075" w:type="dxa"/>
        <w:tblInd w:w="-10" w:type="dxa"/>
        <w:tblCellMar>
          <w:top w:w="45" w:type="dxa"/>
          <w:left w:w="10" w:type="dxa"/>
          <w:right w:w="44" w:type="dxa"/>
        </w:tblCellMar>
        <w:tblLook w:val="04A0" w:firstRow="1" w:lastRow="0" w:firstColumn="1" w:lastColumn="0" w:noHBand="0" w:noVBand="1"/>
      </w:tblPr>
      <w:tblGrid>
        <w:gridCol w:w="2985"/>
        <w:gridCol w:w="2976"/>
        <w:gridCol w:w="1954"/>
        <w:gridCol w:w="2160"/>
      </w:tblGrid>
      <w:tr w:rsidR="006B4F16" w:rsidRPr="00E845ED" w14:paraId="42E3D994" w14:textId="77777777" w:rsidTr="009048F6">
        <w:trPr>
          <w:trHeight w:val="293"/>
        </w:trPr>
        <w:tc>
          <w:tcPr>
            <w:tcW w:w="2986" w:type="dxa"/>
            <w:vMerge w:val="restart"/>
            <w:tcBorders>
              <w:top w:val="single" w:sz="4" w:space="0" w:color="000000"/>
              <w:left w:val="single" w:sz="4" w:space="0" w:color="000000"/>
              <w:bottom w:val="nil"/>
              <w:right w:val="single" w:sz="4" w:space="0" w:color="000000"/>
            </w:tcBorders>
          </w:tcPr>
          <w:p w14:paraId="5BE49C67"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MedDRA Klasifikacija sistema organa</w:t>
            </w:r>
          </w:p>
        </w:tc>
        <w:tc>
          <w:tcPr>
            <w:tcW w:w="2976" w:type="dxa"/>
            <w:tcBorders>
              <w:top w:val="single" w:sz="4" w:space="0" w:color="000000"/>
              <w:left w:val="single" w:sz="4" w:space="0" w:color="000000"/>
              <w:bottom w:val="single" w:sz="4" w:space="0" w:color="000000"/>
              <w:right w:val="nil"/>
            </w:tcBorders>
          </w:tcPr>
          <w:p w14:paraId="6C511433"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Učestalost</w:t>
            </w:r>
            <w:r w:rsidRPr="00E845ED">
              <w:rPr>
                <w:rFonts w:ascii="Times New Roman" w:hAnsi="Times New Roman"/>
                <w:color w:val="000000"/>
                <w:sz w:val="22"/>
                <w:szCs w:val="22"/>
                <w:vertAlign w:val="superscript"/>
                <w:lang w:val="sr-Latn-ME"/>
              </w:rPr>
              <w:t>1</w:t>
            </w:r>
          </w:p>
        </w:tc>
        <w:tc>
          <w:tcPr>
            <w:tcW w:w="1954" w:type="dxa"/>
            <w:tcBorders>
              <w:top w:val="single" w:sz="4" w:space="0" w:color="000000"/>
              <w:left w:val="nil"/>
              <w:bottom w:val="single" w:sz="4" w:space="0" w:color="000000"/>
              <w:right w:val="single" w:sz="4" w:space="0" w:color="000000"/>
            </w:tcBorders>
          </w:tcPr>
          <w:p w14:paraId="7D80E13C"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2160" w:type="dxa"/>
            <w:tcBorders>
              <w:top w:val="single" w:sz="4" w:space="0" w:color="000000"/>
              <w:left w:val="single" w:sz="4" w:space="0" w:color="000000"/>
              <w:bottom w:val="single" w:sz="4" w:space="0" w:color="000000"/>
              <w:right w:val="single" w:sz="4" w:space="0" w:color="000000"/>
            </w:tcBorders>
          </w:tcPr>
          <w:p w14:paraId="544DAC9D"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2F30707F" w14:textId="77777777" w:rsidTr="009048F6">
        <w:trPr>
          <w:trHeight w:val="274"/>
        </w:trPr>
        <w:tc>
          <w:tcPr>
            <w:tcW w:w="0" w:type="auto"/>
            <w:vMerge/>
            <w:tcBorders>
              <w:top w:val="nil"/>
              <w:left w:val="single" w:sz="4" w:space="0" w:color="000000"/>
              <w:bottom w:val="nil"/>
              <w:right w:val="single" w:sz="4" w:space="0" w:color="000000"/>
            </w:tcBorders>
          </w:tcPr>
          <w:p w14:paraId="3A1ED4BD"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2976" w:type="dxa"/>
            <w:tcBorders>
              <w:top w:val="single" w:sz="4" w:space="0" w:color="000000"/>
              <w:left w:val="single" w:sz="4" w:space="0" w:color="000000"/>
              <w:bottom w:val="nil"/>
              <w:right w:val="single" w:sz="4" w:space="0" w:color="000000"/>
            </w:tcBorders>
          </w:tcPr>
          <w:p w14:paraId="4BD4258F" w14:textId="617209DB"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Povremene/r</w:t>
            </w:r>
            <w:r w:rsidR="00D12CD1" w:rsidRPr="00E845ED">
              <w:rPr>
                <w:rFonts w:ascii="Times New Roman" w:hAnsi="Times New Roman"/>
                <w:color w:val="000000"/>
                <w:sz w:val="22"/>
                <w:szCs w:val="22"/>
                <w:lang w:val="sr-Latn-ME"/>
              </w:rPr>
              <w:t>ij</w:t>
            </w:r>
            <w:r w:rsidRPr="00E845ED">
              <w:rPr>
                <w:rFonts w:ascii="Times New Roman" w:hAnsi="Times New Roman"/>
                <w:color w:val="000000"/>
                <w:sz w:val="22"/>
                <w:szCs w:val="22"/>
                <w:lang w:val="sr-Latn-ME"/>
              </w:rPr>
              <w:t>etke</w:t>
            </w:r>
            <w:r w:rsidRPr="00E845ED">
              <w:rPr>
                <w:rFonts w:ascii="Times New Roman" w:hAnsi="Times New Roman"/>
                <w:color w:val="000000"/>
                <w:sz w:val="22"/>
                <w:szCs w:val="22"/>
                <w:vertAlign w:val="superscript"/>
                <w:lang w:val="sr-Latn-ME"/>
              </w:rPr>
              <w:t>2</w:t>
            </w:r>
          </w:p>
        </w:tc>
        <w:tc>
          <w:tcPr>
            <w:tcW w:w="1954" w:type="dxa"/>
            <w:tcBorders>
              <w:top w:val="single" w:sz="4" w:space="0" w:color="000000"/>
              <w:left w:val="single" w:sz="4" w:space="0" w:color="000000"/>
              <w:bottom w:val="nil"/>
              <w:right w:val="single" w:sz="4" w:space="0" w:color="000000"/>
            </w:tcBorders>
          </w:tcPr>
          <w:p w14:paraId="24B1C30E" w14:textId="2F3FE854"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Veoma r</w:t>
            </w:r>
            <w:r w:rsidR="00D12CD1" w:rsidRPr="00E845ED">
              <w:rPr>
                <w:rFonts w:ascii="Times New Roman" w:hAnsi="Times New Roman"/>
                <w:color w:val="000000"/>
                <w:sz w:val="22"/>
                <w:szCs w:val="22"/>
                <w:lang w:val="sr-Latn-ME"/>
              </w:rPr>
              <w:t>ij</w:t>
            </w:r>
            <w:r w:rsidRPr="00E845ED">
              <w:rPr>
                <w:rFonts w:ascii="Times New Roman" w:hAnsi="Times New Roman"/>
                <w:color w:val="000000"/>
                <w:sz w:val="22"/>
                <w:szCs w:val="22"/>
                <w:lang w:val="sr-Latn-ME"/>
              </w:rPr>
              <w:t>etke</w:t>
            </w:r>
          </w:p>
        </w:tc>
        <w:tc>
          <w:tcPr>
            <w:tcW w:w="2160" w:type="dxa"/>
            <w:tcBorders>
              <w:top w:val="single" w:sz="4" w:space="0" w:color="000000"/>
              <w:left w:val="single" w:sz="4" w:space="0" w:color="000000"/>
              <w:bottom w:val="nil"/>
              <w:right w:val="single" w:sz="4" w:space="0" w:color="000000"/>
            </w:tcBorders>
          </w:tcPr>
          <w:p w14:paraId="5294BD56"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Nepoznato</w:t>
            </w:r>
          </w:p>
        </w:tc>
      </w:tr>
      <w:tr w:rsidR="006B4F16" w:rsidRPr="00E845ED" w14:paraId="29397FD4" w14:textId="77777777" w:rsidTr="009048F6">
        <w:trPr>
          <w:trHeight w:val="1982"/>
        </w:trPr>
        <w:tc>
          <w:tcPr>
            <w:tcW w:w="2986" w:type="dxa"/>
            <w:tcBorders>
              <w:top w:val="single" w:sz="4" w:space="0" w:color="000000"/>
              <w:left w:val="single" w:sz="4" w:space="0" w:color="000000"/>
              <w:bottom w:val="single" w:sz="4" w:space="0" w:color="000000"/>
              <w:right w:val="single" w:sz="4" w:space="0" w:color="000000"/>
            </w:tcBorders>
          </w:tcPr>
          <w:p w14:paraId="70589352" w14:textId="16DD1A15"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Poremećaji imunog sistema</w:t>
            </w:r>
          </w:p>
        </w:tc>
        <w:tc>
          <w:tcPr>
            <w:tcW w:w="2976" w:type="dxa"/>
            <w:tcBorders>
              <w:top w:val="single" w:sz="4" w:space="0" w:color="000000"/>
              <w:left w:val="single" w:sz="4" w:space="0" w:color="000000"/>
              <w:bottom w:val="single" w:sz="4" w:space="0" w:color="000000"/>
              <w:right w:val="single" w:sz="4" w:space="0" w:color="000000"/>
            </w:tcBorders>
          </w:tcPr>
          <w:p w14:paraId="1118B32B"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1954" w:type="dxa"/>
            <w:tcBorders>
              <w:top w:val="single" w:sz="4" w:space="0" w:color="000000"/>
              <w:left w:val="single" w:sz="4" w:space="0" w:color="000000"/>
              <w:bottom w:val="single" w:sz="4" w:space="0" w:color="000000"/>
              <w:right w:val="single" w:sz="4" w:space="0" w:color="000000"/>
            </w:tcBorders>
          </w:tcPr>
          <w:p w14:paraId="7B9E2E31" w14:textId="77777777" w:rsidR="006B4F16" w:rsidRPr="00E845ED" w:rsidRDefault="006B4F16" w:rsidP="00D542D8">
            <w:pPr>
              <w:spacing w:after="2" w:line="236"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Hipersenzitivnost Anafilaktička reakcija</w:t>
            </w:r>
          </w:p>
          <w:p w14:paraId="7E5F0921" w14:textId="77777777" w:rsidR="006B4F16" w:rsidRPr="00E845ED" w:rsidRDefault="006B4F16" w:rsidP="00D542D8">
            <w:pPr>
              <w:spacing w:line="23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Anafilaktoidna reakcija</w:t>
            </w:r>
          </w:p>
          <w:p w14:paraId="1EEE3698"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Anafilaktički šok</w:t>
            </w:r>
          </w:p>
          <w:p w14:paraId="33B12595"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Anafilaktoidni šok</w:t>
            </w:r>
          </w:p>
        </w:tc>
        <w:tc>
          <w:tcPr>
            <w:tcW w:w="2160" w:type="dxa"/>
            <w:tcBorders>
              <w:top w:val="single" w:sz="4" w:space="0" w:color="000000"/>
              <w:left w:val="single" w:sz="4" w:space="0" w:color="000000"/>
              <w:bottom w:val="single" w:sz="4" w:space="0" w:color="000000"/>
              <w:right w:val="single" w:sz="4" w:space="0" w:color="000000"/>
            </w:tcBorders>
          </w:tcPr>
          <w:p w14:paraId="2DFBA018"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079E50C9" w14:textId="77777777" w:rsidTr="009048F6">
        <w:trPr>
          <w:trHeight w:val="629"/>
        </w:trPr>
        <w:tc>
          <w:tcPr>
            <w:tcW w:w="2986" w:type="dxa"/>
            <w:tcBorders>
              <w:top w:val="single" w:sz="4" w:space="0" w:color="000000"/>
              <w:left w:val="single" w:sz="4" w:space="0" w:color="000000"/>
              <w:bottom w:val="single" w:sz="4" w:space="0" w:color="000000"/>
              <w:right w:val="single" w:sz="4" w:space="0" w:color="000000"/>
            </w:tcBorders>
          </w:tcPr>
          <w:p w14:paraId="1DE9A9F4"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Poremećaji nervnog sistema</w:t>
            </w:r>
          </w:p>
        </w:tc>
        <w:tc>
          <w:tcPr>
            <w:tcW w:w="2976" w:type="dxa"/>
            <w:tcBorders>
              <w:top w:val="single" w:sz="4" w:space="0" w:color="000000"/>
              <w:left w:val="single" w:sz="4" w:space="0" w:color="000000"/>
              <w:bottom w:val="single" w:sz="4" w:space="0" w:color="000000"/>
              <w:right w:val="single" w:sz="4" w:space="0" w:color="000000"/>
            </w:tcBorders>
          </w:tcPr>
          <w:p w14:paraId="2829C97D"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1954" w:type="dxa"/>
            <w:tcBorders>
              <w:top w:val="single" w:sz="4" w:space="0" w:color="000000"/>
              <w:left w:val="single" w:sz="4" w:space="0" w:color="000000"/>
              <w:bottom w:val="single" w:sz="4" w:space="0" w:color="000000"/>
              <w:right w:val="single" w:sz="4" w:space="0" w:color="000000"/>
            </w:tcBorders>
          </w:tcPr>
          <w:p w14:paraId="66237DB3"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Flakcidna (mlitava) paraliza</w:t>
            </w:r>
          </w:p>
        </w:tc>
        <w:tc>
          <w:tcPr>
            <w:tcW w:w="2160" w:type="dxa"/>
            <w:tcBorders>
              <w:top w:val="single" w:sz="4" w:space="0" w:color="000000"/>
              <w:left w:val="single" w:sz="4" w:space="0" w:color="000000"/>
              <w:bottom w:val="single" w:sz="4" w:space="0" w:color="000000"/>
              <w:right w:val="single" w:sz="4" w:space="0" w:color="000000"/>
            </w:tcBorders>
          </w:tcPr>
          <w:p w14:paraId="7A9A2C31"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612138F4" w14:textId="77777777" w:rsidTr="009048F6">
        <w:trPr>
          <w:trHeight w:val="490"/>
        </w:trPr>
        <w:tc>
          <w:tcPr>
            <w:tcW w:w="2986" w:type="dxa"/>
            <w:tcBorders>
              <w:top w:val="single" w:sz="4" w:space="0" w:color="000000"/>
              <w:left w:val="single" w:sz="4" w:space="0" w:color="000000"/>
              <w:bottom w:val="single" w:sz="4" w:space="0" w:color="000000"/>
              <w:right w:val="single" w:sz="4" w:space="0" w:color="000000"/>
            </w:tcBorders>
          </w:tcPr>
          <w:p w14:paraId="5F8DE198"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Kardiološki poremećaji</w:t>
            </w:r>
          </w:p>
        </w:tc>
        <w:tc>
          <w:tcPr>
            <w:tcW w:w="2976" w:type="dxa"/>
            <w:tcBorders>
              <w:top w:val="single" w:sz="4" w:space="0" w:color="000000"/>
              <w:left w:val="single" w:sz="4" w:space="0" w:color="000000"/>
              <w:bottom w:val="single" w:sz="4" w:space="0" w:color="000000"/>
              <w:right w:val="single" w:sz="4" w:space="0" w:color="000000"/>
            </w:tcBorders>
          </w:tcPr>
          <w:p w14:paraId="6114755C"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Tahikardija</w:t>
            </w:r>
          </w:p>
        </w:tc>
        <w:tc>
          <w:tcPr>
            <w:tcW w:w="1954" w:type="dxa"/>
            <w:tcBorders>
              <w:top w:val="single" w:sz="4" w:space="0" w:color="000000"/>
              <w:left w:val="single" w:sz="4" w:space="0" w:color="000000"/>
              <w:bottom w:val="single" w:sz="4" w:space="0" w:color="000000"/>
              <w:right w:val="single" w:sz="4" w:space="0" w:color="000000"/>
            </w:tcBorders>
          </w:tcPr>
          <w:p w14:paraId="68E72EE6"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2160" w:type="dxa"/>
            <w:tcBorders>
              <w:top w:val="single" w:sz="4" w:space="0" w:color="000000"/>
              <w:left w:val="single" w:sz="4" w:space="0" w:color="000000"/>
              <w:bottom w:val="single" w:sz="4" w:space="0" w:color="000000"/>
              <w:right w:val="single" w:sz="4" w:space="0" w:color="000000"/>
            </w:tcBorders>
          </w:tcPr>
          <w:p w14:paraId="07FF1DA7"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Kounisov sindrom</w:t>
            </w:r>
          </w:p>
        </w:tc>
      </w:tr>
      <w:tr w:rsidR="006B4F16" w:rsidRPr="00E845ED" w14:paraId="29D391DB" w14:textId="77777777" w:rsidTr="009048F6">
        <w:trPr>
          <w:trHeight w:val="782"/>
        </w:trPr>
        <w:tc>
          <w:tcPr>
            <w:tcW w:w="2986" w:type="dxa"/>
            <w:tcBorders>
              <w:top w:val="single" w:sz="4" w:space="0" w:color="000000"/>
              <w:left w:val="single" w:sz="4" w:space="0" w:color="000000"/>
              <w:bottom w:val="single" w:sz="4" w:space="0" w:color="000000"/>
              <w:right w:val="single" w:sz="4" w:space="0" w:color="000000"/>
            </w:tcBorders>
          </w:tcPr>
          <w:p w14:paraId="5292C5B3"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Vaskularni poremećaji</w:t>
            </w:r>
          </w:p>
        </w:tc>
        <w:tc>
          <w:tcPr>
            <w:tcW w:w="2976" w:type="dxa"/>
            <w:tcBorders>
              <w:top w:val="single" w:sz="4" w:space="0" w:color="000000"/>
              <w:left w:val="single" w:sz="4" w:space="0" w:color="000000"/>
              <w:bottom w:val="single" w:sz="4" w:space="0" w:color="000000"/>
              <w:right w:val="single" w:sz="4" w:space="0" w:color="000000"/>
            </w:tcBorders>
          </w:tcPr>
          <w:p w14:paraId="63B754CB"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Hipotenzija</w:t>
            </w:r>
          </w:p>
        </w:tc>
        <w:tc>
          <w:tcPr>
            <w:tcW w:w="1954" w:type="dxa"/>
            <w:tcBorders>
              <w:top w:val="single" w:sz="4" w:space="0" w:color="000000"/>
              <w:left w:val="single" w:sz="4" w:space="0" w:color="000000"/>
              <w:bottom w:val="single" w:sz="4" w:space="0" w:color="000000"/>
              <w:right w:val="single" w:sz="4" w:space="0" w:color="000000"/>
            </w:tcBorders>
          </w:tcPr>
          <w:p w14:paraId="0B3CD7C0"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 xml:space="preserve">Cirkulatorni kolaps </w:t>
            </w:r>
          </w:p>
          <w:p w14:paraId="382D98B9" w14:textId="77777777" w:rsidR="006B4F16" w:rsidRPr="00E845ED" w:rsidRDefault="006B4F16" w:rsidP="00D542D8">
            <w:pPr>
              <w:spacing w:line="259" w:lineRule="auto"/>
              <w:ind w:right="176"/>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i šok, naleti crvenila</w:t>
            </w:r>
          </w:p>
        </w:tc>
        <w:tc>
          <w:tcPr>
            <w:tcW w:w="2160" w:type="dxa"/>
            <w:tcBorders>
              <w:top w:val="single" w:sz="4" w:space="0" w:color="000000"/>
              <w:left w:val="single" w:sz="4" w:space="0" w:color="000000"/>
              <w:bottom w:val="single" w:sz="4" w:space="0" w:color="000000"/>
              <w:right w:val="single" w:sz="4" w:space="0" w:color="000000"/>
            </w:tcBorders>
          </w:tcPr>
          <w:p w14:paraId="4848BEFB"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051D834C" w14:textId="77777777" w:rsidTr="009048F6">
        <w:trPr>
          <w:trHeight w:val="830"/>
        </w:trPr>
        <w:tc>
          <w:tcPr>
            <w:tcW w:w="2986" w:type="dxa"/>
            <w:tcBorders>
              <w:top w:val="single" w:sz="4" w:space="0" w:color="000000"/>
              <w:left w:val="single" w:sz="4" w:space="0" w:color="000000"/>
              <w:bottom w:val="single" w:sz="4" w:space="0" w:color="000000"/>
              <w:right w:val="single" w:sz="4" w:space="0" w:color="000000"/>
            </w:tcBorders>
          </w:tcPr>
          <w:p w14:paraId="348F3CE6"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Respiratorni, torakalni i medijastinalni poremećaji</w:t>
            </w:r>
          </w:p>
        </w:tc>
        <w:tc>
          <w:tcPr>
            <w:tcW w:w="2976" w:type="dxa"/>
            <w:tcBorders>
              <w:top w:val="single" w:sz="4" w:space="0" w:color="000000"/>
              <w:left w:val="single" w:sz="4" w:space="0" w:color="000000"/>
              <w:bottom w:val="single" w:sz="4" w:space="0" w:color="000000"/>
              <w:right w:val="single" w:sz="4" w:space="0" w:color="000000"/>
            </w:tcBorders>
          </w:tcPr>
          <w:p w14:paraId="76202230"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1954" w:type="dxa"/>
            <w:tcBorders>
              <w:top w:val="single" w:sz="4" w:space="0" w:color="000000"/>
              <w:left w:val="single" w:sz="4" w:space="0" w:color="000000"/>
              <w:bottom w:val="single" w:sz="4" w:space="0" w:color="000000"/>
              <w:right w:val="single" w:sz="4" w:space="0" w:color="000000"/>
            </w:tcBorders>
          </w:tcPr>
          <w:p w14:paraId="49CC7516"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Bronhospazam</w:t>
            </w:r>
          </w:p>
        </w:tc>
        <w:tc>
          <w:tcPr>
            <w:tcW w:w="2160" w:type="dxa"/>
            <w:tcBorders>
              <w:top w:val="single" w:sz="4" w:space="0" w:color="000000"/>
              <w:left w:val="single" w:sz="4" w:space="0" w:color="000000"/>
              <w:bottom w:val="single" w:sz="4" w:space="0" w:color="000000"/>
              <w:right w:val="single" w:sz="4" w:space="0" w:color="000000"/>
            </w:tcBorders>
          </w:tcPr>
          <w:p w14:paraId="43B4AB54"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1FCD2F35" w14:textId="77777777" w:rsidTr="009048F6">
        <w:trPr>
          <w:trHeight w:val="1013"/>
        </w:trPr>
        <w:tc>
          <w:tcPr>
            <w:tcW w:w="2986" w:type="dxa"/>
            <w:tcBorders>
              <w:top w:val="single" w:sz="4" w:space="0" w:color="000000"/>
              <w:left w:val="single" w:sz="4" w:space="0" w:color="000000"/>
              <w:bottom w:val="single" w:sz="4" w:space="0" w:color="000000"/>
              <w:right w:val="single" w:sz="4" w:space="0" w:color="000000"/>
            </w:tcBorders>
          </w:tcPr>
          <w:p w14:paraId="58429C8D"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lastRenderedPageBreak/>
              <w:t>Poremećaji kože i potkožnog tkiva</w:t>
            </w:r>
          </w:p>
        </w:tc>
        <w:tc>
          <w:tcPr>
            <w:tcW w:w="2976" w:type="dxa"/>
            <w:tcBorders>
              <w:top w:val="single" w:sz="4" w:space="0" w:color="000000"/>
              <w:left w:val="single" w:sz="4" w:space="0" w:color="000000"/>
              <w:bottom w:val="single" w:sz="4" w:space="0" w:color="000000"/>
              <w:right w:val="single" w:sz="4" w:space="0" w:color="000000"/>
            </w:tcBorders>
          </w:tcPr>
          <w:p w14:paraId="0E7CB1EE"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1954" w:type="dxa"/>
            <w:tcBorders>
              <w:top w:val="single" w:sz="4" w:space="0" w:color="000000"/>
              <w:left w:val="single" w:sz="4" w:space="0" w:color="000000"/>
              <w:bottom w:val="single" w:sz="4" w:space="0" w:color="000000"/>
              <w:right w:val="single" w:sz="4" w:space="0" w:color="000000"/>
            </w:tcBorders>
          </w:tcPr>
          <w:p w14:paraId="60C2AFBB" w14:textId="77777777" w:rsidR="006B4F16" w:rsidRPr="00E845ED" w:rsidRDefault="006B4F16" w:rsidP="005C47CD">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Angioneurotski edem</w:t>
            </w:r>
          </w:p>
          <w:p w14:paraId="27DC8296"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Urtikarija</w:t>
            </w:r>
          </w:p>
          <w:p w14:paraId="518A6C50"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Osip</w:t>
            </w:r>
          </w:p>
          <w:p w14:paraId="466A1F44"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Eritematozni osip</w:t>
            </w:r>
          </w:p>
        </w:tc>
        <w:tc>
          <w:tcPr>
            <w:tcW w:w="2160" w:type="dxa"/>
            <w:tcBorders>
              <w:top w:val="single" w:sz="4" w:space="0" w:color="000000"/>
              <w:left w:val="single" w:sz="4" w:space="0" w:color="000000"/>
              <w:bottom w:val="single" w:sz="4" w:space="0" w:color="000000"/>
              <w:right w:val="single" w:sz="4" w:space="0" w:color="000000"/>
            </w:tcBorders>
          </w:tcPr>
          <w:p w14:paraId="703E4440"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3D552668" w14:textId="77777777" w:rsidTr="009048F6">
        <w:trPr>
          <w:trHeight w:val="893"/>
        </w:trPr>
        <w:tc>
          <w:tcPr>
            <w:tcW w:w="2986" w:type="dxa"/>
            <w:tcBorders>
              <w:top w:val="single" w:sz="4" w:space="0" w:color="000000"/>
              <w:left w:val="single" w:sz="4" w:space="0" w:color="000000"/>
              <w:bottom w:val="single" w:sz="4" w:space="0" w:color="000000"/>
              <w:right w:val="single" w:sz="4" w:space="0" w:color="000000"/>
            </w:tcBorders>
          </w:tcPr>
          <w:p w14:paraId="1D98C3B8"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Poremećaji mišićno-koštanog sistema i vezivnog tkiva</w:t>
            </w:r>
          </w:p>
        </w:tc>
        <w:tc>
          <w:tcPr>
            <w:tcW w:w="2976" w:type="dxa"/>
            <w:tcBorders>
              <w:top w:val="single" w:sz="4" w:space="0" w:color="000000"/>
              <w:left w:val="single" w:sz="4" w:space="0" w:color="000000"/>
              <w:bottom w:val="single" w:sz="4" w:space="0" w:color="000000"/>
              <w:right w:val="single" w:sz="4" w:space="0" w:color="000000"/>
            </w:tcBorders>
          </w:tcPr>
          <w:p w14:paraId="08993DEB"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c>
          <w:tcPr>
            <w:tcW w:w="1954" w:type="dxa"/>
            <w:tcBorders>
              <w:top w:val="single" w:sz="4" w:space="0" w:color="000000"/>
              <w:left w:val="single" w:sz="4" w:space="0" w:color="000000"/>
              <w:bottom w:val="single" w:sz="4" w:space="0" w:color="000000"/>
              <w:right w:val="single" w:sz="4" w:space="0" w:color="000000"/>
            </w:tcBorders>
          </w:tcPr>
          <w:p w14:paraId="79E90C33" w14:textId="77777777" w:rsidR="006B4F16" w:rsidRPr="00E845ED" w:rsidRDefault="006B4F16" w:rsidP="00D542D8">
            <w:pPr>
              <w:spacing w:line="259" w:lineRule="auto"/>
              <w:ind w:right="105"/>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Mišićna slabost</w:t>
            </w:r>
            <w:r w:rsidRPr="00E845ED">
              <w:rPr>
                <w:rFonts w:ascii="Times New Roman" w:hAnsi="Times New Roman"/>
                <w:color w:val="000000"/>
                <w:sz w:val="22"/>
                <w:szCs w:val="22"/>
                <w:vertAlign w:val="superscript"/>
                <w:lang w:val="sr-Latn-ME"/>
              </w:rPr>
              <w:t xml:space="preserve">3 </w:t>
            </w:r>
            <w:r w:rsidRPr="00E845ED">
              <w:rPr>
                <w:rFonts w:ascii="Times New Roman" w:hAnsi="Times New Roman"/>
                <w:color w:val="000000"/>
                <w:sz w:val="22"/>
                <w:szCs w:val="22"/>
                <w:lang w:val="sr-Latn-ME"/>
              </w:rPr>
              <w:t>Steroidna miopatija</w:t>
            </w:r>
            <w:r w:rsidRPr="00E845ED">
              <w:rPr>
                <w:rFonts w:ascii="Times New Roman" w:hAnsi="Times New Roman"/>
                <w:color w:val="000000"/>
                <w:sz w:val="22"/>
                <w:szCs w:val="22"/>
                <w:vertAlign w:val="superscript"/>
                <w:lang w:val="sr-Latn-ME"/>
              </w:rPr>
              <w:t>3</w:t>
            </w:r>
          </w:p>
        </w:tc>
        <w:tc>
          <w:tcPr>
            <w:tcW w:w="2160" w:type="dxa"/>
            <w:tcBorders>
              <w:top w:val="single" w:sz="4" w:space="0" w:color="000000"/>
              <w:left w:val="single" w:sz="4" w:space="0" w:color="000000"/>
              <w:bottom w:val="single" w:sz="4" w:space="0" w:color="000000"/>
              <w:right w:val="single" w:sz="4" w:space="0" w:color="000000"/>
            </w:tcBorders>
          </w:tcPr>
          <w:p w14:paraId="7C860AB1"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2F85A024" w14:textId="77777777" w:rsidTr="009048F6">
        <w:trPr>
          <w:trHeight w:val="2160"/>
        </w:trPr>
        <w:tc>
          <w:tcPr>
            <w:tcW w:w="2986" w:type="dxa"/>
            <w:tcBorders>
              <w:top w:val="single" w:sz="4" w:space="0" w:color="000000"/>
              <w:left w:val="single" w:sz="4" w:space="0" w:color="000000"/>
              <w:bottom w:val="single" w:sz="4" w:space="0" w:color="000000"/>
              <w:right w:val="single" w:sz="4" w:space="0" w:color="000000"/>
            </w:tcBorders>
          </w:tcPr>
          <w:p w14:paraId="06AF323C" w14:textId="160EF388" w:rsidR="006B4F16" w:rsidRPr="00E845ED" w:rsidRDefault="006B4F16" w:rsidP="005C47CD">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Opšti poremećaji i reakcije na m</w:t>
            </w:r>
            <w:r w:rsidR="00D12CD1"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estu prim</w:t>
            </w:r>
            <w:r w:rsidR="00D12CD1"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ene</w:t>
            </w:r>
          </w:p>
        </w:tc>
        <w:tc>
          <w:tcPr>
            <w:tcW w:w="2976" w:type="dxa"/>
            <w:tcBorders>
              <w:top w:val="single" w:sz="4" w:space="0" w:color="000000"/>
              <w:left w:val="single" w:sz="4" w:space="0" w:color="000000"/>
              <w:bottom w:val="single" w:sz="4" w:space="0" w:color="000000"/>
              <w:right w:val="single" w:sz="4" w:space="0" w:color="000000"/>
            </w:tcBorders>
          </w:tcPr>
          <w:p w14:paraId="0A26E218"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Izostanak dejstva</w:t>
            </w:r>
          </w:p>
          <w:p w14:paraId="10BC7256" w14:textId="088AF08D" w:rsidR="006B4F16" w:rsidRPr="00E845ED" w:rsidRDefault="006B4F16" w:rsidP="00D542D8">
            <w:pPr>
              <w:spacing w:line="23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Efekat l</w:t>
            </w:r>
            <w:r w:rsidR="00D12CD1" w:rsidRPr="00E845ED">
              <w:rPr>
                <w:rFonts w:ascii="Times New Roman" w:hAnsi="Times New Roman"/>
                <w:color w:val="000000"/>
                <w:sz w:val="22"/>
                <w:szCs w:val="22"/>
                <w:lang w:val="sr-Latn-ME"/>
              </w:rPr>
              <w:t>ij</w:t>
            </w:r>
            <w:r w:rsidRPr="00E845ED">
              <w:rPr>
                <w:rFonts w:ascii="Times New Roman" w:hAnsi="Times New Roman"/>
                <w:color w:val="000000"/>
                <w:sz w:val="22"/>
                <w:szCs w:val="22"/>
                <w:lang w:val="sr-Latn-ME"/>
              </w:rPr>
              <w:t>eka/terapijski odgovor smanjen</w:t>
            </w:r>
          </w:p>
          <w:p w14:paraId="287B08E3" w14:textId="552D0D51" w:rsidR="006B4F16" w:rsidRPr="00E845ED" w:rsidRDefault="006B4F16" w:rsidP="00D542D8">
            <w:pPr>
              <w:spacing w:after="5" w:line="234"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Efekat l</w:t>
            </w:r>
            <w:r w:rsidR="00D12CD1" w:rsidRPr="00E845ED">
              <w:rPr>
                <w:rFonts w:ascii="Times New Roman" w:hAnsi="Times New Roman"/>
                <w:color w:val="000000"/>
                <w:sz w:val="22"/>
                <w:szCs w:val="22"/>
                <w:lang w:val="sr-Latn-ME"/>
              </w:rPr>
              <w:t>ij</w:t>
            </w:r>
            <w:r w:rsidRPr="00E845ED">
              <w:rPr>
                <w:rFonts w:ascii="Times New Roman" w:hAnsi="Times New Roman"/>
                <w:color w:val="000000"/>
                <w:sz w:val="22"/>
                <w:szCs w:val="22"/>
                <w:lang w:val="sr-Latn-ME"/>
              </w:rPr>
              <w:t>eka/ terapijski odgovor povećan</w:t>
            </w:r>
          </w:p>
          <w:p w14:paraId="1310B66C" w14:textId="131811B8"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Bol na m</w:t>
            </w:r>
            <w:r w:rsidR="00D12CD1"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estu prim</w:t>
            </w:r>
            <w:r w:rsidR="00054019"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ene injekcije Reakcija na m</w:t>
            </w:r>
            <w:r w:rsidR="00D12CD1"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estu prim</w:t>
            </w:r>
            <w:r w:rsidR="00D12CD1" w:rsidRPr="00E845ED">
              <w:rPr>
                <w:rFonts w:ascii="Times New Roman" w:hAnsi="Times New Roman"/>
                <w:color w:val="000000"/>
                <w:sz w:val="22"/>
                <w:szCs w:val="22"/>
                <w:lang w:val="sr-Latn-ME"/>
              </w:rPr>
              <w:t>j</w:t>
            </w:r>
            <w:r w:rsidRPr="00E845ED">
              <w:rPr>
                <w:rFonts w:ascii="Times New Roman" w:hAnsi="Times New Roman"/>
                <w:color w:val="000000"/>
                <w:sz w:val="22"/>
                <w:szCs w:val="22"/>
                <w:lang w:val="sr-Latn-ME"/>
              </w:rPr>
              <w:t>ene injekcije</w:t>
            </w:r>
          </w:p>
        </w:tc>
        <w:tc>
          <w:tcPr>
            <w:tcW w:w="1954" w:type="dxa"/>
            <w:tcBorders>
              <w:top w:val="single" w:sz="4" w:space="0" w:color="000000"/>
              <w:left w:val="single" w:sz="4" w:space="0" w:color="000000"/>
              <w:bottom w:val="single" w:sz="4" w:space="0" w:color="000000"/>
              <w:right w:val="single" w:sz="4" w:space="0" w:color="000000"/>
            </w:tcBorders>
          </w:tcPr>
          <w:p w14:paraId="03330B6E"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Edem lica</w:t>
            </w:r>
          </w:p>
        </w:tc>
        <w:tc>
          <w:tcPr>
            <w:tcW w:w="2160" w:type="dxa"/>
            <w:tcBorders>
              <w:top w:val="single" w:sz="4" w:space="0" w:color="000000"/>
              <w:left w:val="single" w:sz="4" w:space="0" w:color="000000"/>
              <w:bottom w:val="single" w:sz="4" w:space="0" w:color="000000"/>
              <w:right w:val="single" w:sz="4" w:space="0" w:color="000000"/>
            </w:tcBorders>
          </w:tcPr>
          <w:p w14:paraId="584A254B"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r w:rsidR="006B4F16" w:rsidRPr="00E845ED" w14:paraId="31846041" w14:textId="77777777" w:rsidTr="009048F6">
        <w:trPr>
          <w:trHeight w:val="792"/>
        </w:trPr>
        <w:tc>
          <w:tcPr>
            <w:tcW w:w="2986" w:type="dxa"/>
            <w:tcBorders>
              <w:top w:val="single" w:sz="4" w:space="0" w:color="000000"/>
              <w:left w:val="single" w:sz="4" w:space="0" w:color="000000"/>
              <w:bottom w:val="single" w:sz="4" w:space="0" w:color="000000"/>
              <w:right w:val="single" w:sz="4" w:space="0" w:color="000000"/>
            </w:tcBorders>
          </w:tcPr>
          <w:p w14:paraId="345D5328" w14:textId="77777777" w:rsidR="006B4F16" w:rsidRPr="00E845ED" w:rsidRDefault="006B4F16" w:rsidP="00D542D8">
            <w:pPr>
              <w:tabs>
                <w:tab w:val="center" w:pos="1786"/>
                <w:tab w:val="right" w:pos="2932"/>
              </w:tabs>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 xml:space="preserve">Povrede, </w:t>
            </w:r>
            <w:r w:rsidRPr="00E845ED">
              <w:rPr>
                <w:rFonts w:ascii="Times New Roman" w:hAnsi="Times New Roman"/>
                <w:color w:val="000000"/>
                <w:sz w:val="22"/>
                <w:szCs w:val="22"/>
                <w:lang w:val="sr-Latn-ME"/>
              </w:rPr>
              <w:tab/>
              <w:t xml:space="preserve">trovanje </w:t>
            </w:r>
            <w:r w:rsidRPr="00E845ED">
              <w:rPr>
                <w:rFonts w:ascii="Times New Roman" w:hAnsi="Times New Roman"/>
                <w:color w:val="000000"/>
                <w:sz w:val="22"/>
                <w:szCs w:val="22"/>
                <w:lang w:val="sr-Latn-ME"/>
              </w:rPr>
              <w:tab/>
              <w:t xml:space="preserve">i </w:t>
            </w:r>
          </w:p>
          <w:p w14:paraId="7B4BE358"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proceduralne komplikacije</w:t>
            </w:r>
          </w:p>
        </w:tc>
        <w:tc>
          <w:tcPr>
            <w:tcW w:w="2976" w:type="dxa"/>
            <w:tcBorders>
              <w:top w:val="single" w:sz="4" w:space="0" w:color="000000"/>
              <w:left w:val="single" w:sz="4" w:space="0" w:color="000000"/>
              <w:bottom w:val="single" w:sz="4" w:space="0" w:color="000000"/>
              <w:right w:val="single" w:sz="4" w:space="0" w:color="000000"/>
            </w:tcBorders>
          </w:tcPr>
          <w:p w14:paraId="295DA18E"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Produžen neuromuskularni blok Odložen oporavak iz anestezije</w:t>
            </w:r>
          </w:p>
        </w:tc>
        <w:tc>
          <w:tcPr>
            <w:tcW w:w="1954" w:type="dxa"/>
            <w:tcBorders>
              <w:top w:val="single" w:sz="4" w:space="0" w:color="000000"/>
              <w:left w:val="single" w:sz="4" w:space="0" w:color="000000"/>
              <w:bottom w:val="single" w:sz="4" w:space="0" w:color="000000"/>
              <w:right w:val="single" w:sz="4" w:space="0" w:color="000000"/>
            </w:tcBorders>
          </w:tcPr>
          <w:p w14:paraId="080B7E5C" w14:textId="77777777" w:rsidR="006B4F16" w:rsidRPr="00E845ED" w:rsidRDefault="006B4F16" w:rsidP="00D542D8">
            <w:pPr>
              <w:spacing w:line="259" w:lineRule="auto"/>
              <w:jc w:val="both"/>
              <w:rPr>
                <w:rFonts w:ascii="Times New Roman" w:hAnsi="Times New Roman"/>
                <w:color w:val="000000"/>
                <w:sz w:val="22"/>
                <w:szCs w:val="22"/>
                <w:lang w:val="sr-Latn-ME"/>
              </w:rPr>
            </w:pPr>
            <w:r w:rsidRPr="00E845ED">
              <w:rPr>
                <w:rFonts w:ascii="Times New Roman" w:hAnsi="Times New Roman"/>
                <w:color w:val="000000"/>
                <w:sz w:val="22"/>
                <w:szCs w:val="22"/>
                <w:lang w:val="sr-Latn-ME"/>
              </w:rPr>
              <w:t>Komplikacije sa disajnim putevima kod anestezije</w:t>
            </w:r>
          </w:p>
        </w:tc>
        <w:tc>
          <w:tcPr>
            <w:tcW w:w="2160" w:type="dxa"/>
            <w:tcBorders>
              <w:top w:val="single" w:sz="4" w:space="0" w:color="000000"/>
              <w:left w:val="single" w:sz="4" w:space="0" w:color="000000"/>
              <w:bottom w:val="single" w:sz="4" w:space="0" w:color="000000"/>
              <w:right w:val="single" w:sz="4" w:space="0" w:color="000000"/>
            </w:tcBorders>
          </w:tcPr>
          <w:p w14:paraId="3BFB449F" w14:textId="77777777" w:rsidR="006B4F16" w:rsidRPr="00E845ED" w:rsidRDefault="006B4F16" w:rsidP="00D542D8">
            <w:pPr>
              <w:spacing w:after="160" w:line="259" w:lineRule="auto"/>
              <w:jc w:val="both"/>
              <w:rPr>
                <w:rFonts w:ascii="Times New Roman" w:hAnsi="Times New Roman"/>
                <w:color w:val="000000"/>
                <w:sz w:val="22"/>
                <w:szCs w:val="22"/>
                <w:lang w:val="sr-Latn-ME"/>
              </w:rPr>
            </w:pPr>
          </w:p>
        </w:tc>
      </w:tr>
    </w:tbl>
    <w:p w14:paraId="2A472AF7" w14:textId="42070816" w:rsidR="008F0875" w:rsidRPr="00E845ED" w:rsidRDefault="008F0875">
      <w:pPr>
        <w:pStyle w:val="NoSpacing"/>
        <w:jc w:val="both"/>
        <w:rPr>
          <w:rFonts w:eastAsia="Calibri"/>
          <w:sz w:val="18"/>
          <w:szCs w:val="18"/>
          <w:lang w:val="sr-Latn-ME"/>
        </w:rPr>
      </w:pPr>
      <w:r w:rsidRPr="00E845ED">
        <w:rPr>
          <w:rFonts w:eastAsia="Calibri"/>
          <w:sz w:val="22"/>
          <w:szCs w:val="22"/>
          <w:vertAlign w:val="superscript"/>
          <w:lang w:val="sr-Latn-ME"/>
        </w:rPr>
        <w:t>1</w:t>
      </w:r>
      <w:r w:rsidR="006B4F16" w:rsidRPr="00E845ED">
        <w:rPr>
          <w:rFonts w:eastAsia="Calibri"/>
          <w:sz w:val="22"/>
          <w:szCs w:val="22"/>
          <w:vertAlign w:val="superscript"/>
          <w:lang w:val="sr-Latn-ME"/>
        </w:rPr>
        <w:t xml:space="preserve"> </w:t>
      </w:r>
      <w:r w:rsidRPr="00E845ED">
        <w:rPr>
          <w:rFonts w:eastAsia="Calibri"/>
          <w:sz w:val="18"/>
          <w:szCs w:val="18"/>
          <w:lang w:val="sr-Latn-ME"/>
        </w:rPr>
        <w:t>Učestalosti su proc</w:t>
      </w:r>
      <w:r w:rsidR="00B93687" w:rsidRPr="00E845ED">
        <w:rPr>
          <w:rFonts w:eastAsia="Calibri"/>
          <w:sz w:val="18"/>
          <w:szCs w:val="18"/>
          <w:lang w:val="sr-Latn-ME"/>
        </w:rPr>
        <w:t>i</w:t>
      </w:r>
      <w:r w:rsidRPr="00E845ED">
        <w:rPr>
          <w:rFonts w:eastAsia="Calibri"/>
          <w:sz w:val="18"/>
          <w:szCs w:val="18"/>
          <w:lang w:val="sr-Latn-ME"/>
        </w:rPr>
        <w:t>jenjene na osnovu izvještaja postmarketinškog praćenja i podataka iz opšte literature.</w:t>
      </w:r>
    </w:p>
    <w:p w14:paraId="0748093F" w14:textId="748D435F" w:rsidR="008F0875" w:rsidRPr="00E845ED" w:rsidRDefault="008F0875">
      <w:pPr>
        <w:pStyle w:val="NoSpacing"/>
        <w:jc w:val="both"/>
        <w:rPr>
          <w:rFonts w:eastAsia="Calibri"/>
          <w:sz w:val="18"/>
          <w:szCs w:val="18"/>
          <w:lang w:val="sr-Latn-ME"/>
        </w:rPr>
      </w:pPr>
      <w:r w:rsidRPr="00E845ED">
        <w:rPr>
          <w:rFonts w:eastAsia="Calibri"/>
          <w:sz w:val="22"/>
          <w:szCs w:val="22"/>
          <w:vertAlign w:val="superscript"/>
          <w:lang w:val="sr-Latn-ME"/>
        </w:rPr>
        <w:t>2</w:t>
      </w:r>
      <w:r w:rsidR="006B4F16" w:rsidRPr="00E845ED">
        <w:rPr>
          <w:rFonts w:eastAsia="Calibri"/>
          <w:sz w:val="22"/>
          <w:szCs w:val="22"/>
          <w:vertAlign w:val="superscript"/>
          <w:lang w:val="sr-Latn-ME"/>
        </w:rPr>
        <w:t xml:space="preserve"> </w:t>
      </w:r>
      <w:r w:rsidRPr="00E845ED">
        <w:rPr>
          <w:rFonts w:eastAsia="Calibri"/>
          <w:sz w:val="18"/>
          <w:szCs w:val="18"/>
          <w:lang w:val="sr-Latn-ME"/>
        </w:rPr>
        <w:t>Podaci iz postmarketinškog praćenja ne mogu dati precizne brojčane vr</w:t>
      </w:r>
      <w:r w:rsidR="00B93687" w:rsidRPr="00E845ED">
        <w:rPr>
          <w:rFonts w:eastAsia="Calibri"/>
          <w:sz w:val="18"/>
          <w:szCs w:val="18"/>
          <w:lang w:val="sr-Latn-ME"/>
        </w:rPr>
        <w:t>ij</w:t>
      </w:r>
      <w:r w:rsidRPr="00E845ED">
        <w:rPr>
          <w:rFonts w:eastAsia="Calibri"/>
          <w:sz w:val="18"/>
          <w:szCs w:val="18"/>
          <w:lang w:val="sr-Latn-ME"/>
        </w:rPr>
        <w:t>ednosti za incidencu. Iz tog razloga, izvještaj o frekvencijama je pod</w:t>
      </w:r>
      <w:r w:rsidR="00054019" w:rsidRPr="00E845ED">
        <w:rPr>
          <w:rFonts w:eastAsia="Calibri"/>
          <w:sz w:val="18"/>
          <w:szCs w:val="18"/>
          <w:lang w:val="sr-Latn-ME"/>
        </w:rPr>
        <w:t>i</w:t>
      </w:r>
      <w:r w:rsidRPr="00E845ED">
        <w:rPr>
          <w:rFonts w:eastAsia="Calibri"/>
          <w:sz w:val="18"/>
          <w:szCs w:val="18"/>
          <w:lang w:val="sr-Latn-ME"/>
        </w:rPr>
        <w:t>jeljen na dvije, a ne na pet kategorija.</w:t>
      </w:r>
    </w:p>
    <w:p w14:paraId="71975C3F" w14:textId="720A6E28" w:rsidR="008F0875" w:rsidRPr="00E845ED" w:rsidRDefault="008F0875">
      <w:pPr>
        <w:pStyle w:val="NoSpacing"/>
        <w:jc w:val="both"/>
        <w:rPr>
          <w:rFonts w:eastAsia="Calibri"/>
          <w:sz w:val="18"/>
          <w:szCs w:val="18"/>
          <w:lang w:val="sr-Latn-ME"/>
        </w:rPr>
      </w:pPr>
      <w:r w:rsidRPr="00E845ED">
        <w:rPr>
          <w:rFonts w:eastAsia="Calibri"/>
          <w:sz w:val="22"/>
          <w:szCs w:val="22"/>
          <w:vertAlign w:val="superscript"/>
          <w:lang w:val="sr-Latn-ME"/>
        </w:rPr>
        <w:t>3</w:t>
      </w:r>
      <w:r w:rsidR="006B4F16" w:rsidRPr="00E845ED">
        <w:rPr>
          <w:rFonts w:eastAsia="Calibri"/>
          <w:sz w:val="18"/>
          <w:szCs w:val="18"/>
          <w:lang w:val="sr-Latn-ME"/>
        </w:rPr>
        <w:t xml:space="preserve"> </w:t>
      </w:r>
      <w:r w:rsidRPr="00E845ED">
        <w:rPr>
          <w:rFonts w:eastAsia="Calibri"/>
          <w:sz w:val="18"/>
          <w:szCs w:val="18"/>
          <w:lang w:val="sr-Latn-ME"/>
        </w:rPr>
        <w:t>Poslije dugotrajne upotrebe u JIN</w:t>
      </w:r>
    </w:p>
    <w:p w14:paraId="56BADD17" w14:textId="77777777" w:rsidR="008F0875" w:rsidRPr="00E845ED" w:rsidRDefault="008F0875">
      <w:pPr>
        <w:pStyle w:val="NoSpacing"/>
        <w:jc w:val="both"/>
        <w:rPr>
          <w:rFonts w:eastAsia="Calibri"/>
          <w:sz w:val="22"/>
          <w:szCs w:val="22"/>
          <w:lang w:val="sr-Latn-ME"/>
        </w:rPr>
      </w:pPr>
    </w:p>
    <w:p w14:paraId="59C08D1A" w14:textId="77777777" w:rsidR="008F0875" w:rsidRPr="00E845ED" w:rsidRDefault="008F0875">
      <w:pPr>
        <w:pStyle w:val="NoSpacing"/>
        <w:jc w:val="both"/>
        <w:rPr>
          <w:rFonts w:eastAsia="Calibri"/>
          <w:sz w:val="22"/>
          <w:szCs w:val="22"/>
          <w:u w:val="single"/>
          <w:lang w:val="sr-Latn-ME"/>
        </w:rPr>
      </w:pPr>
      <w:r w:rsidRPr="00E845ED">
        <w:rPr>
          <w:rFonts w:eastAsia="Calibri"/>
          <w:sz w:val="22"/>
          <w:szCs w:val="22"/>
          <w:u w:val="single"/>
          <w:lang w:val="sr-Latn-ME"/>
        </w:rPr>
        <w:t>Anafilaksa</w:t>
      </w:r>
    </w:p>
    <w:p w14:paraId="4AF1FECE" w14:textId="2443C27E" w:rsidR="008F0875" w:rsidRPr="00E845ED" w:rsidRDefault="008F0875">
      <w:pPr>
        <w:pStyle w:val="NoSpacing"/>
        <w:jc w:val="both"/>
        <w:rPr>
          <w:rFonts w:eastAsia="Calibri"/>
          <w:sz w:val="22"/>
          <w:szCs w:val="22"/>
          <w:lang w:val="sr-Latn-ME"/>
        </w:rPr>
      </w:pPr>
      <w:r w:rsidRPr="00E845ED">
        <w:rPr>
          <w:rFonts w:eastAsia="Calibri"/>
          <w:sz w:val="22"/>
          <w:szCs w:val="22"/>
          <w:lang w:val="sr-Latn-ME"/>
        </w:rPr>
        <w:t>Iako su veoma rijetke, zabilježene su teške anafilaktičke reakcije na neuromuskularne blokatore, uključujući rokuronijum bromid. Anafilaktičke/</w:t>
      </w:r>
      <w:r w:rsidR="00D12CD1" w:rsidRPr="00E845ED">
        <w:rPr>
          <w:rFonts w:eastAsia="Calibri"/>
          <w:sz w:val="22"/>
          <w:szCs w:val="22"/>
          <w:lang w:val="sr-Latn-ME"/>
        </w:rPr>
        <w:t xml:space="preserve"> </w:t>
      </w:r>
      <w:r w:rsidRPr="00E845ED">
        <w:rPr>
          <w:rFonts w:eastAsia="Calibri"/>
          <w:sz w:val="22"/>
          <w:szCs w:val="22"/>
          <w:lang w:val="sr-Latn-ME"/>
        </w:rPr>
        <w:t>anafilaktoidne reakcije su: bronhospazam, kardiovaskularne promjene (npr., hipotenzija, tahikardija, kolaps cirkulacije - šok) i kožne promjene (npr., angioedem, urtikarija). Te reakcije su u nekim slučajevima bile fatalne. Zbog moguće ozbiljnosti ovih reakcija, uvijek treba pretpostaviti da se mogu pojaviti i treba preduzeti potrebne mjere predostrožnosti.</w:t>
      </w:r>
    </w:p>
    <w:p w14:paraId="40C8EEF1" w14:textId="77777777" w:rsidR="008F0875" w:rsidRPr="00E845ED" w:rsidRDefault="008F0875">
      <w:pPr>
        <w:pStyle w:val="NoSpacing"/>
        <w:jc w:val="both"/>
        <w:rPr>
          <w:rFonts w:eastAsia="Calibri"/>
          <w:sz w:val="22"/>
          <w:szCs w:val="22"/>
          <w:lang w:val="sr-Latn-ME"/>
        </w:rPr>
      </w:pPr>
    </w:p>
    <w:p w14:paraId="77835FAD" w14:textId="379931ED" w:rsidR="008F0875" w:rsidRPr="00E845ED" w:rsidRDefault="008F0875">
      <w:pPr>
        <w:pStyle w:val="NoSpacing"/>
        <w:jc w:val="both"/>
        <w:rPr>
          <w:rFonts w:eastAsia="Calibri"/>
          <w:sz w:val="22"/>
          <w:szCs w:val="22"/>
          <w:lang w:val="sr-Latn-ME"/>
        </w:rPr>
      </w:pPr>
      <w:r w:rsidRPr="00E845ED">
        <w:rPr>
          <w:rFonts w:eastAsia="Calibri"/>
          <w:sz w:val="22"/>
          <w:szCs w:val="22"/>
          <w:lang w:val="sr-Latn-ME"/>
        </w:rPr>
        <w:t xml:space="preserve">Budući da </w:t>
      </w:r>
      <w:r w:rsidR="00B75ADD" w:rsidRPr="00E845ED">
        <w:rPr>
          <w:rFonts w:eastAsia="Calibri"/>
          <w:sz w:val="22"/>
          <w:szCs w:val="22"/>
          <w:lang w:val="sr-Latn-ME"/>
        </w:rPr>
        <w:t>je poznato</w:t>
      </w:r>
      <w:r w:rsidRPr="00E845ED">
        <w:rPr>
          <w:rFonts w:eastAsia="Calibri"/>
          <w:sz w:val="22"/>
          <w:szCs w:val="22"/>
          <w:lang w:val="sr-Latn-ME"/>
        </w:rPr>
        <w:t xml:space="preserve"> da neuromuskularni blokatori mogu da indukuju oslobađanje histamina lokalno na mjestu ubrizgavanja i sistemski, moguća pojava svraba i eritematozne reakcije na mjestu ubrizgavanja, odnosno generalizovane histaminoidne (anafilaktoidne) reakcije (vidjeti takođe pod anafilaktičkim reakcijama </w:t>
      </w:r>
      <w:r w:rsidR="009809E8" w:rsidRPr="00E845ED">
        <w:rPr>
          <w:rFonts w:eastAsia="Calibri"/>
          <w:sz w:val="22"/>
          <w:szCs w:val="22"/>
          <w:lang w:val="sr-Latn-ME"/>
        </w:rPr>
        <w:t>iznad</w:t>
      </w:r>
      <w:r w:rsidRPr="00E845ED">
        <w:rPr>
          <w:rFonts w:eastAsia="Calibri"/>
          <w:sz w:val="22"/>
          <w:szCs w:val="22"/>
          <w:lang w:val="sr-Latn-ME"/>
        </w:rPr>
        <w:t>) uv</w:t>
      </w:r>
      <w:r w:rsidR="00B75ADD" w:rsidRPr="00E845ED">
        <w:rPr>
          <w:rFonts w:eastAsia="Calibri"/>
          <w:sz w:val="22"/>
          <w:szCs w:val="22"/>
          <w:lang w:val="sr-Latn-ME"/>
        </w:rPr>
        <w:t>i</w:t>
      </w:r>
      <w:r w:rsidRPr="00E845ED">
        <w:rPr>
          <w:rFonts w:eastAsia="Calibri"/>
          <w:sz w:val="22"/>
          <w:szCs w:val="22"/>
          <w:lang w:val="sr-Latn-ME"/>
        </w:rPr>
        <w:t>jek treba uzeti u obzir prilikom primjene ovih ljekova.</w:t>
      </w:r>
    </w:p>
    <w:p w14:paraId="05FA5EAC" w14:textId="77777777" w:rsidR="008F0875" w:rsidRPr="00E845ED" w:rsidRDefault="008F0875">
      <w:pPr>
        <w:pStyle w:val="NoSpacing"/>
        <w:jc w:val="both"/>
        <w:rPr>
          <w:rFonts w:eastAsia="Calibri"/>
          <w:sz w:val="22"/>
          <w:szCs w:val="22"/>
          <w:lang w:val="sr-Latn-ME"/>
        </w:rPr>
      </w:pPr>
    </w:p>
    <w:p w14:paraId="710E9278" w14:textId="721604AC" w:rsidR="008F0875" w:rsidRPr="00E845ED" w:rsidRDefault="008F0875">
      <w:pPr>
        <w:pStyle w:val="NoSpacing"/>
        <w:jc w:val="both"/>
        <w:rPr>
          <w:rFonts w:eastAsia="Calibri"/>
          <w:sz w:val="22"/>
          <w:szCs w:val="22"/>
          <w:lang w:val="sr-Latn-ME"/>
        </w:rPr>
      </w:pPr>
      <w:r w:rsidRPr="00E845ED">
        <w:rPr>
          <w:rFonts w:eastAsia="Calibri"/>
          <w:sz w:val="22"/>
          <w:szCs w:val="22"/>
          <w:lang w:val="sr-Latn-ME"/>
        </w:rPr>
        <w:t>U kliničkim studijama prim</w:t>
      </w:r>
      <w:r w:rsidR="009809E8" w:rsidRPr="00E845ED">
        <w:rPr>
          <w:rFonts w:eastAsia="Calibri"/>
          <w:sz w:val="22"/>
          <w:szCs w:val="22"/>
          <w:lang w:val="sr-Latn-ME"/>
        </w:rPr>
        <w:t>i</w:t>
      </w:r>
      <w:r w:rsidRPr="00E845ED">
        <w:rPr>
          <w:rFonts w:eastAsia="Calibri"/>
          <w:sz w:val="22"/>
          <w:szCs w:val="22"/>
          <w:lang w:val="sr-Latn-ME"/>
        </w:rPr>
        <w:t>jećeno je samo neznatno povećanje srednjeg nivoa histamina u plazmi nakon davanja bolus doze od 0,3-0,9 mg/kg rokuronijum bromida.</w:t>
      </w:r>
    </w:p>
    <w:p w14:paraId="57160951" w14:textId="77777777" w:rsidR="008F0875" w:rsidRPr="00E845ED" w:rsidRDefault="008F0875">
      <w:pPr>
        <w:pStyle w:val="NoSpacing"/>
        <w:jc w:val="both"/>
        <w:rPr>
          <w:rFonts w:eastAsia="Calibri"/>
          <w:sz w:val="22"/>
          <w:szCs w:val="22"/>
          <w:lang w:val="sr-Latn-ME"/>
        </w:rPr>
      </w:pPr>
    </w:p>
    <w:p w14:paraId="03704EDB" w14:textId="77777777" w:rsidR="008F0875" w:rsidRPr="00E845ED" w:rsidRDefault="008F0875">
      <w:pPr>
        <w:pStyle w:val="NoSpacing"/>
        <w:jc w:val="both"/>
        <w:rPr>
          <w:rFonts w:eastAsia="Calibri"/>
          <w:sz w:val="22"/>
          <w:szCs w:val="22"/>
          <w:u w:val="single"/>
          <w:lang w:val="sr-Latn-ME"/>
        </w:rPr>
      </w:pPr>
      <w:r w:rsidRPr="00E845ED">
        <w:rPr>
          <w:rFonts w:eastAsia="Calibri"/>
          <w:sz w:val="22"/>
          <w:szCs w:val="22"/>
          <w:u w:val="single"/>
          <w:lang w:val="sr-Latn-ME"/>
        </w:rPr>
        <w:t>Produžena neuromuskularna blokada</w:t>
      </w:r>
    </w:p>
    <w:p w14:paraId="0CD645E6" w14:textId="77777777" w:rsidR="008F0875" w:rsidRPr="00E845ED" w:rsidRDefault="008F0875">
      <w:pPr>
        <w:pStyle w:val="NoSpacing"/>
        <w:jc w:val="both"/>
        <w:rPr>
          <w:rFonts w:eastAsia="Calibri"/>
          <w:sz w:val="22"/>
          <w:szCs w:val="22"/>
          <w:lang w:val="sr-Latn-ME"/>
        </w:rPr>
      </w:pPr>
      <w:r w:rsidRPr="00E845ED">
        <w:rPr>
          <w:rFonts w:eastAsia="Calibri"/>
          <w:sz w:val="22"/>
          <w:szCs w:val="22"/>
          <w:lang w:val="sr-Latn-ME"/>
        </w:rPr>
        <w:t>Najčešća neželjena reakcija na nedepolarizujuće blokatore kao klase sastoji se od produženja farmakološkog djelovanja lijeka preko potrebnog vremenskog perioda. Ovo može da varira od slabosti skeletnih mišića do duboke i dugotrajne paralize skeletnih mišića što rezultira respiratornom insuficijencijom ili apnejom.</w:t>
      </w:r>
    </w:p>
    <w:p w14:paraId="134448FF" w14:textId="77777777" w:rsidR="008F0875" w:rsidRPr="00E845ED" w:rsidRDefault="008F0875">
      <w:pPr>
        <w:pStyle w:val="NoSpacing"/>
        <w:jc w:val="both"/>
        <w:rPr>
          <w:rFonts w:eastAsia="Calibri"/>
          <w:sz w:val="22"/>
          <w:szCs w:val="22"/>
          <w:lang w:val="sr-Latn-ME"/>
        </w:rPr>
      </w:pPr>
    </w:p>
    <w:p w14:paraId="3DB11A35" w14:textId="77777777" w:rsidR="008F0875" w:rsidRPr="00E845ED" w:rsidRDefault="008F0875">
      <w:pPr>
        <w:pStyle w:val="NoSpacing"/>
        <w:jc w:val="both"/>
        <w:rPr>
          <w:rFonts w:eastAsia="Calibri"/>
          <w:sz w:val="22"/>
          <w:szCs w:val="22"/>
          <w:u w:val="single"/>
          <w:lang w:val="sr-Latn-ME"/>
        </w:rPr>
      </w:pPr>
      <w:r w:rsidRPr="00E845ED">
        <w:rPr>
          <w:rFonts w:eastAsia="Calibri"/>
          <w:sz w:val="22"/>
          <w:szCs w:val="22"/>
          <w:u w:val="single"/>
          <w:lang w:val="sr-Latn-ME"/>
        </w:rPr>
        <w:t>Miopatija</w:t>
      </w:r>
    </w:p>
    <w:p w14:paraId="4E47263D" w14:textId="77777777" w:rsidR="008F0875" w:rsidRPr="00E845ED" w:rsidRDefault="008F0875">
      <w:pPr>
        <w:pStyle w:val="NoSpacing"/>
        <w:jc w:val="both"/>
        <w:rPr>
          <w:rFonts w:eastAsia="Calibri"/>
          <w:sz w:val="22"/>
          <w:szCs w:val="22"/>
          <w:lang w:val="sr-Latn-ME"/>
        </w:rPr>
      </w:pPr>
      <w:r w:rsidRPr="00E845ED">
        <w:rPr>
          <w:rFonts w:eastAsia="Calibri"/>
          <w:sz w:val="22"/>
          <w:szCs w:val="22"/>
          <w:lang w:val="sr-Latn-ME"/>
        </w:rPr>
        <w:t>Zabilježena je miopatija nakon upotrebe različitih neuromišićnih blokatora u JIN u kombinaciji sa kortikosteroidima (vidjeti dio 4.4).</w:t>
      </w:r>
    </w:p>
    <w:p w14:paraId="1A92DAD6" w14:textId="77777777" w:rsidR="008F0875" w:rsidRPr="00E845ED" w:rsidRDefault="008F0875">
      <w:pPr>
        <w:pStyle w:val="NoSpacing"/>
        <w:jc w:val="both"/>
        <w:rPr>
          <w:rFonts w:eastAsia="Calibri"/>
          <w:sz w:val="22"/>
          <w:szCs w:val="22"/>
          <w:lang w:val="sr-Latn-ME"/>
        </w:rPr>
      </w:pPr>
    </w:p>
    <w:p w14:paraId="0EE21412" w14:textId="77777777" w:rsidR="008F0875" w:rsidRPr="00E845ED" w:rsidRDefault="008F0875">
      <w:pPr>
        <w:pStyle w:val="NoSpacing"/>
        <w:jc w:val="both"/>
        <w:rPr>
          <w:rFonts w:eastAsia="Calibri"/>
          <w:sz w:val="22"/>
          <w:szCs w:val="22"/>
          <w:u w:val="single"/>
          <w:lang w:val="sr-Latn-ME"/>
        </w:rPr>
      </w:pPr>
      <w:r w:rsidRPr="00E845ED">
        <w:rPr>
          <w:rFonts w:eastAsia="Calibri"/>
          <w:sz w:val="22"/>
          <w:szCs w:val="22"/>
          <w:u w:val="single"/>
          <w:lang w:val="sr-Latn-ME"/>
        </w:rPr>
        <w:t>Lokalne reakcije na mjestu davanja injekcije</w:t>
      </w:r>
    </w:p>
    <w:p w14:paraId="12289F3A" w14:textId="77777777" w:rsidR="008F0875" w:rsidRPr="00E845ED" w:rsidRDefault="008F0875">
      <w:pPr>
        <w:pStyle w:val="NoSpacing"/>
        <w:jc w:val="both"/>
        <w:rPr>
          <w:rFonts w:eastAsia="Calibri"/>
          <w:sz w:val="22"/>
          <w:szCs w:val="22"/>
          <w:lang w:val="sr-Latn-ME"/>
        </w:rPr>
      </w:pPr>
      <w:r w:rsidRPr="00E845ED">
        <w:rPr>
          <w:rFonts w:eastAsia="Calibri"/>
          <w:sz w:val="22"/>
          <w:szCs w:val="22"/>
          <w:lang w:val="sr-Latn-ME"/>
        </w:rPr>
        <w:t>Tokom brzog uvođenja u anesteziju, zabilježena je pojava bola prilikom injekcije, naročito kada pacijent još nije potpuno izgubio svijest, a posebno kada se propofol koristi kao indukcioni agens. U kliničkim studijama bol kod ubrizgavanja zabilježen je kod 16% pacijenata koji su podvrgnuti brzom uvođenju u anesteziju propofolom i kod manje od 0,5% pacijenata koji su podvrgnuti brzom uvođenju u anesteziju fentanilom i tiopentalom.</w:t>
      </w:r>
    </w:p>
    <w:p w14:paraId="3B713FC0" w14:textId="77777777" w:rsidR="008F0875" w:rsidRPr="00E845ED" w:rsidRDefault="008F0875">
      <w:pPr>
        <w:pStyle w:val="NoSpacing"/>
        <w:jc w:val="both"/>
        <w:rPr>
          <w:rFonts w:eastAsia="Calibri"/>
          <w:sz w:val="22"/>
          <w:szCs w:val="22"/>
          <w:lang w:val="sr-Latn-ME"/>
        </w:rPr>
      </w:pPr>
    </w:p>
    <w:p w14:paraId="02A76DC3" w14:textId="77777777" w:rsidR="008F0875" w:rsidRPr="00E845ED" w:rsidRDefault="008F0875">
      <w:pPr>
        <w:pStyle w:val="NoSpacing"/>
        <w:jc w:val="both"/>
        <w:rPr>
          <w:rFonts w:eastAsia="Calibri"/>
          <w:sz w:val="22"/>
          <w:szCs w:val="22"/>
          <w:u w:val="single"/>
          <w:lang w:val="sr-Latn-ME"/>
        </w:rPr>
      </w:pPr>
      <w:r w:rsidRPr="00E845ED">
        <w:rPr>
          <w:rFonts w:eastAsia="Calibri"/>
          <w:sz w:val="22"/>
          <w:szCs w:val="22"/>
          <w:u w:val="single"/>
          <w:lang w:val="sr-Latn-ME"/>
        </w:rPr>
        <w:t>Pedijatrijska populacija</w:t>
      </w:r>
    </w:p>
    <w:p w14:paraId="762C6FD0" w14:textId="0B1D1FDA" w:rsidR="008F0875" w:rsidRPr="00E845ED" w:rsidRDefault="008F0875">
      <w:pPr>
        <w:pStyle w:val="NoSpacing"/>
        <w:jc w:val="both"/>
        <w:rPr>
          <w:rFonts w:eastAsia="Calibri"/>
          <w:sz w:val="22"/>
          <w:szCs w:val="22"/>
          <w:lang w:val="sr-Latn-ME"/>
        </w:rPr>
      </w:pPr>
      <w:r w:rsidRPr="00E845ED">
        <w:rPr>
          <w:rFonts w:eastAsia="Calibri"/>
          <w:sz w:val="22"/>
          <w:szCs w:val="22"/>
          <w:lang w:val="sr-Latn-ME"/>
        </w:rPr>
        <w:t xml:space="preserve">Meta-analiza 11 kliničkih studija kod pedijatrijskih </w:t>
      </w:r>
      <w:r w:rsidR="00B75ADD" w:rsidRPr="00E845ED">
        <w:rPr>
          <w:rFonts w:eastAsia="Calibri"/>
          <w:sz w:val="22"/>
          <w:szCs w:val="22"/>
          <w:lang w:val="sr-Latn-ME"/>
        </w:rPr>
        <w:t xml:space="preserve">pacijenata </w:t>
      </w:r>
      <w:r w:rsidRPr="00E845ED">
        <w:rPr>
          <w:rFonts w:eastAsia="Calibri"/>
          <w:sz w:val="22"/>
          <w:szCs w:val="22"/>
          <w:lang w:val="sr-Latn-ME"/>
        </w:rPr>
        <w:t>(n=704) sa rokuronijum bromidom (do 1 mg/kg) pokazala je da je tahikardija identifikovana kao neželjena reakcija lijeka sa učestalošću od 1,4%.</w:t>
      </w:r>
    </w:p>
    <w:p w14:paraId="152A8422" w14:textId="1B1BC42D" w:rsidR="00ED237B" w:rsidRPr="00E845ED" w:rsidRDefault="00ED237B">
      <w:pPr>
        <w:pStyle w:val="NoSpacing"/>
        <w:jc w:val="both"/>
        <w:rPr>
          <w:rFonts w:eastAsia="Calibri"/>
          <w:sz w:val="22"/>
          <w:szCs w:val="22"/>
          <w:lang w:val="sr-Latn-ME"/>
        </w:rPr>
      </w:pPr>
    </w:p>
    <w:p w14:paraId="5A5DABFC" w14:textId="77777777" w:rsidR="00ED237B" w:rsidRPr="00E845ED" w:rsidRDefault="00ED237B" w:rsidP="00D542D8">
      <w:pPr>
        <w:spacing w:after="200" w:line="276" w:lineRule="auto"/>
        <w:jc w:val="both"/>
        <w:rPr>
          <w:rFonts w:eastAsia="Calibri"/>
          <w:sz w:val="22"/>
          <w:szCs w:val="22"/>
          <w:u w:val="single"/>
          <w:lang w:val="sr-Latn-ME"/>
        </w:rPr>
      </w:pPr>
      <w:r w:rsidRPr="00E845ED">
        <w:rPr>
          <w:rFonts w:eastAsia="Calibri"/>
          <w:sz w:val="22"/>
          <w:szCs w:val="22"/>
          <w:u w:val="single"/>
          <w:lang w:val="sr-Latn-ME"/>
        </w:rPr>
        <w:t>Prijavljivanje sumnji na neželjena dejstva</w:t>
      </w:r>
    </w:p>
    <w:p w14:paraId="569BC680" w14:textId="77777777" w:rsidR="00ED237B" w:rsidRPr="00E845ED" w:rsidRDefault="00ED237B" w:rsidP="005C47CD">
      <w:pPr>
        <w:spacing w:after="200"/>
        <w:jc w:val="both"/>
        <w:rPr>
          <w:rFonts w:eastAsia="Calibri"/>
          <w:sz w:val="22"/>
          <w:szCs w:val="22"/>
          <w:lang w:val="sr-Latn-ME"/>
        </w:rPr>
      </w:pPr>
      <w:r w:rsidRPr="00E845E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1B022E" w14:textId="77777777" w:rsidR="00ED237B" w:rsidRPr="00E845ED" w:rsidRDefault="00ED237B" w:rsidP="000B2BC5">
      <w:pPr>
        <w:pStyle w:val="NoSpacing"/>
        <w:jc w:val="both"/>
        <w:rPr>
          <w:rFonts w:eastAsia="Calibri"/>
          <w:sz w:val="22"/>
          <w:szCs w:val="22"/>
          <w:lang w:val="sr-Latn-ME"/>
        </w:rPr>
      </w:pPr>
      <w:r w:rsidRPr="00E845ED">
        <w:rPr>
          <w:rFonts w:eastAsia="Calibri"/>
          <w:sz w:val="22"/>
          <w:szCs w:val="22"/>
          <w:lang w:val="sr-Latn-ME"/>
        </w:rPr>
        <w:t xml:space="preserve">Institut za ljekove i medicinska sredstva </w:t>
      </w:r>
    </w:p>
    <w:p w14:paraId="742F64D7" w14:textId="77777777" w:rsidR="00ED237B" w:rsidRPr="00E845ED" w:rsidRDefault="00ED237B">
      <w:pPr>
        <w:pStyle w:val="NoSpacing"/>
        <w:jc w:val="both"/>
        <w:rPr>
          <w:rFonts w:eastAsia="Calibri"/>
          <w:sz w:val="22"/>
          <w:szCs w:val="22"/>
          <w:lang w:val="sr-Latn-ME"/>
        </w:rPr>
      </w:pPr>
      <w:r w:rsidRPr="00E845ED">
        <w:rPr>
          <w:rFonts w:eastAsia="Calibri"/>
          <w:sz w:val="22"/>
          <w:szCs w:val="22"/>
          <w:lang w:val="sr-Latn-ME"/>
        </w:rPr>
        <w:t>Odjeljenje za farmakovigilancu</w:t>
      </w:r>
    </w:p>
    <w:p w14:paraId="593C8CE8" w14:textId="77777777" w:rsidR="00ED237B" w:rsidRPr="00E845ED" w:rsidRDefault="00ED237B">
      <w:pPr>
        <w:pStyle w:val="NoSpacing"/>
        <w:jc w:val="both"/>
        <w:rPr>
          <w:rFonts w:eastAsia="Calibri"/>
          <w:sz w:val="22"/>
          <w:szCs w:val="22"/>
          <w:lang w:val="sr-Latn-ME"/>
        </w:rPr>
      </w:pPr>
      <w:r w:rsidRPr="00E845ED">
        <w:rPr>
          <w:rFonts w:eastAsia="Calibri"/>
          <w:sz w:val="22"/>
          <w:szCs w:val="22"/>
          <w:lang w:val="sr-Latn-ME"/>
        </w:rPr>
        <w:t>Bulevar Ivana Crnojevića 64a, 81000 Podgorica</w:t>
      </w:r>
    </w:p>
    <w:p w14:paraId="02F6836A" w14:textId="77777777" w:rsidR="00ED237B" w:rsidRPr="00E845ED" w:rsidRDefault="00ED237B" w:rsidP="00D542D8">
      <w:pPr>
        <w:pStyle w:val="NoSpacing"/>
        <w:jc w:val="both"/>
        <w:rPr>
          <w:rFonts w:eastAsia="Calibri"/>
          <w:sz w:val="22"/>
          <w:szCs w:val="22"/>
          <w:lang w:val="sr-Latn-ME"/>
        </w:rPr>
      </w:pPr>
    </w:p>
    <w:p w14:paraId="461C38E6" w14:textId="77777777" w:rsidR="00ED237B" w:rsidRPr="00E845ED" w:rsidRDefault="00ED237B" w:rsidP="005C47CD">
      <w:pPr>
        <w:pStyle w:val="NoSpacing"/>
        <w:jc w:val="both"/>
        <w:rPr>
          <w:rFonts w:eastAsia="Calibri"/>
          <w:sz w:val="22"/>
          <w:szCs w:val="22"/>
          <w:lang w:val="sr-Latn-ME"/>
        </w:rPr>
      </w:pPr>
      <w:r w:rsidRPr="00E845ED">
        <w:rPr>
          <w:rFonts w:eastAsia="Calibri"/>
          <w:sz w:val="22"/>
          <w:szCs w:val="22"/>
          <w:lang w:val="sr-Latn-ME"/>
        </w:rPr>
        <w:t>tel: +382 (0) 20 310 280</w:t>
      </w:r>
    </w:p>
    <w:p w14:paraId="43BF9CA9" w14:textId="77777777" w:rsidR="00ED237B" w:rsidRPr="00E845ED" w:rsidRDefault="00ED237B" w:rsidP="000B2BC5">
      <w:pPr>
        <w:pStyle w:val="NoSpacing"/>
        <w:jc w:val="both"/>
        <w:rPr>
          <w:rFonts w:eastAsia="Calibri"/>
          <w:sz w:val="22"/>
          <w:szCs w:val="22"/>
          <w:lang w:val="sr-Latn-ME"/>
        </w:rPr>
      </w:pPr>
      <w:r w:rsidRPr="00E845ED">
        <w:rPr>
          <w:rFonts w:eastAsia="Calibri"/>
          <w:sz w:val="22"/>
          <w:szCs w:val="22"/>
          <w:lang w:val="sr-Latn-ME"/>
        </w:rPr>
        <w:t>fax: +382 (0) 20 310 581</w:t>
      </w:r>
    </w:p>
    <w:p w14:paraId="28E9C65A" w14:textId="77777777" w:rsidR="00ED237B" w:rsidRPr="00E845ED" w:rsidRDefault="00313ED3">
      <w:pPr>
        <w:pStyle w:val="NoSpacing"/>
        <w:jc w:val="both"/>
        <w:rPr>
          <w:rFonts w:eastAsia="Calibri"/>
          <w:sz w:val="22"/>
          <w:szCs w:val="22"/>
          <w:lang w:val="sr-Latn-ME"/>
        </w:rPr>
      </w:pPr>
      <w:hyperlink r:id="rId8" w:history="1">
        <w:r w:rsidR="00ED237B" w:rsidRPr="00E845ED">
          <w:rPr>
            <w:rStyle w:val="Hyperlink"/>
            <w:rFonts w:eastAsia="Calibri"/>
            <w:sz w:val="22"/>
            <w:szCs w:val="22"/>
            <w:lang w:val="sr-Latn-ME"/>
          </w:rPr>
          <w:t>www.cinmed.me</w:t>
        </w:r>
      </w:hyperlink>
    </w:p>
    <w:p w14:paraId="2B6B450F" w14:textId="77777777" w:rsidR="00ED237B" w:rsidRPr="00E845ED" w:rsidRDefault="00313ED3">
      <w:pPr>
        <w:pStyle w:val="NoSpacing"/>
        <w:jc w:val="both"/>
        <w:rPr>
          <w:rFonts w:eastAsia="Calibri"/>
          <w:color w:val="0000FF"/>
          <w:sz w:val="22"/>
          <w:szCs w:val="22"/>
          <w:u w:val="single"/>
          <w:lang w:val="sr-Latn-ME"/>
        </w:rPr>
      </w:pPr>
      <w:hyperlink r:id="rId9" w:history="1">
        <w:r w:rsidR="00ED237B" w:rsidRPr="00E845ED">
          <w:rPr>
            <w:rStyle w:val="Hyperlink"/>
            <w:rFonts w:eastAsia="Calibri"/>
            <w:sz w:val="22"/>
            <w:szCs w:val="22"/>
            <w:lang w:val="sr-Latn-ME"/>
          </w:rPr>
          <w:t>nezeljenadejstva@cinmed.me</w:t>
        </w:r>
      </w:hyperlink>
    </w:p>
    <w:p w14:paraId="4D452C89" w14:textId="77777777" w:rsidR="00ED237B" w:rsidRPr="00E845ED" w:rsidRDefault="00ED237B">
      <w:pPr>
        <w:pStyle w:val="NoSpacing"/>
        <w:jc w:val="both"/>
        <w:rPr>
          <w:rFonts w:eastAsia="Calibri"/>
          <w:sz w:val="22"/>
          <w:szCs w:val="22"/>
          <w:lang w:val="sr-Latn-ME"/>
        </w:rPr>
      </w:pPr>
      <w:r w:rsidRPr="00E845ED">
        <w:rPr>
          <w:rFonts w:eastAsia="Calibri"/>
          <w:sz w:val="22"/>
          <w:szCs w:val="22"/>
          <w:lang w:val="sr-Latn-ME"/>
        </w:rPr>
        <w:t>putem IS zdravstvene zaštite</w:t>
      </w:r>
    </w:p>
    <w:p w14:paraId="71CA66AC" w14:textId="77777777" w:rsidR="00ED237B" w:rsidRPr="00E845ED" w:rsidRDefault="00ED237B">
      <w:pPr>
        <w:pStyle w:val="NoSpacing"/>
        <w:jc w:val="both"/>
        <w:rPr>
          <w:rFonts w:eastAsia="Calibri"/>
          <w:sz w:val="22"/>
          <w:szCs w:val="22"/>
          <w:lang w:val="sr-Latn-ME"/>
        </w:rPr>
      </w:pPr>
    </w:p>
    <w:p w14:paraId="594BA3CE" w14:textId="77777777" w:rsidR="00CD6F02"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4.9. </w:t>
      </w:r>
      <w:r w:rsidR="00480FB1" w:rsidRPr="00E845ED">
        <w:rPr>
          <w:b/>
          <w:bCs/>
          <w:sz w:val="22"/>
          <w:szCs w:val="22"/>
          <w:lang w:val="sr-Latn-ME"/>
        </w:rPr>
        <w:tab/>
      </w:r>
      <w:r w:rsidRPr="00E845ED">
        <w:rPr>
          <w:b/>
          <w:bCs/>
          <w:sz w:val="22"/>
          <w:szCs w:val="22"/>
          <w:lang w:val="sr-Latn-ME"/>
        </w:rPr>
        <w:t>Predoziranje</w:t>
      </w:r>
      <w:r w:rsidR="002846DB" w:rsidRPr="00E845ED">
        <w:rPr>
          <w:b/>
          <w:bCs/>
          <w:sz w:val="22"/>
          <w:szCs w:val="22"/>
          <w:lang w:val="sr-Latn-ME"/>
        </w:rPr>
        <w:t xml:space="preserve"> </w:t>
      </w:r>
    </w:p>
    <w:p w14:paraId="45D7FA2A" w14:textId="77777777" w:rsidR="00CD6F02" w:rsidRPr="00E845ED" w:rsidRDefault="00CD6F02" w:rsidP="00D542D8">
      <w:pPr>
        <w:tabs>
          <w:tab w:val="left" w:pos="540"/>
          <w:tab w:val="left" w:pos="569"/>
        </w:tabs>
        <w:jc w:val="both"/>
        <w:rPr>
          <w:b/>
          <w:bCs/>
          <w:sz w:val="22"/>
          <w:szCs w:val="22"/>
          <w:lang w:val="sr-Latn-ME"/>
        </w:rPr>
      </w:pPr>
    </w:p>
    <w:p w14:paraId="0D65A2CB" w14:textId="77777777" w:rsidR="008F0875" w:rsidRPr="00E845ED" w:rsidRDefault="008F0875" w:rsidP="005C47CD">
      <w:pPr>
        <w:tabs>
          <w:tab w:val="left" w:pos="540"/>
          <w:tab w:val="left" w:pos="569"/>
        </w:tabs>
        <w:jc w:val="both"/>
        <w:rPr>
          <w:sz w:val="22"/>
          <w:szCs w:val="22"/>
          <w:lang w:val="sr-Latn-ME"/>
        </w:rPr>
      </w:pPr>
      <w:r w:rsidRPr="00E845ED">
        <w:rPr>
          <w:sz w:val="22"/>
          <w:szCs w:val="22"/>
          <w:lang w:val="sr-Latn-ME"/>
        </w:rPr>
        <w:t>U slučaju predoziranja i dugotrajne neurmuskularne blokade, kod pacijenta treba nastaviti primjenu ventilacije i sedacije. Postoje dvije opcije za reverziju neuromuskularnog bloka:</w:t>
      </w:r>
    </w:p>
    <w:p w14:paraId="0F22F780" w14:textId="77777777" w:rsidR="008F0875" w:rsidRPr="00E845ED" w:rsidRDefault="008F0875" w:rsidP="000B2BC5">
      <w:pPr>
        <w:tabs>
          <w:tab w:val="left" w:pos="540"/>
          <w:tab w:val="left" w:pos="569"/>
        </w:tabs>
        <w:jc w:val="both"/>
        <w:rPr>
          <w:sz w:val="22"/>
          <w:szCs w:val="22"/>
          <w:lang w:val="sr-Latn-ME"/>
        </w:rPr>
      </w:pPr>
      <w:r w:rsidRPr="00E845ED">
        <w:rPr>
          <w:sz w:val="22"/>
          <w:szCs w:val="22"/>
          <w:lang w:val="sr-Latn-ME"/>
        </w:rPr>
        <w:t>(1) kod odraslih pacijenata, sugamadeks se može koristiti za reverziju intenzivne i duboke blokade. Doza sugamadeksa koja će se primijeniti zavisi od nivoa neuromuskularne blokade.</w:t>
      </w:r>
    </w:p>
    <w:p w14:paraId="4B7DB45A" w14:textId="5263AC7E" w:rsidR="008F0875" w:rsidRPr="00E845ED" w:rsidRDefault="008F0875">
      <w:pPr>
        <w:tabs>
          <w:tab w:val="left" w:pos="540"/>
          <w:tab w:val="left" w:pos="569"/>
        </w:tabs>
        <w:jc w:val="both"/>
        <w:rPr>
          <w:sz w:val="22"/>
          <w:szCs w:val="22"/>
          <w:lang w:val="sr-Latn-ME"/>
        </w:rPr>
      </w:pPr>
      <w:r w:rsidRPr="00E845ED">
        <w:rPr>
          <w:sz w:val="22"/>
          <w:szCs w:val="22"/>
          <w:lang w:val="sr-Latn-ME"/>
        </w:rPr>
        <w:t>(2) Inhibitor acetilholinesteraze (npr</w:t>
      </w:r>
      <w:r w:rsidR="00ED237B" w:rsidRPr="00E845ED">
        <w:rPr>
          <w:sz w:val="22"/>
          <w:szCs w:val="22"/>
          <w:lang w:val="sr-Latn-ME"/>
        </w:rPr>
        <w:t xml:space="preserve">. </w:t>
      </w:r>
      <w:r w:rsidRPr="00E845ED">
        <w:rPr>
          <w:sz w:val="22"/>
          <w:szCs w:val="22"/>
          <w:lang w:val="sr-Latn-ME"/>
        </w:rPr>
        <w:t>neostigmin, edrofonijum, piridostigmin) ili sugamadeks može se upotrijebiti kada započne spontani oporavak i treba ga primijeniti u odgovarajućim dozama. Kada primjena sredstva za inhibiciju acetilholinesteraze ne uspije da eliminiše neuromuskularna dejstva rokuronijum bromida, primjena ventilacije se mora nastaviti sve dok se ne uspostavi spontano disanje. Ponovljeno doziranje inhibitora acetilholinesteraze može biti opasno.</w:t>
      </w:r>
    </w:p>
    <w:p w14:paraId="307CCC25" w14:textId="77777777" w:rsidR="008F0875" w:rsidRPr="00E845ED" w:rsidRDefault="008F0875">
      <w:pPr>
        <w:tabs>
          <w:tab w:val="left" w:pos="540"/>
          <w:tab w:val="left" w:pos="569"/>
        </w:tabs>
        <w:jc w:val="both"/>
        <w:rPr>
          <w:sz w:val="22"/>
          <w:szCs w:val="22"/>
          <w:lang w:val="sr-Latn-ME"/>
        </w:rPr>
      </w:pPr>
    </w:p>
    <w:p w14:paraId="09A4FF6B" w14:textId="11545BC0" w:rsidR="00227BDB" w:rsidRPr="00E845ED" w:rsidRDefault="008F0875">
      <w:pPr>
        <w:tabs>
          <w:tab w:val="left" w:pos="540"/>
          <w:tab w:val="left" w:pos="569"/>
        </w:tabs>
        <w:jc w:val="both"/>
        <w:rPr>
          <w:sz w:val="22"/>
          <w:szCs w:val="22"/>
          <w:lang w:val="sr-Latn-ME"/>
        </w:rPr>
      </w:pPr>
      <w:r w:rsidRPr="00E845ED">
        <w:rPr>
          <w:sz w:val="22"/>
          <w:szCs w:val="22"/>
          <w:lang w:val="sr-Latn-ME"/>
        </w:rPr>
        <w:t>U studijama na životinjama, ozbiljno smanjenje kardiovaskularne funkcije, koje na kraju dovodi do srčanog kolapsa, nije nastupilo sve dok nije primijenjena kumulativna doza od 750 x ED</w:t>
      </w:r>
      <w:r w:rsidRPr="00E845ED">
        <w:rPr>
          <w:sz w:val="22"/>
          <w:szCs w:val="22"/>
          <w:vertAlign w:val="subscript"/>
          <w:lang w:val="sr-Latn-ME"/>
        </w:rPr>
        <w:t xml:space="preserve">90 </w:t>
      </w:r>
      <w:r w:rsidRPr="00E845ED">
        <w:rPr>
          <w:sz w:val="22"/>
          <w:szCs w:val="22"/>
          <w:lang w:val="sr-Latn-ME"/>
        </w:rPr>
        <w:t>(135 mg/kg rokuronijum bromida).</w:t>
      </w:r>
    </w:p>
    <w:p w14:paraId="6C5087EC" w14:textId="77777777" w:rsidR="008F0875" w:rsidRPr="00E845ED" w:rsidRDefault="008F0875" w:rsidP="00D542D8">
      <w:pPr>
        <w:tabs>
          <w:tab w:val="left" w:pos="540"/>
          <w:tab w:val="left" w:pos="569"/>
        </w:tabs>
        <w:jc w:val="both"/>
        <w:rPr>
          <w:b/>
          <w:bCs/>
          <w:sz w:val="22"/>
          <w:szCs w:val="22"/>
          <w:lang w:val="sr-Latn-ME"/>
        </w:rPr>
      </w:pPr>
    </w:p>
    <w:p w14:paraId="19E75D67"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5. </w:t>
      </w:r>
      <w:r w:rsidR="00480FB1" w:rsidRPr="00E845ED">
        <w:rPr>
          <w:b/>
          <w:bCs/>
          <w:sz w:val="22"/>
          <w:szCs w:val="22"/>
          <w:lang w:val="sr-Latn-ME"/>
        </w:rPr>
        <w:tab/>
      </w:r>
      <w:r w:rsidRPr="00E845ED">
        <w:rPr>
          <w:b/>
          <w:bCs/>
          <w:sz w:val="22"/>
          <w:szCs w:val="22"/>
          <w:lang w:val="sr-Latn-ME"/>
        </w:rPr>
        <w:t>FARMAKOLOŠK</w:t>
      </w:r>
      <w:r w:rsidR="000D425A" w:rsidRPr="00E845ED">
        <w:rPr>
          <w:b/>
          <w:bCs/>
          <w:sz w:val="22"/>
          <w:szCs w:val="22"/>
          <w:lang w:val="sr-Latn-ME"/>
        </w:rPr>
        <w:t>I</w:t>
      </w:r>
      <w:r w:rsidRPr="00E845ED">
        <w:rPr>
          <w:b/>
          <w:bCs/>
          <w:sz w:val="22"/>
          <w:szCs w:val="22"/>
          <w:lang w:val="sr-Latn-ME"/>
        </w:rPr>
        <w:t xml:space="preserve"> PODACI</w:t>
      </w:r>
    </w:p>
    <w:p w14:paraId="5BF6EE5D" w14:textId="77777777" w:rsidR="0072020E" w:rsidRPr="00E845ED" w:rsidRDefault="0072020E" w:rsidP="00D542D8">
      <w:pPr>
        <w:tabs>
          <w:tab w:val="left" w:pos="540"/>
          <w:tab w:val="left" w:pos="569"/>
        </w:tabs>
        <w:jc w:val="both"/>
        <w:rPr>
          <w:b/>
          <w:bCs/>
          <w:sz w:val="22"/>
          <w:szCs w:val="22"/>
          <w:lang w:val="sr-Latn-ME"/>
        </w:rPr>
      </w:pPr>
    </w:p>
    <w:p w14:paraId="2B235D99"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5.1. </w:t>
      </w:r>
      <w:r w:rsidR="00480FB1" w:rsidRPr="00E845ED">
        <w:rPr>
          <w:b/>
          <w:bCs/>
          <w:sz w:val="22"/>
          <w:szCs w:val="22"/>
          <w:lang w:val="sr-Latn-ME"/>
        </w:rPr>
        <w:tab/>
      </w:r>
      <w:r w:rsidRPr="00E845ED">
        <w:rPr>
          <w:b/>
          <w:bCs/>
          <w:sz w:val="22"/>
          <w:szCs w:val="22"/>
          <w:lang w:val="sr-Latn-ME"/>
        </w:rPr>
        <w:t>Farmakodinamski podaci</w:t>
      </w:r>
      <w:r w:rsidR="003A7059" w:rsidRPr="00E845ED">
        <w:rPr>
          <w:b/>
          <w:bCs/>
          <w:sz w:val="22"/>
          <w:szCs w:val="22"/>
          <w:lang w:val="sr-Latn-ME"/>
        </w:rPr>
        <w:t xml:space="preserve"> </w:t>
      </w:r>
    </w:p>
    <w:p w14:paraId="06CA7B12" w14:textId="77777777" w:rsidR="00F45F77" w:rsidRPr="00E845ED" w:rsidRDefault="00F45F77" w:rsidP="00D542D8">
      <w:pPr>
        <w:tabs>
          <w:tab w:val="left" w:pos="540"/>
          <w:tab w:val="left" w:pos="569"/>
        </w:tabs>
        <w:jc w:val="both"/>
        <w:rPr>
          <w:b/>
          <w:bCs/>
          <w:sz w:val="22"/>
          <w:szCs w:val="22"/>
          <w:lang w:val="sr-Latn-ME"/>
        </w:rPr>
      </w:pPr>
    </w:p>
    <w:p w14:paraId="20E015C4" w14:textId="531C4E73" w:rsidR="0072020E" w:rsidRPr="00E845ED" w:rsidRDefault="0072020E" w:rsidP="00D542D8">
      <w:pPr>
        <w:tabs>
          <w:tab w:val="left" w:pos="540"/>
          <w:tab w:val="left" w:pos="569"/>
        </w:tabs>
        <w:jc w:val="both"/>
        <w:rPr>
          <w:bCs/>
          <w:sz w:val="22"/>
          <w:szCs w:val="22"/>
          <w:lang w:val="sr-Latn-ME"/>
        </w:rPr>
      </w:pPr>
      <w:r w:rsidRPr="00E845ED">
        <w:rPr>
          <w:bCs/>
          <w:sz w:val="22"/>
          <w:szCs w:val="22"/>
          <w:lang w:val="sr-Latn-ME"/>
        </w:rPr>
        <w:t>Farmakoterapijska grupa:</w:t>
      </w:r>
      <w:r w:rsidR="008F0875" w:rsidRPr="00E845ED">
        <w:rPr>
          <w:lang w:val="sr-Latn-ME"/>
        </w:rPr>
        <w:t xml:space="preserve"> </w:t>
      </w:r>
      <w:r w:rsidR="00ED237B" w:rsidRPr="00E845ED">
        <w:rPr>
          <w:lang w:val="sr-Latn-ME"/>
        </w:rPr>
        <w:t>m</w:t>
      </w:r>
      <w:r w:rsidR="008F0875" w:rsidRPr="00E845ED">
        <w:rPr>
          <w:bCs/>
          <w:sz w:val="22"/>
          <w:szCs w:val="22"/>
          <w:lang w:val="sr-Latn-ME"/>
        </w:rPr>
        <w:t>išićni relaksansi (</w:t>
      </w:r>
      <w:r w:rsidR="00ED237B" w:rsidRPr="00E845ED">
        <w:rPr>
          <w:bCs/>
          <w:sz w:val="22"/>
          <w:szCs w:val="22"/>
          <w:lang w:val="sr-Latn-ME"/>
        </w:rPr>
        <w:t>m</w:t>
      </w:r>
      <w:r w:rsidR="008F0875" w:rsidRPr="00E845ED">
        <w:rPr>
          <w:bCs/>
          <w:sz w:val="22"/>
          <w:szCs w:val="22"/>
          <w:lang w:val="sr-Latn-ME"/>
        </w:rPr>
        <w:t>iorelaksansi), miorelaksansi sa perifernim djelovanjem</w:t>
      </w:r>
    </w:p>
    <w:p w14:paraId="4FAFCAD5" w14:textId="77777777" w:rsidR="0072020E" w:rsidRPr="00E845ED" w:rsidRDefault="0072020E" w:rsidP="00D542D8">
      <w:pPr>
        <w:tabs>
          <w:tab w:val="left" w:pos="540"/>
          <w:tab w:val="left" w:pos="569"/>
        </w:tabs>
        <w:jc w:val="both"/>
        <w:rPr>
          <w:bCs/>
          <w:sz w:val="22"/>
          <w:szCs w:val="22"/>
          <w:lang w:val="sr-Latn-ME"/>
        </w:rPr>
      </w:pPr>
    </w:p>
    <w:p w14:paraId="260523EC" w14:textId="3C1F5D6A" w:rsidR="0072020E" w:rsidRPr="00E845ED" w:rsidRDefault="0072020E" w:rsidP="00D542D8">
      <w:pPr>
        <w:tabs>
          <w:tab w:val="left" w:pos="540"/>
          <w:tab w:val="left" w:pos="569"/>
        </w:tabs>
        <w:jc w:val="both"/>
        <w:rPr>
          <w:bCs/>
          <w:sz w:val="22"/>
          <w:szCs w:val="22"/>
          <w:lang w:val="sr-Latn-ME"/>
        </w:rPr>
      </w:pPr>
      <w:r w:rsidRPr="00E845ED">
        <w:rPr>
          <w:bCs/>
          <w:sz w:val="22"/>
          <w:szCs w:val="22"/>
          <w:lang w:val="sr-Latn-ME"/>
        </w:rPr>
        <w:t>ATC kod:</w:t>
      </w:r>
      <w:r w:rsidR="008F0875" w:rsidRPr="00E845ED">
        <w:rPr>
          <w:lang w:val="sr-Latn-ME"/>
        </w:rPr>
        <w:t xml:space="preserve"> </w:t>
      </w:r>
      <w:r w:rsidR="008F0875" w:rsidRPr="00E845ED">
        <w:rPr>
          <w:bCs/>
          <w:sz w:val="22"/>
          <w:szCs w:val="22"/>
          <w:lang w:val="sr-Latn-ME"/>
        </w:rPr>
        <w:t>M03AC09</w:t>
      </w:r>
    </w:p>
    <w:p w14:paraId="2E3FE6B5" w14:textId="27DA91F5" w:rsidR="002E37A5" w:rsidRPr="00E845ED" w:rsidRDefault="002E37A5" w:rsidP="00D542D8">
      <w:pPr>
        <w:tabs>
          <w:tab w:val="left" w:pos="540"/>
          <w:tab w:val="left" w:pos="569"/>
        </w:tabs>
        <w:jc w:val="both"/>
        <w:rPr>
          <w:b/>
          <w:bCs/>
          <w:sz w:val="22"/>
          <w:szCs w:val="22"/>
          <w:lang w:val="sr-Latn-ME"/>
        </w:rPr>
      </w:pPr>
    </w:p>
    <w:p w14:paraId="2BD5F48F" w14:textId="77777777" w:rsidR="008F0875" w:rsidRPr="00E845ED" w:rsidRDefault="008F0875" w:rsidP="005C47CD">
      <w:pPr>
        <w:jc w:val="both"/>
        <w:rPr>
          <w:rFonts w:eastAsiaTheme="minorHAnsi"/>
          <w:sz w:val="22"/>
          <w:szCs w:val="22"/>
          <w:u w:val="single"/>
          <w:lang w:val="sr-Latn-ME"/>
        </w:rPr>
      </w:pPr>
      <w:r w:rsidRPr="00E845ED">
        <w:rPr>
          <w:rFonts w:eastAsiaTheme="minorHAnsi"/>
          <w:sz w:val="22"/>
          <w:szCs w:val="22"/>
          <w:u w:val="single"/>
          <w:lang w:val="sr-Latn-ME"/>
        </w:rPr>
        <w:t>Mehanizam dejstva</w:t>
      </w:r>
    </w:p>
    <w:p w14:paraId="4A13E2A6" w14:textId="775B9DFF" w:rsidR="008F0875" w:rsidRPr="00E845ED" w:rsidRDefault="00ED237B" w:rsidP="000B2BC5">
      <w:pPr>
        <w:jc w:val="both"/>
        <w:rPr>
          <w:rFonts w:eastAsiaTheme="minorHAnsi"/>
          <w:sz w:val="22"/>
          <w:szCs w:val="22"/>
          <w:lang w:val="sr-Latn-ME"/>
        </w:rPr>
      </w:pPr>
      <w:r w:rsidRPr="00E845ED">
        <w:rPr>
          <w:rFonts w:eastAsiaTheme="minorHAnsi"/>
          <w:sz w:val="22"/>
          <w:szCs w:val="22"/>
          <w:lang w:val="sr-Latn-ME"/>
        </w:rPr>
        <w:t xml:space="preserve">Lijek </w:t>
      </w:r>
      <w:r w:rsidR="008F0875" w:rsidRPr="00E845ED">
        <w:rPr>
          <w:rFonts w:eastAsiaTheme="minorHAnsi"/>
          <w:sz w:val="22"/>
          <w:szCs w:val="22"/>
          <w:lang w:val="sr-Latn-ME"/>
        </w:rPr>
        <w:t>Rokuronijum bromid</w:t>
      </w:r>
      <w:r w:rsidRPr="00E845ED">
        <w:rPr>
          <w:rFonts w:eastAsiaTheme="minorHAnsi"/>
          <w:sz w:val="22"/>
          <w:szCs w:val="22"/>
          <w:lang w:val="sr-Latn-ME"/>
        </w:rPr>
        <w:t xml:space="preserve"> Kalceks</w:t>
      </w:r>
      <w:r w:rsidR="008F0875" w:rsidRPr="00E845ED">
        <w:rPr>
          <w:rFonts w:eastAsiaTheme="minorHAnsi"/>
          <w:sz w:val="22"/>
          <w:szCs w:val="22"/>
          <w:lang w:val="sr-Latn-ME"/>
        </w:rPr>
        <w:t xml:space="preserve"> je nedepolarizujući neuromišićni blokator, koji se karakteriše brzim početkom i srednjom dužinom </w:t>
      </w:r>
      <w:r w:rsidR="00C035BB" w:rsidRPr="00E845ED">
        <w:rPr>
          <w:rFonts w:eastAsiaTheme="minorHAnsi"/>
          <w:sz w:val="22"/>
          <w:szCs w:val="22"/>
          <w:lang w:val="sr-Latn-ME"/>
        </w:rPr>
        <w:t xml:space="preserve">djelovanja </w:t>
      </w:r>
      <w:r w:rsidR="008F0875" w:rsidRPr="00E845ED">
        <w:rPr>
          <w:rFonts w:eastAsiaTheme="minorHAnsi"/>
          <w:sz w:val="22"/>
          <w:szCs w:val="22"/>
          <w:lang w:val="sr-Latn-ME"/>
        </w:rPr>
        <w:t>i koji posjeduje sva karakteristična farmakološka dejstva ove klase ljekova (kurariformna). Djeluje tako što prouzrokuje kompetitivnu blokadu nikotinskih holinergičkih receptora na nivou završne motorne ploče. Ovo djelovanje se spr</w:t>
      </w:r>
      <w:r w:rsidR="009D52C2" w:rsidRPr="00E845ED">
        <w:rPr>
          <w:rFonts w:eastAsiaTheme="minorHAnsi"/>
          <w:sz w:val="22"/>
          <w:szCs w:val="22"/>
          <w:lang w:val="sr-Latn-ME"/>
        </w:rPr>
        <w:t>j</w:t>
      </w:r>
      <w:r w:rsidR="008F0875" w:rsidRPr="00E845ED">
        <w:rPr>
          <w:rFonts w:eastAsiaTheme="minorHAnsi"/>
          <w:sz w:val="22"/>
          <w:szCs w:val="22"/>
          <w:lang w:val="sr-Latn-ME"/>
        </w:rPr>
        <w:t>ečava inhibitorima acetilholinesteraze kao što su neostigmin, edrofonijum i piridostigmin.</w:t>
      </w:r>
    </w:p>
    <w:p w14:paraId="2DFC21B1" w14:textId="77777777" w:rsidR="00C21C03" w:rsidRPr="00E845ED" w:rsidRDefault="00C21C03">
      <w:pPr>
        <w:jc w:val="both"/>
        <w:rPr>
          <w:rFonts w:eastAsiaTheme="minorHAnsi"/>
          <w:sz w:val="22"/>
          <w:szCs w:val="22"/>
          <w:lang w:val="sr-Latn-ME"/>
        </w:rPr>
      </w:pPr>
    </w:p>
    <w:p w14:paraId="39FEEF9C" w14:textId="77777777" w:rsidR="00C21C03"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Farmakodinamički efekti</w:t>
      </w:r>
    </w:p>
    <w:p w14:paraId="15E66DE3" w14:textId="2AE54E70" w:rsidR="008F0875" w:rsidRPr="00E845ED" w:rsidRDefault="008F0875">
      <w:pPr>
        <w:jc w:val="both"/>
        <w:rPr>
          <w:rFonts w:eastAsiaTheme="minorHAnsi"/>
          <w:sz w:val="22"/>
          <w:szCs w:val="22"/>
          <w:lang w:val="sr-Latn-ME"/>
        </w:rPr>
      </w:pPr>
      <w:r w:rsidRPr="00E845ED">
        <w:rPr>
          <w:rFonts w:eastAsiaTheme="minorHAnsi"/>
          <w:sz w:val="22"/>
          <w:szCs w:val="22"/>
          <w:lang w:val="sr-Latn-ME"/>
        </w:rPr>
        <w:t>ED</w:t>
      </w:r>
      <w:r w:rsidRPr="00E845ED">
        <w:rPr>
          <w:rFonts w:eastAsiaTheme="minorHAnsi"/>
          <w:sz w:val="22"/>
          <w:szCs w:val="22"/>
          <w:vertAlign w:val="subscript"/>
          <w:lang w:val="sr-Latn-ME"/>
        </w:rPr>
        <w:t>90</w:t>
      </w:r>
      <w:r w:rsidRPr="00E845ED">
        <w:rPr>
          <w:rFonts w:eastAsiaTheme="minorHAnsi"/>
          <w:sz w:val="22"/>
          <w:szCs w:val="22"/>
          <w:lang w:val="sr-Latn-ME"/>
        </w:rPr>
        <w:t xml:space="preserve"> (doza potrebna za izazivanje 90% depresije kontrakcije kao odgovor trzajem palca na stimulaciju ulnarnog nerva) tokom intravenske anestezije iznosi približno 0,3 mg/kg rokuronijum bromida. ED</w:t>
      </w:r>
      <w:r w:rsidRPr="00E845ED">
        <w:rPr>
          <w:rFonts w:eastAsiaTheme="minorHAnsi"/>
          <w:sz w:val="22"/>
          <w:szCs w:val="22"/>
          <w:vertAlign w:val="subscript"/>
          <w:lang w:val="sr-Latn-ME"/>
        </w:rPr>
        <w:t>95</w:t>
      </w:r>
      <w:r w:rsidRPr="00E845ED">
        <w:rPr>
          <w:rFonts w:eastAsiaTheme="minorHAnsi"/>
          <w:sz w:val="22"/>
          <w:szCs w:val="22"/>
          <w:lang w:val="sr-Latn-ME"/>
        </w:rPr>
        <w:t xml:space="preserve"> kod odojčadi je niža nego kod odraslih i djece (0,25, 0,35 i 0,40 mg/kg).</w:t>
      </w:r>
    </w:p>
    <w:p w14:paraId="44125177" w14:textId="01975FA7" w:rsidR="008F0875" w:rsidRPr="00E845ED" w:rsidRDefault="008F0875">
      <w:pPr>
        <w:jc w:val="both"/>
        <w:rPr>
          <w:rFonts w:eastAsiaTheme="minorHAnsi"/>
          <w:sz w:val="22"/>
          <w:szCs w:val="22"/>
          <w:lang w:val="sr-Latn-ME"/>
        </w:rPr>
      </w:pPr>
      <w:r w:rsidRPr="00E845ED">
        <w:rPr>
          <w:rFonts w:eastAsiaTheme="minorHAnsi"/>
          <w:sz w:val="22"/>
          <w:szCs w:val="22"/>
          <w:lang w:val="sr-Latn-ME"/>
        </w:rPr>
        <w:lastRenderedPageBreak/>
        <w:t>Kliničko trajanje (trajanje do spontanog oporavka do 25% visine kontrolnog trzaja) sa 0,6 mg/kg rokuronijum bromida je 30-40 minuta. Ukupno trajanje (vr</w:t>
      </w:r>
      <w:r w:rsidR="009D52C2" w:rsidRPr="00E845ED">
        <w:rPr>
          <w:rFonts w:eastAsiaTheme="minorHAnsi"/>
          <w:sz w:val="22"/>
          <w:szCs w:val="22"/>
          <w:lang w:val="sr-Latn-ME"/>
        </w:rPr>
        <w:t>ij</w:t>
      </w:r>
      <w:r w:rsidRPr="00E845ED">
        <w:rPr>
          <w:rFonts w:eastAsiaTheme="minorHAnsi"/>
          <w:sz w:val="22"/>
          <w:szCs w:val="22"/>
          <w:lang w:val="sr-Latn-ME"/>
        </w:rPr>
        <w:t>eme do spontanog oporavka do 90% visine kontrolnog trzaja) je 50 minuta. Srednja vrijednost dužine spontanog oporavka 25% do 75% visine kontrolnog trzaja (indeks oporavka) poslije bolus doze od 0,6 mg/kg rokuronijum bromida iznosi 14 minuta. Sa manjim dozama rokuronijum bromida od 0,3-0,45 mg/kg (1-</w:t>
      </w:r>
      <w:r w:rsidR="009D52C2" w:rsidRPr="00E845ED">
        <w:rPr>
          <w:rFonts w:eastAsiaTheme="minorHAnsi"/>
          <w:sz w:val="22"/>
          <w:szCs w:val="22"/>
          <w:lang w:val="sr-Latn-ME"/>
        </w:rPr>
        <w:t>1</w:t>
      </w:r>
      <w:r w:rsidR="009D52C2" w:rsidRPr="00E845ED">
        <w:rPr>
          <w:lang w:val="sr-Latn-ME"/>
        </w:rPr>
        <w:t xml:space="preserve">½ </w:t>
      </w:r>
      <w:r w:rsidRPr="00E845ED">
        <w:rPr>
          <w:rFonts w:eastAsiaTheme="minorHAnsi"/>
          <w:sz w:val="22"/>
          <w:szCs w:val="22"/>
          <w:lang w:val="sr-Latn-ME"/>
        </w:rPr>
        <w:t>x ED</w:t>
      </w:r>
      <w:r w:rsidRPr="00E845ED">
        <w:rPr>
          <w:rFonts w:eastAsiaTheme="minorHAnsi"/>
          <w:sz w:val="22"/>
          <w:szCs w:val="22"/>
          <w:vertAlign w:val="subscript"/>
          <w:lang w:val="sr-Latn-ME"/>
        </w:rPr>
        <w:t>90</w:t>
      </w:r>
      <w:r w:rsidRPr="00E845ED">
        <w:rPr>
          <w:rFonts w:eastAsiaTheme="minorHAnsi"/>
          <w:sz w:val="22"/>
          <w:szCs w:val="22"/>
          <w:lang w:val="sr-Latn-ME"/>
        </w:rPr>
        <w:t>), početak djelovanja je sporiji, a trajanje djelovanja kraće. Sa visokim dozama od 2 mg/kg, kliničko trajanje je 110 minuta.</w:t>
      </w:r>
    </w:p>
    <w:p w14:paraId="0DCC1E52" w14:textId="77777777" w:rsidR="008F0875" w:rsidRPr="00E845ED" w:rsidRDefault="008F0875">
      <w:pPr>
        <w:jc w:val="both"/>
        <w:rPr>
          <w:rFonts w:eastAsiaTheme="minorHAnsi"/>
          <w:color w:val="0000FF"/>
          <w:sz w:val="22"/>
          <w:szCs w:val="22"/>
          <w:lang w:val="sr-Latn-ME"/>
        </w:rPr>
      </w:pPr>
    </w:p>
    <w:p w14:paraId="6AB3EC54"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Intubacija tokom rutinske anestezije</w:t>
      </w:r>
    </w:p>
    <w:p w14:paraId="137E49BB" w14:textId="77777777" w:rsidR="008F0875" w:rsidRPr="00E845ED" w:rsidRDefault="008F0875">
      <w:pPr>
        <w:jc w:val="both"/>
        <w:rPr>
          <w:rFonts w:eastAsiaTheme="minorHAnsi"/>
          <w:sz w:val="22"/>
          <w:szCs w:val="22"/>
          <w:lang w:val="sr-Latn-ME"/>
        </w:rPr>
      </w:pPr>
      <w:r w:rsidRPr="00E845ED">
        <w:rPr>
          <w:rFonts w:eastAsiaTheme="minorHAnsi"/>
          <w:sz w:val="22"/>
          <w:szCs w:val="22"/>
          <w:lang w:val="sr-Latn-ME"/>
        </w:rPr>
        <w:t>U roku od 60 sekundi nakon intravenske primjene doze od 0,6 mg/kg rokuronijum bromida (2 x ED</w:t>
      </w:r>
      <w:r w:rsidRPr="00E845ED">
        <w:rPr>
          <w:rFonts w:eastAsiaTheme="minorHAnsi"/>
          <w:sz w:val="22"/>
          <w:szCs w:val="22"/>
          <w:vertAlign w:val="subscript"/>
          <w:lang w:val="sr-Latn-ME"/>
        </w:rPr>
        <w:t>90</w:t>
      </w:r>
      <w:r w:rsidRPr="00E845ED">
        <w:rPr>
          <w:rFonts w:eastAsiaTheme="minorHAnsi"/>
          <w:sz w:val="22"/>
          <w:szCs w:val="22"/>
          <w:lang w:val="sr-Latn-ME"/>
        </w:rPr>
        <w:t xml:space="preserve"> pod intravenskom anestezijom), kod gotovo svih pacijenata mogu se postići adekvatni uslovi za intubaciju od kojih su kod 80% pacijenata ti uslovi odlični. Opšta mišićna relaksacija odgovarajuća za bilo koji tip hirurške intervencije nastaje nakon 2 minuta. Nakon primjene 0,45 mg/kg rokuronijum bromida, prihvatljivi uslovi za intubaciju nastaju nakon 90 sekundi.</w:t>
      </w:r>
    </w:p>
    <w:p w14:paraId="6EDF3E08" w14:textId="77777777" w:rsidR="008F0875" w:rsidRPr="00E845ED" w:rsidRDefault="008F0875">
      <w:pPr>
        <w:jc w:val="both"/>
        <w:rPr>
          <w:rFonts w:eastAsiaTheme="minorHAnsi"/>
          <w:sz w:val="22"/>
          <w:szCs w:val="22"/>
          <w:u w:val="single"/>
          <w:lang w:val="sr-Latn-ME"/>
        </w:rPr>
      </w:pPr>
    </w:p>
    <w:p w14:paraId="055BB478"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Brzo uvođenje u anesteziju</w:t>
      </w:r>
    </w:p>
    <w:p w14:paraId="2A2700F0" w14:textId="18725BFD" w:rsidR="008F0875" w:rsidRPr="00E845ED" w:rsidRDefault="008F0875">
      <w:pPr>
        <w:jc w:val="both"/>
        <w:rPr>
          <w:rFonts w:eastAsiaTheme="minorHAnsi"/>
          <w:sz w:val="22"/>
          <w:szCs w:val="22"/>
          <w:lang w:val="sr-Latn-ME"/>
        </w:rPr>
      </w:pPr>
      <w:r w:rsidRPr="00E845ED">
        <w:rPr>
          <w:rFonts w:eastAsiaTheme="minorHAnsi"/>
          <w:sz w:val="22"/>
          <w:szCs w:val="22"/>
          <w:lang w:val="sr-Latn-ME"/>
        </w:rPr>
        <w:t xml:space="preserve">Tokom brzog uvođenja </w:t>
      </w:r>
      <w:r w:rsidR="00D05B65" w:rsidRPr="00E845ED">
        <w:rPr>
          <w:rFonts w:eastAsiaTheme="minorHAnsi"/>
          <w:sz w:val="22"/>
          <w:szCs w:val="22"/>
          <w:lang w:val="sr-Latn-ME"/>
        </w:rPr>
        <w:t>u</w:t>
      </w:r>
      <w:r w:rsidRPr="00E845ED">
        <w:rPr>
          <w:rFonts w:eastAsiaTheme="minorHAnsi"/>
          <w:sz w:val="22"/>
          <w:szCs w:val="22"/>
          <w:lang w:val="sr-Latn-ME"/>
        </w:rPr>
        <w:t xml:space="preserve"> anesteziju sa propofolom ili fentanil/tiopentalom, u roku od 60 sekundi kod 93% i 96% pacijenata, posl</w:t>
      </w:r>
      <w:r w:rsidR="00D05B65" w:rsidRPr="00E845ED">
        <w:rPr>
          <w:rFonts w:eastAsiaTheme="minorHAnsi"/>
          <w:sz w:val="22"/>
          <w:szCs w:val="22"/>
          <w:lang w:val="sr-Latn-ME"/>
        </w:rPr>
        <w:t>ij</w:t>
      </w:r>
      <w:r w:rsidRPr="00E845ED">
        <w:rPr>
          <w:rFonts w:eastAsiaTheme="minorHAnsi"/>
          <w:sz w:val="22"/>
          <w:szCs w:val="22"/>
          <w:lang w:val="sr-Latn-ME"/>
        </w:rPr>
        <w:t xml:space="preserve">e doze od 1,0 mg/kg rokuronijum bromida, postižu se odgovarajući uslovi intubacije. Od toga su uslovi kod 70% pacijenata </w:t>
      </w:r>
      <w:r w:rsidR="00FF6C48" w:rsidRPr="00E845ED">
        <w:rPr>
          <w:rFonts w:eastAsiaTheme="minorHAnsi"/>
          <w:sz w:val="22"/>
          <w:szCs w:val="22"/>
          <w:lang w:val="sr-Latn-ME"/>
        </w:rPr>
        <w:t xml:space="preserve">ocijenjeni kao </w:t>
      </w:r>
      <w:r w:rsidRPr="00E845ED">
        <w:rPr>
          <w:rFonts w:eastAsiaTheme="minorHAnsi"/>
          <w:sz w:val="22"/>
          <w:szCs w:val="22"/>
          <w:lang w:val="sr-Latn-ME"/>
        </w:rPr>
        <w:t>odlični. Kliničko trajanje neuromišićnog bloka traje oko 1 sat, nakon čega može da se obezb</w:t>
      </w:r>
      <w:r w:rsidR="00FF6C48" w:rsidRPr="00E845ED">
        <w:rPr>
          <w:rFonts w:eastAsiaTheme="minorHAnsi"/>
          <w:sz w:val="22"/>
          <w:szCs w:val="22"/>
          <w:lang w:val="sr-Latn-ME"/>
        </w:rPr>
        <w:t>i</w:t>
      </w:r>
      <w:r w:rsidRPr="00E845ED">
        <w:rPr>
          <w:rFonts w:eastAsiaTheme="minorHAnsi"/>
          <w:sz w:val="22"/>
          <w:szCs w:val="22"/>
          <w:lang w:val="sr-Latn-ME"/>
        </w:rPr>
        <w:t>jedi sigurna reverzija dejstva. Nakon doze od 0,6 mg/kg rokuronijum bromida, adekvatni uslovi intubacije postižu se u roku od 60 sekundi za 81% i 75% pacijenata prilikom brzog uvođenja u anesteziju propofolom, odnosno fentanil/tiopentalom.</w:t>
      </w:r>
    </w:p>
    <w:p w14:paraId="763FC230" w14:textId="00A6CF7D" w:rsidR="00FF6C48" w:rsidRPr="00E845ED" w:rsidRDefault="00FF6C48">
      <w:pPr>
        <w:jc w:val="both"/>
        <w:rPr>
          <w:rFonts w:eastAsiaTheme="minorHAnsi"/>
          <w:sz w:val="22"/>
          <w:szCs w:val="22"/>
          <w:lang w:val="sr-Latn-ME"/>
        </w:rPr>
      </w:pPr>
      <w:r w:rsidRPr="00E845ED">
        <w:rPr>
          <w:rFonts w:eastAsiaTheme="minorHAnsi"/>
          <w:sz w:val="22"/>
          <w:szCs w:val="22"/>
          <w:lang w:val="sr-Latn-ME"/>
        </w:rPr>
        <w:t>Doze više od 0,1 mg/kg rokuronijum bromida ne poboljšavaju primjetno uslove intubacije, ali se dužina djelovanja produžava. Ni</w:t>
      </w:r>
      <w:r w:rsidR="00C035BB" w:rsidRPr="00E845ED">
        <w:rPr>
          <w:rFonts w:eastAsiaTheme="minorHAnsi"/>
          <w:sz w:val="22"/>
          <w:szCs w:val="22"/>
          <w:lang w:val="sr-Latn-ME"/>
        </w:rPr>
        <w:t>je</w:t>
      </w:r>
      <w:r w:rsidRPr="00E845ED">
        <w:rPr>
          <w:rFonts w:eastAsiaTheme="minorHAnsi"/>
          <w:sz w:val="22"/>
          <w:szCs w:val="22"/>
          <w:lang w:val="sr-Latn-ME"/>
        </w:rPr>
        <w:t>su proučavane do</w:t>
      </w:r>
      <w:r w:rsidR="005D2576" w:rsidRPr="00E845ED">
        <w:rPr>
          <w:rFonts w:eastAsiaTheme="minorHAnsi"/>
          <w:sz w:val="22"/>
          <w:szCs w:val="22"/>
          <w:lang w:val="sr-Latn-ME"/>
        </w:rPr>
        <w:t>z</w:t>
      </w:r>
      <w:r w:rsidRPr="00E845ED">
        <w:rPr>
          <w:rFonts w:eastAsiaTheme="minorHAnsi"/>
          <w:sz w:val="22"/>
          <w:szCs w:val="22"/>
          <w:lang w:val="sr-Latn-ME"/>
        </w:rPr>
        <w:t>e više od 4 x ED</w:t>
      </w:r>
      <w:r w:rsidRPr="00E845ED">
        <w:rPr>
          <w:rFonts w:eastAsiaTheme="minorHAnsi"/>
          <w:sz w:val="22"/>
          <w:szCs w:val="22"/>
          <w:vertAlign w:val="subscript"/>
          <w:lang w:val="sr-Latn-ME"/>
        </w:rPr>
        <w:t>90</w:t>
      </w:r>
      <w:r w:rsidRPr="00E845ED">
        <w:rPr>
          <w:rFonts w:eastAsiaTheme="minorHAnsi"/>
          <w:sz w:val="22"/>
          <w:szCs w:val="22"/>
          <w:lang w:val="sr-Latn-ME"/>
        </w:rPr>
        <w:t>.</w:t>
      </w:r>
    </w:p>
    <w:p w14:paraId="355BCA82" w14:textId="77777777" w:rsidR="008F0875" w:rsidRPr="00E845ED" w:rsidRDefault="008F0875">
      <w:pPr>
        <w:jc w:val="both"/>
        <w:rPr>
          <w:rFonts w:eastAsiaTheme="minorHAnsi"/>
          <w:color w:val="0000FF"/>
          <w:sz w:val="22"/>
          <w:szCs w:val="22"/>
          <w:lang w:val="sr-Latn-ME"/>
        </w:rPr>
      </w:pPr>
    </w:p>
    <w:p w14:paraId="1D74B678"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Pedijatrijska populacija</w:t>
      </w:r>
    </w:p>
    <w:p w14:paraId="2188D9E2" w14:textId="1C9C6D7B" w:rsidR="008F0875" w:rsidRPr="00E845ED" w:rsidRDefault="008F0875">
      <w:pPr>
        <w:jc w:val="both"/>
        <w:rPr>
          <w:rFonts w:eastAsiaTheme="minorHAnsi"/>
          <w:sz w:val="22"/>
          <w:szCs w:val="22"/>
          <w:lang w:val="sr-Latn-ME"/>
        </w:rPr>
      </w:pPr>
      <w:r w:rsidRPr="00E845ED">
        <w:rPr>
          <w:rFonts w:eastAsiaTheme="minorHAnsi"/>
          <w:sz w:val="22"/>
          <w:szCs w:val="22"/>
          <w:lang w:val="sr-Latn-ME"/>
        </w:rPr>
        <w:t>Srednje vrijeme početka djelovanja kod odojčadi, mlađe djece i djece kod intubacione doze od 0,6 mg/kg nešto je kraće nego kod odraslih. Poređenje unutar pedijatrijskih starosnih grupa pokazalo je da je srednje vrijeme početka djelovanja kod novorođenčadi i adolescenata (1,0 min) nešto duže nego kod odojčadi, mlađe djece i djece (0,4, 0,6 i 0,8 min). Trajanje relaksacije i vrijeme do oporavka obično su kraći kod djece u odnosu na odojčad i odrasle. Poređenje u pedijatrijskim starosnim grupama pokazalo je da je prosječno vrijeme ponovnog pojavljivanja T</w:t>
      </w:r>
      <w:r w:rsidRPr="00E845ED">
        <w:rPr>
          <w:rFonts w:eastAsiaTheme="minorHAnsi"/>
          <w:sz w:val="22"/>
          <w:szCs w:val="22"/>
          <w:vertAlign w:val="subscript"/>
          <w:lang w:val="sr-Latn-ME"/>
        </w:rPr>
        <w:t>3</w:t>
      </w:r>
      <w:r w:rsidRPr="00E845ED">
        <w:rPr>
          <w:rFonts w:eastAsiaTheme="minorHAnsi"/>
          <w:sz w:val="22"/>
          <w:szCs w:val="22"/>
          <w:lang w:val="sr-Latn-ME"/>
        </w:rPr>
        <w:t xml:space="preserve"> produženo kod novorođenčadi i odojčadi (56,7 i 60,7 min) u poređenju sa malom djecom, djecom i adolescentima (45,4, 37,6 i 42,9 min).</w:t>
      </w:r>
    </w:p>
    <w:p w14:paraId="1A1B8719" w14:textId="77777777" w:rsidR="008F0875" w:rsidRPr="00E845ED" w:rsidRDefault="008F0875">
      <w:pPr>
        <w:jc w:val="both"/>
        <w:rPr>
          <w:rFonts w:eastAsiaTheme="minorHAnsi"/>
          <w:sz w:val="22"/>
          <w:szCs w:val="22"/>
          <w:lang w:val="sr-Latn-ME"/>
        </w:rPr>
      </w:pPr>
    </w:p>
    <w:p w14:paraId="2D1A9550" w14:textId="77777777" w:rsidR="008F0875" w:rsidRPr="00E845ED" w:rsidRDefault="008F0875">
      <w:pPr>
        <w:jc w:val="both"/>
        <w:rPr>
          <w:rFonts w:eastAsiaTheme="minorHAnsi"/>
          <w:b/>
          <w:sz w:val="22"/>
          <w:szCs w:val="22"/>
          <w:lang w:val="sr-Latn-ME"/>
        </w:rPr>
      </w:pPr>
      <w:r w:rsidRPr="00E845ED">
        <w:rPr>
          <w:rFonts w:eastAsiaTheme="minorHAnsi"/>
          <w:b/>
          <w:sz w:val="22"/>
          <w:szCs w:val="22"/>
          <w:lang w:val="sr-Latn-ME"/>
        </w:rPr>
        <w:t xml:space="preserve">Tabela 2. Srednja vrijednost vremena početka dejstva i klinička dužina djelovanja inicijalne doze za intubaciju* od 0,6 mg/kg u toku sevoflurane/azot-oksid (održavanje) anestezije (pedijatrijski pacijenti) </w:t>
      </w:r>
      <w:r w:rsidRPr="00E845ED">
        <w:rPr>
          <w:rFonts w:eastAsiaTheme="minorHAnsi"/>
          <w:b/>
          <w:sz w:val="22"/>
          <w:szCs w:val="22"/>
          <w:u w:val="single"/>
          <w:lang w:val="sr-Latn-ME"/>
        </w:rPr>
        <w:t>PP grupa</w:t>
      </w:r>
    </w:p>
    <w:p w14:paraId="6FDEDF9F" w14:textId="77777777" w:rsidR="008F0875" w:rsidRPr="00E845ED" w:rsidRDefault="008F0875">
      <w:pPr>
        <w:jc w:val="both"/>
        <w:rPr>
          <w:rFonts w:eastAsiaTheme="minorHAnsi"/>
          <w:sz w:val="22"/>
          <w:szCs w:val="22"/>
          <w:lang w:val="sr-Latn-ME"/>
        </w:rPr>
      </w:pPr>
    </w:p>
    <w:tbl>
      <w:tblPr>
        <w:tblW w:w="0" w:type="auto"/>
        <w:tblLayout w:type="fixed"/>
        <w:tblCellMar>
          <w:left w:w="10" w:type="dxa"/>
          <w:right w:w="10" w:type="dxa"/>
        </w:tblCellMar>
        <w:tblLook w:val="0000" w:firstRow="0" w:lastRow="0" w:firstColumn="0" w:lastColumn="0" w:noHBand="0" w:noVBand="0"/>
      </w:tblPr>
      <w:tblGrid>
        <w:gridCol w:w="3325"/>
        <w:gridCol w:w="2805"/>
        <w:gridCol w:w="2678"/>
      </w:tblGrid>
      <w:tr w:rsidR="008F0875" w:rsidRPr="00E845ED" w14:paraId="3C76E384" w14:textId="77777777" w:rsidTr="00AC5EE9">
        <w:trPr>
          <w:trHeight w:hRule="exact" w:val="820"/>
        </w:trPr>
        <w:tc>
          <w:tcPr>
            <w:tcW w:w="3325" w:type="dxa"/>
            <w:tcBorders>
              <w:top w:val="single" w:sz="4" w:space="0" w:color="auto"/>
              <w:left w:val="single" w:sz="4" w:space="0" w:color="auto"/>
            </w:tcBorders>
            <w:shd w:val="clear" w:color="auto" w:fill="FFFFFF"/>
          </w:tcPr>
          <w:p w14:paraId="5435D47E" w14:textId="77777777" w:rsidR="008F0875" w:rsidRPr="00E845ED" w:rsidRDefault="008F0875" w:rsidP="00D542D8">
            <w:pPr>
              <w:jc w:val="both"/>
              <w:rPr>
                <w:rFonts w:eastAsiaTheme="minorHAnsi"/>
                <w:sz w:val="22"/>
                <w:szCs w:val="22"/>
                <w:lang w:val="sr-Latn-ME"/>
              </w:rPr>
            </w:pPr>
          </w:p>
        </w:tc>
        <w:tc>
          <w:tcPr>
            <w:tcW w:w="2805" w:type="dxa"/>
            <w:tcBorders>
              <w:top w:val="single" w:sz="4" w:space="0" w:color="auto"/>
              <w:left w:val="single" w:sz="4" w:space="0" w:color="auto"/>
            </w:tcBorders>
            <w:shd w:val="clear" w:color="auto" w:fill="FFFFFF"/>
          </w:tcPr>
          <w:p w14:paraId="3025B7D2" w14:textId="77777777" w:rsidR="008F0875" w:rsidRPr="00E845ED" w:rsidRDefault="008F0875">
            <w:pPr>
              <w:widowControl w:val="0"/>
              <w:ind w:left="136" w:right="179"/>
              <w:jc w:val="center"/>
              <w:rPr>
                <w:sz w:val="22"/>
                <w:szCs w:val="22"/>
                <w:shd w:val="clear" w:color="auto" w:fill="FFFFFF"/>
                <w:lang w:val="sr-Latn-ME"/>
              </w:rPr>
            </w:pPr>
            <w:r w:rsidRPr="00E845ED">
              <w:rPr>
                <w:sz w:val="22"/>
                <w:szCs w:val="22"/>
                <w:shd w:val="clear" w:color="auto" w:fill="FFFFFF"/>
                <w:lang w:val="sr-Latn-ME"/>
              </w:rPr>
              <w:t>Vrijeme do maksimalnog bloka ** (min)</w:t>
            </w:r>
          </w:p>
        </w:tc>
        <w:tc>
          <w:tcPr>
            <w:tcW w:w="2678" w:type="dxa"/>
            <w:tcBorders>
              <w:top w:val="single" w:sz="4" w:space="0" w:color="auto"/>
              <w:left w:val="single" w:sz="4" w:space="0" w:color="auto"/>
              <w:right w:val="single" w:sz="4" w:space="0" w:color="auto"/>
            </w:tcBorders>
            <w:shd w:val="clear" w:color="auto" w:fill="FFFFFF"/>
          </w:tcPr>
          <w:p w14:paraId="3209C928"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Vrijeme do ponovnog javljanja T</w:t>
            </w:r>
            <w:r w:rsidRPr="00E845ED">
              <w:rPr>
                <w:sz w:val="22"/>
                <w:szCs w:val="22"/>
                <w:shd w:val="clear" w:color="auto" w:fill="FFFFFF"/>
                <w:vertAlign w:val="subscript"/>
                <w:lang w:val="sr-Latn-ME"/>
              </w:rPr>
              <w:t xml:space="preserve">3 </w:t>
            </w:r>
            <w:r w:rsidRPr="00E845ED">
              <w:rPr>
                <w:sz w:val="22"/>
                <w:szCs w:val="22"/>
                <w:shd w:val="clear" w:color="auto" w:fill="FFFFFF"/>
                <w:lang w:val="sr-Latn-ME"/>
              </w:rPr>
              <w:t>**(min)</w:t>
            </w:r>
          </w:p>
        </w:tc>
      </w:tr>
      <w:tr w:rsidR="008F0875" w:rsidRPr="00E845ED" w14:paraId="684C1848" w14:textId="77777777" w:rsidTr="00AC5EE9">
        <w:trPr>
          <w:trHeight w:hRule="exact" w:val="518"/>
        </w:trPr>
        <w:tc>
          <w:tcPr>
            <w:tcW w:w="3325" w:type="dxa"/>
            <w:tcBorders>
              <w:top w:val="single" w:sz="4" w:space="0" w:color="auto"/>
              <w:left w:val="single" w:sz="4" w:space="0" w:color="auto"/>
            </w:tcBorders>
            <w:shd w:val="clear" w:color="auto" w:fill="FFFFFF"/>
          </w:tcPr>
          <w:p w14:paraId="0101B181" w14:textId="77777777" w:rsidR="00AC5EE9" w:rsidRPr="00E845ED" w:rsidRDefault="008F0875" w:rsidP="00D542D8">
            <w:pPr>
              <w:widowControl w:val="0"/>
              <w:ind w:left="160"/>
              <w:jc w:val="both"/>
              <w:rPr>
                <w:sz w:val="22"/>
                <w:szCs w:val="22"/>
                <w:shd w:val="clear" w:color="auto" w:fill="FFFFFF"/>
                <w:lang w:val="sr-Latn-ME"/>
              </w:rPr>
            </w:pPr>
            <w:r w:rsidRPr="00E845ED">
              <w:rPr>
                <w:sz w:val="22"/>
                <w:szCs w:val="22"/>
                <w:shd w:val="clear" w:color="auto" w:fill="FFFFFF"/>
                <w:lang w:val="sr-Latn-ME"/>
              </w:rPr>
              <w:t xml:space="preserve">Novorođenčad (0-27 dana) </w:t>
            </w:r>
          </w:p>
          <w:p w14:paraId="38030C94" w14:textId="2325ECFF" w:rsidR="008F0875" w:rsidRPr="00E845ED" w:rsidRDefault="008F0875" w:rsidP="00D542D8">
            <w:pPr>
              <w:widowControl w:val="0"/>
              <w:ind w:left="160"/>
              <w:jc w:val="both"/>
              <w:rPr>
                <w:sz w:val="22"/>
                <w:szCs w:val="22"/>
                <w:lang w:val="sr-Latn-ME"/>
              </w:rPr>
            </w:pPr>
            <w:r w:rsidRPr="00E845ED">
              <w:rPr>
                <w:sz w:val="22"/>
                <w:szCs w:val="22"/>
                <w:shd w:val="clear" w:color="auto" w:fill="FFFFFF"/>
                <w:lang w:val="sr-Latn-ME"/>
              </w:rPr>
              <w:t>n=10</w:t>
            </w:r>
          </w:p>
        </w:tc>
        <w:tc>
          <w:tcPr>
            <w:tcW w:w="2805" w:type="dxa"/>
            <w:tcBorders>
              <w:top w:val="single" w:sz="4" w:space="0" w:color="auto"/>
              <w:left w:val="single" w:sz="4" w:space="0" w:color="auto"/>
            </w:tcBorders>
            <w:shd w:val="clear" w:color="auto" w:fill="FFFFFF"/>
          </w:tcPr>
          <w:p w14:paraId="68066A7F"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0,98 (0,62)</w:t>
            </w:r>
          </w:p>
        </w:tc>
        <w:tc>
          <w:tcPr>
            <w:tcW w:w="2678" w:type="dxa"/>
            <w:tcBorders>
              <w:top w:val="single" w:sz="4" w:space="0" w:color="auto"/>
              <w:left w:val="single" w:sz="4" w:space="0" w:color="auto"/>
              <w:right w:val="single" w:sz="4" w:space="0" w:color="auto"/>
            </w:tcBorders>
            <w:shd w:val="clear" w:color="auto" w:fill="FFFFFF"/>
          </w:tcPr>
          <w:p w14:paraId="59307715" w14:textId="13F23905" w:rsidR="008F0875" w:rsidRPr="00E845ED" w:rsidRDefault="008F0875">
            <w:pPr>
              <w:widowControl w:val="0"/>
              <w:jc w:val="center"/>
              <w:rPr>
                <w:sz w:val="22"/>
                <w:szCs w:val="22"/>
                <w:shd w:val="clear" w:color="auto" w:fill="FFFFFF"/>
                <w:lang w:val="sr-Latn-ME"/>
              </w:rPr>
            </w:pPr>
            <w:r w:rsidRPr="00E845ED">
              <w:rPr>
                <w:sz w:val="22"/>
                <w:szCs w:val="22"/>
                <w:shd w:val="clear" w:color="auto" w:fill="FFFFFF"/>
                <w:lang w:val="sr-Latn-ME"/>
              </w:rPr>
              <w:t>56,69 (37,04)</w:t>
            </w:r>
          </w:p>
          <w:p w14:paraId="33553E84"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n=9</w:t>
            </w:r>
          </w:p>
        </w:tc>
      </w:tr>
      <w:tr w:rsidR="008F0875" w:rsidRPr="00E845ED" w14:paraId="6562A62C" w14:textId="77777777" w:rsidTr="00AC5EE9">
        <w:trPr>
          <w:trHeight w:hRule="exact" w:val="518"/>
        </w:trPr>
        <w:tc>
          <w:tcPr>
            <w:tcW w:w="3325" w:type="dxa"/>
            <w:tcBorders>
              <w:top w:val="single" w:sz="4" w:space="0" w:color="auto"/>
              <w:left w:val="single" w:sz="4" w:space="0" w:color="auto"/>
            </w:tcBorders>
            <w:shd w:val="clear" w:color="auto" w:fill="FFFFFF"/>
          </w:tcPr>
          <w:p w14:paraId="6DCA5E53" w14:textId="07918400" w:rsidR="00AC5EE9" w:rsidRPr="00E845ED" w:rsidRDefault="008F0875" w:rsidP="00D542D8">
            <w:pPr>
              <w:widowControl w:val="0"/>
              <w:ind w:left="160"/>
              <w:jc w:val="both"/>
              <w:rPr>
                <w:sz w:val="22"/>
                <w:szCs w:val="22"/>
                <w:shd w:val="clear" w:color="auto" w:fill="FFFFFF"/>
                <w:lang w:val="sr-Latn-ME"/>
              </w:rPr>
            </w:pPr>
            <w:r w:rsidRPr="00E845ED">
              <w:rPr>
                <w:sz w:val="22"/>
                <w:szCs w:val="22"/>
                <w:shd w:val="clear" w:color="auto" w:fill="FFFFFF"/>
                <w:lang w:val="sr-Latn-ME"/>
              </w:rPr>
              <w:t>Odojčad (28 dana-2 m</w:t>
            </w:r>
            <w:r w:rsidR="00AC5EE9" w:rsidRPr="00E845ED">
              <w:rPr>
                <w:sz w:val="22"/>
                <w:szCs w:val="22"/>
                <w:shd w:val="clear" w:color="auto" w:fill="FFFFFF"/>
                <w:lang w:val="sr-Latn-ME"/>
              </w:rPr>
              <w:t>j</w:t>
            </w:r>
            <w:r w:rsidRPr="00E845ED">
              <w:rPr>
                <w:sz w:val="22"/>
                <w:szCs w:val="22"/>
                <w:shd w:val="clear" w:color="auto" w:fill="FFFFFF"/>
                <w:lang w:val="sr-Latn-ME"/>
              </w:rPr>
              <w:t xml:space="preserve">eseca) </w:t>
            </w:r>
          </w:p>
          <w:p w14:paraId="4A4C6330" w14:textId="1554B5AD" w:rsidR="008F0875" w:rsidRPr="00E845ED" w:rsidRDefault="008F0875" w:rsidP="00D542D8">
            <w:pPr>
              <w:widowControl w:val="0"/>
              <w:ind w:left="160"/>
              <w:jc w:val="both"/>
              <w:rPr>
                <w:sz w:val="22"/>
                <w:szCs w:val="22"/>
                <w:lang w:val="sr-Latn-ME"/>
              </w:rPr>
            </w:pPr>
            <w:r w:rsidRPr="00E845ED">
              <w:rPr>
                <w:sz w:val="22"/>
                <w:szCs w:val="22"/>
                <w:shd w:val="clear" w:color="auto" w:fill="FFFFFF"/>
                <w:lang w:val="sr-Latn-ME"/>
              </w:rPr>
              <w:t>n=11</w:t>
            </w:r>
          </w:p>
        </w:tc>
        <w:tc>
          <w:tcPr>
            <w:tcW w:w="2805" w:type="dxa"/>
            <w:tcBorders>
              <w:top w:val="single" w:sz="4" w:space="0" w:color="auto"/>
              <w:left w:val="single" w:sz="4" w:space="0" w:color="auto"/>
            </w:tcBorders>
            <w:shd w:val="clear" w:color="auto" w:fill="FFFFFF"/>
          </w:tcPr>
          <w:p w14:paraId="6F860AE4" w14:textId="77777777" w:rsidR="008F0875" w:rsidRPr="00E845ED" w:rsidRDefault="008F0875">
            <w:pPr>
              <w:widowControl w:val="0"/>
              <w:jc w:val="center"/>
              <w:rPr>
                <w:sz w:val="22"/>
                <w:szCs w:val="22"/>
                <w:shd w:val="clear" w:color="auto" w:fill="FFFFFF"/>
                <w:lang w:val="sr-Latn-ME"/>
              </w:rPr>
            </w:pPr>
            <w:r w:rsidRPr="00E845ED">
              <w:rPr>
                <w:sz w:val="22"/>
                <w:szCs w:val="22"/>
                <w:shd w:val="clear" w:color="auto" w:fill="FFFFFF"/>
                <w:lang w:val="sr-Latn-ME"/>
              </w:rPr>
              <w:t>0,44 (0,19)</w:t>
            </w:r>
          </w:p>
          <w:p w14:paraId="045CC099"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n=10</w:t>
            </w:r>
          </w:p>
        </w:tc>
        <w:tc>
          <w:tcPr>
            <w:tcW w:w="2678" w:type="dxa"/>
            <w:tcBorders>
              <w:top w:val="single" w:sz="4" w:space="0" w:color="auto"/>
              <w:left w:val="single" w:sz="4" w:space="0" w:color="auto"/>
              <w:right w:val="single" w:sz="4" w:space="0" w:color="auto"/>
            </w:tcBorders>
            <w:shd w:val="clear" w:color="auto" w:fill="FFFFFF"/>
          </w:tcPr>
          <w:p w14:paraId="7555531E"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60,71 (16,52)</w:t>
            </w:r>
          </w:p>
        </w:tc>
      </w:tr>
      <w:tr w:rsidR="008F0875" w:rsidRPr="00E845ED" w14:paraId="73BD15FB" w14:textId="77777777" w:rsidTr="00AC5EE9">
        <w:trPr>
          <w:trHeight w:hRule="exact" w:val="523"/>
        </w:trPr>
        <w:tc>
          <w:tcPr>
            <w:tcW w:w="3325" w:type="dxa"/>
            <w:tcBorders>
              <w:top w:val="single" w:sz="4" w:space="0" w:color="auto"/>
              <w:left w:val="single" w:sz="4" w:space="0" w:color="auto"/>
            </w:tcBorders>
            <w:shd w:val="clear" w:color="auto" w:fill="FFFFFF"/>
          </w:tcPr>
          <w:p w14:paraId="29C6EBE6" w14:textId="2EAC31DA" w:rsidR="00AC5EE9" w:rsidRPr="00E845ED" w:rsidRDefault="008F0875" w:rsidP="00D542D8">
            <w:pPr>
              <w:widowControl w:val="0"/>
              <w:ind w:left="160"/>
              <w:jc w:val="both"/>
              <w:rPr>
                <w:sz w:val="22"/>
                <w:szCs w:val="22"/>
                <w:shd w:val="clear" w:color="auto" w:fill="FFFFFF"/>
                <w:lang w:val="sr-Latn-ME"/>
              </w:rPr>
            </w:pPr>
            <w:r w:rsidRPr="00E845ED">
              <w:rPr>
                <w:sz w:val="22"/>
                <w:szCs w:val="22"/>
                <w:shd w:val="clear" w:color="auto" w:fill="FFFFFF"/>
                <w:lang w:val="sr-Latn-ME"/>
              </w:rPr>
              <w:t>Mala djeca (3 m</w:t>
            </w:r>
            <w:r w:rsidR="00AC5EE9" w:rsidRPr="00E845ED">
              <w:rPr>
                <w:sz w:val="22"/>
                <w:szCs w:val="22"/>
                <w:shd w:val="clear" w:color="auto" w:fill="FFFFFF"/>
                <w:lang w:val="sr-Latn-ME"/>
              </w:rPr>
              <w:t>j</w:t>
            </w:r>
            <w:r w:rsidRPr="00E845ED">
              <w:rPr>
                <w:sz w:val="22"/>
                <w:szCs w:val="22"/>
                <w:shd w:val="clear" w:color="auto" w:fill="FFFFFF"/>
                <w:lang w:val="sr-Latn-ME"/>
              </w:rPr>
              <w:t>eseca-23 m</w:t>
            </w:r>
            <w:r w:rsidR="00AC5EE9" w:rsidRPr="00E845ED">
              <w:rPr>
                <w:sz w:val="22"/>
                <w:szCs w:val="22"/>
                <w:shd w:val="clear" w:color="auto" w:fill="FFFFFF"/>
                <w:lang w:val="sr-Latn-ME"/>
              </w:rPr>
              <w:t>j</w:t>
            </w:r>
            <w:r w:rsidRPr="00E845ED">
              <w:rPr>
                <w:sz w:val="22"/>
                <w:szCs w:val="22"/>
                <w:shd w:val="clear" w:color="auto" w:fill="FFFFFF"/>
                <w:lang w:val="sr-Latn-ME"/>
              </w:rPr>
              <w:t xml:space="preserve">eseca) </w:t>
            </w:r>
          </w:p>
          <w:p w14:paraId="148DE4FE" w14:textId="2B5CFF9D" w:rsidR="008F0875" w:rsidRPr="00E845ED" w:rsidRDefault="008F0875" w:rsidP="00D542D8">
            <w:pPr>
              <w:widowControl w:val="0"/>
              <w:ind w:left="160"/>
              <w:jc w:val="both"/>
              <w:rPr>
                <w:sz w:val="22"/>
                <w:szCs w:val="22"/>
                <w:lang w:val="sr-Latn-ME"/>
              </w:rPr>
            </w:pPr>
            <w:r w:rsidRPr="00E845ED">
              <w:rPr>
                <w:sz w:val="22"/>
                <w:szCs w:val="22"/>
                <w:shd w:val="clear" w:color="auto" w:fill="FFFFFF"/>
                <w:lang w:val="sr-Latn-ME"/>
              </w:rPr>
              <w:t>n=28</w:t>
            </w:r>
          </w:p>
        </w:tc>
        <w:tc>
          <w:tcPr>
            <w:tcW w:w="2805" w:type="dxa"/>
            <w:tcBorders>
              <w:top w:val="single" w:sz="4" w:space="0" w:color="auto"/>
              <w:left w:val="single" w:sz="4" w:space="0" w:color="auto"/>
            </w:tcBorders>
            <w:shd w:val="clear" w:color="auto" w:fill="FFFFFF"/>
          </w:tcPr>
          <w:p w14:paraId="2296932E"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0,59 (0,27)</w:t>
            </w:r>
          </w:p>
        </w:tc>
        <w:tc>
          <w:tcPr>
            <w:tcW w:w="2678" w:type="dxa"/>
            <w:tcBorders>
              <w:top w:val="single" w:sz="4" w:space="0" w:color="auto"/>
              <w:left w:val="single" w:sz="4" w:space="0" w:color="auto"/>
              <w:right w:val="single" w:sz="4" w:space="0" w:color="auto"/>
            </w:tcBorders>
            <w:shd w:val="clear" w:color="auto" w:fill="FFFFFF"/>
          </w:tcPr>
          <w:p w14:paraId="05991A51" w14:textId="4E821EED" w:rsidR="008F0875" w:rsidRPr="00E845ED" w:rsidRDefault="008F0875">
            <w:pPr>
              <w:widowControl w:val="0"/>
              <w:jc w:val="center"/>
              <w:rPr>
                <w:sz w:val="22"/>
                <w:szCs w:val="22"/>
                <w:shd w:val="clear" w:color="auto" w:fill="FFFFFF"/>
                <w:lang w:val="sr-Latn-ME"/>
              </w:rPr>
            </w:pPr>
            <w:r w:rsidRPr="00E845ED">
              <w:rPr>
                <w:sz w:val="22"/>
                <w:szCs w:val="22"/>
                <w:shd w:val="clear" w:color="auto" w:fill="FFFFFF"/>
                <w:lang w:val="sr-Latn-ME"/>
              </w:rPr>
              <w:t>45,46 (12,94)</w:t>
            </w:r>
          </w:p>
          <w:p w14:paraId="5D93374B"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n=27</w:t>
            </w:r>
          </w:p>
        </w:tc>
      </w:tr>
      <w:tr w:rsidR="008F0875" w:rsidRPr="00E845ED" w14:paraId="42EF7FA1" w14:textId="77777777" w:rsidTr="00AC5EE9">
        <w:trPr>
          <w:trHeight w:hRule="exact" w:val="518"/>
        </w:trPr>
        <w:tc>
          <w:tcPr>
            <w:tcW w:w="3325" w:type="dxa"/>
            <w:tcBorders>
              <w:top w:val="single" w:sz="4" w:space="0" w:color="auto"/>
              <w:left w:val="single" w:sz="4" w:space="0" w:color="auto"/>
            </w:tcBorders>
            <w:shd w:val="clear" w:color="auto" w:fill="FFFFFF"/>
          </w:tcPr>
          <w:p w14:paraId="55CD1B74" w14:textId="77777777" w:rsidR="00AC5EE9" w:rsidRPr="00E845ED" w:rsidRDefault="008F0875" w:rsidP="00D542D8">
            <w:pPr>
              <w:widowControl w:val="0"/>
              <w:ind w:left="160"/>
              <w:jc w:val="both"/>
              <w:rPr>
                <w:sz w:val="22"/>
                <w:szCs w:val="22"/>
                <w:shd w:val="clear" w:color="auto" w:fill="FFFFFF"/>
                <w:lang w:val="sr-Latn-ME"/>
              </w:rPr>
            </w:pPr>
            <w:r w:rsidRPr="00E845ED">
              <w:rPr>
                <w:sz w:val="22"/>
                <w:szCs w:val="22"/>
                <w:shd w:val="clear" w:color="auto" w:fill="FFFFFF"/>
                <w:lang w:val="sr-Latn-ME"/>
              </w:rPr>
              <w:t xml:space="preserve">Djeca (2-11 godina) </w:t>
            </w:r>
          </w:p>
          <w:p w14:paraId="380120F1" w14:textId="242C628A" w:rsidR="008F0875" w:rsidRPr="00E845ED" w:rsidRDefault="008F0875" w:rsidP="00D542D8">
            <w:pPr>
              <w:widowControl w:val="0"/>
              <w:ind w:left="160"/>
              <w:jc w:val="both"/>
              <w:rPr>
                <w:sz w:val="22"/>
                <w:szCs w:val="22"/>
                <w:lang w:val="sr-Latn-ME"/>
              </w:rPr>
            </w:pPr>
            <w:r w:rsidRPr="00E845ED">
              <w:rPr>
                <w:sz w:val="22"/>
                <w:szCs w:val="22"/>
                <w:shd w:val="clear" w:color="auto" w:fill="FFFFFF"/>
                <w:lang w:val="sr-Latn-ME"/>
              </w:rPr>
              <w:t>n=34</w:t>
            </w:r>
          </w:p>
        </w:tc>
        <w:tc>
          <w:tcPr>
            <w:tcW w:w="2805" w:type="dxa"/>
            <w:tcBorders>
              <w:top w:val="single" w:sz="4" w:space="0" w:color="auto"/>
              <w:left w:val="single" w:sz="4" w:space="0" w:color="auto"/>
            </w:tcBorders>
            <w:shd w:val="clear" w:color="auto" w:fill="FFFFFF"/>
          </w:tcPr>
          <w:p w14:paraId="1E59809D"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0,84 (0,29)</w:t>
            </w:r>
          </w:p>
        </w:tc>
        <w:tc>
          <w:tcPr>
            <w:tcW w:w="2678" w:type="dxa"/>
            <w:tcBorders>
              <w:top w:val="single" w:sz="4" w:space="0" w:color="auto"/>
              <w:left w:val="single" w:sz="4" w:space="0" w:color="auto"/>
              <w:right w:val="single" w:sz="4" w:space="0" w:color="auto"/>
            </w:tcBorders>
            <w:shd w:val="clear" w:color="auto" w:fill="FFFFFF"/>
          </w:tcPr>
          <w:p w14:paraId="6AA7D050"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37,58 (11,82)</w:t>
            </w:r>
          </w:p>
        </w:tc>
      </w:tr>
      <w:tr w:rsidR="008F0875" w:rsidRPr="00E845ED" w14:paraId="7EAA85DF" w14:textId="77777777" w:rsidTr="00AC5EE9">
        <w:trPr>
          <w:trHeight w:hRule="exact" w:val="528"/>
        </w:trPr>
        <w:tc>
          <w:tcPr>
            <w:tcW w:w="3325" w:type="dxa"/>
            <w:tcBorders>
              <w:top w:val="single" w:sz="4" w:space="0" w:color="auto"/>
              <w:left w:val="single" w:sz="4" w:space="0" w:color="auto"/>
              <w:bottom w:val="single" w:sz="4" w:space="0" w:color="auto"/>
            </w:tcBorders>
            <w:shd w:val="clear" w:color="auto" w:fill="FFFFFF"/>
          </w:tcPr>
          <w:p w14:paraId="281E0ED9" w14:textId="77777777" w:rsidR="00AC5EE9" w:rsidRPr="00E845ED" w:rsidRDefault="008F0875" w:rsidP="00D542D8">
            <w:pPr>
              <w:widowControl w:val="0"/>
              <w:ind w:left="160"/>
              <w:jc w:val="both"/>
              <w:rPr>
                <w:sz w:val="22"/>
                <w:szCs w:val="22"/>
                <w:shd w:val="clear" w:color="auto" w:fill="FFFFFF"/>
                <w:lang w:val="sr-Latn-ME"/>
              </w:rPr>
            </w:pPr>
            <w:r w:rsidRPr="00E845ED">
              <w:rPr>
                <w:sz w:val="22"/>
                <w:szCs w:val="22"/>
                <w:shd w:val="clear" w:color="auto" w:fill="FFFFFF"/>
                <w:lang w:val="sr-Latn-ME"/>
              </w:rPr>
              <w:t xml:space="preserve">Adolescenti (12-17 godina) </w:t>
            </w:r>
          </w:p>
          <w:p w14:paraId="790012E9" w14:textId="543248C2" w:rsidR="008F0875" w:rsidRPr="00E845ED" w:rsidRDefault="008F0875" w:rsidP="00D542D8">
            <w:pPr>
              <w:widowControl w:val="0"/>
              <w:ind w:left="160"/>
              <w:jc w:val="both"/>
              <w:rPr>
                <w:sz w:val="22"/>
                <w:szCs w:val="22"/>
                <w:lang w:val="sr-Latn-ME"/>
              </w:rPr>
            </w:pPr>
            <w:r w:rsidRPr="00E845ED">
              <w:rPr>
                <w:sz w:val="22"/>
                <w:szCs w:val="22"/>
                <w:shd w:val="clear" w:color="auto" w:fill="FFFFFF"/>
                <w:lang w:val="sr-Latn-ME"/>
              </w:rPr>
              <w:t>n=31</w:t>
            </w:r>
          </w:p>
        </w:tc>
        <w:tc>
          <w:tcPr>
            <w:tcW w:w="2805" w:type="dxa"/>
            <w:tcBorders>
              <w:top w:val="single" w:sz="4" w:space="0" w:color="auto"/>
              <w:left w:val="single" w:sz="4" w:space="0" w:color="auto"/>
              <w:bottom w:val="single" w:sz="4" w:space="0" w:color="auto"/>
            </w:tcBorders>
            <w:shd w:val="clear" w:color="auto" w:fill="FFFFFF"/>
          </w:tcPr>
          <w:p w14:paraId="12E2632B"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0,98 (0,38)</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14:paraId="1203191A" w14:textId="77777777" w:rsidR="008F0875" w:rsidRPr="00E845ED" w:rsidRDefault="008F0875">
            <w:pPr>
              <w:widowControl w:val="0"/>
              <w:jc w:val="center"/>
              <w:rPr>
                <w:sz w:val="22"/>
                <w:szCs w:val="22"/>
                <w:shd w:val="clear" w:color="auto" w:fill="FFFFFF"/>
                <w:lang w:val="sr-Latn-ME"/>
              </w:rPr>
            </w:pPr>
            <w:r w:rsidRPr="00E845ED">
              <w:rPr>
                <w:sz w:val="22"/>
                <w:szCs w:val="22"/>
                <w:shd w:val="clear" w:color="auto" w:fill="FFFFFF"/>
                <w:lang w:val="sr-Latn-ME"/>
              </w:rPr>
              <w:t>42,90 (15,83)</w:t>
            </w:r>
          </w:p>
          <w:p w14:paraId="1BE6C1EE" w14:textId="77777777" w:rsidR="008F0875" w:rsidRPr="00E845ED" w:rsidRDefault="008F0875">
            <w:pPr>
              <w:widowControl w:val="0"/>
              <w:jc w:val="center"/>
              <w:rPr>
                <w:sz w:val="22"/>
                <w:szCs w:val="22"/>
                <w:lang w:val="sr-Latn-ME"/>
              </w:rPr>
            </w:pPr>
            <w:r w:rsidRPr="00E845ED">
              <w:rPr>
                <w:sz w:val="22"/>
                <w:szCs w:val="22"/>
                <w:shd w:val="clear" w:color="auto" w:fill="FFFFFF"/>
                <w:lang w:val="sr-Latn-ME"/>
              </w:rPr>
              <w:t>n=30</w:t>
            </w:r>
          </w:p>
        </w:tc>
      </w:tr>
    </w:tbl>
    <w:p w14:paraId="6EDEC7FA" w14:textId="77777777" w:rsidR="008F0875" w:rsidRPr="00E845ED" w:rsidRDefault="008F0875" w:rsidP="005C47CD">
      <w:pPr>
        <w:jc w:val="both"/>
        <w:rPr>
          <w:rFonts w:eastAsiaTheme="minorHAnsi"/>
          <w:sz w:val="18"/>
          <w:szCs w:val="18"/>
          <w:lang w:val="sr-Latn-ME"/>
        </w:rPr>
      </w:pPr>
      <w:r w:rsidRPr="00E845ED">
        <w:rPr>
          <w:rFonts w:eastAsiaTheme="minorHAnsi"/>
          <w:sz w:val="18"/>
          <w:szCs w:val="18"/>
          <w:lang w:val="sr-Latn-ME"/>
        </w:rPr>
        <w:t>* Doza rokuronijuma primijenjena u okviru 5 sekundi.</w:t>
      </w:r>
    </w:p>
    <w:p w14:paraId="73AAA758" w14:textId="77777777" w:rsidR="008F0875" w:rsidRPr="00E845ED" w:rsidRDefault="008F0875" w:rsidP="000B2BC5">
      <w:pPr>
        <w:jc w:val="both"/>
        <w:rPr>
          <w:rFonts w:eastAsiaTheme="minorHAnsi"/>
          <w:sz w:val="18"/>
          <w:szCs w:val="18"/>
          <w:lang w:val="sr-Latn-ME"/>
        </w:rPr>
      </w:pPr>
      <w:r w:rsidRPr="00E845ED">
        <w:rPr>
          <w:rFonts w:eastAsiaTheme="minorHAnsi"/>
          <w:sz w:val="18"/>
          <w:szCs w:val="18"/>
          <w:lang w:val="sr-Latn-ME"/>
        </w:rPr>
        <w:t>** Računato od kraja primjene doze za intubaciju rokuronijuma</w:t>
      </w:r>
    </w:p>
    <w:p w14:paraId="74E2DFF7" w14:textId="77777777" w:rsidR="008F0875" w:rsidRPr="00E845ED" w:rsidRDefault="008F0875">
      <w:pPr>
        <w:jc w:val="both"/>
        <w:rPr>
          <w:rFonts w:eastAsiaTheme="minorHAnsi"/>
          <w:color w:val="0000FF"/>
          <w:sz w:val="22"/>
          <w:szCs w:val="22"/>
          <w:lang w:val="sr-Latn-ME"/>
        </w:rPr>
      </w:pPr>
    </w:p>
    <w:p w14:paraId="697F20E1" w14:textId="77777777" w:rsidR="00C21C03" w:rsidRPr="00E845ED" w:rsidRDefault="00C21C03">
      <w:pPr>
        <w:jc w:val="both"/>
        <w:rPr>
          <w:rFonts w:eastAsiaTheme="minorHAnsi"/>
          <w:sz w:val="22"/>
          <w:szCs w:val="22"/>
          <w:u w:val="single"/>
          <w:lang w:val="sr-Latn-ME"/>
        </w:rPr>
      </w:pPr>
    </w:p>
    <w:p w14:paraId="3EB6F074" w14:textId="043B141C"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 xml:space="preserve">Gerijatrijski pacijenti i pacijenti sa oboljenjima jetre i/ili bilijarnog trakta i/ili oštećenjem bubrega </w:t>
      </w:r>
    </w:p>
    <w:p w14:paraId="0B33775F" w14:textId="10C93B7F" w:rsidR="008F0875" w:rsidRPr="00E845ED" w:rsidRDefault="008F0875">
      <w:pPr>
        <w:jc w:val="both"/>
        <w:rPr>
          <w:rFonts w:eastAsiaTheme="minorHAnsi"/>
          <w:sz w:val="22"/>
          <w:szCs w:val="22"/>
          <w:lang w:val="sr-Latn-ME"/>
        </w:rPr>
      </w:pPr>
      <w:r w:rsidRPr="00E845ED">
        <w:rPr>
          <w:rFonts w:eastAsiaTheme="minorHAnsi"/>
          <w:sz w:val="22"/>
          <w:szCs w:val="22"/>
          <w:lang w:val="sr-Latn-ME"/>
        </w:rPr>
        <w:t xml:space="preserve">Trajanje dejstva doza održavanja 0,15 mg/kg rokuronijum bromida može biti nešto duže pod anestezijom enfluranom i izofluranom kod gerijatrijskih pacijenata i kod pacijenata sa oboljenjima jetre </w:t>
      </w:r>
      <w:r w:rsidRPr="00E845ED">
        <w:rPr>
          <w:rFonts w:eastAsiaTheme="minorHAnsi"/>
          <w:sz w:val="22"/>
          <w:szCs w:val="22"/>
          <w:lang w:val="sr-Latn-ME"/>
        </w:rPr>
        <w:lastRenderedPageBreak/>
        <w:t xml:space="preserve">i/ili bubrega (otprilike 20 minuta), nego kod pacijenata bez oštećenja funkcije ekskretornih organa u uslovima intravenske anestezije (otprilike 13 minuta) (vidjeti </w:t>
      </w:r>
      <w:r w:rsidR="000A419B" w:rsidRPr="00E845ED">
        <w:rPr>
          <w:rFonts w:eastAsiaTheme="minorHAnsi"/>
          <w:sz w:val="22"/>
          <w:szCs w:val="22"/>
          <w:lang w:val="sr-Latn-ME"/>
        </w:rPr>
        <w:t xml:space="preserve">dio </w:t>
      </w:r>
      <w:r w:rsidRPr="00E845ED">
        <w:rPr>
          <w:rFonts w:eastAsiaTheme="minorHAnsi"/>
          <w:sz w:val="22"/>
          <w:szCs w:val="22"/>
          <w:lang w:val="sr-Latn-ME"/>
        </w:rPr>
        <w:t>4.2). Ni</w:t>
      </w:r>
      <w:r w:rsidR="000A419B" w:rsidRPr="00E845ED">
        <w:rPr>
          <w:rFonts w:eastAsiaTheme="minorHAnsi"/>
          <w:sz w:val="22"/>
          <w:szCs w:val="22"/>
          <w:lang w:val="sr-Latn-ME"/>
        </w:rPr>
        <w:t>je</w:t>
      </w:r>
      <w:r w:rsidRPr="00E845ED">
        <w:rPr>
          <w:rFonts w:eastAsiaTheme="minorHAnsi"/>
          <w:sz w:val="22"/>
          <w:szCs w:val="22"/>
          <w:lang w:val="sr-Latn-ME"/>
        </w:rPr>
        <w:t>su prim</w:t>
      </w:r>
      <w:r w:rsidR="00AC5EE9" w:rsidRPr="00E845ED">
        <w:rPr>
          <w:rFonts w:eastAsiaTheme="minorHAnsi"/>
          <w:sz w:val="22"/>
          <w:szCs w:val="22"/>
          <w:lang w:val="sr-Latn-ME"/>
        </w:rPr>
        <w:t>i</w:t>
      </w:r>
      <w:r w:rsidRPr="00E845ED">
        <w:rPr>
          <w:rFonts w:eastAsiaTheme="minorHAnsi"/>
          <w:sz w:val="22"/>
          <w:szCs w:val="22"/>
          <w:lang w:val="sr-Latn-ME"/>
        </w:rPr>
        <w:t>jećeni nikakvi efekti akumulacije (progresivno povećanje trajanja djelovanja) uz ponavljanu dozu održavanja na preporučenom nivou.</w:t>
      </w:r>
    </w:p>
    <w:p w14:paraId="50773A32" w14:textId="77777777" w:rsidR="008F0875" w:rsidRPr="00E845ED" w:rsidRDefault="008F0875">
      <w:pPr>
        <w:jc w:val="both"/>
        <w:rPr>
          <w:rFonts w:eastAsiaTheme="minorHAnsi"/>
          <w:sz w:val="22"/>
          <w:szCs w:val="22"/>
          <w:u w:val="single"/>
          <w:lang w:val="sr-Latn-ME"/>
        </w:rPr>
      </w:pPr>
    </w:p>
    <w:p w14:paraId="09008355"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Intenzivna njega</w:t>
      </w:r>
    </w:p>
    <w:p w14:paraId="5A3449FC" w14:textId="77777777" w:rsidR="003E73B8" w:rsidRDefault="003E73B8">
      <w:pPr>
        <w:jc w:val="both"/>
        <w:rPr>
          <w:rFonts w:eastAsiaTheme="minorHAnsi"/>
          <w:sz w:val="22"/>
          <w:szCs w:val="22"/>
          <w:lang w:val="sr-Latn-ME"/>
        </w:rPr>
      </w:pPr>
    </w:p>
    <w:p w14:paraId="73BB0E52" w14:textId="795C04E2" w:rsidR="008F0875" w:rsidRPr="00E845ED" w:rsidRDefault="008F0875">
      <w:pPr>
        <w:jc w:val="both"/>
        <w:rPr>
          <w:rFonts w:eastAsiaTheme="minorHAnsi"/>
          <w:sz w:val="22"/>
          <w:szCs w:val="22"/>
          <w:lang w:val="sr-Latn-ME"/>
        </w:rPr>
      </w:pPr>
      <w:r w:rsidRPr="00E845ED">
        <w:rPr>
          <w:rFonts w:eastAsiaTheme="minorHAnsi"/>
          <w:sz w:val="22"/>
          <w:szCs w:val="22"/>
          <w:lang w:val="sr-Latn-ME"/>
        </w:rPr>
        <w:t>Nakon kontinuirane infuzije u od</w:t>
      </w:r>
      <w:r w:rsidR="00AC5EE9" w:rsidRPr="00E845ED">
        <w:rPr>
          <w:rFonts w:eastAsiaTheme="minorHAnsi"/>
          <w:sz w:val="22"/>
          <w:szCs w:val="22"/>
          <w:lang w:val="sr-Latn-ME"/>
        </w:rPr>
        <w:t>j</w:t>
      </w:r>
      <w:r w:rsidRPr="00E845ED">
        <w:rPr>
          <w:rFonts w:eastAsiaTheme="minorHAnsi"/>
          <w:sz w:val="22"/>
          <w:szCs w:val="22"/>
          <w:lang w:val="sr-Latn-ME"/>
        </w:rPr>
        <w:t>eljenju intenzivne njege, vrijeme do oporavka TOF odnosa do 0,7 zavisi od nivoa blokade na kraju infuzije. Posl</w:t>
      </w:r>
      <w:r w:rsidR="00AC5EE9" w:rsidRPr="00E845ED">
        <w:rPr>
          <w:rFonts w:eastAsiaTheme="minorHAnsi"/>
          <w:sz w:val="22"/>
          <w:szCs w:val="22"/>
          <w:lang w:val="sr-Latn-ME"/>
        </w:rPr>
        <w:t>ij</w:t>
      </w:r>
      <w:r w:rsidRPr="00E845ED">
        <w:rPr>
          <w:rFonts w:eastAsiaTheme="minorHAnsi"/>
          <w:sz w:val="22"/>
          <w:szCs w:val="22"/>
          <w:lang w:val="sr-Latn-ME"/>
        </w:rPr>
        <w:t>e kontinuirane infuzije tokom 20 sati ili više, srednji (opseg) vremena do povratka na T</w:t>
      </w:r>
      <w:r w:rsidRPr="00E845ED">
        <w:rPr>
          <w:rFonts w:eastAsiaTheme="minorHAnsi"/>
          <w:sz w:val="22"/>
          <w:szCs w:val="22"/>
          <w:vertAlign w:val="subscript"/>
          <w:lang w:val="sr-Latn-ME"/>
        </w:rPr>
        <w:t xml:space="preserve">2 </w:t>
      </w:r>
      <w:r w:rsidRPr="00E845ED">
        <w:rPr>
          <w:rFonts w:eastAsiaTheme="minorHAnsi"/>
          <w:sz w:val="22"/>
          <w:szCs w:val="22"/>
          <w:lang w:val="sr-Latn-ME"/>
        </w:rPr>
        <w:t>od TOF stimulacije i oporavka TOF odnosa do 0,7 iznosi približno 1,5 (1-5) sati kod pacijenata bez multiple organske insuficijencije, dok to vrijeme kod pacijenata sa multiplom organskom insuficijencijom iznosi 4 (1-25) sati.</w:t>
      </w:r>
    </w:p>
    <w:p w14:paraId="6A2153B3" w14:textId="77777777" w:rsidR="008F0875" w:rsidRPr="00E845ED" w:rsidRDefault="008F0875">
      <w:pPr>
        <w:jc w:val="both"/>
        <w:rPr>
          <w:rFonts w:eastAsiaTheme="minorHAnsi"/>
          <w:color w:val="0000FF"/>
          <w:sz w:val="22"/>
          <w:szCs w:val="22"/>
          <w:lang w:val="sr-Latn-ME"/>
        </w:rPr>
      </w:pPr>
    </w:p>
    <w:p w14:paraId="1B94FA3B"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Kardiovaskularna hirurgija</w:t>
      </w:r>
    </w:p>
    <w:p w14:paraId="1B903E88" w14:textId="77777777" w:rsidR="003E73B8" w:rsidRDefault="003E73B8">
      <w:pPr>
        <w:jc w:val="both"/>
        <w:rPr>
          <w:rFonts w:eastAsiaTheme="minorHAnsi"/>
          <w:sz w:val="22"/>
          <w:szCs w:val="22"/>
          <w:lang w:val="sr-Latn-ME"/>
        </w:rPr>
      </w:pPr>
    </w:p>
    <w:p w14:paraId="3D507B1B" w14:textId="668F1E74" w:rsidR="008F0875" w:rsidRPr="00E845ED" w:rsidRDefault="008F0875">
      <w:pPr>
        <w:jc w:val="both"/>
        <w:rPr>
          <w:rFonts w:eastAsiaTheme="minorHAnsi"/>
          <w:sz w:val="22"/>
          <w:szCs w:val="22"/>
          <w:lang w:val="sr-Latn-ME"/>
        </w:rPr>
      </w:pPr>
      <w:r w:rsidRPr="00E845ED">
        <w:rPr>
          <w:rFonts w:eastAsiaTheme="minorHAnsi"/>
          <w:sz w:val="22"/>
          <w:szCs w:val="22"/>
          <w:lang w:val="sr-Latn-ME"/>
        </w:rPr>
        <w:t>Kod pacijenata koji se podvrgavaju kardiovaskularnim hirurškim zahvatima, najčešće kardiovaskularne promjene tokom nastanka maksimalnog bloka, nakon doza od 0,6 do 0,9 mg/kg rokuronijuma, su blago i klinički beznačajno povećanje srčane frekvence do 9%, i povećanje srednjeg arterijskog krvnog pritiska do 16% u odnosu na kontrolne vrijednosti.</w:t>
      </w:r>
    </w:p>
    <w:p w14:paraId="538F9432" w14:textId="77777777" w:rsidR="008F0875" w:rsidRPr="00E845ED" w:rsidRDefault="008F0875">
      <w:pPr>
        <w:jc w:val="both"/>
        <w:rPr>
          <w:rFonts w:eastAsiaTheme="minorHAnsi"/>
          <w:sz w:val="22"/>
          <w:szCs w:val="22"/>
          <w:lang w:val="sr-Latn-ME"/>
        </w:rPr>
      </w:pPr>
    </w:p>
    <w:p w14:paraId="463536C1" w14:textId="77777777" w:rsidR="008F0875" w:rsidRPr="00E845ED" w:rsidRDefault="008F0875">
      <w:pPr>
        <w:jc w:val="both"/>
        <w:rPr>
          <w:rFonts w:eastAsiaTheme="minorHAnsi"/>
          <w:sz w:val="22"/>
          <w:szCs w:val="22"/>
          <w:u w:val="single"/>
          <w:lang w:val="sr-Latn-ME"/>
        </w:rPr>
      </w:pPr>
      <w:r w:rsidRPr="00E845ED">
        <w:rPr>
          <w:rFonts w:eastAsiaTheme="minorHAnsi"/>
          <w:sz w:val="22"/>
          <w:szCs w:val="22"/>
          <w:u w:val="single"/>
          <w:lang w:val="sr-Latn-ME"/>
        </w:rPr>
        <w:t>Reverzija mišićne relaksacije</w:t>
      </w:r>
    </w:p>
    <w:p w14:paraId="28B4F0E3" w14:textId="77777777" w:rsidR="003E73B8" w:rsidRDefault="003E73B8">
      <w:pPr>
        <w:tabs>
          <w:tab w:val="left" w:pos="540"/>
          <w:tab w:val="left" w:pos="569"/>
        </w:tabs>
        <w:jc w:val="both"/>
        <w:rPr>
          <w:rFonts w:eastAsiaTheme="minorHAnsi"/>
          <w:sz w:val="22"/>
          <w:szCs w:val="22"/>
          <w:lang w:val="sr-Latn-ME"/>
        </w:rPr>
      </w:pPr>
    </w:p>
    <w:p w14:paraId="071E2DF6" w14:textId="3E85A919" w:rsidR="008F0875" w:rsidRPr="00E845ED" w:rsidRDefault="008F0875">
      <w:pPr>
        <w:tabs>
          <w:tab w:val="left" w:pos="540"/>
          <w:tab w:val="left" w:pos="569"/>
        </w:tabs>
        <w:jc w:val="both"/>
        <w:rPr>
          <w:rFonts w:eastAsiaTheme="minorHAnsi"/>
          <w:sz w:val="22"/>
          <w:szCs w:val="22"/>
          <w:lang w:val="sr-Latn-ME"/>
        </w:rPr>
      </w:pPr>
      <w:r w:rsidRPr="00E845ED">
        <w:rPr>
          <w:rFonts w:eastAsiaTheme="minorHAnsi"/>
          <w:sz w:val="22"/>
          <w:szCs w:val="22"/>
          <w:lang w:val="sr-Latn-ME"/>
        </w:rPr>
        <w:t>Primjena inhibitora acetilholinesteraze (neostigmin, piridostigmin ili edrofonijum) pri ponovnom javljanju T</w:t>
      </w:r>
      <w:r w:rsidRPr="00E845ED">
        <w:rPr>
          <w:rFonts w:eastAsiaTheme="minorHAnsi"/>
          <w:sz w:val="22"/>
          <w:szCs w:val="22"/>
          <w:vertAlign w:val="subscript"/>
          <w:lang w:val="sr-Latn-ME"/>
        </w:rPr>
        <w:t>2</w:t>
      </w:r>
      <w:r w:rsidRPr="00E845ED">
        <w:rPr>
          <w:rFonts w:eastAsiaTheme="minorHAnsi"/>
          <w:sz w:val="22"/>
          <w:szCs w:val="22"/>
          <w:lang w:val="sr-Latn-ME"/>
        </w:rPr>
        <w:t xml:space="preserve"> ili pri prvim znacima kliničkog oporavka antagonizuje dejstvo rokuronijum bromida.</w:t>
      </w:r>
    </w:p>
    <w:p w14:paraId="1794CA5B" w14:textId="77777777" w:rsidR="00D10133" w:rsidRPr="00E845ED" w:rsidRDefault="00D10133" w:rsidP="00D542D8">
      <w:pPr>
        <w:tabs>
          <w:tab w:val="left" w:pos="540"/>
          <w:tab w:val="left" w:pos="569"/>
        </w:tabs>
        <w:jc w:val="both"/>
        <w:rPr>
          <w:b/>
          <w:bCs/>
          <w:sz w:val="22"/>
          <w:szCs w:val="22"/>
          <w:lang w:val="sr-Latn-ME"/>
        </w:rPr>
      </w:pPr>
    </w:p>
    <w:p w14:paraId="64827CA7"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5.2. </w:t>
      </w:r>
      <w:r w:rsidR="00480FB1" w:rsidRPr="00E845ED">
        <w:rPr>
          <w:b/>
          <w:bCs/>
          <w:sz w:val="22"/>
          <w:szCs w:val="22"/>
          <w:lang w:val="sr-Latn-ME"/>
        </w:rPr>
        <w:tab/>
      </w:r>
      <w:r w:rsidRPr="00E845ED">
        <w:rPr>
          <w:b/>
          <w:bCs/>
          <w:sz w:val="22"/>
          <w:szCs w:val="22"/>
          <w:lang w:val="sr-Latn-ME"/>
        </w:rPr>
        <w:t>Farmakokinetički podaci</w:t>
      </w:r>
      <w:r w:rsidR="003A7059" w:rsidRPr="00E845ED">
        <w:rPr>
          <w:b/>
          <w:bCs/>
          <w:sz w:val="22"/>
          <w:szCs w:val="22"/>
          <w:lang w:val="sr-Latn-ME"/>
        </w:rPr>
        <w:t xml:space="preserve"> </w:t>
      </w:r>
    </w:p>
    <w:p w14:paraId="7CF4F6C5" w14:textId="492A3D91" w:rsidR="0072020E" w:rsidRPr="00E845ED" w:rsidRDefault="0072020E" w:rsidP="00D542D8">
      <w:pPr>
        <w:tabs>
          <w:tab w:val="left" w:pos="540"/>
          <w:tab w:val="left" w:pos="569"/>
        </w:tabs>
        <w:jc w:val="both"/>
        <w:rPr>
          <w:bCs/>
          <w:sz w:val="22"/>
          <w:szCs w:val="22"/>
          <w:lang w:val="sr-Latn-ME"/>
        </w:rPr>
      </w:pPr>
    </w:p>
    <w:p w14:paraId="76C55C1F" w14:textId="1101C892" w:rsidR="00AC5EE9" w:rsidRPr="00E845ED" w:rsidRDefault="00AC5EE9" w:rsidP="005C47CD">
      <w:pPr>
        <w:tabs>
          <w:tab w:val="left" w:pos="540"/>
          <w:tab w:val="left" w:pos="569"/>
        </w:tabs>
        <w:jc w:val="both"/>
        <w:rPr>
          <w:bCs/>
          <w:i/>
          <w:iCs/>
          <w:sz w:val="22"/>
          <w:szCs w:val="22"/>
          <w:lang w:val="sr-Latn-ME"/>
        </w:rPr>
      </w:pPr>
      <w:r w:rsidRPr="00E845ED">
        <w:rPr>
          <w:bCs/>
          <w:i/>
          <w:iCs/>
          <w:sz w:val="22"/>
          <w:szCs w:val="22"/>
          <w:lang w:val="sr-Latn-ME"/>
        </w:rPr>
        <w:t>Distribucija i eliminacija</w:t>
      </w:r>
    </w:p>
    <w:p w14:paraId="01F78A75" w14:textId="26B487AA" w:rsidR="00D10133" w:rsidRPr="00E845ED" w:rsidRDefault="00D10133" w:rsidP="000B2BC5">
      <w:pPr>
        <w:tabs>
          <w:tab w:val="left" w:pos="540"/>
          <w:tab w:val="left" w:pos="569"/>
        </w:tabs>
        <w:jc w:val="both"/>
        <w:rPr>
          <w:bCs/>
          <w:sz w:val="22"/>
          <w:szCs w:val="22"/>
          <w:lang w:val="sr-Latn-ME"/>
        </w:rPr>
      </w:pPr>
      <w:r w:rsidRPr="00E845ED">
        <w:rPr>
          <w:bCs/>
          <w:sz w:val="22"/>
          <w:szCs w:val="22"/>
          <w:lang w:val="sr-Latn-ME"/>
        </w:rPr>
        <w:t>Nakon intravenske primjene pojedinačne bolus doze rokuronijum bromida, promjena koncentracije u plazmi u funkciji vremena odvija se u tri eksponencijalne faze. Kod zdravih odraslih osoba srednja vrijednost (95% CI) poluvremena eliminacije iznosi 73 (66-80) minuta, (prividni) volumen distribucije u uslovima ravnotežnog stanja iznosi 203 (193-214) ml/kg, a klirens iz plazme iznosi 3,7 (3.5-3.9) ml/kg/min.</w:t>
      </w:r>
    </w:p>
    <w:p w14:paraId="7488C95A" w14:textId="653D5561" w:rsidR="00D10133" w:rsidRPr="00E845ED" w:rsidRDefault="00D10133">
      <w:pPr>
        <w:tabs>
          <w:tab w:val="left" w:pos="540"/>
          <w:tab w:val="left" w:pos="569"/>
        </w:tabs>
        <w:jc w:val="both"/>
        <w:rPr>
          <w:bCs/>
          <w:sz w:val="22"/>
          <w:szCs w:val="22"/>
          <w:lang w:val="sr-Latn-ME"/>
        </w:rPr>
      </w:pPr>
      <w:r w:rsidRPr="00E845ED">
        <w:rPr>
          <w:bCs/>
          <w:sz w:val="22"/>
          <w:szCs w:val="22"/>
          <w:lang w:val="sr-Latn-ME"/>
        </w:rPr>
        <w:t>Rokuronijum se izlučuje i putem urina i putem žuči. Izlučivanje putem urina dostiže 40% unutar 12 do 24 sata. Poslije ubrizgavanja radioob</w:t>
      </w:r>
      <w:r w:rsidR="00DB1EF9" w:rsidRPr="00E845ED">
        <w:rPr>
          <w:bCs/>
          <w:sz w:val="22"/>
          <w:szCs w:val="22"/>
          <w:lang w:val="sr-Latn-ME"/>
        </w:rPr>
        <w:t>ilj</w:t>
      </w:r>
      <w:r w:rsidRPr="00E845ED">
        <w:rPr>
          <w:bCs/>
          <w:sz w:val="22"/>
          <w:szCs w:val="22"/>
          <w:lang w:val="sr-Latn-ME"/>
        </w:rPr>
        <w:t xml:space="preserve">eženog rokuronijum bromida, izlučivanje radioobilježene doze je prosječno 47% u urinu i 43% u </w:t>
      </w:r>
      <w:r w:rsidR="00DB1EF9" w:rsidRPr="00E845ED">
        <w:rPr>
          <w:bCs/>
          <w:sz w:val="22"/>
          <w:szCs w:val="22"/>
          <w:lang w:val="sr-Latn-ME"/>
        </w:rPr>
        <w:t>fecesu</w:t>
      </w:r>
      <w:r w:rsidRPr="00E845ED">
        <w:rPr>
          <w:bCs/>
          <w:sz w:val="22"/>
          <w:szCs w:val="22"/>
          <w:lang w:val="sr-Latn-ME"/>
        </w:rPr>
        <w:t xml:space="preserve"> nakon 9 dana. Otprilike 50% se nalazi u nepromijenjenom obliku osnovnog jedinjenja. </w:t>
      </w:r>
    </w:p>
    <w:p w14:paraId="0A514D00" w14:textId="77777777" w:rsidR="00C21C03" w:rsidRPr="00E845ED" w:rsidRDefault="00C21C03">
      <w:pPr>
        <w:tabs>
          <w:tab w:val="left" w:pos="540"/>
          <w:tab w:val="left" w:pos="569"/>
        </w:tabs>
        <w:jc w:val="both"/>
        <w:rPr>
          <w:bCs/>
          <w:i/>
          <w:iCs/>
          <w:sz w:val="22"/>
          <w:szCs w:val="22"/>
          <w:lang w:val="sr-Latn-ME"/>
        </w:rPr>
      </w:pPr>
    </w:p>
    <w:p w14:paraId="7CB18F29" w14:textId="6DA5BD05" w:rsidR="00D10133" w:rsidRPr="00E845ED" w:rsidRDefault="00DB1EF9">
      <w:pPr>
        <w:tabs>
          <w:tab w:val="left" w:pos="540"/>
          <w:tab w:val="left" w:pos="569"/>
        </w:tabs>
        <w:jc w:val="both"/>
        <w:rPr>
          <w:bCs/>
          <w:i/>
          <w:iCs/>
          <w:sz w:val="22"/>
          <w:szCs w:val="22"/>
          <w:lang w:val="sr-Latn-ME"/>
        </w:rPr>
      </w:pPr>
      <w:r w:rsidRPr="00E845ED">
        <w:rPr>
          <w:bCs/>
          <w:i/>
          <w:iCs/>
          <w:sz w:val="22"/>
          <w:szCs w:val="22"/>
          <w:lang w:val="sr-Latn-ME"/>
        </w:rPr>
        <w:t>Biotransformacija</w:t>
      </w:r>
    </w:p>
    <w:p w14:paraId="706ECE04" w14:textId="43F35A32" w:rsidR="00DB1EF9" w:rsidRPr="00E845ED" w:rsidRDefault="00C21C03">
      <w:pPr>
        <w:tabs>
          <w:tab w:val="left" w:pos="540"/>
          <w:tab w:val="left" w:pos="569"/>
        </w:tabs>
        <w:jc w:val="both"/>
        <w:rPr>
          <w:bCs/>
          <w:sz w:val="22"/>
          <w:szCs w:val="22"/>
          <w:lang w:val="sr-Latn-ME"/>
        </w:rPr>
      </w:pPr>
      <w:r w:rsidRPr="00E845ED">
        <w:rPr>
          <w:bCs/>
          <w:sz w:val="22"/>
          <w:szCs w:val="22"/>
          <w:lang w:val="sr-Latn-ME"/>
        </w:rPr>
        <w:t>Metaboliti ni</w:t>
      </w:r>
      <w:r w:rsidR="000A419B" w:rsidRPr="00E845ED">
        <w:rPr>
          <w:bCs/>
          <w:sz w:val="22"/>
          <w:szCs w:val="22"/>
          <w:lang w:val="sr-Latn-ME"/>
        </w:rPr>
        <w:t>je</w:t>
      </w:r>
      <w:r w:rsidRPr="00E845ED">
        <w:rPr>
          <w:bCs/>
          <w:sz w:val="22"/>
          <w:szCs w:val="22"/>
          <w:lang w:val="sr-Latn-ME"/>
        </w:rPr>
        <w:t>su detektovani u plazmi</w:t>
      </w:r>
      <w:r w:rsidR="00DB1EF9" w:rsidRPr="00E845ED">
        <w:rPr>
          <w:bCs/>
          <w:sz w:val="22"/>
          <w:szCs w:val="22"/>
          <w:lang w:val="sr-Latn-ME"/>
        </w:rPr>
        <w:t>.</w:t>
      </w:r>
    </w:p>
    <w:p w14:paraId="13EAB42B" w14:textId="77777777" w:rsidR="00DB1EF9" w:rsidRPr="00E845ED" w:rsidRDefault="00DB1EF9">
      <w:pPr>
        <w:tabs>
          <w:tab w:val="left" w:pos="540"/>
          <w:tab w:val="left" w:pos="569"/>
        </w:tabs>
        <w:jc w:val="both"/>
        <w:rPr>
          <w:bCs/>
          <w:sz w:val="22"/>
          <w:szCs w:val="22"/>
          <w:lang w:val="sr-Latn-ME"/>
        </w:rPr>
      </w:pPr>
    </w:p>
    <w:p w14:paraId="4C4A2A67" w14:textId="77777777" w:rsidR="00D10133" w:rsidRPr="00E845ED" w:rsidRDefault="00D10133">
      <w:pPr>
        <w:jc w:val="both"/>
        <w:rPr>
          <w:rFonts w:eastAsiaTheme="minorHAnsi"/>
          <w:sz w:val="22"/>
          <w:szCs w:val="22"/>
          <w:u w:val="single"/>
          <w:lang w:val="sr-Latn-ME"/>
        </w:rPr>
      </w:pPr>
      <w:r w:rsidRPr="00E845ED">
        <w:rPr>
          <w:rFonts w:eastAsiaTheme="minorHAnsi"/>
          <w:sz w:val="22"/>
          <w:szCs w:val="22"/>
          <w:u w:val="single"/>
          <w:lang w:val="sr-Latn-ME"/>
        </w:rPr>
        <w:t>Pedijatrijska populacija</w:t>
      </w:r>
    </w:p>
    <w:p w14:paraId="4F8DFF52" w14:textId="77777777" w:rsidR="003E73B8" w:rsidRDefault="003E73B8">
      <w:pPr>
        <w:jc w:val="both"/>
        <w:rPr>
          <w:rFonts w:eastAsiaTheme="minorHAnsi"/>
          <w:sz w:val="22"/>
          <w:szCs w:val="22"/>
          <w:lang w:val="sr-Latn-ME"/>
        </w:rPr>
      </w:pPr>
    </w:p>
    <w:p w14:paraId="544995BF" w14:textId="65ECFC0A" w:rsidR="00D10133" w:rsidRPr="00E845ED" w:rsidRDefault="00D10133">
      <w:pPr>
        <w:jc w:val="both"/>
        <w:rPr>
          <w:rFonts w:eastAsiaTheme="minorHAnsi"/>
          <w:sz w:val="22"/>
          <w:szCs w:val="22"/>
          <w:lang w:val="sr-Latn-ME"/>
        </w:rPr>
      </w:pPr>
      <w:r w:rsidRPr="00E845ED">
        <w:rPr>
          <w:rFonts w:eastAsiaTheme="minorHAnsi"/>
          <w:sz w:val="22"/>
          <w:szCs w:val="22"/>
          <w:lang w:val="sr-Latn-ME"/>
        </w:rPr>
        <w:t>Farmakokinetika rokuronijum bromida kod pedijatrijskih pacijenata (n=146) uzrasta u rasponu od 0 do 17 godina proc</w:t>
      </w:r>
      <w:r w:rsidR="00DB1EF9" w:rsidRPr="00E845ED">
        <w:rPr>
          <w:rFonts w:eastAsiaTheme="minorHAnsi"/>
          <w:sz w:val="22"/>
          <w:szCs w:val="22"/>
          <w:lang w:val="sr-Latn-ME"/>
        </w:rPr>
        <w:t>i</w:t>
      </w:r>
      <w:r w:rsidRPr="00E845ED">
        <w:rPr>
          <w:rFonts w:eastAsiaTheme="minorHAnsi"/>
          <w:sz w:val="22"/>
          <w:szCs w:val="22"/>
          <w:lang w:val="sr-Latn-ME"/>
        </w:rPr>
        <w:t>jenjena je primjenom populacione farmakokinetičke analize objedinjenih farmakokinetičkih podataka iz dvije kliničke studije sprovedene sa sevofluranom (indukcija) i izofluranom/azot-oksidom (održavanje) anestezija. Pokazalo se da su svi farmakokinetički parametri linearno proporcionalni sa tjelesnom masom što je ilustrovano sličnim klirensom (lh</w:t>
      </w:r>
      <w:r w:rsidRPr="00E845ED">
        <w:rPr>
          <w:rFonts w:eastAsiaTheme="minorHAnsi"/>
          <w:sz w:val="22"/>
          <w:szCs w:val="22"/>
          <w:vertAlign w:val="superscript"/>
          <w:lang w:val="sr-Latn-ME"/>
        </w:rPr>
        <w:t>-1</w:t>
      </w:r>
      <w:r w:rsidRPr="00E845ED">
        <w:rPr>
          <w:rFonts w:eastAsiaTheme="minorHAnsi"/>
          <w:sz w:val="22"/>
          <w:szCs w:val="22"/>
          <w:lang w:val="sr-Latn-ME"/>
        </w:rPr>
        <w:t xml:space="preserve"> .kg</w:t>
      </w:r>
      <w:r w:rsidRPr="00E845ED">
        <w:rPr>
          <w:rFonts w:eastAsiaTheme="minorHAnsi"/>
          <w:sz w:val="22"/>
          <w:szCs w:val="22"/>
          <w:vertAlign w:val="superscript"/>
          <w:lang w:val="sr-Latn-ME"/>
        </w:rPr>
        <w:t>-1</w:t>
      </w:r>
      <w:r w:rsidRPr="00E845ED">
        <w:rPr>
          <w:rFonts w:eastAsiaTheme="minorHAnsi"/>
          <w:sz w:val="22"/>
          <w:szCs w:val="22"/>
          <w:lang w:val="sr-Latn-ME"/>
        </w:rPr>
        <w:t>). Volumen distribucije (lkg</w:t>
      </w:r>
      <w:r w:rsidRPr="00E845ED">
        <w:rPr>
          <w:rFonts w:eastAsiaTheme="minorHAnsi"/>
          <w:sz w:val="22"/>
          <w:szCs w:val="22"/>
          <w:vertAlign w:val="superscript"/>
          <w:lang w:val="sr-Latn-ME"/>
        </w:rPr>
        <w:t>-1</w:t>
      </w:r>
      <w:r w:rsidRPr="00E845ED">
        <w:rPr>
          <w:rFonts w:eastAsiaTheme="minorHAnsi"/>
          <w:sz w:val="22"/>
          <w:szCs w:val="22"/>
          <w:lang w:val="sr-Latn-ME"/>
        </w:rPr>
        <w:t>) i poluvrijeme eliminacije (h) se smanjuje sa starošću (godinama). Farmakokinetički parametri tipični za pedijatrijsku populaciju su sumirani u okviru svake starosne grupe.</w:t>
      </w:r>
    </w:p>
    <w:p w14:paraId="2602A28B" w14:textId="77777777" w:rsidR="00D10133" w:rsidRPr="00E845ED" w:rsidRDefault="00D10133">
      <w:pPr>
        <w:jc w:val="both"/>
        <w:rPr>
          <w:rFonts w:eastAsiaTheme="minorHAnsi"/>
          <w:color w:val="0000FF"/>
          <w:sz w:val="22"/>
          <w:szCs w:val="22"/>
          <w:lang w:val="sr-Latn-ME"/>
        </w:rPr>
      </w:pPr>
    </w:p>
    <w:p w14:paraId="22FF06AA" w14:textId="77777777" w:rsidR="003E73B8" w:rsidRDefault="003E73B8">
      <w:pPr>
        <w:jc w:val="both"/>
        <w:rPr>
          <w:rFonts w:eastAsiaTheme="minorHAnsi"/>
          <w:b/>
          <w:sz w:val="22"/>
          <w:szCs w:val="22"/>
          <w:lang w:val="sr-Latn-ME"/>
        </w:rPr>
      </w:pPr>
    </w:p>
    <w:p w14:paraId="1A68E7B2" w14:textId="77777777" w:rsidR="003E73B8" w:rsidRDefault="003E73B8">
      <w:pPr>
        <w:jc w:val="both"/>
        <w:rPr>
          <w:rFonts w:eastAsiaTheme="minorHAnsi"/>
          <w:b/>
          <w:sz w:val="22"/>
          <w:szCs w:val="22"/>
          <w:lang w:val="sr-Latn-ME"/>
        </w:rPr>
      </w:pPr>
    </w:p>
    <w:p w14:paraId="4BA32CF5" w14:textId="77777777" w:rsidR="003E73B8" w:rsidRDefault="003E73B8">
      <w:pPr>
        <w:jc w:val="both"/>
        <w:rPr>
          <w:rFonts w:eastAsiaTheme="minorHAnsi"/>
          <w:b/>
          <w:sz w:val="22"/>
          <w:szCs w:val="22"/>
          <w:lang w:val="sr-Latn-ME"/>
        </w:rPr>
      </w:pPr>
    </w:p>
    <w:p w14:paraId="23C1F7B5" w14:textId="77777777" w:rsidR="003E73B8" w:rsidRDefault="003E73B8">
      <w:pPr>
        <w:jc w:val="both"/>
        <w:rPr>
          <w:rFonts w:eastAsiaTheme="minorHAnsi"/>
          <w:b/>
          <w:sz w:val="22"/>
          <w:szCs w:val="22"/>
          <w:lang w:val="sr-Latn-ME"/>
        </w:rPr>
      </w:pPr>
    </w:p>
    <w:p w14:paraId="6632144C" w14:textId="77777777" w:rsidR="003E73B8" w:rsidRDefault="003E73B8">
      <w:pPr>
        <w:jc w:val="both"/>
        <w:rPr>
          <w:rFonts w:eastAsiaTheme="minorHAnsi"/>
          <w:b/>
          <w:sz w:val="22"/>
          <w:szCs w:val="22"/>
          <w:lang w:val="sr-Latn-ME"/>
        </w:rPr>
      </w:pPr>
    </w:p>
    <w:p w14:paraId="646E7704" w14:textId="176A5B02" w:rsidR="008E388F" w:rsidRPr="00E845ED" w:rsidRDefault="00D10133">
      <w:pPr>
        <w:jc w:val="both"/>
        <w:rPr>
          <w:rFonts w:eastAsiaTheme="minorHAnsi"/>
          <w:b/>
          <w:sz w:val="22"/>
          <w:szCs w:val="22"/>
          <w:lang w:val="sr-Latn-ME"/>
        </w:rPr>
      </w:pPr>
      <w:r w:rsidRPr="00E845ED">
        <w:rPr>
          <w:rFonts w:eastAsiaTheme="minorHAnsi"/>
          <w:b/>
          <w:sz w:val="22"/>
          <w:szCs w:val="22"/>
          <w:lang w:val="sr-Latn-ME"/>
        </w:rPr>
        <w:lastRenderedPageBreak/>
        <w:t>Tabela 3. Proc</w:t>
      </w:r>
      <w:r w:rsidR="00DB1EF9" w:rsidRPr="00E845ED">
        <w:rPr>
          <w:rFonts w:eastAsiaTheme="minorHAnsi"/>
          <w:b/>
          <w:sz w:val="22"/>
          <w:szCs w:val="22"/>
          <w:lang w:val="sr-Latn-ME"/>
        </w:rPr>
        <w:t>i</w:t>
      </w:r>
      <w:r w:rsidRPr="00E845ED">
        <w:rPr>
          <w:rFonts w:eastAsiaTheme="minorHAnsi"/>
          <w:b/>
          <w:sz w:val="22"/>
          <w:szCs w:val="22"/>
          <w:lang w:val="sr-Latn-ME"/>
        </w:rPr>
        <w:t>jenjeni FK parametri (srednje vr</w:t>
      </w:r>
      <w:r w:rsidR="00DB1EF9" w:rsidRPr="00E845ED">
        <w:rPr>
          <w:rFonts w:eastAsiaTheme="minorHAnsi"/>
          <w:b/>
          <w:sz w:val="22"/>
          <w:szCs w:val="22"/>
          <w:lang w:val="sr-Latn-ME"/>
        </w:rPr>
        <w:t>ij</w:t>
      </w:r>
      <w:r w:rsidRPr="00E845ED">
        <w:rPr>
          <w:rFonts w:eastAsiaTheme="minorHAnsi"/>
          <w:b/>
          <w:sz w:val="22"/>
          <w:szCs w:val="22"/>
          <w:lang w:val="sr-Latn-ME"/>
        </w:rPr>
        <w:t>ednosti [SD]) za rokuronijum bromid tipične za pedijatrijske pacijenate u toku anestezije sevofluranom i azot-oksidom (indukcija) i izofluranom/azot-oksidom (održavanje anestezije)</w:t>
      </w:r>
    </w:p>
    <w:p w14:paraId="3D7DBAFB" w14:textId="1B7AF2FF" w:rsidR="00C21C03" w:rsidRPr="00E845ED" w:rsidRDefault="00C21C03">
      <w:pPr>
        <w:jc w:val="both"/>
        <w:rPr>
          <w:rFonts w:eastAsiaTheme="minorHAnsi"/>
          <w:b/>
          <w:sz w:val="22"/>
          <w:szCs w:val="22"/>
          <w:lang w:val="sr-Latn-ME"/>
        </w:rPr>
      </w:pPr>
    </w:p>
    <w:p w14:paraId="56C8E2DF" w14:textId="77777777" w:rsidR="00C21C03" w:rsidRPr="00E845ED" w:rsidRDefault="00C21C03">
      <w:pPr>
        <w:jc w:val="both"/>
        <w:rPr>
          <w:rFonts w:eastAsiaTheme="minorHAnsi"/>
          <w:b/>
          <w:sz w:val="22"/>
          <w:szCs w:val="22"/>
          <w:lang w:val="sr-Latn-ME"/>
        </w:rPr>
      </w:pPr>
    </w:p>
    <w:tbl>
      <w:tblPr>
        <w:tblW w:w="9401" w:type="dxa"/>
        <w:tblLayout w:type="fixed"/>
        <w:tblCellMar>
          <w:left w:w="10" w:type="dxa"/>
          <w:right w:w="10" w:type="dxa"/>
        </w:tblCellMar>
        <w:tblLook w:val="0000" w:firstRow="0" w:lastRow="0" w:firstColumn="0" w:lastColumn="0" w:noHBand="0" w:noVBand="0"/>
      </w:tblPr>
      <w:tblGrid>
        <w:gridCol w:w="1638"/>
        <w:gridCol w:w="1548"/>
        <w:gridCol w:w="1562"/>
        <w:gridCol w:w="1542"/>
        <w:gridCol w:w="1548"/>
        <w:gridCol w:w="1563"/>
      </w:tblGrid>
      <w:tr w:rsidR="00D10133" w:rsidRPr="00E845ED" w14:paraId="3584890E" w14:textId="77777777" w:rsidTr="00FB1926">
        <w:trPr>
          <w:trHeight w:hRule="exact" w:val="276"/>
        </w:trPr>
        <w:tc>
          <w:tcPr>
            <w:tcW w:w="1638" w:type="dxa"/>
            <w:vMerge w:val="restart"/>
            <w:tcBorders>
              <w:top w:val="single" w:sz="4" w:space="0" w:color="auto"/>
              <w:left w:val="single" w:sz="4" w:space="0" w:color="auto"/>
            </w:tcBorders>
            <w:shd w:val="clear" w:color="auto" w:fill="FFFFFF"/>
          </w:tcPr>
          <w:p w14:paraId="609C553D" w14:textId="77777777" w:rsidR="00D10133" w:rsidRPr="00E845ED" w:rsidRDefault="00D10133">
            <w:pPr>
              <w:widowControl w:val="0"/>
              <w:ind w:left="75" w:right="103"/>
              <w:jc w:val="both"/>
              <w:rPr>
                <w:sz w:val="22"/>
                <w:szCs w:val="22"/>
                <w:lang w:val="sr-Latn-ME"/>
              </w:rPr>
            </w:pPr>
            <w:r w:rsidRPr="00E845ED">
              <w:rPr>
                <w:color w:val="000000"/>
                <w:sz w:val="22"/>
                <w:szCs w:val="22"/>
                <w:shd w:val="clear" w:color="auto" w:fill="FFFFFF"/>
                <w:lang w:val="sr-Latn-ME"/>
              </w:rPr>
              <w:t>FK parametri</w:t>
            </w:r>
          </w:p>
        </w:tc>
        <w:tc>
          <w:tcPr>
            <w:tcW w:w="3110" w:type="dxa"/>
            <w:gridSpan w:val="2"/>
            <w:tcBorders>
              <w:top w:val="single" w:sz="4" w:space="0" w:color="auto"/>
              <w:left w:val="single" w:sz="4" w:space="0" w:color="auto"/>
            </w:tcBorders>
            <w:shd w:val="clear" w:color="auto" w:fill="FFFFFF"/>
          </w:tcPr>
          <w:p w14:paraId="687EF001" w14:textId="77777777" w:rsidR="00D10133" w:rsidRPr="00E845ED" w:rsidRDefault="00D10133" w:rsidP="00D542D8">
            <w:pPr>
              <w:jc w:val="both"/>
              <w:rPr>
                <w:rFonts w:eastAsiaTheme="minorHAnsi"/>
                <w:sz w:val="22"/>
                <w:szCs w:val="22"/>
                <w:lang w:val="sr-Latn-ME"/>
              </w:rPr>
            </w:pPr>
          </w:p>
        </w:tc>
        <w:tc>
          <w:tcPr>
            <w:tcW w:w="4653" w:type="dxa"/>
            <w:gridSpan w:val="3"/>
            <w:tcBorders>
              <w:top w:val="single" w:sz="4" w:space="0" w:color="auto"/>
              <w:left w:val="single" w:sz="4" w:space="0" w:color="auto"/>
              <w:right w:val="single" w:sz="4" w:space="0" w:color="auto"/>
            </w:tcBorders>
            <w:shd w:val="clear" w:color="auto" w:fill="FFFFFF"/>
          </w:tcPr>
          <w:p w14:paraId="68CA5750" w14:textId="77777777" w:rsidR="00D10133" w:rsidRPr="00E845ED" w:rsidRDefault="00D10133">
            <w:pPr>
              <w:widowControl w:val="0"/>
              <w:ind w:left="20"/>
              <w:jc w:val="center"/>
              <w:rPr>
                <w:sz w:val="22"/>
                <w:szCs w:val="22"/>
                <w:lang w:val="sr-Latn-ME"/>
              </w:rPr>
            </w:pPr>
            <w:r w:rsidRPr="00E845ED">
              <w:rPr>
                <w:color w:val="000000"/>
                <w:sz w:val="22"/>
                <w:szCs w:val="22"/>
                <w:shd w:val="clear" w:color="auto" w:fill="FFFFFF"/>
                <w:lang w:val="sr-Latn-ME"/>
              </w:rPr>
              <w:t>Raspon starosti pacijenta</w:t>
            </w:r>
          </w:p>
        </w:tc>
      </w:tr>
      <w:tr w:rsidR="00D10133" w:rsidRPr="00E845ED" w14:paraId="21D78DDA" w14:textId="77777777" w:rsidTr="00FB1926">
        <w:trPr>
          <w:trHeight w:hRule="exact" w:val="846"/>
        </w:trPr>
        <w:tc>
          <w:tcPr>
            <w:tcW w:w="1638" w:type="dxa"/>
            <w:vMerge/>
            <w:tcBorders>
              <w:left w:val="single" w:sz="4" w:space="0" w:color="auto"/>
            </w:tcBorders>
            <w:shd w:val="clear" w:color="auto" w:fill="FFFFFF"/>
          </w:tcPr>
          <w:p w14:paraId="388AB4A1" w14:textId="77777777" w:rsidR="00D10133" w:rsidRPr="00E845ED" w:rsidRDefault="00D10133" w:rsidP="00D542D8">
            <w:pPr>
              <w:ind w:left="75" w:right="103"/>
              <w:jc w:val="both"/>
              <w:rPr>
                <w:rFonts w:eastAsiaTheme="minorHAnsi"/>
                <w:sz w:val="22"/>
                <w:szCs w:val="22"/>
                <w:lang w:val="sr-Latn-ME"/>
              </w:rPr>
            </w:pPr>
          </w:p>
        </w:tc>
        <w:tc>
          <w:tcPr>
            <w:tcW w:w="1548" w:type="dxa"/>
            <w:tcBorders>
              <w:top w:val="single" w:sz="4" w:space="0" w:color="auto"/>
              <w:left w:val="single" w:sz="4" w:space="0" w:color="auto"/>
            </w:tcBorders>
            <w:shd w:val="clear" w:color="auto" w:fill="FFFFFF"/>
          </w:tcPr>
          <w:p w14:paraId="3C405676" w14:textId="77777777" w:rsidR="00D10133" w:rsidRPr="00E845ED" w:rsidRDefault="00D10133">
            <w:pPr>
              <w:widowControl w:val="0"/>
              <w:jc w:val="center"/>
              <w:rPr>
                <w:sz w:val="22"/>
                <w:szCs w:val="22"/>
                <w:lang w:val="sr-Latn-ME"/>
              </w:rPr>
            </w:pPr>
            <w:r w:rsidRPr="00E845ED">
              <w:rPr>
                <w:color w:val="000000"/>
                <w:sz w:val="22"/>
                <w:szCs w:val="22"/>
                <w:shd w:val="clear" w:color="auto" w:fill="FFFFFF"/>
                <w:lang w:val="sr-Latn-ME"/>
              </w:rPr>
              <w:t>Donesena novorođenčad (0-27 dana)</w:t>
            </w:r>
          </w:p>
        </w:tc>
        <w:tc>
          <w:tcPr>
            <w:tcW w:w="1562" w:type="dxa"/>
            <w:tcBorders>
              <w:top w:val="single" w:sz="4" w:space="0" w:color="auto"/>
              <w:left w:val="single" w:sz="4" w:space="0" w:color="auto"/>
            </w:tcBorders>
            <w:shd w:val="clear" w:color="auto" w:fill="FFFFFF"/>
          </w:tcPr>
          <w:p w14:paraId="0B41BBC5" w14:textId="7C379D31" w:rsidR="00D10133" w:rsidRPr="00E845ED" w:rsidRDefault="00D10133">
            <w:pPr>
              <w:widowControl w:val="0"/>
              <w:ind w:left="129" w:right="153"/>
              <w:jc w:val="center"/>
              <w:rPr>
                <w:sz w:val="22"/>
                <w:szCs w:val="22"/>
                <w:lang w:val="sr-Latn-ME"/>
              </w:rPr>
            </w:pPr>
            <w:r w:rsidRPr="00E845ED">
              <w:rPr>
                <w:color w:val="000000"/>
                <w:sz w:val="22"/>
                <w:szCs w:val="22"/>
                <w:shd w:val="clear" w:color="auto" w:fill="FFFFFF"/>
                <w:lang w:val="sr-Latn-ME"/>
              </w:rPr>
              <w:t>Odojčad (28 dana - 2 m</w:t>
            </w:r>
            <w:r w:rsidR="00F942B3" w:rsidRPr="00E845ED">
              <w:rPr>
                <w:color w:val="000000"/>
                <w:sz w:val="22"/>
                <w:szCs w:val="22"/>
                <w:shd w:val="clear" w:color="auto" w:fill="FFFFFF"/>
                <w:lang w:val="sr-Latn-ME"/>
              </w:rPr>
              <w:t>j</w:t>
            </w:r>
            <w:r w:rsidRPr="00E845ED">
              <w:rPr>
                <w:color w:val="000000"/>
                <w:sz w:val="22"/>
                <w:szCs w:val="22"/>
                <w:shd w:val="clear" w:color="auto" w:fill="FFFFFF"/>
                <w:lang w:val="sr-Latn-ME"/>
              </w:rPr>
              <w:t>eseca)</w:t>
            </w:r>
          </w:p>
        </w:tc>
        <w:tc>
          <w:tcPr>
            <w:tcW w:w="1542" w:type="dxa"/>
            <w:tcBorders>
              <w:top w:val="single" w:sz="4" w:space="0" w:color="auto"/>
              <w:left w:val="single" w:sz="4" w:space="0" w:color="auto"/>
            </w:tcBorders>
            <w:shd w:val="clear" w:color="auto" w:fill="FFFFFF"/>
          </w:tcPr>
          <w:p w14:paraId="73CD324E" w14:textId="77777777" w:rsidR="00D10133" w:rsidRPr="00E845ED" w:rsidRDefault="00D10133">
            <w:pPr>
              <w:widowControl w:val="0"/>
              <w:ind w:left="97"/>
              <w:jc w:val="center"/>
              <w:rPr>
                <w:color w:val="000000"/>
                <w:sz w:val="22"/>
                <w:szCs w:val="22"/>
                <w:shd w:val="clear" w:color="auto" w:fill="FFFFFF"/>
                <w:lang w:val="sr-Latn-ME"/>
              </w:rPr>
            </w:pPr>
            <w:r w:rsidRPr="00E845ED">
              <w:rPr>
                <w:color w:val="000000"/>
                <w:sz w:val="22"/>
                <w:szCs w:val="22"/>
                <w:shd w:val="clear" w:color="auto" w:fill="FFFFFF"/>
                <w:lang w:val="sr-Latn-ME"/>
              </w:rPr>
              <w:t>Mala djeca</w:t>
            </w:r>
          </w:p>
          <w:p w14:paraId="220FCDF4" w14:textId="1E3B43C3" w:rsidR="00D10133" w:rsidRPr="00E845ED" w:rsidRDefault="00D10133">
            <w:pPr>
              <w:widowControl w:val="0"/>
              <w:ind w:left="187" w:right="75"/>
              <w:jc w:val="center"/>
              <w:rPr>
                <w:sz w:val="22"/>
                <w:szCs w:val="22"/>
                <w:lang w:val="sr-Latn-ME"/>
              </w:rPr>
            </w:pPr>
            <w:r w:rsidRPr="00E845ED">
              <w:rPr>
                <w:color w:val="000000"/>
                <w:sz w:val="22"/>
                <w:szCs w:val="22"/>
                <w:shd w:val="clear" w:color="auto" w:fill="FFFFFF"/>
                <w:lang w:val="sr-Latn-ME"/>
              </w:rPr>
              <w:t>(3-23 m</w:t>
            </w:r>
            <w:r w:rsidR="00F942B3" w:rsidRPr="00E845ED">
              <w:rPr>
                <w:color w:val="000000"/>
                <w:sz w:val="22"/>
                <w:szCs w:val="22"/>
                <w:shd w:val="clear" w:color="auto" w:fill="FFFFFF"/>
                <w:lang w:val="sr-Latn-ME"/>
              </w:rPr>
              <w:t>j</w:t>
            </w:r>
            <w:r w:rsidRPr="00E845ED">
              <w:rPr>
                <w:color w:val="000000"/>
                <w:sz w:val="22"/>
                <w:szCs w:val="22"/>
                <w:shd w:val="clear" w:color="auto" w:fill="FFFFFF"/>
                <w:lang w:val="sr-Latn-ME"/>
              </w:rPr>
              <w:t>eseca)</w:t>
            </w:r>
          </w:p>
        </w:tc>
        <w:tc>
          <w:tcPr>
            <w:tcW w:w="1548" w:type="dxa"/>
            <w:tcBorders>
              <w:top w:val="single" w:sz="4" w:space="0" w:color="auto"/>
              <w:left w:val="single" w:sz="4" w:space="0" w:color="auto"/>
            </w:tcBorders>
            <w:shd w:val="clear" w:color="auto" w:fill="FFFFFF"/>
          </w:tcPr>
          <w:p w14:paraId="535CC79B" w14:textId="77777777" w:rsidR="00D10133" w:rsidRPr="00E845ED" w:rsidRDefault="00D10133">
            <w:pPr>
              <w:widowControl w:val="0"/>
              <w:ind w:left="-5"/>
              <w:jc w:val="center"/>
              <w:rPr>
                <w:color w:val="000000"/>
                <w:sz w:val="22"/>
                <w:szCs w:val="22"/>
                <w:shd w:val="clear" w:color="auto" w:fill="FFFFFF"/>
                <w:lang w:val="sr-Latn-ME"/>
              </w:rPr>
            </w:pPr>
            <w:r w:rsidRPr="00E845ED">
              <w:rPr>
                <w:color w:val="000000"/>
                <w:sz w:val="22"/>
                <w:szCs w:val="22"/>
                <w:shd w:val="clear" w:color="auto" w:fill="FFFFFF"/>
                <w:lang w:val="sr-Latn-ME"/>
              </w:rPr>
              <w:t>Djeca</w:t>
            </w:r>
          </w:p>
          <w:p w14:paraId="29626777" w14:textId="77777777" w:rsidR="00D10133" w:rsidRPr="00E845ED" w:rsidRDefault="00D10133">
            <w:pPr>
              <w:widowControl w:val="0"/>
              <w:jc w:val="center"/>
              <w:rPr>
                <w:sz w:val="22"/>
                <w:szCs w:val="22"/>
                <w:lang w:val="sr-Latn-ME"/>
              </w:rPr>
            </w:pPr>
            <w:r w:rsidRPr="00E845ED">
              <w:rPr>
                <w:color w:val="000000"/>
                <w:sz w:val="22"/>
                <w:szCs w:val="22"/>
                <w:shd w:val="clear" w:color="auto" w:fill="FFFFFF"/>
                <w:lang w:val="sr-Latn-ME"/>
              </w:rPr>
              <w:t>(2-11 godina)</w:t>
            </w:r>
          </w:p>
        </w:tc>
        <w:tc>
          <w:tcPr>
            <w:tcW w:w="1562" w:type="dxa"/>
            <w:tcBorders>
              <w:top w:val="single" w:sz="4" w:space="0" w:color="auto"/>
              <w:left w:val="single" w:sz="4" w:space="0" w:color="auto"/>
              <w:right w:val="single" w:sz="4" w:space="0" w:color="auto"/>
            </w:tcBorders>
            <w:shd w:val="clear" w:color="auto" w:fill="FFFFFF"/>
          </w:tcPr>
          <w:p w14:paraId="3F28181F" w14:textId="77777777" w:rsidR="00D10133" w:rsidRPr="00E845ED" w:rsidRDefault="00D10133">
            <w:pPr>
              <w:widowControl w:val="0"/>
              <w:ind w:left="67"/>
              <w:jc w:val="center"/>
              <w:rPr>
                <w:color w:val="000000"/>
                <w:sz w:val="22"/>
                <w:szCs w:val="22"/>
                <w:shd w:val="clear" w:color="auto" w:fill="FFFFFF"/>
                <w:lang w:val="sr-Latn-ME"/>
              </w:rPr>
            </w:pPr>
            <w:r w:rsidRPr="00E845ED">
              <w:rPr>
                <w:color w:val="000000"/>
                <w:sz w:val="22"/>
                <w:szCs w:val="22"/>
                <w:shd w:val="clear" w:color="auto" w:fill="FFFFFF"/>
                <w:lang w:val="sr-Latn-ME"/>
              </w:rPr>
              <w:t>Adolescenti</w:t>
            </w:r>
          </w:p>
          <w:p w14:paraId="00323994" w14:textId="77777777" w:rsidR="00D10133" w:rsidRPr="00E845ED" w:rsidRDefault="00D10133">
            <w:pPr>
              <w:widowControl w:val="0"/>
              <w:ind w:left="67"/>
              <w:jc w:val="center"/>
              <w:rPr>
                <w:sz w:val="22"/>
                <w:szCs w:val="22"/>
                <w:lang w:val="sr-Latn-ME"/>
              </w:rPr>
            </w:pPr>
            <w:r w:rsidRPr="00E845ED">
              <w:rPr>
                <w:color w:val="000000"/>
                <w:sz w:val="22"/>
                <w:szCs w:val="22"/>
                <w:shd w:val="clear" w:color="auto" w:fill="FFFFFF"/>
                <w:lang w:val="sr-Latn-ME"/>
              </w:rPr>
              <w:t>(12-17 godina)</w:t>
            </w:r>
          </w:p>
        </w:tc>
      </w:tr>
      <w:tr w:rsidR="00D10133" w:rsidRPr="00E845ED" w14:paraId="2AD32924" w14:textId="77777777" w:rsidTr="00FB1926">
        <w:trPr>
          <w:trHeight w:hRule="exact" w:val="339"/>
        </w:trPr>
        <w:tc>
          <w:tcPr>
            <w:tcW w:w="1638" w:type="dxa"/>
            <w:tcBorders>
              <w:top w:val="single" w:sz="4" w:space="0" w:color="auto"/>
              <w:left w:val="single" w:sz="4" w:space="0" w:color="auto"/>
            </w:tcBorders>
            <w:shd w:val="clear" w:color="auto" w:fill="FFFFFF"/>
          </w:tcPr>
          <w:p w14:paraId="6569A8AE" w14:textId="77777777" w:rsidR="00D10133" w:rsidRPr="00E845ED" w:rsidRDefault="00D10133" w:rsidP="005C47CD">
            <w:pPr>
              <w:widowControl w:val="0"/>
              <w:ind w:left="75" w:right="103"/>
              <w:jc w:val="both"/>
              <w:rPr>
                <w:sz w:val="22"/>
                <w:szCs w:val="22"/>
                <w:lang w:val="sr-Latn-ME"/>
              </w:rPr>
            </w:pPr>
            <w:r w:rsidRPr="00E845ED">
              <w:rPr>
                <w:color w:val="000000"/>
                <w:sz w:val="22"/>
                <w:szCs w:val="22"/>
                <w:shd w:val="clear" w:color="auto" w:fill="FFFFFF"/>
                <w:lang w:val="sr-Latn-ME"/>
              </w:rPr>
              <w:t>CL (L/kg/h)</w:t>
            </w:r>
          </w:p>
        </w:tc>
        <w:tc>
          <w:tcPr>
            <w:tcW w:w="1548" w:type="dxa"/>
            <w:tcBorders>
              <w:top w:val="single" w:sz="4" w:space="0" w:color="auto"/>
              <w:left w:val="single" w:sz="4" w:space="0" w:color="auto"/>
            </w:tcBorders>
            <w:shd w:val="clear" w:color="auto" w:fill="FFFFFF"/>
          </w:tcPr>
          <w:p w14:paraId="21790430" w14:textId="77777777" w:rsidR="00D10133" w:rsidRPr="00E845ED" w:rsidRDefault="00D10133">
            <w:pPr>
              <w:widowControl w:val="0"/>
              <w:jc w:val="center"/>
              <w:rPr>
                <w:sz w:val="22"/>
                <w:szCs w:val="22"/>
                <w:lang w:val="sr-Latn-ME"/>
              </w:rPr>
            </w:pPr>
            <w:r w:rsidRPr="00E845ED">
              <w:rPr>
                <w:color w:val="000000"/>
                <w:sz w:val="22"/>
                <w:szCs w:val="22"/>
                <w:shd w:val="clear" w:color="auto" w:fill="FFFFFF"/>
                <w:lang w:val="sr-Latn-ME"/>
              </w:rPr>
              <w:t>0,31 (0,07)</w:t>
            </w:r>
          </w:p>
        </w:tc>
        <w:tc>
          <w:tcPr>
            <w:tcW w:w="1562" w:type="dxa"/>
            <w:tcBorders>
              <w:top w:val="single" w:sz="4" w:space="0" w:color="auto"/>
              <w:left w:val="single" w:sz="4" w:space="0" w:color="auto"/>
            </w:tcBorders>
            <w:shd w:val="clear" w:color="auto" w:fill="FFFFFF"/>
          </w:tcPr>
          <w:p w14:paraId="3AA26B45" w14:textId="77777777" w:rsidR="00D10133" w:rsidRPr="00E845ED" w:rsidRDefault="00D10133">
            <w:pPr>
              <w:widowControl w:val="0"/>
              <w:ind w:left="129" w:right="153"/>
              <w:jc w:val="center"/>
              <w:rPr>
                <w:sz w:val="22"/>
                <w:szCs w:val="22"/>
                <w:lang w:val="sr-Latn-ME"/>
              </w:rPr>
            </w:pPr>
            <w:r w:rsidRPr="00E845ED">
              <w:rPr>
                <w:color w:val="000000"/>
                <w:sz w:val="22"/>
                <w:szCs w:val="22"/>
                <w:shd w:val="clear" w:color="auto" w:fill="FFFFFF"/>
                <w:lang w:val="sr-Latn-ME"/>
              </w:rPr>
              <w:t>0,30 (0,08)</w:t>
            </w:r>
          </w:p>
        </w:tc>
        <w:tc>
          <w:tcPr>
            <w:tcW w:w="1542" w:type="dxa"/>
            <w:tcBorders>
              <w:top w:val="single" w:sz="4" w:space="0" w:color="auto"/>
              <w:left w:val="single" w:sz="4" w:space="0" w:color="auto"/>
            </w:tcBorders>
            <w:shd w:val="clear" w:color="auto" w:fill="FFFFFF"/>
          </w:tcPr>
          <w:p w14:paraId="03FA1B00" w14:textId="77777777" w:rsidR="00D10133" w:rsidRPr="00E845ED" w:rsidRDefault="00D10133">
            <w:pPr>
              <w:widowControl w:val="0"/>
              <w:ind w:left="260"/>
              <w:jc w:val="center"/>
              <w:rPr>
                <w:sz w:val="22"/>
                <w:szCs w:val="22"/>
                <w:lang w:val="sr-Latn-ME"/>
              </w:rPr>
            </w:pPr>
            <w:r w:rsidRPr="00E845ED">
              <w:rPr>
                <w:color w:val="000000"/>
                <w:sz w:val="22"/>
                <w:szCs w:val="22"/>
                <w:shd w:val="clear" w:color="auto" w:fill="FFFFFF"/>
                <w:lang w:val="sr-Latn-ME"/>
              </w:rPr>
              <w:t>0,33 (0,10)</w:t>
            </w:r>
          </w:p>
        </w:tc>
        <w:tc>
          <w:tcPr>
            <w:tcW w:w="1548" w:type="dxa"/>
            <w:tcBorders>
              <w:top w:val="single" w:sz="4" w:space="0" w:color="auto"/>
              <w:left w:val="single" w:sz="4" w:space="0" w:color="auto"/>
            </w:tcBorders>
            <w:shd w:val="clear" w:color="auto" w:fill="FFFFFF"/>
          </w:tcPr>
          <w:p w14:paraId="2CEA75D0" w14:textId="77777777" w:rsidR="00D10133" w:rsidRPr="00E845ED" w:rsidRDefault="00D10133">
            <w:pPr>
              <w:widowControl w:val="0"/>
              <w:ind w:left="280"/>
              <w:jc w:val="center"/>
              <w:rPr>
                <w:sz w:val="22"/>
                <w:szCs w:val="22"/>
                <w:lang w:val="sr-Latn-ME"/>
              </w:rPr>
            </w:pPr>
            <w:r w:rsidRPr="00E845ED">
              <w:rPr>
                <w:color w:val="000000"/>
                <w:sz w:val="22"/>
                <w:szCs w:val="22"/>
                <w:shd w:val="clear" w:color="auto" w:fill="FFFFFF"/>
                <w:lang w:val="sr-Latn-ME"/>
              </w:rPr>
              <w:t>0,35 (0,09)</w:t>
            </w:r>
          </w:p>
        </w:tc>
        <w:tc>
          <w:tcPr>
            <w:tcW w:w="1562" w:type="dxa"/>
            <w:tcBorders>
              <w:top w:val="single" w:sz="4" w:space="0" w:color="auto"/>
              <w:left w:val="single" w:sz="4" w:space="0" w:color="auto"/>
              <w:right w:val="single" w:sz="4" w:space="0" w:color="auto"/>
            </w:tcBorders>
            <w:shd w:val="clear" w:color="auto" w:fill="FFFFFF"/>
          </w:tcPr>
          <w:p w14:paraId="39B689D9" w14:textId="77777777" w:rsidR="00D10133" w:rsidRPr="00E845ED" w:rsidRDefault="00D10133">
            <w:pPr>
              <w:widowControl w:val="0"/>
              <w:ind w:left="67"/>
              <w:jc w:val="center"/>
              <w:rPr>
                <w:sz w:val="22"/>
                <w:szCs w:val="22"/>
                <w:lang w:val="sr-Latn-ME"/>
              </w:rPr>
            </w:pPr>
            <w:r w:rsidRPr="00E845ED">
              <w:rPr>
                <w:color w:val="000000"/>
                <w:sz w:val="22"/>
                <w:szCs w:val="22"/>
                <w:shd w:val="clear" w:color="auto" w:fill="FFFFFF"/>
                <w:lang w:val="sr-Latn-ME"/>
              </w:rPr>
              <w:t>0,29 (0,14)</w:t>
            </w:r>
          </w:p>
        </w:tc>
      </w:tr>
      <w:tr w:rsidR="00D10133" w:rsidRPr="00E845ED" w14:paraId="4340AC27" w14:textId="77777777" w:rsidTr="00FB1926">
        <w:trPr>
          <w:trHeight w:hRule="exact" w:val="788"/>
        </w:trPr>
        <w:tc>
          <w:tcPr>
            <w:tcW w:w="1638" w:type="dxa"/>
            <w:tcBorders>
              <w:top w:val="single" w:sz="4" w:space="0" w:color="auto"/>
              <w:left w:val="single" w:sz="4" w:space="0" w:color="auto"/>
            </w:tcBorders>
            <w:shd w:val="clear" w:color="auto" w:fill="FFFFFF"/>
          </w:tcPr>
          <w:p w14:paraId="01DE25B8" w14:textId="77777777" w:rsidR="00D10133" w:rsidRPr="00E845ED" w:rsidRDefault="00D10133" w:rsidP="005C47CD">
            <w:pPr>
              <w:widowControl w:val="0"/>
              <w:ind w:left="75" w:right="103"/>
              <w:jc w:val="both"/>
              <w:rPr>
                <w:sz w:val="22"/>
                <w:szCs w:val="22"/>
                <w:lang w:val="sr-Latn-ME"/>
              </w:rPr>
            </w:pPr>
            <w:r w:rsidRPr="00E845ED">
              <w:rPr>
                <w:color w:val="000000"/>
                <w:sz w:val="22"/>
                <w:szCs w:val="22"/>
                <w:shd w:val="clear" w:color="auto" w:fill="FFFFFF"/>
                <w:lang w:val="sr-Latn-ME"/>
              </w:rPr>
              <w:t>Volumen distribucije (L/kg)</w:t>
            </w:r>
          </w:p>
        </w:tc>
        <w:tc>
          <w:tcPr>
            <w:tcW w:w="1548" w:type="dxa"/>
            <w:tcBorders>
              <w:top w:val="single" w:sz="4" w:space="0" w:color="auto"/>
              <w:left w:val="single" w:sz="4" w:space="0" w:color="auto"/>
            </w:tcBorders>
            <w:shd w:val="clear" w:color="auto" w:fill="FFFFFF"/>
          </w:tcPr>
          <w:p w14:paraId="4259BCF0" w14:textId="77777777" w:rsidR="00D10133" w:rsidRPr="00E845ED" w:rsidRDefault="00D10133">
            <w:pPr>
              <w:widowControl w:val="0"/>
              <w:jc w:val="center"/>
              <w:rPr>
                <w:sz w:val="22"/>
                <w:szCs w:val="22"/>
                <w:lang w:val="sr-Latn-ME"/>
              </w:rPr>
            </w:pPr>
            <w:r w:rsidRPr="00E845ED">
              <w:rPr>
                <w:color w:val="000000"/>
                <w:sz w:val="22"/>
                <w:szCs w:val="22"/>
                <w:shd w:val="clear" w:color="auto" w:fill="FFFFFF"/>
                <w:lang w:val="sr-Latn-ME"/>
              </w:rPr>
              <w:t>0,42 (0,06)</w:t>
            </w:r>
          </w:p>
        </w:tc>
        <w:tc>
          <w:tcPr>
            <w:tcW w:w="1562" w:type="dxa"/>
            <w:tcBorders>
              <w:top w:val="single" w:sz="4" w:space="0" w:color="auto"/>
              <w:left w:val="single" w:sz="4" w:space="0" w:color="auto"/>
            </w:tcBorders>
            <w:shd w:val="clear" w:color="auto" w:fill="FFFFFF"/>
          </w:tcPr>
          <w:p w14:paraId="07B22CC4" w14:textId="77777777" w:rsidR="00D10133" w:rsidRPr="00E845ED" w:rsidRDefault="00D10133">
            <w:pPr>
              <w:widowControl w:val="0"/>
              <w:ind w:left="129" w:right="153"/>
              <w:jc w:val="center"/>
              <w:rPr>
                <w:sz w:val="22"/>
                <w:szCs w:val="22"/>
                <w:lang w:val="sr-Latn-ME"/>
              </w:rPr>
            </w:pPr>
            <w:r w:rsidRPr="00E845ED">
              <w:rPr>
                <w:color w:val="000000"/>
                <w:sz w:val="22"/>
                <w:szCs w:val="22"/>
                <w:shd w:val="clear" w:color="auto" w:fill="FFFFFF"/>
                <w:lang w:val="sr-Latn-ME"/>
              </w:rPr>
              <w:t>0,31 (0,03)</w:t>
            </w:r>
          </w:p>
        </w:tc>
        <w:tc>
          <w:tcPr>
            <w:tcW w:w="1542" w:type="dxa"/>
            <w:tcBorders>
              <w:top w:val="single" w:sz="4" w:space="0" w:color="auto"/>
              <w:left w:val="single" w:sz="4" w:space="0" w:color="auto"/>
            </w:tcBorders>
            <w:shd w:val="clear" w:color="auto" w:fill="FFFFFF"/>
          </w:tcPr>
          <w:p w14:paraId="596C230F" w14:textId="77777777" w:rsidR="00D10133" w:rsidRPr="00E845ED" w:rsidRDefault="00D10133">
            <w:pPr>
              <w:widowControl w:val="0"/>
              <w:ind w:left="260"/>
              <w:jc w:val="center"/>
              <w:rPr>
                <w:sz w:val="22"/>
                <w:szCs w:val="22"/>
                <w:lang w:val="sr-Latn-ME"/>
              </w:rPr>
            </w:pPr>
            <w:r w:rsidRPr="00E845ED">
              <w:rPr>
                <w:color w:val="000000"/>
                <w:sz w:val="22"/>
                <w:szCs w:val="22"/>
                <w:shd w:val="clear" w:color="auto" w:fill="FFFFFF"/>
                <w:lang w:val="sr-Latn-ME"/>
              </w:rPr>
              <w:t>0,23 (0,03)</w:t>
            </w:r>
          </w:p>
        </w:tc>
        <w:tc>
          <w:tcPr>
            <w:tcW w:w="1548" w:type="dxa"/>
            <w:tcBorders>
              <w:top w:val="single" w:sz="4" w:space="0" w:color="auto"/>
              <w:left w:val="single" w:sz="4" w:space="0" w:color="auto"/>
            </w:tcBorders>
            <w:shd w:val="clear" w:color="auto" w:fill="FFFFFF"/>
          </w:tcPr>
          <w:p w14:paraId="2489D7B5" w14:textId="77777777" w:rsidR="00D10133" w:rsidRPr="00E845ED" w:rsidRDefault="00D10133">
            <w:pPr>
              <w:widowControl w:val="0"/>
              <w:ind w:left="280"/>
              <w:jc w:val="center"/>
              <w:rPr>
                <w:sz w:val="22"/>
                <w:szCs w:val="22"/>
                <w:lang w:val="sr-Latn-ME"/>
              </w:rPr>
            </w:pPr>
            <w:r w:rsidRPr="00E845ED">
              <w:rPr>
                <w:color w:val="000000"/>
                <w:sz w:val="22"/>
                <w:szCs w:val="22"/>
                <w:shd w:val="clear" w:color="auto" w:fill="FFFFFF"/>
                <w:lang w:val="sr-Latn-ME"/>
              </w:rPr>
              <w:t>0,18(0.02)</w:t>
            </w:r>
          </w:p>
        </w:tc>
        <w:tc>
          <w:tcPr>
            <w:tcW w:w="1562" w:type="dxa"/>
            <w:tcBorders>
              <w:top w:val="single" w:sz="4" w:space="0" w:color="auto"/>
              <w:left w:val="single" w:sz="4" w:space="0" w:color="auto"/>
              <w:right w:val="single" w:sz="4" w:space="0" w:color="auto"/>
            </w:tcBorders>
            <w:shd w:val="clear" w:color="auto" w:fill="FFFFFF"/>
          </w:tcPr>
          <w:p w14:paraId="57250BC0" w14:textId="77777777" w:rsidR="00D10133" w:rsidRPr="00E845ED" w:rsidRDefault="00D10133">
            <w:pPr>
              <w:widowControl w:val="0"/>
              <w:ind w:left="67"/>
              <w:jc w:val="center"/>
              <w:rPr>
                <w:sz w:val="22"/>
                <w:szCs w:val="22"/>
                <w:lang w:val="sr-Latn-ME"/>
              </w:rPr>
            </w:pPr>
            <w:r w:rsidRPr="00E845ED">
              <w:rPr>
                <w:color w:val="000000"/>
                <w:sz w:val="22"/>
                <w:szCs w:val="22"/>
                <w:shd w:val="clear" w:color="auto" w:fill="FFFFFF"/>
                <w:lang w:val="sr-Latn-ME"/>
              </w:rPr>
              <w:t>0,18 (0,01)</w:t>
            </w:r>
          </w:p>
        </w:tc>
      </w:tr>
      <w:tr w:rsidR="00D10133" w:rsidRPr="00E845ED" w14:paraId="5BC5EBBE" w14:textId="77777777" w:rsidTr="00FB1926">
        <w:trPr>
          <w:trHeight w:hRule="exact" w:val="348"/>
        </w:trPr>
        <w:tc>
          <w:tcPr>
            <w:tcW w:w="1638" w:type="dxa"/>
            <w:tcBorders>
              <w:top w:val="single" w:sz="4" w:space="0" w:color="auto"/>
              <w:left w:val="single" w:sz="4" w:space="0" w:color="auto"/>
              <w:bottom w:val="single" w:sz="4" w:space="0" w:color="auto"/>
            </w:tcBorders>
            <w:shd w:val="clear" w:color="auto" w:fill="FFFFFF"/>
          </w:tcPr>
          <w:p w14:paraId="2319211F" w14:textId="77777777" w:rsidR="00D10133" w:rsidRPr="00E845ED" w:rsidRDefault="00D10133" w:rsidP="005C47CD">
            <w:pPr>
              <w:widowControl w:val="0"/>
              <w:ind w:left="75" w:right="103"/>
              <w:jc w:val="both"/>
              <w:rPr>
                <w:sz w:val="22"/>
                <w:szCs w:val="22"/>
                <w:lang w:val="sr-Latn-ME"/>
              </w:rPr>
            </w:pPr>
            <w:r w:rsidRPr="00E845ED">
              <w:rPr>
                <w:color w:val="000000"/>
                <w:sz w:val="22"/>
                <w:szCs w:val="22"/>
                <w:shd w:val="clear" w:color="auto" w:fill="FFFFFF"/>
                <w:lang w:val="sr-Latn-ME"/>
              </w:rPr>
              <w:t xml:space="preserve">T </w:t>
            </w:r>
            <w:r w:rsidRPr="00E845ED">
              <w:rPr>
                <w:color w:val="000000"/>
                <w:sz w:val="22"/>
                <w:szCs w:val="22"/>
                <w:shd w:val="clear" w:color="auto" w:fill="FFFFFF"/>
                <w:vertAlign w:val="subscript"/>
                <w:lang w:val="sr-Latn-ME"/>
              </w:rPr>
              <w:t>1/2</w:t>
            </w:r>
            <w:r w:rsidRPr="00E845ED">
              <w:rPr>
                <w:color w:val="000000"/>
                <w:sz w:val="22"/>
                <w:szCs w:val="22"/>
                <w:shd w:val="clear" w:color="auto" w:fill="FFFFFF"/>
                <w:lang w:val="sr-Latn-ME"/>
              </w:rPr>
              <w:t xml:space="preserve"> β (h)</w:t>
            </w:r>
          </w:p>
        </w:tc>
        <w:tc>
          <w:tcPr>
            <w:tcW w:w="1548" w:type="dxa"/>
            <w:tcBorders>
              <w:top w:val="single" w:sz="4" w:space="0" w:color="auto"/>
              <w:left w:val="single" w:sz="4" w:space="0" w:color="auto"/>
              <w:bottom w:val="single" w:sz="4" w:space="0" w:color="auto"/>
            </w:tcBorders>
            <w:shd w:val="clear" w:color="auto" w:fill="FFFFFF"/>
          </w:tcPr>
          <w:p w14:paraId="16186AA5" w14:textId="77777777" w:rsidR="00D10133" w:rsidRPr="00E845ED" w:rsidRDefault="00D10133">
            <w:pPr>
              <w:widowControl w:val="0"/>
              <w:jc w:val="center"/>
              <w:rPr>
                <w:sz w:val="22"/>
                <w:szCs w:val="22"/>
                <w:lang w:val="sr-Latn-ME"/>
              </w:rPr>
            </w:pPr>
            <w:r w:rsidRPr="00E845ED">
              <w:rPr>
                <w:color w:val="000000"/>
                <w:sz w:val="22"/>
                <w:szCs w:val="22"/>
                <w:shd w:val="clear" w:color="auto" w:fill="FFFFFF"/>
                <w:lang w:val="sr-Latn-ME"/>
              </w:rPr>
              <w:t>1,1 (0,2)</w:t>
            </w:r>
          </w:p>
        </w:tc>
        <w:tc>
          <w:tcPr>
            <w:tcW w:w="1562" w:type="dxa"/>
            <w:tcBorders>
              <w:top w:val="single" w:sz="4" w:space="0" w:color="auto"/>
              <w:left w:val="single" w:sz="4" w:space="0" w:color="auto"/>
              <w:bottom w:val="single" w:sz="4" w:space="0" w:color="auto"/>
            </w:tcBorders>
            <w:shd w:val="clear" w:color="auto" w:fill="FFFFFF"/>
          </w:tcPr>
          <w:p w14:paraId="41C00140" w14:textId="77777777" w:rsidR="00D10133" w:rsidRPr="00E845ED" w:rsidRDefault="00D10133">
            <w:pPr>
              <w:widowControl w:val="0"/>
              <w:ind w:left="129" w:right="153"/>
              <w:jc w:val="center"/>
              <w:rPr>
                <w:sz w:val="22"/>
                <w:szCs w:val="22"/>
                <w:lang w:val="sr-Latn-ME"/>
              </w:rPr>
            </w:pPr>
            <w:r w:rsidRPr="00E845ED">
              <w:rPr>
                <w:color w:val="000000"/>
                <w:sz w:val="22"/>
                <w:szCs w:val="22"/>
                <w:shd w:val="clear" w:color="auto" w:fill="FFFFFF"/>
                <w:lang w:val="sr-Latn-ME"/>
              </w:rPr>
              <w:t>0,9 (0,3)</w:t>
            </w:r>
          </w:p>
        </w:tc>
        <w:tc>
          <w:tcPr>
            <w:tcW w:w="1542" w:type="dxa"/>
            <w:tcBorders>
              <w:top w:val="single" w:sz="4" w:space="0" w:color="auto"/>
              <w:left w:val="single" w:sz="4" w:space="0" w:color="auto"/>
              <w:bottom w:val="single" w:sz="4" w:space="0" w:color="auto"/>
            </w:tcBorders>
            <w:shd w:val="clear" w:color="auto" w:fill="FFFFFF"/>
          </w:tcPr>
          <w:p w14:paraId="7DFCCEC3" w14:textId="77777777" w:rsidR="00D10133" w:rsidRPr="00E845ED" w:rsidRDefault="00D10133">
            <w:pPr>
              <w:widowControl w:val="0"/>
              <w:ind w:left="260"/>
              <w:jc w:val="center"/>
              <w:rPr>
                <w:sz w:val="22"/>
                <w:szCs w:val="22"/>
                <w:lang w:val="sr-Latn-ME"/>
              </w:rPr>
            </w:pPr>
            <w:r w:rsidRPr="00E845ED">
              <w:rPr>
                <w:color w:val="000000"/>
                <w:sz w:val="22"/>
                <w:szCs w:val="22"/>
                <w:shd w:val="clear" w:color="auto" w:fill="FFFFFF"/>
                <w:lang w:val="sr-Latn-ME"/>
              </w:rPr>
              <w:t>0,8 (0,2)</w:t>
            </w:r>
          </w:p>
        </w:tc>
        <w:tc>
          <w:tcPr>
            <w:tcW w:w="1548" w:type="dxa"/>
            <w:tcBorders>
              <w:top w:val="single" w:sz="4" w:space="0" w:color="auto"/>
              <w:left w:val="single" w:sz="4" w:space="0" w:color="auto"/>
              <w:bottom w:val="single" w:sz="4" w:space="0" w:color="auto"/>
            </w:tcBorders>
            <w:shd w:val="clear" w:color="auto" w:fill="FFFFFF"/>
          </w:tcPr>
          <w:p w14:paraId="6694F8DD" w14:textId="77777777" w:rsidR="00D10133" w:rsidRPr="00E845ED" w:rsidRDefault="00D10133">
            <w:pPr>
              <w:widowControl w:val="0"/>
              <w:ind w:left="280"/>
              <w:jc w:val="center"/>
              <w:rPr>
                <w:sz w:val="22"/>
                <w:szCs w:val="22"/>
                <w:lang w:val="sr-Latn-ME"/>
              </w:rPr>
            </w:pPr>
            <w:r w:rsidRPr="00E845ED">
              <w:rPr>
                <w:color w:val="000000"/>
                <w:sz w:val="22"/>
                <w:szCs w:val="22"/>
                <w:shd w:val="clear" w:color="auto" w:fill="FFFFFF"/>
                <w:lang w:val="sr-Latn-ME"/>
              </w:rPr>
              <w:t>0,7 (0,2)</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C1C1105" w14:textId="77777777" w:rsidR="00D10133" w:rsidRPr="00E845ED" w:rsidRDefault="00D10133">
            <w:pPr>
              <w:widowControl w:val="0"/>
              <w:ind w:left="67"/>
              <w:jc w:val="center"/>
              <w:rPr>
                <w:sz w:val="22"/>
                <w:szCs w:val="22"/>
                <w:lang w:val="sr-Latn-ME"/>
              </w:rPr>
            </w:pPr>
            <w:r w:rsidRPr="00E845ED">
              <w:rPr>
                <w:color w:val="000000"/>
                <w:sz w:val="22"/>
                <w:szCs w:val="22"/>
                <w:shd w:val="clear" w:color="auto" w:fill="FFFFFF"/>
                <w:lang w:val="sr-Latn-ME"/>
              </w:rPr>
              <w:t>0,8 (0,3)</w:t>
            </w:r>
          </w:p>
        </w:tc>
      </w:tr>
    </w:tbl>
    <w:p w14:paraId="52F1CCD6" w14:textId="77777777" w:rsidR="00D10133" w:rsidRPr="00E845ED" w:rsidRDefault="00D10133" w:rsidP="005C47CD">
      <w:pPr>
        <w:jc w:val="both"/>
        <w:rPr>
          <w:rFonts w:eastAsiaTheme="minorHAnsi"/>
          <w:sz w:val="22"/>
          <w:szCs w:val="22"/>
          <w:lang w:val="sr-Latn-ME"/>
        </w:rPr>
      </w:pPr>
    </w:p>
    <w:p w14:paraId="214C0E67" w14:textId="77777777" w:rsidR="00D10133" w:rsidRPr="00E845ED" w:rsidRDefault="00D10133" w:rsidP="000B2BC5">
      <w:pPr>
        <w:jc w:val="both"/>
        <w:rPr>
          <w:rFonts w:eastAsiaTheme="minorHAnsi"/>
          <w:sz w:val="22"/>
          <w:szCs w:val="22"/>
          <w:u w:val="single"/>
          <w:lang w:val="sr-Latn-ME"/>
        </w:rPr>
      </w:pPr>
      <w:r w:rsidRPr="00E845ED">
        <w:rPr>
          <w:rFonts w:eastAsiaTheme="minorHAnsi"/>
          <w:sz w:val="22"/>
          <w:szCs w:val="22"/>
          <w:u w:val="single"/>
          <w:lang w:val="sr-Latn-ME"/>
        </w:rPr>
        <w:t xml:space="preserve">Gerijatrijski pacijenti i pacijenti sa oboljenjima jetre i/ili bilijarnog trakta i/ili renalnom insuficijencijom </w:t>
      </w:r>
    </w:p>
    <w:p w14:paraId="605225E9" w14:textId="707149E4" w:rsidR="00D10133" w:rsidRPr="00E845ED" w:rsidRDefault="00D10133">
      <w:pPr>
        <w:jc w:val="both"/>
        <w:rPr>
          <w:rFonts w:eastAsiaTheme="minorHAnsi"/>
          <w:sz w:val="22"/>
          <w:szCs w:val="22"/>
          <w:lang w:val="sr-Latn-ME"/>
        </w:rPr>
      </w:pPr>
      <w:r w:rsidRPr="00E845ED">
        <w:rPr>
          <w:rFonts w:eastAsiaTheme="minorHAnsi"/>
          <w:sz w:val="22"/>
          <w:szCs w:val="22"/>
          <w:lang w:val="sr-Latn-ME"/>
        </w:rPr>
        <w:t xml:space="preserve">U kontrolisanim studijama, klirens iz plazme kod gerijatrijskih pacijenata i kod pacijenata sa disfunkcijom bubrega bio je smanjen, u većini studija, međutim bez postizanja nivoa statističke značajnosti. Kod pacijenata sa oboljenjem jetre, srednja vrijednost poluvremena eliminacije produžava se za oko 30 minuta, a srednja vrijednost klirensa smanjuje se za 1 ml/kg/min (vidjeti </w:t>
      </w:r>
      <w:r w:rsidR="00553198" w:rsidRPr="00E845ED">
        <w:rPr>
          <w:rFonts w:eastAsiaTheme="minorHAnsi"/>
          <w:sz w:val="22"/>
          <w:szCs w:val="22"/>
          <w:lang w:val="sr-Latn-ME"/>
        </w:rPr>
        <w:t xml:space="preserve">dio </w:t>
      </w:r>
      <w:r w:rsidRPr="00E845ED">
        <w:rPr>
          <w:rFonts w:eastAsiaTheme="minorHAnsi"/>
          <w:sz w:val="22"/>
          <w:szCs w:val="22"/>
          <w:lang w:val="sr-Latn-ME"/>
        </w:rPr>
        <w:t>4.2.).</w:t>
      </w:r>
    </w:p>
    <w:p w14:paraId="4A854BF6" w14:textId="77777777" w:rsidR="00D10133" w:rsidRPr="00E845ED" w:rsidRDefault="00D10133">
      <w:pPr>
        <w:jc w:val="both"/>
        <w:rPr>
          <w:rFonts w:eastAsiaTheme="minorHAnsi"/>
          <w:sz w:val="22"/>
          <w:szCs w:val="22"/>
          <w:lang w:val="sr-Latn-ME"/>
        </w:rPr>
      </w:pPr>
    </w:p>
    <w:p w14:paraId="76C000EB" w14:textId="77777777" w:rsidR="00D10133" w:rsidRPr="00E845ED" w:rsidRDefault="00D10133">
      <w:pPr>
        <w:jc w:val="both"/>
        <w:rPr>
          <w:rFonts w:eastAsiaTheme="minorHAnsi"/>
          <w:sz w:val="22"/>
          <w:szCs w:val="22"/>
          <w:u w:val="single"/>
          <w:lang w:val="sr-Latn-ME"/>
        </w:rPr>
      </w:pPr>
      <w:r w:rsidRPr="00E845ED">
        <w:rPr>
          <w:rFonts w:eastAsiaTheme="minorHAnsi"/>
          <w:sz w:val="22"/>
          <w:szCs w:val="22"/>
          <w:u w:val="single"/>
          <w:lang w:val="sr-Latn-ME"/>
        </w:rPr>
        <w:t>Jedinica intenzivne njege</w:t>
      </w:r>
    </w:p>
    <w:p w14:paraId="3EF02E6F" w14:textId="5E8C7319" w:rsidR="00D10133" w:rsidRPr="00E845ED" w:rsidRDefault="00D10133">
      <w:pPr>
        <w:jc w:val="both"/>
        <w:rPr>
          <w:rFonts w:eastAsiaTheme="minorHAnsi"/>
          <w:sz w:val="22"/>
          <w:szCs w:val="22"/>
          <w:lang w:val="sr-Latn-ME"/>
        </w:rPr>
      </w:pPr>
      <w:r w:rsidRPr="00E845ED">
        <w:rPr>
          <w:rFonts w:eastAsiaTheme="minorHAnsi"/>
          <w:sz w:val="22"/>
          <w:szCs w:val="22"/>
          <w:lang w:val="sr-Latn-ME"/>
        </w:rPr>
        <w:t>Kada se primjenjuje kao kontinuirana infuzija radi olakšavanja mehaničke ventilacije tokom 20 sati ili više, srednja vrijednost poluvremena eliminacije i srednja vrijednost (prividnog) volumena distribucije u stanju ravnoteže su povećane. Velika varijabilnost između pacijenata zabilježena je u kontrolisanim kliničkim studijama, koja se odnosi na prirodu i obim (multiple) organske insuficijencije i individualne karakteristike pacijenta. Kod pacijenata sa multiplom organskom insuficijencijom utvrđena je srednja vr</w:t>
      </w:r>
      <w:r w:rsidR="00F942B3" w:rsidRPr="00E845ED">
        <w:rPr>
          <w:rFonts w:eastAsiaTheme="minorHAnsi"/>
          <w:sz w:val="22"/>
          <w:szCs w:val="22"/>
          <w:lang w:val="sr-Latn-ME"/>
        </w:rPr>
        <w:t>ij</w:t>
      </w:r>
      <w:r w:rsidRPr="00E845ED">
        <w:rPr>
          <w:rFonts w:eastAsiaTheme="minorHAnsi"/>
          <w:sz w:val="22"/>
          <w:szCs w:val="22"/>
          <w:lang w:val="sr-Latn-ME"/>
        </w:rPr>
        <w:t>ednost (± SD) poluvremena eliminacije od 21,5 (± 3,3) sati, (prividni) volumen distribucije u stanju ravnoteže od 1,5 (± 0,8) 1/kg i klirens iz plazme je iznosio 2,1 (</w:t>
      </w:r>
      <w:r w:rsidR="00553198" w:rsidRPr="00E845ED">
        <w:rPr>
          <w:rFonts w:eastAsiaTheme="minorHAnsi"/>
          <w:sz w:val="22"/>
          <w:szCs w:val="22"/>
          <w:lang w:val="sr-Latn-ME"/>
        </w:rPr>
        <w:t>n</w:t>
      </w:r>
      <w:r w:rsidRPr="00E845ED">
        <w:rPr>
          <w:rFonts w:eastAsiaTheme="minorHAnsi"/>
          <w:sz w:val="22"/>
          <w:szCs w:val="22"/>
          <w:lang w:val="sr-Latn-ME"/>
        </w:rPr>
        <w:t xml:space="preserve">ađeno je ± 0,8) ml /kg/min (vidjeti </w:t>
      </w:r>
      <w:r w:rsidR="00553198" w:rsidRPr="00E845ED">
        <w:rPr>
          <w:rFonts w:eastAsiaTheme="minorHAnsi"/>
          <w:sz w:val="22"/>
          <w:szCs w:val="22"/>
          <w:lang w:val="sr-Latn-ME"/>
        </w:rPr>
        <w:t xml:space="preserve">dio </w:t>
      </w:r>
      <w:r w:rsidRPr="00E845ED">
        <w:rPr>
          <w:rFonts w:eastAsiaTheme="minorHAnsi"/>
          <w:sz w:val="22"/>
          <w:szCs w:val="22"/>
          <w:lang w:val="sr-Latn-ME"/>
        </w:rPr>
        <w:t>4.2.).</w:t>
      </w:r>
    </w:p>
    <w:p w14:paraId="7A41E063" w14:textId="77777777" w:rsidR="00D10133" w:rsidRPr="00E845ED" w:rsidRDefault="00D10133" w:rsidP="00D542D8">
      <w:pPr>
        <w:tabs>
          <w:tab w:val="left" w:pos="540"/>
          <w:tab w:val="left" w:pos="569"/>
        </w:tabs>
        <w:jc w:val="both"/>
        <w:rPr>
          <w:bCs/>
          <w:sz w:val="22"/>
          <w:szCs w:val="22"/>
          <w:lang w:val="sr-Latn-ME"/>
        </w:rPr>
      </w:pPr>
    </w:p>
    <w:p w14:paraId="5CABD72E"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5.3. </w:t>
      </w:r>
      <w:r w:rsidR="00480FB1" w:rsidRPr="00E845ED">
        <w:rPr>
          <w:b/>
          <w:bCs/>
          <w:sz w:val="22"/>
          <w:szCs w:val="22"/>
          <w:lang w:val="sr-Latn-ME"/>
        </w:rPr>
        <w:tab/>
      </w:r>
      <w:r w:rsidRPr="00E845ED">
        <w:rPr>
          <w:b/>
          <w:bCs/>
          <w:sz w:val="22"/>
          <w:szCs w:val="22"/>
          <w:lang w:val="sr-Latn-ME"/>
        </w:rPr>
        <w:t xml:space="preserve">Pretklinički podaci o bezbjednosti </w:t>
      </w:r>
    </w:p>
    <w:p w14:paraId="476AE40A" w14:textId="2C23AD57" w:rsidR="00836B35" w:rsidRPr="00E845ED" w:rsidRDefault="00836B35" w:rsidP="00D542D8">
      <w:pPr>
        <w:tabs>
          <w:tab w:val="left" w:pos="540"/>
          <w:tab w:val="left" w:pos="569"/>
        </w:tabs>
        <w:jc w:val="both"/>
        <w:rPr>
          <w:bCs/>
          <w:sz w:val="22"/>
          <w:szCs w:val="22"/>
          <w:lang w:val="sr-Latn-ME"/>
        </w:rPr>
      </w:pPr>
    </w:p>
    <w:p w14:paraId="02A1C9A4" w14:textId="77777777" w:rsidR="00D10133" w:rsidRPr="00E845ED" w:rsidRDefault="00D10133" w:rsidP="005C47CD">
      <w:pPr>
        <w:tabs>
          <w:tab w:val="left" w:pos="540"/>
          <w:tab w:val="left" w:pos="569"/>
        </w:tabs>
        <w:jc w:val="both"/>
        <w:rPr>
          <w:bCs/>
          <w:sz w:val="22"/>
          <w:szCs w:val="22"/>
          <w:lang w:val="sr-Latn-ME"/>
        </w:rPr>
      </w:pPr>
      <w:r w:rsidRPr="00E845ED">
        <w:rPr>
          <w:bCs/>
          <w:sz w:val="22"/>
          <w:szCs w:val="22"/>
          <w:lang w:val="sr-Latn-ME"/>
        </w:rPr>
        <w:t>Efekti u pretkliničkim studijama zabilježeni su samo pri izloženostima za koje se smatralo da su dovoljno veće od maksimalne izloženosti ljudi, što znači da je to od malog značaja za kliničku upotrebu.</w:t>
      </w:r>
    </w:p>
    <w:p w14:paraId="13C1586C" w14:textId="77777777" w:rsidR="00D10133" w:rsidRPr="00E845ED" w:rsidRDefault="00D10133" w:rsidP="000B2BC5">
      <w:pPr>
        <w:tabs>
          <w:tab w:val="left" w:pos="540"/>
          <w:tab w:val="left" w:pos="569"/>
        </w:tabs>
        <w:jc w:val="both"/>
        <w:rPr>
          <w:bCs/>
          <w:sz w:val="22"/>
          <w:szCs w:val="22"/>
          <w:lang w:val="sr-Latn-ME"/>
        </w:rPr>
      </w:pPr>
    </w:p>
    <w:p w14:paraId="6FBD9BC6" w14:textId="7B69D16B" w:rsidR="00D10133" w:rsidRPr="00E845ED" w:rsidRDefault="00D10133">
      <w:pPr>
        <w:tabs>
          <w:tab w:val="left" w:pos="540"/>
          <w:tab w:val="left" w:pos="569"/>
        </w:tabs>
        <w:jc w:val="both"/>
        <w:rPr>
          <w:bCs/>
          <w:sz w:val="22"/>
          <w:szCs w:val="22"/>
          <w:lang w:val="sr-Latn-ME"/>
        </w:rPr>
      </w:pPr>
      <w:r w:rsidRPr="00E845ED">
        <w:rPr>
          <w:bCs/>
          <w:sz w:val="22"/>
          <w:szCs w:val="22"/>
          <w:lang w:val="sr-Latn-ME"/>
        </w:rPr>
        <w:t>Ne postoji odgovarajući eksperimentalni model na životinjama koji bi mogao da vjerodostojno predstavi kompleksnost kliničke slike kod pacijenata u JIN. Zbog toga se podaci o bezbjednosti primjene rokuronijum bromida kada se koristi za olakšavanje mehaničke ventilacije u JIN uglavnom baziraju na podacima dobijenim u kliničkim studijama.</w:t>
      </w:r>
    </w:p>
    <w:p w14:paraId="6ABB35C9" w14:textId="77777777" w:rsidR="00396DFD" w:rsidRPr="00E845ED" w:rsidRDefault="00396DFD" w:rsidP="00D542D8">
      <w:pPr>
        <w:tabs>
          <w:tab w:val="left" w:pos="540"/>
          <w:tab w:val="left" w:pos="569"/>
        </w:tabs>
        <w:jc w:val="both"/>
        <w:rPr>
          <w:b/>
          <w:bCs/>
          <w:sz w:val="22"/>
          <w:szCs w:val="22"/>
          <w:lang w:val="sr-Latn-ME"/>
        </w:rPr>
      </w:pPr>
    </w:p>
    <w:p w14:paraId="2B0B5E46"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 </w:t>
      </w:r>
      <w:r w:rsidR="00480FB1" w:rsidRPr="00E845ED">
        <w:rPr>
          <w:b/>
          <w:bCs/>
          <w:sz w:val="22"/>
          <w:szCs w:val="22"/>
          <w:lang w:val="sr-Latn-ME"/>
        </w:rPr>
        <w:tab/>
      </w:r>
      <w:r w:rsidRPr="00E845ED">
        <w:rPr>
          <w:b/>
          <w:bCs/>
          <w:sz w:val="22"/>
          <w:szCs w:val="22"/>
          <w:lang w:val="sr-Latn-ME"/>
        </w:rPr>
        <w:t>FARMACEUTSKI PODACI</w:t>
      </w:r>
    </w:p>
    <w:p w14:paraId="6E2C7FBD" w14:textId="77777777" w:rsidR="00836B35" w:rsidRPr="00E845ED" w:rsidRDefault="00836B35" w:rsidP="00D542D8">
      <w:pPr>
        <w:tabs>
          <w:tab w:val="left" w:pos="540"/>
          <w:tab w:val="left" w:pos="569"/>
        </w:tabs>
        <w:jc w:val="both"/>
        <w:rPr>
          <w:bCs/>
          <w:sz w:val="22"/>
          <w:szCs w:val="22"/>
          <w:lang w:val="sr-Latn-ME"/>
        </w:rPr>
      </w:pPr>
    </w:p>
    <w:p w14:paraId="3C2D6D79"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6.1. </w:t>
      </w:r>
      <w:r w:rsidR="00480FB1" w:rsidRPr="00E845ED">
        <w:rPr>
          <w:b/>
          <w:bCs/>
          <w:sz w:val="22"/>
          <w:szCs w:val="22"/>
          <w:lang w:val="sr-Latn-ME"/>
        </w:rPr>
        <w:tab/>
      </w:r>
      <w:r w:rsidRPr="00E845ED">
        <w:rPr>
          <w:b/>
          <w:bCs/>
          <w:sz w:val="22"/>
          <w:szCs w:val="22"/>
          <w:lang w:val="sr-Latn-ME"/>
        </w:rPr>
        <w:t>Lista pomoćnih supstanci</w:t>
      </w:r>
      <w:r w:rsidR="002E0135" w:rsidRPr="00E845ED">
        <w:rPr>
          <w:b/>
          <w:bCs/>
          <w:sz w:val="22"/>
          <w:szCs w:val="22"/>
          <w:lang w:val="sr-Latn-ME"/>
        </w:rPr>
        <w:t xml:space="preserve"> (ekscipijenasa)</w:t>
      </w:r>
    </w:p>
    <w:p w14:paraId="35CD7F84" w14:textId="214EB181" w:rsidR="0072020E" w:rsidRPr="00E845ED" w:rsidRDefault="0072020E" w:rsidP="00D542D8">
      <w:pPr>
        <w:tabs>
          <w:tab w:val="left" w:pos="540"/>
          <w:tab w:val="left" w:pos="569"/>
        </w:tabs>
        <w:jc w:val="both"/>
        <w:rPr>
          <w:bCs/>
          <w:sz w:val="22"/>
          <w:szCs w:val="22"/>
          <w:lang w:val="sr-Latn-ME"/>
        </w:rPr>
      </w:pPr>
    </w:p>
    <w:p w14:paraId="121BDF1A" w14:textId="2834F4AA" w:rsidR="00D10133" w:rsidRPr="00E845ED" w:rsidRDefault="00E845ED" w:rsidP="00D542D8">
      <w:pPr>
        <w:tabs>
          <w:tab w:val="left" w:pos="540"/>
          <w:tab w:val="left" w:pos="569"/>
        </w:tabs>
        <w:jc w:val="both"/>
        <w:rPr>
          <w:bCs/>
          <w:sz w:val="22"/>
          <w:szCs w:val="22"/>
          <w:lang w:val="sr-Latn-ME"/>
        </w:rPr>
      </w:pPr>
      <w:r w:rsidRPr="00E845ED">
        <w:rPr>
          <w:bCs/>
          <w:sz w:val="22"/>
          <w:szCs w:val="22"/>
          <w:lang w:val="sr-Latn-ME"/>
        </w:rPr>
        <w:t xml:space="preserve">Natrijum </w:t>
      </w:r>
      <w:r w:rsidR="00D10133" w:rsidRPr="00E845ED">
        <w:rPr>
          <w:bCs/>
          <w:sz w:val="22"/>
          <w:szCs w:val="22"/>
          <w:lang w:val="sr-Latn-ME"/>
        </w:rPr>
        <w:t>hlorid</w:t>
      </w:r>
    </w:p>
    <w:p w14:paraId="524AA5E3" w14:textId="6287E97C" w:rsidR="00D10133" w:rsidRPr="00E845ED" w:rsidRDefault="00E845ED" w:rsidP="00D542D8">
      <w:pPr>
        <w:tabs>
          <w:tab w:val="left" w:pos="540"/>
          <w:tab w:val="left" w:pos="569"/>
        </w:tabs>
        <w:jc w:val="both"/>
        <w:rPr>
          <w:bCs/>
          <w:sz w:val="22"/>
          <w:szCs w:val="22"/>
          <w:lang w:val="sr-Latn-ME"/>
        </w:rPr>
      </w:pPr>
      <w:r w:rsidRPr="00E845ED">
        <w:rPr>
          <w:bCs/>
          <w:sz w:val="22"/>
          <w:szCs w:val="22"/>
          <w:lang w:val="sr-Latn-ME"/>
        </w:rPr>
        <w:t xml:space="preserve">Natrijum </w:t>
      </w:r>
      <w:r w:rsidR="00D10133" w:rsidRPr="00E845ED">
        <w:rPr>
          <w:bCs/>
          <w:sz w:val="22"/>
          <w:szCs w:val="22"/>
          <w:lang w:val="sr-Latn-ME"/>
        </w:rPr>
        <w:t>acetat trihidrat</w:t>
      </w:r>
    </w:p>
    <w:p w14:paraId="14CACD35" w14:textId="1DBDFDCA" w:rsidR="00D10133" w:rsidRPr="00E845ED" w:rsidRDefault="00E845ED" w:rsidP="00D542D8">
      <w:pPr>
        <w:tabs>
          <w:tab w:val="left" w:pos="540"/>
          <w:tab w:val="left" w:pos="569"/>
        </w:tabs>
        <w:jc w:val="both"/>
        <w:rPr>
          <w:bCs/>
          <w:sz w:val="22"/>
          <w:szCs w:val="22"/>
          <w:lang w:val="sr-Latn-ME"/>
        </w:rPr>
      </w:pPr>
      <w:r w:rsidRPr="00E845ED">
        <w:rPr>
          <w:bCs/>
          <w:sz w:val="22"/>
          <w:szCs w:val="22"/>
          <w:lang w:val="sr-Latn-ME"/>
        </w:rPr>
        <w:t xml:space="preserve">Sirćetna </w:t>
      </w:r>
      <w:r w:rsidR="00D10133" w:rsidRPr="00E845ED">
        <w:rPr>
          <w:bCs/>
          <w:sz w:val="22"/>
          <w:szCs w:val="22"/>
          <w:lang w:val="sr-Latn-ME"/>
        </w:rPr>
        <w:t>kiselina, glacijalna (za podešavanje pH)</w:t>
      </w:r>
    </w:p>
    <w:p w14:paraId="62FC6572" w14:textId="4E51E5A1" w:rsidR="00D10133" w:rsidRPr="00E845ED" w:rsidRDefault="00E845ED" w:rsidP="00D542D8">
      <w:pPr>
        <w:tabs>
          <w:tab w:val="left" w:pos="540"/>
          <w:tab w:val="left" w:pos="569"/>
        </w:tabs>
        <w:jc w:val="both"/>
        <w:rPr>
          <w:bCs/>
          <w:sz w:val="22"/>
          <w:szCs w:val="22"/>
          <w:lang w:val="sr-Latn-ME"/>
        </w:rPr>
      </w:pPr>
      <w:r w:rsidRPr="00E845ED">
        <w:rPr>
          <w:bCs/>
          <w:sz w:val="22"/>
          <w:szCs w:val="22"/>
          <w:lang w:val="sr-Latn-ME"/>
        </w:rPr>
        <w:t xml:space="preserve">Voda </w:t>
      </w:r>
      <w:r w:rsidR="00D10133" w:rsidRPr="00E845ED">
        <w:rPr>
          <w:bCs/>
          <w:sz w:val="22"/>
          <w:szCs w:val="22"/>
          <w:lang w:val="sr-Latn-ME"/>
        </w:rPr>
        <w:t>za injekcije</w:t>
      </w:r>
    </w:p>
    <w:p w14:paraId="59097272" w14:textId="77777777" w:rsidR="00D10133" w:rsidRPr="00E845ED" w:rsidRDefault="00D10133" w:rsidP="00D542D8">
      <w:pPr>
        <w:tabs>
          <w:tab w:val="left" w:pos="540"/>
          <w:tab w:val="left" w:pos="569"/>
        </w:tabs>
        <w:jc w:val="both"/>
        <w:rPr>
          <w:bCs/>
          <w:sz w:val="22"/>
          <w:szCs w:val="22"/>
          <w:lang w:val="sr-Latn-ME"/>
        </w:rPr>
      </w:pPr>
    </w:p>
    <w:p w14:paraId="27A1CC83"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6.2. </w:t>
      </w:r>
      <w:r w:rsidR="00480FB1" w:rsidRPr="00E845ED">
        <w:rPr>
          <w:b/>
          <w:bCs/>
          <w:sz w:val="22"/>
          <w:szCs w:val="22"/>
          <w:lang w:val="sr-Latn-ME"/>
        </w:rPr>
        <w:tab/>
      </w:r>
      <w:r w:rsidRPr="00E845ED">
        <w:rPr>
          <w:b/>
          <w:bCs/>
          <w:sz w:val="22"/>
          <w:szCs w:val="22"/>
          <w:lang w:val="sr-Latn-ME"/>
        </w:rPr>
        <w:t>Inkompatibilnost</w:t>
      </w:r>
      <w:r w:rsidR="002846DB" w:rsidRPr="00E845ED">
        <w:rPr>
          <w:b/>
          <w:bCs/>
          <w:sz w:val="22"/>
          <w:szCs w:val="22"/>
          <w:lang w:val="sr-Latn-ME"/>
        </w:rPr>
        <w:t>i</w:t>
      </w:r>
    </w:p>
    <w:p w14:paraId="052F841A" w14:textId="150B8074" w:rsidR="0072020E" w:rsidRPr="00E845ED" w:rsidRDefault="0072020E" w:rsidP="00D542D8">
      <w:pPr>
        <w:tabs>
          <w:tab w:val="left" w:pos="540"/>
          <w:tab w:val="left" w:pos="569"/>
        </w:tabs>
        <w:jc w:val="both"/>
        <w:rPr>
          <w:bCs/>
          <w:sz w:val="22"/>
          <w:szCs w:val="22"/>
          <w:lang w:val="sr-Latn-ME"/>
        </w:rPr>
      </w:pPr>
    </w:p>
    <w:p w14:paraId="713E8E7B" w14:textId="776DDE37" w:rsidR="00D10133" w:rsidRPr="00E845ED" w:rsidRDefault="00D10133" w:rsidP="005C47CD">
      <w:pPr>
        <w:jc w:val="both"/>
        <w:rPr>
          <w:rFonts w:eastAsiaTheme="minorHAnsi"/>
          <w:sz w:val="22"/>
          <w:szCs w:val="22"/>
          <w:lang w:val="sr-Latn-ME"/>
        </w:rPr>
      </w:pPr>
      <w:r w:rsidRPr="00E845ED">
        <w:rPr>
          <w:rFonts w:eastAsiaTheme="minorHAnsi"/>
          <w:sz w:val="22"/>
          <w:szCs w:val="22"/>
          <w:lang w:val="sr-Latn-ME"/>
        </w:rPr>
        <w:t>Dokazana je fizička inkompatibilnost rokuronijum bromid</w:t>
      </w:r>
      <w:r w:rsidR="005C1EF3" w:rsidRPr="00E845ED">
        <w:rPr>
          <w:rFonts w:eastAsiaTheme="minorHAnsi"/>
          <w:sz w:val="22"/>
          <w:szCs w:val="22"/>
          <w:lang w:val="sr-Latn-ME"/>
        </w:rPr>
        <w:t>a</w:t>
      </w:r>
      <w:r w:rsidRPr="00E845ED">
        <w:rPr>
          <w:rFonts w:eastAsiaTheme="minorHAnsi"/>
          <w:sz w:val="22"/>
          <w:szCs w:val="22"/>
          <w:lang w:val="sr-Latn-ME"/>
        </w:rPr>
        <w:t xml:space="preserve"> kada se doda rastvorima koji sadrže sljedeće ljekove: amfotericin, amoksicilin, azatioprin, cefazolin, kloksacilin, deksametazon, diazepam, enoksimon, eritromicin, famotidin, furosemid, hidrokortizon natrijum sukcinat, insulin, intralipid, metoheksital, metilprednizolon, prednizolon natrijum sukcinat, tiopental, trimetoprim i vankomicin.</w:t>
      </w:r>
    </w:p>
    <w:p w14:paraId="164FC8BB" w14:textId="77777777" w:rsidR="005C1EF3" w:rsidRPr="00E845ED" w:rsidRDefault="005C1EF3" w:rsidP="000B2BC5">
      <w:pPr>
        <w:jc w:val="both"/>
        <w:rPr>
          <w:rFonts w:eastAsiaTheme="minorHAnsi"/>
          <w:sz w:val="22"/>
          <w:szCs w:val="22"/>
          <w:lang w:val="sr-Latn-ME"/>
        </w:rPr>
      </w:pPr>
    </w:p>
    <w:p w14:paraId="07ECED36" w14:textId="1CBDF14C" w:rsidR="00D10133" w:rsidRPr="00E845ED" w:rsidRDefault="00D10133">
      <w:pPr>
        <w:jc w:val="both"/>
        <w:rPr>
          <w:rFonts w:eastAsiaTheme="minorHAnsi"/>
          <w:sz w:val="22"/>
          <w:szCs w:val="22"/>
          <w:lang w:val="sr-Latn-ME"/>
        </w:rPr>
      </w:pPr>
      <w:r w:rsidRPr="00E845ED">
        <w:rPr>
          <w:rFonts w:eastAsiaTheme="minorHAnsi"/>
          <w:sz w:val="22"/>
          <w:szCs w:val="22"/>
          <w:lang w:val="sr-Latn-ME"/>
        </w:rPr>
        <w:t>Ovaj lijek se ne smije m</w:t>
      </w:r>
      <w:r w:rsidR="005C1EF3" w:rsidRPr="00E845ED">
        <w:rPr>
          <w:rFonts w:eastAsiaTheme="minorHAnsi"/>
          <w:sz w:val="22"/>
          <w:szCs w:val="22"/>
          <w:lang w:val="sr-Latn-ME"/>
        </w:rPr>
        <w:t>i</w:t>
      </w:r>
      <w:r w:rsidRPr="00E845ED">
        <w:rPr>
          <w:rFonts w:eastAsiaTheme="minorHAnsi"/>
          <w:sz w:val="22"/>
          <w:szCs w:val="22"/>
          <w:lang w:val="sr-Latn-ME"/>
        </w:rPr>
        <w:t xml:space="preserve">ješati sa drugim ljekovima, osim onih koji su navedeni u </w:t>
      </w:r>
      <w:r w:rsidR="00AF4FF2">
        <w:rPr>
          <w:rFonts w:eastAsiaTheme="minorHAnsi"/>
          <w:sz w:val="22"/>
          <w:szCs w:val="22"/>
          <w:lang w:val="sr-Latn-ME"/>
        </w:rPr>
        <w:t>dijelu</w:t>
      </w:r>
      <w:r w:rsidR="00AF4FF2" w:rsidRPr="00E845ED">
        <w:rPr>
          <w:rFonts w:eastAsiaTheme="minorHAnsi"/>
          <w:sz w:val="22"/>
          <w:szCs w:val="22"/>
          <w:lang w:val="sr-Latn-ME"/>
        </w:rPr>
        <w:t xml:space="preserve"> </w:t>
      </w:r>
      <w:r w:rsidRPr="00E845ED">
        <w:rPr>
          <w:rFonts w:eastAsiaTheme="minorHAnsi"/>
          <w:sz w:val="22"/>
          <w:szCs w:val="22"/>
          <w:lang w:val="sr-Latn-ME"/>
        </w:rPr>
        <w:t>6.6.</w:t>
      </w:r>
    </w:p>
    <w:p w14:paraId="2754F315" w14:textId="77777777" w:rsidR="00D10133" w:rsidRPr="00E845ED" w:rsidRDefault="00D10133">
      <w:pPr>
        <w:ind w:left="360"/>
        <w:contextualSpacing/>
        <w:jc w:val="both"/>
        <w:rPr>
          <w:rFonts w:eastAsiaTheme="minorHAnsi"/>
          <w:sz w:val="22"/>
          <w:szCs w:val="22"/>
          <w:lang w:val="sr-Latn-ME"/>
        </w:rPr>
      </w:pPr>
    </w:p>
    <w:p w14:paraId="754B9FCE" w14:textId="423A73C7" w:rsidR="00D10133" w:rsidRPr="00E845ED" w:rsidRDefault="00D10133">
      <w:pPr>
        <w:tabs>
          <w:tab w:val="left" w:pos="540"/>
          <w:tab w:val="left" w:pos="569"/>
        </w:tabs>
        <w:jc w:val="both"/>
        <w:rPr>
          <w:rFonts w:eastAsiaTheme="minorHAnsi"/>
          <w:sz w:val="22"/>
          <w:szCs w:val="22"/>
          <w:lang w:val="sr-Latn-ME"/>
        </w:rPr>
      </w:pPr>
      <w:r w:rsidRPr="00E845ED">
        <w:rPr>
          <w:rFonts w:eastAsiaTheme="minorHAnsi"/>
          <w:sz w:val="22"/>
          <w:szCs w:val="22"/>
          <w:lang w:val="sr-Latn-ME"/>
        </w:rPr>
        <w:t>Ukoliko se rokuronijum bromid primjenjuje preko iste intravenske linije sa drugim ljekovima, važno je da se ta infuziona linija na odgovarajući način ispere (npr., sa 0,9% NaCl) između primjene rokuronijum bromida i ljekova koji su inkompatibilni sa rokuronijum bromidom ili za koje nije utvrđena kompatibilnost sa rokuronijum bromidom.</w:t>
      </w:r>
    </w:p>
    <w:p w14:paraId="57786771" w14:textId="77777777" w:rsidR="00D10133" w:rsidRPr="00E845ED" w:rsidRDefault="00D10133" w:rsidP="00D542D8">
      <w:pPr>
        <w:tabs>
          <w:tab w:val="left" w:pos="540"/>
          <w:tab w:val="left" w:pos="569"/>
        </w:tabs>
        <w:jc w:val="both"/>
        <w:rPr>
          <w:bCs/>
          <w:sz w:val="22"/>
          <w:szCs w:val="22"/>
          <w:lang w:val="sr-Latn-ME"/>
        </w:rPr>
      </w:pPr>
    </w:p>
    <w:p w14:paraId="0AEB8A01"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6.3.</w:t>
      </w:r>
      <w:r w:rsidR="00C05DF8" w:rsidRPr="00E845ED">
        <w:rPr>
          <w:b/>
          <w:bCs/>
          <w:sz w:val="22"/>
          <w:szCs w:val="22"/>
          <w:lang w:val="sr-Latn-ME"/>
        </w:rPr>
        <w:t xml:space="preserve"> </w:t>
      </w:r>
      <w:r w:rsidR="00480FB1" w:rsidRPr="00E845ED">
        <w:rPr>
          <w:b/>
          <w:bCs/>
          <w:sz w:val="22"/>
          <w:szCs w:val="22"/>
          <w:lang w:val="sr-Latn-ME"/>
        </w:rPr>
        <w:tab/>
      </w:r>
      <w:r w:rsidRPr="00E845ED">
        <w:rPr>
          <w:b/>
          <w:bCs/>
          <w:sz w:val="22"/>
          <w:szCs w:val="22"/>
          <w:lang w:val="sr-Latn-ME"/>
        </w:rPr>
        <w:t>Rok upotrebe</w:t>
      </w:r>
    </w:p>
    <w:p w14:paraId="0919F074" w14:textId="77CBBD30" w:rsidR="0072020E" w:rsidRPr="00E845ED" w:rsidRDefault="0072020E" w:rsidP="00D542D8">
      <w:pPr>
        <w:tabs>
          <w:tab w:val="left" w:pos="540"/>
          <w:tab w:val="left" w:pos="569"/>
        </w:tabs>
        <w:jc w:val="both"/>
        <w:rPr>
          <w:bCs/>
          <w:sz w:val="22"/>
          <w:szCs w:val="22"/>
          <w:lang w:val="sr-Latn-ME"/>
        </w:rPr>
      </w:pPr>
    </w:p>
    <w:p w14:paraId="74690337" w14:textId="3DDEABF4" w:rsidR="00EA27AC" w:rsidRDefault="00D10133" w:rsidP="005C47CD">
      <w:pPr>
        <w:tabs>
          <w:tab w:val="left" w:pos="540"/>
          <w:tab w:val="left" w:pos="569"/>
        </w:tabs>
        <w:jc w:val="both"/>
        <w:rPr>
          <w:bCs/>
          <w:sz w:val="22"/>
          <w:szCs w:val="22"/>
          <w:lang w:val="sr-Latn-ME"/>
        </w:rPr>
      </w:pPr>
      <w:r w:rsidRPr="00D542D8">
        <w:rPr>
          <w:bCs/>
          <w:i/>
          <w:sz w:val="22"/>
          <w:szCs w:val="22"/>
          <w:lang w:val="sr-Latn-ME"/>
        </w:rPr>
        <w:t>Rok upotrebe neotvorene bočice</w:t>
      </w:r>
    </w:p>
    <w:p w14:paraId="7B02AE56" w14:textId="22778416" w:rsidR="00D10133" w:rsidRPr="00E845ED" w:rsidRDefault="00D10133" w:rsidP="005C47CD">
      <w:pPr>
        <w:tabs>
          <w:tab w:val="left" w:pos="540"/>
          <w:tab w:val="left" w:pos="569"/>
        </w:tabs>
        <w:jc w:val="both"/>
        <w:rPr>
          <w:bCs/>
          <w:sz w:val="22"/>
          <w:szCs w:val="22"/>
          <w:lang w:val="sr-Latn-ME"/>
        </w:rPr>
      </w:pPr>
      <w:r w:rsidRPr="00E845ED">
        <w:rPr>
          <w:bCs/>
          <w:sz w:val="22"/>
          <w:szCs w:val="22"/>
          <w:lang w:val="sr-Latn-ME"/>
        </w:rPr>
        <w:t>2 godine.</w:t>
      </w:r>
    </w:p>
    <w:p w14:paraId="23C1B44C" w14:textId="77777777" w:rsidR="00AF4FF2" w:rsidRDefault="00AF4FF2" w:rsidP="000B2BC5">
      <w:pPr>
        <w:tabs>
          <w:tab w:val="left" w:pos="540"/>
          <w:tab w:val="left" w:pos="569"/>
        </w:tabs>
        <w:jc w:val="both"/>
        <w:rPr>
          <w:bCs/>
          <w:sz w:val="22"/>
          <w:szCs w:val="22"/>
          <w:lang w:val="sr-Latn-ME"/>
        </w:rPr>
      </w:pPr>
    </w:p>
    <w:p w14:paraId="30E7213D" w14:textId="1C268553" w:rsidR="00D10133" w:rsidRPr="00D542D8" w:rsidRDefault="00DA5E66" w:rsidP="000B2BC5">
      <w:pPr>
        <w:tabs>
          <w:tab w:val="left" w:pos="540"/>
          <w:tab w:val="left" w:pos="569"/>
        </w:tabs>
        <w:jc w:val="both"/>
        <w:rPr>
          <w:bCs/>
          <w:i/>
          <w:sz w:val="22"/>
          <w:szCs w:val="22"/>
          <w:lang w:val="sr-Latn-ME"/>
        </w:rPr>
      </w:pPr>
      <w:r w:rsidRPr="00D542D8">
        <w:rPr>
          <w:bCs/>
          <w:i/>
          <w:sz w:val="22"/>
          <w:szCs w:val="22"/>
          <w:lang w:val="sr-Latn-ME"/>
        </w:rPr>
        <w:t>Rok upotrebe nakon razblaživanja</w:t>
      </w:r>
    </w:p>
    <w:p w14:paraId="2DF2EEB6" w14:textId="654886C6" w:rsidR="00D10133" w:rsidRPr="00E845ED" w:rsidRDefault="00EA27AC">
      <w:pPr>
        <w:tabs>
          <w:tab w:val="left" w:pos="540"/>
          <w:tab w:val="left" w:pos="569"/>
        </w:tabs>
        <w:jc w:val="both"/>
        <w:rPr>
          <w:bCs/>
          <w:sz w:val="22"/>
          <w:szCs w:val="22"/>
          <w:lang w:val="sr-Latn-ME"/>
        </w:rPr>
      </w:pPr>
      <w:r>
        <w:rPr>
          <w:bCs/>
          <w:sz w:val="22"/>
          <w:szCs w:val="22"/>
          <w:lang w:val="sr-Latn-ME"/>
        </w:rPr>
        <w:t>Nakon</w:t>
      </w:r>
      <w:r w:rsidRPr="00E845ED">
        <w:rPr>
          <w:bCs/>
          <w:sz w:val="22"/>
          <w:szCs w:val="22"/>
          <w:lang w:val="sr-Latn-ME"/>
        </w:rPr>
        <w:t xml:space="preserve"> </w:t>
      </w:r>
      <w:r w:rsidR="005B3365">
        <w:rPr>
          <w:bCs/>
          <w:sz w:val="22"/>
          <w:szCs w:val="22"/>
          <w:lang w:val="sr-Latn-ME"/>
        </w:rPr>
        <w:t>razblaživanja</w:t>
      </w:r>
      <w:r w:rsidR="005B3365" w:rsidRPr="00E845ED">
        <w:rPr>
          <w:bCs/>
          <w:sz w:val="22"/>
          <w:szCs w:val="22"/>
          <w:lang w:val="sr-Latn-ME"/>
        </w:rPr>
        <w:t xml:space="preserve"> </w:t>
      </w:r>
      <w:r w:rsidR="00D10133" w:rsidRPr="00E845ED">
        <w:rPr>
          <w:bCs/>
          <w:sz w:val="22"/>
          <w:szCs w:val="22"/>
          <w:lang w:val="sr-Latn-ME"/>
        </w:rPr>
        <w:t xml:space="preserve"> infuzionim </w:t>
      </w:r>
      <w:r w:rsidR="00DA5E66">
        <w:rPr>
          <w:bCs/>
          <w:sz w:val="22"/>
          <w:szCs w:val="22"/>
          <w:lang w:val="sr-Latn-ME"/>
        </w:rPr>
        <w:t>rastvorima</w:t>
      </w:r>
      <w:r w:rsidR="00DA5E66" w:rsidRPr="00E845ED">
        <w:rPr>
          <w:bCs/>
          <w:sz w:val="22"/>
          <w:szCs w:val="22"/>
          <w:lang w:val="sr-Latn-ME"/>
        </w:rPr>
        <w:t xml:space="preserve"> </w:t>
      </w:r>
      <w:r w:rsidR="00D10133" w:rsidRPr="00E845ED">
        <w:rPr>
          <w:bCs/>
          <w:sz w:val="22"/>
          <w:szCs w:val="22"/>
          <w:lang w:val="sr-Latn-ME"/>
        </w:rPr>
        <w:t xml:space="preserve">(vidjeti </w:t>
      </w:r>
      <w:r w:rsidR="00AF4FF2">
        <w:rPr>
          <w:bCs/>
          <w:sz w:val="22"/>
          <w:szCs w:val="22"/>
          <w:lang w:val="sr-Latn-ME"/>
        </w:rPr>
        <w:t>dio</w:t>
      </w:r>
      <w:r w:rsidR="00AF4FF2" w:rsidRPr="00E845ED">
        <w:rPr>
          <w:bCs/>
          <w:sz w:val="22"/>
          <w:szCs w:val="22"/>
          <w:lang w:val="sr-Latn-ME"/>
        </w:rPr>
        <w:t xml:space="preserve"> </w:t>
      </w:r>
      <w:r w:rsidR="00D10133" w:rsidRPr="00E845ED">
        <w:rPr>
          <w:bCs/>
          <w:sz w:val="22"/>
          <w:szCs w:val="22"/>
          <w:lang w:val="sr-Latn-ME"/>
        </w:rPr>
        <w:t>6.6), utvrđena je hemijska i fizička stabilnost u toku 72 sata na 30°C.</w:t>
      </w:r>
    </w:p>
    <w:p w14:paraId="5BBC95E1" w14:textId="77777777" w:rsidR="00D10133" w:rsidRPr="00E845ED" w:rsidRDefault="00D10133">
      <w:pPr>
        <w:tabs>
          <w:tab w:val="left" w:pos="540"/>
          <w:tab w:val="left" w:pos="569"/>
        </w:tabs>
        <w:jc w:val="both"/>
        <w:rPr>
          <w:bCs/>
          <w:sz w:val="22"/>
          <w:szCs w:val="22"/>
          <w:lang w:val="sr-Latn-ME"/>
        </w:rPr>
      </w:pPr>
    </w:p>
    <w:p w14:paraId="5E25D458" w14:textId="1C1AA8EA" w:rsidR="00D10133" w:rsidRPr="00E845ED" w:rsidRDefault="00D10133">
      <w:pPr>
        <w:tabs>
          <w:tab w:val="left" w:pos="540"/>
          <w:tab w:val="left" w:pos="569"/>
        </w:tabs>
        <w:jc w:val="both"/>
        <w:rPr>
          <w:bCs/>
          <w:sz w:val="22"/>
          <w:szCs w:val="22"/>
          <w:lang w:val="sr-Latn-ME"/>
        </w:rPr>
      </w:pPr>
      <w:r w:rsidRPr="00E845ED">
        <w:rPr>
          <w:bCs/>
          <w:sz w:val="22"/>
          <w:szCs w:val="22"/>
          <w:lang w:val="sr-Latn-ME"/>
        </w:rPr>
        <w:t xml:space="preserve">Sa mikrobiološke tačke gledišta, pripremljeni rastvor treba odmah upotrijebiti. </w:t>
      </w:r>
      <w:r w:rsidR="00715F4A" w:rsidRPr="00A6400D">
        <w:rPr>
          <w:sz w:val="22"/>
          <w:szCs w:val="22"/>
          <w:lang w:val="sr-Latn-ME"/>
        </w:rPr>
        <w:t>Ukoliko se ne upotrijebi odmah</w:t>
      </w:r>
      <w:r w:rsidRPr="00E845ED">
        <w:rPr>
          <w:bCs/>
          <w:sz w:val="22"/>
          <w:szCs w:val="22"/>
          <w:lang w:val="sr-Latn-ME"/>
        </w:rPr>
        <w:t xml:space="preserve">, vrijeme i uslovi čuvanja prije upotrebe su odgovornost korisnika </w:t>
      </w:r>
      <w:r w:rsidR="005A24F3">
        <w:rPr>
          <w:bCs/>
          <w:sz w:val="22"/>
          <w:szCs w:val="22"/>
          <w:lang w:val="sr-Latn-ME"/>
        </w:rPr>
        <w:t>(</w:t>
      </w:r>
      <w:r w:rsidRPr="00E845ED">
        <w:rPr>
          <w:bCs/>
          <w:sz w:val="22"/>
          <w:szCs w:val="22"/>
          <w:lang w:val="sr-Latn-ME"/>
        </w:rPr>
        <w:t>ne duže od 24 sata na temperaturi od 2°C do 8°C</w:t>
      </w:r>
      <w:r w:rsidR="005A24F3">
        <w:rPr>
          <w:bCs/>
          <w:sz w:val="22"/>
          <w:szCs w:val="22"/>
          <w:lang w:val="sr-Latn-ME"/>
        </w:rPr>
        <w:t>)</w:t>
      </w:r>
      <w:r w:rsidRPr="00E845ED">
        <w:rPr>
          <w:bCs/>
          <w:sz w:val="22"/>
          <w:szCs w:val="22"/>
          <w:lang w:val="sr-Latn-ME"/>
        </w:rPr>
        <w:t>, osim ako se razblaživanje ne vrši u kontrolisanim i validiranim aseptičnim uslovima.</w:t>
      </w:r>
    </w:p>
    <w:p w14:paraId="223271EB" w14:textId="77777777" w:rsidR="00D10133" w:rsidRPr="00E845ED" w:rsidRDefault="00D10133" w:rsidP="00D542D8">
      <w:pPr>
        <w:tabs>
          <w:tab w:val="left" w:pos="540"/>
          <w:tab w:val="left" w:pos="569"/>
        </w:tabs>
        <w:jc w:val="both"/>
        <w:rPr>
          <w:bCs/>
          <w:sz w:val="22"/>
          <w:szCs w:val="22"/>
          <w:lang w:val="sr-Latn-ME"/>
        </w:rPr>
      </w:pPr>
    </w:p>
    <w:p w14:paraId="432A4C6F" w14:textId="31B013D8"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6.4. </w:t>
      </w:r>
      <w:r w:rsidR="00480FB1" w:rsidRPr="00E845ED">
        <w:rPr>
          <w:b/>
          <w:bCs/>
          <w:sz w:val="22"/>
          <w:szCs w:val="22"/>
          <w:lang w:val="sr-Latn-ME"/>
        </w:rPr>
        <w:tab/>
      </w:r>
      <w:r w:rsidRPr="00E845ED">
        <w:rPr>
          <w:b/>
          <w:bCs/>
          <w:sz w:val="22"/>
          <w:szCs w:val="22"/>
          <w:lang w:val="sr-Latn-ME"/>
        </w:rPr>
        <w:t>Posebne mjere upozorenja pri čuvanju</w:t>
      </w:r>
      <w:r w:rsidR="00F8570A" w:rsidRPr="00E845ED">
        <w:rPr>
          <w:b/>
          <w:bCs/>
          <w:sz w:val="22"/>
          <w:szCs w:val="22"/>
          <w:lang w:val="sr-Latn-ME"/>
        </w:rPr>
        <w:t xml:space="preserve"> lijeka</w:t>
      </w:r>
    </w:p>
    <w:p w14:paraId="4AF60921" w14:textId="5BC911A6" w:rsidR="00D10133" w:rsidRPr="00E845ED" w:rsidRDefault="00D10133" w:rsidP="00D542D8">
      <w:pPr>
        <w:tabs>
          <w:tab w:val="left" w:pos="540"/>
          <w:tab w:val="left" w:pos="569"/>
        </w:tabs>
        <w:jc w:val="both"/>
        <w:rPr>
          <w:b/>
          <w:bCs/>
          <w:sz w:val="22"/>
          <w:szCs w:val="22"/>
          <w:lang w:val="sr-Latn-ME"/>
        </w:rPr>
      </w:pPr>
    </w:p>
    <w:p w14:paraId="501510A9" w14:textId="07D0190F" w:rsidR="00006184" w:rsidRPr="00D542D8" w:rsidRDefault="00006184" w:rsidP="00D542D8">
      <w:pPr>
        <w:tabs>
          <w:tab w:val="left" w:pos="540"/>
          <w:tab w:val="left" w:pos="569"/>
        </w:tabs>
        <w:jc w:val="both"/>
        <w:rPr>
          <w:i/>
          <w:sz w:val="22"/>
          <w:szCs w:val="22"/>
          <w:lang w:val="sr-Latn-ME"/>
        </w:rPr>
      </w:pPr>
      <w:r w:rsidRPr="00D542D8">
        <w:rPr>
          <w:i/>
          <w:sz w:val="22"/>
          <w:szCs w:val="22"/>
          <w:lang w:val="sr-Latn-ME"/>
        </w:rPr>
        <w:t>Uslovi čuvanja neotvorene bočice</w:t>
      </w:r>
    </w:p>
    <w:p w14:paraId="61F18E9F" w14:textId="3FD456DC" w:rsidR="00D10133" w:rsidRPr="00E845ED" w:rsidRDefault="00D10133" w:rsidP="00D542D8">
      <w:pPr>
        <w:tabs>
          <w:tab w:val="left" w:pos="540"/>
          <w:tab w:val="left" w:pos="569"/>
        </w:tabs>
        <w:jc w:val="both"/>
        <w:rPr>
          <w:sz w:val="22"/>
          <w:szCs w:val="22"/>
          <w:lang w:val="sr-Latn-ME"/>
        </w:rPr>
      </w:pPr>
      <w:r w:rsidRPr="00E845ED">
        <w:rPr>
          <w:sz w:val="22"/>
          <w:szCs w:val="22"/>
          <w:lang w:val="sr-Latn-ME"/>
        </w:rPr>
        <w:t>Čuvati u frižideru (2°C - 8°C). Ne zamrzavati.</w:t>
      </w:r>
    </w:p>
    <w:p w14:paraId="0AF967A5" w14:textId="77777777" w:rsidR="00D10133" w:rsidRPr="00E845ED" w:rsidRDefault="00D10133" w:rsidP="00D542D8">
      <w:pPr>
        <w:tabs>
          <w:tab w:val="left" w:pos="540"/>
          <w:tab w:val="left" w:pos="569"/>
        </w:tabs>
        <w:jc w:val="both"/>
        <w:rPr>
          <w:sz w:val="22"/>
          <w:szCs w:val="22"/>
          <w:lang w:val="sr-Latn-ME"/>
        </w:rPr>
      </w:pPr>
    </w:p>
    <w:p w14:paraId="1D09DE6A" w14:textId="496A4AD2" w:rsidR="00D10133" w:rsidRPr="00D542D8" w:rsidRDefault="00D10133" w:rsidP="005C47CD">
      <w:pPr>
        <w:tabs>
          <w:tab w:val="left" w:pos="540"/>
          <w:tab w:val="left" w:pos="569"/>
        </w:tabs>
        <w:jc w:val="both"/>
        <w:rPr>
          <w:i/>
          <w:sz w:val="22"/>
          <w:szCs w:val="22"/>
          <w:lang w:val="sr-Latn-ME"/>
        </w:rPr>
      </w:pPr>
      <w:r w:rsidRPr="00D542D8">
        <w:rPr>
          <w:i/>
          <w:sz w:val="22"/>
          <w:szCs w:val="22"/>
          <w:lang w:val="sr-Latn-ME"/>
        </w:rPr>
        <w:t xml:space="preserve">Čuvanje </w:t>
      </w:r>
      <w:r w:rsidR="00006184" w:rsidRPr="00D542D8">
        <w:rPr>
          <w:i/>
          <w:sz w:val="22"/>
          <w:szCs w:val="22"/>
          <w:lang w:val="sr-Latn-ME"/>
        </w:rPr>
        <w:t xml:space="preserve">neotvorenog lijeka </w:t>
      </w:r>
      <w:r w:rsidRPr="00D542D8">
        <w:rPr>
          <w:i/>
          <w:sz w:val="22"/>
          <w:szCs w:val="22"/>
          <w:lang w:val="sr-Latn-ME"/>
        </w:rPr>
        <w:t>van frižidera</w:t>
      </w:r>
    </w:p>
    <w:p w14:paraId="1EA64833" w14:textId="1F7CBCBE" w:rsidR="00D10133" w:rsidRPr="00E845ED" w:rsidRDefault="00D10133" w:rsidP="000B2BC5">
      <w:pPr>
        <w:tabs>
          <w:tab w:val="left" w:pos="540"/>
          <w:tab w:val="left" w:pos="569"/>
        </w:tabs>
        <w:jc w:val="both"/>
        <w:rPr>
          <w:sz w:val="22"/>
          <w:szCs w:val="22"/>
          <w:lang w:val="sr-Latn-ME"/>
        </w:rPr>
      </w:pPr>
      <w:r w:rsidRPr="00E845ED">
        <w:rPr>
          <w:sz w:val="22"/>
          <w:szCs w:val="22"/>
          <w:lang w:val="sr-Latn-ME"/>
        </w:rPr>
        <w:t xml:space="preserve">Rokuronijum bromid </w:t>
      </w:r>
      <w:r w:rsidR="00DE53B7" w:rsidRPr="00E845ED">
        <w:rPr>
          <w:sz w:val="22"/>
          <w:szCs w:val="22"/>
          <w:lang w:val="sr-Latn-ME"/>
        </w:rPr>
        <w:t xml:space="preserve">se </w:t>
      </w:r>
      <w:r w:rsidRPr="00E845ED">
        <w:rPr>
          <w:sz w:val="22"/>
          <w:szCs w:val="22"/>
          <w:lang w:val="sr-Latn-ME"/>
        </w:rPr>
        <w:t>može čuva</w:t>
      </w:r>
      <w:r w:rsidR="00182A45">
        <w:rPr>
          <w:sz w:val="22"/>
          <w:szCs w:val="22"/>
          <w:lang w:val="sr-Latn-ME"/>
        </w:rPr>
        <w:t>ti</w:t>
      </w:r>
      <w:r w:rsidRPr="00E845ED">
        <w:rPr>
          <w:sz w:val="22"/>
          <w:szCs w:val="22"/>
          <w:lang w:val="sr-Latn-ME"/>
        </w:rPr>
        <w:t xml:space="preserve"> van frižidera na temperaturi do </w:t>
      </w:r>
      <w:r w:rsidR="00AF4FF2">
        <w:rPr>
          <w:sz w:val="22"/>
          <w:szCs w:val="22"/>
          <w:lang w:val="sr-Latn-ME"/>
        </w:rPr>
        <w:t>25</w:t>
      </w:r>
      <w:r w:rsidRPr="00E845ED">
        <w:rPr>
          <w:sz w:val="22"/>
          <w:szCs w:val="22"/>
          <w:lang w:val="sr-Latn-ME"/>
        </w:rPr>
        <w:t xml:space="preserve">°C </w:t>
      </w:r>
      <w:r w:rsidR="00AF4FF2">
        <w:rPr>
          <w:sz w:val="22"/>
          <w:szCs w:val="22"/>
          <w:lang w:val="sr-Latn-ME"/>
        </w:rPr>
        <w:t>najduže</w:t>
      </w:r>
      <w:r w:rsidR="00AF4FF2" w:rsidRPr="00E845ED">
        <w:rPr>
          <w:sz w:val="22"/>
          <w:szCs w:val="22"/>
          <w:lang w:val="sr-Latn-ME"/>
        </w:rPr>
        <w:t xml:space="preserve"> </w:t>
      </w:r>
      <w:r w:rsidRPr="00E845ED">
        <w:rPr>
          <w:sz w:val="22"/>
          <w:szCs w:val="22"/>
          <w:lang w:val="sr-Latn-ME"/>
        </w:rPr>
        <w:t xml:space="preserve">12 nedjelja, nakon čega ga treba odbaciti. Lijek </w:t>
      </w:r>
      <w:r w:rsidR="00AF4FF2">
        <w:rPr>
          <w:sz w:val="22"/>
          <w:szCs w:val="22"/>
          <w:lang w:val="sr-Latn-ME"/>
        </w:rPr>
        <w:t xml:space="preserve">se ne smije ponovo </w:t>
      </w:r>
      <w:r w:rsidRPr="00E845ED">
        <w:rPr>
          <w:sz w:val="22"/>
          <w:szCs w:val="22"/>
          <w:lang w:val="sr-Latn-ME"/>
        </w:rPr>
        <w:t xml:space="preserve">vraćati u frižider ako je čuvan van frižidera. </w:t>
      </w:r>
      <w:r w:rsidR="00AF4FF2">
        <w:rPr>
          <w:sz w:val="22"/>
          <w:szCs w:val="22"/>
          <w:lang w:val="sr-Latn-ME"/>
        </w:rPr>
        <w:t xml:space="preserve">Vrijeme čuvanja lijeka ne smije prekoračiti propisani rok upotrebe neotvorenog lijeka. </w:t>
      </w:r>
    </w:p>
    <w:p w14:paraId="6C2C8F23" w14:textId="77777777" w:rsidR="00D10133" w:rsidRPr="00E845ED" w:rsidRDefault="00D10133">
      <w:pPr>
        <w:tabs>
          <w:tab w:val="left" w:pos="540"/>
          <w:tab w:val="left" w:pos="569"/>
        </w:tabs>
        <w:jc w:val="both"/>
        <w:rPr>
          <w:sz w:val="22"/>
          <w:szCs w:val="22"/>
          <w:lang w:val="sr-Latn-ME"/>
        </w:rPr>
      </w:pPr>
    </w:p>
    <w:p w14:paraId="4BB70544" w14:textId="0F619832" w:rsidR="00D10133" w:rsidRPr="00E845ED" w:rsidRDefault="00D10133">
      <w:pPr>
        <w:tabs>
          <w:tab w:val="left" w:pos="540"/>
          <w:tab w:val="left" w:pos="569"/>
        </w:tabs>
        <w:jc w:val="both"/>
        <w:rPr>
          <w:sz w:val="22"/>
          <w:szCs w:val="22"/>
          <w:lang w:val="sr-Latn-ME"/>
        </w:rPr>
      </w:pPr>
      <w:r w:rsidRPr="00E845ED">
        <w:rPr>
          <w:sz w:val="22"/>
          <w:szCs w:val="22"/>
          <w:lang w:val="sr-Latn-ME"/>
        </w:rPr>
        <w:t xml:space="preserve">Za uslove čuvanja poslije prvog otvaranja lijeka, vidjeti </w:t>
      </w:r>
      <w:r w:rsidR="00AF4FF2">
        <w:rPr>
          <w:sz w:val="22"/>
          <w:szCs w:val="22"/>
          <w:lang w:val="sr-Latn-ME"/>
        </w:rPr>
        <w:t>dio</w:t>
      </w:r>
      <w:r w:rsidR="00AF4FF2" w:rsidRPr="00E845ED">
        <w:rPr>
          <w:sz w:val="22"/>
          <w:szCs w:val="22"/>
          <w:lang w:val="sr-Latn-ME"/>
        </w:rPr>
        <w:t xml:space="preserve"> </w:t>
      </w:r>
      <w:r w:rsidRPr="00E845ED">
        <w:rPr>
          <w:sz w:val="22"/>
          <w:szCs w:val="22"/>
          <w:lang w:val="sr-Latn-ME"/>
        </w:rPr>
        <w:t>6.3.</w:t>
      </w:r>
    </w:p>
    <w:p w14:paraId="48C3244D" w14:textId="77777777" w:rsidR="00EC2532" w:rsidRPr="00E845ED" w:rsidRDefault="00EC2532" w:rsidP="00D542D8">
      <w:pPr>
        <w:tabs>
          <w:tab w:val="left" w:pos="540"/>
          <w:tab w:val="left" w:pos="569"/>
        </w:tabs>
        <w:jc w:val="both"/>
        <w:rPr>
          <w:bCs/>
          <w:sz w:val="22"/>
          <w:szCs w:val="22"/>
          <w:lang w:val="sr-Latn-ME"/>
        </w:rPr>
      </w:pPr>
    </w:p>
    <w:p w14:paraId="01547FFC" w14:textId="5AAE703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6.5. </w:t>
      </w:r>
      <w:r w:rsidR="00480FB1" w:rsidRPr="00E845ED">
        <w:rPr>
          <w:b/>
          <w:bCs/>
          <w:sz w:val="22"/>
          <w:szCs w:val="22"/>
          <w:lang w:val="sr-Latn-ME"/>
        </w:rPr>
        <w:tab/>
      </w:r>
      <w:r w:rsidR="002846DB" w:rsidRPr="00E845ED">
        <w:rPr>
          <w:b/>
          <w:bCs/>
          <w:sz w:val="22"/>
          <w:szCs w:val="22"/>
          <w:lang w:val="sr-Latn-ME"/>
        </w:rPr>
        <w:t xml:space="preserve">Vrsta i sadržaj </w:t>
      </w:r>
      <w:r w:rsidR="00F8570A" w:rsidRPr="00E845ED">
        <w:rPr>
          <w:b/>
          <w:bCs/>
          <w:sz w:val="22"/>
          <w:szCs w:val="22"/>
          <w:lang w:val="sr-Latn-ME"/>
        </w:rPr>
        <w:t>pakovanja</w:t>
      </w:r>
      <w:r w:rsidR="00C06864" w:rsidRPr="00E845ED">
        <w:rPr>
          <w:b/>
          <w:bCs/>
          <w:sz w:val="22"/>
          <w:szCs w:val="22"/>
          <w:lang w:val="sr-Latn-ME"/>
        </w:rPr>
        <w:t xml:space="preserve"> </w:t>
      </w:r>
    </w:p>
    <w:p w14:paraId="7113C532" w14:textId="1E80F97D" w:rsidR="00D10133" w:rsidRPr="00E845ED" w:rsidRDefault="00D10133" w:rsidP="00D542D8">
      <w:pPr>
        <w:tabs>
          <w:tab w:val="left" w:pos="540"/>
          <w:tab w:val="left" w:pos="569"/>
        </w:tabs>
        <w:jc w:val="both"/>
        <w:rPr>
          <w:b/>
          <w:bCs/>
          <w:sz w:val="22"/>
          <w:szCs w:val="22"/>
          <w:lang w:val="sr-Latn-ME"/>
        </w:rPr>
      </w:pPr>
    </w:p>
    <w:p w14:paraId="5667618B" w14:textId="0DD11BE0" w:rsidR="00D10133" w:rsidRPr="00E845ED" w:rsidRDefault="00D10133" w:rsidP="005C47CD">
      <w:pPr>
        <w:tabs>
          <w:tab w:val="left" w:pos="540"/>
          <w:tab w:val="left" w:pos="569"/>
        </w:tabs>
        <w:jc w:val="both"/>
        <w:rPr>
          <w:sz w:val="22"/>
          <w:szCs w:val="22"/>
          <w:lang w:val="sr-Latn-ME"/>
        </w:rPr>
      </w:pPr>
      <w:r w:rsidRPr="00E845ED">
        <w:rPr>
          <w:sz w:val="22"/>
          <w:szCs w:val="22"/>
          <w:lang w:val="sr-Latn-ME"/>
        </w:rPr>
        <w:t>Bezbojna staklena bočica (staklo tip I) sa 5ml rastvora</w:t>
      </w:r>
      <w:r w:rsidR="00AF4FF2">
        <w:rPr>
          <w:sz w:val="22"/>
          <w:szCs w:val="22"/>
          <w:lang w:val="sr-Latn-ME"/>
        </w:rPr>
        <w:t xml:space="preserve">,  </w:t>
      </w:r>
      <w:r w:rsidRPr="00E845ED">
        <w:rPr>
          <w:sz w:val="22"/>
          <w:szCs w:val="22"/>
          <w:lang w:val="sr-Latn-ME"/>
        </w:rPr>
        <w:t>sa brombutil gumenim čepom i „flip-off“</w:t>
      </w:r>
      <w:r w:rsidR="005C1EF3" w:rsidRPr="00E845ED">
        <w:rPr>
          <w:sz w:val="22"/>
          <w:szCs w:val="22"/>
          <w:lang w:val="sr-Latn-ME"/>
        </w:rPr>
        <w:t xml:space="preserve"> </w:t>
      </w:r>
      <w:r w:rsidRPr="00E845ED">
        <w:rPr>
          <w:sz w:val="22"/>
          <w:szCs w:val="22"/>
          <w:lang w:val="sr-Latn-ME"/>
        </w:rPr>
        <w:t>za</w:t>
      </w:r>
      <w:r w:rsidR="00047F72">
        <w:rPr>
          <w:sz w:val="22"/>
          <w:szCs w:val="22"/>
          <w:lang w:val="sr-Latn-ME"/>
        </w:rPr>
        <w:t>tvaračem</w:t>
      </w:r>
      <w:r w:rsidR="00AE20A0">
        <w:rPr>
          <w:sz w:val="22"/>
          <w:szCs w:val="22"/>
          <w:lang w:val="sr-Latn-ME"/>
        </w:rPr>
        <w:t xml:space="preserve"> (aluminijumski prsten sa plastičnom kapicom)</w:t>
      </w:r>
      <w:r w:rsidRPr="00E845ED">
        <w:rPr>
          <w:sz w:val="22"/>
          <w:szCs w:val="22"/>
          <w:lang w:val="sr-Latn-ME"/>
        </w:rPr>
        <w:t>.</w:t>
      </w:r>
    </w:p>
    <w:p w14:paraId="57160316" w14:textId="77777777" w:rsidR="00D10133" w:rsidRPr="00E845ED" w:rsidRDefault="00D10133" w:rsidP="000B2BC5">
      <w:pPr>
        <w:tabs>
          <w:tab w:val="left" w:pos="540"/>
          <w:tab w:val="left" w:pos="569"/>
        </w:tabs>
        <w:jc w:val="both"/>
        <w:rPr>
          <w:sz w:val="22"/>
          <w:szCs w:val="22"/>
          <w:lang w:val="sr-Latn-ME"/>
        </w:rPr>
      </w:pPr>
    </w:p>
    <w:p w14:paraId="54F000A8" w14:textId="02814AEC" w:rsidR="00D10133" w:rsidRPr="00E845ED" w:rsidRDefault="00D10133" w:rsidP="00D542D8">
      <w:pPr>
        <w:tabs>
          <w:tab w:val="left" w:pos="540"/>
          <w:tab w:val="left" w:pos="569"/>
        </w:tabs>
        <w:jc w:val="both"/>
        <w:rPr>
          <w:sz w:val="22"/>
          <w:szCs w:val="22"/>
          <w:lang w:val="sr-Latn-ME"/>
        </w:rPr>
      </w:pPr>
      <w:r w:rsidRPr="00E845ED">
        <w:rPr>
          <w:sz w:val="22"/>
          <w:szCs w:val="22"/>
          <w:lang w:val="sr-Latn-ME"/>
        </w:rPr>
        <w:t>Veličina pakovanja: 10 i 50 bočica.</w:t>
      </w:r>
    </w:p>
    <w:p w14:paraId="21BE8A24" w14:textId="77777777" w:rsidR="0072020E" w:rsidRPr="00E845ED" w:rsidRDefault="0072020E" w:rsidP="00D542D8">
      <w:pPr>
        <w:tabs>
          <w:tab w:val="left" w:pos="540"/>
          <w:tab w:val="left" w:pos="569"/>
        </w:tabs>
        <w:jc w:val="both"/>
        <w:rPr>
          <w:bCs/>
          <w:sz w:val="22"/>
          <w:szCs w:val="22"/>
          <w:lang w:val="sr-Latn-ME"/>
        </w:rPr>
      </w:pPr>
    </w:p>
    <w:p w14:paraId="25C64546" w14:textId="77777777" w:rsidR="002846DB"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6.6. </w:t>
      </w:r>
      <w:r w:rsidR="00480FB1" w:rsidRPr="00E845ED">
        <w:rPr>
          <w:b/>
          <w:bCs/>
          <w:sz w:val="22"/>
          <w:szCs w:val="22"/>
          <w:lang w:val="sr-Latn-ME"/>
        </w:rPr>
        <w:tab/>
      </w:r>
      <w:r w:rsidRPr="00E845ED">
        <w:rPr>
          <w:b/>
          <w:bCs/>
          <w:color w:val="000000"/>
          <w:sz w:val="22"/>
          <w:szCs w:val="22"/>
          <w:lang w:val="sr-Latn-ME"/>
        </w:rPr>
        <w:t>Posebne mjere opreza pri odlaganju materijala koji treba odbaciti nakon primjene lijeka</w:t>
      </w:r>
      <w:r w:rsidRPr="00E845ED">
        <w:rPr>
          <w:b/>
          <w:bCs/>
          <w:sz w:val="22"/>
          <w:szCs w:val="22"/>
          <w:lang w:val="sr-Latn-ME"/>
        </w:rPr>
        <w:t xml:space="preserve"> </w:t>
      </w:r>
      <w:r w:rsidR="00310F03" w:rsidRPr="00E845ED">
        <w:rPr>
          <w:b/>
          <w:bCs/>
          <w:sz w:val="22"/>
          <w:szCs w:val="22"/>
          <w:lang w:val="sr-Latn-ME"/>
        </w:rPr>
        <w:t>(i druga uputs</w:t>
      </w:r>
      <w:r w:rsidR="004109FA" w:rsidRPr="00E845ED">
        <w:rPr>
          <w:b/>
          <w:bCs/>
          <w:sz w:val="22"/>
          <w:szCs w:val="22"/>
          <w:lang w:val="sr-Latn-ME"/>
        </w:rPr>
        <w:t>t</w:t>
      </w:r>
      <w:r w:rsidR="00310F03" w:rsidRPr="00E845ED">
        <w:rPr>
          <w:b/>
          <w:bCs/>
          <w:sz w:val="22"/>
          <w:szCs w:val="22"/>
          <w:lang w:val="sr-Latn-ME"/>
        </w:rPr>
        <w:t xml:space="preserve">va za rukovanje lijekom) </w:t>
      </w:r>
    </w:p>
    <w:p w14:paraId="425C4444" w14:textId="1A495456" w:rsidR="00B66A70" w:rsidRPr="00E845ED" w:rsidRDefault="00B66A70" w:rsidP="00D542D8">
      <w:pPr>
        <w:tabs>
          <w:tab w:val="left" w:pos="540"/>
          <w:tab w:val="left" w:pos="569"/>
        </w:tabs>
        <w:jc w:val="both"/>
        <w:rPr>
          <w:b/>
          <w:bCs/>
          <w:sz w:val="22"/>
          <w:szCs w:val="22"/>
          <w:lang w:val="sr-Latn-ME"/>
        </w:rPr>
      </w:pPr>
    </w:p>
    <w:p w14:paraId="2CCD32A6" w14:textId="7DEEE8F5" w:rsidR="00D10133" w:rsidRPr="00E845ED" w:rsidRDefault="00D10133" w:rsidP="005C47CD">
      <w:pPr>
        <w:tabs>
          <w:tab w:val="left" w:pos="540"/>
          <w:tab w:val="left" w:pos="569"/>
        </w:tabs>
        <w:jc w:val="both"/>
        <w:rPr>
          <w:sz w:val="22"/>
          <w:szCs w:val="22"/>
          <w:lang w:val="sr-Latn-ME"/>
        </w:rPr>
      </w:pPr>
      <w:r w:rsidRPr="00E845ED">
        <w:rPr>
          <w:sz w:val="22"/>
          <w:szCs w:val="22"/>
          <w:lang w:val="sr-Latn-ME"/>
        </w:rPr>
        <w:t xml:space="preserve">Dokazano je da su nominalne koncentracije od 0,5 mg/ml i 2,0 mg/ml rokuronijum bromida kompatibilne sa sljedećim infuzionim rastvorima: 0,9% </w:t>
      </w:r>
      <w:r w:rsidR="00AD3431">
        <w:rPr>
          <w:sz w:val="22"/>
          <w:szCs w:val="22"/>
          <w:lang w:val="sr-Latn-ME"/>
        </w:rPr>
        <w:t xml:space="preserve">rastvorom </w:t>
      </w:r>
      <w:r w:rsidRPr="00E845ED">
        <w:rPr>
          <w:sz w:val="22"/>
          <w:szCs w:val="22"/>
          <w:lang w:val="sr-Latn-ME"/>
        </w:rPr>
        <w:t>natrijum</w:t>
      </w:r>
      <w:r w:rsidR="00047F72">
        <w:rPr>
          <w:sz w:val="22"/>
          <w:szCs w:val="22"/>
          <w:lang w:val="sr-Latn-ME"/>
        </w:rPr>
        <w:t xml:space="preserve"> </w:t>
      </w:r>
      <w:r w:rsidRPr="00E845ED">
        <w:rPr>
          <w:sz w:val="22"/>
          <w:szCs w:val="22"/>
          <w:lang w:val="sr-Latn-ME"/>
        </w:rPr>
        <w:t>hlorid</w:t>
      </w:r>
      <w:r w:rsidR="00AD3431">
        <w:rPr>
          <w:sz w:val="22"/>
          <w:szCs w:val="22"/>
          <w:lang w:val="sr-Latn-ME"/>
        </w:rPr>
        <w:t>a</w:t>
      </w:r>
      <w:r w:rsidRPr="00E845ED">
        <w:rPr>
          <w:sz w:val="22"/>
          <w:szCs w:val="22"/>
          <w:lang w:val="sr-Latn-ME"/>
        </w:rPr>
        <w:t xml:space="preserve">, 5% </w:t>
      </w:r>
      <w:r w:rsidR="00AD3431">
        <w:rPr>
          <w:sz w:val="22"/>
          <w:szCs w:val="22"/>
          <w:lang w:val="sr-Latn-ME"/>
        </w:rPr>
        <w:t>rastvorom glu</w:t>
      </w:r>
      <w:r w:rsidR="00AE20A0">
        <w:rPr>
          <w:sz w:val="22"/>
          <w:szCs w:val="22"/>
          <w:lang w:val="sr-Latn-ME"/>
        </w:rPr>
        <w:t>k</w:t>
      </w:r>
      <w:r w:rsidR="00AD3431">
        <w:rPr>
          <w:sz w:val="22"/>
          <w:szCs w:val="22"/>
          <w:lang w:val="sr-Latn-ME"/>
        </w:rPr>
        <w:t>oze</w:t>
      </w:r>
      <w:r w:rsidRPr="00E845ED">
        <w:rPr>
          <w:sz w:val="22"/>
          <w:szCs w:val="22"/>
          <w:lang w:val="sr-Latn-ME"/>
        </w:rPr>
        <w:t xml:space="preserve">, 5% </w:t>
      </w:r>
      <w:r w:rsidR="00AD3431">
        <w:rPr>
          <w:sz w:val="22"/>
          <w:szCs w:val="22"/>
          <w:lang w:val="sr-Latn-ME"/>
        </w:rPr>
        <w:t xml:space="preserve">rastvorom glukoze </w:t>
      </w:r>
      <w:r w:rsidRPr="00E845ED">
        <w:rPr>
          <w:sz w:val="22"/>
          <w:szCs w:val="22"/>
          <w:lang w:val="sr-Latn-ME"/>
        </w:rPr>
        <w:t>u fiziološkom rastvoru, steriln</w:t>
      </w:r>
      <w:r w:rsidR="00AD3431">
        <w:rPr>
          <w:sz w:val="22"/>
          <w:szCs w:val="22"/>
          <w:lang w:val="sr-Latn-ME"/>
        </w:rPr>
        <w:t>om</w:t>
      </w:r>
      <w:r w:rsidRPr="00E845ED">
        <w:rPr>
          <w:sz w:val="22"/>
          <w:szCs w:val="22"/>
          <w:lang w:val="sr-Latn-ME"/>
        </w:rPr>
        <w:t xml:space="preserve"> vod</w:t>
      </w:r>
      <w:r w:rsidR="00AD3431">
        <w:rPr>
          <w:sz w:val="22"/>
          <w:szCs w:val="22"/>
          <w:lang w:val="sr-Latn-ME"/>
        </w:rPr>
        <w:t>om</w:t>
      </w:r>
      <w:r w:rsidRPr="00E845ED">
        <w:rPr>
          <w:sz w:val="22"/>
          <w:szCs w:val="22"/>
          <w:lang w:val="sr-Latn-ME"/>
        </w:rPr>
        <w:t xml:space="preserve"> za injekcije i rastvorom Ringer laktat</w:t>
      </w:r>
      <w:r w:rsidR="00AD3431">
        <w:rPr>
          <w:sz w:val="22"/>
          <w:szCs w:val="22"/>
          <w:lang w:val="sr-Latn-ME"/>
        </w:rPr>
        <w:t>a</w:t>
      </w:r>
      <w:r w:rsidRPr="00E845ED">
        <w:rPr>
          <w:sz w:val="22"/>
          <w:szCs w:val="22"/>
          <w:lang w:val="sr-Latn-ME"/>
        </w:rPr>
        <w:t>. Primjenu treba započeti odmah nakon m</w:t>
      </w:r>
      <w:r w:rsidR="005C1EF3" w:rsidRPr="00E845ED">
        <w:rPr>
          <w:sz w:val="22"/>
          <w:szCs w:val="22"/>
          <w:lang w:val="sr-Latn-ME"/>
        </w:rPr>
        <w:t>i</w:t>
      </w:r>
      <w:r w:rsidRPr="00E845ED">
        <w:rPr>
          <w:sz w:val="22"/>
          <w:szCs w:val="22"/>
          <w:lang w:val="sr-Latn-ME"/>
        </w:rPr>
        <w:t xml:space="preserve">ješanja i </w:t>
      </w:r>
      <w:r w:rsidR="00AE20A0">
        <w:rPr>
          <w:sz w:val="22"/>
          <w:szCs w:val="22"/>
          <w:lang w:val="sr-Latn-ME"/>
        </w:rPr>
        <w:t>završiti</w:t>
      </w:r>
      <w:r w:rsidRPr="00E845ED">
        <w:rPr>
          <w:sz w:val="22"/>
          <w:szCs w:val="22"/>
          <w:lang w:val="sr-Latn-ME"/>
        </w:rPr>
        <w:t xml:space="preserve"> u roku od 24 sata.</w:t>
      </w:r>
    </w:p>
    <w:p w14:paraId="1CE20ED9" w14:textId="77777777" w:rsidR="00AD3431" w:rsidRDefault="00AD3431" w:rsidP="000B2BC5">
      <w:pPr>
        <w:tabs>
          <w:tab w:val="left" w:pos="540"/>
          <w:tab w:val="left" w:pos="569"/>
        </w:tabs>
        <w:jc w:val="both"/>
        <w:rPr>
          <w:sz w:val="22"/>
          <w:szCs w:val="22"/>
          <w:lang w:val="sr-Latn-ME"/>
        </w:rPr>
      </w:pPr>
    </w:p>
    <w:p w14:paraId="0A3529B5" w14:textId="23700E51" w:rsidR="00D10133" w:rsidRPr="00E845ED" w:rsidRDefault="00D10133" w:rsidP="000B2BC5">
      <w:pPr>
        <w:tabs>
          <w:tab w:val="left" w:pos="540"/>
          <w:tab w:val="left" w:pos="569"/>
        </w:tabs>
        <w:jc w:val="both"/>
        <w:rPr>
          <w:sz w:val="22"/>
          <w:szCs w:val="22"/>
          <w:lang w:val="sr-Latn-ME"/>
        </w:rPr>
      </w:pPr>
      <w:r w:rsidRPr="00E845ED">
        <w:rPr>
          <w:sz w:val="22"/>
          <w:szCs w:val="22"/>
          <w:lang w:val="sr-Latn-ME"/>
        </w:rPr>
        <w:t>Neiskorišćeni lijek ili otpadne materije treba ukloniti, u skladu sa važećim propisima.</w:t>
      </w:r>
    </w:p>
    <w:p w14:paraId="68B3BEE1" w14:textId="77777777" w:rsidR="0072020E" w:rsidRPr="00E845ED" w:rsidRDefault="0072020E" w:rsidP="00D542D8">
      <w:pPr>
        <w:tabs>
          <w:tab w:val="left" w:pos="540"/>
          <w:tab w:val="left" w:pos="569"/>
        </w:tabs>
        <w:jc w:val="both"/>
        <w:rPr>
          <w:bCs/>
          <w:sz w:val="22"/>
          <w:szCs w:val="22"/>
          <w:lang w:val="sr-Latn-ME"/>
        </w:rPr>
      </w:pPr>
    </w:p>
    <w:p w14:paraId="52AE9B8C" w14:textId="7C2EC219" w:rsidR="00F8570A"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7. </w:t>
      </w:r>
      <w:r w:rsidR="00480FB1" w:rsidRPr="00E845ED">
        <w:rPr>
          <w:b/>
          <w:bCs/>
          <w:sz w:val="22"/>
          <w:szCs w:val="22"/>
          <w:lang w:val="sr-Latn-ME"/>
        </w:rPr>
        <w:tab/>
      </w:r>
      <w:r w:rsidRPr="00E845ED">
        <w:rPr>
          <w:b/>
          <w:bCs/>
          <w:sz w:val="22"/>
          <w:szCs w:val="22"/>
          <w:lang w:val="sr-Latn-ME"/>
        </w:rPr>
        <w:t>NOSILAC DOZVOLE</w:t>
      </w:r>
      <w:r w:rsidR="00483928" w:rsidRPr="00E845ED">
        <w:rPr>
          <w:b/>
          <w:bCs/>
          <w:sz w:val="22"/>
          <w:szCs w:val="22"/>
          <w:lang w:val="sr-Latn-ME"/>
        </w:rPr>
        <w:t xml:space="preserve"> </w:t>
      </w:r>
    </w:p>
    <w:p w14:paraId="28D94593" w14:textId="77777777" w:rsidR="00D10133" w:rsidRPr="00E845ED" w:rsidRDefault="00D10133" w:rsidP="00D542D8">
      <w:pPr>
        <w:tabs>
          <w:tab w:val="left" w:pos="540"/>
          <w:tab w:val="left" w:pos="569"/>
        </w:tabs>
        <w:jc w:val="both"/>
        <w:rPr>
          <w:b/>
          <w:bCs/>
          <w:sz w:val="22"/>
          <w:szCs w:val="22"/>
          <w:lang w:val="sr-Latn-ME"/>
        </w:rPr>
      </w:pPr>
    </w:p>
    <w:p w14:paraId="3C64B16B" w14:textId="516BF1DE" w:rsidR="00D10133" w:rsidRPr="00E845ED" w:rsidRDefault="00D10133" w:rsidP="00D542D8">
      <w:pPr>
        <w:tabs>
          <w:tab w:val="left" w:pos="540"/>
          <w:tab w:val="left" w:pos="569"/>
        </w:tabs>
        <w:jc w:val="both"/>
        <w:rPr>
          <w:bCs/>
          <w:sz w:val="22"/>
          <w:szCs w:val="22"/>
          <w:lang w:val="sr-Latn-ME"/>
        </w:rPr>
      </w:pPr>
      <w:r w:rsidRPr="00E845ED">
        <w:rPr>
          <w:bCs/>
          <w:sz w:val="22"/>
          <w:szCs w:val="22"/>
          <w:lang w:val="sr-Latn-ME"/>
        </w:rPr>
        <w:t xml:space="preserve">Farmont M.P. </w:t>
      </w:r>
    </w:p>
    <w:p w14:paraId="7DF72FA2" w14:textId="585383B0" w:rsidR="00D10133" w:rsidRPr="00E845ED" w:rsidRDefault="00D10133" w:rsidP="008C2ED1">
      <w:pPr>
        <w:tabs>
          <w:tab w:val="left" w:pos="540"/>
          <w:tab w:val="left" w:pos="569"/>
        </w:tabs>
        <w:rPr>
          <w:bCs/>
          <w:sz w:val="22"/>
          <w:szCs w:val="22"/>
          <w:lang w:val="sr-Latn-ME"/>
        </w:rPr>
      </w:pPr>
      <w:r w:rsidRPr="00E845ED">
        <w:rPr>
          <w:bCs/>
          <w:sz w:val="22"/>
          <w:szCs w:val="22"/>
          <w:lang w:val="sr-Latn-ME"/>
        </w:rPr>
        <w:t>Kosić, Stari put bb</w:t>
      </w:r>
    </w:p>
    <w:p w14:paraId="0F923396" w14:textId="43A24DD2" w:rsidR="00C61BE0" w:rsidRPr="00E845ED" w:rsidRDefault="00D10133" w:rsidP="00D542D8">
      <w:pPr>
        <w:tabs>
          <w:tab w:val="left" w:pos="540"/>
          <w:tab w:val="left" w:pos="569"/>
        </w:tabs>
        <w:jc w:val="both"/>
        <w:rPr>
          <w:bCs/>
          <w:sz w:val="22"/>
          <w:szCs w:val="22"/>
          <w:lang w:val="sr-Latn-ME"/>
        </w:rPr>
      </w:pPr>
      <w:r w:rsidRPr="00E845ED">
        <w:rPr>
          <w:bCs/>
          <w:sz w:val="22"/>
          <w:szCs w:val="22"/>
          <w:lang w:val="sr-Latn-ME"/>
        </w:rPr>
        <w:t xml:space="preserve">Danilovgrad, </w:t>
      </w:r>
      <w:r w:rsidR="0045788E">
        <w:rPr>
          <w:bCs/>
          <w:sz w:val="22"/>
          <w:szCs w:val="22"/>
          <w:lang w:val="sr-Latn-ME"/>
        </w:rPr>
        <w:t>Crna Gora</w:t>
      </w:r>
    </w:p>
    <w:p w14:paraId="76D1C047" w14:textId="77777777" w:rsidR="00C37FD7" w:rsidRPr="00E845ED" w:rsidRDefault="00C37FD7" w:rsidP="00D542D8">
      <w:pPr>
        <w:tabs>
          <w:tab w:val="left" w:pos="540"/>
          <w:tab w:val="left" w:pos="569"/>
        </w:tabs>
        <w:jc w:val="both"/>
        <w:rPr>
          <w:bCs/>
          <w:sz w:val="22"/>
          <w:szCs w:val="22"/>
          <w:lang w:val="sr-Latn-ME"/>
        </w:rPr>
      </w:pPr>
    </w:p>
    <w:p w14:paraId="67CA6C3C"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lastRenderedPageBreak/>
        <w:t xml:space="preserve">8. </w:t>
      </w:r>
      <w:r w:rsidR="00480FB1" w:rsidRPr="00E845ED">
        <w:rPr>
          <w:b/>
          <w:bCs/>
          <w:sz w:val="22"/>
          <w:szCs w:val="22"/>
          <w:lang w:val="sr-Latn-ME"/>
        </w:rPr>
        <w:tab/>
      </w:r>
      <w:r w:rsidRPr="00E845ED">
        <w:rPr>
          <w:b/>
          <w:bCs/>
          <w:sz w:val="22"/>
          <w:szCs w:val="22"/>
          <w:lang w:val="sr-Latn-ME"/>
        </w:rPr>
        <w:t>BROJ DOZVOLE</w:t>
      </w:r>
      <w:r w:rsidR="008A6D43" w:rsidRPr="00E845ED">
        <w:rPr>
          <w:b/>
          <w:bCs/>
          <w:sz w:val="22"/>
          <w:szCs w:val="22"/>
          <w:lang w:val="sr-Latn-ME"/>
        </w:rPr>
        <w:t xml:space="preserve"> ZA STAVLJANJE LIJEKA U PROMET</w:t>
      </w:r>
    </w:p>
    <w:p w14:paraId="5BA73128" w14:textId="3F7FF8B0" w:rsidR="0072020E" w:rsidRPr="00E845ED" w:rsidRDefault="0072020E" w:rsidP="00D542D8">
      <w:pPr>
        <w:tabs>
          <w:tab w:val="left" w:pos="540"/>
          <w:tab w:val="left" w:pos="569"/>
        </w:tabs>
        <w:jc w:val="both"/>
        <w:rPr>
          <w:bCs/>
          <w:sz w:val="22"/>
          <w:szCs w:val="22"/>
          <w:lang w:val="sr-Latn-ME"/>
        </w:rPr>
      </w:pPr>
    </w:p>
    <w:p w14:paraId="51278B72" w14:textId="2AA75F53" w:rsidR="00C82416" w:rsidRPr="00C82416" w:rsidRDefault="005C1EF3" w:rsidP="00D542D8">
      <w:pPr>
        <w:tabs>
          <w:tab w:val="left" w:pos="540"/>
          <w:tab w:val="left" w:pos="569"/>
        </w:tabs>
        <w:jc w:val="both"/>
        <w:rPr>
          <w:sz w:val="22"/>
          <w:szCs w:val="22"/>
          <w:lang w:val="sr-Latn-ME"/>
        </w:rPr>
      </w:pPr>
      <w:r w:rsidRPr="00C82416">
        <w:rPr>
          <w:sz w:val="22"/>
          <w:szCs w:val="22"/>
          <w:lang w:val="sr-Latn-ME"/>
        </w:rPr>
        <w:t>Rocuronium bromide Kalceks, rastvor za injekciju/infuziju</w:t>
      </w:r>
      <w:r w:rsidR="00E920DD" w:rsidRPr="00C82416">
        <w:rPr>
          <w:sz w:val="22"/>
          <w:szCs w:val="22"/>
          <w:lang w:val="sr-Latn-ME"/>
        </w:rPr>
        <w:t>,</w:t>
      </w:r>
      <w:r w:rsidRPr="00C82416">
        <w:rPr>
          <w:sz w:val="22"/>
          <w:szCs w:val="22"/>
          <w:lang w:val="sr-Latn-ME"/>
        </w:rPr>
        <w:t xml:space="preserve"> 50 mg/5</w:t>
      </w:r>
      <w:r w:rsidR="005C4E06">
        <w:rPr>
          <w:sz w:val="22"/>
          <w:szCs w:val="22"/>
          <w:lang w:val="sr-Latn-ME"/>
        </w:rPr>
        <w:t xml:space="preserve"> </w:t>
      </w:r>
      <w:r w:rsidRPr="00C82416">
        <w:rPr>
          <w:sz w:val="22"/>
          <w:szCs w:val="22"/>
          <w:lang w:val="sr-Latn-ME"/>
        </w:rPr>
        <w:t>ml, bočica</w:t>
      </w:r>
      <w:r w:rsidR="00E920DD" w:rsidRPr="00C82416">
        <w:rPr>
          <w:sz w:val="22"/>
          <w:szCs w:val="22"/>
          <w:lang w:val="sr-Latn-ME"/>
        </w:rPr>
        <w:t>, 10</w:t>
      </w:r>
      <w:r w:rsidR="005C4E06">
        <w:rPr>
          <w:sz w:val="22"/>
          <w:szCs w:val="22"/>
          <w:lang w:val="sr-Latn-ME"/>
        </w:rPr>
        <w:t xml:space="preserve"> </w:t>
      </w:r>
      <w:r w:rsidR="00E920DD" w:rsidRPr="00C82416">
        <w:rPr>
          <w:sz w:val="22"/>
          <w:szCs w:val="22"/>
          <w:lang w:val="sr-Latn-ME"/>
        </w:rPr>
        <w:t>x</w:t>
      </w:r>
      <w:r w:rsidR="005C4E06">
        <w:rPr>
          <w:sz w:val="22"/>
          <w:szCs w:val="22"/>
          <w:lang w:val="sr-Latn-ME"/>
        </w:rPr>
        <w:t xml:space="preserve"> </w:t>
      </w:r>
      <w:r w:rsidR="00E920DD" w:rsidRPr="00C82416">
        <w:rPr>
          <w:sz w:val="22"/>
          <w:szCs w:val="22"/>
          <w:lang w:val="sr-Latn-ME"/>
        </w:rPr>
        <w:t>5</w:t>
      </w:r>
      <w:r w:rsidR="005C4E06">
        <w:rPr>
          <w:sz w:val="22"/>
          <w:szCs w:val="22"/>
          <w:lang w:val="sr-Latn-ME"/>
        </w:rPr>
        <w:t xml:space="preserve"> </w:t>
      </w:r>
      <w:r w:rsidR="00E920DD" w:rsidRPr="00C82416">
        <w:rPr>
          <w:sz w:val="22"/>
          <w:szCs w:val="22"/>
          <w:lang w:val="sr-Latn-ME"/>
        </w:rPr>
        <w:t>ml</w:t>
      </w:r>
      <w:r w:rsidR="007655FC" w:rsidRPr="00C82416">
        <w:rPr>
          <w:sz w:val="22"/>
          <w:szCs w:val="22"/>
          <w:lang w:val="sr-Latn-ME"/>
        </w:rPr>
        <w:t>:</w:t>
      </w:r>
      <w:r w:rsidR="00C82416" w:rsidRPr="00C82416">
        <w:rPr>
          <w:sz w:val="22"/>
          <w:szCs w:val="22"/>
          <w:lang w:val="sr-Latn-ME"/>
        </w:rPr>
        <w:t xml:space="preserve"> </w:t>
      </w:r>
    </w:p>
    <w:p w14:paraId="2B744F4E" w14:textId="5B907D66" w:rsidR="005C1EF3" w:rsidRPr="00C82416" w:rsidRDefault="00C82416" w:rsidP="00D542D8">
      <w:pPr>
        <w:tabs>
          <w:tab w:val="left" w:pos="540"/>
          <w:tab w:val="left" w:pos="569"/>
        </w:tabs>
        <w:jc w:val="both"/>
        <w:rPr>
          <w:sz w:val="22"/>
          <w:szCs w:val="22"/>
          <w:lang w:val="sr-Latn-ME"/>
        </w:rPr>
      </w:pPr>
      <w:r w:rsidRPr="00C82416">
        <w:rPr>
          <w:sz w:val="22"/>
          <w:szCs w:val="22"/>
          <w:lang w:eastAsia="sr-Latn-ME"/>
        </w:rPr>
        <w:t>2030/22/2355 - 3429</w:t>
      </w:r>
    </w:p>
    <w:p w14:paraId="2152A468" w14:textId="2E92730B" w:rsidR="005C1EF3" w:rsidRPr="00C82416" w:rsidRDefault="005C1EF3" w:rsidP="00D542D8">
      <w:pPr>
        <w:tabs>
          <w:tab w:val="left" w:pos="540"/>
          <w:tab w:val="left" w:pos="569"/>
        </w:tabs>
        <w:jc w:val="both"/>
        <w:rPr>
          <w:sz w:val="22"/>
          <w:szCs w:val="22"/>
          <w:lang w:val="sr-Latn-ME"/>
        </w:rPr>
      </w:pPr>
      <w:r w:rsidRPr="00C82416">
        <w:rPr>
          <w:sz w:val="22"/>
          <w:szCs w:val="22"/>
          <w:lang w:val="sr-Latn-ME"/>
        </w:rPr>
        <w:t>Rocuronium bromide Kalceks, rastvor za injekciju/infuziju</w:t>
      </w:r>
      <w:r w:rsidR="00E920DD" w:rsidRPr="00C82416">
        <w:rPr>
          <w:sz w:val="22"/>
          <w:szCs w:val="22"/>
          <w:lang w:val="sr-Latn-ME"/>
        </w:rPr>
        <w:t>,</w:t>
      </w:r>
      <w:r w:rsidRPr="00C82416">
        <w:rPr>
          <w:sz w:val="22"/>
          <w:szCs w:val="22"/>
          <w:lang w:val="sr-Latn-ME"/>
        </w:rPr>
        <w:t xml:space="preserve"> 50 mg/5</w:t>
      </w:r>
      <w:r w:rsidR="005C4E06">
        <w:rPr>
          <w:sz w:val="22"/>
          <w:szCs w:val="22"/>
          <w:lang w:val="sr-Latn-ME"/>
        </w:rPr>
        <w:t xml:space="preserve"> </w:t>
      </w:r>
      <w:r w:rsidRPr="00C82416">
        <w:rPr>
          <w:sz w:val="22"/>
          <w:szCs w:val="22"/>
          <w:lang w:val="sr-Latn-ME"/>
        </w:rPr>
        <w:t xml:space="preserve">ml, </w:t>
      </w:r>
      <w:r w:rsidR="00E920DD" w:rsidRPr="00C82416">
        <w:rPr>
          <w:sz w:val="22"/>
          <w:szCs w:val="22"/>
          <w:lang w:val="sr-Latn-ME"/>
        </w:rPr>
        <w:t xml:space="preserve">bočica, </w:t>
      </w:r>
      <w:r w:rsidRPr="00C82416">
        <w:rPr>
          <w:sz w:val="22"/>
          <w:szCs w:val="22"/>
          <w:lang w:val="sr-Latn-ME"/>
        </w:rPr>
        <w:t>50</w:t>
      </w:r>
      <w:r w:rsidR="005C4E06">
        <w:rPr>
          <w:sz w:val="22"/>
          <w:szCs w:val="22"/>
          <w:lang w:val="sr-Latn-ME"/>
        </w:rPr>
        <w:t xml:space="preserve"> </w:t>
      </w:r>
      <w:r w:rsidR="00E920DD" w:rsidRPr="00C82416">
        <w:rPr>
          <w:sz w:val="22"/>
          <w:szCs w:val="22"/>
          <w:lang w:val="sr-Latn-ME"/>
        </w:rPr>
        <w:t>x</w:t>
      </w:r>
      <w:r w:rsidR="005C4E06">
        <w:rPr>
          <w:sz w:val="22"/>
          <w:szCs w:val="22"/>
          <w:lang w:val="sr-Latn-ME"/>
        </w:rPr>
        <w:t xml:space="preserve"> </w:t>
      </w:r>
      <w:r w:rsidR="00E920DD" w:rsidRPr="00C82416">
        <w:rPr>
          <w:sz w:val="22"/>
          <w:szCs w:val="22"/>
          <w:lang w:val="sr-Latn-ME"/>
        </w:rPr>
        <w:t>5</w:t>
      </w:r>
      <w:r w:rsidR="005C4E06">
        <w:rPr>
          <w:sz w:val="22"/>
          <w:szCs w:val="22"/>
          <w:lang w:val="sr-Latn-ME"/>
        </w:rPr>
        <w:t xml:space="preserve"> </w:t>
      </w:r>
      <w:r w:rsidR="00E920DD" w:rsidRPr="00C82416">
        <w:rPr>
          <w:sz w:val="22"/>
          <w:szCs w:val="22"/>
          <w:lang w:val="sr-Latn-ME"/>
        </w:rPr>
        <w:t>ml</w:t>
      </w:r>
      <w:r w:rsidR="007655FC" w:rsidRPr="00C82416">
        <w:rPr>
          <w:sz w:val="22"/>
          <w:szCs w:val="22"/>
          <w:lang w:val="sr-Latn-ME"/>
        </w:rPr>
        <w:t>:</w:t>
      </w:r>
    </w:p>
    <w:p w14:paraId="284D83B3" w14:textId="77821FAA" w:rsidR="00C82416" w:rsidRPr="00C82416" w:rsidRDefault="00C82416" w:rsidP="00D542D8">
      <w:pPr>
        <w:tabs>
          <w:tab w:val="left" w:pos="540"/>
          <w:tab w:val="left" w:pos="569"/>
        </w:tabs>
        <w:jc w:val="both"/>
        <w:rPr>
          <w:bCs/>
          <w:sz w:val="22"/>
          <w:szCs w:val="22"/>
          <w:lang w:val="sr-Latn-ME"/>
        </w:rPr>
      </w:pPr>
      <w:r w:rsidRPr="00C82416">
        <w:rPr>
          <w:bCs/>
          <w:sz w:val="22"/>
          <w:szCs w:val="22"/>
          <w:lang w:val="sr-Latn-ME"/>
        </w:rPr>
        <w:t>2030/22/2356 - 3430</w:t>
      </w:r>
    </w:p>
    <w:p w14:paraId="6C0545C6" w14:textId="77777777" w:rsidR="005C1EF3" w:rsidRPr="00C82416" w:rsidRDefault="005C1EF3" w:rsidP="00D542D8">
      <w:pPr>
        <w:tabs>
          <w:tab w:val="left" w:pos="540"/>
          <w:tab w:val="left" w:pos="569"/>
        </w:tabs>
        <w:jc w:val="both"/>
        <w:rPr>
          <w:bCs/>
          <w:sz w:val="22"/>
          <w:szCs w:val="22"/>
          <w:lang w:val="sr-Latn-ME"/>
        </w:rPr>
      </w:pPr>
    </w:p>
    <w:p w14:paraId="337E47C7" w14:textId="77777777" w:rsidR="0072020E" w:rsidRPr="00E845ED" w:rsidRDefault="0072020E" w:rsidP="00D542D8">
      <w:pPr>
        <w:tabs>
          <w:tab w:val="left" w:pos="540"/>
          <w:tab w:val="left" w:pos="569"/>
        </w:tabs>
        <w:jc w:val="both"/>
        <w:rPr>
          <w:b/>
          <w:bCs/>
          <w:sz w:val="22"/>
          <w:szCs w:val="22"/>
          <w:lang w:val="sr-Latn-ME"/>
        </w:rPr>
      </w:pPr>
      <w:r w:rsidRPr="00E845ED">
        <w:rPr>
          <w:b/>
          <w:bCs/>
          <w:sz w:val="22"/>
          <w:szCs w:val="22"/>
          <w:lang w:val="sr-Latn-ME"/>
        </w:rPr>
        <w:t xml:space="preserve">9. </w:t>
      </w:r>
      <w:r w:rsidR="00480FB1" w:rsidRPr="00E845ED">
        <w:rPr>
          <w:b/>
          <w:bCs/>
          <w:sz w:val="22"/>
          <w:szCs w:val="22"/>
          <w:lang w:val="sr-Latn-ME"/>
        </w:rPr>
        <w:tab/>
      </w:r>
      <w:r w:rsidRPr="00E845ED">
        <w:rPr>
          <w:b/>
          <w:bCs/>
          <w:sz w:val="22"/>
          <w:szCs w:val="22"/>
          <w:lang w:val="sr-Latn-ME"/>
        </w:rPr>
        <w:t xml:space="preserve">DATUM </w:t>
      </w:r>
      <w:r w:rsidR="00C05DF8" w:rsidRPr="00E845ED">
        <w:rPr>
          <w:b/>
          <w:bCs/>
          <w:sz w:val="22"/>
          <w:szCs w:val="22"/>
          <w:lang w:val="sr-Latn-ME"/>
        </w:rPr>
        <w:t xml:space="preserve">PRVE </w:t>
      </w:r>
      <w:r w:rsidR="008A6D43" w:rsidRPr="00E845ED">
        <w:rPr>
          <w:b/>
          <w:bCs/>
          <w:sz w:val="22"/>
          <w:szCs w:val="22"/>
          <w:lang w:val="sr-Latn-ME"/>
        </w:rPr>
        <w:t>DOZVOLE</w:t>
      </w:r>
      <w:r w:rsidR="00C05DF8" w:rsidRPr="00E845ED">
        <w:rPr>
          <w:b/>
          <w:bCs/>
          <w:sz w:val="22"/>
          <w:szCs w:val="22"/>
          <w:lang w:val="sr-Latn-ME"/>
        </w:rPr>
        <w:t>/OBNOVE DOZVOLE</w:t>
      </w:r>
      <w:r w:rsidR="008A6D43" w:rsidRPr="00E845ED">
        <w:rPr>
          <w:b/>
          <w:bCs/>
          <w:sz w:val="22"/>
          <w:szCs w:val="22"/>
          <w:lang w:val="sr-Latn-ME"/>
        </w:rPr>
        <w:t xml:space="preserve"> ZA STAVLJANJE LIJEKA U PROMET</w:t>
      </w:r>
    </w:p>
    <w:p w14:paraId="0E9465AD" w14:textId="786F8960" w:rsidR="0072020E" w:rsidRDefault="0072020E" w:rsidP="00D542D8">
      <w:pPr>
        <w:tabs>
          <w:tab w:val="left" w:pos="540"/>
          <w:tab w:val="left" w:pos="569"/>
        </w:tabs>
        <w:jc w:val="both"/>
        <w:rPr>
          <w:bCs/>
          <w:sz w:val="22"/>
          <w:szCs w:val="22"/>
          <w:lang w:val="sr-Latn-ME"/>
        </w:rPr>
      </w:pPr>
      <w:bookmarkStart w:id="0" w:name="_GoBack"/>
      <w:bookmarkEnd w:id="0"/>
    </w:p>
    <w:p w14:paraId="69F6211B" w14:textId="03D712C3" w:rsidR="00C82416" w:rsidRPr="00E845ED" w:rsidRDefault="00C82416" w:rsidP="00D542D8">
      <w:pPr>
        <w:tabs>
          <w:tab w:val="left" w:pos="540"/>
          <w:tab w:val="left" w:pos="569"/>
        </w:tabs>
        <w:jc w:val="both"/>
        <w:rPr>
          <w:bCs/>
          <w:sz w:val="22"/>
          <w:szCs w:val="22"/>
          <w:lang w:val="sr-Latn-ME"/>
        </w:rPr>
      </w:pPr>
      <w:r w:rsidRPr="00C82416">
        <w:rPr>
          <w:bCs/>
          <w:sz w:val="22"/>
          <w:szCs w:val="22"/>
          <w:lang w:val="sr-Latn-ME"/>
        </w:rPr>
        <w:t>27.09.2022. godine</w:t>
      </w:r>
    </w:p>
    <w:p w14:paraId="20E3B094" w14:textId="5C16D2EE" w:rsidR="005C1EF3" w:rsidRPr="00E845ED" w:rsidRDefault="005C1EF3" w:rsidP="00D542D8">
      <w:pPr>
        <w:tabs>
          <w:tab w:val="left" w:pos="540"/>
          <w:tab w:val="left" w:pos="569"/>
        </w:tabs>
        <w:jc w:val="both"/>
        <w:rPr>
          <w:bCs/>
          <w:sz w:val="22"/>
          <w:szCs w:val="22"/>
          <w:lang w:val="sr-Latn-ME"/>
        </w:rPr>
      </w:pPr>
    </w:p>
    <w:p w14:paraId="33F6FE6C" w14:textId="41AF4B4E" w:rsidR="00AD3431" w:rsidRPr="00786071" w:rsidRDefault="00AD3431" w:rsidP="00AD3431">
      <w:pPr>
        <w:tabs>
          <w:tab w:val="left" w:pos="540"/>
          <w:tab w:val="left" w:pos="569"/>
        </w:tabs>
        <w:ind w:left="540" w:hanging="540"/>
        <w:rPr>
          <w:bCs/>
          <w:sz w:val="22"/>
          <w:szCs w:val="22"/>
        </w:rPr>
      </w:pPr>
      <w:r w:rsidRPr="00786071">
        <w:rPr>
          <w:b/>
          <w:bCs/>
          <w:sz w:val="22"/>
          <w:szCs w:val="22"/>
        </w:rPr>
        <w:t xml:space="preserve">10. </w:t>
      </w:r>
      <w:r w:rsidRPr="00786071">
        <w:rPr>
          <w:b/>
          <w:bCs/>
          <w:sz w:val="22"/>
          <w:szCs w:val="22"/>
        </w:rPr>
        <w:tab/>
        <w:t xml:space="preserve">DATUM </w:t>
      </w:r>
      <w:proofErr w:type="spellStart"/>
      <w:r w:rsidRPr="00786071">
        <w:rPr>
          <w:b/>
          <w:bCs/>
          <w:sz w:val="22"/>
          <w:szCs w:val="22"/>
        </w:rPr>
        <w:t>REVIZIJE</w:t>
      </w:r>
      <w:proofErr w:type="spellEnd"/>
      <w:r w:rsidRPr="00786071">
        <w:rPr>
          <w:b/>
          <w:bCs/>
          <w:sz w:val="22"/>
          <w:szCs w:val="22"/>
        </w:rPr>
        <w:t xml:space="preserve"> </w:t>
      </w:r>
      <w:proofErr w:type="spellStart"/>
      <w:r w:rsidRPr="00786071">
        <w:rPr>
          <w:b/>
          <w:bCs/>
          <w:sz w:val="22"/>
          <w:szCs w:val="22"/>
        </w:rPr>
        <w:t>TEKSTA</w:t>
      </w:r>
      <w:proofErr w:type="spellEnd"/>
      <w:r w:rsidRPr="00786071">
        <w:rPr>
          <w:b/>
          <w:bCs/>
          <w:sz w:val="22"/>
          <w:szCs w:val="22"/>
        </w:rPr>
        <w:t xml:space="preserve"> </w:t>
      </w:r>
    </w:p>
    <w:p w14:paraId="34502E58" w14:textId="1E3BBE41" w:rsidR="003F6A59" w:rsidRDefault="003F6A59" w:rsidP="00D542D8">
      <w:pPr>
        <w:tabs>
          <w:tab w:val="left" w:pos="540"/>
          <w:tab w:val="left" w:pos="569"/>
        </w:tabs>
        <w:jc w:val="both"/>
        <w:rPr>
          <w:sz w:val="22"/>
          <w:szCs w:val="22"/>
          <w:lang w:val="sr-Latn-ME"/>
        </w:rPr>
      </w:pPr>
    </w:p>
    <w:p w14:paraId="74FE755D" w14:textId="412236D5" w:rsidR="00C82416" w:rsidRPr="00E845ED" w:rsidRDefault="00C82416" w:rsidP="00D542D8">
      <w:pPr>
        <w:tabs>
          <w:tab w:val="left" w:pos="540"/>
          <w:tab w:val="left" w:pos="569"/>
        </w:tabs>
        <w:jc w:val="both"/>
        <w:rPr>
          <w:sz w:val="22"/>
          <w:szCs w:val="22"/>
          <w:lang w:val="sr-Latn-ME"/>
        </w:rPr>
      </w:pPr>
      <w:r>
        <w:rPr>
          <w:sz w:val="22"/>
          <w:szCs w:val="22"/>
          <w:lang w:val="sr-Latn-ME"/>
        </w:rPr>
        <w:t xml:space="preserve">Septembar, </w:t>
      </w:r>
      <w:r w:rsidRPr="00C82416">
        <w:rPr>
          <w:sz w:val="22"/>
          <w:szCs w:val="22"/>
          <w:lang w:val="sr-Latn-ME"/>
        </w:rPr>
        <w:t>2022. godine</w:t>
      </w:r>
    </w:p>
    <w:sectPr w:rsidR="00C82416" w:rsidRPr="00E845ED"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AC09" w14:textId="77777777" w:rsidR="00313ED3" w:rsidRDefault="00313ED3">
      <w:r>
        <w:separator/>
      </w:r>
    </w:p>
  </w:endnote>
  <w:endnote w:type="continuationSeparator" w:id="0">
    <w:p w14:paraId="4198E894" w14:textId="77777777" w:rsidR="00313ED3" w:rsidRDefault="0031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0EBC" w14:textId="098FE770" w:rsidR="008C2ED1" w:rsidRPr="00B23F69" w:rsidRDefault="008C2ED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C4E06">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C4E06">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D209D" w14:textId="77777777" w:rsidR="00313ED3" w:rsidRDefault="00313ED3">
      <w:r>
        <w:separator/>
      </w:r>
    </w:p>
  </w:footnote>
  <w:footnote w:type="continuationSeparator" w:id="0">
    <w:p w14:paraId="6332F112" w14:textId="77777777" w:rsidR="00313ED3" w:rsidRDefault="00313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3.25pt;visibility:visible" o:bullet="t">
        <v:imagedata r:id="rId1" o:title="BT_1000x858px"/>
      </v:shape>
    </w:pict>
  </w:numPicBullet>
  <w:abstractNum w:abstractNumId="0" w15:restartNumberingAfterBreak="0">
    <w:nsid w:val="0676085D"/>
    <w:multiLevelType w:val="hybridMultilevel"/>
    <w:tmpl w:val="2A0EB21C"/>
    <w:lvl w:ilvl="0" w:tplc="D824A06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4D351C"/>
    <w:multiLevelType w:val="hybridMultilevel"/>
    <w:tmpl w:val="FEDE1740"/>
    <w:lvl w:ilvl="0" w:tplc="D824A06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B4665"/>
    <w:multiLevelType w:val="hybridMultilevel"/>
    <w:tmpl w:val="904A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17943"/>
    <w:multiLevelType w:val="hybridMultilevel"/>
    <w:tmpl w:val="958A7226"/>
    <w:lvl w:ilvl="0" w:tplc="D824A06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EE10C17"/>
    <w:multiLevelType w:val="hybridMultilevel"/>
    <w:tmpl w:val="E5C2C4C8"/>
    <w:lvl w:ilvl="0" w:tplc="D824A06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D5C13"/>
    <w:multiLevelType w:val="hybridMultilevel"/>
    <w:tmpl w:val="26D64676"/>
    <w:lvl w:ilvl="0" w:tplc="D824A06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4"/>
  </w:num>
  <w:num w:numId="5">
    <w:abstractNumId w:val="8"/>
  </w:num>
  <w:num w:numId="6">
    <w:abstractNumId w:val="2"/>
  </w:num>
  <w:num w:numId="7">
    <w:abstractNumId w:val="13"/>
  </w:num>
  <w:num w:numId="8">
    <w:abstractNumId w:val="7"/>
  </w:num>
  <w:num w:numId="9">
    <w:abstractNumId w:val="10"/>
  </w:num>
  <w:num w:numId="10">
    <w:abstractNumId w:val="16"/>
  </w:num>
  <w:num w:numId="11">
    <w:abstractNumId w:val="9"/>
  </w:num>
  <w:num w:numId="12">
    <w:abstractNumId w:val="4"/>
  </w:num>
  <w:num w:numId="13">
    <w:abstractNumId w:val="3"/>
  </w:num>
  <w:num w:numId="14">
    <w:abstractNumId w:val="12"/>
  </w:num>
  <w:num w:numId="15">
    <w:abstractNumId w:val="11"/>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184"/>
    <w:rsid w:val="000176CA"/>
    <w:rsid w:val="00036FA0"/>
    <w:rsid w:val="0003793F"/>
    <w:rsid w:val="00047F72"/>
    <w:rsid w:val="00054019"/>
    <w:rsid w:val="00057E35"/>
    <w:rsid w:val="00076726"/>
    <w:rsid w:val="00080303"/>
    <w:rsid w:val="00096D9C"/>
    <w:rsid w:val="000A3F58"/>
    <w:rsid w:val="000A419B"/>
    <w:rsid w:val="000B2BC5"/>
    <w:rsid w:val="000D2343"/>
    <w:rsid w:val="000D3449"/>
    <w:rsid w:val="000D425A"/>
    <w:rsid w:val="000D60CC"/>
    <w:rsid w:val="000E2084"/>
    <w:rsid w:val="000E6F55"/>
    <w:rsid w:val="000F77FA"/>
    <w:rsid w:val="00107BF7"/>
    <w:rsid w:val="001177DE"/>
    <w:rsid w:val="00122AEF"/>
    <w:rsid w:val="00126F53"/>
    <w:rsid w:val="001335CD"/>
    <w:rsid w:val="0014766D"/>
    <w:rsid w:val="001536CC"/>
    <w:rsid w:val="00180199"/>
    <w:rsid w:val="00180459"/>
    <w:rsid w:val="00182A45"/>
    <w:rsid w:val="0018394B"/>
    <w:rsid w:val="00186954"/>
    <w:rsid w:val="001A1F19"/>
    <w:rsid w:val="001A3FBA"/>
    <w:rsid w:val="001A5518"/>
    <w:rsid w:val="001A74A3"/>
    <w:rsid w:val="001B1C6A"/>
    <w:rsid w:val="001B3629"/>
    <w:rsid w:val="001C1263"/>
    <w:rsid w:val="001C1417"/>
    <w:rsid w:val="001E390B"/>
    <w:rsid w:val="001F42FB"/>
    <w:rsid w:val="001F719A"/>
    <w:rsid w:val="0020238F"/>
    <w:rsid w:val="002031B3"/>
    <w:rsid w:val="00204463"/>
    <w:rsid w:val="002073D1"/>
    <w:rsid w:val="00215931"/>
    <w:rsid w:val="00224C91"/>
    <w:rsid w:val="00227BDB"/>
    <w:rsid w:val="00234CB1"/>
    <w:rsid w:val="002352F8"/>
    <w:rsid w:val="002510A5"/>
    <w:rsid w:val="00254A0A"/>
    <w:rsid w:val="00266046"/>
    <w:rsid w:val="002846DB"/>
    <w:rsid w:val="00284CCD"/>
    <w:rsid w:val="002C6637"/>
    <w:rsid w:val="002C687D"/>
    <w:rsid w:val="002E0135"/>
    <w:rsid w:val="002E37A5"/>
    <w:rsid w:val="002F371B"/>
    <w:rsid w:val="00310A15"/>
    <w:rsid w:val="00310F03"/>
    <w:rsid w:val="00313ED3"/>
    <w:rsid w:val="003247D2"/>
    <w:rsid w:val="003445C1"/>
    <w:rsid w:val="00345557"/>
    <w:rsid w:val="00355B61"/>
    <w:rsid w:val="00362686"/>
    <w:rsid w:val="00371510"/>
    <w:rsid w:val="00386A27"/>
    <w:rsid w:val="00396DFD"/>
    <w:rsid w:val="003A6AED"/>
    <w:rsid w:val="003A7059"/>
    <w:rsid w:val="003B71D1"/>
    <w:rsid w:val="003B7A36"/>
    <w:rsid w:val="003C17AB"/>
    <w:rsid w:val="003C7823"/>
    <w:rsid w:val="003E1DCC"/>
    <w:rsid w:val="003E73B8"/>
    <w:rsid w:val="003F11A1"/>
    <w:rsid w:val="003F63D7"/>
    <w:rsid w:val="003F6A59"/>
    <w:rsid w:val="004065C8"/>
    <w:rsid w:val="004109FA"/>
    <w:rsid w:val="00411B4B"/>
    <w:rsid w:val="00413C47"/>
    <w:rsid w:val="00415BEE"/>
    <w:rsid w:val="00427F85"/>
    <w:rsid w:val="00432C69"/>
    <w:rsid w:val="00436F42"/>
    <w:rsid w:val="004378B4"/>
    <w:rsid w:val="00451314"/>
    <w:rsid w:val="00452E9D"/>
    <w:rsid w:val="004534C7"/>
    <w:rsid w:val="0045788E"/>
    <w:rsid w:val="00460431"/>
    <w:rsid w:val="004671AA"/>
    <w:rsid w:val="00480FB1"/>
    <w:rsid w:val="00483928"/>
    <w:rsid w:val="00486476"/>
    <w:rsid w:val="004C331F"/>
    <w:rsid w:val="004D2D00"/>
    <w:rsid w:val="004D5964"/>
    <w:rsid w:val="004D6103"/>
    <w:rsid w:val="004E3BCE"/>
    <w:rsid w:val="004E70AD"/>
    <w:rsid w:val="004F0E97"/>
    <w:rsid w:val="004F3CF4"/>
    <w:rsid w:val="00501DD1"/>
    <w:rsid w:val="00505F22"/>
    <w:rsid w:val="00510ED8"/>
    <w:rsid w:val="00515C21"/>
    <w:rsid w:val="00530BD7"/>
    <w:rsid w:val="00544794"/>
    <w:rsid w:val="00545CD2"/>
    <w:rsid w:val="005476F3"/>
    <w:rsid w:val="00553198"/>
    <w:rsid w:val="00572527"/>
    <w:rsid w:val="00573E40"/>
    <w:rsid w:val="00576348"/>
    <w:rsid w:val="005A0B2E"/>
    <w:rsid w:val="005A23D2"/>
    <w:rsid w:val="005A24F3"/>
    <w:rsid w:val="005A36CB"/>
    <w:rsid w:val="005A571B"/>
    <w:rsid w:val="005B3365"/>
    <w:rsid w:val="005B3467"/>
    <w:rsid w:val="005B49B8"/>
    <w:rsid w:val="005C0741"/>
    <w:rsid w:val="005C1EF3"/>
    <w:rsid w:val="005C47CD"/>
    <w:rsid w:val="005C4E06"/>
    <w:rsid w:val="005C5EF4"/>
    <w:rsid w:val="005D2576"/>
    <w:rsid w:val="005E2E0B"/>
    <w:rsid w:val="005E7A7D"/>
    <w:rsid w:val="00602457"/>
    <w:rsid w:val="00644FC3"/>
    <w:rsid w:val="00646348"/>
    <w:rsid w:val="006464F2"/>
    <w:rsid w:val="00646BD1"/>
    <w:rsid w:val="006561C2"/>
    <w:rsid w:val="00671CB3"/>
    <w:rsid w:val="00674BAF"/>
    <w:rsid w:val="00682200"/>
    <w:rsid w:val="00692BF6"/>
    <w:rsid w:val="006A1497"/>
    <w:rsid w:val="006B0BD1"/>
    <w:rsid w:val="006B4F16"/>
    <w:rsid w:val="006B5404"/>
    <w:rsid w:val="006D0F7A"/>
    <w:rsid w:val="006D20A5"/>
    <w:rsid w:val="006D37BF"/>
    <w:rsid w:val="006E04BE"/>
    <w:rsid w:val="006E5F8C"/>
    <w:rsid w:val="00702E22"/>
    <w:rsid w:val="0070368C"/>
    <w:rsid w:val="00715F4A"/>
    <w:rsid w:val="0072020E"/>
    <w:rsid w:val="007655FC"/>
    <w:rsid w:val="00766FCD"/>
    <w:rsid w:val="00786071"/>
    <w:rsid w:val="007A3ECB"/>
    <w:rsid w:val="007D754A"/>
    <w:rsid w:val="007D7BB3"/>
    <w:rsid w:val="00805DFD"/>
    <w:rsid w:val="008072D8"/>
    <w:rsid w:val="008103A5"/>
    <w:rsid w:val="00824AB9"/>
    <w:rsid w:val="00836B35"/>
    <w:rsid w:val="00843BDE"/>
    <w:rsid w:val="0087588C"/>
    <w:rsid w:val="008957A3"/>
    <w:rsid w:val="0089705C"/>
    <w:rsid w:val="008A6D43"/>
    <w:rsid w:val="008B491E"/>
    <w:rsid w:val="008B526A"/>
    <w:rsid w:val="008C1A28"/>
    <w:rsid w:val="008C2E98"/>
    <w:rsid w:val="008C2ED1"/>
    <w:rsid w:val="008E3196"/>
    <w:rsid w:val="008E388F"/>
    <w:rsid w:val="008E49BD"/>
    <w:rsid w:val="008E4F1A"/>
    <w:rsid w:val="008E53E9"/>
    <w:rsid w:val="008E5771"/>
    <w:rsid w:val="008F0875"/>
    <w:rsid w:val="008F4ACF"/>
    <w:rsid w:val="0090110C"/>
    <w:rsid w:val="009048F6"/>
    <w:rsid w:val="00924166"/>
    <w:rsid w:val="009356B2"/>
    <w:rsid w:val="00940B9B"/>
    <w:rsid w:val="00950CFC"/>
    <w:rsid w:val="0095676E"/>
    <w:rsid w:val="00956983"/>
    <w:rsid w:val="00963CF0"/>
    <w:rsid w:val="00964BB1"/>
    <w:rsid w:val="00974954"/>
    <w:rsid w:val="009775D9"/>
    <w:rsid w:val="009809E8"/>
    <w:rsid w:val="00997175"/>
    <w:rsid w:val="009A1847"/>
    <w:rsid w:val="009A40CC"/>
    <w:rsid w:val="009B062A"/>
    <w:rsid w:val="009C23B8"/>
    <w:rsid w:val="009D52C2"/>
    <w:rsid w:val="009E7C6F"/>
    <w:rsid w:val="009F1793"/>
    <w:rsid w:val="009F2D23"/>
    <w:rsid w:val="00A01D69"/>
    <w:rsid w:val="00A02335"/>
    <w:rsid w:val="00A068A0"/>
    <w:rsid w:val="00A46C9A"/>
    <w:rsid w:val="00A619F3"/>
    <w:rsid w:val="00A62A73"/>
    <w:rsid w:val="00A67BFC"/>
    <w:rsid w:val="00A8737E"/>
    <w:rsid w:val="00A87FF6"/>
    <w:rsid w:val="00AA0A3B"/>
    <w:rsid w:val="00AA2763"/>
    <w:rsid w:val="00AA33B6"/>
    <w:rsid w:val="00AB50CA"/>
    <w:rsid w:val="00AB6D64"/>
    <w:rsid w:val="00AC53CE"/>
    <w:rsid w:val="00AC5EE9"/>
    <w:rsid w:val="00AD2193"/>
    <w:rsid w:val="00AD3431"/>
    <w:rsid w:val="00AE20A0"/>
    <w:rsid w:val="00AF2AC7"/>
    <w:rsid w:val="00AF4FF2"/>
    <w:rsid w:val="00AF74CE"/>
    <w:rsid w:val="00B208DB"/>
    <w:rsid w:val="00B23F69"/>
    <w:rsid w:val="00B27734"/>
    <w:rsid w:val="00B31C55"/>
    <w:rsid w:val="00B60619"/>
    <w:rsid w:val="00B66A70"/>
    <w:rsid w:val="00B67366"/>
    <w:rsid w:val="00B75ADD"/>
    <w:rsid w:val="00B80EE1"/>
    <w:rsid w:val="00B84135"/>
    <w:rsid w:val="00B93687"/>
    <w:rsid w:val="00B974AC"/>
    <w:rsid w:val="00BF033C"/>
    <w:rsid w:val="00C035BB"/>
    <w:rsid w:val="00C04D34"/>
    <w:rsid w:val="00C05DF8"/>
    <w:rsid w:val="00C06864"/>
    <w:rsid w:val="00C10F54"/>
    <w:rsid w:val="00C21C03"/>
    <w:rsid w:val="00C23D8D"/>
    <w:rsid w:val="00C37AA3"/>
    <w:rsid w:val="00C37FD7"/>
    <w:rsid w:val="00C42F19"/>
    <w:rsid w:val="00C42FA1"/>
    <w:rsid w:val="00C43419"/>
    <w:rsid w:val="00C44CF3"/>
    <w:rsid w:val="00C45F77"/>
    <w:rsid w:val="00C61BE0"/>
    <w:rsid w:val="00C6707E"/>
    <w:rsid w:val="00C70B0E"/>
    <w:rsid w:val="00C773CA"/>
    <w:rsid w:val="00C82416"/>
    <w:rsid w:val="00C83785"/>
    <w:rsid w:val="00C94C0D"/>
    <w:rsid w:val="00CA1FEB"/>
    <w:rsid w:val="00CD4F85"/>
    <w:rsid w:val="00CD6F02"/>
    <w:rsid w:val="00CE246D"/>
    <w:rsid w:val="00CF07A0"/>
    <w:rsid w:val="00CF3E03"/>
    <w:rsid w:val="00D0082A"/>
    <w:rsid w:val="00D02740"/>
    <w:rsid w:val="00D05B65"/>
    <w:rsid w:val="00D10133"/>
    <w:rsid w:val="00D12CD1"/>
    <w:rsid w:val="00D21455"/>
    <w:rsid w:val="00D46D2D"/>
    <w:rsid w:val="00D47634"/>
    <w:rsid w:val="00D542D8"/>
    <w:rsid w:val="00D67883"/>
    <w:rsid w:val="00D709B3"/>
    <w:rsid w:val="00D80DB4"/>
    <w:rsid w:val="00DA2ED6"/>
    <w:rsid w:val="00DA5E66"/>
    <w:rsid w:val="00DB1EF9"/>
    <w:rsid w:val="00DB76B8"/>
    <w:rsid w:val="00DC2EA1"/>
    <w:rsid w:val="00DD6AAF"/>
    <w:rsid w:val="00DE3F5C"/>
    <w:rsid w:val="00DE53B7"/>
    <w:rsid w:val="00DF1D20"/>
    <w:rsid w:val="00E21324"/>
    <w:rsid w:val="00E246B9"/>
    <w:rsid w:val="00E31FEA"/>
    <w:rsid w:val="00E34F26"/>
    <w:rsid w:val="00E45169"/>
    <w:rsid w:val="00E46D7A"/>
    <w:rsid w:val="00E47787"/>
    <w:rsid w:val="00E51C30"/>
    <w:rsid w:val="00E64180"/>
    <w:rsid w:val="00E74AEE"/>
    <w:rsid w:val="00E845ED"/>
    <w:rsid w:val="00E868E5"/>
    <w:rsid w:val="00E920DD"/>
    <w:rsid w:val="00E9237A"/>
    <w:rsid w:val="00E939FA"/>
    <w:rsid w:val="00EA27AC"/>
    <w:rsid w:val="00EA5765"/>
    <w:rsid w:val="00EB697A"/>
    <w:rsid w:val="00EC2532"/>
    <w:rsid w:val="00ED237B"/>
    <w:rsid w:val="00ED7812"/>
    <w:rsid w:val="00EF3B86"/>
    <w:rsid w:val="00F317E9"/>
    <w:rsid w:val="00F34554"/>
    <w:rsid w:val="00F45F77"/>
    <w:rsid w:val="00F5167F"/>
    <w:rsid w:val="00F52258"/>
    <w:rsid w:val="00F80F7D"/>
    <w:rsid w:val="00F8570A"/>
    <w:rsid w:val="00F91C7B"/>
    <w:rsid w:val="00F942B3"/>
    <w:rsid w:val="00FB1926"/>
    <w:rsid w:val="00FB4552"/>
    <w:rsid w:val="00FC6844"/>
    <w:rsid w:val="00FF5F82"/>
    <w:rsid w:val="00FF6C4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43BD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749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974954"/>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8E3196"/>
    <w:pPr>
      <w:ind w:left="720"/>
      <w:contextualSpacing/>
    </w:pPr>
  </w:style>
  <w:style w:type="table" w:customStyle="1" w:styleId="TableGrid">
    <w:name w:val="TableGrid"/>
    <w:rsid w:val="006B4F16"/>
    <w:rPr>
      <w:rFonts w:ascii="Calibri" w:hAnsi="Calibri"/>
      <w:sz w:val="22"/>
      <w:szCs w:val="22"/>
      <w:lang w:val="en-US" w:eastAsia="en-US"/>
    </w:rPr>
    <w:tblPr>
      <w:tblCellMar>
        <w:top w:w="0" w:type="dxa"/>
        <w:left w:w="0" w:type="dxa"/>
        <w:bottom w:w="0" w:type="dxa"/>
        <w:right w:w="0" w:type="dxa"/>
      </w:tblCellMar>
    </w:tblPr>
  </w:style>
  <w:style w:type="paragraph" w:styleId="Revision">
    <w:name w:val="Revision"/>
    <w:hidden/>
    <w:uiPriority w:val="99"/>
    <w:semiHidden/>
    <w:rsid w:val="00D542D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256">
      <w:bodyDiv w:val="1"/>
      <w:marLeft w:val="0"/>
      <w:marRight w:val="0"/>
      <w:marTop w:val="0"/>
      <w:marBottom w:val="0"/>
      <w:divBdr>
        <w:top w:val="none" w:sz="0" w:space="0" w:color="auto"/>
        <w:left w:val="none" w:sz="0" w:space="0" w:color="auto"/>
        <w:bottom w:val="none" w:sz="0" w:space="0" w:color="auto"/>
        <w:right w:val="none" w:sz="0" w:space="0" w:color="auto"/>
      </w:divBdr>
    </w:div>
    <w:div w:id="1567835559">
      <w:bodyDiv w:val="1"/>
      <w:marLeft w:val="0"/>
      <w:marRight w:val="0"/>
      <w:marTop w:val="0"/>
      <w:marBottom w:val="0"/>
      <w:divBdr>
        <w:top w:val="none" w:sz="0" w:space="0" w:color="auto"/>
        <w:left w:val="none" w:sz="0" w:space="0" w:color="auto"/>
        <w:bottom w:val="none" w:sz="0" w:space="0" w:color="auto"/>
        <w:right w:val="none" w:sz="0" w:space="0" w:color="auto"/>
      </w:divBdr>
    </w:div>
    <w:div w:id="1743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00DFF-0B3E-40EC-ADCF-EA721143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40484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5</cp:revision>
  <dcterms:created xsi:type="dcterms:W3CDTF">2022-09-27T05:25:00Z</dcterms:created>
  <dcterms:modified xsi:type="dcterms:W3CDTF">2022-09-27T09:13:00Z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