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E22DF8" w:rsidRDefault="001A5518" w:rsidP="001A5518">
      <w:pPr>
        <w:rPr>
          <w:b/>
          <w:bCs/>
          <w:i/>
          <w:iCs/>
          <w:sz w:val="22"/>
          <w:szCs w:val="22"/>
          <w:u w:val="single"/>
          <w:lang w:val="sr-Latn-ME"/>
        </w:rPr>
      </w:pPr>
    </w:p>
    <w:p w:rsidR="00F91C7B" w:rsidRPr="00E22DF8" w:rsidRDefault="00F91C7B" w:rsidP="001A5518">
      <w:pPr>
        <w:rPr>
          <w:b/>
          <w:bCs/>
          <w:i/>
          <w:iCs/>
          <w:sz w:val="22"/>
          <w:szCs w:val="22"/>
          <w:u w:val="single"/>
          <w:lang w:val="sr-Latn-ME"/>
        </w:rPr>
      </w:pPr>
    </w:p>
    <w:p w:rsidR="002510A5" w:rsidRPr="00E22DF8" w:rsidRDefault="002510A5" w:rsidP="002510A5">
      <w:pPr>
        <w:jc w:val="center"/>
        <w:rPr>
          <w:b/>
          <w:bCs/>
          <w:iCs/>
          <w:sz w:val="22"/>
          <w:szCs w:val="22"/>
          <w:u w:val="single"/>
          <w:lang w:val="sr-Latn-ME"/>
        </w:rPr>
      </w:pPr>
      <w:r w:rsidRPr="00E22DF8">
        <w:rPr>
          <w:b/>
          <w:bCs/>
          <w:iCs/>
          <w:sz w:val="22"/>
          <w:szCs w:val="22"/>
          <w:u w:val="single"/>
          <w:lang w:val="sr-Latn-ME"/>
        </w:rPr>
        <w:t>SAŽETAK KARAKTERISTIKA LIJEKA</w:t>
      </w:r>
    </w:p>
    <w:p w:rsidR="002510A5" w:rsidRPr="00E22DF8" w:rsidRDefault="002510A5" w:rsidP="002510A5">
      <w:pPr>
        <w:rPr>
          <w:b/>
          <w:bCs/>
          <w:i/>
          <w:iCs/>
          <w:sz w:val="22"/>
          <w:szCs w:val="22"/>
          <w:u w:val="single"/>
          <w:lang w:val="sr-Latn-ME"/>
        </w:rPr>
      </w:pPr>
    </w:p>
    <w:p w:rsidR="00C37FD7" w:rsidRPr="00E22DF8" w:rsidRDefault="00C37FD7" w:rsidP="00F5167F">
      <w:pPr>
        <w:tabs>
          <w:tab w:val="left" w:pos="540"/>
          <w:tab w:val="left" w:pos="569"/>
        </w:tabs>
        <w:rPr>
          <w:bCs/>
          <w:sz w:val="22"/>
          <w:szCs w:val="22"/>
          <w:lang w:val="sr-Latn-ME"/>
        </w:rPr>
      </w:pPr>
    </w:p>
    <w:p w:rsidR="00411B4B" w:rsidRPr="00E22DF8" w:rsidRDefault="00411B4B" w:rsidP="00F5167F">
      <w:pPr>
        <w:tabs>
          <w:tab w:val="left" w:pos="540"/>
          <w:tab w:val="left" w:pos="569"/>
        </w:tabs>
        <w:rPr>
          <w:b/>
          <w:bCs/>
          <w:sz w:val="22"/>
          <w:szCs w:val="22"/>
          <w:lang w:val="sr-Latn-ME"/>
        </w:rPr>
      </w:pPr>
      <w:r w:rsidRPr="00E22DF8">
        <w:rPr>
          <w:b/>
          <w:bCs/>
          <w:sz w:val="22"/>
          <w:szCs w:val="22"/>
          <w:lang w:val="sr-Latn-ME"/>
        </w:rPr>
        <w:t>1.</w:t>
      </w:r>
      <w:r w:rsidR="00F5167F" w:rsidRPr="00E22DF8">
        <w:rPr>
          <w:b/>
          <w:bCs/>
          <w:sz w:val="22"/>
          <w:szCs w:val="22"/>
          <w:lang w:val="sr-Latn-ME"/>
        </w:rPr>
        <w:tab/>
      </w:r>
      <w:r w:rsidR="002846DB" w:rsidRPr="00E22DF8">
        <w:rPr>
          <w:b/>
          <w:bCs/>
          <w:sz w:val="22"/>
          <w:szCs w:val="22"/>
          <w:lang w:val="sr-Latn-ME"/>
        </w:rPr>
        <w:t xml:space="preserve">NAZIV </w:t>
      </w:r>
      <w:r w:rsidRPr="00E22DF8">
        <w:rPr>
          <w:b/>
          <w:bCs/>
          <w:sz w:val="22"/>
          <w:szCs w:val="22"/>
          <w:lang w:val="sr-Latn-ME"/>
        </w:rPr>
        <w:t>LIJEKA</w:t>
      </w:r>
    </w:p>
    <w:p w:rsidR="00EC2532" w:rsidRPr="00E22DF8" w:rsidRDefault="00EC2532">
      <w:pPr>
        <w:rPr>
          <w:sz w:val="22"/>
          <w:szCs w:val="22"/>
          <w:lang w:val="sr-Latn-ME"/>
        </w:rPr>
      </w:pPr>
    </w:p>
    <w:p w:rsidR="0096131F" w:rsidRPr="00E22DF8" w:rsidRDefault="0096131F" w:rsidP="0096131F">
      <w:pPr>
        <w:rPr>
          <w:iCs/>
          <w:sz w:val="22"/>
          <w:szCs w:val="22"/>
          <w:lang w:val="sr-Latn-ME"/>
        </w:rPr>
      </w:pPr>
      <w:r w:rsidRPr="00E22DF8">
        <w:rPr>
          <w:iCs/>
          <w:sz w:val="22"/>
          <w:szCs w:val="22"/>
          <w:lang w:val="sr-Latn-ME"/>
        </w:rPr>
        <w:t xml:space="preserve">Corviva, 10 mg, film tablete </w:t>
      </w:r>
    </w:p>
    <w:p w:rsidR="006D20A5" w:rsidRPr="00E22DF8" w:rsidRDefault="0096131F" w:rsidP="0096131F">
      <w:pPr>
        <w:rPr>
          <w:bCs/>
          <w:sz w:val="22"/>
          <w:szCs w:val="22"/>
          <w:lang w:val="sr-Latn-ME"/>
        </w:rPr>
      </w:pPr>
      <w:r w:rsidRPr="00E22DF8">
        <w:rPr>
          <w:iCs/>
          <w:sz w:val="22"/>
          <w:szCs w:val="22"/>
          <w:lang w:val="sr-Latn-ME"/>
        </w:rPr>
        <w:t>INN: rivaroksaban</w:t>
      </w:r>
    </w:p>
    <w:p w:rsidR="00530BD7" w:rsidRPr="00E22DF8" w:rsidRDefault="00530BD7">
      <w:pPr>
        <w:rPr>
          <w:bCs/>
          <w:sz w:val="22"/>
          <w:szCs w:val="22"/>
          <w:lang w:val="sr-Latn-ME"/>
        </w:rPr>
      </w:pPr>
    </w:p>
    <w:p w:rsidR="00411B4B" w:rsidRPr="00E22DF8" w:rsidRDefault="00411B4B" w:rsidP="00F5167F">
      <w:pPr>
        <w:tabs>
          <w:tab w:val="left" w:pos="540"/>
          <w:tab w:val="left" w:pos="569"/>
        </w:tabs>
        <w:rPr>
          <w:b/>
          <w:bCs/>
          <w:sz w:val="22"/>
          <w:szCs w:val="22"/>
          <w:lang w:val="sr-Latn-ME"/>
        </w:rPr>
      </w:pPr>
      <w:r w:rsidRPr="00E22DF8">
        <w:rPr>
          <w:b/>
          <w:bCs/>
          <w:sz w:val="22"/>
          <w:szCs w:val="22"/>
          <w:lang w:val="sr-Latn-ME"/>
        </w:rPr>
        <w:t xml:space="preserve">2. </w:t>
      </w:r>
      <w:r w:rsidR="00F5167F" w:rsidRPr="00E22DF8">
        <w:rPr>
          <w:b/>
          <w:bCs/>
          <w:sz w:val="22"/>
          <w:szCs w:val="22"/>
          <w:lang w:val="sr-Latn-ME"/>
        </w:rPr>
        <w:tab/>
      </w:r>
      <w:r w:rsidRPr="00E22DF8">
        <w:rPr>
          <w:b/>
          <w:bCs/>
          <w:sz w:val="22"/>
          <w:szCs w:val="22"/>
          <w:lang w:val="sr-Latn-ME"/>
        </w:rPr>
        <w:t>KVALITATIVNI I KVANTITATIVNI SASTAV</w:t>
      </w:r>
    </w:p>
    <w:p w:rsidR="005A0B2E" w:rsidRPr="00E22DF8" w:rsidRDefault="005A0B2E">
      <w:pPr>
        <w:rPr>
          <w:sz w:val="22"/>
          <w:szCs w:val="22"/>
          <w:lang w:val="sr-Latn-ME"/>
        </w:rPr>
      </w:pPr>
    </w:p>
    <w:p w:rsidR="0096131F" w:rsidRPr="00E22DF8" w:rsidRDefault="0096131F" w:rsidP="0096131F">
      <w:pPr>
        <w:jc w:val="both"/>
        <w:rPr>
          <w:sz w:val="22"/>
          <w:szCs w:val="22"/>
          <w:lang w:val="sr-Latn-ME"/>
        </w:rPr>
      </w:pPr>
      <w:r w:rsidRPr="00E22DF8">
        <w:rPr>
          <w:sz w:val="22"/>
          <w:szCs w:val="22"/>
          <w:lang w:val="sr-Latn-ME"/>
        </w:rPr>
        <w:t>Jedna film tableta sadrži 10 mg rivaroksabana.</w:t>
      </w:r>
    </w:p>
    <w:p w:rsidR="0096131F" w:rsidRPr="00E22DF8" w:rsidRDefault="0096131F" w:rsidP="0096131F">
      <w:pPr>
        <w:jc w:val="both"/>
        <w:rPr>
          <w:sz w:val="22"/>
          <w:szCs w:val="22"/>
          <w:lang w:val="sr-Latn-ME"/>
        </w:rPr>
      </w:pPr>
    </w:p>
    <w:p w:rsidR="0096131F" w:rsidRPr="00E22DF8" w:rsidRDefault="0096131F" w:rsidP="0096131F">
      <w:pPr>
        <w:jc w:val="both"/>
        <w:rPr>
          <w:sz w:val="22"/>
          <w:szCs w:val="22"/>
          <w:lang w:val="sr-Latn-ME"/>
        </w:rPr>
      </w:pPr>
      <w:r w:rsidRPr="00E22DF8">
        <w:rPr>
          <w:sz w:val="22"/>
          <w:szCs w:val="22"/>
          <w:lang w:val="sr-Latn-ME"/>
        </w:rPr>
        <w:t>Pomoćna supstanca sa potvrđenim dejstvom:</w:t>
      </w:r>
    </w:p>
    <w:p w:rsidR="0096131F" w:rsidRPr="00E22DF8" w:rsidRDefault="0096131F" w:rsidP="0096131F">
      <w:pPr>
        <w:jc w:val="both"/>
        <w:rPr>
          <w:sz w:val="22"/>
          <w:szCs w:val="22"/>
          <w:lang w:val="sr-Latn-ME"/>
        </w:rPr>
      </w:pPr>
      <w:r w:rsidRPr="00E22DF8">
        <w:rPr>
          <w:sz w:val="22"/>
          <w:szCs w:val="22"/>
          <w:lang w:val="sr-Latn-ME"/>
        </w:rPr>
        <w:t>Jedna film tableta sadrži 177,2 mg laktoze, monohidrat</w:t>
      </w:r>
      <w:r w:rsidR="0071112D" w:rsidRPr="00E22DF8">
        <w:rPr>
          <w:sz w:val="22"/>
          <w:szCs w:val="22"/>
          <w:lang w:val="sr-Latn-ME"/>
        </w:rPr>
        <w:t>a</w:t>
      </w:r>
      <w:r w:rsidR="00D721DE" w:rsidRPr="00E22DF8">
        <w:rPr>
          <w:sz w:val="22"/>
          <w:szCs w:val="22"/>
          <w:lang w:val="sr-Latn-ME"/>
        </w:rPr>
        <w:t xml:space="preserve"> (vidjeti dio 4.4)</w:t>
      </w:r>
      <w:r w:rsidRPr="00E22DF8">
        <w:rPr>
          <w:sz w:val="22"/>
          <w:szCs w:val="22"/>
          <w:lang w:val="sr-Latn-ME"/>
        </w:rPr>
        <w:t xml:space="preserve">. </w:t>
      </w:r>
    </w:p>
    <w:p w:rsidR="0096131F" w:rsidRPr="00E22DF8" w:rsidRDefault="0096131F" w:rsidP="0096131F">
      <w:pPr>
        <w:jc w:val="both"/>
        <w:rPr>
          <w:sz w:val="22"/>
          <w:szCs w:val="22"/>
          <w:lang w:val="sr-Latn-ME"/>
        </w:rPr>
      </w:pPr>
    </w:p>
    <w:p w:rsidR="0003793F" w:rsidRPr="00E22DF8" w:rsidRDefault="0003793F" w:rsidP="0096131F">
      <w:pPr>
        <w:jc w:val="both"/>
        <w:rPr>
          <w:sz w:val="22"/>
          <w:szCs w:val="22"/>
          <w:lang w:val="sr-Latn-ME"/>
        </w:rPr>
      </w:pPr>
      <w:r w:rsidRPr="00E22DF8">
        <w:rPr>
          <w:sz w:val="22"/>
          <w:szCs w:val="22"/>
          <w:lang w:val="sr-Latn-ME"/>
        </w:rPr>
        <w:t>Za spisak svih ekscipijenasa, pogledati dio 6.1.</w:t>
      </w:r>
    </w:p>
    <w:p w:rsidR="00C37FD7" w:rsidRPr="00E22DF8" w:rsidRDefault="00C37FD7">
      <w:pPr>
        <w:rPr>
          <w:sz w:val="22"/>
          <w:szCs w:val="22"/>
          <w:lang w:val="sr-Latn-ME"/>
        </w:rPr>
      </w:pPr>
    </w:p>
    <w:p w:rsidR="00411B4B" w:rsidRPr="00E22DF8" w:rsidRDefault="00411B4B" w:rsidP="00F5167F">
      <w:pPr>
        <w:tabs>
          <w:tab w:val="left" w:pos="540"/>
          <w:tab w:val="left" w:pos="569"/>
        </w:tabs>
        <w:rPr>
          <w:b/>
          <w:bCs/>
          <w:sz w:val="22"/>
          <w:szCs w:val="22"/>
          <w:lang w:val="sr-Latn-ME"/>
        </w:rPr>
      </w:pPr>
      <w:r w:rsidRPr="00E22DF8">
        <w:rPr>
          <w:b/>
          <w:bCs/>
          <w:sz w:val="22"/>
          <w:szCs w:val="22"/>
          <w:lang w:val="sr-Latn-ME"/>
        </w:rPr>
        <w:t xml:space="preserve">3. </w:t>
      </w:r>
      <w:r w:rsidR="00F5167F" w:rsidRPr="00E22DF8">
        <w:rPr>
          <w:b/>
          <w:bCs/>
          <w:sz w:val="22"/>
          <w:szCs w:val="22"/>
          <w:lang w:val="sr-Latn-ME"/>
        </w:rPr>
        <w:tab/>
      </w:r>
      <w:r w:rsidRPr="00E22DF8">
        <w:rPr>
          <w:b/>
          <w:bCs/>
          <w:sz w:val="22"/>
          <w:szCs w:val="22"/>
          <w:lang w:val="sr-Latn-ME"/>
        </w:rPr>
        <w:t>FARMACEUTSKI OBLIK</w:t>
      </w:r>
      <w:r w:rsidR="009F2D23" w:rsidRPr="00E22DF8">
        <w:rPr>
          <w:b/>
          <w:bCs/>
          <w:sz w:val="22"/>
          <w:szCs w:val="22"/>
          <w:lang w:val="sr-Latn-ME"/>
        </w:rPr>
        <w:t xml:space="preserve"> </w:t>
      </w:r>
    </w:p>
    <w:p w:rsidR="0096131F" w:rsidRPr="00E22DF8" w:rsidRDefault="0096131F" w:rsidP="0096131F">
      <w:pPr>
        <w:rPr>
          <w:bCs/>
          <w:sz w:val="22"/>
          <w:szCs w:val="22"/>
          <w:lang w:val="sr-Latn-ME"/>
        </w:rPr>
      </w:pPr>
    </w:p>
    <w:p w:rsidR="0096131F" w:rsidRPr="00E22DF8" w:rsidRDefault="0096131F" w:rsidP="0096131F">
      <w:pPr>
        <w:jc w:val="both"/>
        <w:rPr>
          <w:bCs/>
          <w:sz w:val="22"/>
          <w:szCs w:val="22"/>
          <w:lang w:val="sr-Latn-ME"/>
        </w:rPr>
      </w:pPr>
      <w:r w:rsidRPr="00E22DF8">
        <w:rPr>
          <w:bCs/>
          <w:sz w:val="22"/>
          <w:szCs w:val="22"/>
          <w:lang w:val="sr-Latn-ME"/>
        </w:rPr>
        <w:t>Film tablete.</w:t>
      </w:r>
    </w:p>
    <w:p w:rsidR="00411B4B" w:rsidRPr="00E22DF8" w:rsidRDefault="0096131F" w:rsidP="0096131F">
      <w:pPr>
        <w:jc w:val="both"/>
        <w:rPr>
          <w:bCs/>
          <w:sz w:val="22"/>
          <w:szCs w:val="22"/>
          <w:lang w:val="sr-Latn-ME"/>
        </w:rPr>
      </w:pPr>
      <w:r w:rsidRPr="00E22DF8">
        <w:rPr>
          <w:bCs/>
          <w:sz w:val="22"/>
          <w:szCs w:val="22"/>
          <w:lang w:val="sr-Latn-ME"/>
        </w:rPr>
        <w:t>Okrugle film tablete ružičaste boje, prečnika oko 8 mm, sa utisnutim oznakama “T” na jednoj strani i “1R” na drugoj strani</w:t>
      </w:r>
      <w:r w:rsidR="00FD1DC1" w:rsidRPr="00E22DF8">
        <w:rPr>
          <w:bCs/>
          <w:sz w:val="22"/>
          <w:szCs w:val="22"/>
          <w:lang w:val="sr-Latn-ME"/>
        </w:rPr>
        <w:t xml:space="preserve"> tablete</w:t>
      </w:r>
      <w:r w:rsidRPr="00E22DF8">
        <w:rPr>
          <w:bCs/>
          <w:sz w:val="22"/>
          <w:szCs w:val="22"/>
          <w:lang w:val="sr-Latn-ME"/>
        </w:rPr>
        <w:t>.</w:t>
      </w:r>
    </w:p>
    <w:p w:rsidR="00EC2532" w:rsidRPr="00E22DF8" w:rsidRDefault="00EC2532">
      <w:pPr>
        <w:rPr>
          <w:bCs/>
          <w:sz w:val="22"/>
          <w:szCs w:val="22"/>
          <w:lang w:val="sr-Latn-ME"/>
        </w:rPr>
      </w:pPr>
    </w:p>
    <w:p w:rsidR="00411B4B" w:rsidRPr="00E22DF8" w:rsidRDefault="00411B4B" w:rsidP="00F5167F">
      <w:pPr>
        <w:tabs>
          <w:tab w:val="left" w:pos="540"/>
          <w:tab w:val="left" w:pos="569"/>
        </w:tabs>
        <w:rPr>
          <w:b/>
          <w:bCs/>
          <w:sz w:val="22"/>
          <w:szCs w:val="22"/>
          <w:lang w:val="sr-Latn-ME"/>
        </w:rPr>
      </w:pPr>
      <w:r w:rsidRPr="00E22DF8">
        <w:rPr>
          <w:b/>
          <w:bCs/>
          <w:sz w:val="22"/>
          <w:szCs w:val="22"/>
          <w:lang w:val="sr-Latn-ME"/>
        </w:rPr>
        <w:t xml:space="preserve">4. </w:t>
      </w:r>
      <w:r w:rsidR="00480FB1" w:rsidRPr="00E22DF8">
        <w:rPr>
          <w:b/>
          <w:bCs/>
          <w:sz w:val="22"/>
          <w:szCs w:val="22"/>
          <w:lang w:val="sr-Latn-ME"/>
        </w:rPr>
        <w:tab/>
      </w:r>
      <w:r w:rsidRPr="00E22DF8">
        <w:rPr>
          <w:b/>
          <w:bCs/>
          <w:sz w:val="22"/>
          <w:szCs w:val="22"/>
          <w:lang w:val="sr-Latn-ME"/>
        </w:rPr>
        <w:t>KLINIČKI PODACI</w:t>
      </w:r>
    </w:p>
    <w:p w:rsidR="00CD6F02" w:rsidRPr="00E22DF8" w:rsidRDefault="00CD6F02" w:rsidP="00480FB1">
      <w:pPr>
        <w:tabs>
          <w:tab w:val="left" w:pos="540"/>
          <w:tab w:val="left" w:pos="569"/>
        </w:tabs>
        <w:rPr>
          <w:bCs/>
          <w:sz w:val="22"/>
          <w:szCs w:val="22"/>
          <w:lang w:val="sr-Latn-ME"/>
        </w:rPr>
      </w:pPr>
    </w:p>
    <w:p w:rsidR="00411B4B" w:rsidRPr="00E22DF8" w:rsidRDefault="00411B4B" w:rsidP="00480FB1">
      <w:pPr>
        <w:tabs>
          <w:tab w:val="left" w:pos="540"/>
          <w:tab w:val="left" w:pos="569"/>
        </w:tabs>
        <w:rPr>
          <w:b/>
          <w:bCs/>
          <w:sz w:val="22"/>
          <w:szCs w:val="22"/>
          <w:lang w:val="sr-Latn-ME"/>
        </w:rPr>
      </w:pPr>
      <w:r w:rsidRPr="00E22DF8">
        <w:rPr>
          <w:b/>
          <w:bCs/>
          <w:sz w:val="22"/>
          <w:szCs w:val="22"/>
          <w:lang w:val="sr-Latn-ME"/>
        </w:rPr>
        <w:t xml:space="preserve">4.1. </w:t>
      </w:r>
      <w:r w:rsidR="00480FB1" w:rsidRPr="00E22DF8">
        <w:rPr>
          <w:b/>
          <w:bCs/>
          <w:sz w:val="22"/>
          <w:szCs w:val="22"/>
          <w:lang w:val="sr-Latn-ME"/>
        </w:rPr>
        <w:tab/>
      </w:r>
      <w:r w:rsidRPr="00E22DF8">
        <w:rPr>
          <w:b/>
          <w:bCs/>
          <w:sz w:val="22"/>
          <w:szCs w:val="22"/>
          <w:lang w:val="sr-Latn-ME"/>
        </w:rPr>
        <w:t>Terapijske indikacije</w:t>
      </w:r>
    </w:p>
    <w:p w:rsidR="0096131F" w:rsidRPr="00E22DF8" w:rsidRDefault="0096131F" w:rsidP="00480FB1">
      <w:pPr>
        <w:tabs>
          <w:tab w:val="left" w:pos="540"/>
          <w:tab w:val="left" w:pos="569"/>
        </w:tabs>
        <w:rPr>
          <w:b/>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Prevencija venske tromboembolije (VTE) kod odraslih pacijenata koji se podvrgavaju elektivnoj hirurškoj intervenciji zamjene kuka ili koljena (ugradnji vještačkog kuka ili koljena).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Terapija tromboze dubokih vena (TDV) i plućne embolije (PE), i prevencija rekurentne TDV i PE kod odraslih pacijenata (</w:t>
      </w:r>
      <w:r w:rsidR="00272FE5" w:rsidRPr="00E22DF8">
        <w:rPr>
          <w:bCs/>
          <w:sz w:val="22"/>
          <w:szCs w:val="22"/>
          <w:lang w:val="sr-Latn-ME"/>
        </w:rPr>
        <w:t xml:space="preserve">vidjeti dio </w:t>
      </w:r>
      <w:r w:rsidRPr="00E22DF8">
        <w:rPr>
          <w:bCs/>
          <w:sz w:val="22"/>
          <w:szCs w:val="22"/>
          <w:lang w:val="sr-Latn-ME"/>
        </w:rPr>
        <w:t>4.4 za informacije o primjeni kod hemodinamski nestabilnih pacijenata sa PE).</w:t>
      </w:r>
    </w:p>
    <w:p w:rsidR="00411B4B" w:rsidRPr="00E22DF8" w:rsidRDefault="00411B4B" w:rsidP="00480FB1">
      <w:pPr>
        <w:tabs>
          <w:tab w:val="left" w:pos="540"/>
          <w:tab w:val="left" w:pos="569"/>
        </w:tabs>
        <w:rPr>
          <w:bCs/>
          <w:sz w:val="22"/>
          <w:szCs w:val="22"/>
          <w:lang w:val="sr-Latn-ME"/>
        </w:rPr>
      </w:pPr>
    </w:p>
    <w:p w:rsidR="00411B4B" w:rsidRPr="00E22DF8" w:rsidRDefault="00411B4B" w:rsidP="00480FB1">
      <w:pPr>
        <w:tabs>
          <w:tab w:val="left" w:pos="540"/>
          <w:tab w:val="left" w:pos="569"/>
        </w:tabs>
        <w:rPr>
          <w:b/>
          <w:bCs/>
          <w:sz w:val="22"/>
          <w:szCs w:val="22"/>
          <w:lang w:val="sr-Latn-ME"/>
        </w:rPr>
      </w:pPr>
      <w:r w:rsidRPr="00E22DF8">
        <w:rPr>
          <w:b/>
          <w:bCs/>
          <w:sz w:val="22"/>
          <w:szCs w:val="22"/>
          <w:lang w:val="sr-Latn-ME"/>
        </w:rPr>
        <w:t xml:space="preserve">4.2. </w:t>
      </w:r>
      <w:r w:rsidR="00480FB1" w:rsidRPr="00E22DF8">
        <w:rPr>
          <w:b/>
          <w:bCs/>
          <w:sz w:val="22"/>
          <w:szCs w:val="22"/>
          <w:lang w:val="sr-Latn-ME"/>
        </w:rPr>
        <w:tab/>
      </w:r>
      <w:r w:rsidRPr="00E22DF8">
        <w:rPr>
          <w:b/>
          <w:bCs/>
          <w:sz w:val="22"/>
          <w:szCs w:val="22"/>
          <w:lang w:val="sr-Latn-ME"/>
        </w:rPr>
        <w:t>Doziranje i način primjene</w:t>
      </w:r>
    </w:p>
    <w:p w:rsidR="0072020E" w:rsidRPr="00E22DF8" w:rsidRDefault="0072020E" w:rsidP="00480FB1">
      <w:pPr>
        <w:tabs>
          <w:tab w:val="left" w:pos="540"/>
          <w:tab w:val="left" w:pos="569"/>
        </w:tabs>
        <w:rPr>
          <w:bCs/>
          <w:sz w:val="22"/>
          <w:szCs w:val="22"/>
          <w:lang w:val="sr-Latn-ME"/>
        </w:rPr>
      </w:pPr>
    </w:p>
    <w:p w:rsidR="0096131F" w:rsidRPr="00E22DF8" w:rsidRDefault="0096131F" w:rsidP="0096131F">
      <w:pPr>
        <w:tabs>
          <w:tab w:val="left" w:pos="540"/>
          <w:tab w:val="left" w:pos="569"/>
        </w:tabs>
        <w:rPr>
          <w:bCs/>
          <w:sz w:val="22"/>
          <w:szCs w:val="22"/>
          <w:u w:val="single"/>
          <w:lang w:val="sr-Latn-ME"/>
        </w:rPr>
      </w:pPr>
      <w:r w:rsidRPr="00E22DF8">
        <w:rPr>
          <w:bCs/>
          <w:sz w:val="22"/>
          <w:szCs w:val="22"/>
          <w:u w:val="single"/>
          <w:lang w:val="sr-Latn-ME"/>
        </w:rPr>
        <w:t>Doziranje</w:t>
      </w:r>
    </w:p>
    <w:p w:rsidR="0096131F" w:rsidRPr="00E22DF8" w:rsidRDefault="0096131F" w:rsidP="0096131F">
      <w:pPr>
        <w:tabs>
          <w:tab w:val="left" w:pos="540"/>
          <w:tab w:val="left" w:pos="569"/>
        </w:tabs>
        <w:rPr>
          <w:bCs/>
          <w:sz w:val="22"/>
          <w:szCs w:val="22"/>
          <w:u w:val="single"/>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Prevencija VTE kod odraslih pacijenata koji se podvrgavaju elektivnoj hirurškoj intervenciji zamjene kuka ili koljena</w:t>
      </w:r>
    </w:p>
    <w:p w:rsidR="0096131F" w:rsidRPr="00E22DF8" w:rsidRDefault="0096131F" w:rsidP="0096131F">
      <w:pPr>
        <w:tabs>
          <w:tab w:val="left" w:pos="540"/>
          <w:tab w:val="left" w:pos="569"/>
        </w:tabs>
        <w:jc w:val="both"/>
        <w:rPr>
          <w:bCs/>
          <w:i/>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Preporučena doza je 10 mg rivaroksabana, uzeta oralno, jednom dnevno. Početnu dozu lijeka Corviva treba uzeti 6 do 10 sati nakon operacije, pod uslovom da je prethodno obezbijeđena adekvatna postoperativna hemostaza.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Trajanje terapije zavisi od individualnog rizika pacijenta od venske tromboembolije</w:t>
      </w:r>
      <w:r w:rsidR="006B1DEE" w:rsidRPr="00E22DF8">
        <w:rPr>
          <w:bCs/>
          <w:sz w:val="22"/>
          <w:szCs w:val="22"/>
          <w:lang w:val="sr-Latn-ME"/>
        </w:rPr>
        <w:t>,</w:t>
      </w:r>
      <w:r w:rsidRPr="00E22DF8">
        <w:rPr>
          <w:bCs/>
          <w:sz w:val="22"/>
          <w:szCs w:val="22"/>
          <w:lang w:val="sr-Latn-ME"/>
        </w:rPr>
        <w:t xml:space="preserve"> što je određeno vrstom ortopedske hirurške intervencije.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Kod pacijenata koji su podvrgnuti većoj operaciji zamjene (ugradnje vještačkog) kuka, preporučeno trajanje terapije je 5 ned</w:t>
      </w:r>
      <w:r w:rsidR="006B1DEE" w:rsidRPr="00E22DF8">
        <w:rPr>
          <w:bCs/>
          <w:sz w:val="22"/>
          <w:szCs w:val="22"/>
          <w:lang w:val="sr-Latn-ME"/>
        </w:rPr>
        <w:t>j</w:t>
      </w:r>
      <w:r w:rsidRPr="00E22DF8">
        <w:rPr>
          <w:bCs/>
          <w:sz w:val="22"/>
          <w:szCs w:val="22"/>
          <w:lang w:val="sr-Latn-ME"/>
        </w:rPr>
        <w:t>elja.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Kod pacijenata koji su podvrgnuti većoj operaciji zamjene (ugradnje vještačkog) koljena, preporučeno trajanje terapije je 2 ned</w:t>
      </w:r>
      <w:r w:rsidR="006B1DEE" w:rsidRPr="00E22DF8">
        <w:rPr>
          <w:bCs/>
          <w:sz w:val="22"/>
          <w:szCs w:val="22"/>
          <w:lang w:val="sr-Latn-ME"/>
        </w:rPr>
        <w:t>j</w:t>
      </w:r>
      <w:r w:rsidRPr="00E22DF8">
        <w:rPr>
          <w:bCs/>
          <w:sz w:val="22"/>
          <w:szCs w:val="22"/>
          <w:lang w:val="sr-Latn-ME"/>
        </w:rPr>
        <w:t>elje.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Ako se propusti doza, pacijent treba odmah da uzme lijek Corviva i da nastavi narednog dana sa uzimanjem jednom dnevno kako je propisano.</w:t>
      </w:r>
    </w:p>
    <w:p w:rsidR="00452E9D" w:rsidRPr="00E22DF8" w:rsidRDefault="00452E9D" w:rsidP="00480FB1">
      <w:pPr>
        <w:tabs>
          <w:tab w:val="left" w:pos="540"/>
          <w:tab w:val="left" w:pos="569"/>
        </w:tabs>
        <w:rPr>
          <w:bCs/>
          <w:sz w:val="22"/>
          <w:szCs w:val="22"/>
          <w:u w:val="single"/>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lastRenderedPageBreak/>
        <w:t>Terapija TDV, terapija PE i prevencija rekurentne TDV i PE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Preporučena doza za početnu terapiju akutne TDV ili PE je 15 mg dva puta dnevno tokom prve tri ned</w:t>
      </w:r>
      <w:r w:rsidR="006B1DEE" w:rsidRPr="00E22DF8">
        <w:rPr>
          <w:bCs/>
          <w:sz w:val="22"/>
          <w:szCs w:val="22"/>
          <w:lang w:val="sr-Latn-ME"/>
        </w:rPr>
        <w:t>j</w:t>
      </w:r>
      <w:r w:rsidRPr="00E22DF8">
        <w:rPr>
          <w:bCs/>
          <w:sz w:val="22"/>
          <w:szCs w:val="22"/>
          <w:lang w:val="sr-Latn-ME"/>
        </w:rPr>
        <w:t>elje, nakon čega treba nastaviti dozom od 20 mg jednom dnevno za nastavak terapije i prevenciju rekurentne TDV i PE.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Kratkotrajnu terapiju (najmanje 3 mjeseca), treba razmotriti kod pacijenata sa TDV ili PE koje su izazvane većim prolaznim faktorom rizika (tj. nedavnom velikom operacijom ili traumom).</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Dugotrajnu terapiju treba razmotriti kod:</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provocirane TDV ili PE, koja nije povezana sa većim prolaznim faktorom rizika,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neprovocirane TDV ili PE</w:t>
      </w:r>
      <w:r w:rsidR="006B1DEE" w:rsidRPr="00E22DF8">
        <w:rPr>
          <w:bCs/>
          <w:sz w:val="22"/>
          <w:szCs w:val="22"/>
          <w:lang w:val="sr-Latn-ME"/>
        </w:rPr>
        <w:t>,</w:t>
      </w:r>
      <w:r w:rsidRPr="00E22DF8">
        <w:rPr>
          <w:bCs/>
          <w:sz w:val="22"/>
          <w:szCs w:val="22"/>
          <w:lang w:val="sr-Latn-ME"/>
        </w:rPr>
        <w:t xml:space="preserve"> ili</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pacijenata sa rekurentnom TDV ili PE u anamnezi.</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Kada je indikovana produžena prevencija rekurentne TDV ili PE (nakon završetka terapije TDV ili PE koja je trajala najmanje 6 mjeseci), preporučena doza je 10 mg jednom dnevno.</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Kod pacijenata kod kojih se rizik od rekurentne TDV ili PE smatra velikim, kao što su pacijenti sa komplikovanim komorbiditetima, ili pacijenti kod kojih su se, uprkos produženoj prevenciji dozom 10 mg jednom dnevno, razvili rekurentna TDV ili PE, treba razmotriti primjenu doze od 20 mg rivaroksabana jednom dnevno.</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Trajanje terapije i izbor doze treba da budu individualni, poslije pažljive procjene koristi terapije u odnosu na rizik od krvarenja (vidjeti </w:t>
      </w:r>
      <w:r w:rsidR="00BF38C2"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Cs/>
          <w:sz w:val="22"/>
          <w:szCs w:val="22"/>
          <w:lang w:val="sr-Latn-M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1"/>
        <w:gridCol w:w="2611"/>
        <w:gridCol w:w="2429"/>
        <w:gridCol w:w="2146"/>
      </w:tblGrid>
      <w:tr w:rsidR="0096131F" w:rsidRPr="00E22DF8" w:rsidTr="0096131F">
        <w:trPr>
          <w:trHeight w:val="489"/>
          <w:jc w:val="center"/>
        </w:trPr>
        <w:tc>
          <w:tcPr>
            <w:tcW w:w="1881" w:type="dxa"/>
          </w:tcPr>
          <w:p w:rsidR="0096131F" w:rsidRPr="00E22DF8" w:rsidRDefault="0096131F" w:rsidP="00A539BF">
            <w:pPr>
              <w:widowControl w:val="0"/>
              <w:autoSpaceDE w:val="0"/>
              <w:autoSpaceDN w:val="0"/>
              <w:rPr>
                <w:sz w:val="22"/>
                <w:szCs w:val="22"/>
                <w:lang w:val="sr-Latn-ME"/>
              </w:rPr>
            </w:pPr>
          </w:p>
        </w:tc>
        <w:tc>
          <w:tcPr>
            <w:tcW w:w="2611" w:type="dxa"/>
          </w:tcPr>
          <w:p w:rsidR="0096131F" w:rsidRPr="00E22DF8" w:rsidRDefault="0096131F" w:rsidP="0096131F">
            <w:pPr>
              <w:widowControl w:val="0"/>
              <w:autoSpaceDE w:val="0"/>
              <w:autoSpaceDN w:val="0"/>
              <w:spacing w:line="235" w:lineRule="exact"/>
              <w:ind w:left="9"/>
              <w:jc w:val="center"/>
              <w:rPr>
                <w:b/>
                <w:sz w:val="22"/>
                <w:szCs w:val="22"/>
                <w:lang w:val="sr-Latn-ME"/>
              </w:rPr>
            </w:pPr>
            <w:r w:rsidRPr="00E22DF8">
              <w:rPr>
                <w:b/>
                <w:sz w:val="22"/>
                <w:szCs w:val="22"/>
                <w:lang w:val="sr-Latn-ME"/>
              </w:rPr>
              <w:t>Vremenski period</w:t>
            </w:r>
          </w:p>
        </w:tc>
        <w:tc>
          <w:tcPr>
            <w:tcW w:w="2429" w:type="dxa"/>
          </w:tcPr>
          <w:p w:rsidR="0096131F" w:rsidRPr="00E22DF8" w:rsidRDefault="0096131F" w:rsidP="0096131F">
            <w:pPr>
              <w:widowControl w:val="0"/>
              <w:autoSpaceDE w:val="0"/>
              <w:autoSpaceDN w:val="0"/>
              <w:spacing w:line="235" w:lineRule="exact"/>
              <w:ind w:left="9"/>
              <w:jc w:val="center"/>
              <w:rPr>
                <w:b/>
                <w:sz w:val="22"/>
                <w:szCs w:val="22"/>
                <w:lang w:val="sr-Latn-ME"/>
              </w:rPr>
            </w:pPr>
            <w:r w:rsidRPr="00E22DF8">
              <w:rPr>
                <w:b/>
                <w:sz w:val="22"/>
                <w:szCs w:val="22"/>
                <w:lang w:val="sr-Latn-ME"/>
              </w:rPr>
              <w:t>Doziranje</w:t>
            </w:r>
          </w:p>
        </w:tc>
        <w:tc>
          <w:tcPr>
            <w:tcW w:w="2146" w:type="dxa"/>
          </w:tcPr>
          <w:p w:rsidR="0096131F" w:rsidRPr="00E22DF8" w:rsidRDefault="0096131F" w:rsidP="0096131F">
            <w:pPr>
              <w:widowControl w:val="0"/>
              <w:autoSpaceDE w:val="0"/>
              <w:autoSpaceDN w:val="0"/>
              <w:spacing w:line="235" w:lineRule="exact"/>
              <w:ind w:left="9"/>
              <w:jc w:val="center"/>
              <w:rPr>
                <w:b/>
                <w:sz w:val="22"/>
                <w:szCs w:val="22"/>
                <w:lang w:val="sr-Latn-ME"/>
              </w:rPr>
            </w:pPr>
            <w:r w:rsidRPr="00E22DF8">
              <w:rPr>
                <w:b/>
                <w:sz w:val="22"/>
                <w:szCs w:val="22"/>
                <w:lang w:val="sr-Latn-ME"/>
              </w:rPr>
              <w:t>Ukupna dnevna doza</w:t>
            </w:r>
          </w:p>
        </w:tc>
      </w:tr>
      <w:tr w:rsidR="0096131F" w:rsidRPr="00E22DF8" w:rsidTr="0096131F">
        <w:trPr>
          <w:trHeight w:val="498"/>
          <w:jc w:val="center"/>
        </w:trPr>
        <w:tc>
          <w:tcPr>
            <w:tcW w:w="1881" w:type="dxa"/>
            <w:vMerge w:val="restart"/>
          </w:tcPr>
          <w:p w:rsidR="0096131F" w:rsidRPr="00E22DF8" w:rsidRDefault="0096131F" w:rsidP="00A539BF">
            <w:pPr>
              <w:widowControl w:val="0"/>
              <w:autoSpaceDE w:val="0"/>
              <w:autoSpaceDN w:val="0"/>
              <w:spacing w:before="10"/>
              <w:rPr>
                <w:sz w:val="21"/>
                <w:szCs w:val="22"/>
                <w:lang w:val="sr-Latn-ME"/>
              </w:rPr>
            </w:pPr>
          </w:p>
          <w:p w:rsidR="0096131F" w:rsidRPr="00E22DF8" w:rsidRDefault="0096131F" w:rsidP="00A539BF">
            <w:pPr>
              <w:widowControl w:val="0"/>
              <w:autoSpaceDE w:val="0"/>
              <w:autoSpaceDN w:val="0"/>
              <w:spacing w:before="1" w:line="237" w:lineRule="auto"/>
              <w:ind w:left="9" w:right="245"/>
              <w:rPr>
                <w:sz w:val="22"/>
                <w:szCs w:val="22"/>
                <w:lang w:val="sr-Latn-ME"/>
              </w:rPr>
            </w:pPr>
            <w:r w:rsidRPr="00E22DF8">
              <w:rPr>
                <w:sz w:val="22"/>
                <w:szCs w:val="22"/>
                <w:lang w:val="sr-Latn-ME"/>
              </w:rPr>
              <w:t>Terapija i prevencija rekurentne TDV i PE</w:t>
            </w:r>
          </w:p>
        </w:tc>
        <w:tc>
          <w:tcPr>
            <w:tcW w:w="2611"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8" w:lineRule="exact"/>
              <w:ind w:left="9"/>
              <w:jc w:val="center"/>
              <w:rPr>
                <w:sz w:val="22"/>
                <w:szCs w:val="22"/>
                <w:lang w:val="sr-Latn-ME"/>
              </w:rPr>
            </w:pPr>
            <w:r w:rsidRPr="00E22DF8">
              <w:rPr>
                <w:sz w:val="22"/>
                <w:szCs w:val="22"/>
                <w:lang w:val="sr-Latn-ME"/>
              </w:rPr>
              <w:t>1.</w:t>
            </w:r>
            <w:r w:rsidR="00BF38C2" w:rsidRPr="00E22DF8">
              <w:rPr>
                <w:sz w:val="22"/>
                <w:szCs w:val="22"/>
                <w:lang w:val="sr-Latn-ME"/>
              </w:rPr>
              <w:t xml:space="preserve"> </w:t>
            </w:r>
            <w:r w:rsidRPr="00E22DF8">
              <w:rPr>
                <w:sz w:val="22"/>
                <w:szCs w:val="22"/>
                <w:lang w:val="sr-Latn-ME"/>
              </w:rPr>
              <w:t>-</w:t>
            </w:r>
            <w:r w:rsidR="00BF38C2" w:rsidRPr="00E22DF8">
              <w:rPr>
                <w:sz w:val="22"/>
                <w:szCs w:val="22"/>
                <w:lang w:val="sr-Latn-ME"/>
              </w:rPr>
              <w:t xml:space="preserve"> </w:t>
            </w:r>
            <w:r w:rsidRPr="00E22DF8">
              <w:rPr>
                <w:sz w:val="22"/>
                <w:szCs w:val="22"/>
                <w:lang w:val="sr-Latn-ME"/>
              </w:rPr>
              <w:t>21. dan</w:t>
            </w:r>
          </w:p>
        </w:tc>
        <w:tc>
          <w:tcPr>
            <w:tcW w:w="2429"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8" w:lineRule="exact"/>
              <w:ind w:left="9"/>
              <w:jc w:val="center"/>
              <w:rPr>
                <w:sz w:val="22"/>
                <w:szCs w:val="22"/>
                <w:lang w:val="sr-Latn-ME"/>
              </w:rPr>
            </w:pPr>
            <w:r w:rsidRPr="00E22DF8">
              <w:rPr>
                <w:sz w:val="22"/>
                <w:szCs w:val="22"/>
                <w:lang w:val="sr-Latn-ME"/>
              </w:rPr>
              <w:t>15 mg dva puta dnevno</w:t>
            </w:r>
          </w:p>
        </w:tc>
        <w:tc>
          <w:tcPr>
            <w:tcW w:w="2146"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8" w:lineRule="exact"/>
              <w:ind w:left="9"/>
              <w:jc w:val="center"/>
              <w:rPr>
                <w:sz w:val="22"/>
                <w:szCs w:val="22"/>
                <w:lang w:val="sr-Latn-ME"/>
              </w:rPr>
            </w:pPr>
            <w:r w:rsidRPr="00E22DF8">
              <w:rPr>
                <w:sz w:val="22"/>
                <w:szCs w:val="22"/>
                <w:lang w:val="sr-Latn-ME"/>
              </w:rPr>
              <w:t>30 mg</w:t>
            </w:r>
          </w:p>
        </w:tc>
      </w:tr>
      <w:tr w:rsidR="0096131F" w:rsidRPr="00E22DF8" w:rsidTr="0096131F">
        <w:trPr>
          <w:trHeight w:val="493"/>
          <w:jc w:val="center"/>
        </w:trPr>
        <w:tc>
          <w:tcPr>
            <w:tcW w:w="1881" w:type="dxa"/>
            <w:vMerge/>
            <w:tcBorders>
              <w:top w:val="nil"/>
            </w:tcBorders>
          </w:tcPr>
          <w:p w:rsidR="0096131F" w:rsidRPr="00E22DF8" w:rsidRDefault="0096131F" w:rsidP="00A539BF">
            <w:pPr>
              <w:widowControl w:val="0"/>
              <w:autoSpaceDE w:val="0"/>
              <w:autoSpaceDN w:val="0"/>
              <w:rPr>
                <w:sz w:val="2"/>
                <w:szCs w:val="2"/>
                <w:lang w:val="sr-Latn-ME"/>
              </w:rPr>
            </w:pPr>
          </w:p>
        </w:tc>
        <w:tc>
          <w:tcPr>
            <w:tcW w:w="2611"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3" w:lineRule="exact"/>
              <w:ind w:left="9"/>
              <w:jc w:val="center"/>
              <w:rPr>
                <w:sz w:val="22"/>
                <w:szCs w:val="22"/>
                <w:lang w:val="sr-Latn-ME"/>
              </w:rPr>
            </w:pPr>
            <w:r w:rsidRPr="00E22DF8">
              <w:rPr>
                <w:sz w:val="22"/>
                <w:szCs w:val="22"/>
                <w:lang w:val="sr-Latn-ME"/>
              </w:rPr>
              <w:t>od 22.</w:t>
            </w:r>
            <w:r w:rsidR="00BF38C2" w:rsidRPr="00E22DF8">
              <w:rPr>
                <w:sz w:val="22"/>
                <w:szCs w:val="22"/>
                <w:lang w:val="sr-Latn-ME"/>
              </w:rPr>
              <w:t xml:space="preserve"> </w:t>
            </w:r>
            <w:r w:rsidRPr="00E22DF8">
              <w:rPr>
                <w:sz w:val="22"/>
                <w:szCs w:val="22"/>
                <w:lang w:val="sr-Latn-ME"/>
              </w:rPr>
              <w:t>dana nadalje</w:t>
            </w:r>
          </w:p>
        </w:tc>
        <w:tc>
          <w:tcPr>
            <w:tcW w:w="2429"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3" w:lineRule="exact"/>
              <w:ind w:left="9"/>
              <w:jc w:val="center"/>
              <w:rPr>
                <w:sz w:val="22"/>
                <w:szCs w:val="22"/>
                <w:lang w:val="sr-Latn-ME"/>
              </w:rPr>
            </w:pPr>
            <w:r w:rsidRPr="00E22DF8">
              <w:rPr>
                <w:sz w:val="22"/>
                <w:szCs w:val="22"/>
                <w:lang w:val="sr-Latn-ME"/>
              </w:rPr>
              <w:t>20 mg jednom dnevno</w:t>
            </w:r>
          </w:p>
        </w:tc>
        <w:tc>
          <w:tcPr>
            <w:tcW w:w="2146" w:type="dxa"/>
          </w:tcPr>
          <w:p w:rsidR="0096131F" w:rsidRPr="00E22DF8" w:rsidRDefault="0096131F" w:rsidP="0096131F">
            <w:pPr>
              <w:widowControl w:val="0"/>
              <w:autoSpaceDE w:val="0"/>
              <w:autoSpaceDN w:val="0"/>
              <w:spacing w:before="10"/>
              <w:jc w:val="center"/>
              <w:rPr>
                <w:sz w:val="20"/>
                <w:szCs w:val="22"/>
                <w:lang w:val="sr-Latn-ME"/>
              </w:rPr>
            </w:pPr>
          </w:p>
          <w:p w:rsidR="0096131F" w:rsidRPr="00E22DF8" w:rsidRDefault="0096131F" w:rsidP="0096131F">
            <w:pPr>
              <w:widowControl w:val="0"/>
              <w:autoSpaceDE w:val="0"/>
              <w:autoSpaceDN w:val="0"/>
              <w:spacing w:before="1" w:line="233" w:lineRule="exact"/>
              <w:ind w:left="9"/>
              <w:jc w:val="center"/>
              <w:rPr>
                <w:sz w:val="22"/>
                <w:szCs w:val="22"/>
                <w:lang w:val="sr-Latn-ME"/>
              </w:rPr>
            </w:pPr>
            <w:r w:rsidRPr="00E22DF8">
              <w:rPr>
                <w:sz w:val="22"/>
                <w:szCs w:val="22"/>
                <w:lang w:val="sr-Latn-ME"/>
              </w:rPr>
              <w:t>20 mg</w:t>
            </w:r>
          </w:p>
        </w:tc>
      </w:tr>
      <w:tr w:rsidR="0096131F" w:rsidRPr="00E22DF8" w:rsidTr="0096131F">
        <w:trPr>
          <w:trHeight w:val="1017"/>
          <w:jc w:val="center"/>
        </w:trPr>
        <w:tc>
          <w:tcPr>
            <w:tcW w:w="1881" w:type="dxa"/>
          </w:tcPr>
          <w:p w:rsidR="0096131F" w:rsidRPr="00E22DF8" w:rsidRDefault="0096131F" w:rsidP="00A539BF">
            <w:pPr>
              <w:widowControl w:val="0"/>
              <w:autoSpaceDE w:val="0"/>
              <w:autoSpaceDN w:val="0"/>
              <w:spacing w:before="4"/>
              <w:rPr>
                <w:sz w:val="21"/>
                <w:szCs w:val="22"/>
                <w:lang w:val="sr-Latn-ME"/>
              </w:rPr>
            </w:pPr>
          </w:p>
          <w:p w:rsidR="0096131F" w:rsidRPr="00E22DF8" w:rsidRDefault="0096131F" w:rsidP="00A539BF">
            <w:pPr>
              <w:widowControl w:val="0"/>
              <w:autoSpaceDE w:val="0"/>
              <w:autoSpaceDN w:val="0"/>
              <w:ind w:left="9"/>
              <w:rPr>
                <w:sz w:val="22"/>
                <w:szCs w:val="22"/>
                <w:lang w:val="sr-Latn-ME"/>
              </w:rPr>
            </w:pPr>
            <w:r w:rsidRPr="00E22DF8">
              <w:rPr>
                <w:sz w:val="22"/>
                <w:szCs w:val="22"/>
                <w:lang w:val="sr-Latn-ME"/>
              </w:rPr>
              <w:t>Prevencija rekurentne TDV i PE</w:t>
            </w:r>
          </w:p>
        </w:tc>
        <w:tc>
          <w:tcPr>
            <w:tcW w:w="2611" w:type="dxa"/>
          </w:tcPr>
          <w:p w:rsidR="0096131F" w:rsidRPr="00E22DF8" w:rsidRDefault="0096131F" w:rsidP="0096131F">
            <w:pPr>
              <w:widowControl w:val="0"/>
              <w:autoSpaceDE w:val="0"/>
              <w:autoSpaceDN w:val="0"/>
              <w:spacing w:before="4"/>
              <w:jc w:val="center"/>
              <w:rPr>
                <w:sz w:val="21"/>
                <w:szCs w:val="22"/>
                <w:lang w:val="sr-Latn-ME"/>
              </w:rPr>
            </w:pPr>
          </w:p>
          <w:p w:rsidR="0096131F" w:rsidRPr="00E22DF8" w:rsidRDefault="0096131F" w:rsidP="0096131F">
            <w:pPr>
              <w:widowControl w:val="0"/>
              <w:autoSpaceDE w:val="0"/>
              <w:autoSpaceDN w:val="0"/>
              <w:ind w:left="9"/>
              <w:jc w:val="center"/>
              <w:rPr>
                <w:sz w:val="22"/>
                <w:szCs w:val="22"/>
                <w:lang w:val="sr-Latn-ME"/>
              </w:rPr>
            </w:pPr>
            <w:r w:rsidRPr="00E22DF8">
              <w:rPr>
                <w:sz w:val="22"/>
                <w:szCs w:val="22"/>
                <w:lang w:val="sr-Latn-ME"/>
              </w:rPr>
              <w:t>Nakon završetka terapije</w:t>
            </w:r>
          </w:p>
          <w:p w:rsidR="0096131F" w:rsidRPr="00E22DF8" w:rsidRDefault="0096131F" w:rsidP="0096131F">
            <w:pPr>
              <w:widowControl w:val="0"/>
              <w:autoSpaceDE w:val="0"/>
              <w:autoSpaceDN w:val="0"/>
              <w:spacing w:before="16" w:line="250" w:lineRule="exact"/>
              <w:ind w:left="9" w:right="317"/>
              <w:jc w:val="center"/>
              <w:rPr>
                <w:sz w:val="22"/>
                <w:szCs w:val="22"/>
                <w:lang w:val="sr-Latn-ME"/>
              </w:rPr>
            </w:pPr>
            <w:r w:rsidRPr="00E22DF8">
              <w:rPr>
                <w:sz w:val="22"/>
                <w:szCs w:val="22"/>
                <w:lang w:val="sr-Latn-ME"/>
              </w:rPr>
              <w:t>TDV ili PE koja je trajala najmanje 6 mjeseci</w:t>
            </w:r>
          </w:p>
        </w:tc>
        <w:tc>
          <w:tcPr>
            <w:tcW w:w="2429" w:type="dxa"/>
          </w:tcPr>
          <w:p w:rsidR="0096131F" w:rsidRPr="00E22DF8" w:rsidRDefault="0096131F" w:rsidP="0096131F">
            <w:pPr>
              <w:widowControl w:val="0"/>
              <w:autoSpaceDE w:val="0"/>
              <w:autoSpaceDN w:val="0"/>
              <w:spacing w:before="4"/>
              <w:jc w:val="center"/>
              <w:rPr>
                <w:sz w:val="21"/>
                <w:szCs w:val="22"/>
                <w:lang w:val="sr-Latn-ME"/>
              </w:rPr>
            </w:pPr>
          </w:p>
          <w:p w:rsidR="0096131F" w:rsidRPr="00E22DF8" w:rsidRDefault="0096131F" w:rsidP="0096131F">
            <w:pPr>
              <w:widowControl w:val="0"/>
              <w:autoSpaceDE w:val="0"/>
              <w:autoSpaceDN w:val="0"/>
              <w:ind w:left="9"/>
              <w:jc w:val="center"/>
              <w:rPr>
                <w:sz w:val="22"/>
                <w:szCs w:val="22"/>
                <w:lang w:val="sr-Latn-ME"/>
              </w:rPr>
            </w:pPr>
            <w:r w:rsidRPr="00E22DF8">
              <w:rPr>
                <w:sz w:val="22"/>
                <w:szCs w:val="22"/>
                <w:lang w:val="sr-Latn-ME"/>
              </w:rPr>
              <w:t>10 mg jednom dnevno ili 20 mg jednom dnevno</w:t>
            </w:r>
          </w:p>
        </w:tc>
        <w:tc>
          <w:tcPr>
            <w:tcW w:w="2146" w:type="dxa"/>
          </w:tcPr>
          <w:p w:rsidR="0096131F" w:rsidRPr="00E22DF8" w:rsidRDefault="0096131F" w:rsidP="0096131F">
            <w:pPr>
              <w:widowControl w:val="0"/>
              <w:autoSpaceDE w:val="0"/>
              <w:autoSpaceDN w:val="0"/>
              <w:spacing w:before="4"/>
              <w:jc w:val="center"/>
              <w:rPr>
                <w:sz w:val="21"/>
                <w:szCs w:val="22"/>
                <w:lang w:val="sr-Latn-ME"/>
              </w:rPr>
            </w:pPr>
          </w:p>
          <w:p w:rsidR="0096131F" w:rsidRPr="00E22DF8" w:rsidRDefault="0096131F" w:rsidP="0096131F">
            <w:pPr>
              <w:widowControl w:val="0"/>
              <w:autoSpaceDE w:val="0"/>
              <w:autoSpaceDN w:val="0"/>
              <w:ind w:left="9"/>
              <w:jc w:val="center"/>
              <w:rPr>
                <w:sz w:val="22"/>
                <w:szCs w:val="22"/>
                <w:lang w:val="sr-Latn-ME"/>
              </w:rPr>
            </w:pPr>
            <w:r w:rsidRPr="00E22DF8">
              <w:rPr>
                <w:sz w:val="22"/>
                <w:szCs w:val="22"/>
                <w:lang w:val="sr-Latn-ME"/>
              </w:rPr>
              <w:t>10 mg ili 20 mg</w:t>
            </w:r>
          </w:p>
        </w:tc>
      </w:tr>
    </w:tbl>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Ako se tokom faze terapije sa 15 mg dva puta dnevno (1. – 21. dan) propusti doza, pacijent treba odmah da uzme lijek Corviva da bi obezbijedio količinu od 30 mg lijeka Corviva dnevno. U ovom slučaju se dvije tablete od 15 mg mogu uzeti odjednom. Pacijent treba da nastavi sa redovnim uzimanjem 15 mg dva puta dnevno narednog dana, kako je preporučeno.</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Ako se propusti doza tokom faze terapije kada lijek treba da se uzima jednom dnevno, pacijent treba odmah da uzme lijek Corviva i da nastavi narednog dana sa uzimanjem jednom dnevno kako je preporučeno. Ne treba uzimati dvije doze lijeka tokom istog dana da bi se nadoknadila propuštena doza.</w:t>
      </w:r>
    </w:p>
    <w:p w:rsidR="0096131F" w:rsidRPr="00E22DF8" w:rsidRDefault="0096131F" w:rsidP="0096131F">
      <w:pPr>
        <w:tabs>
          <w:tab w:val="left" w:pos="540"/>
          <w:tab w:val="left" w:pos="569"/>
        </w:tabs>
        <w:jc w:val="both"/>
        <w:rPr>
          <w:bCs/>
          <w:i/>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Prevođenje pacijenata sa terapije antagonistom vitamina K (</w:t>
      </w:r>
      <w:r w:rsidRPr="00E22DF8">
        <w:rPr>
          <w:bCs/>
          <w:sz w:val="22"/>
          <w:szCs w:val="22"/>
          <w:lang w:val="sr-Latn-ME"/>
        </w:rPr>
        <w:t>engl.</w:t>
      </w:r>
      <w:r w:rsidRPr="00E22DF8">
        <w:rPr>
          <w:bCs/>
          <w:i/>
          <w:sz w:val="22"/>
          <w:szCs w:val="22"/>
          <w:lang w:val="sr-Latn-ME"/>
        </w:rPr>
        <w:t xml:space="preserve"> Vitamin K Antagonist, </w:t>
      </w:r>
      <w:r w:rsidRPr="00E22DF8">
        <w:rPr>
          <w:bCs/>
          <w:sz w:val="22"/>
          <w:szCs w:val="22"/>
          <w:lang w:val="sr-Latn-ME"/>
        </w:rPr>
        <w:t>VKA</w:t>
      </w:r>
      <w:r w:rsidRPr="00E22DF8">
        <w:rPr>
          <w:bCs/>
          <w:i/>
          <w:sz w:val="22"/>
          <w:szCs w:val="22"/>
          <w:lang w:val="sr-Latn-ME"/>
        </w:rPr>
        <w:t>) na terapiju lijekom Corviva</w:t>
      </w:r>
    </w:p>
    <w:p w:rsidR="0096131F" w:rsidRPr="00E22DF8" w:rsidRDefault="0096131F" w:rsidP="0096131F">
      <w:pPr>
        <w:tabs>
          <w:tab w:val="left" w:pos="540"/>
          <w:tab w:val="left" w:pos="569"/>
        </w:tabs>
        <w:jc w:val="both"/>
        <w:rPr>
          <w:bCs/>
          <w:i/>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Pacijenti koji su na terapiji TDV, PE i u prevenciji recidiva, terapiju sa VKA treba da prekinu, a terapiju lijekom Corviva treba da započnu kada je vrijednost INR (engl. </w:t>
      </w:r>
      <w:r w:rsidRPr="00E22DF8">
        <w:rPr>
          <w:bCs/>
          <w:i/>
          <w:sz w:val="22"/>
          <w:szCs w:val="22"/>
          <w:lang w:val="sr-Latn-ME"/>
        </w:rPr>
        <w:t>International Normalized Ratio</w:t>
      </w:r>
      <w:r w:rsidRPr="00E22DF8">
        <w:rPr>
          <w:bCs/>
          <w:sz w:val="22"/>
          <w:szCs w:val="22"/>
          <w:lang w:val="sr-Latn-ME"/>
        </w:rPr>
        <w:t>) ≤ 2,5.</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Prilikom prevođenja pacijenata sa terapije antagonistima vitamina K na lijek Corviva, INR vrijednosti će nakon uzimanja lijeka Corviva biti lažno povećane.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 </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INR nije validan parametar za mjerenje antikoagulantne aktivnosti lijeka Corviva i stoga ga ne treba koristiti (vidjeti </w:t>
      </w:r>
      <w:r w:rsidR="00F82FFC" w:rsidRPr="00E22DF8">
        <w:rPr>
          <w:bCs/>
          <w:sz w:val="22"/>
          <w:szCs w:val="22"/>
          <w:lang w:val="sr-Latn-ME"/>
        </w:rPr>
        <w:t xml:space="preserve">dio </w:t>
      </w:r>
      <w:r w:rsidRPr="00E22DF8">
        <w:rPr>
          <w:bCs/>
          <w:sz w:val="22"/>
          <w:szCs w:val="22"/>
          <w:lang w:val="sr-Latn-ME"/>
        </w:rPr>
        <w:t>4.5).</w:t>
      </w:r>
    </w:p>
    <w:p w:rsidR="0096131F" w:rsidRPr="00E22DF8" w:rsidRDefault="0096131F" w:rsidP="0096131F">
      <w:pPr>
        <w:tabs>
          <w:tab w:val="left" w:pos="540"/>
          <w:tab w:val="left" w:pos="569"/>
        </w:tabs>
        <w:jc w:val="both"/>
        <w:rPr>
          <w:bCs/>
          <w:sz w:val="22"/>
          <w:szCs w:val="22"/>
          <w:lang w:val="sr-Latn-ME"/>
        </w:rPr>
      </w:pPr>
    </w:p>
    <w:p w:rsidR="00CD036B" w:rsidRDefault="00CD036B" w:rsidP="0096131F">
      <w:pPr>
        <w:tabs>
          <w:tab w:val="left" w:pos="540"/>
          <w:tab w:val="left" w:pos="569"/>
        </w:tabs>
        <w:jc w:val="both"/>
        <w:rPr>
          <w:bCs/>
          <w:i/>
          <w:sz w:val="22"/>
          <w:szCs w:val="22"/>
          <w:lang w:val="sr-Latn-ME"/>
        </w:rPr>
      </w:pPr>
    </w:p>
    <w:p w:rsidR="00CD036B" w:rsidRDefault="00CD036B" w:rsidP="0096131F">
      <w:pPr>
        <w:tabs>
          <w:tab w:val="left" w:pos="540"/>
          <w:tab w:val="left" w:pos="569"/>
        </w:tabs>
        <w:jc w:val="both"/>
        <w:rPr>
          <w:bCs/>
          <w:i/>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lastRenderedPageBreak/>
        <w:t>Prevođenje pacijenata sa terapije lijekom Corviva na terapiju antagonistima vitamina K (VKA)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Postoji mogućnost da dođe do neadekvatne antikoagulacije tokom prevođenja pacijenata sa terapije lijekom Corviva na terapiju lijekom iz grupe VKA. Tokom svakog prevođenja na drugu anrtikoagulacionu terapiju treba osigurati kontinuiranu adekvatnu antikoagulaciju. Treba imati na umu da lijek Corviva može doprin</w:t>
      </w:r>
      <w:r w:rsidR="00876D98" w:rsidRPr="00E22DF8">
        <w:rPr>
          <w:bCs/>
          <w:sz w:val="22"/>
          <w:szCs w:val="22"/>
          <w:lang w:val="sr-Latn-ME"/>
        </w:rPr>
        <w:t>i</w:t>
      </w:r>
      <w:r w:rsidRPr="00E22DF8">
        <w:rPr>
          <w:bCs/>
          <w:sz w:val="22"/>
          <w:szCs w:val="22"/>
          <w:lang w:val="sr-Latn-ME"/>
        </w:rPr>
        <w:t>jeti povećanju vrijednosti INR.</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Kod pacijenata koji se prevode sa lijeka Corviva na VKA, oba lijeka treba primjenjivati istovremeno dok vrijednost INR ne dostigne ≥ 2,0. Tokom prva dva dana perioda prevođenja, treba primijeniti standardno početno doziranje VKA, nakon čega slijedi doziranje VKA u zavisnosti od određene vrijednosti INR. Dok pacijenti istovremeno primaju i lijek Corviva i VKA, INR treba određivati ako je prošlo manje od 24 sata nakon primjene prethodne doze, ali se mora odrediti prije sljedeće doze lijeka Corviva. Kada se primjena lijeka Corviva prekine, određivanje vrijednosti INR se pouzdano može uraditi najmanje 24 sata nakon posljednje doze (vidjeti </w:t>
      </w:r>
      <w:r w:rsidR="00876D98" w:rsidRPr="00E22DF8">
        <w:rPr>
          <w:bCs/>
          <w:sz w:val="22"/>
          <w:szCs w:val="22"/>
          <w:lang w:val="sr-Latn-ME"/>
        </w:rPr>
        <w:t xml:space="preserve">djelove </w:t>
      </w:r>
      <w:r w:rsidRPr="00E22DF8">
        <w:rPr>
          <w:bCs/>
          <w:sz w:val="22"/>
          <w:szCs w:val="22"/>
          <w:lang w:val="sr-Latn-ME"/>
        </w:rPr>
        <w:t>4.5 i 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Prevođenje sa terapije parenteralnim antikoagulansima na terapiju lijekom Corviva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Kod pacijenata koji trenutno primaju parenteralne antikoagulanse, primjenu parenteralnih antikoagulanasa treba prekinuti, a primjenu lijeka Corviva treba započeti 0 do 2 sata prije predviđenog termina za primjenu sljedeće doze parenteralnog lijeka (npr. niskomolekularnog heparina; engl. </w:t>
      </w:r>
      <w:r w:rsidRPr="00E22DF8">
        <w:rPr>
          <w:bCs/>
          <w:i/>
          <w:sz w:val="22"/>
          <w:szCs w:val="22"/>
          <w:lang w:val="sr-Latn-ME"/>
        </w:rPr>
        <w:t>low molecular weight heparins</w:t>
      </w:r>
      <w:r w:rsidRPr="00E22DF8">
        <w:rPr>
          <w:bCs/>
          <w:sz w:val="22"/>
          <w:szCs w:val="22"/>
          <w:lang w:val="sr-Latn-ME"/>
        </w:rPr>
        <w:t>, LMWH) ili u vrijeme prekida kontinuirano primjenjivanog parenteralnog lijeka (npr. intravenskog nefrakcionisanog heparina).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Prevođenje sa terapije lijekom Corviva na terapiju parenteralnim antikoagulansima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Prvu dozu parenteralnog antikoagulansa treba primijeniti u vrijeme kada bi trebalo uzeti sljedeću dozu lijeka Corviva.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Posebne populacije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Oštećenje funkcije bubrega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Ograničeni klinički podaci za pacijente sa teškim oštećenjem funkcije bubrega (klirens kreatinina 15-29 ml/min) ukazuju da su kod njih koncentracije rivaroksabana u plazmi značajno povećane. Stoga, lijek Corviva treba koristiti sa oprezom kod ovih pacijenata. Ne preporučuje se primjena ovog lijeka kod pacijenata čiji je klirens kreatinina &lt; 15 ml/min (vidjeti </w:t>
      </w:r>
      <w:r w:rsidR="009846B3" w:rsidRPr="00E22DF8">
        <w:rPr>
          <w:bCs/>
          <w:sz w:val="22"/>
          <w:szCs w:val="22"/>
          <w:lang w:val="sr-Latn-ME"/>
        </w:rPr>
        <w:t xml:space="preserve">djelove </w:t>
      </w:r>
      <w:r w:rsidRPr="00E22DF8">
        <w:rPr>
          <w:bCs/>
          <w:sz w:val="22"/>
          <w:szCs w:val="22"/>
          <w:lang w:val="sr-Latn-ME"/>
        </w:rPr>
        <w:t>4.4 i 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 xml:space="preserve">Za prevenciju VTE kod odraslih pacijenata koji se podvrgavaju elektivnoj operaciji zamjene kuka ili koljena, kod pacijenata sa blagim oštećenjem funkcije bubrega (klirens kreatinina 50 - 80 ml/min) ili umjerenim oštećenjem funkcije bubrega (klirens kreatinina 30-49 ml/min), nije potrebno prilagođavanje doze (vidjeti </w:t>
      </w:r>
      <w:r w:rsidR="009846B3"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 xml:space="preserve">Za liječenje TDV i PE i prevenciju rekurentnih TDV i PE, kod pacijenata sa blagim oštećenjem funkcije bubrega (klirens kreatinina 50 - 80 ml/min) nije potrebno prilagođavanje doze u odnosu na preporučenu dozu za liječenje (vidjeti </w:t>
      </w:r>
      <w:r w:rsidR="009846B3"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Kod pacijenata sa umjerenim (klirens kreatinina 30 - 49 ml/min) ili teškim (klirens kreatinina 15 –</w:t>
      </w:r>
      <w:r w:rsidR="009846B3" w:rsidRPr="00E22DF8">
        <w:rPr>
          <w:bCs/>
          <w:sz w:val="22"/>
          <w:szCs w:val="22"/>
          <w:lang w:val="sr-Latn-ME"/>
        </w:rPr>
        <w:t xml:space="preserve"> </w:t>
      </w:r>
      <w:r w:rsidRPr="00E22DF8">
        <w:rPr>
          <w:bCs/>
          <w:sz w:val="22"/>
          <w:szCs w:val="22"/>
          <w:lang w:val="sr-Latn-ME"/>
        </w:rPr>
        <w:t>29 ml/min) oštećenjem funkcije bubrega: pacijente treba liječiti dozom od 15 mg dva puta dnevno tokom prve 3 ned</w:t>
      </w:r>
      <w:r w:rsidR="009846B3" w:rsidRPr="00E22DF8">
        <w:rPr>
          <w:bCs/>
          <w:sz w:val="22"/>
          <w:szCs w:val="22"/>
          <w:lang w:val="sr-Latn-ME"/>
        </w:rPr>
        <w:t>j</w:t>
      </w:r>
      <w:r w:rsidRPr="00E22DF8">
        <w:rPr>
          <w:bCs/>
          <w:sz w:val="22"/>
          <w:szCs w:val="22"/>
          <w:lang w:val="sr-Latn-ME"/>
        </w:rPr>
        <w:t xml:space="preserve">elje. Nakon toga, preporučena doza je 20 mg jednom dnevno. Smanjenje doze sa 20 mg jednom dnevno na 15 mg jednom dnevno treba razmotriti ukoliko se procijeni da rizik za pojavu krvarenja prevazilazi rizik od rekurentne TDV i PE. Preporuka za primjenu 15 mg zasnovana je na farmakokinetičkom modelu i nije ispitivana u ovim kliničkim okolnostima (vidjeti </w:t>
      </w:r>
      <w:r w:rsidR="009846B3" w:rsidRPr="00E22DF8">
        <w:rPr>
          <w:bCs/>
          <w:sz w:val="22"/>
          <w:szCs w:val="22"/>
          <w:lang w:val="sr-Latn-ME"/>
        </w:rPr>
        <w:t xml:space="preserve">djelove </w:t>
      </w:r>
      <w:r w:rsidRPr="00E22DF8">
        <w:rPr>
          <w:bCs/>
          <w:sz w:val="22"/>
          <w:szCs w:val="22"/>
          <w:lang w:val="sr-Latn-ME"/>
        </w:rPr>
        <w:t>4.4, 5.1 i 5.2).</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Kada je preporučena doza 10 mg jednom dnevno, nije potrebno dodatno prilagođavanje preporučene doze.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 </w:t>
      </w: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Oštećenje funkcije jetre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Primjena lijeka Corviva je kontraindikovana kod pacijenata sa oboljenjem jetre koje je povezano sa koagulopatijom i klinički značajnim rizikom od krvarenja, uključujući pacijente sa cirozom jetre stadijuma </w:t>
      </w:r>
      <w:r w:rsidRPr="00E22DF8">
        <w:rPr>
          <w:bCs/>
          <w:i/>
          <w:sz w:val="22"/>
          <w:szCs w:val="22"/>
          <w:lang w:val="sr-Latn-ME"/>
        </w:rPr>
        <w:t>Child</w:t>
      </w:r>
      <w:r w:rsidR="009846B3" w:rsidRPr="00E22DF8">
        <w:rPr>
          <w:bCs/>
          <w:i/>
          <w:sz w:val="22"/>
          <w:szCs w:val="22"/>
          <w:lang w:val="sr-Latn-ME"/>
        </w:rPr>
        <w:t>-</w:t>
      </w:r>
      <w:r w:rsidRPr="00E22DF8">
        <w:rPr>
          <w:bCs/>
          <w:i/>
          <w:sz w:val="22"/>
          <w:szCs w:val="22"/>
          <w:lang w:val="sr-Latn-ME"/>
        </w:rPr>
        <w:t>Pugh</w:t>
      </w:r>
      <w:r w:rsidRPr="00E22DF8">
        <w:rPr>
          <w:bCs/>
          <w:sz w:val="22"/>
          <w:szCs w:val="22"/>
          <w:lang w:val="sr-Latn-ME"/>
        </w:rPr>
        <w:t xml:space="preserve"> B i C (vidjeti </w:t>
      </w:r>
      <w:r w:rsidR="009846B3" w:rsidRPr="00E22DF8">
        <w:rPr>
          <w:bCs/>
          <w:sz w:val="22"/>
          <w:szCs w:val="22"/>
          <w:lang w:val="sr-Latn-ME"/>
        </w:rPr>
        <w:t xml:space="preserve">djelove </w:t>
      </w:r>
      <w:r w:rsidRPr="00E22DF8">
        <w:rPr>
          <w:bCs/>
          <w:sz w:val="22"/>
          <w:szCs w:val="22"/>
          <w:lang w:val="sr-Latn-ME"/>
        </w:rPr>
        <w:t>4.3 i 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lastRenderedPageBreak/>
        <w:t>Starija populacija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Nije potrebno prilagođavati dozu (vidjeti </w:t>
      </w:r>
      <w:r w:rsidR="009846B3"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Tjelesna masa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Nije potrebno prilagođavati dozu (vidjeti </w:t>
      </w:r>
      <w:r w:rsidR="009846B3"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Pol</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Nije potrebno prilagođavati dozu (vidjeti </w:t>
      </w:r>
      <w:r w:rsidR="009846B3"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Pedijatrijska populacija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Bezbjednost i efikasnost rivaroksaban film tableta 10</w:t>
      </w:r>
      <w:r w:rsidR="009846B3" w:rsidRPr="00E22DF8">
        <w:rPr>
          <w:bCs/>
          <w:sz w:val="22"/>
          <w:szCs w:val="22"/>
          <w:lang w:val="sr-Latn-ME"/>
        </w:rPr>
        <w:t xml:space="preserve"> </w:t>
      </w:r>
      <w:r w:rsidRPr="00E22DF8">
        <w:rPr>
          <w:bCs/>
          <w:sz w:val="22"/>
          <w:szCs w:val="22"/>
          <w:lang w:val="sr-Latn-ME"/>
        </w:rPr>
        <w:t>mg kod djece uzrasta od 0 do 18 godina nisu utvrđene. S obzirom da nema dostupnih podataka, ne preporučuje se primjena lijeka Corviva 10</w:t>
      </w:r>
      <w:r w:rsidR="009846B3" w:rsidRPr="00E22DF8">
        <w:rPr>
          <w:bCs/>
          <w:sz w:val="22"/>
          <w:szCs w:val="22"/>
          <w:lang w:val="sr-Latn-ME"/>
        </w:rPr>
        <w:t xml:space="preserve"> </w:t>
      </w:r>
      <w:r w:rsidRPr="00E22DF8">
        <w:rPr>
          <w:bCs/>
          <w:sz w:val="22"/>
          <w:szCs w:val="22"/>
          <w:lang w:val="sr-Latn-ME"/>
        </w:rPr>
        <w:t>mg, film tablete kod djece mlađe od 18 godina.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Način primjene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Lijek Corviva 10</w:t>
      </w:r>
      <w:r w:rsidR="009846B3" w:rsidRPr="00E22DF8">
        <w:rPr>
          <w:bCs/>
          <w:sz w:val="22"/>
          <w:szCs w:val="22"/>
          <w:lang w:val="sr-Latn-ME"/>
        </w:rPr>
        <w:t xml:space="preserve"> </w:t>
      </w:r>
      <w:r w:rsidRPr="00E22DF8">
        <w:rPr>
          <w:bCs/>
          <w:sz w:val="22"/>
          <w:szCs w:val="22"/>
          <w:lang w:val="sr-Latn-ME"/>
        </w:rPr>
        <w:t xml:space="preserve">mg film tablete je za oralnu upotrebu. </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Tablete se mogu uzimati uz obrok ili nezavisno od obroka (vidjeti </w:t>
      </w:r>
      <w:r w:rsidR="009846B3" w:rsidRPr="00E22DF8">
        <w:rPr>
          <w:bCs/>
          <w:sz w:val="22"/>
          <w:szCs w:val="22"/>
          <w:lang w:val="sr-Latn-ME"/>
        </w:rPr>
        <w:t xml:space="preserve">djelove </w:t>
      </w:r>
      <w:r w:rsidRPr="00E22DF8">
        <w:rPr>
          <w:bCs/>
          <w:sz w:val="22"/>
          <w:szCs w:val="22"/>
          <w:lang w:val="sr-Latn-ME"/>
        </w:rPr>
        <w:t>4.5 i 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i/>
          <w:sz w:val="22"/>
          <w:szCs w:val="22"/>
          <w:lang w:val="sr-Latn-ME"/>
        </w:rPr>
      </w:pPr>
      <w:r w:rsidRPr="00E22DF8">
        <w:rPr>
          <w:bCs/>
          <w:i/>
          <w:sz w:val="22"/>
          <w:szCs w:val="22"/>
          <w:lang w:val="sr-Latn-ME"/>
        </w:rPr>
        <w:t>Usitanjavanje tableta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Pacijenti koji nisu u stanju da progutaju cijele tablete, tabletu lijeka Corviva mogu usitniti i pomiješati sa vodom ili kašom od jabuka neposredno prije upotrebe i primijeniti oralno.</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Usitnjena tableta lijeka Corviva se takođe može primjenjivati kroz gastričnu sondu (vidjeti </w:t>
      </w:r>
      <w:r w:rsidR="005A1120" w:rsidRPr="00E22DF8">
        <w:rPr>
          <w:bCs/>
          <w:sz w:val="22"/>
          <w:szCs w:val="22"/>
          <w:lang w:val="sr-Latn-ME"/>
        </w:rPr>
        <w:t>djelove</w:t>
      </w:r>
      <w:r w:rsidR="009846B3" w:rsidRPr="00E22DF8">
        <w:rPr>
          <w:bCs/>
          <w:sz w:val="22"/>
          <w:szCs w:val="22"/>
          <w:lang w:val="sr-Latn-ME"/>
        </w:rPr>
        <w:t xml:space="preserve"> </w:t>
      </w:r>
      <w:r w:rsidRPr="00E22DF8">
        <w:rPr>
          <w:bCs/>
          <w:sz w:val="22"/>
          <w:szCs w:val="22"/>
          <w:lang w:val="sr-Latn-ME"/>
        </w:rPr>
        <w:t>5.2</w:t>
      </w:r>
      <w:r w:rsidR="005A1120" w:rsidRPr="00E22DF8">
        <w:rPr>
          <w:bCs/>
          <w:sz w:val="22"/>
          <w:szCs w:val="22"/>
          <w:lang w:val="sr-Latn-ME"/>
        </w:rPr>
        <w:t xml:space="preserve"> i 6.6</w:t>
      </w:r>
      <w:r w:rsidRPr="00E22DF8">
        <w:rPr>
          <w:bCs/>
          <w:sz w:val="22"/>
          <w:szCs w:val="22"/>
          <w:lang w:val="sr-Latn-ME"/>
        </w:rPr>
        <w:t>).</w:t>
      </w:r>
    </w:p>
    <w:p w:rsidR="00452E9D" w:rsidRPr="00E22DF8" w:rsidRDefault="00452E9D" w:rsidP="00480FB1">
      <w:pPr>
        <w:tabs>
          <w:tab w:val="left" w:pos="540"/>
          <w:tab w:val="left" w:pos="569"/>
        </w:tabs>
        <w:rPr>
          <w:bCs/>
          <w:sz w:val="22"/>
          <w:szCs w:val="22"/>
          <w:lang w:val="sr-Latn-ME"/>
        </w:rPr>
      </w:pPr>
    </w:p>
    <w:p w:rsidR="00411B4B" w:rsidRPr="00E22DF8" w:rsidRDefault="00411B4B" w:rsidP="00480FB1">
      <w:pPr>
        <w:tabs>
          <w:tab w:val="left" w:pos="540"/>
          <w:tab w:val="left" w:pos="569"/>
        </w:tabs>
        <w:rPr>
          <w:b/>
          <w:bCs/>
          <w:sz w:val="22"/>
          <w:szCs w:val="22"/>
          <w:lang w:val="sr-Latn-ME"/>
        </w:rPr>
      </w:pPr>
      <w:r w:rsidRPr="00E22DF8">
        <w:rPr>
          <w:b/>
          <w:bCs/>
          <w:sz w:val="22"/>
          <w:szCs w:val="22"/>
          <w:lang w:val="sr-Latn-ME"/>
        </w:rPr>
        <w:t xml:space="preserve">4.3. </w:t>
      </w:r>
      <w:r w:rsidR="00480FB1" w:rsidRPr="00E22DF8">
        <w:rPr>
          <w:b/>
          <w:bCs/>
          <w:sz w:val="22"/>
          <w:szCs w:val="22"/>
          <w:lang w:val="sr-Latn-ME"/>
        </w:rPr>
        <w:tab/>
      </w:r>
      <w:r w:rsidRPr="00E22DF8">
        <w:rPr>
          <w:b/>
          <w:bCs/>
          <w:sz w:val="22"/>
          <w:szCs w:val="22"/>
          <w:lang w:val="sr-Latn-ME"/>
        </w:rPr>
        <w:t>Kontraindikacije</w:t>
      </w:r>
    </w:p>
    <w:p w:rsidR="0096131F" w:rsidRPr="00E22DF8" w:rsidRDefault="0096131F" w:rsidP="00480FB1">
      <w:pPr>
        <w:tabs>
          <w:tab w:val="left" w:pos="540"/>
          <w:tab w:val="left" w:pos="569"/>
        </w:tabs>
        <w:rPr>
          <w:b/>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Preosjetljivost na aktivnu supstancu ili na bilo koju od pomoćnih supstanci navedenih u </w:t>
      </w:r>
      <w:r w:rsidR="005A1120" w:rsidRPr="00E22DF8">
        <w:rPr>
          <w:bCs/>
          <w:sz w:val="22"/>
          <w:szCs w:val="22"/>
          <w:lang w:val="sr-Latn-ME"/>
        </w:rPr>
        <w:t xml:space="preserve">dijelu </w:t>
      </w:r>
      <w:r w:rsidRPr="00E22DF8">
        <w:rPr>
          <w:bCs/>
          <w:sz w:val="22"/>
          <w:szCs w:val="22"/>
          <w:lang w:val="sr-Latn-ME"/>
        </w:rPr>
        <w:t>6.1.</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Klinički značajno aktivno krvarenje.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Lezija ili stanje, za koje se smatra da predstavlja značajan rizik od </w:t>
      </w:r>
      <w:r w:rsidR="00E32885" w:rsidRPr="00E22DF8">
        <w:rPr>
          <w:bCs/>
          <w:sz w:val="22"/>
          <w:szCs w:val="22"/>
          <w:lang w:val="sr-Latn-ME"/>
        </w:rPr>
        <w:t xml:space="preserve">velikog </w:t>
      </w:r>
      <w:r w:rsidRPr="00E22DF8">
        <w:rPr>
          <w:bCs/>
          <w:sz w:val="22"/>
          <w:szCs w:val="22"/>
          <w:lang w:val="sr-Latn-ME"/>
        </w:rPr>
        <w:t>krvarenja. To može uključivati postojeću ili nedavnu gastrointestinalnu ulceraciju, prisutnost malignih neoplazmi sa velikim rizikom od krvarenja, nedavnu povredu mozga ili kičmene moždine, nedavne hirurške intervencije na mozgu, kičmenoj moždini ili oku, nedavno intrakranijalno krvarenje, poznate ili suspektne varikozitete jednjaka, arteriovenske malformacije, vaskularne aneurizme ili velike intraspinalne ili intracerebralne vaskularne anomalije.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Istovremena terapija bilo kojim drugim antikoagulansom, npr. nefrakcionisanim heparinom, niskomolekularnim heparinima (enoksaparin, dalteparin i drugi), derivatima heparina (fondaparinuks i drugi), oralnim antikoagulansima (varfarin, dabigatran eteksilat, apiksaban itd.) osim u određenim okolnostima promjene antikoagulantne terapije (vidjeti </w:t>
      </w:r>
      <w:r w:rsidR="005A1120" w:rsidRPr="00E22DF8">
        <w:rPr>
          <w:bCs/>
          <w:sz w:val="22"/>
          <w:szCs w:val="22"/>
          <w:lang w:val="sr-Latn-ME"/>
        </w:rPr>
        <w:t xml:space="preserve">dio </w:t>
      </w:r>
      <w:r w:rsidRPr="00E22DF8">
        <w:rPr>
          <w:bCs/>
          <w:sz w:val="22"/>
          <w:szCs w:val="22"/>
          <w:lang w:val="sr-Latn-ME"/>
        </w:rPr>
        <w:t xml:space="preserve">4.2) ili kad se nefrakcionisani heparin primjenjuje u dozama potrebnim za održavanje otvorenog centralnog venskog ili arterijskog katetera (vidjeti </w:t>
      </w:r>
      <w:r w:rsidR="005A1120" w:rsidRPr="00E22DF8">
        <w:rPr>
          <w:bCs/>
          <w:sz w:val="22"/>
          <w:szCs w:val="22"/>
          <w:lang w:val="sr-Latn-ME"/>
        </w:rPr>
        <w:t xml:space="preserve">dio </w:t>
      </w:r>
      <w:r w:rsidRPr="00E22DF8">
        <w:rPr>
          <w:bCs/>
          <w:sz w:val="22"/>
          <w:szCs w:val="22"/>
          <w:lang w:val="sr-Latn-ME"/>
        </w:rPr>
        <w:t>4.5).</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Bolest jetre udružena sa koagulopatijom i klinički značajnim rizikom od krvarenja, uključujući pacijente sa cirozom stadijuma </w:t>
      </w:r>
      <w:r w:rsidRPr="00E22DF8">
        <w:rPr>
          <w:bCs/>
          <w:i/>
          <w:sz w:val="22"/>
          <w:szCs w:val="22"/>
          <w:lang w:val="sr-Latn-ME"/>
        </w:rPr>
        <w:t>Child</w:t>
      </w:r>
      <w:r w:rsidR="005A1120" w:rsidRPr="00E22DF8">
        <w:rPr>
          <w:bCs/>
          <w:i/>
          <w:sz w:val="22"/>
          <w:szCs w:val="22"/>
          <w:lang w:val="sr-Latn-ME"/>
        </w:rPr>
        <w:t>-</w:t>
      </w:r>
      <w:r w:rsidRPr="00E22DF8">
        <w:rPr>
          <w:bCs/>
          <w:i/>
          <w:sz w:val="22"/>
          <w:szCs w:val="22"/>
          <w:lang w:val="sr-Latn-ME"/>
        </w:rPr>
        <w:t>Pugh</w:t>
      </w:r>
      <w:r w:rsidRPr="00E22DF8">
        <w:rPr>
          <w:bCs/>
          <w:sz w:val="22"/>
          <w:szCs w:val="22"/>
          <w:lang w:val="sr-Latn-ME"/>
        </w:rPr>
        <w:t xml:space="preserve"> B i C (vidjeti </w:t>
      </w:r>
      <w:r w:rsidR="005A1120"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Trudnoća i dojenje (vidjeti </w:t>
      </w:r>
      <w:r w:rsidR="005A1120" w:rsidRPr="00E22DF8">
        <w:rPr>
          <w:bCs/>
          <w:sz w:val="22"/>
          <w:szCs w:val="22"/>
          <w:lang w:val="sr-Latn-ME"/>
        </w:rPr>
        <w:t xml:space="preserve">dio </w:t>
      </w:r>
      <w:r w:rsidRPr="00E22DF8">
        <w:rPr>
          <w:bCs/>
          <w:sz w:val="22"/>
          <w:szCs w:val="22"/>
          <w:lang w:val="sr-Latn-ME"/>
        </w:rPr>
        <w:t>4.6).</w:t>
      </w:r>
    </w:p>
    <w:p w:rsidR="0072020E" w:rsidRPr="00E22DF8" w:rsidRDefault="0072020E" w:rsidP="00480FB1">
      <w:pPr>
        <w:tabs>
          <w:tab w:val="left" w:pos="540"/>
          <w:tab w:val="left" w:pos="569"/>
        </w:tabs>
        <w:rPr>
          <w:bCs/>
          <w:sz w:val="22"/>
          <w:szCs w:val="22"/>
          <w:lang w:val="sr-Latn-ME"/>
        </w:rPr>
      </w:pPr>
    </w:p>
    <w:p w:rsidR="00411B4B" w:rsidRPr="00E22DF8" w:rsidRDefault="00411B4B" w:rsidP="00480FB1">
      <w:pPr>
        <w:tabs>
          <w:tab w:val="left" w:pos="540"/>
          <w:tab w:val="left" w:pos="569"/>
        </w:tabs>
        <w:rPr>
          <w:b/>
          <w:bCs/>
          <w:sz w:val="22"/>
          <w:szCs w:val="22"/>
          <w:lang w:val="sr-Latn-ME"/>
        </w:rPr>
      </w:pPr>
      <w:r w:rsidRPr="00E22DF8">
        <w:rPr>
          <w:b/>
          <w:bCs/>
          <w:sz w:val="22"/>
          <w:szCs w:val="22"/>
          <w:lang w:val="sr-Latn-ME"/>
        </w:rPr>
        <w:t xml:space="preserve">4.4. </w:t>
      </w:r>
      <w:r w:rsidR="00480FB1" w:rsidRPr="00E22DF8">
        <w:rPr>
          <w:b/>
          <w:bCs/>
          <w:sz w:val="22"/>
          <w:szCs w:val="22"/>
          <w:lang w:val="sr-Latn-ME"/>
        </w:rPr>
        <w:tab/>
      </w:r>
      <w:r w:rsidRPr="00E22DF8">
        <w:rPr>
          <w:b/>
          <w:bCs/>
          <w:sz w:val="22"/>
          <w:szCs w:val="22"/>
          <w:lang w:val="sr-Latn-ME"/>
        </w:rPr>
        <w:t>Posebna upozorenja i mjere opreza pri upotrebi lijeka</w:t>
      </w:r>
    </w:p>
    <w:p w:rsidR="0072020E" w:rsidRPr="00E22DF8" w:rsidRDefault="0072020E" w:rsidP="00480FB1">
      <w:pPr>
        <w:tabs>
          <w:tab w:val="left" w:pos="540"/>
          <w:tab w:val="left" w:pos="569"/>
        </w:tabs>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Tokom čitavog perioda liječenja preporučuje se klinički nadzor u skladu sa antikoagulacijskom praksom. </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Rizik od krvarenja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Kao i kod primjene ostalih antikoagulanasa, pacijente koji uzimaju lijek Corviva treba pažljivo nadgledati kako bi se uočili znaci krvarenja. Preporučuje se upotreba sa posebnom pažnjom u uslovima </w:t>
      </w:r>
      <w:r w:rsidRPr="00E22DF8">
        <w:rPr>
          <w:bCs/>
          <w:sz w:val="22"/>
          <w:szCs w:val="22"/>
          <w:lang w:val="sr-Latn-ME"/>
        </w:rPr>
        <w:lastRenderedPageBreak/>
        <w:t xml:space="preserve">sa povećanim rizikom od krvarenja. Primjenu lijeka Corviva treba prekinuti ukoliko dođe do ozbiljnih krvarenja (vidjeti </w:t>
      </w:r>
      <w:r w:rsidR="008902A8" w:rsidRPr="00E22DF8">
        <w:rPr>
          <w:bCs/>
          <w:sz w:val="22"/>
          <w:szCs w:val="22"/>
          <w:lang w:val="sr-Latn-ME"/>
        </w:rPr>
        <w:t xml:space="preserve">dio </w:t>
      </w:r>
      <w:r w:rsidRPr="00E22DF8">
        <w:rPr>
          <w:bCs/>
          <w:sz w:val="22"/>
          <w:szCs w:val="22"/>
          <w:lang w:val="sr-Latn-ME"/>
        </w:rPr>
        <w:t>4.9).</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U kliničkim studijama krvarenja sluzokože (tj. epistaksa, gingivalno, gastrointestinalno, genitalno-urinarno, uključujući neuobičajeno vaginalno ili povećano menstrualno krvarenje) i anemija su češće primijećeni tokom dugotrajnog liječenja rivaroksabanom u poređenju sa liječenjem VKA. Prema tome, pored adekvatnog kliničkog praćenja, laboratorijsko ispitivanje hemoglobina/hematokrita moglo bi biti od koristi u otkrivanju okultnih krvarenja i procjeni kliničkog značaja vidljivog krvarenja, ukoliko se procijeni kao odgovarajuće.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Određene podgrupe pacijenata, kao što je detaljnije prikazano u nastavku, imaju povećan rizik od krvarenja. Ove pacijente treba pažljivo pratiti kako bi se uočili znaci i simptomi hemoragijskih komplikacija i anemija po započinjanju liječenja (vidjeti </w:t>
      </w:r>
      <w:r w:rsidR="00631EC2" w:rsidRPr="00E22DF8">
        <w:rPr>
          <w:bCs/>
          <w:sz w:val="22"/>
          <w:szCs w:val="22"/>
          <w:lang w:val="sr-Latn-ME"/>
        </w:rPr>
        <w:t xml:space="preserve">dio </w:t>
      </w:r>
      <w:r w:rsidRPr="00E22DF8">
        <w:rPr>
          <w:bCs/>
          <w:sz w:val="22"/>
          <w:szCs w:val="22"/>
          <w:lang w:val="sr-Latn-ME"/>
        </w:rPr>
        <w:t>4.8). Kod pacijenata koji uzimaju lijek Corviva za prevenciju VTE nakon elektivne operacije zamjene kuka ili koljena, praćenje se može sprovesti redovnim pregledom pacijenata, temeljnom kontrolom drenaže hirurške rane i povremenim mjerenjima koncentracije hemoglobina.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U slučaju pojave bilo kakvog neobjašnjivog smanjenja koncentracije hemoglobina ili sniženja krvnog pritiska</w:t>
      </w:r>
      <w:r w:rsidR="00631EC2" w:rsidRPr="00E22DF8">
        <w:rPr>
          <w:bCs/>
          <w:sz w:val="22"/>
          <w:szCs w:val="22"/>
          <w:lang w:val="sr-Latn-ME"/>
        </w:rPr>
        <w:t>,</w:t>
      </w:r>
      <w:r w:rsidRPr="00E22DF8">
        <w:rPr>
          <w:bCs/>
          <w:sz w:val="22"/>
          <w:szCs w:val="22"/>
          <w:lang w:val="sr-Latn-ME"/>
        </w:rPr>
        <w:t xml:space="preserve"> neophodno je potražiti mjesto krvarenja.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Iako terapija rivaroksabanom ne zahtijeva rutinsko praćenje izloženosti lijeku, određivanje koncentracije rivaroksabana kalibrisanom kvantitativnom metodom za anti-faktor Xa može biti od koristi u izuzetnim situacijama kada poznavanje izloženosti rivaroksabanu može pomoći u donošenju kliničkih odluka, kao što je npr. kod predoziranja ili stanja koja zahtijevaju hitnu hiruršku intervenciju (vidjeti </w:t>
      </w:r>
      <w:r w:rsidR="00631EC2" w:rsidRPr="00E22DF8">
        <w:rPr>
          <w:bCs/>
          <w:sz w:val="22"/>
          <w:szCs w:val="22"/>
          <w:lang w:val="sr-Latn-ME"/>
        </w:rPr>
        <w:t xml:space="preserve">djelove </w:t>
      </w:r>
      <w:r w:rsidRPr="00E22DF8">
        <w:rPr>
          <w:bCs/>
          <w:sz w:val="22"/>
          <w:szCs w:val="22"/>
          <w:lang w:val="sr-Latn-ME"/>
        </w:rPr>
        <w:t>5.1 i 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Oštećenje funkcije bubrega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Kod pacijenata sa teškim oštećenjem funkcije bubrega (klirens kreatinina &lt; 30 ml/min), koncentracije rivaroksabana u plazmi mogu se značajno povećati (u prosjeku 1,6 puta)</w:t>
      </w:r>
      <w:r w:rsidR="00B538E6" w:rsidRPr="00E22DF8">
        <w:rPr>
          <w:bCs/>
          <w:sz w:val="22"/>
          <w:szCs w:val="22"/>
          <w:lang w:val="sr-Latn-ME"/>
        </w:rPr>
        <w:t>,</w:t>
      </w:r>
      <w:r w:rsidRPr="00E22DF8">
        <w:rPr>
          <w:bCs/>
          <w:sz w:val="22"/>
          <w:szCs w:val="22"/>
          <w:lang w:val="sr-Latn-ME"/>
        </w:rPr>
        <w:t xml:space="preserve"> što može dovesti do povećanog rizika od krvarenja. Lijek Corviva treba oprezno primjenjivati kod pacijenata sa klirensom kreatinina 15</w:t>
      </w:r>
      <w:r w:rsidR="00B538E6" w:rsidRPr="00E22DF8">
        <w:rPr>
          <w:bCs/>
          <w:sz w:val="22"/>
          <w:szCs w:val="22"/>
          <w:lang w:val="sr-Latn-ME"/>
        </w:rPr>
        <w:t xml:space="preserve"> </w:t>
      </w:r>
      <w:r w:rsidRPr="00E22DF8">
        <w:rPr>
          <w:bCs/>
          <w:sz w:val="22"/>
          <w:szCs w:val="22"/>
          <w:lang w:val="sr-Latn-ME"/>
        </w:rPr>
        <w:t xml:space="preserve">- 29 ml/min. Primjena ovog lijeka se ne preporučuje kod pacijenata sa klirensom kreatinina &lt; 15 ml/min (vidjeti </w:t>
      </w:r>
      <w:r w:rsidR="00B538E6" w:rsidRPr="00E22DF8">
        <w:rPr>
          <w:bCs/>
          <w:sz w:val="22"/>
          <w:szCs w:val="22"/>
          <w:lang w:val="sr-Latn-ME"/>
        </w:rPr>
        <w:t xml:space="preserve">djelove </w:t>
      </w:r>
      <w:r w:rsidRPr="00E22DF8">
        <w:rPr>
          <w:bCs/>
          <w:sz w:val="22"/>
          <w:szCs w:val="22"/>
          <w:lang w:val="sr-Latn-ME"/>
        </w:rPr>
        <w:t>4.2 i 5.2).</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Lijek Corviva treba oprezno primjenjivati kod pacijenata sa </w:t>
      </w:r>
      <w:r w:rsidR="00B538E6" w:rsidRPr="00E22DF8">
        <w:rPr>
          <w:bCs/>
          <w:sz w:val="22"/>
          <w:szCs w:val="22"/>
          <w:lang w:val="sr-Latn-ME"/>
        </w:rPr>
        <w:t xml:space="preserve">umjerenim </w:t>
      </w:r>
      <w:r w:rsidRPr="00E22DF8">
        <w:rPr>
          <w:bCs/>
          <w:sz w:val="22"/>
          <w:szCs w:val="22"/>
          <w:lang w:val="sr-Latn-ME"/>
        </w:rPr>
        <w:t xml:space="preserve">oštećenjem funkcije bubrega </w:t>
      </w:r>
      <w:r w:rsidR="00B538E6" w:rsidRPr="00E22DF8">
        <w:rPr>
          <w:bCs/>
          <w:sz w:val="22"/>
          <w:szCs w:val="22"/>
          <w:lang w:val="sr-Latn-ME"/>
        </w:rPr>
        <w:t xml:space="preserve">(klirens kreatinina 30 - 49 ml/min) </w:t>
      </w:r>
      <w:r w:rsidRPr="00E22DF8">
        <w:rPr>
          <w:bCs/>
          <w:sz w:val="22"/>
          <w:szCs w:val="22"/>
          <w:lang w:val="sr-Latn-ME"/>
        </w:rPr>
        <w:t xml:space="preserve">ukoliko oni istovremeno primaju druge ljekove koji povećavaju koncentracije rivaroksabana u plazmi (vidjeti </w:t>
      </w:r>
      <w:r w:rsidR="00B538E6" w:rsidRPr="00E22DF8">
        <w:rPr>
          <w:bCs/>
          <w:sz w:val="22"/>
          <w:szCs w:val="22"/>
          <w:lang w:val="sr-Latn-ME"/>
        </w:rPr>
        <w:t xml:space="preserve">dio </w:t>
      </w:r>
      <w:r w:rsidRPr="00E22DF8">
        <w:rPr>
          <w:bCs/>
          <w:sz w:val="22"/>
          <w:szCs w:val="22"/>
          <w:lang w:val="sr-Latn-ME"/>
        </w:rPr>
        <w:t>4.5).</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Interakcije sa drugim ljekovima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Ne preporučuje se upotreba lijeka Corviva kod pacijenata koji su istovremeno na terapiji azolnim antimikoticima za sistemsku primjenu (kao što su ketokonazol, itrakonazol, vorikonazol i posakonazol) ili inhibitorima HIV proteaze (npr. ritonavir). Ove aktivne supstance su snažni inhibitori i CYP3A4 i P- gp-a, pa stoga mogu klinički značajno povećati koncentracije rivaroksabana u plazmi (u prosjeku 2,6 puta), što može dovesti do povećanog rizika od krvarenja (vidjeti </w:t>
      </w:r>
      <w:r w:rsidR="00B538E6" w:rsidRPr="00E22DF8">
        <w:rPr>
          <w:bCs/>
          <w:sz w:val="22"/>
          <w:szCs w:val="22"/>
          <w:lang w:val="sr-Latn-ME"/>
        </w:rPr>
        <w:t xml:space="preserve">dio </w:t>
      </w:r>
      <w:r w:rsidRPr="00E22DF8">
        <w:rPr>
          <w:bCs/>
          <w:sz w:val="22"/>
          <w:szCs w:val="22"/>
          <w:lang w:val="sr-Latn-ME"/>
        </w:rPr>
        <w:t>4.5).</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Neophodan je oprez ukoliko se pacijenti istovremeno liječe ljekovima koji utiču na hemostazu, kao što su nesteroidni antiinflamatorni ljekovi (NSAIL), acetilsalicilna kiselina (ASK), inhibitori agregacije trombocita ili selektivni inhibitori ponovnog preuzimanja serotonina (engl. </w:t>
      </w:r>
      <w:r w:rsidRPr="00E22DF8">
        <w:rPr>
          <w:bCs/>
          <w:i/>
          <w:sz w:val="22"/>
          <w:szCs w:val="22"/>
          <w:lang w:val="sr-Latn-ME"/>
        </w:rPr>
        <w:t>selective serotonin reuptake inhibitors</w:t>
      </w:r>
      <w:r w:rsidRPr="00E22DF8">
        <w:rPr>
          <w:bCs/>
          <w:sz w:val="22"/>
          <w:szCs w:val="22"/>
          <w:lang w:val="sr-Latn-ME"/>
        </w:rPr>
        <w:t xml:space="preserve">, SSRI), i inhibitori ponovnog preuzimanja serotonina i norepinefrina (engl. </w:t>
      </w:r>
      <w:r w:rsidRPr="00E22DF8">
        <w:rPr>
          <w:bCs/>
          <w:i/>
          <w:sz w:val="22"/>
          <w:szCs w:val="22"/>
          <w:lang w:val="sr-Latn-ME"/>
        </w:rPr>
        <w:t>serotonin norepinephrine reuptake inhibitors</w:t>
      </w:r>
      <w:r w:rsidRPr="00E22DF8">
        <w:rPr>
          <w:bCs/>
          <w:sz w:val="22"/>
          <w:szCs w:val="22"/>
          <w:lang w:val="sr-Latn-ME"/>
        </w:rPr>
        <w:t xml:space="preserve">, SNRI). Kod pacijenata sa rizikom pojave gastrointestinalnih ulceracija može se razmotriti primjena odgovarajuće profilaktičke terapije (vidjeti </w:t>
      </w:r>
      <w:r w:rsidR="00B538E6" w:rsidRPr="00E22DF8">
        <w:rPr>
          <w:bCs/>
          <w:sz w:val="22"/>
          <w:szCs w:val="22"/>
          <w:lang w:val="sr-Latn-ME"/>
        </w:rPr>
        <w:t xml:space="preserve">dio </w:t>
      </w:r>
      <w:r w:rsidRPr="00E22DF8">
        <w:rPr>
          <w:bCs/>
          <w:sz w:val="22"/>
          <w:szCs w:val="22"/>
          <w:lang w:val="sr-Latn-ME"/>
        </w:rPr>
        <w:t>4.5).</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 </w:t>
      </w: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Ostali faktori rizika za pojavu krvarenja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Kao i druga antitrombotička sredstva, rivaroksaban se ne preporuč</w:t>
      </w:r>
      <w:r w:rsidR="00B538E6" w:rsidRPr="00E22DF8">
        <w:rPr>
          <w:bCs/>
          <w:sz w:val="22"/>
          <w:szCs w:val="22"/>
          <w:lang w:val="sr-Latn-ME"/>
        </w:rPr>
        <w:t>u</w:t>
      </w:r>
      <w:r w:rsidRPr="00E22DF8">
        <w:rPr>
          <w:bCs/>
          <w:sz w:val="22"/>
          <w:szCs w:val="22"/>
          <w:lang w:val="sr-Latn-ME"/>
        </w:rPr>
        <w:t>je kod pacijenata koji imaju povećani rizik od krvarenja, kao što su pacijenti sa:</w:t>
      </w:r>
    </w:p>
    <w:p w:rsidR="0096131F" w:rsidRPr="00E22DF8" w:rsidRDefault="0096131F" w:rsidP="0096131F">
      <w:pPr>
        <w:numPr>
          <w:ilvl w:val="0"/>
          <w:numId w:val="12"/>
        </w:numPr>
        <w:tabs>
          <w:tab w:val="left" w:pos="540"/>
          <w:tab w:val="left" w:pos="569"/>
        </w:tabs>
        <w:jc w:val="both"/>
        <w:rPr>
          <w:bCs/>
          <w:sz w:val="22"/>
          <w:szCs w:val="22"/>
          <w:lang w:val="sr-Latn-ME"/>
        </w:rPr>
      </w:pPr>
      <w:r w:rsidRPr="00E22DF8">
        <w:rPr>
          <w:bCs/>
          <w:sz w:val="22"/>
          <w:szCs w:val="22"/>
          <w:lang w:val="sr-Latn-ME"/>
        </w:rPr>
        <w:t>kongenitalnim ili stečenim poremećajima krvarenja;</w:t>
      </w:r>
    </w:p>
    <w:p w:rsidR="0096131F" w:rsidRPr="00E22DF8" w:rsidRDefault="0096131F" w:rsidP="0096131F">
      <w:pPr>
        <w:numPr>
          <w:ilvl w:val="0"/>
          <w:numId w:val="12"/>
        </w:numPr>
        <w:tabs>
          <w:tab w:val="left" w:pos="540"/>
          <w:tab w:val="left" w:pos="569"/>
        </w:tabs>
        <w:jc w:val="both"/>
        <w:rPr>
          <w:bCs/>
          <w:sz w:val="22"/>
          <w:szCs w:val="22"/>
          <w:lang w:val="sr-Latn-ME"/>
        </w:rPr>
      </w:pPr>
      <w:r w:rsidRPr="00E22DF8">
        <w:rPr>
          <w:bCs/>
          <w:sz w:val="22"/>
          <w:szCs w:val="22"/>
          <w:lang w:val="sr-Latn-ME"/>
        </w:rPr>
        <w:t>teškom nekontrolisanom arterijskom hipertenzijom;</w:t>
      </w:r>
    </w:p>
    <w:p w:rsidR="0096131F" w:rsidRPr="00E22DF8" w:rsidRDefault="0096131F" w:rsidP="0096131F">
      <w:pPr>
        <w:numPr>
          <w:ilvl w:val="0"/>
          <w:numId w:val="12"/>
        </w:numPr>
        <w:tabs>
          <w:tab w:val="left" w:pos="540"/>
          <w:tab w:val="left" w:pos="567"/>
        </w:tabs>
        <w:jc w:val="both"/>
        <w:rPr>
          <w:bCs/>
          <w:sz w:val="22"/>
          <w:szCs w:val="22"/>
          <w:lang w:val="sr-Latn-ME"/>
        </w:rPr>
      </w:pPr>
      <w:r w:rsidRPr="00E22DF8">
        <w:rPr>
          <w:bCs/>
          <w:sz w:val="22"/>
          <w:szCs w:val="22"/>
          <w:lang w:val="sr-Latn-ME"/>
        </w:rPr>
        <w:t>drugim gastrointestinalnim oboljenjima bez aktivne ulceracije koja može potencijalno da dovede do komplikacije krvarenja (npr. zapaljenska bolest crijeva, ezofagitis, gastritis i gastroezofagealna refluksna bolest);</w:t>
      </w:r>
    </w:p>
    <w:p w:rsidR="0096131F" w:rsidRPr="00E22DF8" w:rsidRDefault="0096131F" w:rsidP="0096131F">
      <w:pPr>
        <w:numPr>
          <w:ilvl w:val="0"/>
          <w:numId w:val="12"/>
        </w:numPr>
        <w:tabs>
          <w:tab w:val="left" w:pos="540"/>
          <w:tab w:val="left" w:pos="569"/>
        </w:tabs>
        <w:jc w:val="both"/>
        <w:rPr>
          <w:bCs/>
          <w:sz w:val="22"/>
          <w:szCs w:val="22"/>
          <w:lang w:val="sr-Latn-ME"/>
        </w:rPr>
      </w:pPr>
      <w:r w:rsidRPr="00E22DF8">
        <w:rPr>
          <w:bCs/>
          <w:sz w:val="22"/>
          <w:szCs w:val="22"/>
          <w:lang w:val="sr-Latn-ME"/>
        </w:rPr>
        <w:lastRenderedPageBreak/>
        <w:t>vaskularnom retinopatijom;</w:t>
      </w:r>
    </w:p>
    <w:p w:rsidR="0096131F" w:rsidRPr="00E22DF8" w:rsidRDefault="0096131F" w:rsidP="0096131F">
      <w:pPr>
        <w:numPr>
          <w:ilvl w:val="0"/>
          <w:numId w:val="12"/>
        </w:numPr>
        <w:tabs>
          <w:tab w:val="left" w:pos="540"/>
          <w:tab w:val="left" w:pos="569"/>
        </w:tabs>
        <w:jc w:val="both"/>
        <w:rPr>
          <w:bCs/>
          <w:sz w:val="22"/>
          <w:szCs w:val="22"/>
          <w:lang w:val="sr-Latn-ME"/>
        </w:rPr>
      </w:pPr>
      <w:r w:rsidRPr="00E22DF8">
        <w:rPr>
          <w:bCs/>
          <w:sz w:val="22"/>
          <w:szCs w:val="22"/>
          <w:lang w:val="sr-Latn-ME"/>
        </w:rPr>
        <w:t>bronhiektazijama ili pulmonalnim krvarenjima u anamnezi.</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Pacijenti sa vještačkim zaliscima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Rivaroksaban se ne smije primjenjivati za tromboprofilaksu kod pacijenata koji su nedavno podvrgnuti transkateterskoj zamjeni aortnog zaliska (eng</w:t>
      </w:r>
      <w:r w:rsidR="00F70401" w:rsidRPr="00E22DF8">
        <w:rPr>
          <w:bCs/>
          <w:sz w:val="22"/>
          <w:szCs w:val="22"/>
          <w:lang w:val="sr-Latn-ME"/>
        </w:rPr>
        <w:t>l</w:t>
      </w:r>
      <w:r w:rsidRPr="00E22DF8">
        <w:rPr>
          <w:bCs/>
          <w:sz w:val="22"/>
          <w:szCs w:val="22"/>
          <w:lang w:val="sr-Latn-ME"/>
        </w:rPr>
        <w:t xml:space="preserve">. </w:t>
      </w:r>
      <w:r w:rsidRPr="00E22DF8">
        <w:rPr>
          <w:bCs/>
          <w:i/>
          <w:sz w:val="22"/>
          <w:szCs w:val="22"/>
          <w:lang w:val="sr-Latn-ME"/>
        </w:rPr>
        <w:t>transcatheter aortic valve replacement</w:t>
      </w:r>
      <w:r w:rsidRPr="00E22DF8">
        <w:rPr>
          <w:bCs/>
          <w:sz w:val="22"/>
          <w:szCs w:val="22"/>
          <w:lang w:val="sr-Latn-ME"/>
        </w:rPr>
        <w:t xml:space="preserve">, TAVR). Bezbjednost i efikasnost rivaroksabana nije ispitivana kod pacijenata sa vještačkim srčanim zaliscima; stoga nema podataka koji bi ukazali da rivaroksaban obezbjeđuje adekvatnu antikoagulaciju u ovoj populaciji pacijenata. Terapija </w:t>
      </w:r>
      <w:r w:rsidR="00F70401" w:rsidRPr="00E22DF8">
        <w:rPr>
          <w:bCs/>
          <w:sz w:val="22"/>
          <w:szCs w:val="22"/>
          <w:lang w:val="sr-Latn-ME"/>
        </w:rPr>
        <w:t xml:space="preserve">lijekom Corviva </w:t>
      </w:r>
      <w:r w:rsidRPr="00E22DF8">
        <w:rPr>
          <w:bCs/>
          <w:sz w:val="22"/>
          <w:szCs w:val="22"/>
          <w:lang w:val="sr-Latn-ME"/>
        </w:rPr>
        <w:t>se ne preporučuje kod ovih pacijenata.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Pacijenti sa antifosfolipidnim sindromom</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Direktno djelujući oralni antikoagulansi (engl. </w:t>
      </w:r>
      <w:r w:rsidRPr="00E22DF8">
        <w:rPr>
          <w:bCs/>
          <w:i/>
          <w:sz w:val="22"/>
          <w:szCs w:val="22"/>
          <w:lang w:val="sr-Latn-ME"/>
        </w:rPr>
        <w:t>direct acting oral anticoagulants</w:t>
      </w:r>
      <w:r w:rsidRPr="00E22DF8">
        <w:rPr>
          <w:bCs/>
          <w:sz w:val="22"/>
          <w:szCs w:val="22"/>
          <w:lang w:val="sr-Latn-ME"/>
        </w:rPr>
        <w:t>, DOAC), uključujući rivaroksaban, ne preporučuju se pacijentima koji u anamnezi imaju trombozu, a dijagnostikovan im je antifosfolipidni sindrom. Posebno kod pacijenata koji su trostruko pozitivni (na lupus antikoagulans, antikardiolipinska antitijela i anti-beta2-glikoprotein-I antitijela), liječenje direktno djelujućim oralnim antikoagulansima može biti povezano sa povećanom stopom rekurentnih trombotskih događaja u poređenju sa terapijom antagonistima vitamina K.</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Hirurška intervencija usljed preloma kuka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Primjena rivaroksabana kod pacijenata koji se podvrgavaju hirurškoj intervenciji usljed preloma kuka nije ispitivana u interventnim kliničkim studijama kako bi bila utvrđena efikasnost i bezbjednost lijeka kod ove grupe pacijenata.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 xml:space="preserve">Hemodinamski nestabilni pacijenti sa PE ili pacijenti čije stanje zahtijeva trombolizu ili plućnu embolektomiju </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Lijek Corviva se ne preporučuje kao alternativa nefrakcionisanom heparinu kod pacijenata sa plućnom embolijom koji su hemodinamski nestabilni ili </w:t>
      </w:r>
      <w:r w:rsidR="00C358C4" w:rsidRPr="00E22DF8">
        <w:rPr>
          <w:bCs/>
          <w:sz w:val="22"/>
          <w:szCs w:val="22"/>
          <w:lang w:val="sr-Latn-ME"/>
        </w:rPr>
        <w:t>čije stanje zahtijeva</w:t>
      </w:r>
      <w:r w:rsidRPr="00E22DF8">
        <w:rPr>
          <w:bCs/>
          <w:sz w:val="22"/>
          <w:szCs w:val="22"/>
          <w:lang w:val="sr-Latn-ME"/>
        </w:rPr>
        <w:t xml:space="preserve"> trombolizu ili plućnu embolektomiju, jer u ovim kliničkim situacijama bezbjednost i efikasnost rivaroksabana nisu utvrđene.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Spinalna/epduralna anestezija ili punkcija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Kada se izvodi neuroaksijalna anestezija (spinalna/epiduralna anestezija) ili spinalna/epiduralna punkcija pacijenti liječeni antitrombotičkim sredstvima u cilju prevencije tromboembolijskih komplikacija, pod rizikom su od stvaranja epiduralnog ili spinalnog hematoma koji može dovesti do dugotrajne ili stalne paralize. Rizik od ovih događaja može se povećati ukoliko se postoperativno primjenjuju stalni epiduralni kateteri ili ljekovi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primijeti neurološki poremećaj, neophodno je hitno postaviti dijagnozu i sprovesti terapiju. Prije neuroaksijalne intervencije ljekar treba da razmotri odnos koristi i rizika kod pacijenata koji primaju antikoagulanse, odnosno pacijenata koji će primati antikoagulanse u cilju tromboprofilakse.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Potrebno je razmotriti farmakokinetički profil rivaroksabana, da bi se smanjio potencijalni rizik od krvarenja povezan sa istovremenom primjenom rivaroksabana i neuraksijalne (epiduralne/spinalne) anestezije ili spinalne punkcije. Postavljanje ili uklanjanje epiduralnog katetera ili lumbalne punkcije najbolje je izvoditi kada se procijeni da je antikoagulantni efekat rivaroksabana slab (vidjeti </w:t>
      </w:r>
      <w:r w:rsidR="00C358C4"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Treba da prođe najmanje 18 sati od posljednje primjene rivaroksabana do uklanjanja epiduralnog katetera. Nakon uklanjanja katetera, mora da prođe najmanje 6 sati do primjene sljedeće doze rivaroksabana. Ukoliko dođe do traumatske punkcije, primjenu rivaroksabana treba odložiti za 24 sata.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Preporuke za doziranje prije i nakon invazivnih procedura i hirurške intervencije koji nije elektivna operacija zamjene kuka ili koljena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Ukoliko je potrebno sprovesti invazivnu proceduru ili hiruršku intervenciju, primjenu lijeka Corviva u dozi od 10 mg treba prekinuti najmanje 24 sata prije zahvata, ukoliko je to moguće i na osnovu kliničke procjene ljekara.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Ako se postupak ne može odložiti, potrebno je procijeniti povećan rizik od krvarenja u odnosu na hitnost zahvata.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lastRenderedPageBreak/>
        <w:t>Primjenu lijeka Corviva treba nastaviti nakon invazivne procedure ili hirurške intervencije što je prije moguće</w:t>
      </w:r>
      <w:r w:rsidR="006A0CBE" w:rsidRPr="00E22DF8">
        <w:rPr>
          <w:bCs/>
          <w:sz w:val="22"/>
          <w:szCs w:val="22"/>
          <w:lang w:val="sr-Latn-ME"/>
        </w:rPr>
        <w:t>,</w:t>
      </w:r>
      <w:r w:rsidRPr="00E22DF8">
        <w:rPr>
          <w:bCs/>
          <w:sz w:val="22"/>
          <w:szCs w:val="22"/>
          <w:lang w:val="sr-Latn-ME"/>
        </w:rPr>
        <w:t xml:space="preserve"> pod uslovom da to dopušta klinička situacija i da je uspostavljena odgovarajuća hemostaza prema ocjeni nadležnog ljekara (vidjeti </w:t>
      </w:r>
      <w:r w:rsidR="006A0CBE"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Starija populacija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Sa povećanjem </w:t>
      </w:r>
      <w:r w:rsidR="0089481C" w:rsidRPr="00E22DF8">
        <w:rPr>
          <w:bCs/>
          <w:sz w:val="22"/>
          <w:szCs w:val="22"/>
          <w:lang w:val="sr-Latn-ME"/>
        </w:rPr>
        <w:t xml:space="preserve">starosnog doba </w:t>
      </w:r>
      <w:r w:rsidRPr="00E22DF8">
        <w:rPr>
          <w:bCs/>
          <w:sz w:val="22"/>
          <w:szCs w:val="22"/>
          <w:lang w:val="sr-Latn-ME"/>
        </w:rPr>
        <w:t xml:space="preserve">može biti povećan rizik od krvarenja (vidjeti </w:t>
      </w:r>
      <w:r w:rsidR="0089481C" w:rsidRPr="00E22DF8">
        <w:rPr>
          <w:bCs/>
          <w:sz w:val="22"/>
          <w:szCs w:val="22"/>
          <w:lang w:val="sr-Latn-ME"/>
        </w:rPr>
        <w:t xml:space="preserve">dio </w:t>
      </w:r>
      <w:r w:rsidRPr="00E22DF8">
        <w:rPr>
          <w:bCs/>
          <w:sz w:val="22"/>
          <w:szCs w:val="22"/>
          <w:lang w:val="sr-Latn-ME"/>
        </w:rPr>
        <w:t>5.2).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Dermatološke reakcije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Tokom postmarketinškog praćenja prijavljene su ozbiljne kožne reakcije, koje su povezane sa upotrebom rivaroksabana, uključujući </w:t>
      </w:r>
      <w:r w:rsidRPr="00E22DF8">
        <w:rPr>
          <w:bCs/>
          <w:i/>
          <w:sz w:val="22"/>
          <w:szCs w:val="22"/>
          <w:lang w:val="sr-Latn-ME"/>
        </w:rPr>
        <w:t>Stevens-Johnson</w:t>
      </w:r>
      <w:r w:rsidRPr="00E22DF8">
        <w:rPr>
          <w:bCs/>
          <w:sz w:val="22"/>
          <w:szCs w:val="22"/>
          <w:lang w:val="sr-Latn-ME"/>
        </w:rPr>
        <w:t xml:space="preserve">-ov sindrom/toksičnu epidermalnu nekrolizu i DRESS sindrom (vidjeti </w:t>
      </w:r>
      <w:r w:rsidR="0089481C" w:rsidRPr="00E22DF8">
        <w:rPr>
          <w:bCs/>
          <w:sz w:val="22"/>
          <w:szCs w:val="22"/>
          <w:lang w:val="sr-Latn-ME"/>
        </w:rPr>
        <w:t xml:space="preserve">dio </w:t>
      </w:r>
      <w:r w:rsidRPr="00E22DF8">
        <w:rPr>
          <w:bCs/>
          <w:sz w:val="22"/>
          <w:szCs w:val="22"/>
          <w:lang w:val="sr-Latn-ME"/>
        </w:rPr>
        <w:t xml:space="preserve">4.8). Izgleda da su pacijenti izloženi najvećem riziku za pojavu ovih reakcija na početku terapije: početak reakcije se u većini slučajeva javlja tokom prvih nedjelja terapije. Primjenu rivaroksabana treba prekinuti pri prvoj pojavi ozbiljnog osipa na koži (npr. osip koji se širi, intenzivan je i/ili praćen stvaranjem </w:t>
      </w:r>
      <w:r w:rsidR="0089481C" w:rsidRPr="00E22DF8">
        <w:rPr>
          <w:bCs/>
          <w:sz w:val="22"/>
          <w:szCs w:val="22"/>
          <w:lang w:val="sr-Latn-ME"/>
        </w:rPr>
        <w:t>plikova</w:t>
      </w:r>
      <w:r w:rsidRPr="00E22DF8">
        <w:rPr>
          <w:bCs/>
          <w:sz w:val="22"/>
          <w:szCs w:val="22"/>
          <w:lang w:val="sr-Latn-ME"/>
        </w:rPr>
        <w:t>) ili bilo kog drugog znaka preosjetljivosti koji je u vezi sa lezijama na sluzokoži.</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Informacije o pomoćnim supstancama sa potvrđenim dejstvom</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Lijek Corviva sadrži laktozu. Pacijenti sa rijetkim nasljednim poremećajem intolerancije galaktoze, potpunim nedostastkom laktaze ili glukozno-galaktoznom malapsorpcijom, ne smiju da koriste ovaj lijek.</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Ovaj lijek sadrži manje od 1 mmol natrijuma (23 mg) po tableti, tj. zanemarljive količine natrijuma.</w:t>
      </w:r>
    </w:p>
    <w:p w:rsidR="00057E35" w:rsidRPr="00E22DF8" w:rsidRDefault="00057E35" w:rsidP="00480FB1">
      <w:pPr>
        <w:tabs>
          <w:tab w:val="left" w:pos="540"/>
          <w:tab w:val="left" w:pos="569"/>
        </w:tabs>
        <w:rPr>
          <w:bCs/>
          <w:sz w:val="22"/>
          <w:szCs w:val="22"/>
          <w:lang w:val="sr-Latn-ME"/>
        </w:rPr>
      </w:pPr>
    </w:p>
    <w:p w:rsidR="00411B4B" w:rsidRPr="00E22DF8" w:rsidRDefault="00411B4B" w:rsidP="00480FB1">
      <w:pPr>
        <w:tabs>
          <w:tab w:val="left" w:pos="540"/>
          <w:tab w:val="left" w:pos="569"/>
        </w:tabs>
        <w:rPr>
          <w:b/>
          <w:bCs/>
          <w:sz w:val="22"/>
          <w:szCs w:val="22"/>
          <w:lang w:val="sr-Latn-ME"/>
        </w:rPr>
      </w:pPr>
      <w:r w:rsidRPr="00E22DF8">
        <w:rPr>
          <w:b/>
          <w:bCs/>
          <w:sz w:val="22"/>
          <w:szCs w:val="22"/>
          <w:lang w:val="sr-Latn-ME"/>
        </w:rPr>
        <w:t>4.5.</w:t>
      </w:r>
      <w:r w:rsidR="000D60CC" w:rsidRPr="00E22DF8">
        <w:rPr>
          <w:b/>
          <w:bCs/>
          <w:sz w:val="22"/>
          <w:szCs w:val="22"/>
          <w:lang w:val="sr-Latn-ME"/>
        </w:rPr>
        <w:tab/>
      </w:r>
      <w:r w:rsidRPr="00E22DF8">
        <w:rPr>
          <w:b/>
          <w:bCs/>
          <w:sz w:val="22"/>
          <w:szCs w:val="22"/>
          <w:lang w:val="sr-Latn-ME"/>
        </w:rPr>
        <w:t>Interakcije sa drugim ljekovima i druge vrste interakcija</w:t>
      </w:r>
    </w:p>
    <w:p w:rsidR="0072020E" w:rsidRPr="00E22DF8" w:rsidRDefault="0072020E" w:rsidP="00480FB1">
      <w:pPr>
        <w:tabs>
          <w:tab w:val="left" w:pos="540"/>
          <w:tab w:val="left" w:pos="569"/>
        </w:tabs>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Inhibitori CYP3A4 i P-gp-a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Istovremena primjena rivaroksabana sa ketokonazolom (400 mg, jednom dnevno), odnosno ritonavirom (600 mg, dva puta dnevno), povećala je 2,6 puta / 2,5 puta srednju PIK vrijednost rivaroksabana, a 1,7 puta / 1,6 puta srednju C</w:t>
      </w:r>
      <w:r w:rsidRPr="00E22DF8">
        <w:rPr>
          <w:bCs/>
          <w:sz w:val="22"/>
          <w:szCs w:val="22"/>
          <w:vertAlign w:val="subscript"/>
          <w:lang w:val="sr-Latn-ME"/>
        </w:rPr>
        <w:t>max</w:t>
      </w:r>
      <w:r w:rsidRPr="00E22DF8">
        <w:rPr>
          <w:bCs/>
          <w:sz w:val="22"/>
          <w:szCs w:val="22"/>
          <w:lang w:val="sr-Latn-ME"/>
        </w:rPr>
        <w:t xml:space="preserve"> vrijednost rivaroksabana, sa značajnim povećanjem farmakodinamskih efekata koji su mogli uzrokovati povećanje rizika od krvarenja. Stoga, lijek Corviva se ne preporučuje pacijentima koji se istovremeno liječe azolskim antimikoticima za sistemsku primjenu kao što su ketokonazol, itrakonazol, vorikonazol i posakonazol, ili inhibitorima HIV proteaze. Ove aktivne supstance snažni su inhibitori kako CYP3A4, tako i P-gp-a (vidjeti </w:t>
      </w:r>
      <w:r w:rsidR="0005735D"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Očekuje se da aktivne supstance koje snažno inhibiraju samo jedan od puteva eliminacije rivaroksabana, bilo CYP3A4 ili P-gp, u manjoj mjeri povećavaju koncentracije rivaroksabana u plazmi. Klaritromicin (500 mg, dva puta dnevno), na primjer, za koji se smatra da je snažan inhibitor CYP3A4 i umjereni inhibitor P-gp-a, povećavao je srednju PIK vrijednost rivaroksabana 1,5 puta, a C</w:t>
      </w:r>
      <w:r w:rsidRPr="00E22DF8">
        <w:rPr>
          <w:bCs/>
          <w:sz w:val="22"/>
          <w:szCs w:val="22"/>
          <w:vertAlign w:val="subscript"/>
          <w:lang w:val="sr-Latn-ME"/>
        </w:rPr>
        <w:t>max</w:t>
      </w:r>
      <w:r w:rsidRPr="00E22DF8">
        <w:rPr>
          <w:bCs/>
          <w:sz w:val="22"/>
          <w:szCs w:val="22"/>
          <w:lang w:val="sr-Latn-ME"/>
        </w:rPr>
        <w:t xml:space="preserve"> rivaroksabana 1,4 puta. Interakcija sa klaritromicinom vjerovatno nije klinički značajna kod većine pacijenata, ali može biti potencijalno značajna kod visoko rizičnih pacijenata (</w:t>
      </w:r>
      <w:r w:rsidR="0005735D" w:rsidRPr="00E22DF8">
        <w:rPr>
          <w:bCs/>
          <w:sz w:val="22"/>
          <w:szCs w:val="22"/>
          <w:lang w:val="sr-Latn-ME"/>
        </w:rPr>
        <w:t xml:space="preserve">za </w:t>
      </w:r>
      <w:r w:rsidRPr="00E22DF8">
        <w:rPr>
          <w:bCs/>
          <w:sz w:val="22"/>
          <w:szCs w:val="22"/>
          <w:lang w:val="sr-Latn-ME"/>
        </w:rPr>
        <w:t xml:space="preserve">pacijente sa oštećenjem funkcije bubrega: vidjeti </w:t>
      </w:r>
      <w:r w:rsidR="0005735D"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Eritromicin (500 mg, tri puta dnevno), koji umjereno inhibira CYP3A4 i P-gp, povećavao je srednje vrijednosti PIK i C</w:t>
      </w:r>
      <w:r w:rsidRPr="00E22DF8">
        <w:rPr>
          <w:bCs/>
          <w:sz w:val="22"/>
          <w:szCs w:val="22"/>
          <w:vertAlign w:val="subscript"/>
          <w:lang w:val="sr-Latn-ME"/>
        </w:rPr>
        <w:t>max</w:t>
      </w:r>
      <w:r w:rsidRPr="00E22DF8">
        <w:rPr>
          <w:bCs/>
          <w:sz w:val="22"/>
          <w:szCs w:val="22"/>
          <w:lang w:val="sr-Latn-ME"/>
        </w:rPr>
        <w:t xml:space="preserve"> rivaroksabana 1,3 puta. Interakcija sa eritromicinom vjerovatno nije klinički značajna kod većine pacijenata, ali može biti potencijalno značajna kod visoko rizičnih pacijenata. Kod ispitanika sa blagim oštećenjem funkcije bubrega, primjena eritromicina (500 mg tri puta dnevno) dovela je do povećanja srednje vrijednosti PIK-a rivaroksabana 1,8 puta i povećanja vrijednosti C</w:t>
      </w:r>
      <w:r w:rsidRPr="00E22DF8">
        <w:rPr>
          <w:bCs/>
          <w:sz w:val="22"/>
          <w:szCs w:val="22"/>
          <w:vertAlign w:val="subscript"/>
          <w:lang w:val="sr-Latn-ME"/>
        </w:rPr>
        <w:t>max</w:t>
      </w:r>
      <w:r w:rsidRPr="00E22DF8">
        <w:rPr>
          <w:bCs/>
          <w:sz w:val="22"/>
          <w:szCs w:val="22"/>
          <w:lang w:val="sr-Latn-ME"/>
        </w:rPr>
        <w:t xml:space="preserve"> 1,6 puta, u poređenju sa ispitanicima sa očuvanom funkcijom bubrega. Kod ispitanika sa umjerenim oštećenjem funkcije bubrega, eritromicin (500 mg tri puta dnevno) je doveo do dvostrukog povećanja srednje vrijednosti PIK-a rivaroksabana i povećanja vrijednosti C</w:t>
      </w:r>
      <w:r w:rsidRPr="00E22DF8">
        <w:rPr>
          <w:bCs/>
          <w:sz w:val="22"/>
          <w:szCs w:val="22"/>
          <w:vertAlign w:val="subscript"/>
          <w:lang w:val="sr-Latn-ME"/>
        </w:rPr>
        <w:t>max</w:t>
      </w:r>
      <w:r w:rsidRPr="00E22DF8">
        <w:rPr>
          <w:bCs/>
          <w:sz w:val="22"/>
          <w:szCs w:val="22"/>
          <w:lang w:val="sr-Latn-ME"/>
        </w:rPr>
        <w:t xml:space="preserve"> od 1,6 puta u poređenju sa ispitanicima sa očuvanom funkcijom bubrega. Efekat eritromicina ima aditivno dejstvo na oštećenje funkcije bubrega (vidjeti </w:t>
      </w:r>
      <w:r w:rsidR="00C41728"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Flukonazol (400 mg, jednom dnevno) za koji se smatra da umjereno inhibira CYP3A4, dovodi do povećanja srednje vrijednosti PIK 1,4 puta i srednje vrijednosti C</w:t>
      </w:r>
      <w:r w:rsidRPr="00E22DF8">
        <w:rPr>
          <w:bCs/>
          <w:sz w:val="22"/>
          <w:szCs w:val="22"/>
          <w:vertAlign w:val="subscript"/>
          <w:lang w:val="sr-Latn-ME"/>
        </w:rPr>
        <w:t>max</w:t>
      </w:r>
      <w:r w:rsidRPr="00E22DF8">
        <w:rPr>
          <w:bCs/>
          <w:sz w:val="22"/>
          <w:szCs w:val="22"/>
          <w:lang w:val="sr-Latn-ME"/>
        </w:rPr>
        <w:t xml:space="preserve"> 1,3 puta. Interakcija sa flukonazolom vjerovatno nije klinički značajna kod većine pacijenata, ali može biti potencijalno značajna kod visoko rizičnih pacijenata (</w:t>
      </w:r>
      <w:r w:rsidR="00C41728" w:rsidRPr="00E22DF8">
        <w:rPr>
          <w:bCs/>
          <w:sz w:val="22"/>
          <w:szCs w:val="22"/>
          <w:lang w:val="sr-Latn-ME"/>
        </w:rPr>
        <w:t xml:space="preserve">za </w:t>
      </w:r>
      <w:r w:rsidRPr="00E22DF8">
        <w:rPr>
          <w:bCs/>
          <w:sz w:val="22"/>
          <w:szCs w:val="22"/>
          <w:lang w:val="sr-Latn-ME"/>
        </w:rPr>
        <w:t xml:space="preserve">pacijente sa oštećenjem funkcije bubrega: vidjeti </w:t>
      </w:r>
      <w:r w:rsidR="00C41728"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lastRenderedPageBreak/>
        <w:t>S obzirom na ograničene dostupne kliničke podatke za dronedaron, istovremenu primjenu sa rivaroksabanom treba izbjegavati.</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Antikoagulansi</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Poslije istovremene primjene enoksaparina (40 mg, jedna doza) sa rivaroksabanom (10 mg, jedna doza) zapažen je aditivni anti-faktor Xa efekat, bez bilo kakvog dodatnog uticaja na testove koagulacije (PT, aPTT). Enoksaparin nije uticao na farmakokinetiku rivaroksabana.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Zbog povećanog rizika od krvarenja, potreban je oprez ukoliko se pacijenti istovremeno liječe sa bilo kojim drugim antikoagulansima (vidjeti </w:t>
      </w:r>
      <w:r w:rsidR="00C41728" w:rsidRPr="00E22DF8">
        <w:rPr>
          <w:bCs/>
          <w:sz w:val="22"/>
          <w:szCs w:val="22"/>
          <w:lang w:val="sr-Latn-ME"/>
        </w:rPr>
        <w:t xml:space="preserve">djelove </w:t>
      </w:r>
      <w:r w:rsidRPr="00E22DF8">
        <w:rPr>
          <w:bCs/>
          <w:sz w:val="22"/>
          <w:szCs w:val="22"/>
          <w:lang w:val="sr-Latn-ME"/>
        </w:rPr>
        <w:t>4.3 i 4.4).</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NSAIL/inhibitori agregacije trombocita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Nije primijećeno klinički značajno produženje vremena krvarenja poslije istovremene primjene rivaroksabana (15 mg) i 500 mg naproksena. Uprkos tome, kod pojedinaca, farmakodinamski odgovor može biti više izražen.</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Nisu zapažene klinički značajne farmakokinetičke ili farmakodinamske interakcije kada je rivaroksaban primijenjen u kombinaciji sa 500 mg acetilsalicilne kiseline.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Klopidogrel (početna doza od 300 mg, a zatim doza održavanja od 75 mg) nije pokazao farmakokinetičku interakciju sa rivaroksabanom (15 mg), ali je u jednoj podgrupi pacijenata primijećeno značajno produženje vremena krvarenja koje nije koreliralo sa agregacijom trombocita, nivoima P- selektina i GPIIb/IIIa receptora.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Potreban je oprez ukoliko se pacijent istovremeno liječi ljekovima iz grupe NSAIL (uključujući acetilsalicilnu kiselinu) i inhibitorima agregacije trombocita, pošto je za ove ljekove karakteristično da povećavaju rizik od krvarenja (vidjeti </w:t>
      </w:r>
      <w:r w:rsidR="00C41728" w:rsidRPr="00E22DF8">
        <w:rPr>
          <w:bCs/>
          <w:sz w:val="22"/>
          <w:szCs w:val="22"/>
          <w:lang w:val="sr-Latn-ME"/>
        </w:rPr>
        <w:t xml:space="preserve">dio </w:t>
      </w:r>
      <w:r w:rsidRPr="00E22DF8">
        <w:rPr>
          <w:bCs/>
          <w:sz w:val="22"/>
          <w:szCs w:val="22"/>
          <w:lang w:val="sr-Latn-ME"/>
        </w:rPr>
        <w:t>4.4).</w:t>
      </w:r>
    </w:p>
    <w:p w:rsidR="0096131F" w:rsidRPr="00E22DF8" w:rsidRDefault="0096131F" w:rsidP="0096131F">
      <w:pPr>
        <w:tabs>
          <w:tab w:val="left" w:pos="540"/>
          <w:tab w:val="left" w:pos="569"/>
        </w:tabs>
        <w:jc w:val="both"/>
        <w:rPr>
          <w:b/>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SSRI / SNRI</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Kao i kod primjene drugih antikoagulansa, može postojati mogućnost da pacijenti imaju povećan rizik od krvarenja u slučaju istovremene primjene sa SSRI ili SNRI zbog njihovog prijavljenog efekta na trombocite. Tokom istovremene primjene u kliničkom programu rivaroksabana, primijećene su veće stope </w:t>
      </w:r>
      <w:r w:rsidR="00E32885" w:rsidRPr="00E22DF8">
        <w:rPr>
          <w:bCs/>
          <w:sz w:val="22"/>
          <w:szCs w:val="22"/>
          <w:lang w:val="sr-Latn-ME"/>
        </w:rPr>
        <w:t xml:space="preserve">velikih </w:t>
      </w:r>
      <w:r w:rsidRPr="00E22DF8">
        <w:rPr>
          <w:bCs/>
          <w:sz w:val="22"/>
          <w:szCs w:val="22"/>
          <w:lang w:val="sr-Latn-ME"/>
        </w:rPr>
        <w:t xml:space="preserve">ili klinički značajnih </w:t>
      </w:r>
      <w:r w:rsidR="00E32885" w:rsidRPr="00E22DF8">
        <w:rPr>
          <w:bCs/>
          <w:sz w:val="22"/>
          <w:szCs w:val="22"/>
          <w:lang w:val="sr-Latn-ME"/>
        </w:rPr>
        <w:t xml:space="preserve">manjih </w:t>
      </w:r>
      <w:r w:rsidRPr="00E22DF8">
        <w:rPr>
          <w:bCs/>
          <w:sz w:val="22"/>
          <w:szCs w:val="22"/>
          <w:lang w:val="sr-Latn-ME"/>
        </w:rPr>
        <w:t>krvarenja u svim terapijskim grupama.</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Varfarin</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Prevođenje pacijenata sa terapije antagonistom vitamina K, varfarinom (INR 2,0 do 3,0) na rivaroksaban (20 mg) ili sa rivaroksabana (20 mg) na varfarin (INR 2,0 do 3,0) produžilo je protrombinsko vrijeme/INR (Neoplastin) više nego aditivno (mogu se uočiti pojedinačne INR vrijednosti do 12), dok je uticaj na aPTT, inhibiciju aktivnosti faktora Xa i endogeni trombin potencijal bio aditivan.</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Za ispitivanje farmakodinamskih efekata rivaroksabana tokom perioda prevođenja, mogu se koristiti aktivnost anti-faktora Xa, PiCT i Heptest jer varfarin nije imao uticaj na njih. Četvrtog dana nakon posljednje doze varfarina, svi testovi (uključujući PT, aPTT, inhibiciju aktivnosti faktora Xa i ETP) su odražavali samo efekat rivaroksabana.</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Za ispitivanje farmakodinamskih efekata varfarina tokom perioda prevođenja, određivanje INR se može koristiti za C</w:t>
      </w:r>
      <w:r w:rsidRPr="00E22DF8">
        <w:rPr>
          <w:bCs/>
          <w:sz w:val="22"/>
          <w:szCs w:val="22"/>
          <w:vertAlign w:val="subscript"/>
          <w:lang w:val="sr-Latn-ME"/>
        </w:rPr>
        <w:t>trough</w:t>
      </w:r>
      <w:r w:rsidRPr="00E22DF8">
        <w:rPr>
          <w:bCs/>
          <w:sz w:val="22"/>
          <w:szCs w:val="22"/>
          <w:lang w:val="sr-Latn-ME"/>
        </w:rPr>
        <w:t xml:space="preserve"> rivaroksabana (koncentracija lijeka na kraju doznog intervala - 24 sata nakon prethodnog uzimanja rivaroksabana) jer rivaroksaban minimalno utiče na test u tom trenutku.</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Nije zapažena bilo kakva farmakokinetička interakcija između varfarina i rivaroksabana.</w:t>
      </w:r>
    </w:p>
    <w:p w:rsidR="0096131F" w:rsidRPr="00E22DF8" w:rsidRDefault="0096131F" w:rsidP="0096131F">
      <w:pPr>
        <w:tabs>
          <w:tab w:val="left" w:pos="540"/>
          <w:tab w:val="left" w:pos="569"/>
        </w:tabs>
        <w:jc w:val="both"/>
        <w:rPr>
          <w:b/>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Induktori CYP3A4</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Istovremena primjena rivaroksabana i rifampicina, snažnog induktora CYP3A4, za približno 50% smanjivala je srednju vrijednost PIK rivaroksabana, sa paralelnim smanjivanjem  njegovih farmakodinamskih efekata. Istovremena primjena rivaroksabana sa drugim snažnim induktorima CYP3A4 (npr. fenitoin, karbamazepin, fenobarbital ili kantarion (</w:t>
      </w:r>
      <w:r w:rsidRPr="00E22DF8">
        <w:rPr>
          <w:bCs/>
          <w:i/>
          <w:sz w:val="22"/>
          <w:szCs w:val="22"/>
          <w:lang w:val="sr-Latn-ME"/>
        </w:rPr>
        <w:t>Hypericum perforatum</w:t>
      </w:r>
      <w:r w:rsidRPr="00E22DF8">
        <w:rPr>
          <w:bCs/>
          <w:sz w:val="22"/>
          <w:szCs w:val="22"/>
          <w:lang w:val="sr-Latn-ME"/>
        </w:rPr>
        <w:t>)) može takođe smanjiti koncentracije rivaroksabana u plazmi. Zbog toga treba izbjegavati istovremenu primjenu snažnih induktora CYP3A4, osim ukoliko pacijent nije pod strogim nadzorom</w:t>
      </w:r>
      <w:r w:rsidR="00736A1B" w:rsidRPr="00E22DF8">
        <w:rPr>
          <w:bCs/>
          <w:sz w:val="22"/>
          <w:szCs w:val="22"/>
          <w:lang w:val="sr-Latn-ME"/>
        </w:rPr>
        <w:t>,</w:t>
      </w:r>
      <w:r w:rsidRPr="00E22DF8">
        <w:rPr>
          <w:bCs/>
          <w:sz w:val="22"/>
          <w:szCs w:val="22"/>
          <w:lang w:val="sr-Latn-ME"/>
        </w:rPr>
        <w:t xml:space="preserve"> kako bi se uočili znaci  i simptomi tromboze.</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Drugi istovremeno primijenjeni ljekovi</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Nisu zapažene klinički značajne farmakokinetičke ili farmakodinamske interakcije kada je rivaroksaban bio primijenjen istovremeno sa midazolamom (supstrat za CYP3A4), digoksinom (supstrat za P-gp) ili </w:t>
      </w:r>
      <w:r w:rsidRPr="00E22DF8">
        <w:rPr>
          <w:bCs/>
          <w:sz w:val="22"/>
          <w:szCs w:val="22"/>
          <w:lang w:val="sr-Latn-ME"/>
        </w:rPr>
        <w:lastRenderedPageBreak/>
        <w:t>atorvastatinom (supstrat za CYP3A4 i P-gp) ili omeprazolom (inhibitor protonske pumpe). Rivaroksaban ne dovodi do indukcije niti do inhibicije bilo kog važnijeg izoenzima CYP, kao što je CYP3A4.</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Nije bilo klinički značajnih interakcija sa hranom (vidjeti </w:t>
      </w:r>
      <w:r w:rsidR="00736A1B" w:rsidRPr="00E22DF8">
        <w:rPr>
          <w:bCs/>
          <w:sz w:val="22"/>
          <w:szCs w:val="22"/>
          <w:lang w:val="sr-Latn-ME"/>
        </w:rPr>
        <w:t xml:space="preserve">dio </w:t>
      </w:r>
      <w:r w:rsidRPr="00E22DF8">
        <w:rPr>
          <w:bCs/>
          <w:sz w:val="22"/>
          <w:szCs w:val="22"/>
          <w:lang w:val="sr-Latn-ME"/>
        </w:rPr>
        <w:t>4.2).</w:t>
      </w:r>
    </w:p>
    <w:p w:rsidR="0096131F" w:rsidRPr="00E22DF8" w:rsidRDefault="0096131F" w:rsidP="0096131F">
      <w:pPr>
        <w:tabs>
          <w:tab w:val="left" w:pos="540"/>
          <w:tab w:val="left" w:pos="569"/>
        </w:tabs>
        <w:jc w:val="both"/>
        <w:rPr>
          <w:bCs/>
          <w:sz w:val="22"/>
          <w:szCs w:val="22"/>
          <w:lang w:val="sr-Latn-ME"/>
        </w:rPr>
      </w:pPr>
    </w:p>
    <w:p w:rsidR="0096131F" w:rsidRPr="00E22DF8" w:rsidRDefault="0096131F" w:rsidP="0096131F">
      <w:pPr>
        <w:tabs>
          <w:tab w:val="left" w:pos="540"/>
          <w:tab w:val="left" w:pos="569"/>
        </w:tabs>
        <w:jc w:val="both"/>
        <w:rPr>
          <w:bCs/>
          <w:sz w:val="22"/>
          <w:szCs w:val="22"/>
          <w:u w:val="single"/>
          <w:lang w:val="sr-Latn-ME"/>
        </w:rPr>
      </w:pPr>
      <w:r w:rsidRPr="00E22DF8">
        <w:rPr>
          <w:bCs/>
          <w:sz w:val="22"/>
          <w:szCs w:val="22"/>
          <w:u w:val="single"/>
          <w:lang w:val="sr-Latn-ME"/>
        </w:rPr>
        <w:t>Laboratorijski parametri</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Parametri koagulacije (npr. PT, aPTT, HepTest) mijenjaju se, očekivano, zbog mehanizma d</w:t>
      </w:r>
      <w:r w:rsidR="00736A1B" w:rsidRPr="00E22DF8">
        <w:rPr>
          <w:bCs/>
          <w:sz w:val="22"/>
          <w:szCs w:val="22"/>
          <w:lang w:val="sr-Latn-ME"/>
        </w:rPr>
        <w:t>j</w:t>
      </w:r>
      <w:r w:rsidRPr="00E22DF8">
        <w:rPr>
          <w:bCs/>
          <w:sz w:val="22"/>
          <w:szCs w:val="22"/>
          <w:lang w:val="sr-Latn-ME"/>
        </w:rPr>
        <w:t xml:space="preserve">elovanja rivaroksabana (vidjeti </w:t>
      </w:r>
      <w:r w:rsidR="00736A1B" w:rsidRPr="00E22DF8">
        <w:rPr>
          <w:bCs/>
          <w:sz w:val="22"/>
          <w:szCs w:val="22"/>
          <w:lang w:val="sr-Latn-ME"/>
        </w:rPr>
        <w:t xml:space="preserve">dio </w:t>
      </w:r>
      <w:r w:rsidRPr="00E22DF8">
        <w:rPr>
          <w:bCs/>
          <w:sz w:val="22"/>
          <w:szCs w:val="22"/>
          <w:lang w:val="sr-Latn-ME"/>
        </w:rPr>
        <w:t>5.1).</w:t>
      </w:r>
    </w:p>
    <w:p w:rsidR="0096131F" w:rsidRPr="00E22DF8" w:rsidRDefault="0096131F"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sz w:val="22"/>
          <w:szCs w:val="22"/>
          <w:lang w:val="sr-Latn-ME"/>
        </w:rPr>
      </w:pPr>
      <w:r w:rsidRPr="00E22DF8">
        <w:rPr>
          <w:b/>
          <w:bCs/>
          <w:sz w:val="22"/>
          <w:szCs w:val="22"/>
          <w:lang w:val="sr-Latn-ME"/>
        </w:rPr>
        <w:t xml:space="preserve">4.6. </w:t>
      </w:r>
      <w:r w:rsidR="00480FB1" w:rsidRPr="00E22DF8">
        <w:rPr>
          <w:b/>
          <w:bCs/>
          <w:sz w:val="22"/>
          <w:szCs w:val="22"/>
          <w:lang w:val="sr-Latn-ME"/>
        </w:rPr>
        <w:tab/>
      </w:r>
      <w:r w:rsidR="006D20A5" w:rsidRPr="00E22DF8">
        <w:rPr>
          <w:b/>
          <w:sz w:val="22"/>
          <w:szCs w:val="22"/>
          <w:lang w:val="sr-Latn-ME"/>
        </w:rPr>
        <w:t>Plodnost, trudnoća i dojenje</w:t>
      </w:r>
    </w:p>
    <w:p w:rsidR="002031B3" w:rsidRPr="00E22DF8" w:rsidRDefault="002031B3" w:rsidP="00480FB1">
      <w:pPr>
        <w:tabs>
          <w:tab w:val="left" w:pos="540"/>
          <w:tab w:val="left" w:pos="569"/>
        </w:tabs>
        <w:rPr>
          <w:sz w:val="22"/>
          <w:szCs w:val="22"/>
          <w:u w:val="single"/>
          <w:lang w:val="sr-Latn-ME"/>
        </w:rPr>
      </w:pPr>
    </w:p>
    <w:p w:rsidR="0096131F" w:rsidRPr="00E22DF8" w:rsidRDefault="0096131F" w:rsidP="0096131F">
      <w:pPr>
        <w:tabs>
          <w:tab w:val="left" w:pos="540"/>
          <w:tab w:val="left" w:pos="569"/>
        </w:tabs>
        <w:jc w:val="both"/>
        <w:rPr>
          <w:sz w:val="22"/>
          <w:szCs w:val="22"/>
          <w:u w:val="single"/>
          <w:lang w:val="sr-Latn-ME"/>
        </w:rPr>
      </w:pPr>
      <w:r w:rsidRPr="00E22DF8">
        <w:rPr>
          <w:sz w:val="22"/>
          <w:szCs w:val="22"/>
          <w:u w:val="single"/>
          <w:lang w:val="sr-Latn-ME"/>
        </w:rPr>
        <w:t>Trudnoća</w:t>
      </w:r>
    </w:p>
    <w:p w:rsidR="0096131F" w:rsidRPr="00E22DF8" w:rsidRDefault="0096131F" w:rsidP="0096131F">
      <w:pPr>
        <w:tabs>
          <w:tab w:val="left" w:pos="540"/>
          <w:tab w:val="left" w:pos="569"/>
        </w:tabs>
        <w:jc w:val="both"/>
        <w:rPr>
          <w:sz w:val="22"/>
          <w:szCs w:val="22"/>
          <w:lang w:val="sr-Latn-ME"/>
        </w:rPr>
      </w:pPr>
      <w:r w:rsidRPr="00E22DF8">
        <w:rPr>
          <w:sz w:val="22"/>
          <w:szCs w:val="22"/>
          <w:lang w:val="sr-Latn-ME"/>
        </w:rPr>
        <w:t xml:space="preserve">Bezbjednost i efikasnost lijeka Corviva nisu ustanovljene kod trudnica. Studije na životinjama pokazale su reproduktivnu toksičnost (vidjeti </w:t>
      </w:r>
      <w:r w:rsidR="003C2BE4" w:rsidRPr="00E22DF8">
        <w:rPr>
          <w:sz w:val="22"/>
          <w:szCs w:val="22"/>
          <w:lang w:val="sr-Latn-ME"/>
        </w:rPr>
        <w:t xml:space="preserve">dio </w:t>
      </w:r>
      <w:r w:rsidRPr="00E22DF8">
        <w:rPr>
          <w:sz w:val="22"/>
          <w:szCs w:val="22"/>
          <w:lang w:val="sr-Latn-ME"/>
        </w:rPr>
        <w:t xml:space="preserve">5.3). Zbog moguće reproduktivne toksičnosti, rizika od unutrašnjeg krvarenja i dokaza o tome da rivaroksaban prolazi kroz placentu, primjena lijeka Corviva je kontraindikovana tokom trudnoće (vidjeti </w:t>
      </w:r>
      <w:r w:rsidR="003C2BE4" w:rsidRPr="00E22DF8">
        <w:rPr>
          <w:sz w:val="22"/>
          <w:szCs w:val="22"/>
          <w:lang w:val="sr-Latn-ME"/>
        </w:rPr>
        <w:t xml:space="preserve">dio </w:t>
      </w:r>
      <w:r w:rsidRPr="00E22DF8">
        <w:rPr>
          <w:sz w:val="22"/>
          <w:szCs w:val="22"/>
          <w:lang w:val="sr-Latn-ME"/>
        </w:rPr>
        <w:t>4.3).</w:t>
      </w:r>
    </w:p>
    <w:p w:rsidR="0096131F" w:rsidRPr="00E22DF8" w:rsidRDefault="0096131F" w:rsidP="0096131F">
      <w:pPr>
        <w:tabs>
          <w:tab w:val="left" w:pos="540"/>
          <w:tab w:val="left" w:pos="569"/>
        </w:tabs>
        <w:jc w:val="both"/>
        <w:rPr>
          <w:sz w:val="22"/>
          <w:szCs w:val="22"/>
          <w:lang w:val="sr-Latn-ME"/>
        </w:rPr>
      </w:pPr>
      <w:r w:rsidRPr="00E22DF8">
        <w:rPr>
          <w:sz w:val="22"/>
          <w:szCs w:val="22"/>
          <w:lang w:val="sr-Latn-ME"/>
        </w:rPr>
        <w:t>Žene u reproduktivnom periodu treba da izb</w:t>
      </w:r>
      <w:r w:rsidR="00A840C4" w:rsidRPr="00E22DF8">
        <w:rPr>
          <w:sz w:val="22"/>
          <w:szCs w:val="22"/>
          <w:lang w:val="sr-Latn-ME"/>
        </w:rPr>
        <w:t>j</w:t>
      </w:r>
      <w:r w:rsidRPr="00E22DF8">
        <w:rPr>
          <w:sz w:val="22"/>
          <w:szCs w:val="22"/>
          <w:lang w:val="sr-Latn-ME"/>
        </w:rPr>
        <w:t>egavaju trudnoću tokom liječenja rivaroksabanom.</w:t>
      </w:r>
    </w:p>
    <w:p w:rsidR="0096131F" w:rsidRPr="00E22DF8" w:rsidRDefault="0096131F" w:rsidP="0096131F">
      <w:pPr>
        <w:tabs>
          <w:tab w:val="left" w:pos="540"/>
          <w:tab w:val="left" w:pos="569"/>
        </w:tabs>
        <w:jc w:val="both"/>
        <w:rPr>
          <w:sz w:val="22"/>
          <w:szCs w:val="22"/>
          <w:lang w:val="sr-Latn-ME"/>
        </w:rPr>
      </w:pPr>
    </w:p>
    <w:p w:rsidR="0096131F" w:rsidRPr="00E22DF8" w:rsidRDefault="0096131F" w:rsidP="0096131F">
      <w:pPr>
        <w:tabs>
          <w:tab w:val="left" w:pos="540"/>
          <w:tab w:val="left" w:pos="569"/>
        </w:tabs>
        <w:jc w:val="both"/>
        <w:rPr>
          <w:sz w:val="22"/>
          <w:szCs w:val="22"/>
          <w:u w:val="single"/>
          <w:lang w:val="sr-Latn-ME"/>
        </w:rPr>
      </w:pPr>
      <w:r w:rsidRPr="00E22DF8">
        <w:rPr>
          <w:sz w:val="22"/>
          <w:szCs w:val="22"/>
          <w:u w:val="single"/>
          <w:lang w:val="sr-Latn-ME"/>
        </w:rPr>
        <w:t>Dojenje</w:t>
      </w:r>
    </w:p>
    <w:p w:rsidR="0096131F" w:rsidRPr="00E22DF8" w:rsidRDefault="0096131F" w:rsidP="0096131F">
      <w:pPr>
        <w:tabs>
          <w:tab w:val="left" w:pos="540"/>
          <w:tab w:val="left" w:pos="569"/>
        </w:tabs>
        <w:jc w:val="both"/>
        <w:rPr>
          <w:bCs/>
          <w:sz w:val="22"/>
          <w:szCs w:val="22"/>
          <w:lang w:val="sr-Latn-ME"/>
        </w:rPr>
      </w:pPr>
      <w:r w:rsidRPr="00E22DF8">
        <w:rPr>
          <w:bCs/>
          <w:sz w:val="22"/>
          <w:szCs w:val="22"/>
          <w:lang w:val="sr-Latn-ME"/>
        </w:rPr>
        <w:t xml:space="preserve">Bezbjednost i efikasnost rivaroksabana nisu ustanovljene kod dojilja. Podaci dobijeni iz ispitivanja na životinjama ukazuju da se rivaroksaban izlučuje u mlijeko. Stoga je primjena lijeka Corviva kontraindikovana tokom dojenja (vidjeti </w:t>
      </w:r>
      <w:r w:rsidR="003C2BE4" w:rsidRPr="00E22DF8">
        <w:rPr>
          <w:bCs/>
          <w:sz w:val="22"/>
          <w:szCs w:val="22"/>
          <w:lang w:val="sr-Latn-ME"/>
        </w:rPr>
        <w:t xml:space="preserve">dio </w:t>
      </w:r>
      <w:r w:rsidRPr="00E22DF8">
        <w:rPr>
          <w:bCs/>
          <w:sz w:val="22"/>
          <w:szCs w:val="22"/>
          <w:lang w:val="sr-Latn-ME"/>
        </w:rPr>
        <w:t>4.3). Mora da se donese odluka da li će se prekinuti dojenje ili napraviti prekid/pauza u terapiji.</w:t>
      </w:r>
    </w:p>
    <w:p w:rsidR="0096131F" w:rsidRPr="00E22DF8" w:rsidRDefault="0096131F" w:rsidP="0096131F">
      <w:pPr>
        <w:tabs>
          <w:tab w:val="left" w:pos="540"/>
          <w:tab w:val="left" w:pos="569"/>
        </w:tabs>
        <w:jc w:val="both"/>
        <w:rPr>
          <w:sz w:val="22"/>
          <w:szCs w:val="22"/>
          <w:lang w:val="sr-Latn-ME"/>
        </w:rPr>
      </w:pPr>
    </w:p>
    <w:p w:rsidR="0096131F" w:rsidRPr="00E22DF8" w:rsidRDefault="0096131F" w:rsidP="0096131F">
      <w:pPr>
        <w:tabs>
          <w:tab w:val="left" w:pos="540"/>
          <w:tab w:val="left" w:pos="569"/>
        </w:tabs>
        <w:jc w:val="both"/>
        <w:rPr>
          <w:sz w:val="22"/>
          <w:szCs w:val="22"/>
          <w:u w:val="single"/>
          <w:lang w:val="sr-Latn-ME"/>
        </w:rPr>
      </w:pPr>
      <w:r w:rsidRPr="00E22DF8">
        <w:rPr>
          <w:sz w:val="22"/>
          <w:szCs w:val="22"/>
          <w:u w:val="single"/>
          <w:lang w:val="sr-Latn-ME"/>
        </w:rPr>
        <w:t>Plodnost</w:t>
      </w:r>
    </w:p>
    <w:p w:rsidR="0096131F" w:rsidRPr="00E22DF8" w:rsidRDefault="0096131F" w:rsidP="0096131F">
      <w:pPr>
        <w:tabs>
          <w:tab w:val="left" w:pos="540"/>
          <w:tab w:val="left" w:pos="569"/>
        </w:tabs>
        <w:jc w:val="both"/>
        <w:rPr>
          <w:sz w:val="22"/>
          <w:szCs w:val="22"/>
          <w:lang w:val="sr-Latn-ME"/>
        </w:rPr>
      </w:pPr>
      <w:r w:rsidRPr="00E22DF8">
        <w:rPr>
          <w:bCs/>
          <w:sz w:val="22"/>
          <w:szCs w:val="22"/>
          <w:lang w:val="sr-Latn-ME"/>
        </w:rPr>
        <w:t xml:space="preserve">Nisu sprovedene specifične studije sa rivaroksabanom kod ljudi kako bi se procijenili uticaji na plodnost. U studiji o uticaju na plodnost muških i ženskih pacova nije uočen bilo kakav uticaj (vidjeti </w:t>
      </w:r>
      <w:r w:rsidR="003C2BE4" w:rsidRPr="00E22DF8">
        <w:rPr>
          <w:bCs/>
          <w:sz w:val="22"/>
          <w:szCs w:val="22"/>
          <w:lang w:val="sr-Latn-ME"/>
        </w:rPr>
        <w:t xml:space="preserve">dio </w:t>
      </w:r>
      <w:r w:rsidRPr="00E22DF8">
        <w:rPr>
          <w:bCs/>
          <w:sz w:val="22"/>
          <w:szCs w:val="22"/>
          <w:lang w:val="sr-Latn-ME"/>
        </w:rPr>
        <w:t>5.3).</w:t>
      </w:r>
    </w:p>
    <w:p w:rsidR="0096131F" w:rsidRPr="00E22DF8" w:rsidRDefault="0096131F" w:rsidP="00480FB1">
      <w:pPr>
        <w:tabs>
          <w:tab w:val="left" w:pos="540"/>
          <w:tab w:val="left" w:pos="569"/>
        </w:tabs>
        <w:rPr>
          <w:sz w:val="22"/>
          <w:szCs w:val="22"/>
          <w:u w:val="single"/>
          <w:lang w:val="sr-Latn-ME"/>
        </w:rPr>
      </w:pPr>
    </w:p>
    <w:p w:rsidR="0072020E" w:rsidRPr="00E22DF8" w:rsidRDefault="0072020E" w:rsidP="00396DFD">
      <w:pPr>
        <w:tabs>
          <w:tab w:val="left" w:pos="540"/>
          <w:tab w:val="left" w:pos="569"/>
        </w:tabs>
        <w:ind w:left="540" w:hanging="540"/>
        <w:rPr>
          <w:b/>
          <w:bCs/>
          <w:sz w:val="22"/>
          <w:szCs w:val="22"/>
          <w:lang w:val="sr-Latn-ME"/>
        </w:rPr>
      </w:pPr>
      <w:r w:rsidRPr="00E22DF8">
        <w:rPr>
          <w:b/>
          <w:bCs/>
          <w:sz w:val="22"/>
          <w:szCs w:val="22"/>
          <w:lang w:val="sr-Latn-ME"/>
        </w:rPr>
        <w:t xml:space="preserve">4.7. </w:t>
      </w:r>
      <w:r w:rsidR="00480FB1" w:rsidRPr="00E22DF8">
        <w:rPr>
          <w:b/>
          <w:bCs/>
          <w:sz w:val="22"/>
          <w:szCs w:val="22"/>
          <w:lang w:val="sr-Latn-ME"/>
        </w:rPr>
        <w:tab/>
      </w:r>
      <w:r w:rsidRPr="00E22DF8">
        <w:rPr>
          <w:b/>
          <w:bCs/>
          <w:sz w:val="22"/>
          <w:szCs w:val="22"/>
          <w:lang w:val="sr-Latn-ME"/>
        </w:rPr>
        <w:t xml:space="preserve">Uticaj na </w:t>
      </w:r>
      <w:r w:rsidR="002031B3" w:rsidRPr="00E22DF8">
        <w:rPr>
          <w:b/>
          <w:bCs/>
          <w:sz w:val="22"/>
          <w:szCs w:val="22"/>
          <w:lang w:val="sr-Latn-ME"/>
        </w:rPr>
        <w:t xml:space="preserve">sposobnost </w:t>
      </w:r>
      <w:r w:rsidR="00F34554" w:rsidRPr="00E22DF8">
        <w:rPr>
          <w:b/>
          <w:bCs/>
          <w:sz w:val="22"/>
          <w:szCs w:val="22"/>
          <w:lang w:val="sr-Latn-ME"/>
        </w:rPr>
        <w:t>upravljanja vozili</w:t>
      </w:r>
      <w:r w:rsidRPr="00E22DF8">
        <w:rPr>
          <w:b/>
          <w:bCs/>
          <w:sz w:val="22"/>
          <w:szCs w:val="22"/>
          <w:lang w:val="sr-Latn-ME"/>
        </w:rPr>
        <w:t>m</w:t>
      </w:r>
      <w:r w:rsidR="00F34554" w:rsidRPr="00E22DF8">
        <w:rPr>
          <w:b/>
          <w:bCs/>
          <w:sz w:val="22"/>
          <w:szCs w:val="22"/>
          <w:lang w:val="sr-Latn-ME"/>
        </w:rPr>
        <w:t>a</w:t>
      </w:r>
      <w:r w:rsidRPr="00E22DF8">
        <w:rPr>
          <w:b/>
          <w:bCs/>
          <w:sz w:val="22"/>
          <w:szCs w:val="22"/>
          <w:lang w:val="sr-Latn-ME"/>
        </w:rPr>
        <w:t xml:space="preserve"> i </w:t>
      </w:r>
      <w:r w:rsidR="000D3449" w:rsidRPr="00E22DF8">
        <w:rPr>
          <w:b/>
          <w:bCs/>
          <w:sz w:val="22"/>
          <w:szCs w:val="22"/>
          <w:lang w:val="sr-Latn-ME"/>
        </w:rPr>
        <w:t xml:space="preserve">rukovanje </w:t>
      </w:r>
      <w:r w:rsidRPr="00E22DF8">
        <w:rPr>
          <w:b/>
          <w:bCs/>
          <w:sz w:val="22"/>
          <w:szCs w:val="22"/>
          <w:lang w:val="sr-Latn-ME"/>
        </w:rPr>
        <w:t>mašinama</w:t>
      </w:r>
    </w:p>
    <w:p w:rsidR="004A7EA1" w:rsidRPr="00E22DF8" w:rsidRDefault="004A7EA1" w:rsidP="004A7EA1">
      <w:pPr>
        <w:tabs>
          <w:tab w:val="left" w:pos="0"/>
        </w:tabs>
        <w:rPr>
          <w:b/>
          <w:bCs/>
          <w:sz w:val="22"/>
          <w:szCs w:val="22"/>
          <w:lang w:val="sr-Latn-ME"/>
        </w:rPr>
      </w:pPr>
    </w:p>
    <w:p w:rsidR="004A7EA1" w:rsidRPr="00E22DF8" w:rsidRDefault="004A7EA1" w:rsidP="004A7EA1">
      <w:pPr>
        <w:tabs>
          <w:tab w:val="left" w:pos="0"/>
        </w:tabs>
        <w:jc w:val="both"/>
        <w:rPr>
          <w:bCs/>
          <w:sz w:val="22"/>
          <w:szCs w:val="22"/>
          <w:lang w:val="sr-Latn-ME"/>
        </w:rPr>
      </w:pPr>
      <w:r w:rsidRPr="00E22DF8">
        <w:rPr>
          <w:bCs/>
          <w:sz w:val="22"/>
          <w:szCs w:val="22"/>
          <w:lang w:val="sr-Latn-ME"/>
        </w:rPr>
        <w:t xml:space="preserve">Lijek Corviva ima neznatan uticaj na sposobnost upravljanja vozilima i rukovanja mašinama. Prijavljene su neželjene reakcije poput sinkope (učestalost: povremeno) i vrtoglavice (učestalost: često) (vidjeti </w:t>
      </w:r>
      <w:r w:rsidR="00915F5D" w:rsidRPr="00E22DF8">
        <w:rPr>
          <w:bCs/>
          <w:sz w:val="22"/>
          <w:szCs w:val="22"/>
          <w:lang w:val="sr-Latn-ME"/>
        </w:rPr>
        <w:t xml:space="preserve">dio </w:t>
      </w:r>
      <w:r w:rsidRPr="00E22DF8">
        <w:rPr>
          <w:bCs/>
          <w:sz w:val="22"/>
          <w:szCs w:val="22"/>
          <w:lang w:val="sr-Latn-ME"/>
        </w:rPr>
        <w:t>4.8).</w:t>
      </w:r>
    </w:p>
    <w:p w:rsidR="004A7EA1" w:rsidRPr="00E22DF8" w:rsidRDefault="004A7EA1" w:rsidP="004A7EA1">
      <w:pPr>
        <w:tabs>
          <w:tab w:val="left" w:pos="0"/>
        </w:tabs>
        <w:jc w:val="both"/>
        <w:rPr>
          <w:bCs/>
          <w:sz w:val="22"/>
          <w:szCs w:val="22"/>
          <w:lang w:val="sr-Latn-ME"/>
        </w:rPr>
      </w:pPr>
      <w:r w:rsidRPr="00E22DF8">
        <w:rPr>
          <w:bCs/>
          <w:sz w:val="22"/>
          <w:szCs w:val="22"/>
          <w:lang w:val="sr-Latn-ME"/>
        </w:rPr>
        <w:t>Pacijenti kod kojih se jave ove neželjene reakcije ne treba da upravljaju vozilima ili rukuju mašinama.</w:t>
      </w:r>
    </w:p>
    <w:p w:rsidR="004A7EA1" w:rsidRPr="00E22DF8" w:rsidRDefault="004A7EA1"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4.8. </w:t>
      </w:r>
      <w:r w:rsidR="00480FB1" w:rsidRPr="00E22DF8">
        <w:rPr>
          <w:b/>
          <w:bCs/>
          <w:sz w:val="22"/>
          <w:szCs w:val="22"/>
          <w:lang w:val="sr-Latn-ME"/>
        </w:rPr>
        <w:tab/>
      </w:r>
      <w:r w:rsidRPr="00E22DF8">
        <w:rPr>
          <w:b/>
          <w:bCs/>
          <w:sz w:val="22"/>
          <w:szCs w:val="22"/>
          <w:lang w:val="sr-Latn-ME"/>
        </w:rPr>
        <w:t>Neželjena dejstva</w:t>
      </w:r>
    </w:p>
    <w:p w:rsidR="004A7EA1" w:rsidRPr="00E22DF8" w:rsidRDefault="004A7EA1" w:rsidP="00480FB1">
      <w:pPr>
        <w:tabs>
          <w:tab w:val="left" w:pos="540"/>
          <w:tab w:val="left" w:pos="569"/>
        </w:tabs>
        <w:rPr>
          <w:b/>
          <w:bCs/>
          <w:sz w:val="22"/>
          <w:szCs w:val="22"/>
          <w:lang w:val="sr-Latn-ME"/>
        </w:rPr>
      </w:pPr>
    </w:p>
    <w:p w:rsidR="004A7EA1" w:rsidRPr="00E22DF8" w:rsidRDefault="004A7EA1" w:rsidP="004A7EA1">
      <w:pPr>
        <w:tabs>
          <w:tab w:val="left" w:pos="540"/>
          <w:tab w:val="left" w:pos="569"/>
        </w:tabs>
        <w:jc w:val="both"/>
        <w:rPr>
          <w:bCs/>
          <w:sz w:val="22"/>
          <w:szCs w:val="22"/>
          <w:lang w:val="sr-Latn-ME"/>
        </w:rPr>
      </w:pPr>
      <w:r w:rsidRPr="00E22DF8">
        <w:rPr>
          <w:bCs/>
          <w:sz w:val="22"/>
          <w:szCs w:val="22"/>
          <w:u w:val="single"/>
          <w:lang w:val="sr-Latn-ME"/>
        </w:rPr>
        <w:t>Sažetak bezbjednosnog profila</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xml:space="preserve">Bezbjednost rivaroksabana je procjenjivana kod odraslih pacijenata </w:t>
      </w:r>
      <w:r w:rsidR="006F5EB8" w:rsidRPr="00E22DF8">
        <w:rPr>
          <w:bCs/>
          <w:sz w:val="22"/>
          <w:szCs w:val="22"/>
          <w:lang w:val="sr-Latn-ME"/>
        </w:rPr>
        <w:t xml:space="preserve">u </w:t>
      </w:r>
      <w:r w:rsidRPr="00E22DF8">
        <w:rPr>
          <w:bCs/>
          <w:sz w:val="22"/>
          <w:szCs w:val="22"/>
          <w:lang w:val="sr-Latn-ME"/>
        </w:rPr>
        <w:t xml:space="preserve">trinaest studija Faze III, u koje </w:t>
      </w:r>
      <w:r w:rsidR="00A97FE6" w:rsidRPr="00E22DF8">
        <w:rPr>
          <w:bCs/>
          <w:sz w:val="22"/>
          <w:szCs w:val="22"/>
          <w:lang w:val="sr-Latn-ME"/>
        </w:rPr>
        <w:t>je bilo uključeno 53103 pacijen</w:t>
      </w:r>
      <w:r w:rsidRPr="00E22DF8">
        <w:rPr>
          <w:bCs/>
          <w:sz w:val="22"/>
          <w:szCs w:val="22"/>
          <w:lang w:val="sr-Latn-ME"/>
        </w:rPr>
        <w:t>ta koji su primali rivaroksaban, kao i kroz dvije pedijatrijske studije faze II i jednu studiju faze III koje su uključi</w:t>
      </w:r>
      <w:r w:rsidR="006F5EB8" w:rsidRPr="00E22DF8">
        <w:rPr>
          <w:bCs/>
          <w:sz w:val="22"/>
          <w:szCs w:val="22"/>
          <w:lang w:val="sr-Latn-ME"/>
        </w:rPr>
        <w:t>le</w:t>
      </w:r>
      <w:r w:rsidRPr="00E22DF8">
        <w:rPr>
          <w:bCs/>
          <w:sz w:val="22"/>
          <w:szCs w:val="22"/>
          <w:lang w:val="sr-Latn-ME"/>
        </w:rPr>
        <w:t xml:space="preserve"> 412 pacijenata. Vidjeti studije faze III navedene u Tabeli 1.</w:t>
      </w:r>
    </w:p>
    <w:p w:rsidR="004A7EA1" w:rsidRPr="00E22DF8" w:rsidRDefault="004A7EA1" w:rsidP="00480FB1">
      <w:pPr>
        <w:tabs>
          <w:tab w:val="left" w:pos="540"/>
          <w:tab w:val="left" w:pos="569"/>
        </w:tabs>
        <w:rPr>
          <w:b/>
          <w:bCs/>
          <w:sz w:val="22"/>
          <w:szCs w:val="22"/>
          <w:lang w:val="sr-Latn-ME"/>
        </w:rPr>
      </w:pPr>
    </w:p>
    <w:p w:rsidR="004A7EA1" w:rsidRDefault="004A7EA1" w:rsidP="004A7EA1">
      <w:pPr>
        <w:tabs>
          <w:tab w:val="left" w:pos="540"/>
          <w:tab w:val="left" w:pos="569"/>
        </w:tabs>
        <w:jc w:val="both"/>
        <w:rPr>
          <w:b/>
          <w:bCs/>
          <w:sz w:val="22"/>
          <w:szCs w:val="22"/>
          <w:lang w:val="sr-Latn-ME"/>
        </w:rPr>
      </w:pPr>
      <w:r w:rsidRPr="00E22DF8">
        <w:rPr>
          <w:b/>
          <w:bCs/>
          <w:sz w:val="22"/>
          <w:szCs w:val="22"/>
          <w:lang w:val="sr-Latn-ME"/>
        </w:rPr>
        <w:t>Tabela 1: Broj pacijenata u studijama, ukupna dnevna doza i maksimalno trajanje terapije u studijama faze III kod odraslih i pedijatrijskih pacijenata</w:t>
      </w:r>
    </w:p>
    <w:p w:rsidR="00CD036B" w:rsidRPr="00E22DF8" w:rsidRDefault="00CD036B" w:rsidP="004A7EA1">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4A7EA1" w:rsidRPr="00E22DF8" w:rsidTr="00A539BF">
        <w:tc>
          <w:tcPr>
            <w:tcW w:w="2265" w:type="dxa"/>
            <w:tcBorders>
              <w:bottom w:val="single" w:sz="4" w:space="0" w:color="000000"/>
            </w:tcBorders>
          </w:tcPr>
          <w:p w:rsidR="004A7EA1" w:rsidRPr="00E22DF8" w:rsidRDefault="004A7EA1" w:rsidP="004A7EA1">
            <w:pPr>
              <w:widowControl w:val="0"/>
              <w:autoSpaceDE w:val="0"/>
              <w:autoSpaceDN w:val="0"/>
              <w:spacing w:before="8"/>
              <w:ind w:left="7"/>
              <w:jc w:val="center"/>
              <w:rPr>
                <w:b/>
                <w:sz w:val="22"/>
                <w:szCs w:val="22"/>
                <w:lang w:val="sr-Latn-ME"/>
              </w:rPr>
            </w:pPr>
            <w:r w:rsidRPr="00E22DF8">
              <w:rPr>
                <w:b/>
                <w:w w:val="105"/>
                <w:sz w:val="22"/>
                <w:szCs w:val="22"/>
                <w:lang w:val="sr-Latn-ME"/>
              </w:rPr>
              <w:t>Indikacija</w:t>
            </w:r>
          </w:p>
        </w:tc>
        <w:tc>
          <w:tcPr>
            <w:tcW w:w="2266" w:type="dxa"/>
            <w:tcBorders>
              <w:bottom w:val="single" w:sz="4" w:space="0" w:color="000000"/>
              <w:right w:val="single" w:sz="4" w:space="0" w:color="000000"/>
            </w:tcBorders>
          </w:tcPr>
          <w:p w:rsidR="004A7EA1" w:rsidRPr="00E22DF8" w:rsidRDefault="004A7EA1" w:rsidP="004A7EA1">
            <w:pPr>
              <w:widowControl w:val="0"/>
              <w:autoSpaceDE w:val="0"/>
              <w:autoSpaceDN w:val="0"/>
              <w:spacing w:before="8" w:line="250" w:lineRule="atLeast"/>
              <w:ind w:left="7"/>
              <w:jc w:val="center"/>
              <w:rPr>
                <w:b/>
                <w:sz w:val="22"/>
                <w:szCs w:val="22"/>
                <w:lang w:val="sr-Latn-ME"/>
              </w:rPr>
            </w:pPr>
            <w:r w:rsidRPr="00E22DF8">
              <w:rPr>
                <w:b/>
                <w:w w:val="105"/>
                <w:sz w:val="22"/>
                <w:szCs w:val="22"/>
                <w:lang w:val="sr-Latn-ME"/>
              </w:rPr>
              <w:t xml:space="preserve">Broj </w:t>
            </w:r>
            <w:r w:rsidRPr="00E22DF8">
              <w:rPr>
                <w:b/>
                <w:sz w:val="22"/>
                <w:szCs w:val="22"/>
                <w:lang w:val="sr-Latn-ME"/>
              </w:rPr>
              <w:t>pacijenata*</w:t>
            </w:r>
          </w:p>
        </w:tc>
        <w:tc>
          <w:tcPr>
            <w:tcW w:w="2266" w:type="dxa"/>
            <w:tcBorders>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before="8"/>
              <w:ind w:left="2"/>
              <w:jc w:val="center"/>
              <w:rPr>
                <w:b/>
                <w:sz w:val="22"/>
                <w:szCs w:val="22"/>
                <w:lang w:val="sr-Latn-ME"/>
              </w:rPr>
            </w:pPr>
            <w:r w:rsidRPr="00E22DF8">
              <w:rPr>
                <w:b/>
                <w:w w:val="105"/>
                <w:sz w:val="22"/>
                <w:szCs w:val="22"/>
                <w:lang w:val="sr-Latn-ME"/>
              </w:rPr>
              <w:t>Ukupna dnevna doza</w:t>
            </w:r>
          </w:p>
        </w:tc>
        <w:tc>
          <w:tcPr>
            <w:tcW w:w="2266" w:type="dxa"/>
            <w:tcBorders>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before="8" w:line="250" w:lineRule="atLeast"/>
              <w:ind w:left="2" w:right="284"/>
              <w:jc w:val="center"/>
              <w:rPr>
                <w:b/>
                <w:sz w:val="22"/>
                <w:szCs w:val="22"/>
                <w:lang w:val="sr-Latn-ME"/>
              </w:rPr>
            </w:pPr>
            <w:r w:rsidRPr="00E22DF8">
              <w:rPr>
                <w:b/>
                <w:w w:val="105"/>
                <w:sz w:val="22"/>
                <w:szCs w:val="22"/>
                <w:lang w:val="sr-Latn-ME"/>
              </w:rPr>
              <w:t>Maksimalno trajanje terapije</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244" w:lineRule="auto"/>
              <w:ind w:left="7" w:right="21"/>
              <w:jc w:val="both"/>
              <w:rPr>
                <w:sz w:val="22"/>
                <w:szCs w:val="22"/>
                <w:lang w:val="sr-Latn-ME"/>
              </w:rPr>
            </w:pPr>
            <w:r w:rsidRPr="00E22DF8">
              <w:rPr>
                <w:sz w:val="22"/>
                <w:szCs w:val="22"/>
                <w:lang w:val="sr-Latn-ME"/>
              </w:rPr>
              <w:t>Prevencija venske tromboembolije (VTE) kod odraslih pacijenata koji se podvrgavaju elektivnoj hirurškoj intervenciji zamjene kuka ili koljena</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47" w:lineRule="exact"/>
              <w:ind w:left="7"/>
              <w:rPr>
                <w:sz w:val="22"/>
                <w:szCs w:val="22"/>
                <w:lang w:val="sr-Latn-ME"/>
              </w:rPr>
            </w:pPr>
            <w:r w:rsidRPr="00E22DF8">
              <w:rPr>
                <w:sz w:val="22"/>
                <w:szCs w:val="22"/>
                <w:lang w:val="sr-Latn-ME"/>
              </w:rPr>
              <w:t>6097</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47" w:lineRule="exact"/>
              <w:ind w:left="2"/>
              <w:rPr>
                <w:sz w:val="22"/>
                <w:szCs w:val="22"/>
                <w:lang w:val="sr-Latn-ME"/>
              </w:rPr>
            </w:pPr>
            <w:r w:rsidRPr="00E22DF8">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47" w:lineRule="exact"/>
              <w:ind w:left="2"/>
              <w:rPr>
                <w:sz w:val="22"/>
                <w:szCs w:val="22"/>
                <w:lang w:val="sr-Latn-ME"/>
              </w:rPr>
            </w:pPr>
            <w:r w:rsidRPr="00E22DF8">
              <w:rPr>
                <w:sz w:val="22"/>
                <w:szCs w:val="22"/>
                <w:lang w:val="sr-Latn-ME"/>
              </w:rPr>
              <w:t>39 dana</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before="1" w:line="192" w:lineRule="auto"/>
              <w:ind w:left="7" w:right="150"/>
              <w:rPr>
                <w:sz w:val="22"/>
                <w:szCs w:val="22"/>
                <w:lang w:val="sr-Latn-ME"/>
              </w:rPr>
            </w:pPr>
            <w:r w:rsidRPr="00E22DF8">
              <w:rPr>
                <w:sz w:val="22"/>
                <w:szCs w:val="22"/>
                <w:lang w:val="sr-Latn-ME"/>
              </w:rPr>
              <w:t xml:space="preserve">Prevencija VTE kod hospitalizovanih </w:t>
            </w:r>
            <w:r w:rsidR="006F5EB8" w:rsidRPr="00E22DF8">
              <w:rPr>
                <w:sz w:val="22"/>
                <w:szCs w:val="22"/>
                <w:lang w:val="sr-Latn-ME"/>
              </w:rPr>
              <w:t>nehirurških</w:t>
            </w:r>
          </w:p>
          <w:p w:rsidR="004A7EA1" w:rsidRPr="00E22DF8" w:rsidRDefault="004A7EA1" w:rsidP="004A7EA1">
            <w:pPr>
              <w:widowControl w:val="0"/>
              <w:autoSpaceDE w:val="0"/>
              <w:autoSpaceDN w:val="0"/>
              <w:spacing w:line="188" w:lineRule="exact"/>
              <w:ind w:left="7"/>
              <w:rPr>
                <w:sz w:val="22"/>
                <w:szCs w:val="22"/>
                <w:lang w:val="sr-Latn-ME"/>
              </w:rPr>
            </w:pPr>
            <w:r w:rsidRPr="00E22DF8">
              <w:rPr>
                <w:sz w:val="22"/>
                <w:szCs w:val="22"/>
                <w:lang w:val="sr-Latn-ME"/>
              </w:rPr>
              <w:t>pacijenata</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7"/>
              <w:rPr>
                <w:sz w:val="22"/>
                <w:szCs w:val="22"/>
                <w:lang w:val="sr-Latn-ME"/>
              </w:rPr>
            </w:pPr>
            <w:r w:rsidRPr="00E22DF8">
              <w:rPr>
                <w:sz w:val="22"/>
                <w:szCs w:val="22"/>
                <w:lang w:val="sr-Latn-ME"/>
              </w:rPr>
              <w:t>3997</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2"/>
              <w:rPr>
                <w:sz w:val="22"/>
                <w:szCs w:val="22"/>
                <w:lang w:val="sr-Latn-ME"/>
              </w:rPr>
            </w:pPr>
            <w:r w:rsidRPr="00E22DF8">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60"/>
              <w:rPr>
                <w:sz w:val="22"/>
                <w:szCs w:val="22"/>
                <w:lang w:val="sr-Latn-ME"/>
              </w:rPr>
            </w:pPr>
            <w:r w:rsidRPr="00E22DF8">
              <w:rPr>
                <w:sz w:val="22"/>
                <w:szCs w:val="22"/>
                <w:lang w:val="sr-Latn-ME"/>
              </w:rPr>
              <w:t>39 dana</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196" w:lineRule="auto"/>
              <w:ind w:left="7" w:right="150"/>
              <w:rPr>
                <w:sz w:val="22"/>
                <w:szCs w:val="22"/>
                <w:lang w:val="sr-Latn-ME"/>
              </w:rPr>
            </w:pPr>
            <w:r w:rsidRPr="00E22DF8">
              <w:rPr>
                <w:sz w:val="22"/>
                <w:szCs w:val="22"/>
                <w:lang w:val="sr-Latn-ME"/>
              </w:rPr>
              <w:lastRenderedPageBreak/>
              <w:t xml:space="preserve">Terapija </w:t>
            </w:r>
            <w:r w:rsidR="006F5EB8" w:rsidRPr="00E22DF8">
              <w:rPr>
                <w:sz w:val="22"/>
                <w:szCs w:val="22"/>
                <w:lang w:val="sr-Latn-ME"/>
              </w:rPr>
              <w:t xml:space="preserve">duboke venske tromboze </w:t>
            </w:r>
            <w:r w:rsidRPr="00E22DF8">
              <w:rPr>
                <w:sz w:val="22"/>
                <w:szCs w:val="22"/>
                <w:lang w:val="sr-Latn-ME"/>
              </w:rPr>
              <w:t xml:space="preserve">TDV, plućne embolije (PE) i prevencija </w:t>
            </w:r>
            <w:r w:rsidR="006F5EB8" w:rsidRPr="00E22DF8">
              <w:rPr>
                <w:sz w:val="22"/>
                <w:szCs w:val="22"/>
                <w:lang w:val="sr-Latn-ME"/>
              </w:rPr>
              <w:t xml:space="preserve">njihovog </w:t>
            </w:r>
            <w:r w:rsidRPr="00E22DF8">
              <w:rPr>
                <w:sz w:val="22"/>
                <w:szCs w:val="22"/>
                <w:lang w:val="sr-Latn-ME"/>
              </w:rPr>
              <w:t>recidiva</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7"/>
              <w:rPr>
                <w:sz w:val="22"/>
                <w:szCs w:val="22"/>
                <w:lang w:val="sr-Latn-ME"/>
              </w:rPr>
            </w:pPr>
            <w:r w:rsidRPr="00E22DF8">
              <w:rPr>
                <w:sz w:val="22"/>
                <w:szCs w:val="22"/>
                <w:lang w:val="sr-Latn-ME"/>
              </w:rPr>
              <w:t>6790</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190" w:lineRule="exact"/>
              <w:ind w:left="2"/>
              <w:rPr>
                <w:sz w:val="22"/>
                <w:szCs w:val="22"/>
                <w:lang w:val="sr-Latn-ME"/>
              </w:rPr>
            </w:pPr>
            <w:r w:rsidRPr="00E22DF8">
              <w:rPr>
                <w:sz w:val="22"/>
                <w:szCs w:val="22"/>
                <w:lang w:val="sr-Latn-ME"/>
              </w:rPr>
              <w:t>Dan 1 – 21: 30 mg</w:t>
            </w:r>
          </w:p>
          <w:p w:rsidR="004A7EA1" w:rsidRPr="00E22DF8" w:rsidRDefault="004A7EA1" w:rsidP="004A7EA1">
            <w:pPr>
              <w:widowControl w:val="0"/>
              <w:autoSpaceDE w:val="0"/>
              <w:autoSpaceDN w:val="0"/>
              <w:spacing w:line="204" w:lineRule="exact"/>
              <w:ind w:left="2"/>
              <w:rPr>
                <w:sz w:val="22"/>
                <w:szCs w:val="22"/>
                <w:lang w:val="sr-Latn-ME"/>
              </w:rPr>
            </w:pPr>
            <w:r w:rsidRPr="00E22DF8">
              <w:rPr>
                <w:sz w:val="22"/>
                <w:szCs w:val="22"/>
                <w:lang w:val="sr-Latn-ME"/>
              </w:rPr>
              <w:t>Dan 22 i dalje: 20 mg</w:t>
            </w:r>
          </w:p>
          <w:p w:rsidR="004A7EA1" w:rsidRPr="00E22DF8" w:rsidRDefault="004A7EA1" w:rsidP="004A7EA1">
            <w:pPr>
              <w:widowControl w:val="0"/>
              <w:autoSpaceDE w:val="0"/>
              <w:autoSpaceDN w:val="0"/>
              <w:spacing w:line="204" w:lineRule="exact"/>
              <w:ind w:left="2"/>
              <w:rPr>
                <w:sz w:val="22"/>
                <w:szCs w:val="22"/>
                <w:lang w:val="sr-Latn-ME"/>
              </w:rPr>
            </w:pPr>
            <w:r w:rsidRPr="00E22DF8">
              <w:rPr>
                <w:sz w:val="22"/>
                <w:szCs w:val="22"/>
                <w:lang w:val="sr-Latn-ME"/>
              </w:rPr>
              <w:t>Nakon najmanje 6</w:t>
            </w:r>
          </w:p>
          <w:p w:rsidR="004A7EA1" w:rsidRPr="00E22DF8" w:rsidRDefault="004A7EA1" w:rsidP="004A7EA1">
            <w:pPr>
              <w:widowControl w:val="0"/>
              <w:autoSpaceDE w:val="0"/>
              <w:autoSpaceDN w:val="0"/>
              <w:spacing w:before="17" w:line="206" w:lineRule="exact"/>
              <w:ind w:left="2" w:right="139"/>
              <w:rPr>
                <w:sz w:val="22"/>
                <w:szCs w:val="22"/>
                <w:lang w:val="sr-Latn-ME"/>
              </w:rPr>
            </w:pPr>
            <w:r w:rsidRPr="00E22DF8">
              <w:rPr>
                <w:sz w:val="22"/>
                <w:szCs w:val="22"/>
                <w:lang w:val="sr-Latn-ME"/>
              </w:rPr>
              <w:t>mjeseci: 10 mg ili 20 mg</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2"/>
              <w:rPr>
                <w:sz w:val="22"/>
                <w:szCs w:val="22"/>
                <w:lang w:val="sr-Latn-ME"/>
              </w:rPr>
            </w:pPr>
            <w:r w:rsidRPr="00E22DF8">
              <w:rPr>
                <w:sz w:val="22"/>
                <w:szCs w:val="22"/>
                <w:lang w:val="sr-Latn-ME"/>
              </w:rPr>
              <w:t>21 mjesec</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196" w:lineRule="auto"/>
              <w:rPr>
                <w:sz w:val="22"/>
                <w:szCs w:val="22"/>
                <w:lang w:val="sr-Latn-ME"/>
              </w:rPr>
            </w:pPr>
            <w:r w:rsidRPr="00E22DF8">
              <w:rPr>
                <w:sz w:val="22"/>
                <w:szCs w:val="22"/>
                <w:lang w:val="sr-Latn-ME"/>
              </w:rPr>
              <w:t>Terapija VTE  i prevencija recidiva</w:t>
            </w:r>
            <w:r w:rsidR="006F5EB8" w:rsidRPr="00E22DF8">
              <w:rPr>
                <w:sz w:val="22"/>
                <w:szCs w:val="22"/>
                <w:lang w:val="sr-Latn-ME"/>
              </w:rPr>
              <w:t xml:space="preserve"> VTE</w:t>
            </w:r>
            <w:r w:rsidRPr="00E22DF8">
              <w:rPr>
                <w:sz w:val="22"/>
                <w:szCs w:val="22"/>
                <w:lang w:val="sr-Latn-ME"/>
              </w:rPr>
              <w:t xml:space="preserve"> kod novorođenčadi i djece uzrasta ispod 18 godina nakon početka</w:t>
            </w:r>
            <w:r w:rsidR="006F5EB8" w:rsidRPr="00E22DF8">
              <w:rPr>
                <w:sz w:val="22"/>
                <w:szCs w:val="22"/>
                <w:lang w:val="sr-Latn-ME"/>
              </w:rPr>
              <w:t xml:space="preserve"> primjene</w:t>
            </w:r>
            <w:r w:rsidRPr="00E22DF8">
              <w:rPr>
                <w:sz w:val="22"/>
                <w:szCs w:val="22"/>
                <w:lang w:val="sr-Latn-ME"/>
              </w:rPr>
              <w:t xml:space="preserve"> standardne  antikoagulacione terapije</w:t>
            </w:r>
          </w:p>
          <w:p w:rsidR="004A7EA1" w:rsidRPr="00E22DF8" w:rsidRDefault="004A7EA1" w:rsidP="004A7EA1">
            <w:pPr>
              <w:widowControl w:val="0"/>
              <w:autoSpaceDE w:val="0"/>
              <w:autoSpaceDN w:val="0"/>
              <w:spacing w:line="196" w:lineRule="auto"/>
              <w:ind w:left="7"/>
              <w:rPr>
                <w:sz w:val="22"/>
                <w:szCs w:val="22"/>
                <w:lang w:val="sr-Latn-ME"/>
              </w:rPr>
            </w:pP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7"/>
              <w:rPr>
                <w:sz w:val="22"/>
                <w:szCs w:val="22"/>
                <w:lang w:val="sr-Latn-ME"/>
              </w:rPr>
            </w:pPr>
            <w:r w:rsidRPr="00E22DF8">
              <w:rPr>
                <w:sz w:val="22"/>
                <w:szCs w:val="22"/>
                <w:lang w:val="sr-Latn-ME"/>
              </w:rPr>
              <w:t>329</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2"/>
              <w:rPr>
                <w:sz w:val="22"/>
                <w:szCs w:val="22"/>
                <w:lang w:val="sr-Latn-ME"/>
              </w:rPr>
            </w:pPr>
            <w:r w:rsidRPr="00E22DF8">
              <w:rPr>
                <w:sz w:val="22"/>
                <w:szCs w:val="22"/>
                <w:lang w:val="sr-Latn-ME"/>
              </w:rPr>
              <w:t xml:space="preserve">Doza prilagođena tjelesnoj </w:t>
            </w:r>
            <w:r w:rsidR="006F5EB8" w:rsidRPr="00E22DF8">
              <w:rPr>
                <w:sz w:val="22"/>
                <w:szCs w:val="22"/>
                <w:lang w:val="sr-Latn-ME"/>
              </w:rPr>
              <w:t xml:space="preserve">masi </w:t>
            </w:r>
            <w:r w:rsidRPr="00E22DF8">
              <w:rPr>
                <w:sz w:val="22"/>
                <w:szCs w:val="22"/>
                <w:lang w:val="sr-Latn-ME"/>
              </w:rPr>
              <w:t>radi postizanja izloženosti slične onoj zabilježenoj kod odraslih liječenih zbog DVT-a primjenom 20 mg rivaroksabana jednom dnevno</w:t>
            </w:r>
          </w:p>
          <w:p w:rsidR="004A7EA1" w:rsidRPr="00E22DF8" w:rsidRDefault="004A7EA1" w:rsidP="004A7EA1">
            <w:pPr>
              <w:widowControl w:val="0"/>
              <w:autoSpaceDE w:val="0"/>
              <w:autoSpaceDN w:val="0"/>
              <w:spacing w:line="208" w:lineRule="exact"/>
              <w:ind w:left="2"/>
              <w:rPr>
                <w:sz w:val="22"/>
                <w:szCs w:val="22"/>
                <w:lang w:val="sr-Latn-ME"/>
              </w:rPr>
            </w:pP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2"/>
              <w:rPr>
                <w:sz w:val="22"/>
                <w:szCs w:val="22"/>
                <w:lang w:val="sr-Latn-ME"/>
              </w:rPr>
            </w:pPr>
            <w:r w:rsidRPr="00E22DF8">
              <w:rPr>
                <w:sz w:val="22"/>
                <w:szCs w:val="22"/>
                <w:lang w:val="sr-Latn-ME"/>
              </w:rPr>
              <w:t>12 mjeseci</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196" w:lineRule="auto"/>
              <w:ind w:left="7"/>
              <w:rPr>
                <w:sz w:val="22"/>
                <w:szCs w:val="22"/>
                <w:lang w:val="sr-Latn-ME"/>
              </w:rPr>
            </w:pPr>
            <w:r w:rsidRPr="00E22DF8">
              <w:rPr>
                <w:sz w:val="22"/>
                <w:szCs w:val="22"/>
                <w:lang w:val="sr-Latn-ME"/>
              </w:rPr>
              <w:t>Prevencija moždanog udara i sistemske embolije kod pacijenata</w:t>
            </w:r>
          </w:p>
          <w:p w:rsidR="004A7EA1" w:rsidRPr="00E22DF8" w:rsidRDefault="004A7EA1" w:rsidP="004A7EA1">
            <w:pPr>
              <w:widowControl w:val="0"/>
              <w:autoSpaceDE w:val="0"/>
              <w:autoSpaceDN w:val="0"/>
              <w:spacing w:line="206" w:lineRule="exact"/>
              <w:ind w:left="7"/>
              <w:rPr>
                <w:sz w:val="22"/>
                <w:szCs w:val="22"/>
                <w:lang w:val="sr-Latn-ME"/>
              </w:rPr>
            </w:pPr>
            <w:r w:rsidRPr="00E22DF8">
              <w:rPr>
                <w:sz w:val="22"/>
                <w:szCs w:val="22"/>
                <w:lang w:val="sr-Latn-ME"/>
              </w:rPr>
              <w:t>sa nevalvularnom atrijalnom fibrilacijom</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7"/>
              <w:rPr>
                <w:sz w:val="22"/>
                <w:szCs w:val="22"/>
                <w:lang w:val="sr-Latn-ME"/>
              </w:rPr>
            </w:pPr>
            <w:r w:rsidRPr="00E22DF8">
              <w:rPr>
                <w:sz w:val="22"/>
                <w:szCs w:val="22"/>
                <w:lang w:val="sr-Latn-ME"/>
              </w:rPr>
              <w:t>7750</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2"/>
              <w:rPr>
                <w:sz w:val="22"/>
                <w:szCs w:val="22"/>
                <w:lang w:val="sr-Latn-ME"/>
              </w:rPr>
            </w:pPr>
            <w:r w:rsidRPr="00E22DF8">
              <w:rPr>
                <w:sz w:val="22"/>
                <w:szCs w:val="22"/>
                <w:lang w:val="sr-Latn-ME"/>
              </w:rPr>
              <w:t>20 mg</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8" w:lineRule="exact"/>
              <w:ind w:left="2"/>
              <w:rPr>
                <w:sz w:val="22"/>
                <w:szCs w:val="22"/>
                <w:lang w:val="sr-Latn-ME"/>
              </w:rPr>
            </w:pPr>
            <w:r w:rsidRPr="00E22DF8">
              <w:rPr>
                <w:sz w:val="22"/>
                <w:szCs w:val="22"/>
                <w:lang w:val="sr-Latn-ME"/>
              </w:rPr>
              <w:t>41 mjesec</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179" w:lineRule="exact"/>
              <w:ind w:left="7"/>
              <w:rPr>
                <w:sz w:val="22"/>
                <w:szCs w:val="22"/>
                <w:lang w:val="sr-Latn-ME"/>
              </w:rPr>
            </w:pPr>
            <w:r w:rsidRPr="00E22DF8">
              <w:rPr>
                <w:sz w:val="22"/>
                <w:szCs w:val="22"/>
                <w:lang w:val="sr-Latn-ME"/>
              </w:rPr>
              <w:t>Prevencija aterotrombotskih</w:t>
            </w:r>
          </w:p>
          <w:p w:rsidR="004A7EA1" w:rsidRPr="00E22DF8" w:rsidRDefault="004A7EA1" w:rsidP="004A7EA1">
            <w:pPr>
              <w:widowControl w:val="0"/>
              <w:autoSpaceDE w:val="0"/>
              <w:autoSpaceDN w:val="0"/>
              <w:spacing w:before="15" w:line="194" w:lineRule="auto"/>
              <w:ind w:left="7" w:right="150"/>
              <w:rPr>
                <w:sz w:val="22"/>
                <w:szCs w:val="22"/>
                <w:lang w:val="sr-Latn-ME"/>
              </w:rPr>
            </w:pPr>
            <w:r w:rsidRPr="00E22DF8">
              <w:rPr>
                <w:sz w:val="22"/>
                <w:szCs w:val="22"/>
                <w:lang w:val="sr-Latn-ME"/>
              </w:rPr>
              <w:t>događaja kod pacijenata nakon akutnog koronarnog sindroma (AKS)</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2" w:lineRule="exact"/>
              <w:ind w:left="7"/>
              <w:rPr>
                <w:sz w:val="22"/>
                <w:szCs w:val="22"/>
                <w:lang w:val="sr-Latn-ME"/>
              </w:rPr>
            </w:pPr>
            <w:r w:rsidRPr="00E22DF8">
              <w:rPr>
                <w:sz w:val="22"/>
                <w:szCs w:val="22"/>
                <w:lang w:val="sr-Latn-ME"/>
              </w:rPr>
              <w:t>10225</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179" w:lineRule="exact"/>
              <w:ind w:left="2"/>
              <w:rPr>
                <w:sz w:val="22"/>
                <w:szCs w:val="22"/>
                <w:lang w:val="sr-Latn-ME"/>
              </w:rPr>
            </w:pPr>
            <w:r w:rsidRPr="00E22DF8">
              <w:rPr>
                <w:sz w:val="22"/>
                <w:szCs w:val="22"/>
                <w:lang w:val="sr-Latn-ME"/>
              </w:rPr>
              <w:t>5 mg ili 10 mg,</w:t>
            </w:r>
          </w:p>
          <w:p w:rsidR="004A7EA1" w:rsidRPr="00E22DF8" w:rsidRDefault="004A7EA1" w:rsidP="004A7EA1">
            <w:pPr>
              <w:widowControl w:val="0"/>
              <w:autoSpaceDE w:val="0"/>
              <w:autoSpaceDN w:val="0"/>
              <w:spacing w:before="15" w:line="194" w:lineRule="auto"/>
              <w:ind w:left="2" w:right="139"/>
              <w:rPr>
                <w:sz w:val="22"/>
                <w:szCs w:val="22"/>
                <w:lang w:val="sr-Latn-ME"/>
              </w:rPr>
            </w:pPr>
            <w:r w:rsidRPr="00E22DF8">
              <w:rPr>
                <w:sz w:val="22"/>
                <w:szCs w:val="22"/>
                <w:lang w:val="sr-Latn-ME"/>
              </w:rPr>
              <w:t>primijenjen</w:t>
            </w:r>
            <w:r w:rsidR="006F5EB8" w:rsidRPr="00E22DF8">
              <w:rPr>
                <w:sz w:val="22"/>
                <w:szCs w:val="22"/>
                <w:lang w:val="sr-Latn-ME"/>
              </w:rPr>
              <w:t>ih</w:t>
            </w:r>
            <w:r w:rsidRPr="00E22DF8">
              <w:rPr>
                <w:sz w:val="22"/>
                <w:szCs w:val="22"/>
                <w:lang w:val="sr-Latn-ME"/>
              </w:rPr>
              <w:t xml:space="preserve"> istovremeno sa ASK ili sa ASK plus klopidogrel ili</w:t>
            </w:r>
          </w:p>
          <w:p w:rsidR="004A7EA1" w:rsidRPr="00E22DF8" w:rsidRDefault="004A7EA1" w:rsidP="004A7EA1">
            <w:pPr>
              <w:widowControl w:val="0"/>
              <w:autoSpaceDE w:val="0"/>
              <w:autoSpaceDN w:val="0"/>
              <w:spacing w:line="188" w:lineRule="exact"/>
              <w:ind w:left="2"/>
              <w:rPr>
                <w:sz w:val="22"/>
                <w:szCs w:val="22"/>
                <w:lang w:val="sr-Latn-ME"/>
              </w:rPr>
            </w:pPr>
            <w:r w:rsidRPr="00E22DF8">
              <w:rPr>
                <w:sz w:val="22"/>
                <w:szCs w:val="22"/>
                <w:lang w:val="sr-Latn-ME"/>
              </w:rPr>
              <w:t>tiklopidin</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02" w:lineRule="exact"/>
              <w:ind w:left="2"/>
              <w:rPr>
                <w:sz w:val="22"/>
                <w:szCs w:val="22"/>
                <w:lang w:val="sr-Latn-ME"/>
              </w:rPr>
            </w:pPr>
            <w:r w:rsidRPr="00E22DF8">
              <w:rPr>
                <w:sz w:val="22"/>
                <w:szCs w:val="22"/>
                <w:lang w:val="sr-Latn-ME"/>
              </w:rPr>
              <w:t>31 mjesec</w:t>
            </w:r>
          </w:p>
        </w:tc>
      </w:tr>
      <w:tr w:rsidR="004A7EA1" w:rsidRPr="00E22DF8" w:rsidTr="00A539BF">
        <w:tc>
          <w:tcPr>
            <w:tcW w:w="2265" w:type="dxa"/>
            <w:tcBorders>
              <w:top w:val="single" w:sz="4" w:space="0" w:color="000000"/>
              <w:bottom w:val="single" w:sz="4" w:space="0" w:color="000000"/>
            </w:tcBorders>
          </w:tcPr>
          <w:p w:rsidR="004A7EA1" w:rsidRPr="00E22DF8" w:rsidRDefault="004A7EA1" w:rsidP="004A7EA1">
            <w:pPr>
              <w:widowControl w:val="0"/>
              <w:autoSpaceDE w:val="0"/>
              <w:autoSpaceDN w:val="0"/>
              <w:spacing w:line="194" w:lineRule="auto"/>
              <w:ind w:left="7" w:right="150"/>
              <w:rPr>
                <w:sz w:val="22"/>
                <w:szCs w:val="22"/>
                <w:lang w:val="sr-Latn-ME"/>
              </w:rPr>
            </w:pPr>
            <w:r w:rsidRPr="00E22DF8">
              <w:rPr>
                <w:sz w:val="22"/>
                <w:szCs w:val="22"/>
                <w:lang w:val="sr-Latn-ME"/>
              </w:rPr>
              <w:t>Prevencija aterotrombotskih događaja kod pacijenata sa bolešću koronarnih arterija (BKA)/bolešću</w:t>
            </w:r>
          </w:p>
          <w:p w:rsidR="004A7EA1" w:rsidRPr="00E22DF8" w:rsidRDefault="004A7EA1" w:rsidP="004A7EA1">
            <w:pPr>
              <w:widowControl w:val="0"/>
              <w:autoSpaceDE w:val="0"/>
              <w:autoSpaceDN w:val="0"/>
              <w:spacing w:line="186" w:lineRule="exact"/>
              <w:ind w:left="7"/>
              <w:rPr>
                <w:sz w:val="22"/>
                <w:szCs w:val="22"/>
                <w:lang w:val="sr-Latn-ME"/>
              </w:rPr>
            </w:pPr>
            <w:r w:rsidRPr="00E22DF8">
              <w:rPr>
                <w:sz w:val="22"/>
                <w:szCs w:val="22"/>
                <w:lang w:val="sr-Latn-ME"/>
              </w:rPr>
              <w:t>perifernih arterija(BPA)</w:t>
            </w:r>
          </w:p>
        </w:tc>
        <w:tc>
          <w:tcPr>
            <w:tcW w:w="2266" w:type="dxa"/>
            <w:tcBorders>
              <w:top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7"/>
              <w:rPr>
                <w:sz w:val="22"/>
                <w:szCs w:val="22"/>
                <w:lang w:val="sr-Latn-ME"/>
              </w:rPr>
            </w:pPr>
            <w:r w:rsidRPr="00E22DF8">
              <w:rPr>
                <w:sz w:val="22"/>
                <w:szCs w:val="22"/>
                <w:lang w:val="sr-Latn-ME"/>
              </w:rPr>
              <w:t>18244</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194" w:lineRule="auto"/>
              <w:ind w:left="2" w:right="139"/>
              <w:rPr>
                <w:sz w:val="22"/>
                <w:szCs w:val="22"/>
                <w:lang w:val="sr-Latn-ME"/>
              </w:rPr>
            </w:pPr>
            <w:r w:rsidRPr="00E22DF8">
              <w:rPr>
                <w:sz w:val="22"/>
                <w:szCs w:val="22"/>
                <w:lang w:val="sr-Latn-ME"/>
              </w:rPr>
              <w:t>5 mg primijenjen</w:t>
            </w:r>
            <w:r w:rsidR="006F5EB8" w:rsidRPr="00E22DF8">
              <w:rPr>
                <w:sz w:val="22"/>
                <w:szCs w:val="22"/>
                <w:lang w:val="sr-Latn-ME"/>
              </w:rPr>
              <w:t>ih</w:t>
            </w:r>
            <w:r w:rsidRPr="00E22DF8">
              <w:rPr>
                <w:sz w:val="22"/>
                <w:szCs w:val="22"/>
                <w:lang w:val="sr-Latn-ME"/>
              </w:rPr>
              <w:t xml:space="preserve"> istovremeno sa ASK ili samo rivaroksaban</w:t>
            </w:r>
          </w:p>
          <w:p w:rsidR="004A7EA1" w:rsidRPr="00E22DF8" w:rsidRDefault="004A7EA1" w:rsidP="004A7EA1">
            <w:pPr>
              <w:widowControl w:val="0"/>
              <w:autoSpaceDE w:val="0"/>
              <w:autoSpaceDN w:val="0"/>
              <w:spacing w:line="186" w:lineRule="exact"/>
              <w:ind w:left="2"/>
              <w:rPr>
                <w:sz w:val="22"/>
                <w:szCs w:val="22"/>
                <w:lang w:val="sr-Latn-ME"/>
              </w:rPr>
            </w:pPr>
            <w:r w:rsidRPr="00E22DF8">
              <w:rPr>
                <w:sz w:val="22"/>
                <w:szCs w:val="22"/>
                <w:lang w:val="sr-Latn-ME"/>
              </w:rPr>
              <w:t>u dozi od 10 mg</w:t>
            </w:r>
          </w:p>
        </w:tc>
        <w:tc>
          <w:tcPr>
            <w:tcW w:w="2266" w:type="dxa"/>
            <w:tcBorders>
              <w:top w:val="single" w:sz="4" w:space="0" w:color="000000"/>
              <w:left w:val="single" w:sz="4" w:space="0" w:color="000000"/>
              <w:bottom w:val="single" w:sz="4" w:space="0" w:color="000000"/>
              <w:right w:val="single" w:sz="4" w:space="0" w:color="000000"/>
            </w:tcBorders>
          </w:tcPr>
          <w:p w:rsidR="004A7EA1" w:rsidRPr="00E22DF8" w:rsidRDefault="004A7EA1" w:rsidP="004A7EA1">
            <w:pPr>
              <w:widowControl w:val="0"/>
              <w:autoSpaceDE w:val="0"/>
              <w:autoSpaceDN w:val="0"/>
              <w:spacing w:line="214" w:lineRule="exact"/>
              <w:ind w:left="2"/>
              <w:rPr>
                <w:sz w:val="22"/>
                <w:szCs w:val="22"/>
                <w:lang w:val="sr-Latn-ME"/>
              </w:rPr>
            </w:pPr>
            <w:r w:rsidRPr="00E22DF8">
              <w:rPr>
                <w:sz w:val="22"/>
                <w:szCs w:val="22"/>
                <w:lang w:val="sr-Latn-ME"/>
              </w:rPr>
              <w:t>47 mjeseci</w:t>
            </w:r>
          </w:p>
        </w:tc>
      </w:tr>
    </w:tbl>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*Pacijenti koji su primili najmanje jednu dozu rivaroksabana</w:t>
      </w:r>
    </w:p>
    <w:p w:rsidR="004A7EA1" w:rsidRPr="00E22DF8" w:rsidRDefault="004A7EA1" w:rsidP="004A7EA1">
      <w:pPr>
        <w:tabs>
          <w:tab w:val="left" w:pos="540"/>
          <w:tab w:val="left" w:pos="569"/>
        </w:tabs>
        <w:rPr>
          <w:b/>
          <w:bCs/>
          <w:sz w:val="22"/>
          <w:szCs w:val="22"/>
          <w:lang w:val="sr-Latn-ME"/>
        </w:rPr>
      </w:pP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xml:space="preserve">Najčešće prijavljene neželjene reakcije kod pacijenata koji su primali rivaroksaban bila su krvarenja (vidjeti </w:t>
      </w:r>
      <w:r w:rsidR="006F5EB8" w:rsidRPr="00E22DF8">
        <w:rPr>
          <w:bCs/>
          <w:sz w:val="22"/>
          <w:szCs w:val="22"/>
          <w:lang w:val="sr-Latn-ME"/>
        </w:rPr>
        <w:t xml:space="preserve">dio </w:t>
      </w:r>
      <w:r w:rsidRPr="00E22DF8">
        <w:rPr>
          <w:bCs/>
          <w:sz w:val="22"/>
          <w:szCs w:val="22"/>
          <w:lang w:val="sr-Latn-ME"/>
        </w:rPr>
        <w:t xml:space="preserve">4.4 i </w:t>
      </w:r>
      <w:r w:rsidR="006F5EB8" w:rsidRPr="00E22DF8">
        <w:rPr>
          <w:bCs/>
          <w:sz w:val="22"/>
          <w:szCs w:val="22"/>
          <w:lang w:val="sr-Latn-ME"/>
        </w:rPr>
        <w:t xml:space="preserve">dio </w:t>
      </w:r>
      <w:r w:rsidRPr="00E22DF8">
        <w:rPr>
          <w:bCs/>
          <w:sz w:val="22"/>
          <w:szCs w:val="22"/>
          <w:lang w:val="sr-Latn-ME"/>
        </w:rPr>
        <w:t>„Opis odabranih neželjenih reakcija“ u nastavku) (Tabela 2). Krvarenja koja su najčešće prijavljena bila su epistaksa (4,5%) i krvarenja iz gastrointestinalnog trakta (3,8%).</w:t>
      </w:r>
    </w:p>
    <w:p w:rsidR="004A7EA1" w:rsidRPr="00E22DF8" w:rsidRDefault="004A7EA1" w:rsidP="004A7EA1">
      <w:pPr>
        <w:tabs>
          <w:tab w:val="left" w:pos="540"/>
          <w:tab w:val="left" w:pos="569"/>
        </w:tabs>
        <w:rPr>
          <w:b/>
          <w:bCs/>
          <w:sz w:val="22"/>
          <w:szCs w:val="22"/>
          <w:lang w:val="sr-Latn-ME"/>
        </w:rPr>
      </w:pPr>
    </w:p>
    <w:p w:rsidR="004A7EA1" w:rsidRDefault="004A7EA1" w:rsidP="00325A16">
      <w:pPr>
        <w:tabs>
          <w:tab w:val="left" w:pos="540"/>
          <w:tab w:val="left" w:pos="569"/>
        </w:tabs>
        <w:jc w:val="both"/>
        <w:rPr>
          <w:b/>
          <w:bCs/>
          <w:sz w:val="22"/>
          <w:szCs w:val="22"/>
          <w:lang w:val="sr-Latn-ME"/>
        </w:rPr>
      </w:pPr>
      <w:r w:rsidRPr="00E22DF8">
        <w:rPr>
          <w:b/>
          <w:bCs/>
          <w:sz w:val="22"/>
          <w:szCs w:val="22"/>
          <w:lang w:val="sr-Latn-ME"/>
        </w:rPr>
        <w:t>Tabela 2: Učestalost događaja krvarenja* i anemije kod odraslih i pedij</w:t>
      </w:r>
      <w:r w:rsidR="005C4FFE" w:rsidRPr="00E22DF8">
        <w:rPr>
          <w:b/>
          <w:bCs/>
          <w:sz w:val="22"/>
          <w:szCs w:val="22"/>
          <w:lang w:val="sr-Latn-ME"/>
        </w:rPr>
        <w:t xml:space="preserve">atrijskih pacijenata izloženih </w:t>
      </w:r>
      <w:r w:rsidRPr="00E22DF8">
        <w:rPr>
          <w:b/>
          <w:bCs/>
          <w:sz w:val="22"/>
          <w:szCs w:val="22"/>
          <w:lang w:val="sr-Latn-ME"/>
        </w:rPr>
        <w:t xml:space="preserve">rivaroksabanu tokom završenih </w:t>
      </w:r>
      <w:r w:rsidR="007370F0" w:rsidRPr="00E22DF8">
        <w:rPr>
          <w:b/>
          <w:bCs/>
          <w:sz w:val="22"/>
          <w:szCs w:val="22"/>
          <w:lang w:val="sr-Latn-ME"/>
        </w:rPr>
        <w:t xml:space="preserve">kliničkih </w:t>
      </w:r>
      <w:r w:rsidRPr="00E22DF8">
        <w:rPr>
          <w:b/>
          <w:bCs/>
          <w:sz w:val="22"/>
          <w:szCs w:val="22"/>
          <w:lang w:val="sr-Latn-ME"/>
        </w:rPr>
        <w:t>studija III faze</w:t>
      </w:r>
    </w:p>
    <w:p w:rsidR="00325A16" w:rsidRPr="00E22DF8" w:rsidRDefault="00325A16" w:rsidP="00325A16">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3021"/>
        <w:gridCol w:w="3021"/>
      </w:tblGrid>
      <w:tr w:rsidR="004A7EA1" w:rsidRPr="00E22DF8" w:rsidTr="004A7EA1">
        <w:tc>
          <w:tcPr>
            <w:tcW w:w="3021" w:type="dxa"/>
          </w:tcPr>
          <w:p w:rsidR="004A7EA1" w:rsidRPr="00E22DF8" w:rsidRDefault="004A7EA1" w:rsidP="004A7EA1">
            <w:pPr>
              <w:widowControl w:val="0"/>
              <w:autoSpaceDE w:val="0"/>
              <w:autoSpaceDN w:val="0"/>
              <w:spacing w:line="234" w:lineRule="exact"/>
              <w:ind w:left="110"/>
              <w:rPr>
                <w:b/>
                <w:sz w:val="22"/>
                <w:szCs w:val="22"/>
                <w:lang w:val="sr-Latn-ME"/>
              </w:rPr>
            </w:pPr>
            <w:r w:rsidRPr="00E22DF8">
              <w:rPr>
                <w:b/>
                <w:sz w:val="22"/>
                <w:szCs w:val="22"/>
                <w:lang w:val="sr-Latn-ME"/>
              </w:rPr>
              <w:t>Indikacija</w:t>
            </w:r>
          </w:p>
        </w:tc>
        <w:tc>
          <w:tcPr>
            <w:tcW w:w="3021" w:type="dxa"/>
          </w:tcPr>
          <w:p w:rsidR="004A7EA1" w:rsidRPr="00E22DF8" w:rsidRDefault="00F05CC4" w:rsidP="004A7EA1">
            <w:pPr>
              <w:widowControl w:val="0"/>
              <w:autoSpaceDE w:val="0"/>
              <w:autoSpaceDN w:val="0"/>
              <w:spacing w:line="234" w:lineRule="exact"/>
              <w:ind w:left="110"/>
              <w:rPr>
                <w:b/>
                <w:sz w:val="22"/>
                <w:szCs w:val="22"/>
                <w:lang w:val="sr-Latn-ME"/>
              </w:rPr>
            </w:pPr>
            <w:r w:rsidRPr="00E22DF8">
              <w:rPr>
                <w:b/>
                <w:sz w:val="22"/>
                <w:szCs w:val="22"/>
                <w:lang w:val="sr-Latn-ME"/>
              </w:rPr>
              <w:t>Bilo koje</w:t>
            </w:r>
            <w:r w:rsidR="004A7EA1" w:rsidRPr="00E22DF8">
              <w:rPr>
                <w:b/>
                <w:sz w:val="22"/>
                <w:szCs w:val="22"/>
                <w:lang w:val="sr-Latn-ME"/>
              </w:rPr>
              <w:t xml:space="preserve"> krvarenje</w:t>
            </w:r>
          </w:p>
        </w:tc>
        <w:tc>
          <w:tcPr>
            <w:tcW w:w="3021" w:type="dxa"/>
          </w:tcPr>
          <w:p w:rsidR="004A7EA1" w:rsidRPr="00E22DF8" w:rsidRDefault="004A7EA1" w:rsidP="004A7EA1">
            <w:pPr>
              <w:widowControl w:val="0"/>
              <w:autoSpaceDE w:val="0"/>
              <w:autoSpaceDN w:val="0"/>
              <w:spacing w:line="234" w:lineRule="exact"/>
              <w:ind w:left="105"/>
              <w:rPr>
                <w:b/>
                <w:sz w:val="22"/>
                <w:szCs w:val="22"/>
                <w:lang w:val="sr-Latn-ME"/>
              </w:rPr>
            </w:pPr>
            <w:r w:rsidRPr="00E22DF8">
              <w:rPr>
                <w:b/>
                <w:sz w:val="22"/>
                <w:szCs w:val="22"/>
                <w:lang w:val="sr-Latn-ME"/>
              </w:rPr>
              <w:t>Anemija</w:t>
            </w:r>
          </w:p>
        </w:tc>
      </w:tr>
      <w:tr w:rsidR="004A7EA1" w:rsidRPr="00E22DF8" w:rsidTr="004A7EA1">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Prevencija venske tromboembolije (VTE) kod</w:t>
            </w:r>
          </w:p>
          <w:p w:rsidR="004A7EA1" w:rsidRPr="00E22DF8" w:rsidRDefault="004A7EA1" w:rsidP="004A7EA1">
            <w:pPr>
              <w:widowControl w:val="0"/>
              <w:autoSpaceDE w:val="0"/>
              <w:autoSpaceDN w:val="0"/>
              <w:spacing w:before="7" w:line="250" w:lineRule="exact"/>
              <w:ind w:left="110"/>
              <w:rPr>
                <w:sz w:val="22"/>
                <w:szCs w:val="22"/>
                <w:lang w:val="sr-Latn-ME"/>
              </w:rPr>
            </w:pPr>
            <w:r w:rsidRPr="00E22DF8">
              <w:rPr>
                <w:sz w:val="22"/>
                <w:szCs w:val="22"/>
                <w:lang w:val="sr-Latn-ME"/>
              </w:rPr>
              <w:t>odraslih pacijenata koji se podvrgavaju elektivnoj hirurškoj intervenciji zamjene kuka ili koljena</w:t>
            </w:r>
          </w:p>
        </w:tc>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6,8% pacijenata</w:t>
            </w:r>
          </w:p>
        </w:tc>
        <w:tc>
          <w:tcPr>
            <w:tcW w:w="3021" w:type="dxa"/>
          </w:tcPr>
          <w:p w:rsidR="004A7EA1" w:rsidRPr="00E22DF8" w:rsidRDefault="004A7EA1" w:rsidP="004A7EA1">
            <w:pPr>
              <w:widowControl w:val="0"/>
              <w:autoSpaceDE w:val="0"/>
              <w:autoSpaceDN w:val="0"/>
              <w:spacing w:line="244" w:lineRule="exact"/>
              <w:ind w:left="105"/>
              <w:rPr>
                <w:sz w:val="22"/>
                <w:szCs w:val="22"/>
                <w:lang w:val="sr-Latn-ME"/>
              </w:rPr>
            </w:pPr>
            <w:r w:rsidRPr="00E22DF8">
              <w:rPr>
                <w:sz w:val="22"/>
                <w:szCs w:val="22"/>
                <w:lang w:val="sr-Latn-ME"/>
              </w:rPr>
              <w:t>5,9% pacijenata</w:t>
            </w:r>
          </w:p>
        </w:tc>
      </w:tr>
      <w:tr w:rsidR="004A7EA1" w:rsidRPr="00E22DF8" w:rsidTr="004A7EA1">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Prevencija venske tromboembolije kod</w:t>
            </w:r>
          </w:p>
          <w:p w:rsidR="004A7EA1" w:rsidRPr="00E22DF8" w:rsidRDefault="004A7EA1" w:rsidP="007370F0">
            <w:pPr>
              <w:widowControl w:val="0"/>
              <w:autoSpaceDE w:val="0"/>
              <w:autoSpaceDN w:val="0"/>
              <w:spacing w:before="1" w:line="238" w:lineRule="exact"/>
              <w:ind w:left="110"/>
              <w:rPr>
                <w:sz w:val="22"/>
                <w:szCs w:val="22"/>
                <w:lang w:val="sr-Latn-ME"/>
              </w:rPr>
            </w:pPr>
            <w:r w:rsidRPr="00E22DF8">
              <w:rPr>
                <w:sz w:val="22"/>
                <w:szCs w:val="22"/>
                <w:lang w:val="sr-Latn-ME"/>
              </w:rPr>
              <w:t xml:space="preserve">hospitalizovanih </w:t>
            </w:r>
            <w:r w:rsidR="007370F0" w:rsidRPr="00E22DF8">
              <w:rPr>
                <w:sz w:val="22"/>
                <w:szCs w:val="22"/>
                <w:lang w:val="sr-Latn-ME"/>
              </w:rPr>
              <w:t xml:space="preserve">nehirurških </w:t>
            </w:r>
            <w:r w:rsidRPr="00E22DF8">
              <w:rPr>
                <w:sz w:val="22"/>
                <w:szCs w:val="22"/>
                <w:lang w:val="sr-Latn-ME"/>
              </w:rPr>
              <w:t>pacijenata</w:t>
            </w:r>
          </w:p>
        </w:tc>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12,6% pacijenata</w:t>
            </w:r>
          </w:p>
        </w:tc>
        <w:tc>
          <w:tcPr>
            <w:tcW w:w="3021" w:type="dxa"/>
          </w:tcPr>
          <w:p w:rsidR="004A7EA1" w:rsidRPr="00E22DF8" w:rsidRDefault="004A7EA1" w:rsidP="004A7EA1">
            <w:pPr>
              <w:widowControl w:val="0"/>
              <w:autoSpaceDE w:val="0"/>
              <w:autoSpaceDN w:val="0"/>
              <w:spacing w:line="244" w:lineRule="exact"/>
              <w:ind w:left="105"/>
              <w:rPr>
                <w:sz w:val="22"/>
                <w:szCs w:val="22"/>
                <w:lang w:val="sr-Latn-ME"/>
              </w:rPr>
            </w:pPr>
            <w:r w:rsidRPr="00E22DF8">
              <w:rPr>
                <w:sz w:val="22"/>
                <w:szCs w:val="22"/>
                <w:lang w:val="sr-Latn-ME"/>
              </w:rPr>
              <w:t>2,1% pacijenata</w:t>
            </w:r>
          </w:p>
        </w:tc>
      </w:tr>
      <w:tr w:rsidR="004A7EA1" w:rsidRPr="00E22DF8" w:rsidTr="004A7EA1">
        <w:tc>
          <w:tcPr>
            <w:tcW w:w="3021" w:type="dxa"/>
          </w:tcPr>
          <w:p w:rsidR="004A7EA1" w:rsidRPr="00E22DF8" w:rsidRDefault="004A7EA1" w:rsidP="004A7EA1">
            <w:pPr>
              <w:widowControl w:val="0"/>
              <w:autoSpaceDE w:val="0"/>
              <w:autoSpaceDN w:val="0"/>
              <w:spacing w:line="234" w:lineRule="exact"/>
              <w:ind w:left="110"/>
              <w:rPr>
                <w:sz w:val="22"/>
                <w:szCs w:val="22"/>
                <w:lang w:val="sr-Latn-ME"/>
              </w:rPr>
            </w:pPr>
            <w:r w:rsidRPr="00E22DF8">
              <w:rPr>
                <w:sz w:val="22"/>
                <w:szCs w:val="22"/>
                <w:lang w:val="sr-Latn-ME"/>
              </w:rPr>
              <w:t xml:space="preserve">Terapija TDV, PE i prevencija </w:t>
            </w:r>
            <w:r w:rsidR="007370F0" w:rsidRPr="00E22DF8">
              <w:rPr>
                <w:sz w:val="22"/>
                <w:szCs w:val="22"/>
                <w:lang w:val="sr-Latn-ME"/>
              </w:rPr>
              <w:t xml:space="preserve">njihovog </w:t>
            </w:r>
            <w:r w:rsidRPr="00E22DF8">
              <w:rPr>
                <w:sz w:val="22"/>
                <w:szCs w:val="22"/>
                <w:lang w:val="sr-Latn-ME"/>
              </w:rPr>
              <w:t>recidiva</w:t>
            </w:r>
          </w:p>
        </w:tc>
        <w:tc>
          <w:tcPr>
            <w:tcW w:w="3021" w:type="dxa"/>
          </w:tcPr>
          <w:p w:rsidR="004A7EA1" w:rsidRPr="00E22DF8" w:rsidRDefault="004A7EA1" w:rsidP="004A7EA1">
            <w:pPr>
              <w:widowControl w:val="0"/>
              <w:autoSpaceDE w:val="0"/>
              <w:autoSpaceDN w:val="0"/>
              <w:spacing w:line="234" w:lineRule="exact"/>
              <w:ind w:left="110"/>
              <w:rPr>
                <w:sz w:val="22"/>
                <w:szCs w:val="22"/>
                <w:lang w:val="sr-Latn-ME"/>
              </w:rPr>
            </w:pPr>
            <w:r w:rsidRPr="00E22DF8">
              <w:rPr>
                <w:sz w:val="22"/>
                <w:szCs w:val="22"/>
                <w:lang w:val="sr-Latn-ME"/>
              </w:rPr>
              <w:t>23% pacijenata</w:t>
            </w:r>
          </w:p>
        </w:tc>
        <w:tc>
          <w:tcPr>
            <w:tcW w:w="3021" w:type="dxa"/>
          </w:tcPr>
          <w:p w:rsidR="004A7EA1" w:rsidRPr="00E22DF8" w:rsidRDefault="004A7EA1" w:rsidP="004A7EA1">
            <w:pPr>
              <w:widowControl w:val="0"/>
              <w:autoSpaceDE w:val="0"/>
              <w:autoSpaceDN w:val="0"/>
              <w:spacing w:line="234" w:lineRule="exact"/>
              <w:ind w:left="105"/>
              <w:rPr>
                <w:sz w:val="22"/>
                <w:szCs w:val="22"/>
                <w:lang w:val="sr-Latn-ME"/>
              </w:rPr>
            </w:pPr>
            <w:r w:rsidRPr="00E22DF8">
              <w:rPr>
                <w:sz w:val="22"/>
                <w:szCs w:val="22"/>
                <w:lang w:val="sr-Latn-ME"/>
              </w:rPr>
              <w:t>1,6% pacijenata</w:t>
            </w:r>
          </w:p>
        </w:tc>
      </w:tr>
      <w:tr w:rsidR="004A7EA1" w:rsidRPr="00E22DF8" w:rsidTr="004A7EA1">
        <w:tc>
          <w:tcPr>
            <w:tcW w:w="3021" w:type="dxa"/>
          </w:tcPr>
          <w:p w:rsidR="004A7EA1" w:rsidRPr="00E22DF8" w:rsidRDefault="004A7EA1" w:rsidP="00325A16">
            <w:pPr>
              <w:widowControl w:val="0"/>
              <w:autoSpaceDE w:val="0"/>
              <w:autoSpaceDN w:val="0"/>
              <w:spacing w:line="242" w:lineRule="auto"/>
              <w:ind w:left="110"/>
              <w:rPr>
                <w:sz w:val="22"/>
                <w:szCs w:val="22"/>
                <w:lang w:val="sr-Latn-ME"/>
              </w:rPr>
            </w:pPr>
            <w:r w:rsidRPr="00E22DF8">
              <w:rPr>
                <w:sz w:val="22"/>
                <w:szCs w:val="22"/>
                <w:lang w:val="sr-Latn-ME"/>
              </w:rPr>
              <w:t>Terapija VTE  i prevencija recidiva</w:t>
            </w:r>
            <w:r w:rsidR="007370F0" w:rsidRPr="00E22DF8">
              <w:rPr>
                <w:sz w:val="22"/>
                <w:szCs w:val="22"/>
                <w:lang w:val="sr-Latn-ME"/>
              </w:rPr>
              <w:t xml:space="preserve"> VTE</w:t>
            </w:r>
            <w:r w:rsidRPr="00E22DF8">
              <w:rPr>
                <w:sz w:val="22"/>
                <w:szCs w:val="22"/>
                <w:lang w:val="sr-Latn-ME"/>
              </w:rPr>
              <w:t xml:space="preserve"> kod novorođenčadi i djece uzrasta ispod 18 godina nakon početka </w:t>
            </w:r>
            <w:r w:rsidR="007370F0" w:rsidRPr="00E22DF8">
              <w:rPr>
                <w:sz w:val="22"/>
                <w:szCs w:val="22"/>
                <w:lang w:val="sr-Latn-ME"/>
              </w:rPr>
              <w:t xml:space="preserve">primjene </w:t>
            </w:r>
            <w:r w:rsidRPr="00E22DF8">
              <w:rPr>
                <w:sz w:val="22"/>
                <w:szCs w:val="22"/>
                <w:lang w:val="sr-Latn-ME"/>
              </w:rPr>
              <w:t>standardne  antikoagulacione terapije</w:t>
            </w:r>
          </w:p>
        </w:tc>
        <w:tc>
          <w:tcPr>
            <w:tcW w:w="3021" w:type="dxa"/>
          </w:tcPr>
          <w:p w:rsidR="004A7EA1" w:rsidRPr="00E22DF8" w:rsidRDefault="004A7EA1" w:rsidP="004A7EA1">
            <w:pPr>
              <w:widowControl w:val="0"/>
              <w:autoSpaceDE w:val="0"/>
              <w:autoSpaceDN w:val="0"/>
              <w:spacing w:line="242" w:lineRule="auto"/>
              <w:ind w:left="110" w:right="5"/>
              <w:rPr>
                <w:sz w:val="22"/>
                <w:szCs w:val="22"/>
                <w:lang w:val="sr-Latn-ME"/>
              </w:rPr>
            </w:pPr>
            <w:r w:rsidRPr="00E22DF8">
              <w:rPr>
                <w:sz w:val="22"/>
                <w:szCs w:val="22"/>
                <w:lang w:val="sr-Latn-ME"/>
              </w:rPr>
              <w:t>39,5% pacijenata</w:t>
            </w:r>
          </w:p>
        </w:tc>
        <w:tc>
          <w:tcPr>
            <w:tcW w:w="3021" w:type="dxa"/>
          </w:tcPr>
          <w:p w:rsidR="004A7EA1" w:rsidRPr="00E22DF8" w:rsidRDefault="004A7EA1" w:rsidP="004A7EA1">
            <w:pPr>
              <w:widowControl w:val="0"/>
              <w:autoSpaceDE w:val="0"/>
              <w:autoSpaceDN w:val="0"/>
              <w:spacing w:line="242" w:lineRule="auto"/>
              <w:ind w:left="105" w:right="509"/>
              <w:rPr>
                <w:sz w:val="22"/>
                <w:szCs w:val="22"/>
                <w:lang w:val="sr-Latn-ME"/>
              </w:rPr>
            </w:pPr>
            <w:r w:rsidRPr="00E22DF8">
              <w:rPr>
                <w:sz w:val="22"/>
                <w:szCs w:val="22"/>
                <w:lang w:val="sr-Latn-ME"/>
              </w:rPr>
              <w:t>4,6% pacijenata</w:t>
            </w:r>
          </w:p>
        </w:tc>
      </w:tr>
      <w:tr w:rsidR="004A7EA1" w:rsidRPr="00E22DF8" w:rsidTr="004A7EA1">
        <w:tc>
          <w:tcPr>
            <w:tcW w:w="3021" w:type="dxa"/>
          </w:tcPr>
          <w:p w:rsidR="004A7EA1" w:rsidRPr="00E22DF8" w:rsidRDefault="004A7EA1" w:rsidP="004A7EA1">
            <w:pPr>
              <w:widowControl w:val="0"/>
              <w:autoSpaceDE w:val="0"/>
              <w:autoSpaceDN w:val="0"/>
              <w:spacing w:line="242" w:lineRule="auto"/>
              <w:ind w:left="110"/>
              <w:rPr>
                <w:sz w:val="22"/>
                <w:szCs w:val="22"/>
                <w:lang w:val="sr-Latn-ME"/>
              </w:rPr>
            </w:pPr>
            <w:r w:rsidRPr="00E22DF8">
              <w:rPr>
                <w:sz w:val="22"/>
                <w:szCs w:val="22"/>
                <w:lang w:val="sr-Latn-ME"/>
              </w:rPr>
              <w:lastRenderedPageBreak/>
              <w:t>Prevencija moždanog udara i sistemske embolije kod pacijenata sa nevalvularnom atrijalnom</w:t>
            </w:r>
          </w:p>
          <w:p w:rsidR="004A7EA1" w:rsidRPr="00E22DF8" w:rsidRDefault="004A7EA1" w:rsidP="004A7EA1">
            <w:pPr>
              <w:widowControl w:val="0"/>
              <w:autoSpaceDE w:val="0"/>
              <w:autoSpaceDN w:val="0"/>
              <w:spacing w:line="236" w:lineRule="exact"/>
              <w:ind w:left="110"/>
              <w:rPr>
                <w:sz w:val="22"/>
                <w:szCs w:val="22"/>
                <w:lang w:val="sr-Latn-ME"/>
              </w:rPr>
            </w:pPr>
            <w:r w:rsidRPr="00E22DF8">
              <w:rPr>
                <w:sz w:val="22"/>
                <w:szCs w:val="22"/>
                <w:lang w:val="sr-Latn-ME"/>
              </w:rPr>
              <w:t>fibrilacijom</w:t>
            </w:r>
          </w:p>
        </w:tc>
        <w:tc>
          <w:tcPr>
            <w:tcW w:w="3021" w:type="dxa"/>
          </w:tcPr>
          <w:p w:rsidR="004A7EA1" w:rsidRPr="00E22DF8" w:rsidRDefault="004A7EA1" w:rsidP="004A7EA1">
            <w:pPr>
              <w:widowControl w:val="0"/>
              <w:autoSpaceDE w:val="0"/>
              <w:autoSpaceDN w:val="0"/>
              <w:spacing w:line="242" w:lineRule="auto"/>
              <w:ind w:left="110" w:right="5"/>
              <w:rPr>
                <w:sz w:val="22"/>
                <w:szCs w:val="22"/>
                <w:lang w:val="sr-Latn-ME"/>
              </w:rPr>
            </w:pPr>
            <w:r w:rsidRPr="00E22DF8">
              <w:rPr>
                <w:sz w:val="22"/>
                <w:szCs w:val="22"/>
                <w:lang w:val="sr-Latn-ME"/>
              </w:rPr>
              <w:t>28 na 100 pacijent godina</w:t>
            </w:r>
          </w:p>
        </w:tc>
        <w:tc>
          <w:tcPr>
            <w:tcW w:w="3021" w:type="dxa"/>
          </w:tcPr>
          <w:p w:rsidR="004A7EA1" w:rsidRPr="00E22DF8" w:rsidRDefault="004A7EA1" w:rsidP="004A7EA1">
            <w:pPr>
              <w:widowControl w:val="0"/>
              <w:autoSpaceDE w:val="0"/>
              <w:autoSpaceDN w:val="0"/>
              <w:spacing w:line="242" w:lineRule="auto"/>
              <w:ind w:left="105" w:right="509"/>
              <w:rPr>
                <w:sz w:val="22"/>
                <w:szCs w:val="22"/>
                <w:lang w:val="sr-Latn-ME"/>
              </w:rPr>
            </w:pPr>
            <w:r w:rsidRPr="00E22DF8">
              <w:rPr>
                <w:sz w:val="22"/>
                <w:szCs w:val="22"/>
                <w:lang w:val="sr-Latn-ME"/>
              </w:rPr>
              <w:t>2,5 na 100 pacijent godina</w:t>
            </w:r>
          </w:p>
        </w:tc>
      </w:tr>
      <w:tr w:rsidR="004A7EA1" w:rsidRPr="00E22DF8" w:rsidTr="004A7EA1">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Prevencija aterotrombotskih događaja kod</w:t>
            </w:r>
          </w:p>
          <w:p w:rsidR="004A7EA1" w:rsidRPr="00E22DF8" w:rsidRDefault="004A7EA1" w:rsidP="004A7EA1">
            <w:pPr>
              <w:widowControl w:val="0"/>
              <w:autoSpaceDE w:val="0"/>
              <w:autoSpaceDN w:val="0"/>
              <w:spacing w:before="1" w:line="243" w:lineRule="exact"/>
              <w:ind w:left="110"/>
              <w:rPr>
                <w:sz w:val="22"/>
                <w:szCs w:val="22"/>
                <w:lang w:val="sr-Latn-ME"/>
              </w:rPr>
            </w:pPr>
            <w:r w:rsidRPr="00E22DF8">
              <w:rPr>
                <w:sz w:val="22"/>
                <w:szCs w:val="22"/>
                <w:lang w:val="sr-Latn-ME"/>
              </w:rPr>
              <w:t>pacijenata nakon akutnog koronarnog sindroma</w:t>
            </w:r>
          </w:p>
        </w:tc>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22 na 100 pacijent</w:t>
            </w:r>
          </w:p>
          <w:p w:rsidR="004A7EA1" w:rsidRPr="00E22DF8" w:rsidRDefault="004A7EA1" w:rsidP="004A7EA1">
            <w:pPr>
              <w:widowControl w:val="0"/>
              <w:autoSpaceDE w:val="0"/>
              <w:autoSpaceDN w:val="0"/>
              <w:spacing w:before="1" w:line="243" w:lineRule="exact"/>
              <w:ind w:left="110"/>
              <w:rPr>
                <w:sz w:val="22"/>
                <w:szCs w:val="22"/>
                <w:lang w:val="sr-Latn-ME"/>
              </w:rPr>
            </w:pPr>
            <w:r w:rsidRPr="00E22DF8">
              <w:rPr>
                <w:sz w:val="22"/>
                <w:szCs w:val="22"/>
                <w:lang w:val="sr-Latn-ME"/>
              </w:rPr>
              <w:t>godina</w:t>
            </w:r>
          </w:p>
        </w:tc>
        <w:tc>
          <w:tcPr>
            <w:tcW w:w="3021" w:type="dxa"/>
          </w:tcPr>
          <w:p w:rsidR="004A7EA1" w:rsidRPr="00E22DF8" w:rsidRDefault="004A7EA1" w:rsidP="004A7EA1">
            <w:pPr>
              <w:widowControl w:val="0"/>
              <w:autoSpaceDE w:val="0"/>
              <w:autoSpaceDN w:val="0"/>
              <w:spacing w:line="244" w:lineRule="exact"/>
              <w:ind w:left="105"/>
              <w:rPr>
                <w:sz w:val="22"/>
                <w:szCs w:val="22"/>
                <w:lang w:val="sr-Latn-ME"/>
              </w:rPr>
            </w:pPr>
            <w:r w:rsidRPr="00E22DF8">
              <w:rPr>
                <w:sz w:val="22"/>
                <w:szCs w:val="22"/>
                <w:lang w:val="sr-Latn-ME"/>
              </w:rPr>
              <w:t>1,4 na 100 pacijent</w:t>
            </w:r>
          </w:p>
          <w:p w:rsidR="004A7EA1" w:rsidRPr="00E22DF8" w:rsidRDefault="004A7EA1" w:rsidP="004A7EA1">
            <w:pPr>
              <w:widowControl w:val="0"/>
              <w:autoSpaceDE w:val="0"/>
              <w:autoSpaceDN w:val="0"/>
              <w:spacing w:before="1" w:line="243" w:lineRule="exact"/>
              <w:ind w:left="105"/>
              <w:rPr>
                <w:sz w:val="22"/>
                <w:szCs w:val="22"/>
                <w:lang w:val="sr-Latn-ME"/>
              </w:rPr>
            </w:pPr>
            <w:r w:rsidRPr="00E22DF8">
              <w:rPr>
                <w:sz w:val="22"/>
                <w:szCs w:val="22"/>
                <w:lang w:val="sr-Latn-ME"/>
              </w:rPr>
              <w:t>godina</w:t>
            </w:r>
          </w:p>
        </w:tc>
      </w:tr>
      <w:tr w:rsidR="004A7EA1" w:rsidRPr="00E22DF8" w:rsidTr="004A7EA1">
        <w:tc>
          <w:tcPr>
            <w:tcW w:w="3021" w:type="dxa"/>
          </w:tcPr>
          <w:p w:rsidR="004A7EA1" w:rsidRPr="00E22DF8" w:rsidRDefault="004A7EA1" w:rsidP="004A7EA1">
            <w:pPr>
              <w:widowControl w:val="0"/>
              <w:autoSpaceDE w:val="0"/>
              <w:autoSpaceDN w:val="0"/>
              <w:spacing w:line="244" w:lineRule="exact"/>
              <w:ind w:left="110"/>
              <w:rPr>
                <w:sz w:val="22"/>
                <w:szCs w:val="22"/>
                <w:lang w:val="sr-Latn-ME"/>
              </w:rPr>
            </w:pPr>
            <w:r w:rsidRPr="00E22DF8">
              <w:rPr>
                <w:sz w:val="22"/>
                <w:szCs w:val="22"/>
                <w:lang w:val="sr-Latn-ME"/>
              </w:rPr>
              <w:t>Prevencija aterotrombotskih događaja kod</w:t>
            </w:r>
          </w:p>
          <w:p w:rsidR="004A7EA1" w:rsidRPr="00E22DF8" w:rsidRDefault="004A7EA1" w:rsidP="004A7EA1">
            <w:pPr>
              <w:widowControl w:val="0"/>
              <w:autoSpaceDE w:val="0"/>
              <w:autoSpaceDN w:val="0"/>
              <w:spacing w:before="7" w:line="250" w:lineRule="exact"/>
              <w:ind w:left="110"/>
              <w:rPr>
                <w:sz w:val="22"/>
                <w:szCs w:val="22"/>
                <w:lang w:val="sr-Latn-ME"/>
              </w:rPr>
            </w:pPr>
            <w:r w:rsidRPr="00E22DF8">
              <w:rPr>
                <w:sz w:val="22"/>
                <w:szCs w:val="22"/>
                <w:lang w:val="sr-Latn-ME"/>
              </w:rPr>
              <w:t>pacijenata sa bolešću koronarnih arterija/bolešću perifernih arterija</w:t>
            </w:r>
          </w:p>
        </w:tc>
        <w:tc>
          <w:tcPr>
            <w:tcW w:w="3021" w:type="dxa"/>
          </w:tcPr>
          <w:p w:rsidR="004A7EA1" w:rsidRPr="00E22DF8" w:rsidRDefault="004A7EA1" w:rsidP="004A7EA1">
            <w:pPr>
              <w:widowControl w:val="0"/>
              <w:autoSpaceDE w:val="0"/>
              <w:autoSpaceDN w:val="0"/>
              <w:spacing w:line="242" w:lineRule="auto"/>
              <w:ind w:left="110"/>
              <w:rPr>
                <w:sz w:val="22"/>
                <w:szCs w:val="22"/>
                <w:lang w:val="sr-Latn-ME"/>
              </w:rPr>
            </w:pPr>
            <w:r w:rsidRPr="00E22DF8">
              <w:rPr>
                <w:sz w:val="22"/>
                <w:szCs w:val="22"/>
                <w:lang w:val="sr-Latn-ME"/>
              </w:rPr>
              <w:t>6,7 na 100 pacijent godina</w:t>
            </w:r>
          </w:p>
        </w:tc>
        <w:tc>
          <w:tcPr>
            <w:tcW w:w="3021" w:type="dxa"/>
          </w:tcPr>
          <w:p w:rsidR="004A7EA1" w:rsidRPr="00E22DF8" w:rsidRDefault="004A7EA1" w:rsidP="004A7EA1">
            <w:pPr>
              <w:widowControl w:val="0"/>
              <w:autoSpaceDE w:val="0"/>
              <w:autoSpaceDN w:val="0"/>
              <w:spacing w:line="242" w:lineRule="auto"/>
              <w:ind w:left="105" w:right="399"/>
              <w:rPr>
                <w:sz w:val="22"/>
                <w:szCs w:val="22"/>
                <w:lang w:val="sr-Latn-ME"/>
              </w:rPr>
            </w:pPr>
            <w:r w:rsidRPr="00E22DF8">
              <w:rPr>
                <w:sz w:val="22"/>
                <w:szCs w:val="22"/>
                <w:lang w:val="sr-Latn-ME"/>
              </w:rPr>
              <w:t>0,15 na 100 pacijent godina**</w:t>
            </w:r>
          </w:p>
        </w:tc>
      </w:tr>
    </w:tbl>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Za sve studije rivaroksabana svi događaji krvarenja se prikupljaju, prijavljuju i procjenjuju.</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U COMPASS studiji postoji mala učestalost anemije jer je primijenjen selektivni pristup prikupljanju neželjenih događaja.</w:t>
      </w:r>
    </w:p>
    <w:p w:rsidR="004A7EA1" w:rsidRPr="00E22DF8" w:rsidRDefault="004A7EA1" w:rsidP="004A7EA1">
      <w:pPr>
        <w:tabs>
          <w:tab w:val="left" w:pos="540"/>
          <w:tab w:val="left" w:pos="569"/>
        </w:tabs>
        <w:jc w:val="both"/>
        <w:rPr>
          <w:bCs/>
          <w:sz w:val="22"/>
          <w:szCs w:val="22"/>
          <w:lang w:val="sr-Latn-ME"/>
        </w:rPr>
      </w:pPr>
    </w:p>
    <w:p w:rsidR="004A7EA1" w:rsidRPr="00E22DF8" w:rsidRDefault="004A7EA1" w:rsidP="004A7EA1">
      <w:pPr>
        <w:tabs>
          <w:tab w:val="left" w:pos="540"/>
          <w:tab w:val="left" w:pos="569"/>
        </w:tabs>
        <w:jc w:val="both"/>
        <w:rPr>
          <w:bCs/>
          <w:sz w:val="22"/>
          <w:szCs w:val="22"/>
          <w:u w:val="single"/>
          <w:lang w:val="sr-Latn-ME"/>
        </w:rPr>
      </w:pPr>
      <w:r w:rsidRPr="00E22DF8">
        <w:rPr>
          <w:bCs/>
          <w:sz w:val="22"/>
          <w:szCs w:val="22"/>
          <w:u w:val="single"/>
          <w:lang w:val="sr-Latn-ME"/>
        </w:rPr>
        <w:t>Tabelarni prikaz neželjenih dejstava</w:t>
      </w:r>
    </w:p>
    <w:p w:rsidR="004A7EA1" w:rsidRPr="00E22DF8" w:rsidRDefault="004A7EA1" w:rsidP="004A7EA1">
      <w:pPr>
        <w:tabs>
          <w:tab w:val="left" w:pos="540"/>
          <w:tab w:val="left" w:pos="569"/>
        </w:tabs>
        <w:jc w:val="both"/>
        <w:rPr>
          <w:bCs/>
          <w:sz w:val="22"/>
          <w:szCs w:val="22"/>
          <w:lang w:val="sr-Latn-ME"/>
        </w:rPr>
      </w:pP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Učestalosti neželjenih dejstava prijavljenih na rivaroksaban su prikazane u Tabeli 3 u nastavku prema klasi sistema organa (MedDRA), kao i prema učestalosti.</w:t>
      </w:r>
    </w:p>
    <w:p w:rsidR="004A7EA1" w:rsidRPr="00E22DF8" w:rsidRDefault="004A7EA1" w:rsidP="004A7EA1">
      <w:pPr>
        <w:tabs>
          <w:tab w:val="left" w:pos="540"/>
          <w:tab w:val="left" w:pos="569"/>
        </w:tabs>
        <w:jc w:val="both"/>
        <w:rPr>
          <w:bCs/>
          <w:sz w:val="22"/>
          <w:szCs w:val="22"/>
          <w:lang w:val="sr-Latn-ME"/>
        </w:rPr>
      </w:pP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Učestalost je definisana na sljedeći način:</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xml:space="preserve">Veoma često: (≥ 1/10) </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Često: (≥1/100 do 1/10)</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xml:space="preserve">Povremeno: (≥1/1000 do 1/100) </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 xml:space="preserve">Rijetko: (≥1/10000 do 1/1000) </w:t>
      </w:r>
    </w:p>
    <w:p w:rsidR="004A7EA1" w:rsidRPr="00E22DF8" w:rsidRDefault="00F05CC4" w:rsidP="004A7EA1">
      <w:pPr>
        <w:tabs>
          <w:tab w:val="left" w:pos="540"/>
          <w:tab w:val="left" w:pos="569"/>
        </w:tabs>
        <w:jc w:val="both"/>
        <w:rPr>
          <w:bCs/>
          <w:sz w:val="22"/>
          <w:szCs w:val="22"/>
          <w:lang w:val="sr-Latn-ME"/>
        </w:rPr>
      </w:pPr>
      <w:r w:rsidRPr="00E22DF8">
        <w:rPr>
          <w:bCs/>
          <w:sz w:val="22"/>
          <w:szCs w:val="22"/>
          <w:lang w:val="sr-Latn-ME"/>
        </w:rPr>
        <w:t>Veoma rijetko: (&lt; 1/10</w:t>
      </w:r>
      <w:r w:rsidR="004A7EA1" w:rsidRPr="00E22DF8">
        <w:rPr>
          <w:bCs/>
          <w:sz w:val="22"/>
          <w:szCs w:val="22"/>
          <w:lang w:val="sr-Latn-ME"/>
        </w:rPr>
        <w:t>000)</w:t>
      </w:r>
    </w:p>
    <w:p w:rsidR="004A7EA1" w:rsidRPr="00E22DF8" w:rsidRDefault="004A7EA1" w:rsidP="004A7EA1">
      <w:pPr>
        <w:tabs>
          <w:tab w:val="left" w:pos="540"/>
          <w:tab w:val="left" w:pos="569"/>
        </w:tabs>
        <w:jc w:val="both"/>
        <w:rPr>
          <w:bCs/>
          <w:sz w:val="22"/>
          <w:szCs w:val="22"/>
          <w:lang w:val="sr-Latn-ME"/>
        </w:rPr>
      </w:pPr>
      <w:r w:rsidRPr="00E22DF8">
        <w:rPr>
          <w:bCs/>
          <w:sz w:val="22"/>
          <w:szCs w:val="22"/>
          <w:lang w:val="sr-Latn-ME"/>
        </w:rPr>
        <w:t>Nepoznato: ne može se procijeniti na osnovu dostupnih podataka</w:t>
      </w:r>
    </w:p>
    <w:p w:rsidR="004A7EA1" w:rsidRPr="00E22DF8" w:rsidRDefault="004A7EA1" w:rsidP="004A7EA1">
      <w:pPr>
        <w:tabs>
          <w:tab w:val="left" w:pos="540"/>
          <w:tab w:val="left" w:pos="569"/>
        </w:tabs>
        <w:rPr>
          <w:b/>
          <w:bCs/>
          <w:sz w:val="22"/>
          <w:szCs w:val="22"/>
          <w:lang w:val="sr-Latn-ME"/>
        </w:rPr>
      </w:pPr>
    </w:p>
    <w:p w:rsidR="00B3585E" w:rsidRPr="00E22DF8" w:rsidRDefault="00B3585E" w:rsidP="00B3585E">
      <w:pPr>
        <w:tabs>
          <w:tab w:val="left" w:pos="540"/>
          <w:tab w:val="left" w:pos="569"/>
        </w:tabs>
        <w:jc w:val="both"/>
        <w:rPr>
          <w:b/>
          <w:bCs/>
          <w:sz w:val="22"/>
          <w:szCs w:val="22"/>
          <w:lang w:val="sr-Latn-ME"/>
        </w:rPr>
      </w:pPr>
      <w:r w:rsidRPr="00E22DF8">
        <w:rPr>
          <w:b/>
          <w:bCs/>
          <w:sz w:val="22"/>
          <w:szCs w:val="22"/>
          <w:lang w:val="sr-Latn-ME"/>
        </w:rPr>
        <w:t>Tabela 3: Sve neželjene reakcije prijavljene kod odraslih pacijenata uključenih u studije faze III ili tokom primjene nakon stavljanja lijeka u promet* kao i kod pedijatrijskih pacijenata uključenih u dvije studije faze II i jednu studiju faze III</w:t>
      </w:r>
    </w:p>
    <w:tbl>
      <w:tblPr>
        <w:tblStyle w:val="TableGrid"/>
        <w:tblW w:w="0" w:type="auto"/>
        <w:tblInd w:w="2" w:type="dxa"/>
        <w:tblLook w:val="04A0" w:firstRow="1" w:lastRow="0" w:firstColumn="1" w:lastColumn="0" w:noHBand="0" w:noVBand="1"/>
      </w:tblPr>
      <w:tblGrid>
        <w:gridCol w:w="1952"/>
        <w:gridCol w:w="1817"/>
        <w:gridCol w:w="1849"/>
        <w:gridCol w:w="1805"/>
        <w:gridCol w:w="1640"/>
      </w:tblGrid>
      <w:tr w:rsidR="00B3585E" w:rsidRPr="00E22DF8" w:rsidTr="00717FE8">
        <w:tc>
          <w:tcPr>
            <w:tcW w:w="1952" w:type="dxa"/>
            <w:tcBorders>
              <w:left w:val="single" w:sz="2" w:space="0" w:color="000000"/>
            </w:tcBorders>
            <w:shd w:val="clear" w:color="auto" w:fill="B3B3B3"/>
          </w:tcPr>
          <w:p w:rsidR="00B3585E" w:rsidRPr="00E22DF8" w:rsidRDefault="00B3585E" w:rsidP="00B3585E">
            <w:pPr>
              <w:widowControl w:val="0"/>
              <w:autoSpaceDE w:val="0"/>
              <w:autoSpaceDN w:val="0"/>
              <w:spacing w:line="225" w:lineRule="exact"/>
              <w:ind w:left="2"/>
              <w:jc w:val="center"/>
              <w:rPr>
                <w:b/>
                <w:w w:val="105"/>
                <w:sz w:val="22"/>
                <w:szCs w:val="22"/>
                <w:lang w:val="sr-Latn-ME"/>
              </w:rPr>
            </w:pPr>
            <w:r w:rsidRPr="00E22DF8">
              <w:rPr>
                <w:b/>
                <w:w w:val="105"/>
                <w:sz w:val="22"/>
                <w:szCs w:val="22"/>
                <w:lang w:val="sr-Latn-ME"/>
              </w:rPr>
              <w:t>Često</w:t>
            </w:r>
          </w:p>
        </w:tc>
        <w:tc>
          <w:tcPr>
            <w:tcW w:w="1817" w:type="dxa"/>
            <w:shd w:val="clear" w:color="auto" w:fill="B3B3B3"/>
          </w:tcPr>
          <w:p w:rsidR="00B3585E" w:rsidRPr="00E22DF8" w:rsidRDefault="00B3585E" w:rsidP="00B3585E">
            <w:pPr>
              <w:widowControl w:val="0"/>
              <w:autoSpaceDE w:val="0"/>
              <w:autoSpaceDN w:val="0"/>
              <w:spacing w:line="225" w:lineRule="exact"/>
              <w:ind w:left="2"/>
              <w:jc w:val="center"/>
              <w:rPr>
                <w:b/>
                <w:sz w:val="22"/>
                <w:szCs w:val="22"/>
                <w:lang w:val="sr-Latn-ME"/>
              </w:rPr>
            </w:pPr>
            <w:r w:rsidRPr="00E22DF8">
              <w:rPr>
                <w:b/>
                <w:w w:val="105"/>
                <w:sz w:val="22"/>
                <w:szCs w:val="22"/>
                <w:lang w:val="sr-Latn-ME"/>
              </w:rPr>
              <w:t>Povremeno</w:t>
            </w:r>
          </w:p>
        </w:tc>
        <w:tc>
          <w:tcPr>
            <w:tcW w:w="1849" w:type="dxa"/>
            <w:shd w:val="clear" w:color="auto" w:fill="B3B3B3"/>
          </w:tcPr>
          <w:p w:rsidR="00B3585E" w:rsidRPr="00E22DF8" w:rsidRDefault="00B3585E" w:rsidP="00B3585E">
            <w:pPr>
              <w:widowControl w:val="0"/>
              <w:autoSpaceDE w:val="0"/>
              <w:autoSpaceDN w:val="0"/>
              <w:spacing w:line="225" w:lineRule="exact"/>
              <w:ind w:left="1"/>
              <w:jc w:val="center"/>
              <w:rPr>
                <w:b/>
                <w:sz w:val="22"/>
                <w:szCs w:val="22"/>
                <w:lang w:val="sr-Latn-ME"/>
              </w:rPr>
            </w:pPr>
            <w:r w:rsidRPr="00E22DF8">
              <w:rPr>
                <w:b/>
                <w:w w:val="105"/>
                <w:sz w:val="22"/>
                <w:szCs w:val="22"/>
                <w:lang w:val="sr-Latn-ME"/>
              </w:rPr>
              <w:t>Rijetko</w:t>
            </w:r>
          </w:p>
        </w:tc>
        <w:tc>
          <w:tcPr>
            <w:tcW w:w="1805" w:type="dxa"/>
            <w:shd w:val="clear" w:color="auto" w:fill="B3B3B3"/>
          </w:tcPr>
          <w:p w:rsidR="00B3585E" w:rsidRPr="00E22DF8" w:rsidRDefault="00B3585E" w:rsidP="00B3585E">
            <w:pPr>
              <w:widowControl w:val="0"/>
              <w:autoSpaceDE w:val="0"/>
              <w:autoSpaceDN w:val="0"/>
              <w:spacing w:line="225" w:lineRule="exact"/>
              <w:ind w:left="1"/>
              <w:jc w:val="center"/>
              <w:rPr>
                <w:b/>
                <w:sz w:val="22"/>
                <w:szCs w:val="22"/>
                <w:lang w:val="sr-Latn-ME"/>
              </w:rPr>
            </w:pPr>
            <w:r w:rsidRPr="00E22DF8">
              <w:rPr>
                <w:b/>
                <w:w w:val="105"/>
                <w:sz w:val="22"/>
                <w:szCs w:val="22"/>
                <w:lang w:val="sr-Latn-ME"/>
              </w:rPr>
              <w:t>Veoma rijetko</w:t>
            </w:r>
          </w:p>
        </w:tc>
        <w:tc>
          <w:tcPr>
            <w:tcW w:w="1640" w:type="dxa"/>
            <w:shd w:val="clear" w:color="auto" w:fill="B3B3B3"/>
          </w:tcPr>
          <w:p w:rsidR="00B3585E" w:rsidRPr="00E22DF8" w:rsidRDefault="00B3585E" w:rsidP="00B3585E">
            <w:pPr>
              <w:widowControl w:val="0"/>
              <w:autoSpaceDE w:val="0"/>
              <w:autoSpaceDN w:val="0"/>
              <w:spacing w:before="12" w:line="206" w:lineRule="exact"/>
              <w:ind w:left="1" w:right="141"/>
              <w:jc w:val="center"/>
              <w:rPr>
                <w:b/>
                <w:sz w:val="22"/>
                <w:szCs w:val="22"/>
                <w:lang w:val="sr-Latn-ME"/>
              </w:rPr>
            </w:pPr>
            <w:r w:rsidRPr="00E22DF8">
              <w:rPr>
                <w:b/>
                <w:w w:val="105"/>
                <w:sz w:val="22"/>
                <w:szCs w:val="22"/>
                <w:lang w:val="sr-Latn-ME"/>
              </w:rPr>
              <w:t>Nepoznato</w:t>
            </w:r>
          </w:p>
        </w:tc>
      </w:tr>
      <w:tr w:rsidR="00B3585E" w:rsidRPr="00E22DF8" w:rsidTr="00A539BF">
        <w:tc>
          <w:tcPr>
            <w:tcW w:w="9063" w:type="dxa"/>
            <w:gridSpan w:val="5"/>
          </w:tcPr>
          <w:p w:rsidR="00B3585E" w:rsidRPr="00E22DF8" w:rsidRDefault="00B3585E" w:rsidP="00B3585E">
            <w:pPr>
              <w:tabs>
                <w:tab w:val="left" w:pos="0"/>
              </w:tabs>
              <w:rPr>
                <w:b/>
                <w:bCs/>
                <w:sz w:val="22"/>
                <w:szCs w:val="22"/>
                <w:lang w:val="sr-Latn-ME"/>
              </w:rPr>
            </w:pPr>
            <w:r w:rsidRPr="00E22DF8">
              <w:rPr>
                <w:b/>
                <w:bCs/>
                <w:sz w:val="22"/>
                <w:szCs w:val="22"/>
                <w:lang w:val="sr-Latn-ME"/>
              </w:rPr>
              <w:t>Poremećaji krvi i limfnog sistema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47" w:lineRule="auto"/>
              <w:ind w:left="2" w:right="42"/>
              <w:rPr>
                <w:spacing w:val="6"/>
                <w:sz w:val="22"/>
                <w:szCs w:val="22"/>
                <w:lang w:val="sr-Latn-ME"/>
              </w:rPr>
            </w:pPr>
            <w:r w:rsidRPr="00E22DF8">
              <w:rPr>
                <w:sz w:val="22"/>
                <w:szCs w:val="22"/>
                <w:lang w:val="sr-Latn-ME"/>
              </w:rPr>
              <w:t>Anemija (uključujući odgovarajuće laboratorijske parametre)</w:t>
            </w:r>
          </w:p>
        </w:tc>
        <w:tc>
          <w:tcPr>
            <w:tcW w:w="1817" w:type="dxa"/>
          </w:tcPr>
          <w:p w:rsidR="00B3585E" w:rsidRPr="00E22DF8" w:rsidRDefault="00B3585E" w:rsidP="00B3585E">
            <w:pPr>
              <w:widowControl w:val="0"/>
              <w:autoSpaceDE w:val="0"/>
              <w:autoSpaceDN w:val="0"/>
              <w:spacing w:line="247" w:lineRule="auto"/>
              <w:ind w:left="2" w:right="42"/>
              <w:rPr>
                <w:sz w:val="22"/>
                <w:szCs w:val="22"/>
                <w:lang w:val="sr-Latn-ME"/>
              </w:rPr>
            </w:pPr>
            <w:r w:rsidRPr="00E22DF8">
              <w:rPr>
                <w:spacing w:val="6"/>
                <w:sz w:val="22"/>
                <w:szCs w:val="22"/>
                <w:lang w:val="sr-Latn-ME"/>
              </w:rPr>
              <w:t xml:space="preserve">Trombocitoza </w:t>
            </w:r>
            <w:r w:rsidRPr="00E22DF8">
              <w:rPr>
                <w:spacing w:val="5"/>
                <w:sz w:val="22"/>
                <w:szCs w:val="22"/>
                <w:lang w:val="sr-Latn-ME"/>
              </w:rPr>
              <w:t>(uključujući</w:t>
            </w:r>
            <w:r w:rsidRPr="00E22DF8">
              <w:rPr>
                <w:spacing w:val="-11"/>
                <w:sz w:val="22"/>
                <w:szCs w:val="22"/>
                <w:lang w:val="sr-Latn-ME"/>
              </w:rPr>
              <w:t xml:space="preserve"> </w:t>
            </w:r>
            <w:r w:rsidRPr="00E22DF8">
              <w:rPr>
                <w:spacing w:val="4"/>
                <w:sz w:val="22"/>
                <w:szCs w:val="22"/>
                <w:lang w:val="sr-Latn-ME"/>
              </w:rPr>
              <w:t>povećan broj</w:t>
            </w:r>
            <w:r w:rsidRPr="00E22DF8">
              <w:rPr>
                <w:spacing w:val="8"/>
                <w:sz w:val="22"/>
                <w:szCs w:val="22"/>
                <w:lang w:val="sr-Latn-ME"/>
              </w:rPr>
              <w:t xml:space="preserve"> </w:t>
            </w:r>
            <w:r w:rsidRPr="00E22DF8">
              <w:rPr>
                <w:spacing w:val="4"/>
                <w:sz w:val="22"/>
                <w:szCs w:val="22"/>
                <w:lang w:val="sr-Latn-ME"/>
              </w:rPr>
              <w:t>trombocita)</w:t>
            </w:r>
            <w:r w:rsidRPr="00E22DF8">
              <w:rPr>
                <w:spacing w:val="4"/>
                <w:sz w:val="22"/>
                <w:szCs w:val="22"/>
                <w:vertAlign w:val="superscript"/>
                <w:lang w:val="sr-Latn-ME"/>
              </w:rPr>
              <w:t>A</w:t>
            </w:r>
            <w:r w:rsidRPr="00E22DF8">
              <w:rPr>
                <w:spacing w:val="4"/>
                <w:sz w:val="22"/>
                <w:szCs w:val="22"/>
                <w:lang w:val="sr-Latn-ME"/>
              </w:rPr>
              <w:t>,</w:t>
            </w:r>
          </w:p>
          <w:p w:rsidR="00B3585E" w:rsidRPr="00E22DF8" w:rsidRDefault="00B3585E" w:rsidP="00B3585E">
            <w:pPr>
              <w:widowControl w:val="0"/>
              <w:autoSpaceDE w:val="0"/>
              <w:autoSpaceDN w:val="0"/>
              <w:spacing w:line="248" w:lineRule="exact"/>
              <w:ind w:left="2"/>
              <w:rPr>
                <w:sz w:val="22"/>
                <w:szCs w:val="22"/>
                <w:lang w:val="sr-Latn-ME"/>
              </w:rPr>
            </w:pPr>
            <w:r w:rsidRPr="00E22DF8">
              <w:rPr>
                <w:spacing w:val="6"/>
                <w:sz w:val="22"/>
                <w:szCs w:val="22"/>
                <w:lang w:val="sr-Latn-ME"/>
              </w:rPr>
              <w:t>trombocitopenija</w:t>
            </w: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480FB1">
            <w:pPr>
              <w:tabs>
                <w:tab w:val="left" w:pos="540"/>
                <w:tab w:val="left" w:pos="569"/>
              </w:tabs>
              <w:rPr>
                <w:b/>
                <w:bCs/>
                <w:sz w:val="22"/>
                <w:szCs w:val="22"/>
                <w:lang w:val="sr-Latn-ME"/>
              </w:rPr>
            </w:pPr>
            <w:r w:rsidRPr="00E22DF8">
              <w:rPr>
                <w:b/>
                <w:bCs/>
                <w:sz w:val="22"/>
                <w:szCs w:val="22"/>
                <w:lang w:val="sr-Latn-ME"/>
              </w:rPr>
              <w:t>Poremećaji imunskog sistema</w:t>
            </w:r>
          </w:p>
        </w:tc>
      </w:tr>
      <w:tr w:rsidR="00B3585E" w:rsidRPr="00E22DF8" w:rsidTr="00717FE8">
        <w:tc>
          <w:tcPr>
            <w:tcW w:w="1952" w:type="dxa"/>
          </w:tcPr>
          <w:p w:rsidR="00B3585E" w:rsidRPr="00E22DF8" w:rsidRDefault="00B3585E" w:rsidP="00B3585E">
            <w:pPr>
              <w:tabs>
                <w:tab w:val="left" w:pos="540"/>
                <w:tab w:val="left" w:pos="569"/>
              </w:tabs>
              <w:rPr>
                <w:b/>
                <w:bCs/>
                <w:sz w:val="22"/>
                <w:szCs w:val="22"/>
                <w:lang w:val="sr-Latn-ME"/>
              </w:rPr>
            </w:pPr>
          </w:p>
        </w:tc>
        <w:tc>
          <w:tcPr>
            <w:tcW w:w="1817" w:type="dxa"/>
            <w:tcBorders>
              <w:top w:val="single" w:sz="2" w:space="0" w:color="000000"/>
            </w:tcBorders>
          </w:tcPr>
          <w:p w:rsidR="00B3585E" w:rsidRPr="00E22DF8" w:rsidRDefault="00B3585E" w:rsidP="00B3585E">
            <w:pPr>
              <w:widowControl w:val="0"/>
              <w:autoSpaceDE w:val="0"/>
              <w:autoSpaceDN w:val="0"/>
              <w:spacing w:before="9" w:line="218" w:lineRule="auto"/>
              <w:ind w:left="2"/>
              <w:rPr>
                <w:sz w:val="22"/>
                <w:szCs w:val="22"/>
                <w:lang w:val="sr-Latn-ME"/>
              </w:rPr>
            </w:pPr>
            <w:r w:rsidRPr="00E22DF8">
              <w:rPr>
                <w:sz w:val="22"/>
                <w:szCs w:val="22"/>
                <w:lang w:val="sr-Latn-ME"/>
              </w:rPr>
              <w:t>Alergijska reakcija, alergijski dermatitis,</w:t>
            </w:r>
          </w:p>
          <w:p w:rsidR="00B3585E" w:rsidRPr="00E22DF8" w:rsidRDefault="00B3585E" w:rsidP="00B3585E">
            <w:pPr>
              <w:widowControl w:val="0"/>
              <w:autoSpaceDE w:val="0"/>
              <w:autoSpaceDN w:val="0"/>
              <w:spacing w:before="1" w:line="216" w:lineRule="exact"/>
              <w:ind w:left="2" w:right="48"/>
              <w:rPr>
                <w:sz w:val="22"/>
                <w:szCs w:val="22"/>
                <w:lang w:val="sr-Latn-ME"/>
              </w:rPr>
            </w:pPr>
            <w:r w:rsidRPr="00E22DF8">
              <w:rPr>
                <w:sz w:val="22"/>
                <w:szCs w:val="22"/>
                <w:lang w:val="sr-Latn-ME"/>
              </w:rPr>
              <w:t>angioedem i alergijski edem</w:t>
            </w:r>
          </w:p>
        </w:tc>
        <w:tc>
          <w:tcPr>
            <w:tcW w:w="1849" w:type="dxa"/>
            <w:tcBorders>
              <w:top w:val="single" w:sz="2" w:space="0" w:color="000000"/>
            </w:tcBorders>
          </w:tcPr>
          <w:p w:rsidR="00B3585E" w:rsidRPr="00E22DF8" w:rsidRDefault="00B3585E" w:rsidP="00B3585E">
            <w:pPr>
              <w:widowControl w:val="0"/>
              <w:autoSpaceDE w:val="0"/>
              <w:autoSpaceDN w:val="0"/>
              <w:rPr>
                <w:sz w:val="22"/>
                <w:szCs w:val="22"/>
                <w:lang w:val="sr-Latn-ME"/>
              </w:rPr>
            </w:pPr>
          </w:p>
        </w:tc>
        <w:tc>
          <w:tcPr>
            <w:tcW w:w="1805" w:type="dxa"/>
            <w:tcBorders>
              <w:top w:val="single" w:sz="2" w:space="0" w:color="000000"/>
            </w:tcBorders>
          </w:tcPr>
          <w:p w:rsidR="00B3585E" w:rsidRPr="00E22DF8" w:rsidRDefault="00B3585E" w:rsidP="00B3585E">
            <w:pPr>
              <w:widowControl w:val="0"/>
              <w:autoSpaceDE w:val="0"/>
              <w:autoSpaceDN w:val="0"/>
              <w:ind w:left="1" w:right="129"/>
              <w:rPr>
                <w:sz w:val="22"/>
                <w:szCs w:val="22"/>
                <w:lang w:val="sr-Latn-ME"/>
              </w:rPr>
            </w:pPr>
            <w:r w:rsidRPr="00E22DF8">
              <w:rPr>
                <w:sz w:val="22"/>
                <w:szCs w:val="22"/>
                <w:lang w:val="sr-Latn-ME"/>
              </w:rPr>
              <w:t>Anafilaktičke reakcije uključujući anafilaktički šok</w:t>
            </w: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480FB1">
            <w:pPr>
              <w:tabs>
                <w:tab w:val="left" w:pos="540"/>
                <w:tab w:val="left" w:pos="569"/>
              </w:tabs>
              <w:rPr>
                <w:b/>
                <w:bCs/>
                <w:sz w:val="22"/>
                <w:szCs w:val="22"/>
                <w:lang w:val="sr-Latn-ME"/>
              </w:rPr>
            </w:pPr>
            <w:r w:rsidRPr="00E22DF8">
              <w:rPr>
                <w:b/>
                <w:bCs/>
                <w:sz w:val="22"/>
                <w:szCs w:val="22"/>
                <w:lang w:val="sr-Latn-ME"/>
              </w:rPr>
              <w:t>Poremećaji nervnog sistema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13" w:lineRule="auto"/>
              <w:ind w:left="2"/>
              <w:rPr>
                <w:sz w:val="22"/>
                <w:szCs w:val="22"/>
                <w:lang w:val="sr-Latn-ME"/>
              </w:rPr>
            </w:pPr>
            <w:r w:rsidRPr="00E22DF8">
              <w:rPr>
                <w:w w:val="95"/>
                <w:sz w:val="22"/>
                <w:szCs w:val="22"/>
                <w:lang w:val="sr-Latn-ME"/>
              </w:rPr>
              <w:t xml:space="preserve">Vrtoglavica, </w:t>
            </w:r>
            <w:r w:rsidRPr="00E22DF8">
              <w:rPr>
                <w:sz w:val="22"/>
                <w:szCs w:val="22"/>
                <w:lang w:val="sr-Latn-ME"/>
              </w:rPr>
              <w:t>glavobolja</w:t>
            </w:r>
          </w:p>
        </w:tc>
        <w:tc>
          <w:tcPr>
            <w:tcW w:w="1817" w:type="dxa"/>
          </w:tcPr>
          <w:p w:rsidR="00B3585E" w:rsidRPr="00E22DF8" w:rsidRDefault="00B3585E" w:rsidP="00B3585E">
            <w:pPr>
              <w:widowControl w:val="0"/>
              <w:autoSpaceDE w:val="0"/>
              <w:autoSpaceDN w:val="0"/>
              <w:spacing w:line="213" w:lineRule="auto"/>
              <w:ind w:left="2"/>
              <w:rPr>
                <w:sz w:val="22"/>
                <w:szCs w:val="22"/>
                <w:lang w:val="sr-Latn-ME"/>
              </w:rPr>
            </w:pPr>
            <w:r w:rsidRPr="00E22DF8">
              <w:rPr>
                <w:sz w:val="22"/>
                <w:szCs w:val="22"/>
                <w:lang w:val="sr-Latn-ME"/>
              </w:rPr>
              <w:t xml:space="preserve">Cerebralno i </w:t>
            </w:r>
            <w:r w:rsidRPr="00E22DF8">
              <w:rPr>
                <w:w w:val="95"/>
                <w:sz w:val="22"/>
                <w:szCs w:val="22"/>
                <w:lang w:val="sr-Latn-ME"/>
              </w:rPr>
              <w:t xml:space="preserve">intrakranijalno </w:t>
            </w:r>
            <w:r w:rsidRPr="00E22DF8">
              <w:rPr>
                <w:sz w:val="22"/>
                <w:szCs w:val="22"/>
                <w:lang w:val="sr-Latn-ME"/>
              </w:rPr>
              <w:t>krvarenje,</w:t>
            </w:r>
          </w:p>
          <w:p w:rsidR="00B3585E" w:rsidRPr="00E22DF8" w:rsidRDefault="00B3585E" w:rsidP="00B3585E">
            <w:pPr>
              <w:widowControl w:val="0"/>
              <w:autoSpaceDE w:val="0"/>
              <w:autoSpaceDN w:val="0"/>
              <w:spacing w:line="212" w:lineRule="exact"/>
              <w:ind w:left="2"/>
              <w:rPr>
                <w:sz w:val="22"/>
                <w:szCs w:val="22"/>
                <w:lang w:val="sr-Latn-ME"/>
              </w:rPr>
            </w:pPr>
            <w:r w:rsidRPr="00E22DF8">
              <w:rPr>
                <w:sz w:val="22"/>
                <w:szCs w:val="22"/>
                <w:lang w:val="sr-Latn-ME"/>
              </w:rPr>
              <w:t>sinkopa</w:t>
            </w: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480FB1">
            <w:pPr>
              <w:tabs>
                <w:tab w:val="left" w:pos="540"/>
                <w:tab w:val="left" w:pos="569"/>
              </w:tabs>
              <w:rPr>
                <w:b/>
                <w:bCs/>
                <w:sz w:val="22"/>
                <w:szCs w:val="22"/>
                <w:lang w:val="sr-Latn-ME"/>
              </w:rPr>
            </w:pPr>
            <w:r w:rsidRPr="00E22DF8">
              <w:rPr>
                <w:b/>
                <w:bCs/>
                <w:sz w:val="22"/>
                <w:szCs w:val="22"/>
                <w:lang w:val="sr-Latn-ME"/>
              </w:rPr>
              <w:t>Poremećaji oka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25" w:lineRule="exact"/>
              <w:ind w:left="7"/>
              <w:rPr>
                <w:sz w:val="22"/>
                <w:szCs w:val="22"/>
                <w:lang w:val="sr-Latn-ME"/>
              </w:rPr>
            </w:pPr>
            <w:r w:rsidRPr="00E22DF8">
              <w:rPr>
                <w:sz w:val="22"/>
                <w:szCs w:val="22"/>
                <w:lang w:val="sr-Latn-ME"/>
              </w:rPr>
              <w:t>Krvarenje oka</w:t>
            </w:r>
          </w:p>
          <w:p w:rsidR="00B3585E" w:rsidRPr="00E22DF8" w:rsidRDefault="00B3585E" w:rsidP="00B3585E">
            <w:pPr>
              <w:widowControl w:val="0"/>
              <w:autoSpaceDE w:val="0"/>
              <w:autoSpaceDN w:val="0"/>
              <w:spacing w:before="3" w:line="237" w:lineRule="auto"/>
              <w:ind w:left="7" w:right="130"/>
              <w:rPr>
                <w:sz w:val="22"/>
                <w:szCs w:val="22"/>
                <w:lang w:val="sr-Latn-ME"/>
              </w:rPr>
            </w:pPr>
            <w:r w:rsidRPr="00E22DF8">
              <w:rPr>
                <w:w w:val="95"/>
                <w:sz w:val="22"/>
                <w:szCs w:val="22"/>
                <w:lang w:val="sr-Latn-ME"/>
              </w:rPr>
              <w:t xml:space="preserve">(uključujući </w:t>
            </w:r>
            <w:r w:rsidRPr="00E22DF8">
              <w:rPr>
                <w:sz w:val="22"/>
                <w:szCs w:val="22"/>
                <w:lang w:val="sr-Latn-ME"/>
              </w:rPr>
              <w:t>krvarenje</w:t>
            </w:r>
          </w:p>
          <w:p w:rsidR="00B3585E" w:rsidRPr="00E22DF8" w:rsidRDefault="00B3585E" w:rsidP="00B3585E">
            <w:pPr>
              <w:widowControl w:val="0"/>
              <w:autoSpaceDE w:val="0"/>
              <w:autoSpaceDN w:val="0"/>
              <w:rPr>
                <w:sz w:val="22"/>
                <w:szCs w:val="22"/>
                <w:lang w:val="sr-Latn-ME"/>
              </w:rPr>
            </w:pPr>
            <w:r w:rsidRPr="00E22DF8">
              <w:rPr>
                <w:sz w:val="22"/>
                <w:szCs w:val="22"/>
                <w:lang w:val="sr-Latn-ME"/>
              </w:rPr>
              <w:t>konjunktive)</w:t>
            </w:r>
          </w:p>
        </w:tc>
        <w:tc>
          <w:tcPr>
            <w:tcW w:w="1817" w:type="dxa"/>
          </w:tcPr>
          <w:p w:rsidR="00B3585E" w:rsidRPr="00E22DF8" w:rsidRDefault="00B3585E" w:rsidP="00B3585E">
            <w:pPr>
              <w:widowControl w:val="0"/>
              <w:autoSpaceDE w:val="0"/>
              <w:autoSpaceDN w:val="0"/>
              <w:rPr>
                <w:sz w:val="22"/>
                <w:szCs w:val="22"/>
                <w:lang w:val="sr-Latn-ME"/>
              </w:rPr>
            </w:pP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480FB1">
            <w:pPr>
              <w:tabs>
                <w:tab w:val="left" w:pos="540"/>
                <w:tab w:val="left" w:pos="569"/>
              </w:tabs>
              <w:rPr>
                <w:b/>
                <w:bCs/>
                <w:sz w:val="22"/>
                <w:szCs w:val="22"/>
                <w:lang w:val="sr-Latn-ME"/>
              </w:rPr>
            </w:pPr>
            <w:r w:rsidRPr="00E22DF8">
              <w:rPr>
                <w:b/>
                <w:bCs/>
                <w:sz w:val="22"/>
                <w:szCs w:val="22"/>
                <w:lang w:val="sr-Latn-ME"/>
              </w:rPr>
              <w:lastRenderedPageBreak/>
              <w:t>Kardiološki poremećaji</w:t>
            </w:r>
          </w:p>
        </w:tc>
      </w:tr>
      <w:tr w:rsidR="00B3585E" w:rsidRPr="00E22DF8" w:rsidTr="00717FE8">
        <w:tc>
          <w:tcPr>
            <w:tcW w:w="1952" w:type="dxa"/>
            <w:tcBorders>
              <w:left w:val="single" w:sz="2" w:space="0" w:color="000000"/>
              <w:bottom w:val="single" w:sz="2" w:space="0" w:color="000000"/>
            </w:tcBorders>
          </w:tcPr>
          <w:p w:rsidR="00B3585E" w:rsidRPr="00E22DF8" w:rsidRDefault="00B3585E" w:rsidP="00B3585E">
            <w:pPr>
              <w:widowControl w:val="0"/>
              <w:autoSpaceDE w:val="0"/>
              <w:autoSpaceDN w:val="0"/>
              <w:spacing w:line="234" w:lineRule="exact"/>
              <w:ind w:left="2"/>
              <w:rPr>
                <w:sz w:val="22"/>
                <w:szCs w:val="22"/>
                <w:lang w:val="sr-Latn-ME"/>
              </w:rPr>
            </w:pPr>
          </w:p>
        </w:tc>
        <w:tc>
          <w:tcPr>
            <w:tcW w:w="1817" w:type="dxa"/>
            <w:tcBorders>
              <w:bottom w:val="single" w:sz="2" w:space="0" w:color="000000"/>
            </w:tcBorders>
          </w:tcPr>
          <w:p w:rsidR="00B3585E" w:rsidRPr="00E22DF8" w:rsidRDefault="00B3585E" w:rsidP="00B3585E">
            <w:pPr>
              <w:widowControl w:val="0"/>
              <w:autoSpaceDE w:val="0"/>
              <w:autoSpaceDN w:val="0"/>
              <w:spacing w:line="234" w:lineRule="exact"/>
              <w:ind w:left="2"/>
              <w:rPr>
                <w:sz w:val="22"/>
                <w:szCs w:val="22"/>
                <w:lang w:val="sr-Latn-ME"/>
              </w:rPr>
            </w:pPr>
            <w:r w:rsidRPr="00E22DF8">
              <w:rPr>
                <w:sz w:val="22"/>
                <w:szCs w:val="22"/>
                <w:lang w:val="sr-Latn-ME"/>
              </w:rPr>
              <w:t>Tahikardija</w:t>
            </w: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B3585E">
            <w:pPr>
              <w:tabs>
                <w:tab w:val="left" w:pos="1481"/>
              </w:tabs>
              <w:rPr>
                <w:b/>
                <w:bCs/>
                <w:sz w:val="22"/>
                <w:szCs w:val="22"/>
                <w:lang w:val="sr-Latn-ME"/>
              </w:rPr>
            </w:pPr>
            <w:r w:rsidRPr="00E22DF8">
              <w:rPr>
                <w:b/>
                <w:bCs/>
                <w:sz w:val="22"/>
                <w:szCs w:val="22"/>
                <w:lang w:val="sr-Latn-ME"/>
              </w:rPr>
              <w:t>Vaskularni poremećaji</w:t>
            </w:r>
            <w:r w:rsidRPr="00E22DF8">
              <w:rPr>
                <w:b/>
                <w:bCs/>
                <w:sz w:val="22"/>
                <w:szCs w:val="22"/>
                <w:lang w:val="sr-Latn-ME"/>
              </w:rPr>
              <w:tab/>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rPr>
                <w:sz w:val="22"/>
                <w:szCs w:val="22"/>
                <w:lang w:val="sr-Latn-ME"/>
              </w:rPr>
            </w:pPr>
            <w:r w:rsidRPr="00E22DF8">
              <w:rPr>
                <w:w w:val="95"/>
                <w:sz w:val="22"/>
                <w:szCs w:val="22"/>
                <w:lang w:val="sr-Latn-ME"/>
              </w:rPr>
              <w:t xml:space="preserve">Hipotenzija, </w:t>
            </w:r>
            <w:r w:rsidRPr="00E22DF8">
              <w:rPr>
                <w:sz w:val="22"/>
                <w:szCs w:val="22"/>
                <w:lang w:val="sr-Latn-ME"/>
              </w:rPr>
              <w:t>hematomi</w:t>
            </w:r>
          </w:p>
        </w:tc>
        <w:tc>
          <w:tcPr>
            <w:tcW w:w="1817" w:type="dxa"/>
          </w:tcPr>
          <w:p w:rsidR="00B3585E" w:rsidRPr="00E22DF8" w:rsidRDefault="00B3585E" w:rsidP="00B3585E">
            <w:pPr>
              <w:widowControl w:val="0"/>
              <w:autoSpaceDE w:val="0"/>
              <w:autoSpaceDN w:val="0"/>
              <w:rPr>
                <w:sz w:val="22"/>
                <w:szCs w:val="22"/>
                <w:lang w:val="sr-Latn-ME"/>
              </w:rPr>
            </w:pP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480FB1">
            <w:pPr>
              <w:tabs>
                <w:tab w:val="left" w:pos="540"/>
                <w:tab w:val="left" w:pos="569"/>
              </w:tabs>
              <w:rPr>
                <w:b/>
                <w:bCs/>
                <w:sz w:val="22"/>
                <w:szCs w:val="22"/>
                <w:lang w:val="sr-Latn-ME"/>
              </w:rPr>
            </w:pPr>
            <w:r w:rsidRPr="00E22DF8">
              <w:rPr>
                <w:b/>
                <w:bCs/>
                <w:sz w:val="22"/>
                <w:szCs w:val="22"/>
                <w:lang w:val="sr-Latn-ME"/>
              </w:rPr>
              <w:t>Respiratorni, torakalni i mediastinalni poremećaji</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4" w:lineRule="exact"/>
              <w:ind w:left="7"/>
              <w:rPr>
                <w:sz w:val="22"/>
                <w:szCs w:val="22"/>
                <w:lang w:val="sr-Latn-ME"/>
              </w:rPr>
            </w:pPr>
            <w:r w:rsidRPr="00E22DF8">
              <w:rPr>
                <w:spacing w:val="4"/>
                <w:sz w:val="22"/>
                <w:szCs w:val="22"/>
                <w:lang w:val="sr-Latn-ME"/>
              </w:rPr>
              <w:t>Epistaksa,</w:t>
            </w:r>
          </w:p>
          <w:p w:rsidR="00B3585E" w:rsidRPr="00E22DF8" w:rsidRDefault="00B3585E" w:rsidP="00B3585E">
            <w:pPr>
              <w:widowControl w:val="0"/>
              <w:autoSpaceDE w:val="0"/>
              <w:autoSpaceDN w:val="0"/>
              <w:rPr>
                <w:sz w:val="22"/>
                <w:szCs w:val="22"/>
                <w:lang w:val="sr-Latn-ME"/>
              </w:rPr>
            </w:pPr>
            <w:r w:rsidRPr="00E22DF8">
              <w:rPr>
                <w:sz w:val="22"/>
                <w:szCs w:val="22"/>
                <w:lang w:val="sr-Latn-ME"/>
              </w:rPr>
              <w:t>Hemoptiza</w:t>
            </w:r>
          </w:p>
        </w:tc>
        <w:tc>
          <w:tcPr>
            <w:tcW w:w="1817" w:type="dxa"/>
          </w:tcPr>
          <w:p w:rsidR="00B3585E" w:rsidRPr="00E22DF8" w:rsidRDefault="00B3585E" w:rsidP="00B3585E">
            <w:pPr>
              <w:widowControl w:val="0"/>
              <w:autoSpaceDE w:val="0"/>
              <w:autoSpaceDN w:val="0"/>
              <w:rPr>
                <w:sz w:val="22"/>
                <w:szCs w:val="22"/>
                <w:lang w:val="sr-Latn-ME"/>
              </w:rPr>
            </w:pPr>
          </w:p>
        </w:tc>
        <w:tc>
          <w:tcPr>
            <w:tcW w:w="1849" w:type="dxa"/>
          </w:tcPr>
          <w:p w:rsidR="00B3585E" w:rsidRPr="00E22DF8" w:rsidRDefault="00B3585E" w:rsidP="00B3585E">
            <w:pPr>
              <w:tabs>
                <w:tab w:val="left" w:pos="540"/>
                <w:tab w:val="left" w:pos="569"/>
              </w:tabs>
              <w:rPr>
                <w:b/>
                <w:bCs/>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B3585E">
            <w:pPr>
              <w:tabs>
                <w:tab w:val="left" w:pos="540"/>
                <w:tab w:val="left" w:pos="569"/>
              </w:tabs>
              <w:rPr>
                <w:b/>
                <w:bCs/>
                <w:sz w:val="22"/>
                <w:szCs w:val="22"/>
                <w:lang w:val="sr-Latn-ME"/>
              </w:rPr>
            </w:pPr>
            <w:r w:rsidRPr="00E22DF8">
              <w:rPr>
                <w:b/>
                <w:bCs/>
                <w:sz w:val="22"/>
                <w:szCs w:val="22"/>
                <w:lang w:val="sr-Latn-ME"/>
              </w:rPr>
              <w:t>Gastrointestinalni poremećaji</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Krvarenje desni,</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Krvarenje u gastrointestinalnom traktu (uključujući rektalno krvarenje), gastrointestinalni i abdominalni bolovi, dispepsija, mučnina,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konstipacija</w:t>
            </w:r>
            <w:r w:rsidRPr="00E22DF8">
              <w:rPr>
                <w:sz w:val="22"/>
                <w:szCs w:val="22"/>
                <w:vertAlign w:val="superscript"/>
                <w:lang w:val="sr-Latn-ME"/>
              </w:rPr>
              <w:t>A</w:t>
            </w:r>
            <w:r w:rsidRPr="00E22DF8">
              <w:rPr>
                <w:sz w:val="22"/>
                <w:szCs w:val="22"/>
                <w:lang w:val="sr-Latn-ME"/>
              </w:rPr>
              <w:t>, dijareja, povraćanje</w:t>
            </w:r>
            <w:r w:rsidRPr="00E22DF8">
              <w:rPr>
                <w:sz w:val="22"/>
                <w:szCs w:val="22"/>
                <w:vertAlign w:val="superscript"/>
                <w:lang w:val="sr-Latn-ME"/>
              </w:rPr>
              <w:t>A</w:t>
            </w:r>
          </w:p>
        </w:tc>
        <w:tc>
          <w:tcPr>
            <w:tcW w:w="1817"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Suva usta</w:t>
            </w:r>
          </w:p>
        </w:tc>
        <w:tc>
          <w:tcPr>
            <w:tcW w:w="1849" w:type="dxa"/>
          </w:tcPr>
          <w:p w:rsidR="00B3585E" w:rsidRPr="00E22DF8" w:rsidRDefault="00B3585E" w:rsidP="00B3585E">
            <w:pPr>
              <w:widowControl w:val="0"/>
              <w:autoSpaceDE w:val="0"/>
              <w:autoSpaceDN w:val="0"/>
              <w:spacing w:line="205" w:lineRule="exact"/>
              <w:rPr>
                <w:sz w:val="22"/>
                <w:szCs w:val="22"/>
                <w:lang w:val="sr-Latn-ME"/>
              </w:rPr>
            </w:pP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Pr>
          <w:p w:rsidR="00B3585E" w:rsidRPr="00E22DF8" w:rsidRDefault="00B3585E" w:rsidP="00B3585E">
            <w:pPr>
              <w:rPr>
                <w:b/>
                <w:bCs/>
                <w:sz w:val="22"/>
                <w:szCs w:val="22"/>
                <w:lang w:val="sr-Latn-ME"/>
              </w:rPr>
            </w:pPr>
            <w:r w:rsidRPr="00E22DF8">
              <w:rPr>
                <w:b/>
                <w:bCs/>
                <w:sz w:val="22"/>
                <w:szCs w:val="22"/>
                <w:lang w:val="sr-Latn-ME"/>
              </w:rPr>
              <w:t>Hepatobilijarni poremećaji</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Povećanje vrijednosti</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transaminaza</w:t>
            </w:r>
          </w:p>
        </w:tc>
        <w:tc>
          <w:tcPr>
            <w:tcW w:w="1817"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Oštećenje funkcije jetre,</w:t>
            </w:r>
          </w:p>
          <w:p w:rsidR="00B3585E" w:rsidRPr="00E22DF8" w:rsidRDefault="00B3585E" w:rsidP="005D3636">
            <w:pPr>
              <w:widowControl w:val="0"/>
              <w:autoSpaceDE w:val="0"/>
              <w:autoSpaceDN w:val="0"/>
              <w:spacing w:line="205" w:lineRule="exact"/>
              <w:rPr>
                <w:sz w:val="22"/>
                <w:szCs w:val="22"/>
                <w:lang w:val="sr-Latn-ME"/>
              </w:rPr>
            </w:pPr>
            <w:r w:rsidRPr="00E22DF8">
              <w:rPr>
                <w:sz w:val="22"/>
                <w:szCs w:val="22"/>
                <w:lang w:val="sr-Latn-ME"/>
              </w:rPr>
              <w:t>povećanje koncentracija bilirubina, povećanje vrijednost alkalne fosfataze</w:t>
            </w:r>
            <w:r w:rsidRPr="00E22DF8">
              <w:rPr>
                <w:sz w:val="22"/>
                <w:szCs w:val="22"/>
                <w:vertAlign w:val="superscript"/>
                <w:lang w:val="sr-Latn-ME"/>
              </w:rPr>
              <w:t>A</w:t>
            </w:r>
            <w:r w:rsidRPr="00E22DF8">
              <w:rPr>
                <w:sz w:val="22"/>
                <w:szCs w:val="22"/>
                <w:lang w:val="sr-Latn-ME"/>
              </w:rPr>
              <w:t xml:space="preserve">, </w:t>
            </w:r>
            <w:r w:rsidR="005D3636" w:rsidRPr="00E22DF8">
              <w:rPr>
                <w:sz w:val="22"/>
                <w:szCs w:val="22"/>
                <w:lang w:val="sr-Latn-ME"/>
              </w:rPr>
              <w:t xml:space="preserve">povećanje </w:t>
            </w:r>
            <w:r w:rsidRPr="00E22DF8">
              <w:rPr>
                <w:sz w:val="22"/>
                <w:szCs w:val="22"/>
                <w:lang w:val="sr-Latn-ME"/>
              </w:rPr>
              <w:t>vrijednosti GGT</w:t>
            </w:r>
            <w:r w:rsidRPr="00E22DF8">
              <w:rPr>
                <w:sz w:val="22"/>
                <w:szCs w:val="22"/>
                <w:vertAlign w:val="superscript"/>
                <w:lang w:val="sr-Latn-ME"/>
              </w:rPr>
              <w:t>A</w:t>
            </w:r>
          </w:p>
        </w:tc>
        <w:tc>
          <w:tcPr>
            <w:tcW w:w="1849"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Žutica, povećana koncentracija konjugovanog</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bilirubina (sa ili bez istovremenog povećanja ALT), holestaza,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hepatitis (uključujući</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hepatocelularno oštećenje)</w:t>
            </w:r>
          </w:p>
        </w:tc>
        <w:tc>
          <w:tcPr>
            <w:tcW w:w="1805" w:type="dxa"/>
          </w:tcPr>
          <w:p w:rsidR="00B3585E" w:rsidRPr="00E22DF8" w:rsidRDefault="00B3585E" w:rsidP="00B3585E">
            <w:pPr>
              <w:tabs>
                <w:tab w:val="left" w:pos="540"/>
                <w:tab w:val="left" w:pos="569"/>
              </w:tabs>
              <w:rPr>
                <w:b/>
                <w:bCs/>
                <w:sz w:val="22"/>
                <w:szCs w:val="22"/>
                <w:lang w:val="sr-Latn-ME"/>
              </w:rPr>
            </w:pPr>
          </w:p>
        </w:tc>
        <w:tc>
          <w:tcPr>
            <w:tcW w:w="1640" w:type="dxa"/>
          </w:tcPr>
          <w:p w:rsidR="00B3585E" w:rsidRPr="00E22DF8" w:rsidRDefault="00B3585E" w:rsidP="00B3585E">
            <w:pPr>
              <w:tabs>
                <w:tab w:val="left" w:pos="540"/>
                <w:tab w:val="left" w:pos="569"/>
              </w:tabs>
              <w:rPr>
                <w:b/>
                <w:bCs/>
                <w:sz w:val="22"/>
                <w:szCs w:val="22"/>
                <w:lang w:val="sr-Latn-ME"/>
              </w:rPr>
            </w:pPr>
          </w:p>
        </w:tc>
      </w:tr>
      <w:tr w:rsidR="00B3585E" w:rsidRPr="00E22DF8" w:rsidTr="00A539BF">
        <w:tc>
          <w:tcPr>
            <w:tcW w:w="9063" w:type="dxa"/>
            <w:gridSpan w:val="5"/>
            <w:tcBorders>
              <w:left w:val="single" w:sz="2" w:space="0" w:color="000000"/>
            </w:tcBorders>
          </w:tcPr>
          <w:p w:rsidR="00B3585E" w:rsidRPr="00E22DF8" w:rsidRDefault="00B3585E" w:rsidP="00B3585E">
            <w:pPr>
              <w:widowControl w:val="0"/>
              <w:autoSpaceDE w:val="0"/>
              <w:autoSpaceDN w:val="0"/>
              <w:spacing w:line="205" w:lineRule="exact"/>
              <w:rPr>
                <w:b/>
                <w:sz w:val="22"/>
                <w:szCs w:val="22"/>
                <w:lang w:val="sr-Latn-ME"/>
              </w:rPr>
            </w:pPr>
            <w:r w:rsidRPr="00E22DF8">
              <w:rPr>
                <w:b/>
                <w:sz w:val="22"/>
                <w:szCs w:val="22"/>
                <w:lang w:val="sr-Latn-ME"/>
              </w:rPr>
              <w:t>Poremećaji kože i potkožnog tkiva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Pruritus</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(uključujući povremene slučajeve generalizovanog pruritusa), osip, ekhimoza,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kutano i supkutano krvarenje</w:t>
            </w:r>
          </w:p>
        </w:tc>
        <w:tc>
          <w:tcPr>
            <w:tcW w:w="1817"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Urtikarija</w:t>
            </w:r>
          </w:p>
        </w:tc>
        <w:tc>
          <w:tcPr>
            <w:tcW w:w="1849" w:type="dxa"/>
          </w:tcPr>
          <w:p w:rsidR="00B3585E" w:rsidRPr="00E22DF8" w:rsidRDefault="00B3585E" w:rsidP="00B3585E">
            <w:pPr>
              <w:widowControl w:val="0"/>
              <w:autoSpaceDE w:val="0"/>
              <w:autoSpaceDN w:val="0"/>
              <w:spacing w:line="205" w:lineRule="exact"/>
              <w:rPr>
                <w:sz w:val="22"/>
                <w:szCs w:val="22"/>
                <w:lang w:val="sr-Latn-ME"/>
              </w:rPr>
            </w:pPr>
          </w:p>
        </w:tc>
        <w:tc>
          <w:tcPr>
            <w:tcW w:w="1805" w:type="dxa"/>
          </w:tcPr>
          <w:p w:rsidR="00B3585E" w:rsidRPr="00E22DF8" w:rsidRDefault="00B3585E" w:rsidP="00B3585E">
            <w:pPr>
              <w:widowControl w:val="0"/>
              <w:autoSpaceDE w:val="0"/>
              <w:autoSpaceDN w:val="0"/>
              <w:spacing w:line="205" w:lineRule="exact"/>
              <w:rPr>
                <w:sz w:val="22"/>
                <w:szCs w:val="22"/>
                <w:lang w:val="sr-Latn-ME"/>
              </w:rPr>
            </w:pPr>
            <w:r w:rsidRPr="00E22DF8">
              <w:rPr>
                <w:i/>
                <w:sz w:val="22"/>
                <w:szCs w:val="22"/>
                <w:lang w:val="sr-Latn-ME"/>
              </w:rPr>
              <w:t>Stevens-Johnson</w:t>
            </w:r>
            <w:r w:rsidRPr="00E22DF8">
              <w:rPr>
                <w:sz w:val="22"/>
                <w:szCs w:val="22"/>
                <w:lang w:val="sr-Latn-ME"/>
              </w:rPr>
              <w:t>-ov sindrom/Toksična epidermalna nekroliza, DRESS sindrom</w:t>
            </w:r>
          </w:p>
        </w:tc>
        <w:tc>
          <w:tcPr>
            <w:tcW w:w="1640" w:type="dxa"/>
          </w:tcPr>
          <w:p w:rsidR="00B3585E" w:rsidRPr="00E22DF8" w:rsidRDefault="00B3585E" w:rsidP="00B3585E">
            <w:pPr>
              <w:widowControl w:val="0"/>
              <w:autoSpaceDE w:val="0"/>
              <w:autoSpaceDN w:val="0"/>
              <w:spacing w:line="205" w:lineRule="exact"/>
              <w:rPr>
                <w:sz w:val="22"/>
                <w:szCs w:val="22"/>
                <w:lang w:val="sr-Latn-ME"/>
              </w:rPr>
            </w:pPr>
          </w:p>
        </w:tc>
      </w:tr>
      <w:tr w:rsidR="00B3585E" w:rsidRPr="00E22DF8" w:rsidTr="00A539BF">
        <w:tc>
          <w:tcPr>
            <w:tcW w:w="9063" w:type="dxa"/>
            <w:gridSpan w:val="5"/>
            <w:tcBorders>
              <w:left w:val="single" w:sz="2" w:space="0" w:color="000000"/>
            </w:tcBorders>
          </w:tcPr>
          <w:p w:rsidR="00B3585E" w:rsidRPr="00E22DF8" w:rsidRDefault="00B3585E" w:rsidP="00B3585E">
            <w:pPr>
              <w:widowControl w:val="0"/>
              <w:autoSpaceDE w:val="0"/>
              <w:autoSpaceDN w:val="0"/>
              <w:spacing w:line="205" w:lineRule="exact"/>
              <w:rPr>
                <w:b/>
                <w:sz w:val="22"/>
                <w:szCs w:val="22"/>
                <w:lang w:val="sr-Latn-ME"/>
              </w:rPr>
            </w:pPr>
            <w:r w:rsidRPr="00E22DF8">
              <w:rPr>
                <w:b/>
                <w:sz w:val="22"/>
                <w:szCs w:val="22"/>
                <w:lang w:val="sr-Latn-ME"/>
              </w:rPr>
              <w:t>Poremećaji mišićno-koštanog sistema i vezivnog tkiva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Bol u ekstremitetu</w:t>
            </w:r>
            <w:r w:rsidRPr="00E22DF8">
              <w:rPr>
                <w:sz w:val="22"/>
                <w:szCs w:val="22"/>
                <w:vertAlign w:val="superscript"/>
                <w:lang w:val="sr-Latn-ME"/>
              </w:rPr>
              <w:t>A</w:t>
            </w:r>
          </w:p>
        </w:tc>
        <w:tc>
          <w:tcPr>
            <w:tcW w:w="1817"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Hemartroza</w:t>
            </w:r>
          </w:p>
        </w:tc>
        <w:tc>
          <w:tcPr>
            <w:tcW w:w="1849"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Krvarenje iz mišića</w:t>
            </w:r>
          </w:p>
        </w:tc>
        <w:tc>
          <w:tcPr>
            <w:tcW w:w="1805" w:type="dxa"/>
          </w:tcPr>
          <w:p w:rsidR="00B3585E" w:rsidRPr="00E22DF8" w:rsidRDefault="00B3585E" w:rsidP="00B3585E">
            <w:pPr>
              <w:widowControl w:val="0"/>
              <w:autoSpaceDE w:val="0"/>
              <w:autoSpaceDN w:val="0"/>
              <w:spacing w:line="205" w:lineRule="exact"/>
              <w:rPr>
                <w:sz w:val="22"/>
                <w:szCs w:val="22"/>
                <w:lang w:val="sr-Latn-ME"/>
              </w:rPr>
            </w:pPr>
          </w:p>
        </w:tc>
        <w:tc>
          <w:tcPr>
            <w:tcW w:w="1640"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Kompartment sindrom</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nakon krvarenja</w:t>
            </w:r>
          </w:p>
        </w:tc>
      </w:tr>
      <w:tr w:rsidR="00B3585E" w:rsidRPr="00E22DF8" w:rsidTr="00A539BF">
        <w:tc>
          <w:tcPr>
            <w:tcW w:w="9063" w:type="dxa"/>
            <w:gridSpan w:val="5"/>
          </w:tcPr>
          <w:p w:rsidR="00B3585E" w:rsidRPr="00E22DF8" w:rsidRDefault="00B3585E" w:rsidP="00B3585E">
            <w:pPr>
              <w:tabs>
                <w:tab w:val="left" w:pos="540"/>
                <w:tab w:val="left" w:pos="569"/>
              </w:tabs>
              <w:rPr>
                <w:b/>
                <w:bCs/>
                <w:sz w:val="22"/>
                <w:szCs w:val="22"/>
                <w:lang w:val="sr-Latn-ME"/>
              </w:rPr>
            </w:pPr>
            <w:r w:rsidRPr="00E22DF8">
              <w:rPr>
                <w:b/>
                <w:bCs/>
                <w:sz w:val="22"/>
                <w:szCs w:val="22"/>
                <w:lang w:val="sr-Latn-ME"/>
              </w:rPr>
              <w:t>Poremećaji bubrega i urinarnog sistema</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Krvarenje iz</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urogenitalnog trakta (uključujući hematuriju i menoragiju</w:t>
            </w:r>
            <w:r w:rsidRPr="00E22DF8">
              <w:rPr>
                <w:sz w:val="22"/>
                <w:szCs w:val="22"/>
                <w:vertAlign w:val="superscript"/>
                <w:lang w:val="sr-Latn-ME"/>
              </w:rPr>
              <w:t>B</w:t>
            </w:r>
            <w:r w:rsidRPr="00E22DF8">
              <w:rPr>
                <w:sz w:val="22"/>
                <w:szCs w:val="22"/>
                <w:lang w:val="sr-Latn-ME"/>
              </w:rPr>
              <w:t>) Oštećenje funkcije bubrega (uključujući povećanu koncentraciju kreatinina u krvi, povećanu koncentraciju uree u</w:t>
            </w:r>
            <w:r w:rsidR="000E11C2" w:rsidRPr="00E22DF8">
              <w:rPr>
                <w:sz w:val="22"/>
                <w:szCs w:val="22"/>
                <w:lang w:val="sr-Latn-ME"/>
              </w:rPr>
              <w:t xml:space="preserve"> </w:t>
            </w:r>
            <w:r w:rsidRPr="00E22DF8">
              <w:rPr>
                <w:sz w:val="22"/>
                <w:szCs w:val="22"/>
                <w:lang w:val="sr-Latn-ME"/>
              </w:rPr>
              <w:t>krvi)</w:t>
            </w:r>
          </w:p>
        </w:tc>
        <w:tc>
          <w:tcPr>
            <w:tcW w:w="1817" w:type="dxa"/>
          </w:tcPr>
          <w:p w:rsidR="00B3585E" w:rsidRPr="00E22DF8" w:rsidRDefault="00B3585E" w:rsidP="00B3585E">
            <w:pPr>
              <w:widowControl w:val="0"/>
              <w:autoSpaceDE w:val="0"/>
              <w:autoSpaceDN w:val="0"/>
              <w:spacing w:line="205" w:lineRule="exact"/>
              <w:rPr>
                <w:sz w:val="22"/>
                <w:szCs w:val="22"/>
                <w:lang w:val="sr-Latn-ME"/>
              </w:rPr>
            </w:pPr>
          </w:p>
        </w:tc>
        <w:tc>
          <w:tcPr>
            <w:tcW w:w="1849" w:type="dxa"/>
          </w:tcPr>
          <w:p w:rsidR="00B3585E" w:rsidRPr="00E22DF8" w:rsidRDefault="00B3585E" w:rsidP="00B3585E">
            <w:pPr>
              <w:widowControl w:val="0"/>
              <w:autoSpaceDE w:val="0"/>
              <w:autoSpaceDN w:val="0"/>
              <w:spacing w:line="205" w:lineRule="exact"/>
              <w:rPr>
                <w:sz w:val="22"/>
                <w:szCs w:val="22"/>
                <w:lang w:val="sr-Latn-ME"/>
              </w:rPr>
            </w:pPr>
          </w:p>
        </w:tc>
        <w:tc>
          <w:tcPr>
            <w:tcW w:w="1805" w:type="dxa"/>
          </w:tcPr>
          <w:p w:rsidR="00B3585E" w:rsidRPr="00E22DF8" w:rsidRDefault="00B3585E" w:rsidP="00B3585E">
            <w:pPr>
              <w:widowControl w:val="0"/>
              <w:autoSpaceDE w:val="0"/>
              <w:autoSpaceDN w:val="0"/>
              <w:spacing w:line="205" w:lineRule="exact"/>
              <w:rPr>
                <w:sz w:val="22"/>
                <w:szCs w:val="22"/>
                <w:lang w:val="sr-Latn-ME"/>
              </w:rPr>
            </w:pPr>
          </w:p>
        </w:tc>
        <w:tc>
          <w:tcPr>
            <w:tcW w:w="1640"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Insuficijencija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bubrega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/akutna insuficijencija bubrega nakon krvarenja koje je dovoljno da izazove hipoperfuziju</w:t>
            </w:r>
          </w:p>
        </w:tc>
      </w:tr>
      <w:tr w:rsidR="00B3585E" w:rsidRPr="00E22DF8" w:rsidTr="00A539BF">
        <w:tc>
          <w:tcPr>
            <w:tcW w:w="9063" w:type="dxa"/>
            <w:gridSpan w:val="5"/>
            <w:tcBorders>
              <w:left w:val="single" w:sz="2" w:space="0" w:color="000000"/>
            </w:tcBorders>
          </w:tcPr>
          <w:p w:rsidR="00B3585E" w:rsidRPr="00E22DF8" w:rsidRDefault="00B3585E" w:rsidP="00B3585E">
            <w:pPr>
              <w:widowControl w:val="0"/>
              <w:autoSpaceDE w:val="0"/>
              <w:autoSpaceDN w:val="0"/>
              <w:spacing w:line="205" w:lineRule="exact"/>
              <w:rPr>
                <w:b/>
                <w:sz w:val="22"/>
                <w:szCs w:val="22"/>
                <w:lang w:val="sr-Latn-ME"/>
              </w:rPr>
            </w:pPr>
            <w:r w:rsidRPr="00E22DF8">
              <w:rPr>
                <w:b/>
                <w:sz w:val="22"/>
                <w:szCs w:val="22"/>
                <w:lang w:val="sr-Latn-ME"/>
              </w:rPr>
              <w:t>Opšti poremećaji i reakcije na mjestu primjene</w:t>
            </w:r>
          </w:p>
        </w:tc>
      </w:tr>
      <w:tr w:rsidR="00B3585E" w:rsidRPr="00E22DF8" w:rsidTr="00717FE8">
        <w:tc>
          <w:tcPr>
            <w:tcW w:w="1952" w:type="dxa"/>
            <w:tcBorders>
              <w:left w:val="single" w:sz="2" w:space="0" w:color="000000"/>
            </w:tcBorders>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Povišena tjelesna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temperatura (groznica)</w:t>
            </w:r>
            <w:r w:rsidRPr="00E22DF8">
              <w:rPr>
                <w:sz w:val="22"/>
                <w:szCs w:val="22"/>
                <w:vertAlign w:val="superscript"/>
                <w:lang w:val="sr-Latn-ME"/>
              </w:rPr>
              <w:t>A</w:t>
            </w:r>
            <w:r w:rsidRPr="00E22DF8">
              <w:rPr>
                <w:sz w:val="22"/>
                <w:szCs w:val="22"/>
                <w:lang w:val="sr-Latn-ME"/>
              </w:rPr>
              <w:t>,</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 xml:space="preserve">periferni edem, </w:t>
            </w:r>
            <w:r w:rsidRPr="00E22DF8">
              <w:rPr>
                <w:sz w:val="22"/>
                <w:szCs w:val="22"/>
                <w:lang w:val="sr-Latn-ME"/>
              </w:rPr>
              <w:lastRenderedPageBreak/>
              <w:t>smanjena opšta snaga i energija</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(uključujući zamor i asteniju)</w:t>
            </w:r>
          </w:p>
        </w:tc>
        <w:tc>
          <w:tcPr>
            <w:tcW w:w="1817"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lastRenderedPageBreak/>
              <w:t>Opšte loše stanje</w:t>
            </w:r>
          </w:p>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(uključujući malaksalost),</w:t>
            </w:r>
          </w:p>
        </w:tc>
        <w:tc>
          <w:tcPr>
            <w:tcW w:w="1849" w:type="dxa"/>
          </w:tcPr>
          <w:p w:rsidR="00B3585E" w:rsidRPr="00E22DF8" w:rsidRDefault="00B3585E" w:rsidP="00B3585E">
            <w:pPr>
              <w:widowControl w:val="0"/>
              <w:autoSpaceDE w:val="0"/>
              <w:autoSpaceDN w:val="0"/>
              <w:spacing w:line="205" w:lineRule="exact"/>
              <w:rPr>
                <w:sz w:val="22"/>
                <w:szCs w:val="22"/>
                <w:lang w:val="sr-Latn-ME"/>
              </w:rPr>
            </w:pPr>
            <w:r w:rsidRPr="00E22DF8">
              <w:rPr>
                <w:sz w:val="22"/>
                <w:szCs w:val="22"/>
                <w:lang w:val="sr-Latn-ME"/>
              </w:rPr>
              <w:t>Lokalizovani edem</w:t>
            </w:r>
            <w:r w:rsidRPr="00E22DF8">
              <w:rPr>
                <w:sz w:val="22"/>
                <w:szCs w:val="22"/>
                <w:vertAlign w:val="superscript"/>
                <w:lang w:val="sr-Latn-ME"/>
              </w:rPr>
              <w:t>A</w:t>
            </w:r>
          </w:p>
        </w:tc>
        <w:tc>
          <w:tcPr>
            <w:tcW w:w="1805" w:type="dxa"/>
          </w:tcPr>
          <w:p w:rsidR="00B3585E" w:rsidRPr="00E22DF8" w:rsidRDefault="00B3585E" w:rsidP="00B3585E">
            <w:pPr>
              <w:widowControl w:val="0"/>
              <w:autoSpaceDE w:val="0"/>
              <w:autoSpaceDN w:val="0"/>
              <w:spacing w:line="205" w:lineRule="exact"/>
              <w:rPr>
                <w:sz w:val="22"/>
                <w:szCs w:val="22"/>
                <w:lang w:val="sr-Latn-ME"/>
              </w:rPr>
            </w:pPr>
          </w:p>
        </w:tc>
        <w:tc>
          <w:tcPr>
            <w:tcW w:w="1640" w:type="dxa"/>
          </w:tcPr>
          <w:p w:rsidR="00B3585E" w:rsidRPr="00E22DF8" w:rsidRDefault="00B3585E" w:rsidP="00B3585E">
            <w:pPr>
              <w:widowControl w:val="0"/>
              <w:autoSpaceDE w:val="0"/>
              <w:autoSpaceDN w:val="0"/>
              <w:spacing w:line="205" w:lineRule="exact"/>
              <w:rPr>
                <w:sz w:val="22"/>
                <w:szCs w:val="22"/>
                <w:lang w:val="sr-Latn-ME"/>
              </w:rPr>
            </w:pPr>
          </w:p>
        </w:tc>
      </w:tr>
      <w:tr w:rsidR="00B3585E" w:rsidRPr="00E22DF8" w:rsidTr="00A539BF">
        <w:tc>
          <w:tcPr>
            <w:tcW w:w="9063" w:type="dxa"/>
            <w:gridSpan w:val="5"/>
          </w:tcPr>
          <w:p w:rsidR="00B3585E" w:rsidRPr="00E22DF8" w:rsidRDefault="00EB02BE" w:rsidP="00B3585E">
            <w:pPr>
              <w:tabs>
                <w:tab w:val="left" w:pos="540"/>
                <w:tab w:val="left" w:pos="569"/>
              </w:tabs>
              <w:rPr>
                <w:b/>
                <w:bCs/>
                <w:sz w:val="22"/>
                <w:szCs w:val="22"/>
                <w:lang w:val="sr-Latn-ME"/>
              </w:rPr>
            </w:pPr>
            <w:r w:rsidRPr="00E22DF8">
              <w:rPr>
                <w:b/>
                <w:bCs/>
                <w:sz w:val="22"/>
                <w:szCs w:val="22"/>
                <w:lang w:val="sr-Latn-ME"/>
              </w:rPr>
              <w:t>Ispitivanja</w:t>
            </w:r>
          </w:p>
        </w:tc>
      </w:tr>
      <w:tr w:rsidR="00B3585E" w:rsidRPr="00E22DF8" w:rsidTr="00717FE8">
        <w:tc>
          <w:tcPr>
            <w:tcW w:w="1952" w:type="dxa"/>
            <w:tcBorders>
              <w:top w:val="single" w:sz="2" w:space="0" w:color="000000"/>
              <w:left w:val="single" w:sz="2" w:space="0" w:color="000000"/>
            </w:tcBorders>
          </w:tcPr>
          <w:p w:rsidR="00B3585E" w:rsidRPr="00E22DF8" w:rsidRDefault="00B3585E" w:rsidP="00B3585E">
            <w:pPr>
              <w:widowControl w:val="0"/>
              <w:autoSpaceDE w:val="0"/>
              <w:autoSpaceDN w:val="0"/>
              <w:rPr>
                <w:sz w:val="22"/>
                <w:szCs w:val="22"/>
                <w:lang w:val="sr-Latn-ME"/>
              </w:rPr>
            </w:pPr>
          </w:p>
        </w:tc>
        <w:tc>
          <w:tcPr>
            <w:tcW w:w="1817" w:type="dxa"/>
            <w:tcBorders>
              <w:top w:val="single" w:sz="2" w:space="0" w:color="000000"/>
            </w:tcBorders>
          </w:tcPr>
          <w:p w:rsidR="00B3585E" w:rsidRPr="00E22DF8" w:rsidRDefault="00B3585E" w:rsidP="00EB02BE">
            <w:pPr>
              <w:widowControl w:val="0"/>
              <w:autoSpaceDE w:val="0"/>
              <w:autoSpaceDN w:val="0"/>
              <w:rPr>
                <w:sz w:val="22"/>
                <w:szCs w:val="22"/>
                <w:lang w:val="sr-Latn-ME"/>
              </w:rPr>
            </w:pPr>
            <w:r w:rsidRPr="00E22DF8">
              <w:rPr>
                <w:sz w:val="22"/>
                <w:szCs w:val="22"/>
                <w:lang w:val="sr-Latn-ME"/>
              </w:rPr>
              <w:t>Povećana vrijednost LDH</w:t>
            </w:r>
            <w:r w:rsidRPr="00E22DF8">
              <w:rPr>
                <w:sz w:val="22"/>
                <w:szCs w:val="22"/>
                <w:vertAlign w:val="superscript"/>
                <w:lang w:val="sr-Latn-ME"/>
              </w:rPr>
              <w:t>A</w:t>
            </w:r>
            <w:r w:rsidRPr="00E22DF8">
              <w:rPr>
                <w:sz w:val="22"/>
                <w:szCs w:val="22"/>
                <w:lang w:val="sr-Latn-ME"/>
              </w:rPr>
              <w:t>, povećana vrijednost lipaza</w:t>
            </w:r>
            <w:r w:rsidRPr="00E22DF8">
              <w:rPr>
                <w:sz w:val="22"/>
                <w:szCs w:val="22"/>
                <w:vertAlign w:val="superscript"/>
                <w:lang w:val="sr-Latn-ME"/>
              </w:rPr>
              <w:t>A</w:t>
            </w:r>
            <w:r w:rsidRPr="00E22DF8">
              <w:rPr>
                <w:sz w:val="22"/>
                <w:szCs w:val="22"/>
                <w:lang w:val="sr-Latn-ME"/>
              </w:rPr>
              <w:t>, povećana vrijednost amilaza</w:t>
            </w:r>
            <w:r w:rsidRPr="00E22DF8">
              <w:rPr>
                <w:sz w:val="22"/>
                <w:szCs w:val="22"/>
                <w:vertAlign w:val="superscript"/>
                <w:lang w:val="sr-Latn-ME"/>
              </w:rPr>
              <w:t>A</w:t>
            </w:r>
          </w:p>
        </w:tc>
        <w:tc>
          <w:tcPr>
            <w:tcW w:w="1849" w:type="dxa"/>
            <w:tcBorders>
              <w:top w:val="single" w:sz="2" w:space="0" w:color="000000"/>
            </w:tcBorders>
          </w:tcPr>
          <w:p w:rsidR="00B3585E" w:rsidRPr="00E22DF8" w:rsidRDefault="00B3585E" w:rsidP="00B3585E">
            <w:pPr>
              <w:widowControl w:val="0"/>
              <w:autoSpaceDE w:val="0"/>
              <w:autoSpaceDN w:val="0"/>
              <w:rPr>
                <w:sz w:val="22"/>
                <w:szCs w:val="22"/>
                <w:lang w:val="sr-Latn-ME"/>
              </w:rPr>
            </w:pPr>
          </w:p>
        </w:tc>
        <w:tc>
          <w:tcPr>
            <w:tcW w:w="1805" w:type="dxa"/>
            <w:tcBorders>
              <w:top w:val="single" w:sz="2" w:space="0" w:color="000000"/>
            </w:tcBorders>
          </w:tcPr>
          <w:p w:rsidR="00B3585E" w:rsidRPr="00E22DF8" w:rsidRDefault="00B3585E" w:rsidP="00B3585E">
            <w:pPr>
              <w:widowControl w:val="0"/>
              <w:autoSpaceDE w:val="0"/>
              <w:autoSpaceDN w:val="0"/>
              <w:rPr>
                <w:sz w:val="22"/>
                <w:szCs w:val="22"/>
                <w:lang w:val="sr-Latn-ME"/>
              </w:rPr>
            </w:pPr>
          </w:p>
        </w:tc>
        <w:tc>
          <w:tcPr>
            <w:tcW w:w="1640" w:type="dxa"/>
            <w:tcBorders>
              <w:top w:val="single" w:sz="2" w:space="0" w:color="000000"/>
            </w:tcBorders>
          </w:tcPr>
          <w:p w:rsidR="00B3585E" w:rsidRPr="00E22DF8" w:rsidRDefault="00B3585E" w:rsidP="00B3585E">
            <w:pPr>
              <w:widowControl w:val="0"/>
              <w:autoSpaceDE w:val="0"/>
              <w:autoSpaceDN w:val="0"/>
              <w:rPr>
                <w:sz w:val="22"/>
                <w:szCs w:val="22"/>
                <w:lang w:val="sr-Latn-ME"/>
              </w:rPr>
            </w:pPr>
          </w:p>
        </w:tc>
      </w:tr>
      <w:tr w:rsidR="00B3585E" w:rsidRPr="00E22DF8" w:rsidTr="00A539BF">
        <w:tc>
          <w:tcPr>
            <w:tcW w:w="9063" w:type="dxa"/>
            <w:gridSpan w:val="5"/>
            <w:tcBorders>
              <w:left w:val="single" w:sz="2" w:space="0" w:color="000000"/>
            </w:tcBorders>
          </w:tcPr>
          <w:p w:rsidR="00B3585E" w:rsidRPr="00E22DF8" w:rsidRDefault="00B3585E" w:rsidP="00B3585E">
            <w:pPr>
              <w:widowControl w:val="0"/>
              <w:autoSpaceDE w:val="0"/>
              <w:autoSpaceDN w:val="0"/>
              <w:spacing w:line="205" w:lineRule="exact"/>
              <w:ind w:left="7"/>
              <w:rPr>
                <w:b/>
                <w:sz w:val="22"/>
                <w:szCs w:val="22"/>
                <w:lang w:val="sr-Latn-ME"/>
              </w:rPr>
            </w:pPr>
            <w:r w:rsidRPr="00E22DF8">
              <w:rPr>
                <w:b/>
                <w:w w:val="105"/>
                <w:sz w:val="22"/>
                <w:szCs w:val="22"/>
                <w:lang w:val="sr-Latn-ME"/>
              </w:rPr>
              <w:t>Povrede, trovanja i proceduralne komplikacije</w:t>
            </w:r>
          </w:p>
        </w:tc>
      </w:tr>
      <w:tr w:rsidR="00B3585E" w:rsidRPr="00E22DF8" w:rsidTr="00717FE8">
        <w:trPr>
          <w:trHeight w:val="2042"/>
        </w:trPr>
        <w:tc>
          <w:tcPr>
            <w:tcW w:w="1952" w:type="dxa"/>
            <w:tcBorders>
              <w:left w:val="single" w:sz="2" w:space="0" w:color="000000"/>
            </w:tcBorders>
          </w:tcPr>
          <w:p w:rsidR="00B3585E" w:rsidRPr="00E22DF8" w:rsidRDefault="00B3585E" w:rsidP="00B3585E">
            <w:pPr>
              <w:widowControl w:val="0"/>
              <w:autoSpaceDE w:val="0"/>
              <w:autoSpaceDN w:val="0"/>
              <w:spacing w:line="238" w:lineRule="exact"/>
              <w:ind w:left="7"/>
              <w:rPr>
                <w:sz w:val="22"/>
                <w:szCs w:val="22"/>
                <w:lang w:val="sr-Latn-ME"/>
              </w:rPr>
            </w:pPr>
            <w:r w:rsidRPr="00E22DF8">
              <w:rPr>
                <w:spacing w:val="5"/>
                <w:sz w:val="22"/>
                <w:szCs w:val="22"/>
                <w:lang w:val="sr-Latn-ME"/>
              </w:rPr>
              <w:t>Postintervencijsko</w:t>
            </w:r>
          </w:p>
          <w:p w:rsidR="00B3585E" w:rsidRPr="00E22DF8" w:rsidRDefault="00B3585E" w:rsidP="00B3585E">
            <w:pPr>
              <w:widowControl w:val="0"/>
              <w:autoSpaceDE w:val="0"/>
              <w:autoSpaceDN w:val="0"/>
              <w:spacing w:before="11" w:line="249" w:lineRule="auto"/>
              <w:ind w:left="7" w:right="130"/>
              <w:rPr>
                <w:sz w:val="22"/>
                <w:szCs w:val="22"/>
                <w:lang w:val="sr-Latn-ME"/>
              </w:rPr>
            </w:pPr>
            <w:r w:rsidRPr="00E22DF8">
              <w:rPr>
                <w:spacing w:val="5"/>
                <w:sz w:val="22"/>
                <w:szCs w:val="22"/>
                <w:lang w:val="sr-Latn-ME"/>
              </w:rPr>
              <w:t xml:space="preserve">krvarenje (uključujući </w:t>
            </w:r>
            <w:r w:rsidRPr="00E22DF8">
              <w:rPr>
                <w:sz w:val="22"/>
                <w:szCs w:val="22"/>
                <w:lang w:val="sr-Latn-ME"/>
              </w:rPr>
              <w:t>postoperativnu anemiju i</w:t>
            </w:r>
            <w:r w:rsidRPr="00E22DF8">
              <w:rPr>
                <w:spacing w:val="-12"/>
                <w:sz w:val="22"/>
                <w:szCs w:val="22"/>
                <w:lang w:val="sr-Latn-ME"/>
              </w:rPr>
              <w:t xml:space="preserve"> </w:t>
            </w:r>
            <w:r w:rsidRPr="00E22DF8">
              <w:rPr>
                <w:spacing w:val="5"/>
                <w:sz w:val="22"/>
                <w:szCs w:val="22"/>
                <w:lang w:val="sr-Latn-ME"/>
              </w:rPr>
              <w:t>krvarenje</w:t>
            </w:r>
          </w:p>
          <w:p w:rsidR="00B3585E" w:rsidRPr="00E22DF8" w:rsidRDefault="00B3585E" w:rsidP="00B3585E">
            <w:pPr>
              <w:widowControl w:val="0"/>
              <w:autoSpaceDE w:val="0"/>
              <w:autoSpaceDN w:val="0"/>
              <w:spacing w:before="7" w:line="240" w:lineRule="exact"/>
              <w:ind w:left="7"/>
              <w:rPr>
                <w:sz w:val="22"/>
                <w:szCs w:val="22"/>
                <w:lang w:val="sr-Latn-ME"/>
              </w:rPr>
            </w:pPr>
            <w:r w:rsidRPr="00E22DF8">
              <w:rPr>
                <w:sz w:val="22"/>
                <w:szCs w:val="22"/>
                <w:lang w:val="sr-Latn-ME"/>
              </w:rPr>
              <w:t>rana), kontuzija, sekrecija iz rane</w:t>
            </w:r>
            <w:r w:rsidRPr="00E22DF8">
              <w:rPr>
                <w:sz w:val="22"/>
                <w:szCs w:val="22"/>
                <w:vertAlign w:val="superscript"/>
                <w:lang w:val="sr-Latn-ME"/>
              </w:rPr>
              <w:t>A</w:t>
            </w:r>
          </w:p>
        </w:tc>
        <w:tc>
          <w:tcPr>
            <w:tcW w:w="1817" w:type="dxa"/>
          </w:tcPr>
          <w:p w:rsidR="00B3585E" w:rsidRPr="00E22DF8" w:rsidRDefault="00B3585E" w:rsidP="00B3585E">
            <w:pPr>
              <w:widowControl w:val="0"/>
              <w:autoSpaceDE w:val="0"/>
              <w:autoSpaceDN w:val="0"/>
              <w:spacing w:before="1"/>
              <w:ind w:left="1"/>
              <w:rPr>
                <w:sz w:val="22"/>
                <w:szCs w:val="22"/>
                <w:lang w:val="sr-Latn-ME"/>
              </w:rPr>
            </w:pPr>
          </w:p>
        </w:tc>
        <w:tc>
          <w:tcPr>
            <w:tcW w:w="1849" w:type="dxa"/>
          </w:tcPr>
          <w:p w:rsidR="00B3585E" w:rsidRPr="00E22DF8" w:rsidRDefault="00B3585E" w:rsidP="00B3585E">
            <w:pPr>
              <w:widowControl w:val="0"/>
              <w:autoSpaceDE w:val="0"/>
              <w:autoSpaceDN w:val="0"/>
              <w:rPr>
                <w:sz w:val="22"/>
                <w:szCs w:val="22"/>
                <w:lang w:val="sr-Latn-ME"/>
              </w:rPr>
            </w:pPr>
            <w:r w:rsidRPr="00E22DF8">
              <w:rPr>
                <w:sz w:val="22"/>
                <w:szCs w:val="22"/>
                <w:lang w:val="sr-Latn-ME"/>
              </w:rPr>
              <w:t>Vaskularna</w:t>
            </w:r>
          </w:p>
          <w:p w:rsidR="00B3585E" w:rsidRPr="00E22DF8" w:rsidRDefault="00B3585E" w:rsidP="00B3585E">
            <w:pPr>
              <w:widowControl w:val="0"/>
              <w:autoSpaceDE w:val="0"/>
              <w:autoSpaceDN w:val="0"/>
              <w:rPr>
                <w:sz w:val="22"/>
                <w:szCs w:val="22"/>
                <w:lang w:val="sr-Latn-ME"/>
              </w:rPr>
            </w:pPr>
            <w:r w:rsidRPr="00E22DF8">
              <w:rPr>
                <w:sz w:val="22"/>
                <w:szCs w:val="22"/>
                <w:lang w:val="sr-Latn-ME"/>
              </w:rPr>
              <w:t>pseudoaneurizma</w:t>
            </w:r>
            <w:r w:rsidRPr="00E22DF8">
              <w:rPr>
                <w:sz w:val="22"/>
                <w:szCs w:val="22"/>
                <w:vertAlign w:val="superscript"/>
                <w:lang w:val="sr-Latn-ME"/>
              </w:rPr>
              <w:t>C</w:t>
            </w:r>
          </w:p>
        </w:tc>
        <w:tc>
          <w:tcPr>
            <w:tcW w:w="1805" w:type="dxa"/>
          </w:tcPr>
          <w:p w:rsidR="00B3585E" w:rsidRPr="00E22DF8" w:rsidRDefault="00B3585E" w:rsidP="00B3585E">
            <w:pPr>
              <w:widowControl w:val="0"/>
              <w:autoSpaceDE w:val="0"/>
              <w:autoSpaceDN w:val="0"/>
              <w:rPr>
                <w:sz w:val="22"/>
                <w:szCs w:val="22"/>
                <w:lang w:val="sr-Latn-ME"/>
              </w:rPr>
            </w:pPr>
          </w:p>
        </w:tc>
        <w:tc>
          <w:tcPr>
            <w:tcW w:w="1640" w:type="dxa"/>
          </w:tcPr>
          <w:p w:rsidR="00B3585E" w:rsidRPr="00E22DF8" w:rsidRDefault="00B3585E" w:rsidP="00B3585E">
            <w:pPr>
              <w:widowControl w:val="0"/>
              <w:autoSpaceDE w:val="0"/>
              <w:autoSpaceDN w:val="0"/>
              <w:rPr>
                <w:sz w:val="22"/>
                <w:szCs w:val="22"/>
                <w:lang w:val="sr-Latn-ME"/>
              </w:rPr>
            </w:pPr>
          </w:p>
        </w:tc>
      </w:tr>
    </w:tbl>
    <w:p w:rsidR="00717FE8" w:rsidRPr="00E22DF8" w:rsidRDefault="00717FE8" w:rsidP="00717FE8">
      <w:pPr>
        <w:tabs>
          <w:tab w:val="left" w:pos="540"/>
          <w:tab w:val="left" w:pos="569"/>
        </w:tabs>
        <w:jc w:val="both"/>
        <w:rPr>
          <w:bCs/>
          <w:sz w:val="22"/>
          <w:szCs w:val="22"/>
          <w:lang w:val="sr-Latn-ME"/>
        </w:rPr>
      </w:pPr>
      <w:r w:rsidRPr="00E22DF8">
        <w:rPr>
          <w:bCs/>
          <w:sz w:val="22"/>
          <w:szCs w:val="22"/>
          <w:vertAlign w:val="superscript"/>
          <w:lang w:val="sr-Latn-ME"/>
        </w:rPr>
        <w:t>A</w:t>
      </w:r>
      <w:r w:rsidRPr="00E22DF8">
        <w:rPr>
          <w:bCs/>
          <w:sz w:val="22"/>
          <w:szCs w:val="22"/>
          <w:lang w:val="sr-Latn-ME"/>
        </w:rPr>
        <w:t xml:space="preserve"> uočeno u prevenciji VTE kod odraslih pacijenata koji se podvrgavaju elektivnoj operaciji zamjene kuka ili koljena</w:t>
      </w:r>
    </w:p>
    <w:p w:rsidR="00717FE8" w:rsidRPr="00E22DF8" w:rsidRDefault="00717FE8" w:rsidP="00717FE8">
      <w:pPr>
        <w:tabs>
          <w:tab w:val="left" w:pos="540"/>
          <w:tab w:val="left" w:pos="569"/>
        </w:tabs>
        <w:jc w:val="both"/>
        <w:rPr>
          <w:bCs/>
          <w:sz w:val="22"/>
          <w:szCs w:val="22"/>
          <w:lang w:val="sr-Latn-ME"/>
        </w:rPr>
      </w:pPr>
      <w:r w:rsidRPr="00E22DF8">
        <w:rPr>
          <w:bCs/>
          <w:sz w:val="22"/>
          <w:szCs w:val="22"/>
          <w:vertAlign w:val="superscript"/>
          <w:lang w:val="sr-Latn-ME"/>
        </w:rPr>
        <w:t>B</w:t>
      </w:r>
      <w:r w:rsidRPr="00E22DF8">
        <w:rPr>
          <w:bCs/>
          <w:sz w:val="22"/>
          <w:szCs w:val="22"/>
          <w:lang w:val="sr-Latn-ME"/>
        </w:rPr>
        <w:t xml:space="preserve"> uočeno tokom terapije TDV, PE i prevencije recidiva kao vrlo često kod žena &lt;55 godina</w:t>
      </w:r>
    </w:p>
    <w:p w:rsidR="00717FE8" w:rsidRPr="00E22DF8" w:rsidRDefault="00717FE8" w:rsidP="00717FE8">
      <w:pPr>
        <w:tabs>
          <w:tab w:val="left" w:pos="540"/>
          <w:tab w:val="left" w:pos="569"/>
        </w:tabs>
        <w:jc w:val="both"/>
        <w:rPr>
          <w:bCs/>
          <w:sz w:val="22"/>
          <w:szCs w:val="22"/>
          <w:lang w:val="sr-Latn-ME"/>
        </w:rPr>
      </w:pPr>
      <w:r w:rsidRPr="00E22DF8">
        <w:rPr>
          <w:bCs/>
          <w:sz w:val="22"/>
          <w:szCs w:val="22"/>
          <w:vertAlign w:val="superscript"/>
          <w:lang w:val="sr-Latn-ME"/>
        </w:rPr>
        <w:t>C</w:t>
      </w:r>
      <w:r w:rsidRPr="00E22DF8">
        <w:rPr>
          <w:bCs/>
          <w:sz w:val="22"/>
          <w:szCs w:val="22"/>
          <w:lang w:val="sr-Latn-ME"/>
        </w:rPr>
        <w:t xml:space="preserve"> uočeno kao povremeno neželjeno dejstvo u prevenciji aterotrombotskih događaja kod pacijenata nakon AKS (nakon perkutane koronarne intervencije)</w:t>
      </w:r>
    </w:p>
    <w:p w:rsidR="00717FE8" w:rsidRPr="00E22DF8" w:rsidRDefault="00717FE8" w:rsidP="00717FE8">
      <w:pPr>
        <w:tabs>
          <w:tab w:val="left" w:pos="540"/>
          <w:tab w:val="left" w:pos="569"/>
        </w:tabs>
        <w:jc w:val="both"/>
        <w:rPr>
          <w:bCs/>
          <w:sz w:val="22"/>
          <w:szCs w:val="22"/>
          <w:lang w:val="sr-Latn-ME"/>
        </w:rPr>
      </w:pPr>
      <w:r w:rsidRPr="00E22DF8">
        <w:rPr>
          <w:bCs/>
          <w:sz w:val="22"/>
          <w:szCs w:val="22"/>
          <w:vertAlign w:val="superscript"/>
          <w:lang w:val="sr-Latn-ME"/>
        </w:rPr>
        <w:t xml:space="preserve">* </w:t>
      </w:r>
      <w:r w:rsidRPr="00E22DF8">
        <w:rPr>
          <w:bCs/>
          <w:sz w:val="22"/>
          <w:szCs w:val="22"/>
          <w:lang w:val="sr-Latn-ME"/>
        </w:rPr>
        <w:t>Primijenjen je unaprijed određen selektivni pristup prikupljanja neželjenih događaja. Kako se učestalost neželjenih reakcija nije povećavala i nije utvrđena nova neželjena reakcija, podaci studije COMPASS nisu uključeni u izračunavanj</w:t>
      </w:r>
      <w:r w:rsidR="00EB02BE" w:rsidRPr="00E22DF8">
        <w:rPr>
          <w:bCs/>
          <w:sz w:val="22"/>
          <w:szCs w:val="22"/>
          <w:lang w:val="sr-Latn-ME"/>
        </w:rPr>
        <w:t>e</w:t>
      </w:r>
      <w:r w:rsidRPr="00E22DF8">
        <w:rPr>
          <w:bCs/>
          <w:sz w:val="22"/>
          <w:szCs w:val="22"/>
          <w:lang w:val="sr-Latn-ME"/>
        </w:rPr>
        <w:t xml:space="preserve"> učestalosti u ovoj tabeli.</w:t>
      </w:r>
    </w:p>
    <w:p w:rsidR="004A7EA1" w:rsidRPr="00E22DF8" w:rsidRDefault="004A7EA1" w:rsidP="00480FB1">
      <w:pPr>
        <w:tabs>
          <w:tab w:val="left" w:pos="540"/>
          <w:tab w:val="left" w:pos="569"/>
        </w:tabs>
        <w:rPr>
          <w:b/>
          <w:bCs/>
          <w:sz w:val="22"/>
          <w:szCs w:val="22"/>
          <w:lang w:val="sr-Latn-ME"/>
        </w:rPr>
      </w:pPr>
    </w:p>
    <w:p w:rsidR="00717FE8" w:rsidRPr="00E22DF8" w:rsidRDefault="00717FE8" w:rsidP="00717FE8">
      <w:pPr>
        <w:tabs>
          <w:tab w:val="left" w:pos="540"/>
          <w:tab w:val="left" w:pos="569"/>
        </w:tabs>
        <w:jc w:val="both"/>
        <w:rPr>
          <w:bCs/>
          <w:sz w:val="22"/>
          <w:szCs w:val="22"/>
          <w:u w:val="single"/>
          <w:lang w:val="sr-Latn-ME"/>
        </w:rPr>
      </w:pPr>
      <w:r w:rsidRPr="00E22DF8">
        <w:rPr>
          <w:bCs/>
          <w:sz w:val="22"/>
          <w:szCs w:val="22"/>
          <w:u w:val="single"/>
          <w:lang w:val="sr-Latn-ME"/>
        </w:rPr>
        <w:t>Opis određenih neželjenih dejstava</w:t>
      </w:r>
    </w:p>
    <w:p w:rsidR="00717FE8" w:rsidRPr="00E22DF8" w:rsidRDefault="00717FE8" w:rsidP="00717FE8">
      <w:pPr>
        <w:tabs>
          <w:tab w:val="left" w:pos="540"/>
          <w:tab w:val="left" w:pos="569"/>
        </w:tabs>
        <w:jc w:val="both"/>
        <w:rPr>
          <w:bCs/>
          <w:sz w:val="22"/>
          <w:szCs w:val="22"/>
          <w:lang w:val="sr-Latn-ME"/>
        </w:rPr>
      </w:pPr>
      <w:r w:rsidRPr="00E22DF8">
        <w:rPr>
          <w:bCs/>
          <w:sz w:val="22"/>
          <w:szCs w:val="22"/>
          <w:lang w:val="sr-Latn-ME"/>
        </w:rPr>
        <w:t xml:space="preserve">Zbog njegovog farmakološkog mehanizma dejstva upotreba rivaroksabana može biti povezana sa povećanim rizikom od skrivenog (okultnog) ili vidljivog krvarenja iz bilo kog tkiva ili organa koje može dovesti do posthemoragijske anemije. Znaci, simptomi i težina (uključujući i smrtni ishod) će varirati u zavisnosti od lokacije i stepena ili obima krvarenja i/ili anemije (vidjeti </w:t>
      </w:r>
      <w:r w:rsidR="00EB02BE" w:rsidRPr="00E22DF8">
        <w:rPr>
          <w:bCs/>
          <w:sz w:val="22"/>
          <w:szCs w:val="22"/>
          <w:lang w:val="sr-Latn-ME"/>
        </w:rPr>
        <w:t xml:space="preserve">dio </w:t>
      </w:r>
      <w:r w:rsidRPr="00E22DF8">
        <w:rPr>
          <w:bCs/>
          <w:sz w:val="22"/>
          <w:szCs w:val="22"/>
          <w:lang w:val="sr-Latn-ME"/>
        </w:rPr>
        <w:t>4.9 Postupak liječenja u slučaju krvarenja). U kliničkim ispitivanjima krvarenja</w:t>
      </w:r>
      <w:r w:rsidR="00EB02BE" w:rsidRPr="00E22DF8">
        <w:rPr>
          <w:bCs/>
          <w:sz w:val="22"/>
          <w:szCs w:val="22"/>
          <w:lang w:val="sr-Latn-ME"/>
        </w:rPr>
        <w:t xml:space="preserve"> iz </w:t>
      </w:r>
      <w:r w:rsidRPr="00E22DF8">
        <w:rPr>
          <w:bCs/>
          <w:sz w:val="22"/>
          <w:szCs w:val="22"/>
          <w:lang w:val="sr-Latn-ME"/>
        </w:rPr>
        <w:t xml:space="preserve"> sluzokoža (tj. </w:t>
      </w:r>
      <w:r w:rsidR="00EB02BE" w:rsidRPr="00E22DF8">
        <w:rPr>
          <w:bCs/>
          <w:sz w:val="22"/>
          <w:szCs w:val="22"/>
          <w:lang w:val="sr-Latn-ME"/>
        </w:rPr>
        <w:t>epistaksa</w:t>
      </w:r>
      <w:r w:rsidRPr="00E22DF8">
        <w:rPr>
          <w:bCs/>
          <w:sz w:val="22"/>
          <w:szCs w:val="22"/>
          <w:lang w:val="sr-Latn-ME"/>
        </w:rPr>
        <w:t xml:space="preserve">, gingivalno, gastrointestinalno, genitourinarno uključujući neuobičajena vaginalna ili povećana menstrualna krvarenja) i anemija su se češće javljali tokom dugotrajne terapije rivaroksabanom u poređenju sa terapijom </w:t>
      </w:r>
      <w:r w:rsidR="00EB02BE" w:rsidRPr="00E22DF8">
        <w:rPr>
          <w:bCs/>
          <w:sz w:val="22"/>
          <w:szCs w:val="22"/>
          <w:lang w:val="sr-Latn-ME"/>
        </w:rPr>
        <w:t>antagonistima vitamin K</w:t>
      </w:r>
      <w:r w:rsidRPr="00E22DF8">
        <w:rPr>
          <w:bCs/>
          <w:sz w:val="22"/>
          <w:szCs w:val="22"/>
          <w:lang w:val="sr-Latn-ME"/>
        </w:rPr>
        <w:t xml:space="preserve">. Tako, pored adekvatnog kliničkog praćenja, laboratorijsko ispitivanje hemoglobina/hematokrita bi moglo biti značajno za otkrivanje skrivenog krvarenja i za određivanje kliničkog značaja vidljivog krvarenja, ukoliko se procijeni adekvatnim. Rizik od krvarenja može biti povećan kod određenih grupa pacijenata, npr. kod pacijenata sa nekontrolisanom teškom arterijskom hipertenzijom i/ili na istovremenoj terapiji drugim ljekovima koji utiču na hemostazu (vidjeti </w:t>
      </w:r>
      <w:r w:rsidR="00EB02BE" w:rsidRPr="00E22DF8">
        <w:rPr>
          <w:bCs/>
          <w:sz w:val="22"/>
          <w:szCs w:val="22"/>
          <w:lang w:val="sr-Latn-ME"/>
        </w:rPr>
        <w:t xml:space="preserve">dio </w:t>
      </w:r>
      <w:r w:rsidRPr="00E22DF8">
        <w:rPr>
          <w:bCs/>
          <w:sz w:val="22"/>
          <w:szCs w:val="22"/>
          <w:lang w:val="sr-Latn-ME"/>
        </w:rPr>
        <w:t>4.4 “Rizik od krvarenja”).</w:t>
      </w:r>
    </w:p>
    <w:p w:rsidR="00717FE8" w:rsidRPr="00E22DF8" w:rsidRDefault="00717FE8" w:rsidP="00717FE8">
      <w:pPr>
        <w:tabs>
          <w:tab w:val="left" w:pos="540"/>
          <w:tab w:val="left" w:pos="569"/>
        </w:tabs>
        <w:jc w:val="both"/>
        <w:rPr>
          <w:bCs/>
          <w:sz w:val="22"/>
          <w:szCs w:val="22"/>
          <w:lang w:val="sr-Latn-ME"/>
        </w:rPr>
      </w:pPr>
      <w:r w:rsidRPr="00E22DF8">
        <w:rPr>
          <w:bCs/>
          <w:sz w:val="22"/>
          <w:szCs w:val="22"/>
          <w:lang w:val="sr-Latn-ME"/>
        </w:rPr>
        <w:t>Menstrualno krvarenje može biti pojačano i/ili produženo. Komplikacije usljed krvarenja mogu se javiti u obliku slabosti, bledila, vrtoglavice, glavobolje ili neobjašnjivog otoka, dispneje i neobjašnjivog šoka. U nekim slučajevima kao posljedica anemije primijećeni su simptomi ishemije srca kao što su bol u grudima ili angina pektoris.</w:t>
      </w:r>
    </w:p>
    <w:p w:rsidR="00717FE8" w:rsidRPr="00E22DF8" w:rsidRDefault="00717FE8" w:rsidP="00717FE8">
      <w:pPr>
        <w:tabs>
          <w:tab w:val="left" w:pos="540"/>
          <w:tab w:val="left" w:pos="569"/>
        </w:tabs>
        <w:jc w:val="both"/>
        <w:rPr>
          <w:bCs/>
          <w:sz w:val="22"/>
          <w:szCs w:val="22"/>
          <w:lang w:val="sr-Latn-ME"/>
        </w:rPr>
      </w:pPr>
      <w:r w:rsidRPr="00E22DF8">
        <w:rPr>
          <w:bCs/>
          <w:sz w:val="22"/>
          <w:szCs w:val="22"/>
          <w:lang w:val="sr-Latn-ME"/>
        </w:rPr>
        <w:t>Kod primjene rivaroksabana prijavljene su poznate komplikacije kao posljedica ozbiljnog krvarenja kao što su kompartment sindrom i insuficijencija bubrega usljed hipoperfuzije. Prema tome, mora se uzeti u obzir mogućnost pojave krvarenja prilikom procjene stanja svakog pacijenta na antikoagulantnoj terapiji.</w:t>
      </w:r>
    </w:p>
    <w:p w:rsidR="00717FE8" w:rsidRPr="00E22DF8" w:rsidRDefault="00717FE8" w:rsidP="00717FE8">
      <w:pPr>
        <w:tabs>
          <w:tab w:val="left" w:pos="540"/>
          <w:tab w:val="left" w:pos="569"/>
        </w:tabs>
        <w:jc w:val="both"/>
        <w:rPr>
          <w:bCs/>
          <w:sz w:val="22"/>
          <w:szCs w:val="22"/>
          <w:lang w:val="sr-Latn-ME"/>
        </w:rPr>
      </w:pPr>
    </w:p>
    <w:p w:rsidR="005A23D2" w:rsidRPr="00E22DF8" w:rsidRDefault="005A23D2" w:rsidP="00A46C9A">
      <w:pPr>
        <w:spacing w:after="200" w:line="276" w:lineRule="auto"/>
        <w:rPr>
          <w:rFonts w:eastAsia="Calibri"/>
          <w:sz w:val="22"/>
          <w:szCs w:val="22"/>
          <w:u w:val="single"/>
          <w:lang w:val="sr-Latn-ME"/>
        </w:rPr>
      </w:pPr>
      <w:r w:rsidRPr="00E22DF8">
        <w:rPr>
          <w:rFonts w:eastAsia="Calibri"/>
          <w:sz w:val="22"/>
          <w:szCs w:val="22"/>
          <w:u w:val="single"/>
          <w:lang w:val="sr-Latn-ME"/>
        </w:rPr>
        <w:t>Prijavljivanje sumnji na neželjena dejstva</w:t>
      </w:r>
    </w:p>
    <w:p w:rsidR="005A23D2" w:rsidRPr="00E22DF8" w:rsidRDefault="005A23D2" w:rsidP="004A7EA1">
      <w:pPr>
        <w:spacing w:after="200"/>
        <w:jc w:val="both"/>
        <w:rPr>
          <w:rFonts w:eastAsia="Calibri"/>
          <w:sz w:val="22"/>
          <w:szCs w:val="22"/>
          <w:lang w:val="sr-Latn-ME"/>
        </w:rPr>
      </w:pPr>
      <w:r w:rsidRPr="00E22DF8">
        <w:rPr>
          <w:rFonts w:eastAsia="Calibri"/>
          <w:sz w:val="22"/>
          <w:szCs w:val="22"/>
          <w:lang w:val="sr-Latn-ME"/>
        </w:rPr>
        <w:t>Prijavljivanje neželjenih dejstava nakon dobijanja dozvole je od velikog značaja jer obezbjeđuje kont</w:t>
      </w:r>
      <w:r w:rsidR="00EA5765" w:rsidRPr="00E22DF8">
        <w:rPr>
          <w:rFonts w:eastAsia="Calibri"/>
          <w:sz w:val="22"/>
          <w:szCs w:val="22"/>
          <w:lang w:val="sr-Latn-ME"/>
        </w:rPr>
        <w:t>inuirano praćenje odnosa korist</w:t>
      </w:r>
      <w:r w:rsidRPr="00E22DF8">
        <w:rPr>
          <w:rFonts w:eastAsia="Calibri"/>
          <w:sz w:val="22"/>
          <w:szCs w:val="22"/>
          <w:lang w:val="sr-Latn-ME"/>
        </w:rPr>
        <w:t>/rizik primjene lijeka. Zdravstveni radnici treba da prijave svaku sumnju na neželjeno</w:t>
      </w:r>
      <w:r w:rsidR="009B062A" w:rsidRPr="00E22DF8">
        <w:rPr>
          <w:rFonts w:eastAsia="Calibri"/>
          <w:sz w:val="22"/>
          <w:szCs w:val="22"/>
          <w:lang w:val="sr-Latn-ME"/>
        </w:rPr>
        <w:t xml:space="preserve"> </w:t>
      </w:r>
      <w:r w:rsidRPr="00E22DF8">
        <w:rPr>
          <w:rFonts w:eastAsia="Calibri"/>
          <w:sz w:val="22"/>
          <w:szCs w:val="22"/>
          <w:lang w:val="sr-Latn-ME"/>
        </w:rPr>
        <w:t xml:space="preserve">dejstvo ovog lijeka </w:t>
      </w:r>
      <w:r w:rsidR="004E70AD" w:rsidRPr="00E22DF8">
        <w:rPr>
          <w:rFonts w:eastAsia="Calibri"/>
          <w:sz w:val="22"/>
          <w:szCs w:val="22"/>
          <w:lang w:val="sr-Latn-ME"/>
        </w:rPr>
        <w:t>Institutu</w:t>
      </w:r>
      <w:r w:rsidRPr="00E22DF8">
        <w:rPr>
          <w:rFonts w:eastAsia="Calibri"/>
          <w:sz w:val="22"/>
          <w:szCs w:val="22"/>
          <w:lang w:val="sr-Latn-ME"/>
        </w:rPr>
        <w:t xml:space="preserve"> za ljekove i medicinska sredstva</w:t>
      </w:r>
      <w:r w:rsidR="004E70AD" w:rsidRPr="00E22DF8">
        <w:rPr>
          <w:rFonts w:eastAsia="Calibri"/>
          <w:sz w:val="22"/>
          <w:szCs w:val="22"/>
          <w:lang w:val="sr-Latn-ME"/>
        </w:rPr>
        <w:t xml:space="preserve"> </w:t>
      </w:r>
      <w:r w:rsidRPr="00E22DF8">
        <w:rPr>
          <w:rFonts w:eastAsia="Calibri"/>
          <w:sz w:val="22"/>
          <w:szCs w:val="22"/>
          <w:lang w:val="sr-Latn-ME"/>
        </w:rPr>
        <w:t>(</w:t>
      </w:r>
      <w:r w:rsidR="004E70AD" w:rsidRPr="00E22DF8">
        <w:rPr>
          <w:rFonts w:eastAsia="Calibri"/>
          <w:sz w:val="22"/>
          <w:szCs w:val="22"/>
          <w:lang w:val="sr-Latn-ME"/>
        </w:rPr>
        <w:t>CInMED</w:t>
      </w:r>
      <w:r w:rsidRPr="00E22DF8">
        <w:rPr>
          <w:rFonts w:eastAsia="Calibri"/>
          <w:sz w:val="22"/>
          <w:szCs w:val="22"/>
          <w:lang w:val="sr-Latn-ME"/>
        </w:rPr>
        <w:t>):</w:t>
      </w:r>
    </w:p>
    <w:p w:rsidR="005A23D2" w:rsidRPr="00E22DF8" w:rsidRDefault="004E70AD" w:rsidP="004A7EA1">
      <w:pPr>
        <w:pStyle w:val="NoSpacing"/>
        <w:jc w:val="both"/>
        <w:rPr>
          <w:rFonts w:eastAsia="Calibri"/>
          <w:sz w:val="22"/>
          <w:szCs w:val="22"/>
          <w:lang w:val="sr-Latn-ME"/>
        </w:rPr>
      </w:pPr>
      <w:r w:rsidRPr="00E22DF8">
        <w:rPr>
          <w:rFonts w:eastAsia="Calibri"/>
          <w:sz w:val="22"/>
          <w:szCs w:val="22"/>
          <w:lang w:val="sr-Latn-ME"/>
        </w:rPr>
        <w:lastRenderedPageBreak/>
        <w:t xml:space="preserve">Institut </w:t>
      </w:r>
      <w:r w:rsidR="005A23D2" w:rsidRPr="00E22DF8">
        <w:rPr>
          <w:rFonts w:eastAsia="Calibri"/>
          <w:sz w:val="22"/>
          <w:szCs w:val="22"/>
          <w:lang w:val="sr-Latn-ME"/>
        </w:rPr>
        <w:t xml:space="preserve">za ljekove i medicinska sredstva </w:t>
      </w:r>
    </w:p>
    <w:p w:rsidR="005A23D2" w:rsidRPr="00E22DF8" w:rsidRDefault="005A23D2" w:rsidP="004A7EA1">
      <w:pPr>
        <w:pStyle w:val="NoSpacing"/>
        <w:jc w:val="both"/>
        <w:rPr>
          <w:rFonts w:eastAsia="Calibri"/>
          <w:sz w:val="22"/>
          <w:szCs w:val="22"/>
          <w:lang w:val="sr-Latn-ME"/>
        </w:rPr>
      </w:pPr>
      <w:r w:rsidRPr="00E22DF8">
        <w:rPr>
          <w:rFonts w:eastAsia="Calibri"/>
          <w:sz w:val="22"/>
          <w:szCs w:val="22"/>
          <w:lang w:val="sr-Latn-ME"/>
        </w:rPr>
        <w:t>Odjeljenje za farmakovigilancu</w:t>
      </w:r>
    </w:p>
    <w:p w:rsidR="00EA5765" w:rsidRPr="00E22DF8" w:rsidRDefault="005A23D2" w:rsidP="004A7EA1">
      <w:pPr>
        <w:pStyle w:val="NoSpacing"/>
        <w:jc w:val="both"/>
        <w:rPr>
          <w:rFonts w:eastAsia="Calibri"/>
          <w:sz w:val="22"/>
          <w:szCs w:val="22"/>
          <w:lang w:val="sr-Latn-ME"/>
        </w:rPr>
      </w:pPr>
      <w:r w:rsidRPr="00E22DF8">
        <w:rPr>
          <w:rFonts w:eastAsia="Calibri"/>
          <w:sz w:val="22"/>
          <w:szCs w:val="22"/>
          <w:lang w:val="sr-Latn-ME"/>
        </w:rPr>
        <w:t>Bulevar Ivana Crnojevića 64a, 81000 Podgorica</w:t>
      </w:r>
    </w:p>
    <w:p w:rsidR="00EA5765" w:rsidRPr="00E22DF8" w:rsidRDefault="00EA5765" w:rsidP="004A7EA1">
      <w:pPr>
        <w:pStyle w:val="NoSpacing"/>
        <w:jc w:val="both"/>
        <w:rPr>
          <w:rFonts w:eastAsia="Calibri"/>
          <w:sz w:val="22"/>
          <w:szCs w:val="22"/>
          <w:lang w:val="sr-Latn-ME"/>
        </w:rPr>
      </w:pPr>
    </w:p>
    <w:p w:rsidR="005A23D2" w:rsidRPr="00E22DF8" w:rsidRDefault="005A23D2" w:rsidP="004A7EA1">
      <w:pPr>
        <w:pStyle w:val="NoSpacing"/>
        <w:jc w:val="both"/>
        <w:rPr>
          <w:rFonts w:eastAsia="Calibri"/>
          <w:sz w:val="22"/>
          <w:szCs w:val="22"/>
          <w:lang w:val="sr-Latn-ME"/>
        </w:rPr>
      </w:pPr>
      <w:r w:rsidRPr="00E22DF8">
        <w:rPr>
          <w:rFonts w:eastAsia="Calibri"/>
          <w:sz w:val="22"/>
          <w:szCs w:val="22"/>
          <w:lang w:val="sr-Latn-ME"/>
        </w:rPr>
        <w:t>tel: +382 (0) 20 310 280</w:t>
      </w:r>
    </w:p>
    <w:p w:rsidR="00EA5765" w:rsidRPr="00E22DF8" w:rsidRDefault="005A23D2" w:rsidP="004A7EA1">
      <w:pPr>
        <w:pStyle w:val="NoSpacing"/>
        <w:jc w:val="both"/>
        <w:rPr>
          <w:rFonts w:eastAsia="Calibri"/>
          <w:sz w:val="22"/>
          <w:szCs w:val="22"/>
          <w:lang w:val="sr-Latn-ME"/>
        </w:rPr>
      </w:pPr>
      <w:r w:rsidRPr="00E22DF8">
        <w:rPr>
          <w:rFonts w:eastAsia="Calibri"/>
          <w:sz w:val="22"/>
          <w:szCs w:val="22"/>
          <w:lang w:val="sr-Latn-ME"/>
        </w:rPr>
        <w:t>fax:</w:t>
      </w:r>
      <w:r w:rsidR="00EA5765" w:rsidRPr="00E22DF8">
        <w:rPr>
          <w:rFonts w:eastAsia="Calibri"/>
          <w:sz w:val="22"/>
          <w:szCs w:val="22"/>
          <w:lang w:val="sr-Latn-ME"/>
        </w:rPr>
        <w:t xml:space="preserve"> </w:t>
      </w:r>
      <w:r w:rsidRPr="00E22DF8">
        <w:rPr>
          <w:rFonts w:eastAsia="Calibri"/>
          <w:sz w:val="22"/>
          <w:szCs w:val="22"/>
          <w:lang w:val="sr-Latn-ME"/>
        </w:rPr>
        <w:t>+382 (0) 20 310 581</w:t>
      </w:r>
    </w:p>
    <w:p w:rsidR="005A23D2" w:rsidRPr="00E22DF8" w:rsidRDefault="00CD036B" w:rsidP="004A7EA1">
      <w:pPr>
        <w:pStyle w:val="NoSpacing"/>
        <w:jc w:val="both"/>
        <w:rPr>
          <w:rFonts w:eastAsia="Calibri"/>
          <w:sz w:val="22"/>
          <w:szCs w:val="22"/>
          <w:lang w:val="sr-Latn-ME"/>
        </w:rPr>
      </w:pPr>
      <w:hyperlink r:id="rId8" w:history="1">
        <w:r w:rsidR="004E70AD" w:rsidRPr="00E22DF8">
          <w:rPr>
            <w:rStyle w:val="Hyperlink"/>
            <w:rFonts w:eastAsia="Calibri"/>
            <w:sz w:val="22"/>
            <w:szCs w:val="22"/>
            <w:lang w:val="sr-Latn-ME"/>
          </w:rPr>
          <w:t>www.cinmed.me</w:t>
        </w:r>
      </w:hyperlink>
    </w:p>
    <w:p w:rsidR="00EA5765" w:rsidRPr="00E22DF8" w:rsidRDefault="00CD036B" w:rsidP="004A7EA1">
      <w:pPr>
        <w:pStyle w:val="NoSpacing"/>
        <w:jc w:val="both"/>
        <w:rPr>
          <w:rFonts w:eastAsia="Calibri"/>
          <w:color w:val="0000FF"/>
          <w:sz w:val="22"/>
          <w:szCs w:val="22"/>
          <w:u w:val="single"/>
          <w:lang w:val="sr-Latn-ME"/>
        </w:rPr>
      </w:pPr>
      <w:hyperlink r:id="rId9" w:history="1">
        <w:r w:rsidR="004E70AD" w:rsidRPr="00E22DF8">
          <w:rPr>
            <w:rStyle w:val="Hyperlink"/>
            <w:rFonts w:eastAsia="Calibri"/>
            <w:sz w:val="22"/>
            <w:szCs w:val="22"/>
            <w:lang w:val="sr-Latn-ME"/>
          </w:rPr>
          <w:t>nezeljenadejstva@cinmed.me</w:t>
        </w:r>
      </w:hyperlink>
    </w:p>
    <w:p w:rsidR="005A23D2" w:rsidRPr="00E22DF8" w:rsidRDefault="005A23D2" w:rsidP="004A7EA1">
      <w:pPr>
        <w:pStyle w:val="NoSpacing"/>
        <w:jc w:val="both"/>
        <w:rPr>
          <w:rFonts w:eastAsia="Calibri"/>
          <w:sz w:val="22"/>
          <w:szCs w:val="22"/>
          <w:lang w:val="sr-Latn-ME"/>
        </w:rPr>
      </w:pPr>
      <w:r w:rsidRPr="00E22DF8">
        <w:rPr>
          <w:rFonts w:eastAsia="Calibri"/>
          <w:sz w:val="22"/>
          <w:szCs w:val="22"/>
          <w:lang w:val="sr-Latn-ME"/>
        </w:rPr>
        <w:t>putem IS zdravstvene zaštite</w:t>
      </w:r>
    </w:p>
    <w:p w:rsidR="00836B35" w:rsidRPr="00E22DF8" w:rsidRDefault="00836B35" w:rsidP="00480FB1">
      <w:pPr>
        <w:tabs>
          <w:tab w:val="left" w:pos="540"/>
          <w:tab w:val="left" w:pos="569"/>
        </w:tabs>
        <w:rPr>
          <w:b/>
          <w:bCs/>
          <w:sz w:val="22"/>
          <w:szCs w:val="22"/>
          <w:lang w:val="sr-Latn-ME"/>
        </w:rPr>
      </w:pPr>
    </w:p>
    <w:p w:rsidR="00CD6F02"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4.9. </w:t>
      </w:r>
      <w:r w:rsidR="00480FB1" w:rsidRPr="00E22DF8">
        <w:rPr>
          <w:b/>
          <w:bCs/>
          <w:sz w:val="22"/>
          <w:szCs w:val="22"/>
          <w:lang w:val="sr-Latn-ME"/>
        </w:rPr>
        <w:tab/>
      </w:r>
      <w:r w:rsidRPr="00E22DF8">
        <w:rPr>
          <w:b/>
          <w:bCs/>
          <w:sz w:val="22"/>
          <w:szCs w:val="22"/>
          <w:lang w:val="sr-Latn-ME"/>
        </w:rPr>
        <w:t>Predoziranje</w:t>
      </w:r>
      <w:r w:rsidR="002846DB" w:rsidRPr="00E22DF8">
        <w:rPr>
          <w:b/>
          <w:bCs/>
          <w:sz w:val="22"/>
          <w:szCs w:val="22"/>
          <w:lang w:val="sr-Latn-ME"/>
        </w:rPr>
        <w:t xml:space="preserve"> </w:t>
      </w:r>
    </w:p>
    <w:p w:rsidR="00A539BF" w:rsidRPr="00E22DF8" w:rsidRDefault="00A539BF" w:rsidP="00480FB1">
      <w:pPr>
        <w:tabs>
          <w:tab w:val="left" w:pos="540"/>
          <w:tab w:val="left" w:pos="569"/>
        </w:tabs>
        <w:rPr>
          <w:b/>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Prijavljeni su rijetki slučajevi predoziranja dozom do 1960 </w:t>
      </w:r>
      <w:r w:rsidR="00915F5D" w:rsidRPr="00E22DF8">
        <w:rPr>
          <w:bCs/>
          <w:sz w:val="22"/>
          <w:szCs w:val="22"/>
          <w:lang w:val="sr-Latn-ME"/>
        </w:rPr>
        <w:t>mg</w:t>
      </w:r>
      <w:r w:rsidRPr="00E22DF8">
        <w:rPr>
          <w:bCs/>
          <w:sz w:val="22"/>
          <w:szCs w:val="22"/>
          <w:lang w:val="sr-Latn-ME"/>
        </w:rPr>
        <w:t>. U slučaju predoziranja</w:t>
      </w:r>
      <w:r w:rsidR="00915F5D" w:rsidRPr="00E22DF8">
        <w:rPr>
          <w:bCs/>
          <w:sz w:val="22"/>
          <w:szCs w:val="22"/>
          <w:lang w:val="sr-Latn-ME"/>
        </w:rPr>
        <w:t>,</w:t>
      </w:r>
      <w:r w:rsidRPr="00E22DF8">
        <w:rPr>
          <w:bCs/>
          <w:sz w:val="22"/>
          <w:szCs w:val="22"/>
          <w:lang w:val="sr-Latn-ME"/>
        </w:rPr>
        <w:t xml:space="preserve"> paciijenta treba pažljivo pratiti zbog komplikacija u vidu krvarenja ili drugih neželjenih reakcija (vidjeti </w:t>
      </w:r>
      <w:r w:rsidR="00915F5D" w:rsidRPr="00E22DF8">
        <w:rPr>
          <w:bCs/>
          <w:sz w:val="22"/>
          <w:szCs w:val="22"/>
          <w:lang w:val="sr-Latn-ME"/>
        </w:rPr>
        <w:t xml:space="preserve">dio </w:t>
      </w:r>
      <w:r w:rsidRPr="00E22DF8">
        <w:rPr>
          <w:bCs/>
          <w:sz w:val="22"/>
          <w:szCs w:val="22"/>
          <w:lang w:val="sr-Latn-ME"/>
        </w:rPr>
        <w:t>“Postupak liječenja u slučaju krvarenja”).</w:t>
      </w:r>
      <w:r w:rsidR="00915F5D" w:rsidRPr="00E22DF8">
        <w:rPr>
          <w:bCs/>
          <w:sz w:val="22"/>
          <w:szCs w:val="22"/>
          <w:lang w:val="sr-Latn-ME"/>
        </w:rPr>
        <w:t xml:space="preserve"> </w:t>
      </w:r>
      <w:r w:rsidRPr="00E22DF8">
        <w:rPr>
          <w:bCs/>
          <w:sz w:val="22"/>
          <w:szCs w:val="22"/>
          <w:lang w:val="sr-Latn-ME"/>
        </w:rPr>
        <w:t>Usljed ograničene resorpcije</w:t>
      </w:r>
      <w:r w:rsidR="00915F5D" w:rsidRPr="00E22DF8">
        <w:rPr>
          <w:bCs/>
          <w:sz w:val="22"/>
          <w:szCs w:val="22"/>
          <w:lang w:val="sr-Latn-ME"/>
        </w:rPr>
        <w:t>,</w:t>
      </w:r>
      <w:r w:rsidRPr="00E22DF8">
        <w:rPr>
          <w:bCs/>
          <w:sz w:val="22"/>
          <w:szCs w:val="22"/>
          <w:lang w:val="sr-Latn-ME"/>
        </w:rPr>
        <w:t xml:space="preserve"> očekuje se efekat plafona bez daljeg povećanja prosječne izloženosti plazme pri supraterapijskim dozama od 50 mg rivaroksabana ili većim.</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Dostupan je specifični antidot (andeksanet alfa) koji reverzibilno antagonizuje farmakodinamski efekat rivaroksabana (vidjeti Sažetak karakteristika lijeka andeksanet alfa).</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Treba razmotriti mogućnost primjene aktivnog (medicinskog) uglja u cilju smanjenja resorpcije prekomjerne doze rivaroksabana.</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u w:val="single"/>
          <w:lang w:val="sr-Latn-ME"/>
        </w:rPr>
      </w:pPr>
      <w:r w:rsidRPr="00E22DF8">
        <w:rPr>
          <w:bCs/>
          <w:sz w:val="22"/>
          <w:szCs w:val="22"/>
          <w:u w:val="single"/>
          <w:lang w:val="sr-Latn-ME"/>
        </w:rPr>
        <w:t>Postupak liječenja u slučaju krvarenja</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Ukoliko se kod pacijenta koji prima rivaroksaban pojavi komplikacija krvarenja, sljedeću primjenu rivaroksabana treba odložiti ili terapiju treba prekinuti na odgovarajući način. Rivaroksaban ima poluvrijeme eliminacije od približno 5 do 13 sati (vidjeti </w:t>
      </w:r>
      <w:r w:rsidR="00A47B64" w:rsidRPr="00E22DF8">
        <w:rPr>
          <w:bCs/>
          <w:sz w:val="22"/>
          <w:szCs w:val="22"/>
          <w:lang w:val="sr-Latn-ME"/>
        </w:rPr>
        <w:t xml:space="preserve">dio </w:t>
      </w:r>
      <w:r w:rsidRPr="00E22DF8">
        <w:rPr>
          <w:bCs/>
          <w:sz w:val="22"/>
          <w:szCs w:val="22"/>
          <w:lang w:val="sr-Latn-ME"/>
        </w:rPr>
        <w:t>5.2). Postupak liječenja treba prilagoditi svakom pacijentu pojedinačno u skladu sa težinom i mjestom krvarenja. Po potrebi treba koristiti odgovarajuću simptomatsku terapiju, npr. mehaničku kompresiju (npr. kod ozbiljne epistakse), hiruršku hemostazu sa procedurama kontrole krvarenja, nadoknadu tečnosti i hemodinamsku suportivnu terapiju, primjenu derivata krvi (</w:t>
      </w:r>
      <w:r w:rsidR="00A24AE1" w:rsidRPr="00E22DF8">
        <w:rPr>
          <w:bCs/>
          <w:sz w:val="22"/>
          <w:szCs w:val="22"/>
          <w:lang w:val="sr-Latn-ME"/>
        </w:rPr>
        <w:t xml:space="preserve">koncentrovani </w:t>
      </w:r>
      <w:r w:rsidRPr="00E22DF8">
        <w:rPr>
          <w:bCs/>
          <w:sz w:val="22"/>
          <w:szCs w:val="22"/>
          <w:lang w:val="sr-Latn-ME"/>
        </w:rPr>
        <w:t>eritrociti ili svježe zamrznuta plazma, u zavisnosti od pridružene anemije ili koagulopatije) ili trombocita.</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Ako se krvarenje ne može kontrolisati prethodno navedenim mjerama, treba razmotriti primjenu specifičnog sredstva za poništavanje inhibitora faktora Xa (andeksanet alfa), koje antagonizuje farmakodinamske efekte rivaroksabana, ili specifičnog reverznog prokoagulantnog sredstva, poput koncentrata protrombinskog kompleksa (engl. </w:t>
      </w:r>
      <w:r w:rsidRPr="00E22DF8">
        <w:rPr>
          <w:bCs/>
          <w:i/>
          <w:sz w:val="22"/>
          <w:szCs w:val="22"/>
          <w:lang w:val="sr-Latn-ME"/>
        </w:rPr>
        <w:t>prothrombin complex concentrate</w:t>
      </w:r>
      <w:r w:rsidRPr="00E22DF8">
        <w:rPr>
          <w:bCs/>
          <w:sz w:val="22"/>
          <w:szCs w:val="22"/>
          <w:lang w:val="sr-Latn-ME"/>
        </w:rPr>
        <w:t xml:space="preserve">, PCC), koncentrata aktiviranog protrombin kompleksa (engl. </w:t>
      </w:r>
      <w:r w:rsidRPr="00E22DF8">
        <w:rPr>
          <w:bCs/>
          <w:i/>
          <w:sz w:val="22"/>
          <w:szCs w:val="22"/>
          <w:lang w:val="sr-Latn-ME"/>
        </w:rPr>
        <w:t>activated prothrombin complex concentrate</w:t>
      </w:r>
      <w:r w:rsidRPr="00E22DF8">
        <w:rPr>
          <w:bCs/>
          <w:sz w:val="22"/>
          <w:szCs w:val="22"/>
          <w:lang w:val="sr-Latn-ME"/>
        </w:rPr>
        <w:t>, APCC) ili rekombinantnog faktora VIIa (r-FVIIa). Međutim, trenutno postoji veoma ograničeno kliničko iskustvo sa primjenom ovih proizvoda</w:t>
      </w:r>
      <w:r w:rsidR="00D40079" w:rsidRPr="00E22DF8">
        <w:rPr>
          <w:bCs/>
          <w:sz w:val="22"/>
          <w:szCs w:val="22"/>
          <w:lang w:val="sr-Latn-ME"/>
        </w:rPr>
        <w:t xml:space="preserve"> kod pacijenata koji primaju rivaroksaban</w:t>
      </w:r>
      <w:r w:rsidRPr="00E22DF8">
        <w:rPr>
          <w:bCs/>
          <w:sz w:val="22"/>
          <w:szCs w:val="22"/>
          <w:lang w:val="sr-Latn-ME"/>
        </w:rPr>
        <w:t xml:space="preserve">. Preporuka se takođe zasniva na ograničenim </w:t>
      </w:r>
      <w:r w:rsidR="00FE0FE8" w:rsidRPr="00E22DF8">
        <w:rPr>
          <w:bCs/>
          <w:sz w:val="22"/>
          <w:szCs w:val="22"/>
          <w:lang w:val="sr-Latn-ME"/>
        </w:rPr>
        <w:t xml:space="preserve">pretkliničkim </w:t>
      </w:r>
      <w:r w:rsidRPr="00E22DF8">
        <w:rPr>
          <w:bCs/>
          <w:sz w:val="22"/>
          <w:szCs w:val="22"/>
          <w:lang w:val="sr-Latn-ME"/>
        </w:rPr>
        <w:t xml:space="preserve">podacima. Ponovno doziranje rekombinantnog faktora VIIa se mora razmotriti i titrirati u zavisnosti od poboljšanja stanja krvarenja. U zavisnosti od lokalne dostupnosti, u slučaju </w:t>
      </w:r>
      <w:r w:rsidR="00E32885" w:rsidRPr="00E22DF8">
        <w:rPr>
          <w:bCs/>
          <w:sz w:val="22"/>
          <w:szCs w:val="22"/>
          <w:lang w:val="sr-Latn-ME"/>
        </w:rPr>
        <w:t xml:space="preserve">velikih </w:t>
      </w:r>
      <w:r w:rsidRPr="00E22DF8">
        <w:rPr>
          <w:bCs/>
          <w:sz w:val="22"/>
          <w:szCs w:val="22"/>
          <w:lang w:val="sr-Latn-ME"/>
        </w:rPr>
        <w:t xml:space="preserve">krvarenja potrebno je razmotriti savjetovanje sa </w:t>
      </w:r>
      <w:r w:rsidR="00D40079" w:rsidRPr="00E22DF8">
        <w:rPr>
          <w:bCs/>
          <w:sz w:val="22"/>
          <w:szCs w:val="22"/>
          <w:lang w:val="sr-Latn-ME"/>
        </w:rPr>
        <w:t xml:space="preserve">stručnjakom za koagulaciju </w:t>
      </w:r>
      <w:r w:rsidRPr="00E22DF8">
        <w:rPr>
          <w:bCs/>
          <w:sz w:val="22"/>
          <w:szCs w:val="22"/>
          <w:lang w:val="sr-Latn-ME"/>
        </w:rPr>
        <w:t xml:space="preserve">(vidjeti </w:t>
      </w:r>
      <w:r w:rsidR="00FE0FE8" w:rsidRPr="00E22DF8">
        <w:rPr>
          <w:bCs/>
          <w:sz w:val="22"/>
          <w:szCs w:val="22"/>
          <w:lang w:val="sr-Latn-ME"/>
        </w:rPr>
        <w:t xml:space="preserve">dio </w:t>
      </w:r>
      <w:r w:rsidRPr="00E22DF8">
        <w:rPr>
          <w:bCs/>
          <w:sz w:val="22"/>
          <w:szCs w:val="22"/>
          <w:lang w:val="sr-Latn-ME"/>
        </w:rPr>
        <w:t>5.1).</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Ne očekuje se da protamin</w:t>
      </w:r>
      <w:r w:rsidR="00FE0FE8" w:rsidRPr="00E22DF8">
        <w:rPr>
          <w:bCs/>
          <w:sz w:val="22"/>
          <w:szCs w:val="22"/>
          <w:lang w:val="sr-Latn-ME"/>
        </w:rPr>
        <w:t xml:space="preserve"> </w:t>
      </w:r>
      <w:r w:rsidRPr="00E22DF8">
        <w:rPr>
          <w:bCs/>
          <w:sz w:val="22"/>
          <w:szCs w:val="22"/>
          <w:lang w:val="sr-Latn-ME"/>
        </w:rPr>
        <w:t>sulfat i vitamin K utiču na antikoagulantnu aktivnost rivaroksabana. Iskustvo primjene traneksamične kiseline je ograničeno, dok nema iskustva sa aminokaproinskom kiselinom i aprotininom kod osoba koje primaju rivaroksaban. Nema ni naučnog osnova za korist, niti iskustva sa primjenom sistemskog hemostatika dezmopresina kod osoba koje primaju rivaroksaban. Ne očekuje se da se rivaroksaban uklanja dijalizom</w:t>
      </w:r>
      <w:r w:rsidR="00FE0FE8" w:rsidRPr="00E22DF8">
        <w:rPr>
          <w:bCs/>
          <w:sz w:val="22"/>
          <w:szCs w:val="22"/>
          <w:lang w:val="sr-Latn-ME"/>
        </w:rPr>
        <w:t>,</w:t>
      </w:r>
      <w:r w:rsidRPr="00E22DF8">
        <w:rPr>
          <w:bCs/>
          <w:sz w:val="22"/>
          <w:szCs w:val="22"/>
          <w:lang w:val="sr-Latn-ME"/>
        </w:rPr>
        <w:t xml:space="preserve"> zbog velikog stepena vezivanja za protein plazme.</w:t>
      </w:r>
    </w:p>
    <w:p w:rsidR="00CD6F02" w:rsidRPr="00E22DF8" w:rsidRDefault="00CD6F02" w:rsidP="00480FB1">
      <w:pPr>
        <w:tabs>
          <w:tab w:val="left" w:pos="540"/>
          <w:tab w:val="left" w:pos="569"/>
        </w:tabs>
        <w:rPr>
          <w:b/>
          <w:bCs/>
          <w:sz w:val="22"/>
          <w:szCs w:val="22"/>
          <w:lang w:val="sr-Latn-ME"/>
        </w:rPr>
      </w:pPr>
    </w:p>
    <w:p w:rsidR="00227BDB" w:rsidRPr="00E22DF8" w:rsidRDefault="00227BDB"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5. </w:t>
      </w:r>
      <w:r w:rsidR="00480FB1" w:rsidRPr="00E22DF8">
        <w:rPr>
          <w:b/>
          <w:bCs/>
          <w:sz w:val="22"/>
          <w:szCs w:val="22"/>
          <w:lang w:val="sr-Latn-ME"/>
        </w:rPr>
        <w:tab/>
      </w:r>
      <w:r w:rsidRPr="00E22DF8">
        <w:rPr>
          <w:b/>
          <w:bCs/>
          <w:sz w:val="22"/>
          <w:szCs w:val="22"/>
          <w:lang w:val="sr-Latn-ME"/>
        </w:rPr>
        <w:t>FARMAKOLOŠK</w:t>
      </w:r>
      <w:r w:rsidR="000D425A" w:rsidRPr="00E22DF8">
        <w:rPr>
          <w:b/>
          <w:bCs/>
          <w:sz w:val="22"/>
          <w:szCs w:val="22"/>
          <w:lang w:val="sr-Latn-ME"/>
        </w:rPr>
        <w:t>I</w:t>
      </w:r>
      <w:r w:rsidRPr="00E22DF8">
        <w:rPr>
          <w:b/>
          <w:bCs/>
          <w:sz w:val="22"/>
          <w:szCs w:val="22"/>
          <w:lang w:val="sr-Latn-ME"/>
        </w:rPr>
        <w:t xml:space="preserve"> PODACI</w:t>
      </w:r>
    </w:p>
    <w:p w:rsidR="0072020E" w:rsidRPr="00E22DF8" w:rsidRDefault="0072020E"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5.1. </w:t>
      </w:r>
      <w:r w:rsidR="00480FB1" w:rsidRPr="00E22DF8">
        <w:rPr>
          <w:b/>
          <w:bCs/>
          <w:sz w:val="22"/>
          <w:szCs w:val="22"/>
          <w:lang w:val="sr-Latn-ME"/>
        </w:rPr>
        <w:tab/>
      </w:r>
      <w:r w:rsidRPr="00E22DF8">
        <w:rPr>
          <w:b/>
          <w:bCs/>
          <w:sz w:val="22"/>
          <w:szCs w:val="22"/>
          <w:lang w:val="sr-Latn-ME"/>
        </w:rPr>
        <w:t>Farmakodinamski podaci</w:t>
      </w:r>
      <w:r w:rsidR="003A7059" w:rsidRPr="00E22DF8">
        <w:rPr>
          <w:b/>
          <w:bCs/>
          <w:sz w:val="22"/>
          <w:szCs w:val="22"/>
          <w:lang w:val="sr-Latn-ME"/>
        </w:rPr>
        <w:t xml:space="preserve"> </w:t>
      </w:r>
    </w:p>
    <w:p w:rsidR="00F45F77" w:rsidRPr="00E22DF8" w:rsidRDefault="00F45F77"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Cs/>
          <w:sz w:val="22"/>
          <w:szCs w:val="22"/>
          <w:lang w:val="sr-Latn-ME"/>
        </w:rPr>
      </w:pPr>
      <w:r w:rsidRPr="00E22DF8">
        <w:rPr>
          <w:bCs/>
          <w:sz w:val="22"/>
          <w:szCs w:val="22"/>
          <w:lang w:val="sr-Latn-ME"/>
        </w:rPr>
        <w:t>Farmakoterapijska grupa:</w:t>
      </w:r>
      <w:r w:rsidR="00A539BF" w:rsidRPr="00E22DF8">
        <w:rPr>
          <w:bCs/>
          <w:sz w:val="22"/>
          <w:szCs w:val="22"/>
          <w:lang w:val="sr-Latn-ME"/>
        </w:rPr>
        <w:t xml:space="preserve"> Antitrombotička sredstva (antikoagulansi), direktni inhibitori faktora Xa</w:t>
      </w:r>
    </w:p>
    <w:p w:rsidR="0072020E" w:rsidRPr="00E22DF8" w:rsidRDefault="0072020E"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Cs/>
          <w:sz w:val="22"/>
          <w:szCs w:val="22"/>
          <w:lang w:val="sr-Latn-ME"/>
        </w:rPr>
      </w:pPr>
      <w:r w:rsidRPr="00E22DF8">
        <w:rPr>
          <w:bCs/>
          <w:sz w:val="22"/>
          <w:szCs w:val="22"/>
          <w:lang w:val="sr-Latn-ME"/>
        </w:rPr>
        <w:lastRenderedPageBreak/>
        <w:t>ATC kod:</w:t>
      </w:r>
      <w:r w:rsidR="00A539BF" w:rsidRPr="00E22DF8">
        <w:rPr>
          <w:bCs/>
          <w:sz w:val="22"/>
          <w:szCs w:val="22"/>
          <w:lang w:val="sr-Latn-ME"/>
        </w:rPr>
        <w:t xml:space="preserve"> B01AF01</w:t>
      </w:r>
    </w:p>
    <w:p w:rsidR="002E37A5" w:rsidRPr="00E22DF8" w:rsidRDefault="002E37A5" w:rsidP="00480FB1">
      <w:pPr>
        <w:tabs>
          <w:tab w:val="left" w:pos="540"/>
          <w:tab w:val="left" w:pos="569"/>
        </w:tabs>
        <w:rPr>
          <w:b/>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u w:val="single"/>
          <w:lang w:val="sr-Latn-ME"/>
        </w:rPr>
        <w:t>Mehanizam dejstva</w:t>
      </w:r>
    </w:p>
    <w:p w:rsidR="00325A16" w:rsidRDefault="00325A16"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Rivaroksaban je visoko selektivan direktni inhibitor faktora Xa, bioraspoloživ nakon oralne primjene. Inhibicija faktora Xa prekida intrinzički (unutrašnji) i ekstrinzički (spoljašnji) put kaskade koagulacije krvi, čime se inhibira stvaranje trombina i formiranje tromba. Rivaroksaban ne inhibira trombin (aktivirani faktor II) i nisu pokazani efekti na trombocite.</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u w:val="single"/>
          <w:lang w:val="sr-Latn-ME"/>
        </w:rPr>
        <w:t>Farmakodinamski efekti</w:t>
      </w:r>
    </w:p>
    <w:p w:rsidR="00325A16" w:rsidRDefault="00325A16"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Kod ljudi je primijećena dozno-zavisna inhibicija aktivnosti faktor Xa. Rivaroksaban dozno-zavisno utiče na protrombinsko vrijeme (engl. </w:t>
      </w:r>
      <w:r w:rsidRPr="00E22DF8">
        <w:rPr>
          <w:bCs/>
          <w:i/>
          <w:sz w:val="22"/>
          <w:szCs w:val="22"/>
          <w:lang w:val="sr-Latn-ME"/>
        </w:rPr>
        <w:t>Prothrombin Time</w:t>
      </w:r>
      <w:r w:rsidRPr="00E22DF8">
        <w:rPr>
          <w:bCs/>
          <w:sz w:val="22"/>
          <w:szCs w:val="22"/>
          <w:lang w:val="sr-Latn-ME"/>
        </w:rPr>
        <w:t>, PT), što značajno korelira sa koncentracijama u plazmi (r iznosi 0,98) ukoliko se za test koristi Neoplastin. Drugi reagensi mogu dati drugačije rezultate. PT treba očitavati u sekundama, pošto je INR (engl</w:t>
      </w:r>
      <w:r w:rsidR="00D40079" w:rsidRPr="00E22DF8">
        <w:rPr>
          <w:bCs/>
          <w:sz w:val="22"/>
          <w:szCs w:val="22"/>
          <w:lang w:val="sr-Latn-ME"/>
        </w:rPr>
        <w:t>.</w:t>
      </w:r>
      <w:r w:rsidRPr="00E22DF8">
        <w:rPr>
          <w:bCs/>
          <w:sz w:val="22"/>
          <w:szCs w:val="22"/>
          <w:lang w:val="sr-Latn-ME"/>
        </w:rPr>
        <w:t xml:space="preserve"> </w:t>
      </w:r>
      <w:r w:rsidRPr="00E22DF8">
        <w:rPr>
          <w:bCs/>
          <w:i/>
          <w:sz w:val="22"/>
          <w:szCs w:val="22"/>
          <w:lang w:val="sr-Latn-ME"/>
        </w:rPr>
        <w:t>International Normalized Ratio</w:t>
      </w:r>
      <w:r w:rsidRPr="00E22DF8">
        <w:rPr>
          <w:bCs/>
          <w:sz w:val="22"/>
          <w:szCs w:val="22"/>
          <w:lang w:val="sr-Latn-ME"/>
        </w:rPr>
        <w:t>) kalibrisan i validiran za kumarine i ne može se koristiti za druge antikoagulanse. Kod pacijenata koji se podvrgavaju velikim ortopedskim intervencijama, 5/95 percentila PT vrijednosti (koristeći reagens Neoplastin) 2-4 sata poslije uzimanja tablete (tj. u vrijeme postizanja maksimalnog efekta) obuhvata raspon od 13-25 s (početne vrijednosti prije hirurške intervencije iznose 12-15 s).</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U kliničkoj farmakološkoj studiji poništavanja farmakodinamike rivaroksabana kod zdravih odraslih ispitanika (n=22), procjenjivani su efekti pojedinačnih doza (50 i.j./kg) dva različita tipa koncentrata protrombinskog kompleksa (engl. </w:t>
      </w:r>
      <w:r w:rsidRPr="00E22DF8">
        <w:rPr>
          <w:bCs/>
          <w:i/>
          <w:sz w:val="22"/>
          <w:szCs w:val="22"/>
          <w:lang w:val="sr-Latn-ME"/>
        </w:rPr>
        <w:t xml:space="preserve">prothrombin complex concentrate, </w:t>
      </w:r>
      <w:r w:rsidRPr="00E22DF8">
        <w:rPr>
          <w:bCs/>
          <w:sz w:val="22"/>
          <w:szCs w:val="22"/>
          <w:lang w:val="sr-Latn-ME"/>
        </w:rPr>
        <w:t xml:space="preserve">PCC), PCC-a koji sadrži 3 faktora (Faktori II, IX i X) i PCC-a koji sadrži 4 faktora (Faktori II, VII, IX i X). PCC sa 3 faktora je smanjio srednje vrijednosti PT-a sa Neoplastinom za približno 1,0 sekundu unutar 30 minuta, u poređenju sa smanjenjem od približno 3,5 sekundi koje je zapaženo kod PCC sa 4 faktora. Suprotno tome, PCC sa 3 faktora je imao veći i brži cjelokupni efekat na reverziju promjena u stvaranju endogenog trombina, u odnosu na PCC sa 4 faktora (vidjeti </w:t>
      </w:r>
      <w:r w:rsidR="00D40079" w:rsidRPr="00E22DF8">
        <w:rPr>
          <w:bCs/>
          <w:sz w:val="22"/>
          <w:szCs w:val="22"/>
          <w:lang w:val="sr-Latn-ME"/>
        </w:rPr>
        <w:t xml:space="preserve">dio </w:t>
      </w:r>
      <w:r w:rsidRPr="00E22DF8">
        <w:rPr>
          <w:bCs/>
          <w:sz w:val="22"/>
          <w:szCs w:val="22"/>
          <w:lang w:val="sr-Latn-ME"/>
        </w:rPr>
        <w:t>4.9).</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Aktivirano parcijalno tromboplastinsko vrijeme (engl. </w:t>
      </w:r>
      <w:r w:rsidRPr="00E22DF8">
        <w:rPr>
          <w:bCs/>
          <w:i/>
          <w:sz w:val="22"/>
          <w:szCs w:val="22"/>
          <w:lang w:val="sr-Latn-ME"/>
        </w:rPr>
        <w:t xml:space="preserve">Activated Partial Thromboplastin Time </w:t>
      </w:r>
      <w:r w:rsidRPr="00E22DF8">
        <w:rPr>
          <w:bCs/>
          <w:sz w:val="22"/>
          <w:szCs w:val="22"/>
          <w:lang w:val="sr-Latn-ME"/>
        </w:rPr>
        <w:t>- aPTT)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w:t>
      </w:r>
      <w:r w:rsidR="00D40079" w:rsidRPr="00E22DF8">
        <w:rPr>
          <w:bCs/>
          <w:sz w:val="22"/>
          <w:szCs w:val="22"/>
          <w:lang w:val="sr-Latn-ME"/>
        </w:rPr>
        <w:t>,</w:t>
      </w:r>
      <w:r w:rsidRPr="00E22DF8">
        <w:rPr>
          <w:bCs/>
          <w:sz w:val="22"/>
          <w:szCs w:val="22"/>
          <w:lang w:val="sr-Latn-ME"/>
        </w:rPr>
        <w:t xml:space="preserve"> koncentracija rivaroksabana se može odrediti kalibrisanim kvantitativnim anti-faktor Xa testovima (vidjeti </w:t>
      </w:r>
      <w:r w:rsidR="00D40079" w:rsidRPr="00E22DF8">
        <w:rPr>
          <w:bCs/>
          <w:sz w:val="22"/>
          <w:szCs w:val="22"/>
          <w:lang w:val="sr-Latn-ME"/>
        </w:rPr>
        <w:t xml:space="preserve">dio </w:t>
      </w:r>
      <w:r w:rsidRPr="00E22DF8">
        <w:rPr>
          <w:bCs/>
          <w:sz w:val="22"/>
          <w:szCs w:val="22"/>
          <w:lang w:val="sr-Latn-ME"/>
        </w:rPr>
        <w:t>5.2).</w:t>
      </w:r>
    </w:p>
    <w:p w:rsidR="00A539BF" w:rsidRPr="00E22DF8" w:rsidRDefault="00A539BF" w:rsidP="00A539BF">
      <w:pPr>
        <w:tabs>
          <w:tab w:val="left" w:pos="540"/>
          <w:tab w:val="left" w:pos="569"/>
        </w:tabs>
        <w:jc w:val="both"/>
        <w:rPr>
          <w:bCs/>
          <w:sz w:val="22"/>
          <w:szCs w:val="22"/>
          <w:lang w:val="sr-Latn-ME"/>
        </w:rPr>
      </w:pPr>
    </w:p>
    <w:p w:rsidR="00A539BF" w:rsidRPr="00E22DF8" w:rsidRDefault="00A539BF" w:rsidP="00A539BF">
      <w:pPr>
        <w:tabs>
          <w:tab w:val="left" w:pos="540"/>
          <w:tab w:val="left" w:pos="569"/>
        </w:tabs>
        <w:jc w:val="both"/>
        <w:rPr>
          <w:bCs/>
          <w:sz w:val="22"/>
          <w:szCs w:val="22"/>
          <w:lang w:val="sr-Latn-ME"/>
        </w:rPr>
      </w:pPr>
      <w:r w:rsidRPr="00E22DF8">
        <w:rPr>
          <w:bCs/>
          <w:sz w:val="22"/>
          <w:szCs w:val="22"/>
          <w:u w:val="single"/>
          <w:lang w:val="sr-Latn-ME"/>
        </w:rPr>
        <w:t>Klinička efikasnost i bezbjednost</w:t>
      </w:r>
    </w:p>
    <w:p w:rsidR="00325A16" w:rsidRDefault="00325A16" w:rsidP="00A539BF">
      <w:pPr>
        <w:tabs>
          <w:tab w:val="left" w:pos="540"/>
          <w:tab w:val="left" w:pos="569"/>
        </w:tabs>
        <w:jc w:val="both"/>
        <w:rPr>
          <w:bCs/>
          <w:i/>
          <w:sz w:val="22"/>
          <w:szCs w:val="22"/>
          <w:lang w:val="sr-Latn-ME"/>
        </w:rPr>
      </w:pPr>
    </w:p>
    <w:p w:rsidR="00A539BF" w:rsidRPr="00E22DF8" w:rsidRDefault="00A539BF" w:rsidP="00A539BF">
      <w:pPr>
        <w:tabs>
          <w:tab w:val="left" w:pos="540"/>
          <w:tab w:val="left" w:pos="569"/>
        </w:tabs>
        <w:jc w:val="both"/>
        <w:rPr>
          <w:bCs/>
          <w:i/>
          <w:sz w:val="22"/>
          <w:szCs w:val="22"/>
          <w:lang w:val="sr-Latn-ME"/>
        </w:rPr>
      </w:pPr>
      <w:r w:rsidRPr="00E22DF8">
        <w:rPr>
          <w:bCs/>
          <w:i/>
          <w:sz w:val="22"/>
          <w:szCs w:val="22"/>
          <w:lang w:val="sr-Latn-ME"/>
        </w:rPr>
        <w:t>Prevencija VTE kod odraslih pacijenata koji se podvrgavaju elektivnoj hirurškoj intervenciji zamjene zgloba kuka ili koljena</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Klinički program ispitivanja rivaroksabana dizajniran je tako da se pokaže efikasnost ovog lijeka u prevenciji venske tromboembolije (VTE), tj. proksimalne i distalne tromboze dubokih vena (DVT) i plućne embolije (PE) kod pacijenata koji se podvrgavaju velikim ortopedskim intervencijama donjih ekstremiteta. Više od 9500 pacijenata (7050 sa ugradnjom vještačkog kuka i 2531 sa ugradnjom vještačkog koljena) ispitivano je u randomizovanim kontrolisanim dvostruko-slijepim </w:t>
      </w:r>
      <w:r w:rsidR="002A10EF" w:rsidRPr="00E22DF8">
        <w:rPr>
          <w:bCs/>
          <w:sz w:val="22"/>
          <w:szCs w:val="22"/>
          <w:lang w:val="sr-Latn-ME"/>
        </w:rPr>
        <w:t xml:space="preserve">kliničkim </w:t>
      </w:r>
      <w:r w:rsidRPr="00E22DF8">
        <w:rPr>
          <w:bCs/>
          <w:sz w:val="22"/>
          <w:szCs w:val="22"/>
          <w:lang w:val="sr-Latn-ME"/>
        </w:rPr>
        <w:t xml:space="preserve">studijama faze </w:t>
      </w:r>
      <w:r w:rsidR="002A10EF" w:rsidRPr="00E22DF8">
        <w:rPr>
          <w:bCs/>
          <w:sz w:val="22"/>
          <w:szCs w:val="22"/>
          <w:lang w:val="sr-Latn-ME"/>
        </w:rPr>
        <w:t xml:space="preserve">III </w:t>
      </w:r>
      <w:r w:rsidRPr="00E22DF8">
        <w:rPr>
          <w:bCs/>
          <w:sz w:val="22"/>
          <w:szCs w:val="22"/>
          <w:lang w:val="sr-Latn-ME"/>
        </w:rPr>
        <w:t>(RECORD program).</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Terapija rivaroksabanom u dozi od 10 mg, jednom dnevno, prva doza primijenjena 6 sati poslije hirurške intervencije, poređena je sa terapijom enoksaparinom u dozi od 40 mg, jednom dnevno, prva doza </w:t>
      </w:r>
      <w:r w:rsidR="002A10EF" w:rsidRPr="00E22DF8">
        <w:rPr>
          <w:bCs/>
          <w:sz w:val="22"/>
          <w:szCs w:val="22"/>
          <w:lang w:val="sr-Latn-ME"/>
        </w:rPr>
        <w:t xml:space="preserve">primijenjena </w:t>
      </w:r>
      <w:r w:rsidRPr="00E22DF8">
        <w:rPr>
          <w:bCs/>
          <w:sz w:val="22"/>
          <w:szCs w:val="22"/>
          <w:lang w:val="sr-Latn-ME"/>
        </w:rPr>
        <w:t xml:space="preserve">12 sati prije hirurške intervencije. U </w:t>
      </w:r>
      <w:r w:rsidR="007D63B4" w:rsidRPr="00E22DF8">
        <w:rPr>
          <w:bCs/>
          <w:sz w:val="22"/>
          <w:szCs w:val="22"/>
          <w:lang w:val="sr-Latn-ME"/>
        </w:rPr>
        <w:t xml:space="preserve">sve tri studije </w:t>
      </w:r>
      <w:r w:rsidR="002A10EF" w:rsidRPr="00E22DF8">
        <w:rPr>
          <w:bCs/>
          <w:sz w:val="22"/>
          <w:szCs w:val="22"/>
          <w:lang w:val="sr-Latn-ME"/>
        </w:rPr>
        <w:t xml:space="preserve">faze III </w:t>
      </w:r>
      <w:r w:rsidR="007D63B4" w:rsidRPr="00E22DF8">
        <w:rPr>
          <w:bCs/>
          <w:sz w:val="22"/>
          <w:szCs w:val="22"/>
          <w:lang w:val="sr-Latn-ME"/>
        </w:rPr>
        <w:t>(vidjeti T</w:t>
      </w:r>
      <w:r w:rsidRPr="00E22DF8">
        <w:rPr>
          <w:bCs/>
          <w:sz w:val="22"/>
          <w:szCs w:val="22"/>
          <w:lang w:val="sr-Latn-ME"/>
        </w:rPr>
        <w:t>abelu 4), rivaroksaban je značajno smanjivao učestalost svih VTE događaja, ukupno (bilo koja venografski dokazana ili simptomatska TDV, PE bez smrtnog ishoda i smrtni ishod) i učestalost glavnih VTE događaja (proksimalna TDV, PE bez smrtnog ishoda i smrtni ishod usljed VTE), kao unaprijed određenih primarnih i sekundarnih parametara efikasnosti. Osim toga, u sve tri studije, učestalost simptomatske VTE (simptomatska TDV, PE bez smrtnog ishoda, smrtni ishod usljed VTE) bila je manja  kod pacijenata liječenih rivaroksabanom u poređenju sa pacijentima koji su dobijali enoksaparin.</w:t>
      </w:r>
    </w:p>
    <w:p w:rsidR="00A539BF" w:rsidRPr="00E22DF8" w:rsidRDefault="00A539BF" w:rsidP="00A539BF">
      <w:pPr>
        <w:tabs>
          <w:tab w:val="left" w:pos="540"/>
          <w:tab w:val="left" w:pos="569"/>
        </w:tabs>
        <w:jc w:val="both"/>
        <w:rPr>
          <w:bCs/>
          <w:sz w:val="22"/>
          <w:szCs w:val="22"/>
          <w:lang w:val="sr-Latn-ME"/>
        </w:rPr>
      </w:pPr>
      <w:r w:rsidRPr="00E22DF8">
        <w:rPr>
          <w:bCs/>
          <w:sz w:val="22"/>
          <w:szCs w:val="22"/>
          <w:lang w:val="sr-Latn-ME"/>
        </w:rPr>
        <w:t xml:space="preserve">Glavni parametar bezbjednosti, </w:t>
      </w:r>
      <w:r w:rsidR="00BD26F2" w:rsidRPr="00E22DF8">
        <w:rPr>
          <w:bCs/>
          <w:sz w:val="22"/>
          <w:szCs w:val="22"/>
          <w:lang w:val="sr-Latn-ME"/>
        </w:rPr>
        <w:t xml:space="preserve">veliko </w:t>
      </w:r>
      <w:r w:rsidRPr="00E22DF8">
        <w:rPr>
          <w:bCs/>
          <w:sz w:val="22"/>
          <w:szCs w:val="22"/>
          <w:lang w:val="sr-Latn-ME"/>
        </w:rPr>
        <w:t>krvarenje, bilo je slično kod pacijenata koji su liječeni rivaroksabanom 10 mg u poređenju sa onima koji su dobijali enoksaparin 40 mg.</w:t>
      </w:r>
    </w:p>
    <w:p w:rsidR="00A539BF" w:rsidRPr="00E22DF8" w:rsidRDefault="00A539BF" w:rsidP="00A539BF">
      <w:pPr>
        <w:tabs>
          <w:tab w:val="left" w:pos="540"/>
          <w:tab w:val="left" w:pos="569"/>
        </w:tabs>
        <w:jc w:val="both"/>
        <w:rPr>
          <w:bCs/>
          <w:sz w:val="22"/>
          <w:szCs w:val="22"/>
          <w:lang w:val="sr-Latn-ME"/>
        </w:rPr>
      </w:pPr>
    </w:p>
    <w:p w:rsidR="00325A16" w:rsidRDefault="00325A16" w:rsidP="00A539BF">
      <w:pPr>
        <w:tabs>
          <w:tab w:val="left" w:pos="540"/>
          <w:tab w:val="left" w:pos="569"/>
        </w:tabs>
        <w:rPr>
          <w:b/>
          <w:bCs/>
          <w:sz w:val="22"/>
          <w:szCs w:val="22"/>
          <w:lang w:val="sr-Latn-ME"/>
        </w:rPr>
      </w:pPr>
    </w:p>
    <w:p w:rsidR="00A539BF" w:rsidRPr="00E22DF8" w:rsidRDefault="00A539BF" w:rsidP="00A539BF">
      <w:pPr>
        <w:tabs>
          <w:tab w:val="left" w:pos="540"/>
          <w:tab w:val="left" w:pos="569"/>
        </w:tabs>
        <w:rPr>
          <w:b/>
          <w:bCs/>
          <w:sz w:val="22"/>
          <w:szCs w:val="22"/>
          <w:lang w:val="sr-Latn-ME"/>
        </w:rPr>
      </w:pPr>
      <w:r w:rsidRPr="00E22DF8">
        <w:rPr>
          <w:b/>
          <w:bCs/>
          <w:sz w:val="22"/>
          <w:szCs w:val="22"/>
          <w:lang w:val="sr-Latn-ME"/>
        </w:rPr>
        <w:lastRenderedPageBreak/>
        <w:t>Tabela 4: Rezultati ispitivanja efikasnosti i bezbjednosti u kliničkim studijama faze III</w:t>
      </w:r>
    </w:p>
    <w:p w:rsidR="005E2E32" w:rsidRPr="00E22DF8" w:rsidRDefault="005E2E32" w:rsidP="00A539BF">
      <w:pPr>
        <w:tabs>
          <w:tab w:val="left" w:pos="540"/>
          <w:tab w:val="left" w:pos="569"/>
        </w:tabs>
        <w:rPr>
          <w:b/>
          <w:bCs/>
          <w:sz w:val="22"/>
          <w:szCs w:val="22"/>
          <w:lang w:val="sr-Latn-ME"/>
        </w:rPr>
      </w:pPr>
    </w:p>
    <w:tbl>
      <w:tblPr>
        <w:tblStyle w:val="TableGrid"/>
        <w:tblW w:w="0" w:type="auto"/>
        <w:tblLook w:val="04A0" w:firstRow="1" w:lastRow="0" w:firstColumn="1" w:lastColumn="0" w:noHBand="0" w:noVBand="1"/>
      </w:tblPr>
      <w:tblGrid>
        <w:gridCol w:w="1087"/>
        <w:gridCol w:w="1063"/>
        <w:gridCol w:w="982"/>
        <w:gridCol w:w="563"/>
        <w:gridCol w:w="1060"/>
        <w:gridCol w:w="983"/>
        <w:gridCol w:w="563"/>
        <w:gridCol w:w="1158"/>
        <w:gridCol w:w="1038"/>
        <w:gridCol w:w="566"/>
      </w:tblGrid>
      <w:tr w:rsidR="005E2E32" w:rsidRPr="00E22DF8" w:rsidTr="00F11BC8">
        <w:tc>
          <w:tcPr>
            <w:tcW w:w="1089" w:type="dxa"/>
          </w:tcPr>
          <w:p w:rsidR="00A539BF" w:rsidRPr="00E22DF8" w:rsidRDefault="00A539BF" w:rsidP="00A539BF">
            <w:pPr>
              <w:widowControl w:val="0"/>
              <w:autoSpaceDE w:val="0"/>
              <w:autoSpaceDN w:val="0"/>
              <w:rPr>
                <w:sz w:val="22"/>
                <w:szCs w:val="22"/>
                <w:lang w:val="sr-Latn-ME"/>
              </w:rPr>
            </w:pPr>
          </w:p>
        </w:tc>
        <w:tc>
          <w:tcPr>
            <w:tcW w:w="2611" w:type="dxa"/>
            <w:gridSpan w:val="3"/>
          </w:tcPr>
          <w:p w:rsidR="00A539BF" w:rsidRPr="00E22DF8" w:rsidRDefault="00A539BF" w:rsidP="00A539BF">
            <w:pPr>
              <w:widowControl w:val="0"/>
              <w:autoSpaceDE w:val="0"/>
              <w:autoSpaceDN w:val="0"/>
              <w:spacing w:line="186" w:lineRule="exact"/>
              <w:ind w:left="9"/>
              <w:rPr>
                <w:sz w:val="22"/>
                <w:szCs w:val="22"/>
                <w:lang w:val="sr-Latn-ME"/>
              </w:rPr>
            </w:pPr>
            <w:r w:rsidRPr="00E22DF8">
              <w:rPr>
                <w:sz w:val="22"/>
                <w:szCs w:val="22"/>
                <w:lang w:val="sr-Latn-ME"/>
              </w:rPr>
              <w:t>RECORD 1</w:t>
            </w:r>
          </w:p>
        </w:tc>
        <w:tc>
          <w:tcPr>
            <w:tcW w:w="2611" w:type="dxa"/>
            <w:gridSpan w:val="3"/>
          </w:tcPr>
          <w:p w:rsidR="00A539BF" w:rsidRPr="00E22DF8" w:rsidRDefault="00A539BF" w:rsidP="00A539BF">
            <w:pPr>
              <w:widowControl w:val="0"/>
              <w:autoSpaceDE w:val="0"/>
              <w:autoSpaceDN w:val="0"/>
              <w:spacing w:line="186" w:lineRule="exact"/>
              <w:ind w:left="5"/>
              <w:rPr>
                <w:sz w:val="22"/>
                <w:szCs w:val="22"/>
                <w:lang w:val="sr-Latn-ME"/>
              </w:rPr>
            </w:pPr>
            <w:r w:rsidRPr="00E22DF8">
              <w:rPr>
                <w:sz w:val="22"/>
                <w:szCs w:val="22"/>
                <w:lang w:val="sr-Latn-ME"/>
              </w:rPr>
              <w:t>RECORD 2</w:t>
            </w:r>
          </w:p>
        </w:tc>
        <w:tc>
          <w:tcPr>
            <w:tcW w:w="2752" w:type="dxa"/>
            <w:gridSpan w:val="3"/>
          </w:tcPr>
          <w:p w:rsidR="00A539BF" w:rsidRPr="00E22DF8" w:rsidRDefault="00A539BF" w:rsidP="00A539BF">
            <w:pPr>
              <w:widowControl w:val="0"/>
              <w:autoSpaceDE w:val="0"/>
              <w:autoSpaceDN w:val="0"/>
              <w:spacing w:line="186" w:lineRule="exact"/>
              <w:ind w:left="6"/>
              <w:rPr>
                <w:sz w:val="22"/>
                <w:szCs w:val="22"/>
                <w:lang w:val="sr-Latn-ME"/>
              </w:rPr>
            </w:pPr>
            <w:r w:rsidRPr="00E22DF8">
              <w:rPr>
                <w:sz w:val="22"/>
                <w:szCs w:val="22"/>
                <w:lang w:val="sr-Latn-ME"/>
              </w:rPr>
              <w:t>RECORD 3</w:t>
            </w:r>
          </w:p>
        </w:tc>
      </w:tr>
      <w:tr w:rsidR="005E2E32" w:rsidRPr="00E22DF8" w:rsidTr="00F11BC8">
        <w:tc>
          <w:tcPr>
            <w:tcW w:w="1089" w:type="dxa"/>
          </w:tcPr>
          <w:p w:rsidR="005E2E32" w:rsidRPr="00E22DF8" w:rsidRDefault="00F11BC8" w:rsidP="005E2E32">
            <w:pPr>
              <w:rPr>
                <w:sz w:val="20"/>
                <w:szCs w:val="20"/>
                <w:lang w:val="sr-Latn-ME"/>
              </w:rPr>
            </w:pPr>
            <w:r w:rsidRPr="00E22DF8">
              <w:rPr>
                <w:sz w:val="20"/>
                <w:szCs w:val="20"/>
                <w:lang w:val="sr-Latn-ME"/>
              </w:rPr>
              <w:t>Ispitivana populacij</w:t>
            </w:r>
            <w:r w:rsidR="005E2E32" w:rsidRPr="00E22DF8">
              <w:rPr>
                <w:sz w:val="20"/>
                <w:szCs w:val="20"/>
                <w:lang w:val="sr-Latn-ME"/>
              </w:rPr>
              <w:t>a</w:t>
            </w:r>
          </w:p>
        </w:tc>
        <w:tc>
          <w:tcPr>
            <w:tcW w:w="2611" w:type="dxa"/>
            <w:gridSpan w:val="3"/>
          </w:tcPr>
          <w:p w:rsidR="005E2E32" w:rsidRPr="00E22DF8" w:rsidRDefault="005E2E32" w:rsidP="005E2E32">
            <w:pPr>
              <w:rPr>
                <w:sz w:val="20"/>
                <w:szCs w:val="20"/>
                <w:lang w:val="sr-Latn-ME"/>
              </w:rPr>
            </w:pPr>
            <w:r w:rsidRPr="00E22DF8">
              <w:rPr>
                <w:sz w:val="20"/>
                <w:szCs w:val="20"/>
                <w:lang w:val="sr-Latn-ME"/>
              </w:rPr>
              <w:t>4541 pacijent podvrgnut ugradnji vještačkog kuka</w:t>
            </w:r>
          </w:p>
        </w:tc>
        <w:tc>
          <w:tcPr>
            <w:tcW w:w="2611" w:type="dxa"/>
            <w:gridSpan w:val="3"/>
          </w:tcPr>
          <w:p w:rsidR="005E2E32" w:rsidRPr="00E22DF8" w:rsidRDefault="005E2E32" w:rsidP="005E2E32">
            <w:pPr>
              <w:rPr>
                <w:sz w:val="20"/>
                <w:szCs w:val="20"/>
                <w:lang w:val="sr-Latn-ME"/>
              </w:rPr>
            </w:pPr>
            <w:r w:rsidRPr="00E22DF8">
              <w:rPr>
                <w:sz w:val="20"/>
                <w:szCs w:val="20"/>
                <w:lang w:val="sr-Latn-ME"/>
              </w:rPr>
              <w:t>2509 pacijenata podvrgnutih ugradnji vještačkog kuka</w:t>
            </w:r>
          </w:p>
        </w:tc>
        <w:tc>
          <w:tcPr>
            <w:tcW w:w="2752" w:type="dxa"/>
            <w:gridSpan w:val="3"/>
          </w:tcPr>
          <w:p w:rsidR="005E2E32" w:rsidRPr="00E22DF8" w:rsidRDefault="005E2E32" w:rsidP="005E2E32">
            <w:pPr>
              <w:rPr>
                <w:sz w:val="20"/>
                <w:szCs w:val="20"/>
                <w:lang w:val="sr-Latn-ME"/>
              </w:rPr>
            </w:pPr>
            <w:r w:rsidRPr="00E22DF8">
              <w:rPr>
                <w:sz w:val="20"/>
                <w:szCs w:val="20"/>
                <w:lang w:val="sr-Latn-ME"/>
              </w:rPr>
              <w:t>2531 pacijent podvrgnut ugradnji vještačkog koljena</w:t>
            </w:r>
          </w:p>
        </w:tc>
      </w:tr>
      <w:tr w:rsidR="005E2E32" w:rsidRPr="00E22DF8" w:rsidTr="00F11BC8">
        <w:tc>
          <w:tcPr>
            <w:tcW w:w="1089" w:type="dxa"/>
          </w:tcPr>
          <w:p w:rsidR="005E2E32" w:rsidRPr="00E22DF8" w:rsidRDefault="005E2E32" w:rsidP="005E2E32">
            <w:pPr>
              <w:widowControl w:val="0"/>
              <w:autoSpaceDE w:val="0"/>
              <w:autoSpaceDN w:val="0"/>
              <w:ind w:left="9" w:right="-108"/>
              <w:rPr>
                <w:sz w:val="20"/>
                <w:szCs w:val="20"/>
                <w:lang w:val="sr-Latn-ME"/>
              </w:rPr>
            </w:pPr>
            <w:r w:rsidRPr="00E22DF8">
              <w:rPr>
                <w:sz w:val="20"/>
                <w:szCs w:val="20"/>
                <w:lang w:val="sr-Latn-ME"/>
              </w:rPr>
              <w:t>Terapijska doza i trajanje terapije poslije intervencije</w:t>
            </w:r>
          </w:p>
        </w:tc>
        <w:tc>
          <w:tcPr>
            <w:tcW w:w="1064" w:type="dxa"/>
          </w:tcPr>
          <w:p w:rsidR="005E2E32" w:rsidRPr="00E22DF8" w:rsidRDefault="005E2E32" w:rsidP="005E2E32">
            <w:pPr>
              <w:widowControl w:val="0"/>
              <w:autoSpaceDE w:val="0"/>
              <w:autoSpaceDN w:val="0"/>
              <w:spacing w:line="187" w:lineRule="exact"/>
              <w:ind w:left="9" w:right="-94"/>
              <w:rPr>
                <w:sz w:val="20"/>
                <w:szCs w:val="20"/>
                <w:lang w:val="sr-Latn-ME"/>
              </w:rPr>
            </w:pPr>
            <w:r w:rsidRPr="00E22DF8">
              <w:rPr>
                <w:sz w:val="20"/>
                <w:szCs w:val="20"/>
                <w:lang w:val="sr-Latn-ME"/>
              </w:rPr>
              <w:t>Rivaroksaban</w:t>
            </w:r>
          </w:p>
          <w:p w:rsidR="005E2E32" w:rsidRPr="00E22DF8" w:rsidRDefault="005E2E32" w:rsidP="005E2E32">
            <w:pPr>
              <w:widowControl w:val="0"/>
              <w:autoSpaceDE w:val="0"/>
              <w:autoSpaceDN w:val="0"/>
              <w:spacing w:before="1" w:line="237" w:lineRule="auto"/>
              <w:ind w:left="9" w:right="-76"/>
              <w:rPr>
                <w:sz w:val="20"/>
                <w:szCs w:val="20"/>
                <w:lang w:val="sr-Latn-ME"/>
              </w:rPr>
            </w:pPr>
            <w:r w:rsidRPr="00E22DF8">
              <w:rPr>
                <w:sz w:val="20"/>
                <w:szCs w:val="20"/>
                <w:lang w:val="sr-Latn-ME"/>
              </w:rPr>
              <w:t xml:space="preserve">10 </w:t>
            </w:r>
            <w:r w:rsidRPr="00E22DF8">
              <w:rPr>
                <w:spacing w:val="-4"/>
                <w:sz w:val="20"/>
                <w:szCs w:val="20"/>
                <w:lang w:val="sr-Latn-ME"/>
              </w:rPr>
              <w:t xml:space="preserve">mg, </w:t>
            </w:r>
            <w:r w:rsidRPr="00E22DF8">
              <w:rPr>
                <w:sz w:val="20"/>
                <w:szCs w:val="20"/>
                <w:lang w:val="sr-Latn-ME"/>
              </w:rPr>
              <w:t xml:space="preserve">Jednom </w:t>
            </w:r>
            <w:r w:rsidRPr="00E22DF8">
              <w:rPr>
                <w:spacing w:val="-2"/>
                <w:sz w:val="20"/>
                <w:szCs w:val="20"/>
                <w:lang w:val="sr-Latn-ME"/>
              </w:rPr>
              <w:t xml:space="preserve">dnevno, </w:t>
            </w:r>
            <w:r w:rsidRPr="00E22DF8">
              <w:rPr>
                <w:sz w:val="20"/>
                <w:szCs w:val="20"/>
                <w:lang w:val="sr-Latn-ME"/>
              </w:rPr>
              <w:t>35</w:t>
            </w:r>
          </w:p>
          <w:p w:rsidR="005E2E32" w:rsidRPr="00E22DF8" w:rsidRDefault="005E2E32" w:rsidP="005E2E32">
            <w:pPr>
              <w:widowControl w:val="0"/>
              <w:autoSpaceDE w:val="0"/>
              <w:autoSpaceDN w:val="0"/>
              <w:spacing w:before="6" w:line="218" w:lineRule="exact"/>
              <w:ind w:left="9"/>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984" w:type="dxa"/>
          </w:tcPr>
          <w:p w:rsidR="005E2E32" w:rsidRPr="00E22DF8" w:rsidRDefault="005E2E32" w:rsidP="005E2E32">
            <w:pPr>
              <w:widowControl w:val="0"/>
              <w:autoSpaceDE w:val="0"/>
              <w:autoSpaceDN w:val="0"/>
              <w:spacing w:line="187" w:lineRule="exact"/>
              <w:ind w:left="4"/>
              <w:rPr>
                <w:sz w:val="20"/>
                <w:szCs w:val="20"/>
                <w:lang w:val="sr-Latn-ME"/>
              </w:rPr>
            </w:pPr>
            <w:r w:rsidRPr="00E22DF8">
              <w:rPr>
                <w:sz w:val="20"/>
                <w:szCs w:val="20"/>
                <w:lang w:val="sr-Latn-ME"/>
              </w:rPr>
              <w:t>Enoksaparin 40 mg, jednom dnevno, 35</w:t>
            </w:r>
          </w:p>
          <w:p w:rsidR="005E2E32" w:rsidRPr="00E22DF8" w:rsidRDefault="005E2E32" w:rsidP="005E2E32">
            <w:pPr>
              <w:widowControl w:val="0"/>
              <w:autoSpaceDE w:val="0"/>
              <w:autoSpaceDN w:val="0"/>
              <w:spacing w:line="214" w:lineRule="exact"/>
              <w:ind w:left="4"/>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563" w:type="dxa"/>
          </w:tcPr>
          <w:p w:rsidR="005E2E32" w:rsidRPr="00E22DF8" w:rsidRDefault="005E2E32" w:rsidP="005E2E32">
            <w:pPr>
              <w:widowControl w:val="0"/>
              <w:autoSpaceDE w:val="0"/>
              <w:autoSpaceDN w:val="0"/>
              <w:spacing w:line="188" w:lineRule="exact"/>
              <w:ind w:left="4"/>
              <w:rPr>
                <w:sz w:val="20"/>
                <w:szCs w:val="20"/>
                <w:lang w:val="sr-Latn-ME"/>
              </w:rPr>
            </w:pPr>
            <w:r w:rsidRPr="00E22DF8">
              <w:rPr>
                <w:w w:val="99"/>
                <w:sz w:val="20"/>
                <w:szCs w:val="20"/>
                <w:lang w:val="sr-Latn-ME"/>
              </w:rPr>
              <w:t>p</w:t>
            </w:r>
          </w:p>
        </w:tc>
        <w:tc>
          <w:tcPr>
            <w:tcW w:w="1062" w:type="dxa"/>
          </w:tcPr>
          <w:p w:rsidR="005E2E32" w:rsidRPr="00E22DF8" w:rsidRDefault="005E2E32" w:rsidP="005E2E32">
            <w:pPr>
              <w:widowControl w:val="0"/>
              <w:autoSpaceDE w:val="0"/>
              <w:autoSpaceDN w:val="0"/>
              <w:spacing w:line="187" w:lineRule="exact"/>
              <w:ind w:left="5"/>
              <w:rPr>
                <w:sz w:val="20"/>
                <w:szCs w:val="20"/>
                <w:lang w:val="sr-Latn-ME"/>
              </w:rPr>
            </w:pPr>
            <w:r w:rsidRPr="00E22DF8">
              <w:rPr>
                <w:sz w:val="20"/>
                <w:szCs w:val="20"/>
                <w:lang w:val="sr-Latn-ME"/>
              </w:rPr>
              <w:t>Rivaroksaban 10 mg, jednom dnevno, 35</w:t>
            </w:r>
          </w:p>
          <w:p w:rsidR="005E2E32" w:rsidRPr="00E22DF8" w:rsidRDefault="005E2E32" w:rsidP="005E2E32">
            <w:pPr>
              <w:widowControl w:val="0"/>
              <w:autoSpaceDE w:val="0"/>
              <w:autoSpaceDN w:val="0"/>
              <w:spacing w:before="7" w:line="218" w:lineRule="exact"/>
              <w:ind w:left="5"/>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985" w:type="dxa"/>
          </w:tcPr>
          <w:p w:rsidR="005E2E32" w:rsidRPr="00E22DF8" w:rsidRDefault="005E2E32" w:rsidP="005E2E32">
            <w:pPr>
              <w:widowControl w:val="0"/>
              <w:autoSpaceDE w:val="0"/>
              <w:autoSpaceDN w:val="0"/>
              <w:spacing w:line="187" w:lineRule="exact"/>
              <w:ind w:left="5"/>
              <w:rPr>
                <w:sz w:val="20"/>
                <w:szCs w:val="20"/>
                <w:lang w:val="sr-Latn-ME"/>
              </w:rPr>
            </w:pPr>
            <w:r w:rsidRPr="00E22DF8">
              <w:rPr>
                <w:sz w:val="20"/>
                <w:szCs w:val="20"/>
                <w:lang w:val="sr-Latn-ME"/>
              </w:rPr>
              <w:t>Enoksaparin 40 mg, jednom dnevno, 12</w:t>
            </w:r>
          </w:p>
          <w:p w:rsidR="005E2E32" w:rsidRPr="00E22DF8" w:rsidRDefault="005E2E32" w:rsidP="005E2E32">
            <w:pPr>
              <w:widowControl w:val="0"/>
              <w:autoSpaceDE w:val="0"/>
              <w:autoSpaceDN w:val="0"/>
              <w:spacing w:line="214" w:lineRule="exact"/>
              <w:ind w:left="5"/>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564" w:type="dxa"/>
          </w:tcPr>
          <w:p w:rsidR="005E2E32" w:rsidRPr="00E22DF8" w:rsidRDefault="005E2E32" w:rsidP="005E2E32">
            <w:pPr>
              <w:widowControl w:val="0"/>
              <w:autoSpaceDE w:val="0"/>
              <w:autoSpaceDN w:val="0"/>
              <w:spacing w:line="188" w:lineRule="exact"/>
              <w:ind w:left="5"/>
              <w:rPr>
                <w:sz w:val="20"/>
                <w:szCs w:val="20"/>
                <w:lang w:val="sr-Latn-ME"/>
              </w:rPr>
            </w:pPr>
            <w:r w:rsidRPr="00E22DF8">
              <w:rPr>
                <w:w w:val="99"/>
                <w:sz w:val="20"/>
                <w:szCs w:val="20"/>
                <w:lang w:val="sr-Latn-ME"/>
              </w:rPr>
              <w:t>p</w:t>
            </w:r>
          </w:p>
        </w:tc>
        <w:tc>
          <w:tcPr>
            <w:tcW w:w="1151" w:type="dxa"/>
          </w:tcPr>
          <w:p w:rsidR="005E2E32" w:rsidRPr="00E22DF8" w:rsidRDefault="005E2E32" w:rsidP="005E2E32">
            <w:pPr>
              <w:widowControl w:val="0"/>
              <w:autoSpaceDE w:val="0"/>
              <w:autoSpaceDN w:val="0"/>
              <w:ind w:left="6" w:right="128"/>
              <w:rPr>
                <w:sz w:val="20"/>
                <w:szCs w:val="20"/>
                <w:lang w:val="sr-Latn-ME"/>
              </w:rPr>
            </w:pPr>
            <w:r w:rsidRPr="00E22DF8">
              <w:rPr>
                <w:sz w:val="20"/>
                <w:szCs w:val="20"/>
                <w:lang w:val="sr-Latn-ME"/>
              </w:rPr>
              <w:t>Rivaroksaban 10 mg, jednom dnevno 12</w:t>
            </w:r>
          </w:p>
          <w:p w:rsidR="005E2E32" w:rsidRPr="00E22DF8" w:rsidRDefault="005E2E32" w:rsidP="005E2E32">
            <w:pPr>
              <w:widowControl w:val="0"/>
              <w:autoSpaceDE w:val="0"/>
              <w:autoSpaceDN w:val="0"/>
              <w:spacing w:line="210" w:lineRule="exact"/>
              <w:ind w:left="6"/>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1035" w:type="dxa"/>
          </w:tcPr>
          <w:p w:rsidR="005E2E32" w:rsidRPr="00E22DF8" w:rsidRDefault="005E2E32" w:rsidP="005E2E32">
            <w:pPr>
              <w:widowControl w:val="0"/>
              <w:autoSpaceDE w:val="0"/>
              <w:autoSpaceDN w:val="0"/>
              <w:ind w:left="6" w:right="71"/>
              <w:rPr>
                <w:sz w:val="20"/>
                <w:szCs w:val="20"/>
                <w:lang w:val="sr-Latn-ME"/>
              </w:rPr>
            </w:pPr>
            <w:r w:rsidRPr="00E22DF8">
              <w:rPr>
                <w:sz w:val="20"/>
                <w:szCs w:val="20"/>
                <w:lang w:val="sr-Latn-ME"/>
              </w:rPr>
              <w:t>Enoksaparin 40 mg, jednom dnevno 12</w:t>
            </w:r>
          </w:p>
          <w:p w:rsidR="005E2E32" w:rsidRPr="00E22DF8" w:rsidRDefault="005E2E32" w:rsidP="005E2E32">
            <w:pPr>
              <w:widowControl w:val="0"/>
              <w:autoSpaceDE w:val="0"/>
              <w:autoSpaceDN w:val="0"/>
              <w:spacing w:line="215" w:lineRule="exact"/>
              <w:ind w:left="6"/>
              <w:rPr>
                <w:sz w:val="20"/>
                <w:szCs w:val="20"/>
                <w:lang w:val="sr-Latn-ME"/>
              </w:rPr>
            </w:pPr>
            <w:r w:rsidRPr="00E22DF8">
              <w:rPr>
                <w:rFonts w:ascii="Symbol" w:hAnsi="Symbol"/>
                <w:sz w:val="20"/>
                <w:szCs w:val="20"/>
                <w:lang w:val="sr-Latn-ME"/>
              </w:rPr>
              <w:t></w:t>
            </w:r>
            <w:r w:rsidRPr="00E22DF8">
              <w:rPr>
                <w:sz w:val="20"/>
                <w:szCs w:val="20"/>
                <w:lang w:val="sr-Latn-ME"/>
              </w:rPr>
              <w:t xml:space="preserve"> </w:t>
            </w:r>
            <w:r w:rsidRPr="00E22DF8">
              <w:rPr>
                <w:rFonts w:ascii="Symbol" w:hAnsi="Symbol"/>
                <w:sz w:val="20"/>
                <w:szCs w:val="20"/>
                <w:lang w:val="sr-Latn-ME"/>
              </w:rPr>
              <w:t></w:t>
            </w:r>
            <w:r w:rsidRPr="00E22DF8">
              <w:rPr>
                <w:sz w:val="20"/>
                <w:szCs w:val="20"/>
                <w:lang w:val="sr-Latn-ME"/>
              </w:rPr>
              <w:t xml:space="preserve"> dana</w:t>
            </w:r>
          </w:p>
        </w:tc>
        <w:tc>
          <w:tcPr>
            <w:tcW w:w="566" w:type="dxa"/>
          </w:tcPr>
          <w:p w:rsidR="005E2E32" w:rsidRPr="00E22DF8" w:rsidRDefault="005E2E32" w:rsidP="005E2E32">
            <w:pPr>
              <w:widowControl w:val="0"/>
              <w:autoSpaceDE w:val="0"/>
              <w:autoSpaceDN w:val="0"/>
              <w:spacing w:line="207" w:lineRule="exact"/>
              <w:ind w:left="7"/>
              <w:rPr>
                <w:sz w:val="20"/>
                <w:szCs w:val="20"/>
                <w:lang w:val="sr-Latn-ME"/>
              </w:rPr>
            </w:pPr>
            <w:r w:rsidRPr="00E22DF8">
              <w:rPr>
                <w:w w:val="99"/>
                <w:sz w:val="20"/>
                <w:szCs w:val="20"/>
                <w:lang w:val="sr-Latn-ME"/>
              </w:rPr>
              <w:t>p</w:t>
            </w:r>
          </w:p>
        </w:tc>
      </w:tr>
      <w:tr w:rsidR="005E2E32" w:rsidRPr="00E22DF8" w:rsidTr="00F11BC8">
        <w:tc>
          <w:tcPr>
            <w:tcW w:w="1089" w:type="dxa"/>
          </w:tcPr>
          <w:p w:rsidR="005E2E32" w:rsidRPr="00E22DF8" w:rsidRDefault="005E2E32" w:rsidP="005E2E32">
            <w:pPr>
              <w:widowControl w:val="0"/>
              <w:autoSpaceDE w:val="0"/>
              <w:autoSpaceDN w:val="0"/>
              <w:spacing w:line="188" w:lineRule="exact"/>
              <w:ind w:left="9"/>
              <w:rPr>
                <w:sz w:val="20"/>
                <w:szCs w:val="20"/>
                <w:lang w:val="sr-Latn-ME"/>
              </w:rPr>
            </w:pPr>
            <w:r w:rsidRPr="00E22DF8">
              <w:rPr>
                <w:sz w:val="20"/>
                <w:szCs w:val="20"/>
                <w:lang w:val="sr-Latn-ME"/>
              </w:rPr>
              <w:t>Svi</w:t>
            </w:r>
            <w:r w:rsidRPr="00E22DF8">
              <w:rPr>
                <w:spacing w:val="1"/>
                <w:sz w:val="20"/>
                <w:szCs w:val="20"/>
                <w:lang w:val="sr-Latn-ME"/>
              </w:rPr>
              <w:t xml:space="preserve"> </w:t>
            </w:r>
            <w:r w:rsidRPr="00E22DF8">
              <w:rPr>
                <w:sz w:val="20"/>
                <w:szCs w:val="20"/>
                <w:lang w:val="sr-Latn-ME"/>
              </w:rPr>
              <w:t>VTE</w:t>
            </w:r>
          </w:p>
          <w:p w:rsidR="005E2E32" w:rsidRPr="00E22DF8" w:rsidRDefault="005E2E32" w:rsidP="005E2E32">
            <w:pPr>
              <w:widowControl w:val="0"/>
              <w:autoSpaceDE w:val="0"/>
              <w:autoSpaceDN w:val="0"/>
              <w:spacing w:before="4" w:line="205" w:lineRule="exact"/>
              <w:ind w:left="9"/>
              <w:rPr>
                <w:sz w:val="20"/>
                <w:szCs w:val="20"/>
                <w:lang w:val="sr-Latn-ME"/>
              </w:rPr>
            </w:pPr>
            <w:r w:rsidRPr="00E22DF8">
              <w:rPr>
                <w:sz w:val="20"/>
                <w:szCs w:val="20"/>
                <w:lang w:val="sr-Latn-ME"/>
              </w:rPr>
              <w:t>događaji</w:t>
            </w:r>
          </w:p>
        </w:tc>
        <w:tc>
          <w:tcPr>
            <w:tcW w:w="1064" w:type="dxa"/>
          </w:tcPr>
          <w:p w:rsidR="005E2E32" w:rsidRPr="00E22DF8" w:rsidRDefault="005E2E32" w:rsidP="005E2E32">
            <w:pPr>
              <w:widowControl w:val="0"/>
              <w:autoSpaceDE w:val="0"/>
              <w:autoSpaceDN w:val="0"/>
              <w:spacing w:line="188" w:lineRule="exact"/>
              <w:ind w:left="9"/>
              <w:rPr>
                <w:sz w:val="20"/>
                <w:szCs w:val="20"/>
                <w:lang w:val="sr-Latn-ME"/>
              </w:rPr>
            </w:pPr>
            <w:r w:rsidRPr="00E22DF8">
              <w:rPr>
                <w:sz w:val="20"/>
                <w:szCs w:val="20"/>
                <w:lang w:val="sr-Latn-ME"/>
              </w:rPr>
              <w:t>18 (1,1%)</w:t>
            </w:r>
          </w:p>
        </w:tc>
        <w:tc>
          <w:tcPr>
            <w:tcW w:w="984" w:type="dxa"/>
          </w:tcPr>
          <w:p w:rsidR="005E2E32" w:rsidRPr="00E22DF8" w:rsidRDefault="005E2E32" w:rsidP="005E2E32">
            <w:pPr>
              <w:widowControl w:val="0"/>
              <w:autoSpaceDE w:val="0"/>
              <w:autoSpaceDN w:val="0"/>
              <w:spacing w:line="188" w:lineRule="exact"/>
              <w:ind w:left="4"/>
              <w:rPr>
                <w:sz w:val="20"/>
                <w:szCs w:val="20"/>
                <w:lang w:val="sr-Latn-ME"/>
              </w:rPr>
            </w:pPr>
            <w:r w:rsidRPr="00E22DF8">
              <w:rPr>
                <w:sz w:val="20"/>
                <w:szCs w:val="20"/>
                <w:lang w:val="sr-Latn-ME"/>
              </w:rPr>
              <w:t>58 (3,7%)</w:t>
            </w:r>
          </w:p>
        </w:tc>
        <w:tc>
          <w:tcPr>
            <w:tcW w:w="563" w:type="dxa"/>
          </w:tcPr>
          <w:p w:rsidR="005E2E32" w:rsidRPr="00E22DF8" w:rsidRDefault="005E2E32" w:rsidP="005E2E32">
            <w:pPr>
              <w:widowControl w:val="0"/>
              <w:autoSpaceDE w:val="0"/>
              <w:autoSpaceDN w:val="0"/>
              <w:spacing w:line="188" w:lineRule="exact"/>
              <w:ind w:left="4"/>
              <w:rPr>
                <w:sz w:val="20"/>
                <w:szCs w:val="20"/>
                <w:lang w:val="sr-Latn-ME"/>
              </w:rPr>
            </w:pPr>
            <w:r w:rsidRPr="00E22DF8">
              <w:rPr>
                <w:sz w:val="20"/>
                <w:szCs w:val="20"/>
                <w:lang w:val="sr-Latn-ME"/>
              </w:rPr>
              <w:t>&lt; 0,001</w:t>
            </w:r>
          </w:p>
        </w:tc>
        <w:tc>
          <w:tcPr>
            <w:tcW w:w="1062" w:type="dxa"/>
          </w:tcPr>
          <w:p w:rsidR="005E2E32" w:rsidRPr="00E22DF8" w:rsidRDefault="005E2E32" w:rsidP="005E2E32">
            <w:pPr>
              <w:widowControl w:val="0"/>
              <w:autoSpaceDE w:val="0"/>
              <w:autoSpaceDN w:val="0"/>
              <w:spacing w:line="188" w:lineRule="exact"/>
              <w:ind w:left="5"/>
              <w:rPr>
                <w:sz w:val="20"/>
                <w:szCs w:val="20"/>
                <w:lang w:val="sr-Latn-ME"/>
              </w:rPr>
            </w:pPr>
            <w:r w:rsidRPr="00E22DF8">
              <w:rPr>
                <w:sz w:val="20"/>
                <w:szCs w:val="20"/>
                <w:lang w:val="sr-Latn-ME"/>
              </w:rPr>
              <w:t>17 (2,0%)</w:t>
            </w:r>
          </w:p>
        </w:tc>
        <w:tc>
          <w:tcPr>
            <w:tcW w:w="985" w:type="dxa"/>
          </w:tcPr>
          <w:p w:rsidR="005E2E32" w:rsidRPr="00E22DF8" w:rsidRDefault="005E2E32" w:rsidP="005E2E32">
            <w:pPr>
              <w:widowControl w:val="0"/>
              <w:autoSpaceDE w:val="0"/>
              <w:autoSpaceDN w:val="0"/>
              <w:spacing w:line="188" w:lineRule="exact"/>
              <w:ind w:left="5"/>
              <w:rPr>
                <w:sz w:val="20"/>
                <w:szCs w:val="20"/>
                <w:lang w:val="sr-Latn-ME"/>
              </w:rPr>
            </w:pPr>
            <w:r w:rsidRPr="00E22DF8">
              <w:rPr>
                <w:sz w:val="20"/>
                <w:szCs w:val="20"/>
                <w:lang w:val="sr-Latn-ME"/>
              </w:rPr>
              <w:t>81 (9,3%)</w:t>
            </w:r>
          </w:p>
        </w:tc>
        <w:tc>
          <w:tcPr>
            <w:tcW w:w="564" w:type="dxa"/>
          </w:tcPr>
          <w:p w:rsidR="005E2E32" w:rsidRPr="00E22DF8" w:rsidRDefault="005E2E32" w:rsidP="005E2E32">
            <w:pPr>
              <w:widowControl w:val="0"/>
              <w:autoSpaceDE w:val="0"/>
              <w:autoSpaceDN w:val="0"/>
              <w:spacing w:line="188" w:lineRule="exact"/>
              <w:ind w:left="5"/>
              <w:rPr>
                <w:sz w:val="20"/>
                <w:szCs w:val="20"/>
                <w:lang w:val="sr-Latn-ME"/>
              </w:rPr>
            </w:pPr>
            <w:r w:rsidRPr="00E22DF8">
              <w:rPr>
                <w:sz w:val="20"/>
                <w:szCs w:val="20"/>
                <w:lang w:val="sr-Latn-ME"/>
              </w:rPr>
              <w:t>&lt; 0,001</w:t>
            </w:r>
          </w:p>
        </w:tc>
        <w:tc>
          <w:tcPr>
            <w:tcW w:w="1151" w:type="dxa"/>
          </w:tcPr>
          <w:p w:rsidR="005E2E32" w:rsidRPr="00E22DF8" w:rsidRDefault="005E2E32" w:rsidP="005E2E32">
            <w:pPr>
              <w:widowControl w:val="0"/>
              <w:autoSpaceDE w:val="0"/>
              <w:autoSpaceDN w:val="0"/>
              <w:spacing w:line="188" w:lineRule="exact"/>
              <w:ind w:left="6"/>
              <w:rPr>
                <w:sz w:val="20"/>
                <w:szCs w:val="20"/>
                <w:lang w:val="sr-Latn-ME"/>
              </w:rPr>
            </w:pPr>
            <w:r w:rsidRPr="00E22DF8">
              <w:rPr>
                <w:sz w:val="20"/>
                <w:szCs w:val="20"/>
                <w:lang w:val="sr-Latn-ME"/>
              </w:rPr>
              <w:t>79 (9,6%)</w:t>
            </w:r>
          </w:p>
        </w:tc>
        <w:tc>
          <w:tcPr>
            <w:tcW w:w="1035" w:type="dxa"/>
          </w:tcPr>
          <w:p w:rsidR="005E2E32" w:rsidRPr="00E22DF8" w:rsidRDefault="005E2E32" w:rsidP="005E2E32">
            <w:pPr>
              <w:widowControl w:val="0"/>
              <w:autoSpaceDE w:val="0"/>
              <w:autoSpaceDN w:val="0"/>
              <w:spacing w:line="188" w:lineRule="exact"/>
              <w:ind w:left="6"/>
              <w:rPr>
                <w:sz w:val="20"/>
                <w:szCs w:val="20"/>
                <w:lang w:val="sr-Latn-ME"/>
              </w:rPr>
            </w:pPr>
            <w:r w:rsidRPr="00E22DF8">
              <w:rPr>
                <w:sz w:val="20"/>
                <w:szCs w:val="20"/>
                <w:lang w:val="sr-Latn-ME"/>
              </w:rPr>
              <w:t>166</w:t>
            </w:r>
          </w:p>
          <w:p w:rsidR="005E2E32" w:rsidRPr="00E22DF8" w:rsidRDefault="005E2E32" w:rsidP="005E2E32">
            <w:pPr>
              <w:widowControl w:val="0"/>
              <w:autoSpaceDE w:val="0"/>
              <w:autoSpaceDN w:val="0"/>
              <w:spacing w:before="4" w:line="205" w:lineRule="exact"/>
              <w:ind w:left="6"/>
              <w:rPr>
                <w:sz w:val="20"/>
                <w:szCs w:val="20"/>
                <w:lang w:val="sr-Latn-ME"/>
              </w:rPr>
            </w:pPr>
            <w:r w:rsidRPr="00E22DF8">
              <w:rPr>
                <w:sz w:val="20"/>
                <w:szCs w:val="20"/>
                <w:lang w:val="sr-Latn-ME"/>
              </w:rPr>
              <w:t>(18,9%)</w:t>
            </w:r>
          </w:p>
        </w:tc>
        <w:tc>
          <w:tcPr>
            <w:tcW w:w="566" w:type="dxa"/>
          </w:tcPr>
          <w:p w:rsidR="005E2E32" w:rsidRPr="00E22DF8" w:rsidRDefault="005E2E32" w:rsidP="005E2E32">
            <w:pPr>
              <w:widowControl w:val="0"/>
              <w:autoSpaceDE w:val="0"/>
              <w:autoSpaceDN w:val="0"/>
              <w:spacing w:line="188" w:lineRule="exact"/>
              <w:ind w:left="7"/>
              <w:rPr>
                <w:sz w:val="20"/>
                <w:szCs w:val="20"/>
                <w:lang w:val="sr-Latn-ME"/>
              </w:rPr>
            </w:pPr>
            <w:r w:rsidRPr="00E22DF8">
              <w:rPr>
                <w:sz w:val="20"/>
                <w:szCs w:val="20"/>
                <w:lang w:val="sr-Latn-ME"/>
              </w:rPr>
              <w:t>&lt; 0,001</w:t>
            </w:r>
          </w:p>
        </w:tc>
      </w:tr>
      <w:tr w:rsidR="005E2E32" w:rsidRPr="00E22DF8" w:rsidTr="00F11BC8">
        <w:tc>
          <w:tcPr>
            <w:tcW w:w="1089" w:type="dxa"/>
          </w:tcPr>
          <w:p w:rsidR="005E2E32" w:rsidRPr="00E22DF8" w:rsidRDefault="00BD26F2" w:rsidP="00BD26F2">
            <w:pPr>
              <w:widowControl w:val="0"/>
              <w:autoSpaceDE w:val="0"/>
              <w:autoSpaceDN w:val="0"/>
              <w:spacing w:before="11" w:line="216" w:lineRule="auto"/>
              <w:ind w:left="9"/>
              <w:rPr>
                <w:sz w:val="20"/>
                <w:szCs w:val="20"/>
                <w:lang w:val="sr-Latn-ME"/>
              </w:rPr>
            </w:pPr>
            <w:r w:rsidRPr="00E22DF8">
              <w:rPr>
                <w:sz w:val="20"/>
                <w:szCs w:val="20"/>
                <w:lang w:val="sr-Latn-ME"/>
              </w:rPr>
              <w:t xml:space="preserve">Veliki </w:t>
            </w:r>
            <w:r w:rsidR="005E2E32" w:rsidRPr="00E22DF8">
              <w:rPr>
                <w:sz w:val="20"/>
                <w:szCs w:val="20"/>
                <w:lang w:val="sr-Latn-ME"/>
              </w:rPr>
              <w:t>VTE događaji</w:t>
            </w:r>
          </w:p>
        </w:tc>
        <w:tc>
          <w:tcPr>
            <w:tcW w:w="1064" w:type="dxa"/>
          </w:tcPr>
          <w:p w:rsidR="005E2E32" w:rsidRPr="00E22DF8" w:rsidRDefault="005E2E32" w:rsidP="005E2E32">
            <w:pPr>
              <w:widowControl w:val="0"/>
              <w:autoSpaceDE w:val="0"/>
              <w:autoSpaceDN w:val="0"/>
              <w:spacing w:line="202" w:lineRule="exact"/>
              <w:ind w:left="9"/>
              <w:rPr>
                <w:sz w:val="20"/>
                <w:szCs w:val="20"/>
                <w:lang w:val="sr-Latn-ME"/>
              </w:rPr>
            </w:pPr>
            <w:r w:rsidRPr="00E22DF8">
              <w:rPr>
                <w:sz w:val="20"/>
                <w:szCs w:val="20"/>
                <w:lang w:val="sr-Latn-ME"/>
              </w:rPr>
              <w:t>4 (0,2%)</w:t>
            </w:r>
          </w:p>
        </w:tc>
        <w:tc>
          <w:tcPr>
            <w:tcW w:w="984" w:type="dxa"/>
          </w:tcPr>
          <w:p w:rsidR="005E2E32" w:rsidRPr="00E22DF8" w:rsidRDefault="005E2E32" w:rsidP="005E2E32">
            <w:pPr>
              <w:widowControl w:val="0"/>
              <w:autoSpaceDE w:val="0"/>
              <w:autoSpaceDN w:val="0"/>
              <w:spacing w:line="202" w:lineRule="exact"/>
              <w:ind w:left="4"/>
              <w:rPr>
                <w:sz w:val="20"/>
                <w:szCs w:val="20"/>
                <w:lang w:val="sr-Latn-ME"/>
              </w:rPr>
            </w:pPr>
            <w:r w:rsidRPr="00E22DF8">
              <w:rPr>
                <w:sz w:val="20"/>
                <w:szCs w:val="20"/>
                <w:lang w:val="sr-Latn-ME"/>
              </w:rPr>
              <w:t>33 (2,0%)</w:t>
            </w:r>
          </w:p>
        </w:tc>
        <w:tc>
          <w:tcPr>
            <w:tcW w:w="563" w:type="dxa"/>
          </w:tcPr>
          <w:p w:rsidR="005E2E32" w:rsidRPr="00E22DF8" w:rsidRDefault="005E2E32" w:rsidP="005E2E32">
            <w:pPr>
              <w:widowControl w:val="0"/>
              <w:autoSpaceDE w:val="0"/>
              <w:autoSpaceDN w:val="0"/>
              <w:spacing w:line="202" w:lineRule="exact"/>
              <w:ind w:left="4"/>
              <w:rPr>
                <w:sz w:val="20"/>
                <w:szCs w:val="20"/>
                <w:lang w:val="sr-Latn-ME"/>
              </w:rPr>
            </w:pPr>
            <w:r w:rsidRPr="00E22DF8">
              <w:rPr>
                <w:sz w:val="20"/>
                <w:szCs w:val="20"/>
                <w:lang w:val="sr-Latn-ME"/>
              </w:rPr>
              <w:t>&lt; 0,001</w:t>
            </w:r>
          </w:p>
        </w:tc>
        <w:tc>
          <w:tcPr>
            <w:tcW w:w="1062"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6 (0,6%)</w:t>
            </w:r>
          </w:p>
        </w:tc>
        <w:tc>
          <w:tcPr>
            <w:tcW w:w="985"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49 (5,1%)</w:t>
            </w:r>
          </w:p>
        </w:tc>
        <w:tc>
          <w:tcPr>
            <w:tcW w:w="564"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&lt; 0,001</w:t>
            </w:r>
          </w:p>
        </w:tc>
        <w:tc>
          <w:tcPr>
            <w:tcW w:w="1151"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9 (1,0%)</w:t>
            </w:r>
          </w:p>
        </w:tc>
        <w:tc>
          <w:tcPr>
            <w:tcW w:w="1035"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24 (2,6%)</w:t>
            </w:r>
          </w:p>
        </w:tc>
        <w:tc>
          <w:tcPr>
            <w:tcW w:w="566" w:type="dxa"/>
          </w:tcPr>
          <w:p w:rsidR="005E2E32" w:rsidRPr="00E22DF8" w:rsidRDefault="005E2E32" w:rsidP="00F11BC8">
            <w:pPr>
              <w:widowControl w:val="0"/>
              <w:autoSpaceDE w:val="0"/>
              <w:autoSpaceDN w:val="0"/>
              <w:spacing w:line="202" w:lineRule="exact"/>
              <w:rPr>
                <w:sz w:val="20"/>
                <w:szCs w:val="20"/>
                <w:lang w:val="sr-Latn-ME"/>
              </w:rPr>
            </w:pPr>
            <w:r w:rsidRPr="00E22DF8">
              <w:rPr>
                <w:sz w:val="20"/>
                <w:szCs w:val="20"/>
                <w:lang w:val="sr-Latn-ME"/>
              </w:rPr>
              <w:t>0,01</w:t>
            </w:r>
          </w:p>
        </w:tc>
      </w:tr>
      <w:tr w:rsidR="005E2E32" w:rsidRPr="00E22DF8" w:rsidTr="00F11BC8">
        <w:tc>
          <w:tcPr>
            <w:tcW w:w="1089" w:type="dxa"/>
          </w:tcPr>
          <w:p w:rsidR="005E2E32" w:rsidRPr="00E22DF8" w:rsidRDefault="005E2E32" w:rsidP="005E2E32">
            <w:pPr>
              <w:widowControl w:val="0"/>
              <w:autoSpaceDE w:val="0"/>
              <w:autoSpaceDN w:val="0"/>
              <w:spacing w:before="11" w:line="216" w:lineRule="auto"/>
              <w:ind w:left="9" w:right="21"/>
              <w:rPr>
                <w:sz w:val="20"/>
                <w:szCs w:val="20"/>
                <w:lang w:val="sr-Latn-ME"/>
              </w:rPr>
            </w:pPr>
            <w:r w:rsidRPr="00E22DF8">
              <w:rPr>
                <w:sz w:val="20"/>
                <w:szCs w:val="20"/>
                <w:lang w:val="sr-Latn-ME"/>
              </w:rPr>
              <w:t>Simptomatski VTE događaji</w:t>
            </w:r>
          </w:p>
        </w:tc>
        <w:tc>
          <w:tcPr>
            <w:tcW w:w="1064" w:type="dxa"/>
          </w:tcPr>
          <w:p w:rsidR="005E2E32" w:rsidRPr="00E22DF8" w:rsidRDefault="005E2E32" w:rsidP="005E2E32">
            <w:pPr>
              <w:widowControl w:val="0"/>
              <w:autoSpaceDE w:val="0"/>
              <w:autoSpaceDN w:val="0"/>
              <w:spacing w:line="202" w:lineRule="exact"/>
              <w:ind w:left="9"/>
              <w:rPr>
                <w:sz w:val="20"/>
                <w:szCs w:val="20"/>
                <w:lang w:val="sr-Latn-ME"/>
              </w:rPr>
            </w:pPr>
            <w:r w:rsidRPr="00E22DF8">
              <w:rPr>
                <w:sz w:val="20"/>
                <w:szCs w:val="20"/>
                <w:lang w:val="sr-Latn-ME"/>
              </w:rPr>
              <w:t>6 (0,4%)</w:t>
            </w:r>
          </w:p>
        </w:tc>
        <w:tc>
          <w:tcPr>
            <w:tcW w:w="984" w:type="dxa"/>
          </w:tcPr>
          <w:p w:rsidR="005E2E32" w:rsidRPr="00E22DF8" w:rsidRDefault="005E2E32" w:rsidP="005E2E32">
            <w:pPr>
              <w:widowControl w:val="0"/>
              <w:autoSpaceDE w:val="0"/>
              <w:autoSpaceDN w:val="0"/>
              <w:spacing w:line="202" w:lineRule="exact"/>
              <w:ind w:left="4"/>
              <w:rPr>
                <w:sz w:val="20"/>
                <w:szCs w:val="20"/>
                <w:lang w:val="sr-Latn-ME"/>
              </w:rPr>
            </w:pPr>
            <w:r w:rsidRPr="00E22DF8">
              <w:rPr>
                <w:sz w:val="20"/>
                <w:szCs w:val="20"/>
                <w:lang w:val="sr-Latn-ME"/>
              </w:rPr>
              <w:t>11 (0,7%)</w:t>
            </w:r>
          </w:p>
        </w:tc>
        <w:tc>
          <w:tcPr>
            <w:tcW w:w="563" w:type="dxa"/>
          </w:tcPr>
          <w:p w:rsidR="005E2E32" w:rsidRPr="00E22DF8" w:rsidRDefault="005E2E32" w:rsidP="005E2E32">
            <w:pPr>
              <w:widowControl w:val="0"/>
              <w:autoSpaceDE w:val="0"/>
              <w:autoSpaceDN w:val="0"/>
              <w:rPr>
                <w:sz w:val="20"/>
                <w:szCs w:val="20"/>
                <w:lang w:val="sr-Latn-ME"/>
              </w:rPr>
            </w:pPr>
          </w:p>
        </w:tc>
        <w:tc>
          <w:tcPr>
            <w:tcW w:w="1062"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3 (0,4%)</w:t>
            </w:r>
          </w:p>
        </w:tc>
        <w:tc>
          <w:tcPr>
            <w:tcW w:w="985"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15 (1,7%)</w:t>
            </w:r>
          </w:p>
        </w:tc>
        <w:tc>
          <w:tcPr>
            <w:tcW w:w="564" w:type="dxa"/>
          </w:tcPr>
          <w:p w:rsidR="005E2E32" w:rsidRPr="00E22DF8" w:rsidRDefault="005E2E32" w:rsidP="005E2E32">
            <w:pPr>
              <w:widowControl w:val="0"/>
              <w:autoSpaceDE w:val="0"/>
              <w:autoSpaceDN w:val="0"/>
              <w:rPr>
                <w:sz w:val="20"/>
                <w:szCs w:val="20"/>
                <w:lang w:val="sr-Latn-ME"/>
              </w:rPr>
            </w:pPr>
          </w:p>
        </w:tc>
        <w:tc>
          <w:tcPr>
            <w:tcW w:w="1151"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8 (1,0%)</w:t>
            </w:r>
          </w:p>
        </w:tc>
        <w:tc>
          <w:tcPr>
            <w:tcW w:w="1035"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24 (2,7%)</w:t>
            </w:r>
          </w:p>
        </w:tc>
        <w:tc>
          <w:tcPr>
            <w:tcW w:w="566" w:type="dxa"/>
          </w:tcPr>
          <w:p w:rsidR="005E2E32" w:rsidRPr="00E22DF8" w:rsidRDefault="005E2E32" w:rsidP="005E2E32">
            <w:pPr>
              <w:widowControl w:val="0"/>
              <w:autoSpaceDE w:val="0"/>
              <w:autoSpaceDN w:val="0"/>
              <w:rPr>
                <w:sz w:val="20"/>
                <w:szCs w:val="20"/>
                <w:lang w:val="sr-Latn-ME"/>
              </w:rPr>
            </w:pPr>
          </w:p>
        </w:tc>
      </w:tr>
      <w:tr w:rsidR="005E2E32" w:rsidRPr="00E22DF8" w:rsidTr="00F11BC8">
        <w:tc>
          <w:tcPr>
            <w:tcW w:w="1089" w:type="dxa"/>
          </w:tcPr>
          <w:p w:rsidR="005E2E32" w:rsidRPr="00E22DF8" w:rsidRDefault="00BD26F2" w:rsidP="005E2E32">
            <w:pPr>
              <w:widowControl w:val="0"/>
              <w:autoSpaceDE w:val="0"/>
              <w:autoSpaceDN w:val="0"/>
              <w:spacing w:before="6" w:line="223" w:lineRule="auto"/>
              <w:ind w:left="9" w:right="-135"/>
              <w:rPr>
                <w:sz w:val="20"/>
                <w:szCs w:val="20"/>
                <w:lang w:val="sr-Latn-ME"/>
              </w:rPr>
            </w:pPr>
            <w:r w:rsidRPr="00E22DF8">
              <w:rPr>
                <w:sz w:val="20"/>
                <w:szCs w:val="20"/>
                <w:lang w:val="sr-Latn-ME"/>
              </w:rPr>
              <w:t xml:space="preserve">Velika </w:t>
            </w:r>
            <w:r w:rsidR="005E2E32" w:rsidRPr="00E22DF8">
              <w:rPr>
                <w:sz w:val="20"/>
                <w:szCs w:val="20"/>
                <w:lang w:val="sr-Latn-ME"/>
              </w:rPr>
              <w:t>krvarenja</w:t>
            </w:r>
          </w:p>
        </w:tc>
        <w:tc>
          <w:tcPr>
            <w:tcW w:w="1064" w:type="dxa"/>
          </w:tcPr>
          <w:p w:rsidR="005E2E32" w:rsidRPr="00E22DF8" w:rsidRDefault="005E2E32" w:rsidP="005E2E32">
            <w:pPr>
              <w:widowControl w:val="0"/>
              <w:autoSpaceDE w:val="0"/>
              <w:autoSpaceDN w:val="0"/>
              <w:spacing w:line="202" w:lineRule="exact"/>
              <w:ind w:left="9"/>
              <w:rPr>
                <w:sz w:val="20"/>
                <w:szCs w:val="20"/>
                <w:lang w:val="sr-Latn-ME"/>
              </w:rPr>
            </w:pPr>
            <w:r w:rsidRPr="00E22DF8">
              <w:rPr>
                <w:sz w:val="20"/>
                <w:szCs w:val="20"/>
                <w:lang w:val="sr-Latn-ME"/>
              </w:rPr>
              <w:t>6 (0,3%)</w:t>
            </w:r>
          </w:p>
        </w:tc>
        <w:tc>
          <w:tcPr>
            <w:tcW w:w="984" w:type="dxa"/>
          </w:tcPr>
          <w:p w:rsidR="005E2E32" w:rsidRPr="00E22DF8" w:rsidRDefault="005E2E32" w:rsidP="005E2E32">
            <w:pPr>
              <w:widowControl w:val="0"/>
              <w:autoSpaceDE w:val="0"/>
              <w:autoSpaceDN w:val="0"/>
              <w:spacing w:line="202" w:lineRule="exact"/>
              <w:ind w:left="4"/>
              <w:rPr>
                <w:sz w:val="20"/>
                <w:szCs w:val="20"/>
                <w:lang w:val="sr-Latn-ME"/>
              </w:rPr>
            </w:pPr>
            <w:r w:rsidRPr="00E22DF8">
              <w:rPr>
                <w:sz w:val="20"/>
                <w:szCs w:val="20"/>
                <w:lang w:val="sr-Latn-ME"/>
              </w:rPr>
              <w:t>2 (0,1%)</w:t>
            </w:r>
          </w:p>
        </w:tc>
        <w:tc>
          <w:tcPr>
            <w:tcW w:w="563" w:type="dxa"/>
          </w:tcPr>
          <w:p w:rsidR="005E2E32" w:rsidRPr="00E22DF8" w:rsidRDefault="005E2E32" w:rsidP="005E2E32">
            <w:pPr>
              <w:widowControl w:val="0"/>
              <w:autoSpaceDE w:val="0"/>
              <w:autoSpaceDN w:val="0"/>
              <w:rPr>
                <w:sz w:val="20"/>
                <w:szCs w:val="20"/>
                <w:lang w:val="sr-Latn-ME"/>
              </w:rPr>
            </w:pPr>
          </w:p>
        </w:tc>
        <w:tc>
          <w:tcPr>
            <w:tcW w:w="1062"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1 (0,1%)</w:t>
            </w:r>
          </w:p>
        </w:tc>
        <w:tc>
          <w:tcPr>
            <w:tcW w:w="985" w:type="dxa"/>
          </w:tcPr>
          <w:p w:rsidR="005E2E32" w:rsidRPr="00E22DF8" w:rsidRDefault="005E2E32" w:rsidP="005E2E32">
            <w:pPr>
              <w:widowControl w:val="0"/>
              <w:autoSpaceDE w:val="0"/>
              <w:autoSpaceDN w:val="0"/>
              <w:spacing w:line="202" w:lineRule="exact"/>
              <w:ind w:left="5"/>
              <w:rPr>
                <w:sz w:val="20"/>
                <w:szCs w:val="20"/>
                <w:lang w:val="sr-Latn-ME"/>
              </w:rPr>
            </w:pPr>
            <w:r w:rsidRPr="00E22DF8">
              <w:rPr>
                <w:sz w:val="20"/>
                <w:szCs w:val="20"/>
                <w:lang w:val="sr-Latn-ME"/>
              </w:rPr>
              <w:t>1 (0,1%)</w:t>
            </w:r>
          </w:p>
        </w:tc>
        <w:tc>
          <w:tcPr>
            <w:tcW w:w="564" w:type="dxa"/>
          </w:tcPr>
          <w:p w:rsidR="005E2E32" w:rsidRPr="00E22DF8" w:rsidRDefault="005E2E32" w:rsidP="005E2E32">
            <w:pPr>
              <w:widowControl w:val="0"/>
              <w:autoSpaceDE w:val="0"/>
              <w:autoSpaceDN w:val="0"/>
              <w:rPr>
                <w:sz w:val="20"/>
                <w:szCs w:val="20"/>
                <w:lang w:val="sr-Latn-ME"/>
              </w:rPr>
            </w:pPr>
          </w:p>
        </w:tc>
        <w:tc>
          <w:tcPr>
            <w:tcW w:w="1151"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7 (0,6%)</w:t>
            </w:r>
          </w:p>
        </w:tc>
        <w:tc>
          <w:tcPr>
            <w:tcW w:w="1035" w:type="dxa"/>
          </w:tcPr>
          <w:p w:rsidR="005E2E32" w:rsidRPr="00E22DF8" w:rsidRDefault="005E2E32" w:rsidP="005E2E32">
            <w:pPr>
              <w:widowControl w:val="0"/>
              <w:autoSpaceDE w:val="0"/>
              <w:autoSpaceDN w:val="0"/>
              <w:spacing w:line="202" w:lineRule="exact"/>
              <w:ind w:left="6"/>
              <w:rPr>
                <w:sz w:val="20"/>
                <w:szCs w:val="20"/>
                <w:lang w:val="sr-Latn-ME"/>
              </w:rPr>
            </w:pPr>
            <w:r w:rsidRPr="00E22DF8">
              <w:rPr>
                <w:sz w:val="20"/>
                <w:szCs w:val="20"/>
                <w:lang w:val="sr-Latn-ME"/>
              </w:rPr>
              <w:t>6 (0,5%)</w:t>
            </w:r>
          </w:p>
        </w:tc>
        <w:tc>
          <w:tcPr>
            <w:tcW w:w="566" w:type="dxa"/>
          </w:tcPr>
          <w:p w:rsidR="005E2E32" w:rsidRPr="00E22DF8" w:rsidRDefault="005E2E32" w:rsidP="005E2E32">
            <w:pPr>
              <w:widowControl w:val="0"/>
              <w:autoSpaceDE w:val="0"/>
              <w:autoSpaceDN w:val="0"/>
              <w:rPr>
                <w:sz w:val="20"/>
                <w:szCs w:val="20"/>
                <w:lang w:val="sr-Latn-ME"/>
              </w:rPr>
            </w:pPr>
          </w:p>
        </w:tc>
      </w:tr>
    </w:tbl>
    <w:p w:rsidR="00A539BF" w:rsidRPr="00E22DF8" w:rsidRDefault="00A539BF" w:rsidP="00A539BF">
      <w:pPr>
        <w:tabs>
          <w:tab w:val="left" w:pos="540"/>
          <w:tab w:val="left" w:pos="569"/>
        </w:tabs>
        <w:rPr>
          <w:b/>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Analiza objedinjenih rezultata studija </w:t>
      </w:r>
      <w:r w:rsidR="00BD26F2" w:rsidRPr="00E22DF8">
        <w:rPr>
          <w:bCs/>
          <w:sz w:val="22"/>
          <w:szCs w:val="22"/>
          <w:lang w:val="sr-Latn-ME"/>
        </w:rPr>
        <w:t xml:space="preserve">faze III </w:t>
      </w:r>
      <w:r w:rsidRPr="00E22DF8">
        <w:rPr>
          <w:bCs/>
          <w:sz w:val="22"/>
          <w:szCs w:val="22"/>
          <w:lang w:val="sr-Latn-ME"/>
        </w:rPr>
        <w:t xml:space="preserve">potvrdila je rezultate dobijene u pojedinačnim studijama u odnosu na smanjenje svih VTE događaja, </w:t>
      </w:r>
      <w:r w:rsidR="00BD26F2" w:rsidRPr="00E22DF8">
        <w:rPr>
          <w:bCs/>
          <w:sz w:val="22"/>
          <w:szCs w:val="22"/>
          <w:lang w:val="sr-Latn-ME"/>
        </w:rPr>
        <w:t xml:space="preserve">velikih </w:t>
      </w:r>
      <w:r w:rsidRPr="00E22DF8">
        <w:rPr>
          <w:bCs/>
          <w:sz w:val="22"/>
          <w:szCs w:val="22"/>
          <w:lang w:val="sr-Latn-ME"/>
        </w:rPr>
        <w:t>VTE događaja i simptomatskih VTE događaja pri uzimanju rivaroksabana u dozi od 10 mg, jednom dnevno, u poređenju sa enoksaparinom u dozi od 40 mg, jednom dnevno.</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Kao dodatak programu RECORD studije faze III, sprovedena je postmarketinška, neinterventna, otvorena, kohortna studija (XAMOS), na 17413 pacijenata koji su bili podvrgnuti velikim ortopedskim hirurškim intervencijama kuka ili koljena, da bi se uporedio rivaroksaban sa drugim farmakološkim tromboprofilakticima (standardna terapija) pri uobičajenim uslovima. Simptomatska VTE se pojavila kod 57 (0,6%) pacijenata koji su bili u grupi koja je primala rivaroksaban (n=8778) i 88 (1,0%) pacijenata koji su bili u grupi koja je primala standardnu terapiju (n=8635: </w:t>
      </w:r>
      <w:r w:rsidR="00BD26F2" w:rsidRPr="00E22DF8">
        <w:rPr>
          <w:bCs/>
          <w:sz w:val="22"/>
          <w:szCs w:val="22"/>
          <w:lang w:val="sr-Latn-ME"/>
        </w:rPr>
        <w:t>odnos rizika</w:t>
      </w:r>
      <w:r w:rsidRPr="00E22DF8">
        <w:rPr>
          <w:bCs/>
          <w:sz w:val="22"/>
          <w:szCs w:val="22"/>
          <w:lang w:val="sr-Latn-ME"/>
        </w:rPr>
        <w:t xml:space="preserve"> (HR) 0,63; 95% CI 0,43-0,91; populacija u kojoj je ispitivana bezbjednost). </w:t>
      </w:r>
      <w:r w:rsidR="00BD26F2" w:rsidRPr="00E22DF8">
        <w:rPr>
          <w:bCs/>
          <w:sz w:val="22"/>
          <w:szCs w:val="22"/>
          <w:lang w:val="sr-Latn-ME"/>
        </w:rPr>
        <w:t xml:space="preserve">Velika </w:t>
      </w:r>
      <w:r w:rsidRPr="00E22DF8">
        <w:rPr>
          <w:bCs/>
          <w:sz w:val="22"/>
          <w:szCs w:val="22"/>
          <w:lang w:val="sr-Latn-ME"/>
        </w:rPr>
        <w:t>krvarenja su se javila kod 35 (0,4%) pacijenata koji su bili u grupi koja je primala rivaroksaban i kod 29 (0,3%) pacijenata koji su bili u grupi koja je primala standardnu terapiju (HR 1,10: 95% CI 0,67-1,80). Prema tome, rezultati su bili u skladu sa rezultatima pivotalnih randomizovanih studija.</w:t>
      </w:r>
    </w:p>
    <w:p w:rsidR="00F11BC8" w:rsidRPr="00E22DF8" w:rsidRDefault="00F11BC8" w:rsidP="00F11BC8">
      <w:pPr>
        <w:tabs>
          <w:tab w:val="left" w:pos="540"/>
          <w:tab w:val="left" w:pos="569"/>
        </w:tabs>
        <w:jc w:val="both"/>
        <w:rPr>
          <w:bCs/>
          <w:i/>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i/>
          <w:sz w:val="22"/>
          <w:szCs w:val="22"/>
          <w:lang w:val="sr-Latn-ME"/>
        </w:rPr>
        <w:t>Terapija TDV, PE i prevencija rekurentnog TDV i PE</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Kliničko ispitivanje rivaroksabana dizajnirano je tako da se pokaže efikasnost rivaroksabana u početnom i kontinuiranom liječenju akutne TDV i PE i prevenciji njihovih recidiva.</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ispitivanje je uključeno preko 12800 pacijenata u četiri randomizovane kontrolisane kliničke studije faze III (Einstein DVT, Einstein PE, Einstein Extension i Einstein Choice), a dodatno je sprovedena i unaprijed definisana objedinjena analiza Einstein DVT i Einstein PE studija. Ukupno zbirno trajanje terapije u svim studijama je bilo do 21 mjesec.</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Einstein DVT studiju uključeno je 3449 pacijenata sa akutnom TDV koji su bili na terapiji TDV i prevenciji rekurentne TDV i PE (pacijenti sa simptomatskim PE su bili isključeni iz ovog ispitivanja). Terapija je trajala 3, 6 ili 12 mjeseci zavisno od kliničke procjene ispitivača.</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Tokom prve 3 nedelje terapije akutne TDV primjenjivan je rivaroksaban u dozi od 15 mg dva puta dnevno. Nakon toga je primjenjivana doza od 20 mg rivaroksabana jednom dnevno.</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U Einstain PE </w:t>
      </w:r>
      <w:r w:rsidR="000B092B" w:rsidRPr="00E22DF8">
        <w:rPr>
          <w:bCs/>
          <w:sz w:val="22"/>
          <w:szCs w:val="22"/>
          <w:lang w:val="sr-Latn-ME"/>
        </w:rPr>
        <w:t xml:space="preserve">studiju </w:t>
      </w:r>
      <w:r w:rsidRPr="00E22DF8">
        <w:rPr>
          <w:bCs/>
          <w:sz w:val="22"/>
          <w:szCs w:val="22"/>
          <w:lang w:val="sr-Latn-ME"/>
        </w:rPr>
        <w:t>bilo je uključeno 4832 pacijenta sa akutnom PE koji su bili na terapiji PE i prevenciji reukrentne TDV i PE. Dužina terapije bila je 3, 6 ili 12 mjeseci zavisno od kliničke procjene ispitivača.</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Za inicijalnu terapiju akutne PE primjenjivan je rivaroksaban u dozi od 15 mg dva puta dnevno tokom tri ned</w:t>
      </w:r>
      <w:r w:rsidR="000B092B" w:rsidRPr="00E22DF8">
        <w:rPr>
          <w:bCs/>
          <w:sz w:val="22"/>
          <w:szCs w:val="22"/>
          <w:lang w:val="sr-Latn-ME"/>
        </w:rPr>
        <w:t>j</w:t>
      </w:r>
      <w:r w:rsidRPr="00E22DF8">
        <w:rPr>
          <w:bCs/>
          <w:sz w:val="22"/>
          <w:szCs w:val="22"/>
          <w:lang w:val="sr-Latn-ME"/>
        </w:rPr>
        <w:t>elje. Nakon toga je primjenjivana doza od 20 mg rivaroksabana jednom dnevno.</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 </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lastRenderedPageBreak/>
        <w:t>U obje studije, Einstain DVT i Einstain PE u kontrolnoj grupi terapija se sastojala od enoksaparina primjenjivanog najmanje 5 dana u kombinaciji sa liječenjem antagonistom vitamina K dok je vrijednost PT/INR bila u terapijskom rasponu (≥ 2,0). Terapija je nastavljena antagonistom vitamina K prilagođene doze radi održavanja vrijednosti PT/INR unutar terapijskog raspona od 2,0 do 3,0.</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Einstein Extension studiju bilo je uključeno 1197 pacijenata sa TDV ili PE radi ispitivanja prevencije rekurentne TDV i PE. Terapija je trajala dodatnih 6 ili 12 mjeseci kod pacijenata koji su završili 6 do 12 mjeseci terapije zbog venske tromboembolije u zavisnosti od kliničke procjene ispitivača. Primjena rivaroksabana u dozi od 20 mg jednom dnevno je upoređivana sa placebom.</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studijama Einstein DVT, PE i Extension korišćeni su isti unaprijed definisani primarni i sekundarni ishodi efikasnosti. Primarni ishod efikasnosti je bio simptomatska rekurentna VTE definisana kao zbir rekurentne TDV ili PE sa smrtnim ishodom ili PE bez smrtnog ishoda. Sekundarni ishod efikasnosti je bio definisan kao zbir rekurentne TDV, PE bez smrtnog ishoda i smrtnosti usljed svih uzroka.</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Einstein Choice studiji, kod 3396 pacijenata sa potvrđenom simptomatskom TDV i/ili PE, koji su završili 6-12 mjeseci antikoagulantne terapije, ispitivana je prevencija PE sa smrtnim ishodom</w:t>
      </w:r>
      <w:r w:rsidR="00097FB5" w:rsidRPr="00E22DF8">
        <w:rPr>
          <w:bCs/>
          <w:sz w:val="22"/>
          <w:szCs w:val="22"/>
          <w:lang w:val="sr-Latn-ME"/>
        </w:rPr>
        <w:t>,</w:t>
      </w:r>
      <w:r w:rsidRPr="00E22DF8">
        <w:rPr>
          <w:bCs/>
          <w:sz w:val="22"/>
          <w:szCs w:val="22"/>
          <w:lang w:val="sr-Latn-ME"/>
        </w:rPr>
        <w:t xml:space="preserve"> ili simptomatske rekurentne TDV ili PE bez smrtnog ishoda. Pacijenti sa indikacijom </w:t>
      </w:r>
      <w:r w:rsidR="00097FB5" w:rsidRPr="00E22DF8">
        <w:rPr>
          <w:bCs/>
          <w:sz w:val="22"/>
          <w:szCs w:val="22"/>
          <w:lang w:val="sr-Latn-ME"/>
        </w:rPr>
        <w:t xml:space="preserve">za </w:t>
      </w:r>
      <w:r w:rsidRPr="00E22DF8">
        <w:rPr>
          <w:bCs/>
          <w:sz w:val="22"/>
          <w:szCs w:val="22"/>
          <w:lang w:val="sr-Latn-ME"/>
        </w:rPr>
        <w:t>kontinuiranu terapiju antikoagulansima u terapijskim dozama bili su isključeni iz studije. Terapija je trajala do 12 mjeseci, u zavisnosti od individualnog datuma randomizacije (medijana: 351 dan). Urađeno je poređenje rivaroksabana u dozi od 20 mg i rivaroksabana u dozi od 10 mg primijenjenih jednom dnevno, sa 100 mg acetilsalicilne kiseline primijenjene jednom dnevno.</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Primarni ishod efikasnosti je </w:t>
      </w:r>
      <w:r w:rsidR="00097FB5" w:rsidRPr="00E22DF8">
        <w:rPr>
          <w:bCs/>
          <w:sz w:val="22"/>
          <w:szCs w:val="22"/>
          <w:lang w:val="sr-Latn-ME"/>
        </w:rPr>
        <w:t xml:space="preserve">bio </w:t>
      </w:r>
      <w:r w:rsidRPr="00E22DF8">
        <w:rPr>
          <w:bCs/>
          <w:sz w:val="22"/>
          <w:szCs w:val="22"/>
          <w:lang w:val="sr-Latn-ME"/>
        </w:rPr>
        <w:t>simptomatska rekurentna VTE definisana kao zbir rekurentnih TDV ili PE sa smrtnim ishodom ili PE bez smrtnog ishoda.</w:t>
      </w:r>
    </w:p>
    <w:p w:rsidR="00097FB5" w:rsidRPr="00E22DF8" w:rsidRDefault="00097FB5"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 xml:space="preserve">U Einstein DVT studiji (vidjeti Tabelu </w:t>
      </w:r>
      <w:r w:rsidR="00097FB5" w:rsidRPr="00E22DF8">
        <w:rPr>
          <w:bCs/>
          <w:sz w:val="22"/>
          <w:szCs w:val="22"/>
          <w:lang w:val="sr-Latn-ME"/>
        </w:rPr>
        <w:t>5</w:t>
      </w:r>
      <w:r w:rsidRPr="00E22DF8">
        <w:rPr>
          <w:bCs/>
          <w:sz w:val="22"/>
          <w:szCs w:val="22"/>
          <w:lang w:val="sr-Latn-ME"/>
        </w:rPr>
        <w:t xml:space="preserve">), pokazano je da rivaroksaban nije inferioran u odnosu na enoksaparin/VKA za primarni ishod efikasnosti (p &lt; 0,0001 (test neinferiornosti); </w:t>
      </w:r>
      <w:r w:rsidR="00097FB5" w:rsidRPr="00E22DF8">
        <w:rPr>
          <w:bCs/>
          <w:sz w:val="22"/>
          <w:szCs w:val="22"/>
          <w:lang w:val="sr-Latn-ME"/>
        </w:rPr>
        <w:t>odnos rizika</w:t>
      </w:r>
      <w:r w:rsidRPr="00E22DF8">
        <w:rPr>
          <w:bCs/>
          <w:sz w:val="22"/>
          <w:szCs w:val="22"/>
          <w:lang w:val="sr-Latn-ME"/>
        </w:rPr>
        <w:t xml:space="preserve"> (HR): 0,680 (0,443 – 1,042), p=0,076 (test superiornosti). Unaprijed specifikovana ukupna klinička korist (primarni ishod efikasnosti plus </w:t>
      </w:r>
      <w:r w:rsidR="00097FB5" w:rsidRPr="00E22DF8">
        <w:rPr>
          <w:bCs/>
          <w:sz w:val="22"/>
          <w:szCs w:val="22"/>
          <w:lang w:val="sr-Latn-ME"/>
        </w:rPr>
        <w:t xml:space="preserve">velika </w:t>
      </w:r>
      <w:r w:rsidRPr="00E22DF8">
        <w:rPr>
          <w:bCs/>
          <w:sz w:val="22"/>
          <w:szCs w:val="22"/>
          <w:lang w:val="sr-Latn-ME"/>
        </w:rPr>
        <w:t xml:space="preserve">krvarenja) je prijavljena uz </w:t>
      </w:r>
      <w:r w:rsidR="00097FB5" w:rsidRPr="00E22DF8">
        <w:rPr>
          <w:bCs/>
          <w:sz w:val="22"/>
          <w:szCs w:val="22"/>
          <w:lang w:val="sr-Latn-ME"/>
        </w:rPr>
        <w:t>odnos rizika</w:t>
      </w:r>
      <w:r w:rsidRPr="00E22DF8">
        <w:rPr>
          <w:bCs/>
          <w:sz w:val="22"/>
          <w:szCs w:val="22"/>
          <w:lang w:val="sr-Latn-ME"/>
        </w:rPr>
        <w:t xml:space="preserve"> 0,67 (95% CI= 0,47 – 0,95), nominalnom p vrijednošću p=0,027) u korist rivaroksabana. INR vrijednosti su bile unutar terapijskog raspona sa prosjekom 60,3% vremena za prosječno trajanje terapije od 189 dana i 55,4%, 60,1%, i 62,8% vremena u grupama namjeravanog trajanja terapije od 3, 6, i 12 mjeseci, tim redom. U enoksaparin/VKA grupi, nije bilo jasnog odnosa između vrijednosti prosječnog centralnog TTR (</w:t>
      </w:r>
      <w:r w:rsidR="00097FB5" w:rsidRPr="00E22DF8">
        <w:rPr>
          <w:bCs/>
          <w:sz w:val="22"/>
          <w:szCs w:val="22"/>
          <w:lang w:val="sr-Latn-ME"/>
        </w:rPr>
        <w:t xml:space="preserve">engl. </w:t>
      </w:r>
      <w:r w:rsidRPr="00E22DF8">
        <w:rPr>
          <w:bCs/>
          <w:i/>
          <w:sz w:val="22"/>
          <w:szCs w:val="22"/>
          <w:lang w:val="sr-Latn-ME"/>
        </w:rPr>
        <w:t>Time in Target INR Range</w:t>
      </w:r>
      <w:r w:rsidRPr="00E22DF8">
        <w:rPr>
          <w:bCs/>
          <w:sz w:val="22"/>
          <w:szCs w:val="22"/>
          <w:lang w:val="sr-Latn-ME"/>
        </w:rPr>
        <w:t xml:space="preserve"> 2,0 – 3,0) tercilima podjednake veličine sa učestalošću rekurentne VTE (P=0,932 za interakciju). Unutar najvećeg tercila prema centru, </w:t>
      </w:r>
      <w:r w:rsidR="00097FB5" w:rsidRPr="00E22DF8">
        <w:rPr>
          <w:bCs/>
          <w:sz w:val="22"/>
          <w:szCs w:val="22"/>
          <w:lang w:val="sr-Latn-ME"/>
        </w:rPr>
        <w:t>odnos rizika</w:t>
      </w:r>
      <w:r w:rsidRPr="00E22DF8">
        <w:rPr>
          <w:bCs/>
          <w:sz w:val="22"/>
          <w:szCs w:val="22"/>
          <w:lang w:val="sr-Latn-ME"/>
        </w:rPr>
        <w:t xml:space="preserve"> sa rivaroksabanom prema varfarinu je bio 0,69 (95% CI: 0,35 – 1,35).</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Stope učestalosti za primarni ishod bezbjednosti (</w:t>
      </w:r>
      <w:r w:rsidR="00097FB5" w:rsidRPr="00E22DF8">
        <w:rPr>
          <w:bCs/>
          <w:sz w:val="22"/>
          <w:szCs w:val="22"/>
          <w:lang w:val="sr-Latn-ME"/>
        </w:rPr>
        <w:t xml:space="preserve">velika </w:t>
      </w:r>
      <w:r w:rsidRPr="00E22DF8">
        <w:rPr>
          <w:bCs/>
          <w:sz w:val="22"/>
          <w:szCs w:val="22"/>
          <w:lang w:val="sr-Latn-ME"/>
        </w:rPr>
        <w:t xml:space="preserve">ili klinički značajna </w:t>
      </w:r>
      <w:r w:rsidR="00097FB5" w:rsidRPr="00E22DF8">
        <w:rPr>
          <w:bCs/>
          <w:sz w:val="22"/>
          <w:szCs w:val="22"/>
          <w:lang w:val="sr-Latn-ME"/>
        </w:rPr>
        <w:t xml:space="preserve">manja </w:t>
      </w:r>
      <w:r w:rsidRPr="00E22DF8">
        <w:rPr>
          <w:bCs/>
          <w:sz w:val="22"/>
          <w:szCs w:val="22"/>
          <w:lang w:val="sr-Latn-ME"/>
        </w:rPr>
        <w:t>krvarenja), kao i za sekundarni ishod bezbjednosti (</w:t>
      </w:r>
      <w:r w:rsidR="00097FB5" w:rsidRPr="00E22DF8">
        <w:rPr>
          <w:bCs/>
          <w:sz w:val="22"/>
          <w:szCs w:val="22"/>
          <w:lang w:val="sr-Latn-ME"/>
        </w:rPr>
        <w:t xml:space="preserve">velika </w:t>
      </w:r>
      <w:r w:rsidRPr="00E22DF8">
        <w:rPr>
          <w:bCs/>
          <w:sz w:val="22"/>
          <w:szCs w:val="22"/>
          <w:lang w:val="sr-Latn-ME"/>
        </w:rPr>
        <w:t>krvarenja) su bile slične za ob</w:t>
      </w:r>
      <w:r w:rsidR="00097FB5" w:rsidRPr="00E22DF8">
        <w:rPr>
          <w:bCs/>
          <w:sz w:val="22"/>
          <w:szCs w:val="22"/>
          <w:lang w:val="sr-Latn-ME"/>
        </w:rPr>
        <w:t>j</w:t>
      </w:r>
      <w:r w:rsidRPr="00E22DF8">
        <w:rPr>
          <w:bCs/>
          <w:sz w:val="22"/>
          <w:szCs w:val="22"/>
          <w:lang w:val="sr-Latn-ME"/>
        </w:rPr>
        <w:t>e terapijske grupe.</w:t>
      </w:r>
    </w:p>
    <w:p w:rsidR="00F11BC8" w:rsidRPr="00E22DF8" w:rsidRDefault="00F11BC8" w:rsidP="00F11BC8">
      <w:pPr>
        <w:tabs>
          <w:tab w:val="left" w:pos="540"/>
          <w:tab w:val="left" w:pos="569"/>
        </w:tabs>
        <w:jc w:val="both"/>
        <w:rPr>
          <w:bCs/>
          <w:sz w:val="22"/>
          <w:szCs w:val="22"/>
          <w:lang w:val="sr-Latn-ME"/>
        </w:rPr>
      </w:pPr>
    </w:p>
    <w:p w:rsidR="00F11BC8" w:rsidRDefault="00F11BC8" w:rsidP="00F11BC8">
      <w:pPr>
        <w:tabs>
          <w:tab w:val="left" w:pos="540"/>
          <w:tab w:val="left" w:pos="569"/>
        </w:tabs>
        <w:jc w:val="both"/>
        <w:rPr>
          <w:b/>
          <w:bCs/>
          <w:i/>
          <w:sz w:val="22"/>
          <w:szCs w:val="22"/>
          <w:lang w:val="sr-Latn-ME"/>
        </w:rPr>
      </w:pPr>
      <w:r w:rsidRPr="00E22DF8">
        <w:rPr>
          <w:b/>
          <w:bCs/>
          <w:sz w:val="22"/>
          <w:szCs w:val="22"/>
          <w:lang w:val="sr-Latn-ME"/>
        </w:rPr>
        <w:t xml:space="preserve">Tabela 5: Rezultati efikasnosti i bezbjednosti iz studije </w:t>
      </w:r>
      <w:r w:rsidR="00097FB5" w:rsidRPr="00E22DF8">
        <w:rPr>
          <w:b/>
          <w:bCs/>
          <w:sz w:val="22"/>
          <w:szCs w:val="22"/>
          <w:lang w:val="sr-Latn-ME"/>
        </w:rPr>
        <w:t xml:space="preserve">faze III </w:t>
      </w:r>
      <w:r w:rsidRPr="00E22DF8">
        <w:rPr>
          <w:b/>
          <w:bCs/>
          <w:i/>
          <w:sz w:val="22"/>
          <w:szCs w:val="22"/>
          <w:lang w:val="sr-Latn-ME"/>
        </w:rPr>
        <w:t>Einstein DVT</w:t>
      </w:r>
    </w:p>
    <w:p w:rsidR="00325A16" w:rsidRPr="00E22DF8" w:rsidRDefault="00325A16" w:rsidP="00F11BC8">
      <w:pPr>
        <w:tabs>
          <w:tab w:val="left" w:pos="540"/>
          <w:tab w:val="left" w:pos="569"/>
        </w:tabs>
        <w:jc w:val="both"/>
        <w:rPr>
          <w:b/>
          <w:bCs/>
          <w:i/>
          <w:sz w:val="22"/>
          <w:szCs w:val="22"/>
          <w:lang w:val="sr-Latn-ME"/>
        </w:rPr>
      </w:pPr>
    </w:p>
    <w:tbl>
      <w:tblPr>
        <w:tblStyle w:val="TableGrid"/>
        <w:tblW w:w="0" w:type="auto"/>
        <w:tblLook w:val="04A0" w:firstRow="1" w:lastRow="0" w:firstColumn="1" w:lastColumn="0" w:noHBand="0" w:noVBand="1"/>
      </w:tblPr>
      <w:tblGrid>
        <w:gridCol w:w="2707"/>
        <w:gridCol w:w="3301"/>
        <w:gridCol w:w="3055"/>
      </w:tblGrid>
      <w:tr w:rsidR="00F11BC8" w:rsidRPr="00E22DF8" w:rsidTr="00F11BC8">
        <w:tc>
          <w:tcPr>
            <w:tcW w:w="2707" w:type="dxa"/>
          </w:tcPr>
          <w:p w:rsidR="00F11BC8" w:rsidRPr="00E22DF8" w:rsidRDefault="00F11BC8" w:rsidP="00F11BC8">
            <w:pPr>
              <w:widowControl w:val="0"/>
              <w:autoSpaceDE w:val="0"/>
              <w:autoSpaceDN w:val="0"/>
              <w:spacing w:before="106"/>
              <w:ind w:left="9"/>
              <w:rPr>
                <w:b/>
                <w:sz w:val="22"/>
                <w:szCs w:val="22"/>
                <w:lang w:val="sr-Latn-ME"/>
              </w:rPr>
            </w:pPr>
            <w:r w:rsidRPr="00E22DF8">
              <w:rPr>
                <w:b/>
                <w:sz w:val="22"/>
                <w:szCs w:val="22"/>
                <w:lang w:val="sr-Latn-ME"/>
              </w:rPr>
              <w:t>Populacija uključena u studiju</w:t>
            </w:r>
          </w:p>
        </w:tc>
        <w:tc>
          <w:tcPr>
            <w:tcW w:w="6356" w:type="dxa"/>
            <w:gridSpan w:val="2"/>
          </w:tcPr>
          <w:p w:rsidR="00F11BC8" w:rsidRPr="00E22DF8" w:rsidRDefault="00F11BC8" w:rsidP="00F11BC8">
            <w:pPr>
              <w:widowControl w:val="0"/>
              <w:autoSpaceDE w:val="0"/>
              <w:autoSpaceDN w:val="0"/>
              <w:spacing w:line="232" w:lineRule="auto"/>
              <w:ind w:left="9"/>
              <w:rPr>
                <w:b/>
                <w:sz w:val="22"/>
                <w:szCs w:val="22"/>
                <w:lang w:val="sr-Latn-ME"/>
              </w:rPr>
            </w:pPr>
            <w:r w:rsidRPr="00E22DF8">
              <w:rPr>
                <w:b/>
                <w:sz w:val="22"/>
                <w:szCs w:val="22"/>
                <w:lang w:val="sr-Latn-ME"/>
              </w:rPr>
              <w:t>3449 pacijenata sa simptomatskom akutnom trombozom dubokih vena</w:t>
            </w:r>
          </w:p>
        </w:tc>
      </w:tr>
      <w:tr w:rsidR="00F11BC8" w:rsidRPr="00E22DF8" w:rsidTr="00415885">
        <w:tc>
          <w:tcPr>
            <w:tcW w:w="2707" w:type="dxa"/>
            <w:vAlign w:val="center"/>
          </w:tcPr>
          <w:p w:rsidR="00F11BC8" w:rsidRPr="00E22DF8" w:rsidRDefault="00F11BC8" w:rsidP="00F11BC8">
            <w:pPr>
              <w:widowControl w:val="0"/>
              <w:autoSpaceDE w:val="0"/>
              <w:autoSpaceDN w:val="0"/>
              <w:spacing w:before="10"/>
              <w:rPr>
                <w:b/>
                <w:i/>
                <w:sz w:val="20"/>
                <w:szCs w:val="22"/>
                <w:lang w:val="sr-Latn-ME"/>
              </w:rPr>
            </w:pPr>
          </w:p>
          <w:p w:rsidR="00F11BC8" w:rsidRPr="00E22DF8" w:rsidRDefault="00F11BC8" w:rsidP="00F11BC8">
            <w:pPr>
              <w:widowControl w:val="0"/>
              <w:autoSpaceDE w:val="0"/>
              <w:autoSpaceDN w:val="0"/>
              <w:spacing w:before="1"/>
              <w:ind w:left="9"/>
              <w:rPr>
                <w:b/>
                <w:sz w:val="22"/>
                <w:szCs w:val="22"/>
                <w:lang w:val="sr-Latn-ME"/>
              </w:rPr>
            </w:pPr>
            <w:r w:rsidRPr="00E22DF8">
              <w:rPr>
                <w:b/>
                <w:sz w:val="22"/>
                <w:szCs w:val="22"/>
                <w:lang w:val="sr-Latn-ME"/>
              </w:rPr>
              <w:t>Terapijska doza i trajanje liječenja</w:t>
            </w:r>
          </w:p>
        </w:tc>
        <w:tc>
          <w:tcPr>
            <w:tcW w:w="3301" w:type="dxa"/>
            <w:vAlign w:val="center"/>
          </w:tcPr>
          <w:p w:rsidR="00932E02" w:rsidRPr="00E22DF8" w:rsidRDefault="00F11BC8" w:rsidP="00F11BC8">
            <w:pPr>
              <w:widowControl w:val="0"/>
              <w:autoSpaceDE w:val="0"/>
              <w:autoSpaceDN w:val="0"/>
              <w:spacing w:line="237" w:lineRule="auto"/>
              <w:ind w:left="9"/>
              <w:jc w:val="center"/>
              <w:rPr>
                <w:b/>
                <w:sz w:val="22"/>
                <w:szCs w:val="22"/>
                <w:lang w:val="sr-Latn-ME"/>
              </w:rPr>
            </w:pPr>
            <w:r w:rsidRPr="00E22DF8">
              <w:rPr>
                <w:b/>
                <w:sz w:val="22"/>
                <w:szCs w:val="22"/>
                <w:lang w:val="sr-Latn-ME"/>
              </w:rPr>
              <w:t>Rivaroksaban</w:t>
            </w:r>
            <w:r w:rsidRPr="00E22DF8">
              <w:rPr>
                <w:b/>
                <w:sz w:val="22"/>
                <w:szCs w:val="22"/>
                <w:vertAlign w:val="superscript"/>
                <w:lang w:val="sr-Latn-ME"/>
              </w:rPr>
              <w:t>a)</w:t>
            </w:r>
            <w:r w:rsidRPr="00E22DF8">
              <w:rPr>
                <w:b/>
                <w:sz w:val="22"/>
                <w:szCs w:val="22"/>
                <w:lang w:val="sr-Latn-ME"/>
              </w:rPr>
              <w:t xml:space="preserve"> 3, 6 ili 12 mjeseci </w:t>
            </w:r>
          </w:p>
          <w:p w:rsidR="00F11BC8" w:rsidRPr="00E22DF8" w:rsidRDefault="00F11BC8" w:rsidP="00F11BC8">
            <w:pPr>
              <w:widowControl w:val="0"/>
              <w:autoSpaceDE w:val="0"/>
              <w:autoSpaceDN w:val="0"/>
              <w:spacing w:line="237" w:lineRule="auto"/>
              <w:ind w:left="9"/>
              <w:jc w:val="center"/>
              <w:rPr>
                <w:b/>
                <w:sz w:val="22"/>
                <w:szCs w:val="22"/>
                <w:lang w:val="sr-Latn-ME"/>
              </w:rPr>
            </w:pPr>
            <w:r w:rsidRPr="00E22DF8">
              <w:rPr>
                <w:b/>
                <w:sz w:val="22"/>
                <w:szCs w:val="22"/>
                <w:lang w:val="sr-Latn-ME"/>
              </w:rPr>
              <w:t>N=1731</w:t>
            </w:r>
          </w:p>
        </w:tc>
        <w:tc>
          <w:tcPr>
            <w:tcW w:w="3055" w:type="dxa"/>
            <w:vAlign w:val="center"/>
          </w:tcPr>
          <w:p w:rsidR="00F11BC8" w:rsidRPr="00E22DF8" w:rsidRDefault="00F11BC8" w:rsidP="00F11BC8">
            <w:pPr>
              <w:widowControl w:val="0"/>
              <w:autoSpaceDE w:val="0"/>
              <w:autoSpaceDN w:val="0"/>
              <w:spacing w:line="244" w:lineRule="auto"/>
              <w:ind w:left="3"/>
              <w:jc w:val="center"/>
              <w:rPr>
                <w:b/>
                <w:sz w:val="22"/>
                <w:szCs w:val="22"/>
                <w:lang w:val="sr-Latn-ME"/>
              </w:rPr>
            </w:pPr>
            <w:r w:rsidRPr="00E22DF8">
              <w:rPr>
                <w:b/>
                <w:sz w:val="22"/>
                <w:szCs w:val="22"/>
                <w:lang w:val="sr-Latn-ME"/>
              </w:rPr>
              <w:t>Enoksaparin/VKA</w:t>
            </w:r>
            <w:r w:rsidRPr="00E22DF8">
              <w:rPr>
                <w:b/>
                <w:sz w:val="22"/>
                <w:szCs w:val="22"/>
                <w:vertAlign w:val="superscript"/>
                <w:lang w:val="sr-Latn-ME"/>
              </w:rPr>
              <w:t>b)</w:t>
            </w:r>
            <w:r w:rsidRPr="00E22DF8">
              <w:rPr>
                <w:b/>
                <w:sz w:val="22"/>
                <w:szCs w:val="22"/>
                <w:lang w:val="sr-Latn-ME"/>
              </w:rPr>
              <w:t>3, 6 ili 12 mjeseci</w:t>
            </w:r>
          </w:p>
          <w:p w:rsidR="00F11BC8" w:rsidRPr="00E22DF8" w:rsidRDefault="00F11BC8" w:rsidP="00F11BC8">
            <w:pPr>
              <w:widowControl w:val="0"/>
              <w:autoSpaceDE w:val="0"/>
              <w:autoSpaceDN w:val="0"/>
              <w:spacing w:line="226" w:lineRule="exact"/>
              <w:ind w:left="3"/>
              <w:jc w:val="center"/>
              <w:rPr>
                <w:b/>
                <w:sz w:val="22"/>
                <w:szCs w:val="22"/>
                <w:lang w:val="sr-Latn-ME"/>
              </w:rPr>
            </w:pPr>
            <w:r w:rsidRPr="00E22DF8">
              <w:rPr>
                <w:b/>
                <w:sz w:val="22"/>
                <w:szCs w:val="22"/>
                <w:lang w:val="sr-Latn-ME"/>
              </w:rPr>
              <w:t>N=1718</w:t>
            </w:r>
          </w:p>
        </w:tc>
      </w:tr>
      <w:tr w:rsidR="00F11BC8" w:rsidRPr="00E22DF8" w:rsidTr="00415885">
        <w:tc>
          <w:tcPr>
            <w:tcW w:w="2707" w:type="dxa"/>
            <w:vAlign w:val="center"/>
          </w:tcPr>
          <w:p w:rsidR="00F11BC8" w:rsidRPr="00E22DF8" w:rsidRDefault="00F11BC8" w:rsidP="00F11BC8">
            <w:pPr>
              <w:widowControl w:val="0"/>
              <w:autoSpaceDE w:val="0"/>
              <w:autoSpaceDN w:val="0"/>
              <w:spacing w:before="111"/>
              <w:ind w:left="9"/>
              <w:rPr>
                <w:sz w:val="22"/>
                <w:szCs w:val="22"/>
                <w:lang w:val="sr-Latn-ME"/>
              </w:rPr>
            </w:pPr>
            <w:r w:rsidRPr="00E22DF8">
              <w:rPr>
                <w:sz w:val="22"/>
                <w:szCs w:val="22"/>
                <w:lang w:val="sr-Latn-ME"/>
              </w:rPr>
              <w:t>Simptomatska rekurentna VTE*</w:t>
            </w:r>
          </w:p>
        </w:tc>
        <w:tc>
          <w:tcPr>
            <w:tcW w:w="3301" w:type="dxa"/>
            <w:vAlign w:val="center"/>
          </w:tcPr>
          <w:p w:rsidR="00F11BC8" w:rsidRPr="00E22DF8" w:rsidRDefault="00F11BC8" w:rsidP="00F11BC8">
            <w:pPr>
              <w:widowControl w:val="0"/>
              <w:autoSpaceDE w:val="0"/>
              <w:autoSpaceDN w:val="0"/>
              <w:spacing w:line="235" w:lineRule="exact"/>
              <w:ind w:left="1246" w:right="1233"/>
              <w:jc w:val="center"/>
              <w:rPr>
                <w:sz w:val="22"/>
                <w:szCs w:val="22"/>
                <w:lang w:val="sr-Latn-ME"/>
              </w:rPr>
            </w:pPr>
            <w:r w:rsidRPr="00E22DF8">
              <w:rPr>
                <w:sz w:val="22"/>
                <w:szCs w:val="22"/>
                <w:lang w:val="sr-Latn-ME"/>
              </w:rPr>
              <w:t>36</w:t>
            </w:r>
          </w:p>
          <w:p w:rsidR="00F11BC8" w:rsidRPr="00E22DF8" w:rsidRDefault="00F11BC8" w:rsidP="00F11BC8">
            <w:pPr>
              <w:widowControl w:val="0"/>
              <w:autoSpaceDE w:val="0"/>
              <w:autoSpaceDN w:val="0"/>
              <w:spacing w:line="249" w:lineRule="exact"/>
              <w:ind w:left="1247" w:right="1233"/>
              <w:jc w:val="center"/>
              <w:rPr>
                <w:sz w:val="22"/>
                <w:szCs w:val="22"/>
                <w:lang w:val="sr-Latn-ME"/>
              </w:rPr>
            </w:pPr>
            <w:r w:rsidRPr="00E22DF8">
              <w:rPr>
                <w:sz w:val="22"/>
                <w:szCs w:val="22"/>
                <w:lang w:val="sr-Latn-ME"/>
              </w:rPr>
              <w:t>(2,1%)</w:t>
            </w:r>
          </w:p>
        </w:tc>
        <w:tc>
          <w:tcPr>
            <w:tcW w:w="3055" w:type="dxa"/>
            <w:vAlign w:val="center"/>
          </w:tcPr>
          <w:p w:rsidR="00F11BC8" w:rsidRPr="00E22DF8" w:rsidRDefault="00F11BC8" w:rsidP="00F11BC8">
            <w:pPr>
              <w:widowControl w:val="0"/>
              <w:autoSpaceDE w:val="0"/>
              <w:autoSpaceDN w:val="0"/>
              <w:spacing w:line="235" w:lineRule="exact"/>
              <w:ind w:left="1120" w:right="1113"/>
              <w:jc w:val="center"/>
              <w:rPr>
                <w:sz w:val="22"/>
                <w:szCs w:val="22"/>
                <w:lang w:val="sr-Latn-ME"/>
              </w:rPr>
            </w:pPr>
            <w:r w:rsidRPr="00E22DF8">
              <w:rPr>
                <w:sz w:val="22"/>
                <w:szCs w:val="22"/>
                <w:lang w:val="sr-Latn-ME"/>
              </w:rPr>
              <w:t>51</w:t>
            </w:r>
          </w:p>
          <w:p w:rsidR="00F11BC8" w:rsidRPr="00E22DF8" w:rsidRDefault="00F11BC8" w:rsidP="00F11BC8">
            <w:pPr>
              <w:widowControl w:val="0"/>
              <w:autoSpaceDE w:val="0"/>
              <w:autoSpaceDN w:val="0"/>
              <w:spacing w:line="249" w:lineRule="exact"/>
              <w:ind w:left="1121" w:right="1113"/>
              <w:jc w:val="center"/>
              <w:rPr>
                <w:sz w:val="22"/>
                <w:szCs w:val="22"/>
                <w:lang w:val="sr-Latn-ME"/>
              </w:rPr>
            </w:pPr>
            <w:r w:rsidRPr="00E22DF8">
              <w:rPr>
                <w:sz w:val="22"/>
                <w:szCs w:val="22"/>
                <w:lang w:val="sr-Latn-ME"/>
              </w:rPr>
              <w:t>(3,0%)</w:t>
            </w:r>
          </w:p>
        </w:tc>
      </w:tr>
      <w:tr w:rsidR="00F11BC8" w:rsidRPr="00E22DF8" w:rsidTr="00415885">
        <w:tc>
          <w:tcPr>
            <w:tcW w:w="2707" w:type="dxa"/>
            <w:vAlign w:val="center"/>
          </w:tcPr>
          <w:p w:rsidR="00F11BC8" w:rsidRPr="00E22DF8" w:rsidRDefault="00F11BC8" w:rsidP="0064584A">
            <w:pPr>
              <w:widowControl w:val="0"/>
              <w:autoSpaceDE w:val="0"/>
              <w:autoSpaceDN w:val="0"/>
              <w:spacing w:before="106"/>
              <w:ind w:right="-29"/>
              <w:jc w:val="right"/>
              <w:rPr>
                <w:sz w:val="22"/>
                <w:szCs w:val="22"/>
                <w:lang w:val="sr-Latn-ME"/>
              </w:rPr>
            </w:pPr>
            <w:r w:rsidRPr="00E22DF8">
              <w:rPr>
                <w:sz w:val="22"/>
                <w:szCs w:val="22"/>
                <w:lang w:val="sr-Latn-ME"/>
              </w:rPr>
              <w:t>Simptomatska rekurentna PE</w:t>
            </w:r>
          </w:p>
        </w:tc>
        <w:tc>
          <w:tcPr>
            <w:tcW w:w="3301" w:type="dxa"/>
            <w:vAlign w:val="center"/>
          </w:tcPr>
          <w:p w:rsidR="00F11BC8" w:rsidRPr="00E22DF8" w:rsidRDefault="00F11BC8" w:rsidP="00F11BC8">
            <w:pPr>
              <w:widowControl w:val="0"/>
              <w:autoSpaceDE w:val="0"/>
              <w:autoSpaceDN w:val="0"/>
              <w:spacing w:line="233" w:lineRule="exact"/>
              <w:ind w:left="1246" w:right="1233"/>
              <w:jc w:val="center"/>
              <w:rPr>
                <w:sz w:val="22"/>
                <w:szCs w:val="22"/>
                <w:lang w:val="sr-Latn-ME"/>
              </w:rPr>
            </w:pPr>
            <w:r w:rsidRPr="00E22DF8">
              <w:rPr>
                <w:sz w:val="22"/>
                <w:szCs w:val="22"/>
                <w:lang w:val="sr-Latn-ME"/>
              </w:rPr>
              <w:t>20</w:t>
            </w:r>
          </w:p>
          <w:p w:rsidR="00F11BC8" w:rsidRPr="00E22DF8" w:rsidRDefault="00F11BC8" w:rsidP="00F11BC8">
            <w:pPr>
              <w:widowControl w:val="0"/>
              <w:autoSpaceDE w:val="0"/>
              <w:autoSpaceDN w:val="0"/>
              <w:spacing w:line="246" w:lineRule="exact"/>
              <w:ind w:left="1247" w:right="1233"/>
              <w:jc w:val="center"/>
              <w:rPr>
                <w:sz w:val="22"/>
                <w:szCs w:val="22"/>
                <w:lang w:val="sr-Latn-ME"/>
              </w:rPr>
            </w:pPr>
            <w:r w:rsidRPr="00E22DF8">
              <w:rPr>
                <w:sz w:val="22"/>
                <w:szCs w:val="22"/>
                <w:lang w:val="sr-Latn-ME"/>
              </w:rPr>
              <w:t>(1,2%)</w:t>
            </w:r>
          </w:p>
        </w:tc>
        <w:tc>
          <w:tcPr>
            <w:tcW w:w="3055" w:type="dxa"/>
            <w:vAlign w:val="center"/>
          </w:tcPr>
          <w:p w:rsidR="00F11BC8" w:rsidRPr="00E22DF8" w:rsidRDefault="00F11BC8" w:rsidP="00F11BC8">
            <w:pPr>
              <w:widowControl w:val="0"/>
              <w:autoSpaceDE w:val="0"/>
              <w:autoSpaceDN w:val="0"/>
              <w:spacing w:line="233" w:lineRule="exact"/>
              <w:ind w:left="1120" w:right="1113"/>
              <w:jc w:val="center"/>
              <w:rPr>
                <w:sz w:val="22"/>
                <w:szCs w:val="22"/>
                <w:lang w:val="sr-Latn-ME"/>
              </w:rPr>
            </w:pPr>
            <w:r w:rsidRPr="00E22DF8">
              <w:rPr>
                <w:sz w:val="22"/>
                <w:szCs w:val="22"/>
                <w:lang w:val="sr-Latn-ME"/>
              </w:rPr>
              <w:t>18</w:t>
            </w:r>
          </w:p>
          <w:p w:rsidR="00F11BC8" w:rsidRPr="00E22DF8" w:rsidRDefault="00F11BC8" w:rsidP="00F11BC8">
            <w:pPr>
              <w:widowControl w:val="0"/>
              <w:autoSpaceDE w:val="0"/>
              <w:autoSpaceDN w:val="0"/>
              <w:spacing w:line="246" w:lineRule="exact"/>
              <w:ind w:left="1121" w:right="1113"/>
              <w:jc w:val="center"/>
              <w:rPr>
                <w:sz w:val="22"/>
                <w:szCs w:val="22"/>
                <w:lang w:val="sr-Latn-ME"/>
              </w:rPr>
            </w:pPr>
            <w:r w:rsidRPr="00E22DF8">
              <w:rPr>
                <w:sz w:val="22"/>
                <w:szCs w:val="22"/>
                <w:lang w:val="sr-Latn-ME"/>
              </w:rPr>
              <w:t>(1,0%)</w:t>
            </w:r>
          </w:p>
        </w:tc>
      </w:tr>
      <w:tr w:rsidR="00F11BC8" w:rsidRPr="00E22DF8" w:rsidTr="00415885">
        <w:tc>
          <w:tcPr>
            <w:tcW w:w="2707" w:type="dxa"/>
            <w:vAlign w:val="center"/>
          </w:tcPr>
          <w:p w:rsidR="00F11BC8" w:rsidRPr="00E22DF8" w:rsidRDefault="00F11BC8" w:rsidP="0064584A">
            <w:pPr>
              <w:widowControl w:val="0"/>
              <w:autoSpaceDE w:val="0"/>
              <w:autoSpaceDN w:val="0"/>
              <w:spacing w:before="111"/>
              <w:ind w:right="-29"/>
              <w:jc w:val="right"/>
              <w:rPr>
                <w:sz w:val="22"/>
                <w:szCs w:val="22"/>
                <w:lang w:val="sr-Latn-ME"/>
              </w:rPr>
            </w:pPr>
            <w:r w:rsidRPr="00E22DF8">
              <w:rPr>
                <w:sz w:val="22"/>
                <w:szCs w:val="22"/>
                <w:lang w:val="sr-Latn-ME"/>
              </w:rPr>
              <w:t>Simptomatska rekurentna TDV</w:t>
            </w:r>
          </w:p>
        </w:tc>
        <w:tc>
          <w:tcPr>
            <w:tcW w:w="3301" w:type="dxa"/>
            <w:vAlign w:val="center"/>
          </w:tcPr>
          <w:p w:rsidR="00F11BC8" w:rsidRPr="00E22DF8" w:rsidRDefault="00F11BC8" w:rsidP="00F11BC8">
            <w:pPr>
              <w:widowControl w:val="0"/>
              <w:autoSpaceDE w:val="0"/>
              <w:autoSpaceDN w:val="0"/>
              <w:spacing w:line="235" w:lineRule="exact"/>
              <w:ind w:left="1246" w:right="1233"/>
              <w:jc w:val="center"/>
              <w:rPr>
                <w:sz w:val="22"/>
                <w:szCs w:val="22"/>
                <w:lang w:val="sr-Latn-ME"/>
              </w:rPr>
            </w:pPr>
            <w:r w:rsidRPr="00E22DF8">
              <w:rPr>
                <w:sz w:val="22"/>
                <w:szCs w:val="22"/>
                <w:lang w:val="sr-Latn-ME"/>
              </w:rPr>
              <w:t>14</w:t>
            </w:r>
          </w:p>
          <w:p w:rsidR="00F11BC8" w:rsidRPr="00E22DF8" w:rsidRDefault="00F11BC8" w:rsidP="00F11BC8">
            <w:pPr>
              <w:widowControl w:val="0"/>
              <w:autoSpaceDE w:val="0"/>
              <w:autoSpaceDN w:val="0"/>
              <w:spacing w:line="249" w:lineRule="exact"/>
              <w:ind w:left="1247" w:right="1233"/>
              <w:jc w:val="center"/>
              <w:rPr>
                <w:sz w:val="22"/>
                <w:szCs w:val="22"/>
                <w:lang w:val="sr-Latn-ME"/>
              </w:rPr>
            </w:pPr>
            <w:r w:rsidRPr="00E22DF8">
              <w:rPr>
                <w:sz w:val="22"/>
                <w:szCs w:val="22"/>
                <w:lang w:val="sr-Latn-ME"/>
              </w:rPr>
              <w:t>(0,8%)</w:t>
            </w:r>
          </w:p>
        </w:tc>
        <w:tc>
          <w:tcPr>
            <w:tcW w:w="3055" w:type="dxa"/>
            <w:vAlign w:val="center"/>
          </w:tcPr>
          <w:p w:rsidR="00F11BC8" w:rsidRPr="00E22DF8" w:rsidRDefault="00F11BC8" w:rsidP="00F11BC8">
            <w:pPr>
              <w:widowControl w:val="0"/>
              <w:autoSpaceDE w:val="0"/>
              <w:autoSpaceDN w:val="0"/>
              <w:spacing w:line="235" w:lineRule="exact"/>
              <w:ind w:left="1120" w:right="1113"/>
              <w:jc w:val="center"/>
              <w:rPr>
                <w:sz w:val="22"/>
                <w:szCs w:val="22"/>
                <w:lang w:val="sr-Latn-ME"/>
              </w:rPr>
            </w:pPr>
            <w:r w:rsidRPr="00E22DF8">
              <w:rPr>
                <w:sz w:val="22"/>
                <w:szCs w:val="22"/>
                <w:lang w:val="sr-Latn-ME"/>
              </w:rPr>
              <w:t>28</w:t>
            </w:r>
          </w:p>
          <w:p w:rsidR="00F11BC8" w:rsidRPr="00E22DF8" w:rsidRDefault="00F11BC8" w:rsidP="00F11BC8">
            <w:pPr>
              <w:widowControl w:val="0"/>
              <w:autoSpaceDE w:val="0"/>
              <w:autoSpaceDN w:val="0"/>
              <w:spacing w:line="249" w:lineRule="exact"/>
              <w:ind w:left="1121" w:right="1113"/>
              <w:jc w:val="center"/>
              <w:rPr>
                <w:sz w:val="22"/>
                <w:szCs w:val="22"/>
                <w:lang w:val="sr-Latn-ME"/>
              </w:rPr>
            </w:pPr>
            <w:r w:rsidRPr="00E22DF8">
              <w:rPr>
                <w:sz w:val="22"/>
                <w:szCs w:val="22"/>
                <w:lang w:val="sr-Latn-ME"/>
              </w:rPr>
              <w:t>(1,6%)</w:t>
            </w:r>
          </w:p>
        </w:tc>
      </w:tr>
      <w:tr w:rsidR="00F11BC8" w:rsidRPr="00E22DF8" w:rsidTr="00415885">
        <w:tc>
          <w:tcPr>
            <w:tcW w:w="2707" w:type="dxa"/>
            <w:vAlign w:val="center"/>
          </w:tcPr>
          <w:p w:rsidR="00F11BC8" w:rsidRPr="00E22DF8" w:rsidRDefault="00F11BC8" w:rsidP="0064584A">
            <w:pPr>
              <w:widowControl w:val="0"/>
              <w:autoSpaceDE w:val="0"/>
              <w:autoSpaceDN w:val="0"/>
              <w:spacing w:before="106"/>
              <w:ind w:right="-29"/>
              <w:jc w:val="right"/>
              <w:rPr>
                <w:sz w:val="22"/>
                <w:szCs w:val="22"/>
                <w:lang w:val="sr-Latn-ME"/>
              </w:rPr>
            </w:pPr>
            <w:r w:rsidRPr="00E22DF8">
              <w:rPr>
                <w:sz w:val="22"/>
                <w:szCs w:val="22"/>
                <w:lang w:val="sr-Latn-ME"/>
              </w:rPr>
              <w:t>Simptomatski PE i TDV</w:t>
            </w:r>
          </w:p>
        </w:tc>
        <w:tc>
          <w:tcPr>
            <w:tcW w:w="3301" w:type="dxa"/>
            <w:vAlign w:val="center"/>
          </w:tcPr>
          <w:p w:rsidR="00F11BC8" w:rsidRPr="00E22DF8" w:rsidRDefault="00F11BC8" w:rsidP="00F11BC8">
            <w:pPr>
              <w:widowControl w:val="0"/>
              <w:autoSpaceDE w:val="0"/>
              <w:autoSpaceDN w:val="0"/>
              <w:spacing w:line="233" w:lineRule="exact"/>
              <w:ind w:left="8"/>
              <w:jc w:val="center"/>
              <w:rPr>
                <w:sz w:val="22"/>
                <w:szCs w:val="22"/>
                <w:lang w:val="sr-Latn-ME"/>
              </w:rPr>
            </w:pPr>
            <w:r w:rsidRPr="00E22DF8">
              <w:rPr>
                <w:sz w:val="22"/>
                <w:szCs w:val="22"/>
                <w:lang w:val="sr-Latn-ME"/>
              </w:rPr>
              <w:t>1</w:t>
            </w:r>
          </w:p>
          <w:p w:rsidR="00F11BC8" w:rsidRPr="00E22DF8" w:rsidRDefault="00F11BC8" w:rsidP="00F11BC8">
            <w:pPr>
              <w:widowControl w:val="0"/>
              <w:autoSpaceDE w:val="0"/>
              <w:autoSpaceDN w:val="0"/>
              <w:spacing w:line="246" w:lineRule="exact"/>
              <w:ind w:left="1247" w:right="1233"/>
              <w:jc w:val="center"/>
              <w:rPr>
                <w:sz w:val="22"/>
                <w:szCs w:val="22"/>
                <w:lang w:val="sr-Latn-ME"/>
              </w:rPr>
            </w:pPr>
            <w:r w:rsidRPr="00E22DF8">
              <w:rPr>
                <w:sz w:val="22"/>
                <w:szCs w:val="22"/>
                <w:lang w:val="sr-Latn-ME"/>
              </w:rPr>
              <w:t>(0,1%)</w:t>
            </w:r>
          </w:p>
        </w:tc>
        <w:tc>
          <w:tcPr>
            <w:tcW w:w="3055" w:type="dxa"/>
            <w:vAlign w:val="center"/>
          </w:tcPr>
          <w:p w:rsidR="00F11BC8" w:rsidRPr="00E22DF8" w:rsidRDefault="00F11BC8" w:rsidP="00F11BC8">
            <w:pPr>
              <w:widowControl w:val="0"/>
              <w:autoSpaceDE w:val="0"/>
              <w:autoSpaceDN w:val="0"/>
              <w:spacing w:before="106"/>
              <w:ind w:left="2"/>
              <w:jc w:val="center"/>
              <w:rPr>
                <w:sz w:val="22"/>
                <w:szCs w:val="22"/>
                <w:lang w:val="sr-Latn-ME"/>
              </w:rPr>
            </w:pPr>
            <w:r w:rsidRPr="00E22DF8">
              <w:rPr>
                <w:sz w:val="22"/>
                <w:szCs w:val="22"/>
                <w:lang w:val="sr-Latn-ME"/>
              </w:rPr>
              <w:t>0</w:t>
            </w:r>
          </w:p>
        </w:tc>
      </w:tr>
      <w:tr w:rsidR="00F11BC8" w:rsidRPr="00E22DF8" w:rsidTr="00415885">
        <w:tc>
          <w:tcPr>
            <w:tcW w:w="2707" w:type="dxa"/>
            <w:vAlign w:val="center"/>
          </w:tcPr>
          <w:p w:rsidR="00F11BC8" w:rsidRPr="00E22DF8" w:rsidRDefault="00F11BC8" w:rsidP="0064584A">
            <w:pPr>
              <w:widowControl w:val="0"/>
              <w:tabs>
                <w:tab w:val="left" w:pos="695"/>
              </w:tabs>
              <w:autoSpaceDE w:val="0"/>
              <w:autoSpaceDN w:val="0"/>
              <w:spacing w:line="232" w:lineRule="auto"/>
              <w:ind w:right="-29"/>
              <w:jc w:val="right"/>
              <w:rPr>
                <w:sz w:val="22"/>
                <w:szCs w:val="22"/>
                <w:lang w:val="sr-Latn-ME"/>
              </w:rPr>
            </w:pPr>
            <w:r w:rsidRPr="00E22DF8">
              <w:rPr>
                <w:sz w:val="22"/>
                <w:szCs w:val="22"/>
                <w:lang w:val="sr-Latn-ME"/>
              </w:rPr>
              <w:lastRenderedPageBreak/>
              <w:t xml:space="preserve">PE sa smrtnim ishodom/smrt pri kojoj </w:t>
            </w:r>
            <w:r w:rsidRPr="00E22DF8">
              <w:rPr>
                <w:spacing w:val="2"/>
                <w:sz w:val="22"/>
                <w:szCs w:val="22"/>
                <w:lang w:val="sr-Latn-ME"/>
              </w:rPr>
              <w:t xml:space="preserve">se </w:t>
            </w:r>
            <w:r w:rsidRPr="00E22DF8">
              <w:rPr>
                <w:sz w:val="22"/>
                <w:szCs w:val="22"/>
                <w:lang w:val="sr-Latn-ME"/>
              </w:rPr>
              <w:t>ne može isključiti</w:t>
            </w:r>
            <w:r w:rsidRPr="00E22DF8">
              <w:rPr>
                <w:spacing w:val="-35"/>
                <w:sz w:val="22"/>
                <w:szCs w:val="22"/>
                <w:lang w:val="sr-Latn-ME"/>
              </w:rPr>
              <w:t xml:space="preserve"> </w:t>
            </w:r>
            <w:r w:rsidRPr="00E22DF8">
              <w:rPr>
                <w:sz w:val="22"/>
                <w:szCs w:val="22"/>
                <w:lang w:val="sr-Latn-ME"/>
              </w:rPr>
              <w:t>PE</w:t>
            </w:r>
          </w:p>
        </w:tc>
        <w:tc>
          <w:tcPr>
            <w:tcW w:w="3301" w:type="dxa"/>
            <w:vAlign w:val="center"/>
          </w:tcPr>
          <w:p w:rsidR="00F11BC8" w:rsidRPr="00E22DF8" w:rsidRDefault="00F11BC8" w:rsidP="00F11BC8">
            <w:pPr>
              <w:widowControl w:val="0"/>
              <w:autoSpaceDE w:val="0"/>
              <w:autoSpaceDN w:val="0"/>
              <w:spacing w:line="235" w:lineRule="exact"/>
              <w:ind w:left="8"/>
              <w:jc w:val="center"/>
              <w:rPr>
                <w:sz w:val="22"/>
                <w:szCs w:val="22"/>
                <w:lang w:val="sr-Latn-ME"/>
              </w:rPr>
            </w:pPr>
            <w:r w:rsidRPr="00E22DF8">
              <w:rPr>
                <w:sz w:val="22"/>
                <w:szCs w:val="22"/>
                <w:lang w:val="sr-Latn-ME"/>
              </w:rPr>
              <w:t>4</w:t>
            </w:r>
          </w:p>
          <w:p w:rsidR="00F11BC8" w:rsidRPr="00E22DF8" w:rsidRDefault="00F11BC8" w:rsidP="00F11BC8">
            <w:pPr>
              <w:widowControl w:val="0"/>
              <w:autoSpaceDE w:val="0"/>
              <w:autoSpaceDN w:val="0"/>
              <w:spacing w:line="249" w:lineRule="exact"/>
              <w:ind w:left="1247" w:right="1233"/>
              <w:jc w:val="center"/>
              <w:rPr>
                <w:sz w:val="22"/>
                <w:szCs w:val="22"/>
                <w:lang w:val="sr-Latn-ME"/>
              </w:rPr>
            </w:pPr>
            <w:r w:rsidRPr="00E22DF8">
              <w:rPr>
                <w:sz w:val="22"/>
                <w:szCs w:val="22"/>
                <w:lang w:val="sr-Latn-ME"/>
              </w:rPr>
              <w:t>(0,2%)</w:t>
            </w:r>
          </w:p>
        </w:tc>
        <w:tc>
          <w:tcPr>
            <w:tcW w:w="3055" w:type="dxa"/>
            <w:vAlign w:val="center"/>
          </w:tcPr>
          <w:p w:rsidR="00F11BC8" w:rsidRPr="00E22DF8" w:rsidRDefault="00F11BC8" w:rsidP="00F11BC8">
            <w:pPr>
              <w:widowControl w:val="0"/>
              <w:autoSpaceDE w:val="0"/>
              <w:autoSpaceDN w:val="0"/>
              <w:spacing w:line="235" w:lineRule="exact"/>
              <w:ind w:left="2"/>
              <w:jc w:val="center"/>
              <w:rPr>
                <w:sz w:val="22"/>
                <w:szCs w:val="22"/>
                <w:lang w:val="sr-Latn-ME"/>
              </w:rPr>
            </w:pPr>
            <w:r w:rsidRPr="00E22DF8">
              <w:rPr>
                <w:sz w:val="22"/>
                <w:szCs w:val="22"/>
                <w:lang w:val="sr-Latn-ME"/>
              </w:rPr>
              <w:t>6</w:t>
            </w:r>
          </w:p>
          <w:p w:rsidR="00F11BC8" w:rsidRPr="00E22DF8" w:rsidRDefault="00F11BC8" w:rsidP="00F11BC8">
            <w:pPr>
              <w:widowControl w:val="0"/>
              <w:autoSpaceDE w:val="0"/>
              <w:autoSpaceDN w:val="0"/>
              <w:spacing w:line="249" w:lineRule="exact"/>
              <w:ind w:left="1121" w:right="1113"/>
              <w:jc w:val="center"/>
              <w:rPr>
                <w:sz w:val="22"/>
                <w:szCs w:val="22"/>
                <w:lang w:val="sr-Latn-ME"/>
              </w:rPr>
            </w:pPr>
            <w:r w:rsidRPr="00E22DF8">
              <w:rPr>
                <w:sz w:val="22"/>
                <w:szCs w:val="22"/>
                <w:lang w:val="sr-Latn-ME"/>
              </w:rPr>
              <w:t>(0,3%)</w:t>
            </w:r>
          </w:p>
        </w:tc>
      </w:tr>
      <w:tr w:rsidR="00F11BC8" w:rsidRPr="00E22DF8" w:rsidTr="00415885">
        <w:tc>
          <w:tcPr>
            <w:tcW w:w="2707" w:type="dxa"/>
            <w:vAlign w:val="center"/>
          </w:tcPr>
          <w:p w:rsidR="00F11BC8" w:rsidRPr="00E22DF8" w:rsidRDefault="00932E02" w:rsidP="00932E02">
            <w:pPr>
              <w:pStyle w:val="TableParagraph"/>
              <w:tabs>
                <w:tab w:val="left" w:pos="1031"/>
                <w:tab w:val="left" w:pos="1516"/>
                <w:tab w:val="left" w:pos="2486"/>
              </w:tabs>
              <w:spacing w:line="228" w:lineRule="auto"/>
              <w:ind w:right="106"/>
              <w:rPr>
                <w:lang w:val="sr-Latn-ME"/>
              </w:rPr>
            </w:pPr>
            <w:r w:rsidRPr="00E22DF8">
              <w:rPr>
                <w:lang w:val="sr-Latn-ME"/>
              </w:rPr>
              <w:t>Velika</w:t>
            </w:r>
            <w:r w:rsidR="00F11BC8" w:rsidRPr="00E22DF8">
              <w:rPr>
                <w:lang w:val="sr-Latn-ME"/>
              </w:rPr>
              <w:tab/>
              <w:t>ili</w:t>
            </w:r>
            <w:r w:rsidR="00F11BC8" w:rsidRPr="00E22DF8">
              <w:rPr>
                <w:lang w:val="sr-Latn-ME"/>
              </w:rPr>
              <w:tab/>
              <w:t>klinički</w:t>
            </w:r>
            <w:r w:rsidR="00F11BC8" w:rsidRPr="00E22DF8">
              <w:rPr>
                <w:lang w:val="sr-Latn-ME"/>
              </w:rPr>
              <w:tab/>
            </w:r>
            <w:r w:rsidR="00F11BC8" w:rsidRPr="00E22DF8">
              <w:rPr>
                <w:spacing w:val="-4"/>
                <w:lang w:val="sr-Latn-ME"/>
              </w:rPr>
              <w:t xml:space="preserve">značajna </w:t>
            </w:r>
            <w:r w:rsidRPr="00E22DF8">
              <w:rPr>
                <w:spacing w:val="-4"/>
                <w:lang w:val="sr-Latn-ME"/>
              </w:rPr>
              <w:t xml:space="preserve">manja </w:t>
            </w:r>
            <w:r w:rsidR="00EA4C52" w:rsidRPr="00E22DF8">
              <w:rPr>
                <w:lang w:val="sr-Latn-ME"/>
              </w:rPr>
              <w:t>krvarenja</w:t>
            </w:r>
          </w:p>
        </w:tc>
        <w:tc>
          <w:tcPr>
            <w:tcW w:w="3301" w:type="dxa"/>
            <w:vAlign w:val="center"/>
          </w:tcPr>
          <w:p w:rsidR="00F11BC8" w:rsidRPr="00E22DF8" w:rsidRDefault="00F11BC8" w:rsidP="00F11BC8">
            <w:pPr>
              <w:pStyle w:val="TableParagraph"/>
              <w:spacing w:line="226" w:lineRule="exact"/>
              <w:ind w:left="1241" w:right="1233"/>
              <w:jc w:val="center"/>
              <w:rPr>
                <w:lang w:val="sr-Latn-ME"/>
              </w:rPr>
            </w:pPr>
            <w:r w:rsidRPr="00E22DF8">
              <w:rPr>
                <w:lang w:val="sr-Latn-ME"/>
              </w:rPr>
              <w:t>139</w:t>
            </w:r>
          </w:p>
          <w:p w:rsidR="00F11BC8" w:rsidRPr="00E22DF8" w:rsidRDefault="00F11BC8" w:rsidP="00F11BC8">
            <w:pPr>
              <w:pStyle w:val="TableParagraph"/>
              <w:spacing w:line="246" w:lineRule="exact"/>
              <w:ind w:left="1247" w:right="1233"/>
              <w:jc w:val="center"/>
              <w:rPr>
                <w:lang w:val="sr-Latn-ME"/>
              </w:rPr>
            </w:pPr>
            <w:r w:rsidRPr="00E22DF8">
              <w:rPr>
                <w:lang w:val="sr-Latn-ME"/>
              </w:rPr>
              <w:t>(8,1%)</w:t>
            </w:r>
          </w:p>
        </w:tc>
        <w:tc>
          <w:tcPr>
            <w:tcW w:w="3055" w:type="dxa"/>
            <w:vAlign w:val="center"/>
          </w:tcPr>
          <w:p w:rsidR="00F11BC8" w:rsidRPr="00E22DF8" w:rsidRDefault="00F11BC8" w:rsidP="00F11BC8">
            <w:pPr>
              <w:pStyle w:val="TableParagraph"/>
              <w:spacing w:line="226" w:lineRule="exact"/>
              <w:ind w:left="1115" w:right="1113"/>
              <w:jc w:val="center"/>
              <w:rPr>
                <w:lang w:val="sr-Latn-ME"/>
              </w:rPr>
            </w:pPr>
            <w:r w:rsidRPr="00E22DF8">
              <w:rPr>
                <w:lang w:val="sr-Latn-ME"/>
              </w:rPr>
              <w:t>138</w:t>
            </w:r>
          </w:p>
          <w:p w:rsidR="00F11BC8" w:rsidRPr="00E22DF8" w:rsidRDefault="00F11BC8" w:rsidP="00F11BC8">
            <w:pPr>
              <w:pStyle w:val="TableParagraph"/>
              <w:spacing w:line="246" w:lineRule="exact"/>
              <w:ind w:left="1121" w:right="1113"/>
              <w:jc w:val="center"/>
              <w:rPr>
                <w:lang w:val="sr-Latn-ME"/>
              </w:rPr>
            </w:pPr>
            <w:r w:rsidRPr="00E22DF8">
              <w:rPr>
                <w:lang w:val="sr-Latn-ME"/>
              </w:rPr>
              <w:t>(8,1%)</w:t>
            </w:r>
          </w:p>
        </w:tc>
      </w:tr>
      <w:tr w:rsidR="00F11BC8" w:rsidRPr="00E22DF8" w:rsidTr="00415885">
        <w:tc>
          <w:tcPr>
            <w:tcW w:w="2707" w:type="dxa"/>
            <w:vAlign w:val="center"/>
          </w:tcPr>
          <w:p w:rsidR="00F11BC8" w:rsidRPr="00E22DF8" w:rsidRDefault="00F11BC8" w:rsidP="00932E02">
            <w:pPr>
              <w:pStyle w:val="TableParagraph"/>
              <w:tabs>
                <w:tab w:val="left" w:pos="1031"/>
                <w:tab w:val="left" w:pos="1516"/>
                <w:tab w:val="left" w:pos="2486"/>
              </w:tabs>
              <w:spacing w:line="228" w:lineRule="auto"/>
              <w:ind w:right="106"/>
              <w:rPr>
                <w:lang w:val="sr-Latn-ME"/>
              </w:rPr>
            </w:pPr>
            <w:r w:rsidRPr="00E22DF8">
              <w:rPr>
                <w:lang w:val="sr-Latn-ME"/>
              </w:rPr>
              <w:t xml:space="preserve">Događaji </w:t>
            </w:r>
            <w:r w:rsidR="00932E02" w:rsidRPr="00E22DF8">
              <w:rPr>
                <w:lang w:val="sr-Latn-ME"/>
              </w:rPr>
              <w:t xml:space="preserve">velikih </w:t>
            </w:r>
            <w:r w:rsidRPr="00E22DF8">
              <w:rPr>
                <w:lang w:val="sr-Latn-ME"/>
              </w:rPr>
              <w:t>krvarenja</w:t>
            </w:r>
          </w:p>
        </w:tc>
        <w:tc>
          <w:tcPr>
            <w:tcW w:w="3301" w:type="dxa"/>
            <w:vAlign w:val="center"/>
          </w:tcPr>
          <w:p w:rsidR="00F11BC8" w:rsidRPr="00E22DF8" w:rsidRDefault="00F11BC8" w:rsidP="00F11BC8">
            <w:pPr>
              <w:pStyle w:val="TableParagraph"/>
              <w:spacing w:line="226" w:lineRule="exact"/>
              <w:ind w:left="1241" w:right="1233"/>
              <w:jc w:val="center"/>
              <w:rPr>
                <w:lang w:val="sr-Latn-ME"/>
              </w:rPr>
            </w:pPr>
            <w:r w:rsidRPr="00E22DF8">
              <w:rPr>
                <w:lang w:val="sr-Latn-ME"/>
              </w:rPr>
              <w:t>14</w:t>
            </w:r>
          </w:p>
          <w:p w:rsidR="00F11BC8" w:rsidRPr="00E22DF8" w:rsidRDefault="00F11BC8" w:rsidP="00F11BC8">
            <w:pPr>
              <w:pStyle w:val="TableParagraph"/>
              <w:spacing w:line="226" w:lineRule="exact"/>
              <w:ind w:left="1241" w:right="1233"/>
              <w:jc w:val="center"/>
              <w:rPr>
                <w:lang w:val="sr-Latn-ME"/>
              </w:rPr>
            </w:pPr>
            <w:r w:rsidRPr="00E22DF8">
              <w:rPr>
                <w:lang w:val="sr-Latn-ME"/>
              </w:rPr>
              <w:t>(0,8%)</w:t>
            </w:r>
          </w:p>
        </w:tc>
        <w:tc>
          <w:tcPr>
            <w:tcW w:w="3055" w:type="dxa"/>
            <w:vAlign w:val="center"/>
          </w:tcPr>
          <w:p w:rsidR="00F11BC8" w:rsidRPr="00E22DF8" w:rsidRDefault="00F11BC8" w:rsidP="00F11BC8">
            <w:pPr>
              <w:pStyle w:val="TableParagraph"/>
              <w:spacing w:line="226" w:lineRule="exact"/>
              <w:ind w:left="1115" w:right="1113"/>
              <w:jc w:val="center"/>
              <w:rPr>
                <w:lang w:val="sr-Latn-ME"/>
              </w:rPr>
            </w:pPr>
            <w:r w:rsidRPr="00E22DF8">
              <w:rPr>
                <w:lang w:val="sr-Latn-ME"/>
              </w:rPr>
              <w:t>20</w:t>
            </w:r>
          </w:p>
          <w:p w:rsidR="00F11BC8" w:rsidRPr="00E22DF8" w:rsidRDefault="00F11BC8" w:rsidP="00F11BC8">
            <w:pPr>
              <w:pStyle w:val="TableParagraph"/>
              <w:spacing w:line="226" w:lineRule="exact"/>
              <w:ind w:left="1115" w:right="1113"/>
              <w:jc w:val="center"/>
              <w:rPr>
                <w:lang w:val="sr-Latn-ME"/>
              </w:rPr>
            </w:pPr>
            <w:r w:rsidRPr="00E22DF8">
              <w:rPr>
                <w:lang w:val="sr-Latn-ME"/>
              </w:rPr>
              <w:t>(1,2%)</w:t>
            </w:r>
          </w:p>
        </w:tc>
      </w:tr>
    </w:tbl>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a)</w:t>
      </w:r>
      <w:r w:rsidRPr="00E22DF8">
        <w:rPr>
          <w:bCs/>
          <w:sz w:val="22"/>
          <w:szCs w:val="22"/>
          <w:lang w:val="sr-Latn-ME"/>
        </w:rPr>
        <w:tab/>
        <w:t>Rivaroksaban u dozi od 15 mg dva puta dnevno tokom 3 ned</w:t>
      </w:r>
      <w:r w:rsidR="009B2A76" w:rsidRPr="00E22DF8">
        <w:rPr>
          <w:bCs/>
          <w:sz w:val="22"/>
          <w:szCs w:val="22"/>
          <w:lang w:val="sr-Latn-ME"/>
        </w:rPr>
        <w:t>j</w:t>
      </w:r>
      <w:r w:rsidRPr="00E22DF8">
        <w:rPr>
          <w:bCs/>
          <w:sz w:val="22"/>
          <w:szCs w:val="22"/>
          <w:lang w:val="sr-Latn-ME"/>
        </w:rPr>
        <w:t>elje</w:t>
      </w:r>
      <w:r w:rsidR="00932E02" w:rsidRPr="00E22DF8">
        <w:rPr>
          <w:bCs/>
          <w:sz w:val="22"/>
          <w:szCs w:val="22"/>
          <w:lang w:val="sr-Latn-ME"/>
        </w:rPr>
        <w:t>,</w:t>
      </w:r>
      <w:r w:rsidRPr="00E22DF8">
        <w:rPr>
          <w:bCs/>
          <w:sz w:val="22"/>
          <w:szCs w:val="22"/>
          <w:lang w:val="sr-Latn-ME"/>
        </w:rPr>
        <w:t xml:space="preserve"> nakon čega slijedi doza od 20 mg jednom dnevno</w:t>
      </w:r>
      <w:r w:rsidR="00932E02" w:rsidRPr="00E22DF8">
        <w:rPr>
          <w:bCs/>
          <w:sz w:val="22"/>
          <w:szCs w:val="22"/>
          <w:lang w:val="sr-Latn-ME"/>
        </w:rPr>
        <w:t>.</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b)</w:t>
      </w:r>
      <w:r w:rsidRPr="00E22DF8">
        <w:rPr>
          <w:bCs/>
          <w:sz w:val="22"/>
          <w:szCs w:val="22"/>
          <w:lang w:val="sr-Latn-ME"/>
        </w:rPr>
        <w:tab/>
        <w:t>Enoksaparin tokom najmanje 5 dana, p</w:t>
      </w:r>
      <w:r w:rsidR="00415885" w:rsidRPr="00E22DF8">
        <w:rPr>
          <w:bCs/>
          <w:sz w:val="22"/>
          <w:szCs w:val="22"/>
          <w:lang w:val="sr-Latn-ME"/>
        </w:rPr>
        <w:t>reklapa se</w:t>
      </w:r>
      <w:r w:rsidR="00932E02" w:rsidRPr="00E22DF8">
        <w:rPr>
          <w:bCs/>
          <w:sz w:val="22"/>
          <w:szCs w:val="22"/>
          <w:lang w:val="sr-Latn-ME"/>
        </w:rPr>
        <w:t xml:space="preserve">  i nastavlja sa</w:t>
      </w:r>
      <w:r w:rsidR="00415885" w:rsidRPr="00E22DF8">
        <w:rPr>
          <w:bCs/>
          <w:sz w:val="22"/>
          <w:szCs w:val="22"/>
          <w:lang w:val="sr-Latn-ME"/>
        </w:rPr>
        <w:t xml:space="preserve"> </w:t>
      </w:r>
      <w:r w:rsidRPr="00E22DF8">
        <w:rPr>
          <w:bCs/>
          <w:sz w:val="22"/>
          <w:szCs w:val="22"/>
          <w:lang w:val="sr-Latn-ME"/>
        </w:rPr>
        <w:t>VKA</w:t>
      </w:r>
      <w:r w:rsidR="00932E02" w:rsidRPr="00E22DF8">
        <w:rPr>
          <w:bCs/>
          <w:sz w:val="22"/>
          <w:szCs w:val="22"/>
          <w:lang w:val="sr-Latn-ME"/>
        </w:rPr>
        <w:t>.</w:t>
      </w: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w:t>
      </w:r>
      <w:r w:rsidR="00415885" w:rsidRPr="00E22DF8">
        <w:rPr>
          <w:bCs/>
          <w:sz w:val="22"/>
          <w:szCs w:val="22"/>
          <w:lang w:val="sr-Latn-ME"/>
        </w:rPr>
        <w:t xml:space="preserve">p &lt; 0,0001 </w:t>
      </w:r>
      <w:r w:rsidRPr="00E22DF8">
        <w:rPr>
          <w:bCs/>
          <w:sz w:val="22"/>
          <w:szCs w:val="22"/>
          <w:lang w:val="sr-Latn-ME"/>
        </w:rPr>
        <w:t>(neinferiornost u odnosu na unaprijed određeni HR 2,0); HR: 0,680 (0,443 – 1,042),</w:t>
      </w:r>
      <w:r w:rsidR="00932E02" w:rsidRPr="00E22DF8">
        <w:rPr>
          <w:bCs/>
          <w:sz w:val="22"/>
          <w:szCs w:val="22"/>
          <w:lang w:val="sr-Latn-ME"/>
        </w:rPr>
        <w:t xml:space="preserve"> </w:t>
      </w:r>
      <w:r w:rsidRPr="00E22DF8">
        <w:rPr>
          <w:bCs/>
          <w:sz w:val="22"/>
          <w:szCs w:val="22"/>
          <w:lang w:val="sr-Latn-ME"/>
        </w:rPr>
        <w:t>p=0,076 (superiornost)</w:t>
      </w:r>
    </w:p>
    <w:p w:rsidR="00A539BF" w:rsidRPr="00E22DF8" w:rsidRDefault="00A539BF" w:rsidP="00A539BF">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U Einstain</w:t>
      </w:r>
      <w:r w:rsidR="007D63B4" w:rsidRPr="00E22DF8">
        <w:rPr>
          <w:bCs/>
          <w:sz w:val="22"/>
          <w:szCs w:val="22"/>
          <w:lang w:val="sr-Latn-ME"/>
        </w:rPr>
        <w:t xml:space="preserve"> PE studiji (vidjeti T</w:t>
      </w:r>
      <w:r w:rsidRPr="00E22DF8">
        <w:rPr>
          <w:bCs/>
          <w:sz w:val="22"/>
          <w:szCs w:val="22"/>
          <w:lang w:val="sr-Latn-ME"/>
        </w:rPr>
        <w:t xml:space="preserve">abelu 6) pokazano je da rivaroksaban nije inferioran u odnosu na enoksaparin/VKA za primarni ishod efikasnosti (p=0,0026 (test za neinferiornost); HR 1,123 (0,749-1,684)). Unaprijed definisana ukupna klinička korist (primarni ishod efikasnosti plus </w:t>
      </w:r>
      <w:r w:rsidR="00932E02" w:rsidRPr="00E22DF8">
        <w:rPr>
          <w:bCs/>
          <w:sz w:val="22"/>
          <w:szCs w:val="22"/>
          <w:lang w:val="sr-Latn-ME"/>
        </w:rPr>
        <w:t xml:space="preserve">velika </w:t>
      </w:r>
      <w:r w:rsidRPr="00E22DF8">
        <w:rPr>
          <w:bCs/>
          <w:sz w:val="22"/>
          <w:szCs w:val="22"/>
          <w:lang w:val="sr-Latn-ME"/>
        </w:rPr>
        <w:t xml:space="preserve">krvarenja) zabilježena je sa HR 0,849 </w:t>
      </w:r>
      <w:r w:rsidR="00932E02" w:rsidRPr="00E22DF8">
        <w:rPr>
          <w:bCs/>
          <w:sz w:val="22"/>
          <w:szCs w:val="22"/>
          <w:lang w:val="sr-Latn-ME"/>
        </w:rPr>
        <w:t>(</w:t>
      </w:r>
      <w:r w:rsidRPr="00E22DF8">
        <w:rPr>
          <w:bCs/>
          <w:sz w:val="22"/>
          <w:szCs w:val="22"/>
          <w:lang w:val="sr-Latn-ME"/>
        </w:rPr>
        <w:t>(95%CI: 0,633 – 1,139)</w:t>
      </w:r>
      <w:r w:rsidR="00932E02" w:rsidRPr="00E22DF8">
        <w:rPr>
          <w:bCs/>
          <w:sz w:val="22"/>
          <w:szCs w:val="22"/>
          <w:lang w:val="sr-Latn-ME"/>
        </w:rPr>
        <w:t>,</w:t>
      </w:r>
      <w:r w:rsidRPr="00E22DF8">
        <w:rPr>
          <w:bCs/>
          <w:sz w:val="22"/>
          <w:szCs w:val="22"/>
          <w:lang w:val="sr-Latn-ME"/>
        </w:rPr>
        <w:t xml:space="preserve"> nominalna p vrijednost p=0,275). INR vrijednosti su bile unutar terapijskog opsega sa prosjekom 63% vremena za prosječno trajanje terapije od 215 dana i 57%, 62% i 65% vremena u grupama namjeravanog trajanja terapije od 3, 6, odnosno 12 mjeseci. U enoksaparin/VKA grupi nije bilo jasnog odnosa između nivoa prosječnog centralnog vremena unutar terapijskog raspona (TTR </w:t>
      </w:r>
      <w:r w:rsidR="00932E02" w:rsidRPr="00E22DF8">
        <w:rPr>
          <w:bCs/>
          <w:sz w:val="22"/>
          <w:szCs w:val="22"/>
          <w:lang w:val="sr-Latn-ME"/>
        </w:rPr>
        <w:t>–</w:t>
      </w:r>
      <w:r w:rsidRPr="00E22DF8">
        <w:rPr>
          <w:bCs/>
          <w:sz w:val="22"/>
          <w:szCs w:val="22"/>
          <w:lang w:val="sr-Latn-ME"/>
        </w:rPr>
        <w:t xml:space="preserve"> </w:t>
      </w:r>
      <w:r w:rsidR="00932E02" w:rsidRPr="00E22DF8">
        <w:rPr>
          <w:bCs/>
          <w:sz w:val="22"/>
          <w:szCs w:val="22"/>
          <w:lang w:val="sr-Latn-ME"/>
        </w:rPr>
        <w:t xml:space="preserve">engl. </w:t>
      </w:r>
      <w:r w:rsidRPr="00E22DF8">
        <w:rPr>
          <w:bCs/>
          <w:i/>
          <w:sz w:val="22"/>
          <w:szCs w:val="22"/>
          <w:lang w:val="sr-Latn-ME"/>
        </w:rPr>
        <w:t>Time in Target INR Range</w:t>
      </w:r>
      <w:r w:rsidRPr="00E22DF8">
        <w:rPr>
          <w:bCs/>
          <w:sz w:val="22"/>
          <w:szCs w:val="22"/>
          <w:lang w:val="sr-Latn-ME"/>
        </w:rPr>
        <w:t xml:space="preserve"> 2,0 – 3,0) u tercilima podjednake veličine i sa učestalošću rekurentne VTE (</w:t>
      </w:r>
      <w:r w:rsidR="00932E02" w:rsidRPr="00E22DF8">
        <w:rPr>
          <w:bCs/>
          <w:sz w:val="22"/>
          <w:szCs w:val="22"/>
          <w:lang w:val="sr-Latn-ME"/>
        </w:rPr>
        <w:t>p</w:t>
      </w:r>
      <w:r w:rsidRPr="00E22DF8">
        <w:rPr>
          <w:bCs/>
          <w:sz w:val="22"/>
          <w:szCs w:val="22"/>
          <w:lang w:val="sr-Latn-ME"/>
        </w:rPr>
        <w:t>=0,082 za interakciju). Unutar najvećeg tercila prema centru, HR sa rivaroksabanom prema varfarinu je bio 0,642 (95% CI: 0,277 – 1,484).</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jc w:val="both"/>
        <w:rPr>
          <w:bCs/>
          <w:sz w:val="22"/>
          <w:szCs w:val="22"/>
          <w:lang w:val="sr-Latn-ME"/>
        </w:rPr>
      </w:pPr>
      <w:r w:rsidRPr="00E22DF8">
        <w:rPr>
          <w:bCs/>
          <w:sz w:val="22"/>
          <w:szCs w:val="22"/>
          <w:lang w:val="sr-Latn-ME"/>
        </w:rPr>
        <w:t>Stope incidenci za primarni ishod bezbjednosti (</w:t>
      </w:r>
      <w:r w:rsidR="00932E02" w:rsidRPr="00E22DF8">
        <w:rPr>
          <w:bCs/>
          <w:sz w:val="22"/>
          <w:szCs w:val="22"/>
          <w:lang w:val="sr-Latn-ME"/>
        </w:rPr>
        <w:t xml:space="preserve">velika </w:t>
      </w:r>
      <w:r w:rsidRPr="00E22DF8">
        <w:rPr>
          <w:bCs/>
          <w:sz w:val="22"/>
          <w:szCs w:val="22"/>
          <w:lang w:val="sr-Latn-ME"/>
        </w:rPr>
        <w:t xml:space="preserve">ili klinički značajna </w:t>
      </w:r>
      <w:r w:rsidR="00932E02" w:rsidRPr="00E22DF8">
        <w:rPr>
          <w:bCs/>
          <w:sz w:val="22"/>
          <w:szCs w:val="22"/>
          <w:lang w:val="sr-Latn-ME"/>
        </w:rPr>
        <w:t xml:space="preserve">manja </w:t>
      </w:r>
      <w:r w:rsidRPr="00E22DF8">
        <w:rPr>
          <w:bCs/>
          <w:sz w:val="22"/>
          <w:szCs w:val="22"/>
          <w:lang w:val="sr-Latn-ME"/>
        </w:rPr>
        <w:t>krvarenja) bile su neznatno manje u rivaroksaban terapijskoj grupi (10,3% (249/2412) nego u enoksaparin/VKA terapijskoj grupi (11,4% (274/2405)). Incidenca sekundarnog ishoda bezbjednosti (događaji obilnog krvarenja) bila je manja u rivaroksaban grupi (1,1% (26/2412)) nego u enoksaparin/VKA grupi (2,2% (52/2405)</w:t>
      </w:r>
      <w:r w:rsidR="00FA243C" w:rsidRPr="00E22DF8">
        <w:rPr>
          <w:bCs/>
          <w:sz w:val="22"/>
          <w:szCs w:val="22"/>
          <w:lang w:val="sr-Latn-ME"/>
        </w:rPr>
        <w:t>,</w:t>
      </w:r>
      <w:r w:rsidRPr="00E22DF8">
        <w:rPr>
          <w:bCs/>
          <w:sz w:val="22"/>
          <w:szCs w:val="22"/>
          <w:lang w:val="sr-Latn-ME"/>
        </w:rPr>
        <w:t xml:space="preserve"> uz HR 0,493 (95%CI: 0,308 – 0,789).</w:t>
      </w:r>
    </w:p>
    <w:p w:rsidR="00F11BC8" w:rsidRPr="00E22DF8" w:rsidRDefault="00F11BC8" w:rsidP="00F11BC8">
      <w:pPr>
        <w:tabs>
          <w:tab w:val="left" w:pos="540"/>
          <w:tab w:val="left" w:pos="569"/>
        </w:tabs>
        <w:jc w:val="both"/>
        <w:rPr>
          <w:bCs/>
          <w:sz w:val="22"/>
          <w:szCs w:val="22"/>
          <w:lang w:val="sr-Latn-ME"/>
        </w:rPr>
      </w:pPr>
    </w:p>
    <w:p w:rsidR="00F11BC8" w:rsidRPr="00E22DF8" w:rsidRDefault="00F11BC8" w:rsidP="00F11BC8">
      <w:pPr>
        <w:tabs>
          <w:tab w:val="left" w:pos="540"/>
          <w:tab w:val="left" w:pos="569"/>
        </w:tabs>
        <w:rPr>
          <w:b/>
          <w:bCs/>
          <w:i/>
          <w:sz w:val="22"/>
          <w:szCs w:val="22"/>
          <w:lang w:val="sr-Latn-ME"/>
        </w:rPr>
      </w:pPr>
      <w:r w:rsidRPr="00E22DF8">
        <w:rPr>
          <w:b/>
          <w:bCs/>
          <w:sz w:val="22"/>
          <w:szCs w:val="22"/>
          <w:lang w:val="sr-Latn-ME"/>
        </w:rPr>
        <w:t xml:space="preserve">Tabela 6: Rezultati efikasnosti i bezbjednosti iz studije </w:t>
      </w:r>
      <w:r w:rsidR="00FA243C" w:rsidRPr="00E22DF8">
        <w:rPr>
          <w:b/>
          <w:bCs/>
          <w:sz w:val="22"/>
          <w:szCs w:val="22"/>
          <w:lang w:val="sr-Latn-ME"/>
        </w:rPr>
        <w:t xml:space="preserve">faze III </w:t>
      </w:r>
      <w:r w:rsidRPr="00E22DF8">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415885" w:rsidRPr="00E22DF8" w:rsidTr="00A97FE6">
        <w:tc>
          <w:tcPr>
            <w:tcW w:w="3021" w:type="dxa"/>
          </w:tcPr>
          <w:p w:rsidR="00415885" w:rsidRPr="00E22DF8" w:rsidRDefault="00415885" w:rsidP="00415885">
            <w:pPr>
              <w:widowControl w:val="0"/>
              <w:autoSpaceDE w:val="0"/>
              <w:autoSpaceDN w:val="0"/>
              <w:spacing w:line="234" w:lineRule="exact"/>
              <w:ind w:left="9"/>
              <w:rPr>
                <w:b/>
                <w:sz w:val="22"/>
                <w:szCs w:val="22"/>
                <w:lang w:val="sr-Latn-ME"/>
              </w:rPr>
            </w:pPr>
            <w:r w:rsidRPr="00E22DF8">
              <w:rPr>
                <w:b/>
                <w:sz w:val="22"/>
                <w:szCs w:val="22"/>
                <w:lang w:val="sr-Latn-ME"/>
              </w:rPr>
              <w:t>Populacija uključena u studiju</w:t>
            </w:r>
          </w:p>
        </w:tc>
        <w:tc>
          <w:tcPr>
            <w:tcW w:w="6042" w:type="dxa"/>
            <w:gridSpan w:val="2"/>
          </w:tcPr>
          <w:p w:rsidR="00415885" w:rsidRPr="00E22DF8" w:rsidRDefault="00415885" w:rsidP="00415885">
            <w:pPr>
              <w:widowControl w:val="0"/>
              <w:autoSpaceDE w:val="0"/>
              <w:autoSpaceDN w:val="0"/>
              <w:spacing w:line="234" w:lineRule="exact"/>
              <w:ind w:left="9"/>
              <w:rPr>
                <w:b/>
                <w:sz w:val="22"/>
                <w:szCs w:val="22"/>
                <w:lang w:val="sr-Latn-ME"/>
              </w:rPr>
            </w:pPr>
            <w:r w:rsidRPr="00E22DF8">
              <w:rPr>
                <w:b/>
                <w:sz w:val="22"/>
                <w:szCs w:val="22"/>
                <w:lang w:val="sr-Latn-ME"/>
              </w:rPr>
              <w:t>4832 pacijenta sa akutnom simptomatskom PE</w:t>
            </w:r>
          </w:p>
        </w:tc>
      </w:tr>
      <w:tr w:rsidR="00415885" w:rsidRPr="00E22DF8" w:rsidTr="00415885">
        <w:tc>
          <w:tcPr>
            <w:tcW w:w="3021" w:type="dxa"/>
            <w:vAlign w:val="center"/>
          </w:tcPr>
          <w:p w:rsidR="00415885" w:rsidRPr="00E22DF8" w:rsidRDefault="00415885" w:rsidP="00415885">
            <w:pPr>
              <w:widowControl w:val="0"/>
              <w:autoSpaceDE w:val="0"/>
              <w:autoSpaceDN w:val="0"/>
              <w:spacing w:before="6"/>
              <w:rPr>
                <w:b/>
                <w:i/>
                <w:sz w:val="20"/>
                <w:szCs w:val="22"/>
                <w:lang w:val="sr-Latn-ME"/>
              </w:rPr>
            </w:pPr>
          </w:p>
          <w:p w:rsidR="00415885" w:rsidRPr="00E22DF8" w:rsidRDefault="00415885" w:rsidP="00415885">
            <w:pPr>
              <w:widowControl w:val="0"/>
              <w:autoSpaceDE w:val="0"/>
              <w:autoSpaceDN w:val="0"/>
              <w:ind w:left="9"/>
              <w:rPr>
                <w:b/>
                <w:sz w:val="22"/>
                <w:szCs w:val="22"/>
                <w:lang w:val="sr-Latn-ME"/>
              </w:rPr>
            </w:pPr>
            <w:r w:rsidRPr="00E22DF8">
              <w:rPr>
                <w:b/>
                <w:sz w:val="22"/>
                <w:szCs w:val="22"/>
                <w:lang w:val="sr-Latn-ME"/>
              </w:rPr>
              <w:t>Terapijska doza i trajanje liječenja</w:t>
            </w:r>
          </w:p>
        </w:tc>
        <w:tc>
          <w:tcPr>
            <w:tcW w:w="3021" w:type="dxa"/>
            <w:vAlign w:val="center"/>
          </w:tcPr>
          <w:p w:rsidR="00415885" w:rsidRPr="00E22DF8" w:rsidRDefault="00415885" w:rsidP="00415885">
            <w:pPr>
              <w:tabs>
                <w:tab w:val="left" w:pos="540"/>
                <w:tab w:val="left" w:pos="569"/>
              </w:tabs>
              <w:jc w:val="center"/>
              <w:rPr>
                <w:b/>
                <w:bCs/>
                <w:sz w:val="22"/>
                <w:szCs w:val="22"/>
                <w:lang w:val="sr-Latn-ME"/>
              </w:rPr>
            </w:pPr>
            <w:r w:rsidRPr="00E22DF8">
              <w:rPr>
                <w:b/>
                <w:bCs/>
                <w:sz w:val="22"/>
                <w:szCs w:val="22"/>
                <w:lang w:val="sr-Latn-ME"/>
              </w:rPr>
              <w:t>Rivaroksaban</w:t>
            </w:r>
            <w:r w:rsidRPr="00E22DF8">
              <w:rPr>
                <w:b/>
                <w:bCs/>
                <w:sz w:val="22"/>
                <w:szCs w:val="22"/>
                <w:vertAlign w:val="superscript"/>
                <w:lang w:val="sr-Latn-ME"/>
              </w:rPr>
              <w:t>a)</w:t>
            </w:r>
            <w:r w:rsidRPr="00E22DF8">
              <w:rPr>
                <w:b/>
                <w:bCs/>
                <w:sz w:val="22"/>
                <w:szCs w:val="22"/>
                <w:lang w:val="sr-Latn-ME"/>
              </w:rPr>
              <w:t xml:space="preserve"> 3,6 ili 12 mjeseci</w:t>
            </w:r>
          </w:p>
          <w:p w:rsidR="00415885" w:rsidRPr="00E22DF8" w:rsidRDefault="00415885" w:rsidP="00415885">
            <w:pPr>
              <w:tabs>
                <w:tab w:val="left" w:pos="540"/>
                <w:tab w:val="left" w:pos="569"/>
              </w:tabs>
              <w:jc w:val="center"/>
              <w:rPr>
                <w:b/>
                <w:bCs/>
                <w:sz w:val="22"/>
                <w:szCs w:val="22"/>
                <w:lang w:val="sr-Latn-ME"/>
              </w:rPr>
            </w:pPr>
            <w:r w:rsidRPr="00E22DF8">
              <w:rPr>
                <w:b/>
                <w:bCs/>
                <w:sz w:val="22"/>
                <w:szCs w:val="22"/>
                <w:lang w:val="sr-Latn-ME"/>
              </w:rPr>
              <w:t>N=2419</w:t>
            </w:r>
          </w:p>
        </w:tc>
        <w:tc>
          <w:tcPr>
            <w:tcW w:w="3021" w:type="dxa"/>
            <w:vAlign w:val="center"/>
          </w:tcPr>
          <w:p w:rsidR="00415885" w:rsidRPr="00E22DF8" w:rsidRDefault="00415885" w:rsidP="00415885">
            <w:pPr>
              <w:tabs>
                <w:tab w:val="left" w:pos="540"/>
                <w:tab w:val="left" w:pos="569"/>
              </w:tabs>
              <w:jc w:val="center"/>
              <w:rPr>
                <w:b/>
                <w:bCs/>
                <w:sz w:val="22"/>
                <w:szCs w:val="22"/>
                <w:lang w:val="sr-Latn-ME"/>
              </w:rPr>
            </w:pPr>
            <w:r w:rsidRPr="00E22DF8">
              <w:rPr>
                <w:b/>
                <w:bCs/>
                <w:sz w:val="22"/>
                <w:szCs w:val="22"/>
                <w:lang w:val="sr-Latn-ME"/>
              </w:rPr>
              <w:t>Enoksaparin/VKA</w:t>
            </w:r>
            <w:r w:rsidRPr="00E22DF8">
              <w:rPr>
                <w:b/>
                <w:bCs/>
                <w:sz w:val="22"/>
                <w:szCs w:val="22"/>
                <w:vertAlign w:val="superscript"/>
                <w:lang w:val="sr-Latn-ME"/>
              </w:rPr>
              <w:t>b)</w:t>
            </w:r>
            <w:r w:rsidRPr="00E22DF8">
              <w:rPr>
                <w:b/>
                <w:bCs/>
                <w:sz w:val="22"/>
                <w:szCs w:val="22"/>
                <w:lang w:val="sr-Latn-ME"/>
              </w:rPr>
              <w:t>3,6 ili 12 mjeseci</w:t>
            </w:r>
          </w:p>
          <w:p w:rsidR="00415885" w:rsidRPr="00E22DF8" w:rsidRDefault="00415885" w:rsidP="00415885">
            <w:pPr>
              <w:tabs>
                <w:tab w:val="left" w:pos="540"/>
                <w:tab w:val="left" w:pos="569"/>
              </w:tabs>
              <w:jc w:val="center"/>
              <w:rPr>
                <w:b/>
                <w:bCs/>
                <w:sz w:val="22"/>
                <w:szCs w:val="22"/>
                <w:lang w:val="sr-Latn-ME"/>
              </w:rPr>
            </w:pPr>
            <w:r w:rsidRPr="00E22DF8">
              <w:rPr>
                <w:b/>
                <w:bCs/>
                <w:sz w:val="22"/>
                <w:szCs w:val="22"/>
                <w:lang w:val="sr-Latn-ME"/>
              </w:rPr>
              <w:t>N=2413</w:t>
            </w:r>
          </w:p>
        </w:tc>
      </w:tr>
      <w:tr w:rsidR="00415885" w:rsidRPr="00E22DF8" w:rsidTr="00415885">
        <w:tc>
          <w:tcPr>
            <w:tcW w:w="3021" w:type="dxa"/>
            <w:vAlign w:val="center"/>
          </w:tcPr>
          <w:p w:rsidR="00415885" w:rsidRPr="00E22DF8" w:rsidRDefault="00415885"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VTE*</w:t>
            </w:r>
          </w:p>
        </w:tc>
        <w:tc>
          <w:tcPr>
            <w:tcW w:w="3021" w:type="dxa"/>
            <w:vAlign w:val="center"/>
          </w:tcPr>
          <w:p w:rsidR="00415885" w:rsidRPr="00E22DF8" w:rsidRDefault="00415885" w:rsidP="00415885">
            <w:pPr>
              <w:widowControl w:val="0"/>
              <w:autoSpaceDE w:val="0"/>
              <w:autoSpaceDN w:val="0"/>
              <w:spacing w:line="226" w:lineRule="exact"/>
              <w:ind w:left="425" w:right="406"/>
              <w:jc w:val="center"/>
              <w:rPr>
                <w:sz w:val="22"/>
                <w:szCs w:val="22"/>
                <w:lang w:val="sr-Latn-ME"/>
              </w:rPr>
            </w:pPr>
            <w:r w:rsidRPr="00E22DF8">
              <w:rPr>
                <w:sz w:val="22"/>
                <w:szCs w:val="22"/>
                <w:lang w:val="sr-Latn-ME"/>
              </w:rPr>
              <w:t>50</w:t>
            </w:r>
          </w:p>
          <w:p w:rsidR="00415885" w:rsidRPr="00E22DF8" w:rsidRDefault="00415885" w:rsidP="00415885">
            <w:pPr>
              <w:widowControl w:val="0"/>
              <w:autoSpaceDE w:val="0"/>
              <w:autoSpaceDN w:val="0"/>
              <w:spacing w:line="224" w:lineRule="exact"/>
              <w:ind w:left="425" w:right="405"/>
              <w:jc w:val="center"/>
              <w:rPr>
                <w:sz w:val="22"/>
                <w:szCs w:val="22"/>
                <w:lang w:val="sr-Latn-ME"/>
              </w:rPr>
            </w:pPr>
            <w:r w:rsidRPr="00E22DF8">
              <w:rPr>
                <w:sz w:val="22"/>
                <w:szCs w:val="22"/>
                <w:lang w:val="sr-Latn-ME"/>
              </w:rPr>
              <w:t>(2,1%)</w:t>
            </w:r>
          </w:p>
        </w:tc>
        <w:tc>
          <w:tcPr>
            <w:tcW w:w="3021" w:type="dxa"/>
            <w:vAlign w:val="center"/>
          </w:tcPr>
          <w:p w:rsidR="00415885" w:rsidRPr="00E22DF8" w:rsidRDefault="00415885" w:rsidP="00415885">
            <w:pPr>
              <w:widowControl w:val="0"/>
              <w:autoSpaceDE w:val="0"/>
              <w:autoSpaceDN w:val="0"/>
              <w:spacing w:line="226" w:lineRule="exact"/>
              <w:ind w:left="156" w:right="137"/>
              <w:jc w:val="center"/>
              <w:rPr>
                <w:sz w:val="22"/>
                <w:szCs w:val="22"/>
                <w:lang w:val="sr-Latn-ME"/>
              </w:rPr>
            </w:pPr>
            <w:r w:rsidRPr="00E22DF8">
              <w:rPr>
                <w:sz w:val="22"/>
                <w:szCs w:val="22"/>
                <w:lang w:val="sr-Latn-ME"/>
              </w:rPr>
              <w:t>44</w:t>
            </w:r>
          </w:p>
          <w:p w:rsidR="00415885" w:rsidRPr="00E22DF8" w:rsidRDefault="00415885" w:rsidP="00415885">
            <w:pPr>
              <w:widowControl w:val="0"/>
              <w:autoSpaceDE w:val="0"/>
              <w:autoSpaceDN w:val="0"/>
              <w:spacing w:line="224" w:lineRule="exact"/>
              <w:ind w:left="157" w:right="137"/>
              <w:jc w:val="center"/>
              <w:rPr>
                <w:sz w:val="22"/>
                <w:szCs w:val="22"/>
                <w:lang w:val="sr-Latn-ME"/>
              </w:rPr>
            </w:pPr>
            <w:r w:rsidRPr="00E22DF8">
              <w:rPr>
                <w:sz w:val="22"/>
                <w:szCs w:val="22"/>
                <w:lang w:val="sr-Latn-ME"/>
              </w:rPr>
              <w:t>(1,8%)</w:t>
            </w:r>
          </w:p>
        </w:tc>
      </w:tr>
      <w:tr w:rsidR="00415885" w:rsidRPr="00E22DF8" w:rsidTr="00415885">
        <w:tc>
          <w:tcPr>
            <w:tcW w:w="3021" w:type="dxa"/>
            <w:vAlign w:val="center"/>
          </w:tcPr>
          <w:p w:rsidR="00415885" w:rsidRPr="00E22DF8" w:rsidRDefault="00415885"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PE</w:t>
            </w:r>
          </w:p>
        </w:tc>
        <w:tc>
          <w:tcPr>
            <w:tcW w:w="3021" w:type="dxa"/>
            <w:vAlign w:val="center"/>
          </w:tcPr>
          <w:p w:rsidR="00415885" w:rsidRPr="00E22DF8" w:rsidRDefault="00415885" w:rsidP="00415885">
            <w:pPr>
              <w:widowControl w:val="0"/>
              <w:autoSpaceDE w:val="0"/>
              <w:autoSpaceDN w:val="0"/>
              <w:spacing w:line="226" w:lineRule="exact"/>
              <w:ind w:left="425" w:right="406"/>
              <w:jc w:val="center"/>
              <w:rPr>
                <w:sz w:val="22"/>
                <w:szCs w:val="22"/>
                <w:lang w:val="sr-Latn-ME"/>
              </w:rPr>
            </w:pPr>
            <w:r w:rsidRPr="00E22DF8">
              <w:rPr>
                <w:sz w:val="22"/>
                <w:szCs w:val="22"/>
                <w:lang w:val="sr-Latn-ME"/>
              </w:rPr>
              <w:t>23</w:t>
            </w:r>
          </w:p>
          <w:p w:rsidR="00415885" w:rsidRPr="00E22DF8" w:rsidRDefault="00415885" w:rsidP="00415885">
            <w:pPr>
              <w:widowControl w:val="0"/>
              <w:autoSpaceDE w:val="0"/>
              <w:autoSpaceDN w:val="0"/>
              <w:spacing w:line="220" w:lineRule="exact"/>
              <w:ind w:left="425" w:right="405"/>
              <w:jc w:val="center"/>
              <w:rPr>
                <w:sz w:val="22"/>
                <w:szCs w:val="22"/>
                <w:lang w:val="sr-Latn-ME"/>
              </w:rPr>
            </w:pPr>
            <w:r w:rsidRPr="00E22DF8">
              <w:rPr>
                <w:sz w:val="22"/>
                <w:szCs w:val="22"/>
                <w:lang w:val="sr-Latn-ME"/>
              </w:rPr>
              <w:t>(1,0%)</w:t>
            </w:r>
          </w:p>
        </w:tc>
        <w:tc>
          <w:tcPr>
            <w:tcW w:w="3021" w:type="dxa"/>
            <w:vAlign w:val="center"/>
          </w:tcPr>
          <w:p w:rsidR="00415885" w:rsidRPr="00E22DF8" w:rsidRDefault="00415885" w:rsidP="00415885">
            <w:pPr>
              <w:widowControl w:val="0"/>
              <w:autoSpaceDE w:val="0"/>
              <w:autoSpaceDN w:val="0"/>
              <w:spacing w:line="226" w:lineRule="exact"/>
              <w:ind w:left="156" w:right="137"/>
              <w:jc w:val="center"/>
              <w:rPr>
                <w:sz w:val="22"/>
                <w:szCs w:val="22"/>
                <w:lang w:val="sr-Latn-ME"/>
              </w:rPr>
            </w:pPr>
            <w:r w:rsidRPr="00E22DF8">
              <w:rPr>
                <w:sz w:val="22"/>
                <w:szCs w:val="22"/>
                <w:lang w:val="sr-Latn-ME"/>
              </w:rPr>
              <w:t>20</w:t>
            </w:r>
          </w:p>
          <w:p w:rsidR="00415885" w:rsidRPr="00E22DF8" w:rsidRDefault="00415885" w:rsidP="00415885">
            <w:pPr>
              <w:widowControl w:val="0"/>
              <w:autoSpaceDE w:val="0"/>
              <w:autoSpaceDN w:val="0"/>
              <w:spacing w:line="220" w:lineRule="exact"/>
              <w:ind w:left="157" w:right="137"/>
              <w:jc w:val="center"/>
              <w:rPr>
                <w:sz w:val="22"/>
                <w:szCs w:val="22"/>
                <w:lang w:val="sr-Latn-ME"/>
              </w:rPr>
            </w:pPr>
            <w:r w:rsidRPr="00E22DF8">
              <w:rPr>
                <w:sz w:val="22"/>
                <w:szCs w:val="22"/>
                <w:lang w:val="sr-Latn-ME"/>
              </w:rPr>
              <w:t>(0,8%)</w:t>
            </w:r>
          </w:p>
        </w:tc>
      </w:tr>
      <w:tr w:rsidR="00415885" w:rsidRPr="00E22DF8" w:rsidTr="00415885">
        <w:tc>
          <w:tcPr>
            <w:tcW w:w="3021" w:type="dxa"/>
            <w:vAlign w:val="center"/>
          </w:tcPr>
          <w:p w:rsidR="00415885" w:rsidRPr="00E22DF8" w:rsidRDefault="00415885" w:rsidP="0064584A">
            <w:pPr>
              <w:widowControl w:val="0"/>
              <w:autoSpaceDE w:val="0"/>
              <w:autoSpaceDN w:val="0"/>
              <w:spacing w:line="239" w:lineRule="exact"/>
              <w:ind w:left="9"/>
              <w:jc w:val="right"/>
              <w:rPr>
                <w:sz w:val="22"/>
                <w:szCs w:val="22"/>
                <w:lang w:val="sr-Latn-ME"/>
              </w:rPr>
            </w:pPr>
            <w:r w:rsidRPr="00E22DF8">
              <w:rPr>
                <w:sz w:val="22"/>
                <w:szCs w:val="22"/>
                <w:lang w:val="sr-Latn-ME"/>
              </w:rPr>
              <w:t>Simptomatska rekurentna TDV</w:t>
            </w:r>
          </w:p>
        </w:tc>
        <w:tc>
          <w:tcPr>
            <w:tcW w:w="3021" w:type="dxa"/>
            <w:vAlign w:val="center"/>
          </w:tcPr>
          <w:p w:rsidR="00415885" w:rsidRPr="00E22DF8" w:rsidRDefault="00415885" w:rsidP="00415885">
            <w:pPr>
              <w:widowControl w:val="0"/>
              <w:autoSpaceDE w:val="0"/>
              <w:autoSpaceDN w:val="0"/>
              <w:spacing w:line="228" w:lineRule="exact"/>
              <w:ind w:left="425" w:right="406"/>
              <w:jc w:val="center"/>
              <w:rPr>
                <w:sz w:val="22"/>
                <w:szCs w:val="22"/>
                <w:lang w:val="sr-Latn-ME"/>
              </w:rPr>
            </w:pPr>
            <w:r w:rsidRPr="00E22DF8">
              <w:rPr>
                <w:sz w:val="22"/>
                <w:szCs w:val="22"/>
                <w:lang w:val="sr-Latn-ME"/>
              </w:rPr>
              <w:t>18</w:t>
            </w:r>
          </w:p>
          <w:p w:rsidR="00415885" w:rsidRPr="00E22DF8" w:rsidRDefault="00415885" w:rsidP="00415885">
            <w:pPr>
              <w:widowControl w:val="0"/>
              <w:autoSpaceDE w:val="0"/>
              <w:autoSpaceDN w:val="0"/>
              <w:spacing w:line="222" w:lineRule="exact"/>
              <w:ind w:left="425" w:right="405"/>
              <w:jc w:val="center"/>
              <w:rPr>
                <w:sz w:val="22"/>
                <w:szCs w:val="22"/>
                <w:lang w:val="sr-Latn-ME"/>
              </w:rPr>
            </w:pPr>
            <w:r w:rsidRPr="00E22DF8">
              <w:rPr>
                <w:sz w:val="22"/>
                <w:szCs w:val="22"/>
                <w:lang w:val="sr-Latn-ME"/>
              </w:rPr>
              <w:t>(0,7%)</w:t>
            </w:r>
          </w:p>
        </w:tc>
        <w:tc>
          <w:tcPr>
            <w:tcW w:w="3021" w:type="dxa"/>
            <w:vAlign w:val="center"/>
          </w:tcPr>
          <w:p w:rsidR="00415885" w:rsidRPr="00E22DF8" w:rsidRDefault="00415885" w:rsidP="00415885">
            <w:pPr>
              <w:widowControl w:val="0"/>
              <w:autoSpaceDE w:val="0"/>
              <w:autoSpaceDN w:val="0"/>
              <w:spacing w:line="228" w:lineRule="exact"/>
              <w:ind w:left="156" w:right="137"/>
              <w:jc w:val="center"/>
              <w:rPr>
                <w:sz w:val="22"/>
                <w:szCs w:val="22"/>
                <w:lang w:val="sr-Latn-ME"/>
              </w:rPr>
            </w:pPr>
            <w:r w:rsidRPr="00E22DF8">
              <w:rPr>
                <w:sz w:val="22"/>
                <w:szCs w:val="22"/>
                <w:lang w:val="sr-Latn-ME"/>
              </w:rPr>
              <w:t>17</w:t>
            </w:r>
          </w:p>
          <w:p w:rsidR="00415885" w:rsidRPr="00E22DF8" w:rsidRDefault="00415885" w:rsidP="00415885">
            <w:pPr>
              <w:widowControl w:val="0"/>
              <w:autoSpaceDE w:val="0"/>
              <w:autoSpaceDN w:val="0"/>
              <w:spacing w:line="222" w:lineRule="exact"/>
              <w:ind w:left="157" w:right="137"/>
              <w:jc w:val="center"/>
              <w:rPr>
                <w:sz w:val="22"/>
                <w:szCs w:val="22"/>
                <w:lang w:val="sr-Latn-ME"/>
              </w:rPr>
            </w:pPr>
            <w:r w:rsidRPr="00E22DF8">
              <w:rPr>
                <w:sz w:val="22"/>
                <w:szCs w:val="22"/>
                <w:lang w:val="sr-Latn-ME"/>
              </w:rPr>
              <w:t>(0,7%)</w:t>
            </w:r>
          </w:p>
        </w:tc>
      </w:tr>
      <w:tr w:rsidR="00415885" w:rsidRPr="00E22DF8" w:rsidTr="00415885">
        <w:tc>
          <w:tcPr>
            <w:tcW w:w="3021" w:type="dxa"/>
            <w:vAlign w:val="center"/>
          </w:tcPr>
          <w:p w:rsidR="00415885" w:rsidRPr="00E22DF8" w:rsidRDefault="00415885" w:rsidP="0064584A">
            <w:pPr>
              <w:widowControl w:val="0"/>
              <w:autoSpaceDE w:val="0"/>
              <w:autoSpaceDN w:val="0"/>
              <w:spacing w:line="230" w:lineRule="exact"/>
              <w:ind w:left="9"/>
              <w:jc w:val="right"/>
              <w:rPr>
                <w:sz w:val="22"/>
                <w:szCs w:val="22"/>
                <w:lang w:val="sr-Latn-ME"/>
              </w:rPr>
            </w:pPr>
            <w:r w:rsidRPr="00E22DF8">
              <w:rPr>
                <w:sz w:val="22"/>
                <w:szCs w:val="22"/>
                <w:lang w:val="sr-Latn-ME"/>
              </w:rPr>
              <w:t>Simptomatska PE i TDV</w:t>
            </w:r>
          </w:p>
        </w:tc>
        <w:tc>
          <w:tcPr>
            <w:tcW w:w="3021" w:type="dxa"/>
            <w:vAlign w:val="center"/>
          </w:tcPr>
          <w:p w:rsidR="00415885" w:rsidRPr="00E22DF8" w:rsidRDefault="00415885" w:rsidP="00415885">
            <w:pPr>
              <w:widowControl w:val="0"/>
              <w:autoSpaceDE w:val="0"/>
              <w:autoSpaceDN w:val="0"/>
              <w:spacing w:line="230" w:lineRule="exact"/>
              <w:ind w:left="14"/>
              <w:jc w:val="center"/>
              <w:rPr>
                <w:sz w:val="22"/>
                <w:szCs w:val="22"/>
                <w:lang w:val="sr-Latn-ME"/>
              </w:rPr>
            </w:pPr>
            <w:r w:rsidRPr="00E22DF8">
              <w:rPr>
                <w:sz w:val="22"/>
                <w:szCs w:val="22"/>
                <w:lang w:val="sr-Latn-ME"/>
              </w:rPr>
              <w:t>0</w:t>
            </w:r>
          </w:p>
        </w:tc>
        <w:tc>
          <w:tcPr>
            <w:tcW w:w="3021" w:type="dxa"/>
            <w:vAlign w:val="center"/>
          </w:tcPr>
          <w:p w:rsidR="00415885" w:rsidRPr="00E22DF8" w:rsidRDefault="00415885" w:rsidP="00415885">
            <w:pPr>
              <w:widowControl w:val="0"/>
              <w:autoSpaceDE w:val="0"/>
              <w:autoSpaceDN w:val="0"/>
              <w:spacing w:line="218" w:lineRule="exact"/>
              <w:ind w:left="14"/>
              <w:jc w:val="center"/>
              <w:rPr>
                <w:sz w:val="22"/>
                <w:szCs w:val="22"/>
                <w:lang w:val="sr-Latn-ME"/>
              </w:rPr>
            </w:pPr>
            <w:r w:rsidRPr="00E22DF8">
              <w:rPr>
                <w:sz w:val="22"/>
                <w:szCs w:val="22"/>
                <w:lang w:val="sr-Latn-ME"/>
              </w:rPr>
              <w:t>2</w:t>
            </w:r>
          </w:p>
          <w:p w:rsidR="00415885" w:rsidRPr="00E22DF8" w:rsidRDefault="00415885" w:rsidP="00415885">
            <w:pPr>
              <w:widowControl w:val="0"/>
              <w:autoSpaceDE w:val="0"/>
              <w:autoSpaceDN w:val="0"/>
              <w:spacing w:line="222" w:lineRule="exact"/>
              <w:ind w:left="157" w:right="137"/>
              <w:jc w:val="center"/>
              <w:rPr>
                <w:sz w:val="22"/>
                <w:szCs w:val="22"/>
                <w:lang w:val="sr-Latn-ME"/>
              </w:rPr>
            </w:pPr>
            <w:r w:rsidRPr="00E22DF8">
              <w:rPr>
                <w:sz w:val="22"/>
                <w:szCs w:val="22"/>
                <w:lang w:val="sr-Latn-ME"/>
              </w:rPr>
              <w:t>(&lt;0,1%)</w:t>
            </w:r>
          </w:p>
        </w:tc>
      </w:tr>
      <w:tr w:rsidR="00415885" w:rsidRPr="00E22DF8" w:rsidTr="00415885">
        <w:tc>
          <w:tcPr>
            <w:tcW w:w="3021" w:type="dxa"/>
            <w:vAlign w:val="center"/>
          </w:tcPr>
          <w:p w:rsidR="00415885" w:rsidRPr="00E22DF8" w:rsidRDefault="00415885" w:rsidP="0064584A">
            <w:pPr>
              <w:widowControl w:val="0"/>
              <w:autoSpaceDE w:val="0"/>
              <w:autoSpaceDN w:val="0"/>
              <w:spacing w:line="237" w:lineRule="auto"/>
              <w:ind w:left="9" w:right="154"/>
              <w:jc w:val="right"/>
              <w:rPr>
                <w:sz w:val="22"/>
                <w:szCs w:val="22"/>
                <w:lang w:val="sr-Latn-ME"/>
              </w:rPr>
            </w:pPr>
            <w:r w:rsidRPr="00E22DF8">
              <w:rPr>
                <w:sz w:val="22"/>
                <w:szCs w:val="22"/>
                <w:lang w:val="sr-Latn-ME"/>
              </w:rPr>
              <w:t>PE sa smrtnim ishodom/smrt pri kojoj se PE ne može isključiti</w:t>
            </w:r>
          </w:p>
        </w:tc>
        <w:tc>
          <w:tcPr>
            <w:tcW w:w="3021" w:type="dxa"/>
            <w:vAlign w:val="center"/>
          </w:tcPr>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11</w:t>
            </w:r>
          </w:p>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(0,5%)</w:t>
            </w:r>
          </w:p>
        </w:tc>
        <w:tc>
          <w:tcPr>
            <w:tcW w:w="3021" w:type="dxa"/>
            <w:vAlign w:val="center"/>
          </w:tcPr>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7</w:t>
            </w:r>
          </w:p>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(0,3%)</w:t>
            </w:r>
          </w:p>
        </w:tc>
      </w:tr>
      <w:tr w:rsidR="00AE6B1F" w:rsidRPr="00E22DF8" w:rsidTr="00415885">
        <w:tc>
          <w:tcPr>
            <w:tcW w:w="3021" w:type="dxa"/>
            <w:vAlign w:val="center"/>
          </w:tcPr>
          <w:p w:rsidR="00AE6B1F" w:rsidRPr="00E22DF8" w:rsidRDefault="00FA243C" w:rsidP="00FA243C">
            <w:pPr>
              <w:widowControl w:val="0"/>
              <w:tabs>
                <w:tab w:val="left" w:pos="1070"/>
                <w:tab w:val="left" w:pos="1468"/>
                <w:tab w:val="left" w:pos="2476"/>
              </w:tabs>
              <w:autoSpaceDE w:val="0"/>
              <w:autoSpaceDN w:val="0"/>
              <w:spacing w:before="5" w:line="223" w:lineRule="auto"/>
              <w:ind w:left="9" w:right="88"/>
              <w:rPr>
                <w:sz w:val="22"/>
                <w:szCs w:val="22"/>
                <w:lang w:val="sr-Latn-ME"/>
              </w:rPr>
            </w:pPr>
            <w:r w:rsidRPr="00E22DF8">
              <w:rPr>
                <w:sz w:val="22"/>
                <w:szCs w:val="22"/>
                <w:lang w:val="sr-Latn-ME"/>
              </w:rPr>
              <w:t xml:space="preserve">Velika </w:t>
            </w:r>
            <w:r w:rsidR="00AE6B1F" w:rsidRPr="00E22DF8">
              <w:rPr>
                <w:sz w:val="22"/>
                <w:szCs w:val="22"/>
                <w:lang w:val="sr-Latn-ME"/>
              </w:rPr>
              <w:t xml:space="preserve">ili klinički značajna </w:t>
            </w:r>
            <w:r w:rsidRPr="00E22DF8">
              <w:rPr>
                <w:sz w:val="22"/>
                <w:szCs w:val="22"/>
                <w:lang w:val="sr-Latn-ME"/>
              </w:rPr>
              <w:t xml:space="preserve">manja </w:t>
            </w:r>
            <w:r w:rsidR="00AE6B1F" w:rsidRPr="00E22DF8">
              <w:rPr>
                <w:sz w:val="22"/>
                <w:szCs w:val="22"/>
                <w:lang w:val="sr-Latn-ME"/>
              </w:rPr>
              <w:t>krvarenja</w:t>
            </w:r>
          </w:p>
        </w:tc>
        <w:tc>
          <w:tcPr>
            <w:tcW w:w="3021" w:type="dxa"/>
            <w:vAlign w:val="center"/>
          </w:tcPr>
          <w:p w:rsidR="00AE6B1F" w:rsidRPr="00E22DF8" w:rsidRDefault="00AE6B1F" w:rsidP="00AE6B1F">
            <w:pPr>
              <w:tabs>
                <w:tab w:val="left" w:pos="540"/>
                <w:tab w:val="left" w:pos="569"/>
              </w:tabs>
              <w:jc w:val="center"/>
              <w:rPr>
                <w:bCs/>
                <w:sz w:val="22"/>
                <w:szCs w:val="22"/>
                <w:lang w:val="sr-Latn-ME"/>
              </w:rPr>
            </w:pPr>
            <w:r w:rsidRPr="00E22DF8">
              <w:rPr>
                <w:bCs/>
                <w:sz w:val="22"/>
                <w:szCs w:val="22"/>
                <w:lang w:val="sr-Latn-ME"/>
              </w:rPr>
              <w:t>249</w:t>
            </w:r>
          </w:p>
          <w:p w:rsidR="00AE6B1F" w:rsidRPr="00E22DF8" w:rsidRDefault="00AE6B1F" w:rsidP="00AE6B1F">
            <w:pPr>
              <w:tabs>
                <w:tab w:val="left" w:pos="540"/>
                <w:tab w:val="left" w:pos="569"/>
              </w:tabs>
              <w:jc w:val="center"/>
              <w:rPr>
                <w:bCs/>
                <w:sz w:val="22"/>
                <w:szCs w:val="22"/>
                <w:lang w:val="sr-Latn-ME"/>
              </w:rPr>
            </w:pPr>
            <w:r w:rsidRPr="00E22DF8">
              <w:rPr>
                <w:bCs/>
                <w:sz w:val="22"/>
                <w:szCs w:val="22"/>
                <w:lang w:val="sr-Latn-ME"/>
              </w:rPr>
              <w:t>(10,3%)</w:t>
            </w:r>
          </w:p>
        </w:tc>
        <w:tc>
          <w:tcPr>
            <w:tcW w:w="3021" w:type="dxa"/>
            <w:vAlign w:val="center"/>
          </w:tcPr>
          <w:p w:rsidR="00AE6B1F" w:rsidRPr="00E22DF8" w:rsidRDefault="00AE6B1F" w:rsidP="00AE6B1F">
            <w:pPr>
              <w:tabs>
                <w:tab w:val="left" w:pos="540"/>
                <w:tab w:val="left" w:pos="569"/>
              </w:tabs>
              <w:jc w:val="center"/>
              <w:rPr>
                <w:bCs/>
                <w:sz w:val="22"/>
                <w:szCs w:val="22"/>
                <w:lang w:val="sr-Latn-ME"/>
              </w:rPr>
            </w:pPr>
            <w:r w:rsidRPr="00E22DF8">
              <w:rPr>
                <w:bCs/>
                <w:sz w:val="22"/>
                <w:szCs w:val="22"/>
                <w:lang w:val="sr-Latn-ME"/>
              </w:rPr>
              <w:t>274</w:t>
            </w:r>
          </w:p>
          <w:p w:rsidR="00AE6B1F" w:rsidRPr="00E22DF8" w:rsidRDefault="00AE6B1F" w:rsidP="00AE6B1F">
            <w:pPr>
              <w:tabs>
                <w:tab w:val="left" w:pos="540"/>
                <w:tab w:val="left" w:pos="569"/>
              </w:tabs>
              <w:jc w:val="center"/>
              <w:rPr>
                <w:bCs/>
                <w:sz w:val="22"/>
                <w:szCs w:val="22"/>
                <w:lang w:val="sr-Latn-ME"/>
              </w:rPr>
            </w:pPr>
            <w:r w:rsidRPr="00E22DF8">
              <w:rPr>
                <w:bCs/>
                <w:sz w:val="22"/>
                <w:szCs w:val="22"/>
                <w:lang w:val="sr-Latn-ME"/>
              </w:rPr>
              <w:t>(11,4%)</w:t>
            </w:r>
          </w:p>
        </w:tc>
      </w:tr>
      <w:tr w:rsidR="00415885" w:rsidRPr="00E22DF8" w:rsidTr="00415885">
        <w:tc>
          <w:tcPr>
            <w:tcW w:w="3021" w:type="dxa"/>
            <w:vAlign w:val="center"/>
          </w:tcPr>
          <w:p w:rsidR="00415885" w:rsidRPr="00E22DF8" w:rsidRDefault="00415885" w:rsidP="00FA243C">
            <w:pPr>
              <w:widowControl w:val="0"/>
              <w:autoSpaceDE w:val="0"/>
              <w:autoSpaceDN w:val="0"/>
              <w:spacing w:line="235" w:lineRule="exact"/>
              <w:ind w:left="9"/>
              <w:rPr>
                <w:sz w:val="22"/>
                <w:szCs w:val="22"/>
                <w:lang w:val="sr-Latn-ME"/>
              </w:rPr>
            </w:pPr>
            <w:r w:rsidRPr="00E22DF8">
              <w:rPr>
                <w:sz w:val="22"/>
                <w:szCs w:val="22"/>
                <w:lang w:val="sr-Latn-ME"/>
              </w:rPr>
              <w:t xml:space="preserve">Događaji </w:t>
            </w:r>
            <w:r w:rsidR="00FA243C" w:rsidRPr="00E22DF8">
              <w:rPr>
                <w:sz w:val="22"/>
                <w:szCs w:val="22"/>
                <w:lang w:val="sr-Latn-ME"/>
              </w:rPr>
              <w:t xml:space="preserve">velikih </w:t>
            </w:r>
            <w:r w:rsidRPr="00E22DF8">
              <w:rPr>
                <w:sz w:val="22"/>
                <w:szCs w:val="22"/>
                <w:lang w:val="sr-Latn-ME"/>
              </w:rPr>
              <w:t>krvarenja</w:t>
            </w:r>
          </w:p>
        </w:tc>
        <w:tc>
          <w:tcPr>
            <w:tcW w:w="3021" w:type="dxa"/>
            <w:vAlign w:val="center"/>
          </w:tcPr>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26</w:t>
            </w:r>
          </w:p>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(1,1%)</w:t>
            </w:r>
          </w:p>
        </w:tc>
        <w:tc>
          <w:tcPr>
            <w:tcW w:w="3021" w:type="dxa"/>
            <w:vAlign w:val="center"/>
          </w:tcPr>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52</w:t>
            </w:r>
          </w:p>
          <w:p w:rsidR="00415885" w:rsidRPr="00E22DF8" w:rsidRDefault="00415885" w:rsidP="00415885">
            <w:pPr>
              <w:tabs>
                <w:tab w:val="left" w:pos="540"/>
                <w:tab w:val="left" w:pos="569"/>
              </w:tabs>
              <w:jc w:val="center"/>
              <w:rPr>
                <w:bCs/>
                <w:sz w:val="22"/>
                <w:szCs w:val="22"/>
                <w:lang w:val="sr-Latn-ME"/>
              </w:rPr>
            </w:pPr>
            <w:r w:rsidRPr="00E22DF8">
              <w:rPr>
                <w:bCs/>
                <w:sz w:val="22"/>
                <w:szCs w:val="22"/>
                <w:lang w:val="sr-Latn-ME"/>
              </w:rPr>
              <w:t>(2,2%)</w:t>
            </w:r>
          </w:p>
        </w:tc>
      </w:tr>
    </w:tbl>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a)</w:t>
      </w:r>
      <w:r w:rsidRPr="00E22DF8">
        <w:rPr>
          <w:bCs/>
          <w:sz w:val="22"/>
          <w:szCs w:val="22"/>
          <w:lang w:val="sr-Latn-ME"/>
        </w:rPr>
        <w:tab/>
        <w:t xml:space="preserve">Rivaroksaban u dozi od 15 mg dva puta dnevno tokom 3 </w:t>
      </w:r>
      <w:r w:rsidR="00FA243C" w:rsidRPr="00E22DF8">
        <w:rPr>
          <w:bCs/>
          <w:sz w:val="22"/>
          <w:szCs w:val="22"/>
          <w:lang w:val="sr-Latn-ME"/>
        </w:rPr>
        <w:t>nedjelje</w:t>
      </w:r>
      <w:r w:rsidRPr="00E22DF8">
        <w:rPr>
          <w:bCs/>
          <w:sz w:val="22"/>
          <w:szCs w:val="22"/>
          <w:lang w:val="sr-Latn-ME"/>
        </w:rPr>
        <w:t>, nakon toga 20 mg jednom dnevno</w:t>
      </w:r>
      <w:r w:rsidR="00FA243C" w:rsidRPr="00E22DF8">
        <w:rPr>
          <w:bCs/>
          <w:sz w:val="22"/>
          <w:szCs w:val="22"/>
          <w:lang w:val="sr-Latn-ME"/>
        </w:rPr>
        <w:t>.</w:t>
      </w: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b)</w:t>
      </w:r>
      <w:r w:rsidRPr="00E22DF8">
        <w:rPr>
          <w:bCs/>
          <w:sz w:val="22"/>
          <w:szCs w:val="22"/>
          <w:lang w:val="sr-Latn-ME"/>
        </w:rPr>
        <w:tab/>
        <w:t>Enoksaparin tokom najmanje 5 dana</w:t>
      </w:r>
      <w:r w:rsidR="00FA243C" w:rsidRPr="00E22DF8">
        <w:rPr>
          <w:bCs/>
          <w:sz w:val="22"/>
          <w:szCs w:val="22"/>
          <w:lang w:val="sr-Latn-ME"/>
        </w:rPr>
        <w:t>,</w:t>
      </w:r>
      <w:r w:rsidRPr="00E22DF8">
        <w:rPr>
          <w:bCs/>
          <w:sz w:val="22"/>
          <w:szCs w:val="22"/>
          <w:lang w:val="sr-Latn-ME"/>
        </w:rPr>
        <w:t xml:space="preserve"> preklapa se i nastavlja sa VKA</w:t>
      </w:r>
      <w:r w:rsidR="00FA243C" w:rsidRPr="00E22DF8">
        <w:rPr>
          <w:bCs/>
          <w:sz w:val="22"/>
          <w:szCs w:val="22"/>
          <w:lang w:val="sr-Latn-ME"/>
        </w:rPr>
        <w:t>.</w:t>
      </w: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p</w:t>
      </w:r>
      <w:r w:rsidR="00C72126" w:rsidRPr="00E22DF8">
        <w:rPr>
          <w:bCs/>
          <w:sz w:val="22"/>
          <w:szCs w:val="22"/>
          <w:lang w:val="sr-Latn-ME"/>
        </w:rPr>
        <w:t xml:space="preserve"> &lt; 0,0026 (ne</w:t>
      </w:r>
      <w:r w:rsidRPr="00E22DF8">
        <w:rPr>
          <w:bCs/>
          <w:sz w:val="22"/>
          <w:szCs w:val="22"/>
          <w:lang w:val="sr-Latn-ME"/>
        </w:rPr>
        <w:t>inferiornost u odnosu na unaprijed definisani HR od 2,0); HR: 1,123 (0,749 – 1,684)</w:t>
      </w:r>
    </w:p>
    <w:p w:rsidR="00415885" w:rsidRPr="00E22DF8" w:rsidRDefault="00415885" w:rsidP="00415885">
      <w:pPr>
        <w:tabs>
          <w:tab w:val="left" w:pos="540"/>
          <w:tab w:val="left" w:pos="569"/>
        </w:tabs>
        <w:jc w:val="both"/>
        <w:rPr>
          <w:bCs/>
          <w:sz w:val="22"/>
          <w:szCs w:val="22"/>
          <w:lang w:val="sr-Latn-ME"/>
        </w:rPr>
      </w:pP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 xml:space="preserve">Sprovedena je unaprijed definisana objedinjena analiza ishoda Einstein DVT </w:t>
      </w:r>
      <w:r w:rsidR="007D63B4" w:rsidRPr="00E22DF8">
        <w:rPr>
          <w:bCs/>
          <w:sz w:val="22"/>
          <w:szCs w:val="22"/>
          <w:lang w:val="sr-Latn-ME"/>
        </w:rPr>
        <w:t>i Einstein PE studija (vidjeti T</w:t>
      </w:r>
      <w:r w:rsidRPr="00E22DF8">
        <w:rPr>
          <w:bCs/>
          <w:sz w:val="22"/>
          <w:szCs w:val="22"/>
          <w:lang w:val="sr-Latn-ME"/>
        </w:rPr>
        <w:t>abelu 7).</w:t>
      </w:r>
    </w:p>
    <w:p w:rsidR="00FA243C" w:rsidRPr="00E22DF8" w:rsidRDefault="00FA243C" w:rsidP="00415885">
      <w:pPr>
        <w:tabs>
          <w:tab w:val="left" w:pos="540"/>
          <w:tab w:val="left" w:pos="569"/>
        </w:tabs>
        <w:jc w:val="both"/>
        <w:rPr>
          <w:b/>
          <w:bCs/>
          <w:sz w:val="22"/>
          <w:szCs w:val="22"/>
          <w:lang w:val="sr-Latn-ME"/>
        </w:rPr>
      </w:pPr>
    </w:p>
    <w:p w:rsidR="00415885" w:rsidRPr="00E22DF8" w:rsidRDefault="00415885" w:rsidP="00415885">
      <w:pPr>
        <w:tabs>
          <w:tab w:val="left" w:pos="540"/>
          <w:tab w:val="left" w:pos="569"/>
        </w:tabs>
        <w:jc w:val="both"/>
        <w:rPr>
          <w:b/>
          <w:bCs/>
          <w:sz w:val="22"/>
          <w:szCs w:val="22"/>
          <w:lang w:val="sr-Latn-ME"/>
        </w:rPr>
      </w:pPr>
      <w:r w:rsidRPr="00E22DF8">
        <w:rPr>
          <w:b/>
          <w:bCs/>
          <w:sz w:val="22"/>
          <w:szCs w:val="22"/>
          <w:lang w:val="sr-Latn-ME"/>
        </w:rPr>
        <w:t xml:space="preserve">Tabela 7: Rezultati efikasnosti i bezbjednosti iz objedinjene analize studija </w:t>
      </w:r>
      <w:r w:rsidR="00FA243C" w:rsidRPr="00E22DF8">
        <w:rPr>
          <w:b/>
          <w:bCs/>
          <w:sz w:val="22"/>
          <w:szCs w:val="22"/>
          <w:lang w:val="sr-Latn-ME"/>
        </w:rPr>
        <w:t xml:space="preserve">faze III </w:t>
      </w:r>
      <w:r w:rsidRPr="00E22DF8">
        <w:rPr>
          <w:b/>
          <w:bCs/>
          <w:i/>
          <w:sz w:val="22"/>
          <w:szCs w:val="22"/>
          <w:lang w:val="sr-Latn-ME"/>
        </w:rPr>
        <w:t xml:space="preserve">Einstein DVT </w:t>
      </w:r>
      <w:r w:rsidRPr="00E22DF8">
        <w:rPr>
          <w:b/>
          <w:bCs/>
          <w:sz w:val="22"/>
          <w:szCs w:val="22"/>
          <w:lang w:val="sr-Latn-ME"/>
        </w:rPr>
        <w:t xml:space="preserve">i </w:t>
      </w:r>
      <w:r w:rsidRPr="00E22DF8">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415885" w:rsidRPr="00E22DF8" w:rsidTr="00A97FE6">
        <w:tc>
          <w:tcPr>
            <w:tcW w:w="3021" w:type="dxa"/>
          </w:tcPr>
          <w:p w:rsidR="00415885" w:rsidRPr="00E22DF8" w:rsidRDefault="00415885" w:rsidP="00415885">
            <w:pPr>
              <w:widowControl w:val="0"/>
              <w:autoSpaceDE w:val="0"/>
              <w:autoSpaceDN w:val="0"/>
              <w:spacing w:line="234" w:lineRule="exact"/>
              <w:ind w:left="9"/>
              <w:rPr>
                <w:b/>
                <w:sz w:val="22"/>
                <w:szCs w:val="22"/>
                <w:lang w:val="sr-Latn-ME"/>
              </w:rPr>
            </w:pPr>
            <w:r w:rsidRPr="00E22DF8">
              <w:rPr>
                <w:b/>
                <w:sz w:val="22"/>
                <w:szCs w:val="22"/>
                <w:lang w:val="sr-Latn-ME"/>
              </w:rPr>
              <w:t>Populacija uključena u studiju</w:t>
            </w:r>
          </w:p>
        </w:tc>
        <w:tc>
          <w:tcPr>
            <w:tcW w:w="6042" w:type="dxa"/>
            <w:gridSpan w:val="2"/>
          </w:tcPr>
          <w:p w:rsidR="00415885" w:rsidRPr="00E22DF8" w:rsidRDefault="00415885" w:rsidP="00A105E8">
            <w:pPr>
              <w:widowControl w:val="0"/>
              <w:autoSpaceDE w:val="0"/>
              <w:autoSpaceDN w:val="0"/>
              <w:spacing w:line="234" w:lineRule="exact"/>
              <w:ind w:left="9"/>
              <w:rPr>
                <w:b/>
                <w:sz w:val="22"/>
                <w:szCs w:val="22"/>
                <w:lang w:val="sr-Latn-ME"/>
              </w:rPr>
            </w:pPr>
            <w:r w:rsidRPr="00E22DF8">
              <w:rPr>
                <w:b/>
                <w:sz w:val="22"/>
                <w:szCs w:val="22"/>
                <w:lang w:val="sr-Latn-ME"/>
              </w:rPr>
              <w:t>8281 pacijent sa akutnom simptomatskom TDV ili PE</w:t>
            </w:r>
          </w:p>
        </w:tc>
      </w:tr>
      <w:tr w:rsidR="00415885" w:rsidRPr="00E22DF8" w:rsidTr="00415885">
        <w:tc>
          <w:tcPr>
            <w:tcW w:w="3021" w:type="dxa"/>
            <w:vAlign w:val="center"/>
          </w:tcPr>
          <w:p w:rsidR="00415885" w:rsidRPr="00E22DF8" w:rsidRDefault="00415885" w:rsidP="00415885">
            <w:pPr>
              <w:widowControl w:val="0"/>
              <w:autoSpaceDE w:val="0"/>
              <w:autoSpaceDN w:val="0"/>
              <w:rPr>
                <w:b/>
                <w:sz w:val="22"/>
                <w:szCs w:val="22"/>
                <w:lang w:val="sr-Latn-ME"/>
              </w:rPr>
            </w:pPr>
            <w:r w:rsidRPr="00E22DF8">
              <w:rPr>
                <w:b/>
                <w:sz w:val="22"/>
                <w:szCs w:val="22"/>
                <w:lang w:val="sr-Latn-ME"/>
              </w:rPr>
              <w:t>Terapijska doza i trajanje liječenja</w:t>
            </w:r>
          </w:p>
        </w:tc>
        <w:tc>
          <w:tcPr>
            <w:tcW w:w="3021" w:type="dxa"/>
            <w:vAlign w:val="center"/>
          </w:tcPr>
          <w:p w:rsidR="00415885" w:rsidRPr="00E22DF8" w:rsidRDefault="00415885" w:rsidP="00415885">
            <w:pPr>
              <w:widowControl w:val="0"/>
              <w:autoSpaceDE w:val="0"/>
              <w:autoSpaceDN w:val="0"/>
              <w:spacing w:line="238" w:lineRule="exact"/>
              <w:ind w:left="414" w:right="411"/>
              <w:jc w:val="center"/>
              <w:rPr>
                <w:b/>
                <w:sz w:val="22"/>
                <w:szCs w:val="22"/>
                <w:lang w:val="sr-Latn-ME"/>
              </w:rPr>
            </w:pPr>
            <w:r w:rsidRPr="00E22DF8">
              <w:rPr>
                <w:b/>
                <w:sz w:val="22"/>
                <w:szCs w:val="22"/>
                <w:lang w:val="sr-Latn-ME"/>
              </w:rPr>
              <w:t>Rivaroksaban</w:t>
            </w:r>
            <w:r w:rsidRPr="00E22DF8">
              <w:rPr>
                <w:b/>
                <w:sz w:val="22"/>
                <w:szCs w:val="22"/>
                <w:vertAlign w:val="superscript"/>
                <w:lang w:val="sr-Latn-ME"/>
              </w:rPr>
              <w:t>a)</w:t>
            </w:r>
          </w:p>
          <w:p w:rsidR="00415885" w:rsidRPr="00E22DF8" w:rsidRDefault="00415885" w:rsidP="00415885">
            <w:pPr>
              <w:widowControl w:val="0"/>
              <w:autoSpaceDE w:val="0"/>
              <w:autoSpaceDN w:val="0"/>
              <w:spacing w:line="251" w:lineRule="exact"/>
              <w:ind w:left="425" w:right="411"/>
              <w:jc w:val="center"/>
              <w:rPr>
                <w:b/>
                <w:sz w:val="22"/>
                <w:szCs w:val="22"/>
                <w:lang w:val="sr-Latn-ME"/>
              </w:rPr>
            </w:pPr>
            <w:r w:rsidRPr="00E22DF8">
              <w:rPr>
                <w:b/>
                <w:sz w:val="22"/>
                <w:szCs w:val="22"/>
                <w:lang w:val="sr-Latn-ME"/>
              </w:rPr>
              <w:t>3, 6 ili 12 mjeseci N=4150</w:t>
            </w:r>
          </w:p>
        </w:tc>
        <w:tc>
          <w:tcPr>
            <w:tcW w:w="3021" w:type="dxa"/>
            <w:vAlign w:val="center"/>
          </w:tcPr>
          <w:p w:rsidR="00415885" w:rsidRPr="00E22DF8" w:rsidRDefault="00415885" w:rsidP="00415885">
            <w:pPr>
              <w:widowControl w:val="0"/>
              <w:autoSpaceDE w:val="0"/>
              <w:autoSpaceDN w:val="0"/>
              <w:spacing w:line="238" w:lineRule="exact"/>
              <w:ind w:left="147" w:right="137"/>
              <w:jc w:val="center"/>
              <w:rPr>
                <w:b/>
                <w:sz w:val="22"/>
                <w:szCs w:val="22"/>
                <w:lang w:val="sr-Latn-ME"/>
              </w:rPr>
            </w:pPr>
            <w:r w:rsidRPr="00E22DF8">
              <w:rPr>
                <w:b/>
                <w:sz w:val="22"/>
                <w:szCs w:val="22"/>
                <w:lang w:val="sr-Latn-ME"/>
              </w:rPr>
              <w:t>Enoksaparin/VKA</w:t>
            </w:r>
            <w:r w:rsidRPr="00E22DF8">
              <w:rPr>
                <w:b/>
                <w:sz w:val="22"/>
                <w:szCs w:val="22"/>
                <w:vertAlign w:val="superscript"/>
                <w:lang w:val="sr-Latn-ME"/>
              </w:rPr>
              <w:t>b)</w:t>
            </w:r>
          </w:p>
          <w:p w:rsidR="00FA243C" w:rsidRPr="00E22DF8" w:rsidRDefault="00415885" w:rsidP="00415885">
            <w:pPr>
              <w:widowControl w:val="0"/>
              <w:autoSpaceDE w:val="0"/>
              <w:autoSpaceDN w:val="0"/>
              <w:spacing w:line="251" w:lineRule="exact"/>
              <w:ind w:left="151" w:right="137"/>
              <w:jc w:val="center"/>
              <w:rPr>
                <w:b/>
                <w:sz w:val="22"/>
                <w:szCs w:val="22"/>
                <w:lang w:val="sr-Latn-ME"/>
              </w:rPr>
            </w:pPr>
            <w:r w:rsidRPr="00E22DF8">
              <w:rPr>
                <w:b/>
                <w:sz w:val="22"/>
                <w:szCs w:val="22"/>
                <w:lang w:val="sr-Latn-ME"/>
              </w:rPr>
              <w:t xml:space="preserve">3, 6 ili 12 mjeseci </w:t>
            </w:r>
          </w:p>
          <w:p w:rsidR="00415885" w:rsidRPr="00E22DF8" w:rsidRDefault="00415885" w:rsidP="00415885">
            <w:pPr>
              <w:widowControl w:val="0"/>
              <w:autoSpaceDE w:val="0"/>
              <w:autoSpaceDN w:val="0"/>
              <w:spacing w:line="251" w:lineRule="exact"/>
              <w:ind w:left="151" w:right="137"/>
              <w:jc w:val="center"/>
              <w:rPr>
                <w:b/>
                <w:sz w:val="22"/>
                <w:szCs w:val="22"/>
                <w:lang w:val="sr-Latn-ME"/>
              </w:rPr>
            </w:pPr>
            <w:r w:rsidRPr="00E22DF8">
              <w:rPr>
                <w:b/>
                <w:sz w:val="22"/>
                <w:szCs w:val="22"/>
                <w:lang w:val="sr-Latn-ME"/>
              </w:rPr>
              <w:t>N=4131</w:t>
            </w:r>
          </w:p>
        </w:tc>
      </w:tr>
      <w:tr w:rsidR="00415885" w:rsidRPr="00E22DF8" w:rsidTr="00415885">
        <w:tc>
          <w:tcPr>
            <w:tcW w:w="3021" w:type="dxa"/>
            <w:vAlign w:val="center"/>
          </w:tcPr>
          <w:p w:rsidR="00415885" w:rsidRPr="00E22DF8" w:rsidRDefault="00415885" w:rsidP="00415885">
            <w:pPr>
              <w:widowControl w:val="0"/>
              <w:autoSpaceDE w:val="0"/>
              <w:autoSpaceDN w:val="0"/>
              <w:spacing w:line="235" w:lineRule="exact"/>
              <w:ind w:left="9"/>
              <w:rPr>
                <w:sz w:val="22"/>
                <w:szCs w:val="22"/>
                <w:lang w:val="sr-Latn-ME"/>
              </w:rPr>
            </w:pPr>
            <w:r w:rsidRPr="00E22DF8">
              <w:rPr>
                <w:sz w:val="22"/>
                <w:szCs w:val="22"/>
                <w:lang w:val="sr-Latn-ME"/>
              </w:rPr>
              <w:t>Simptomatska rekurentna VTE*</w:t>
            </w:r>
          </w:p>
        </w:tc>
        <w:tc>
          <w:tcPr>
            <w:tcW w:w="3021" w:type="dxa"/>
            <w:vAlign w:val="center"/>
          </w:tcPr>
          <w:p w:rsidR="00415885" w:rsidRPr="00E22DF8" w:rsidRDefault="00415885" w:rsidP="00415885">
            <w:pPr>
              <w:widowControl w:val="0"/>
              <w:autoSpaceDE w:val="0"/>
              <w:autoSpaceDN w:val="0"/>
              <w:spacing w:line="226" w:lineRule="exact"/>
              <w:ind w:left="425" w:right="406"/>
              <w:jc w:val="center"/>
              <w:rPr>
                <w:sz w:val="22"/>
                <w:szCs w:val="22"/>
                <w:lang w:val="sr-Latn-ME"/>
              </w:rPr>
            </w:pPr>
            <w:r w:rsidRPr="00E22DF8">
              <w:rPr>
                <w:sz w:val="22"/>
                <w:szCs w:val="22"/>
                <w:lang w:val="sr-Latn-ME"/>
              </w:rPr>
              <w:t>86</w:t>
            </w:r>
          </w:p>
          <w:p w:rsidR="00415885" w:rsidRPr="00E22DF8" w:rsidRDefault="00415885" w:rsidP="00415885">
            <w:pPr>
              <w:widowControl w:val="0"/>
              <w:autoSpaceDE w:val="0"/>
              <w:autoSpaceDN w:val="0"/>
              <w:spacing w:line="224" w:lineRule="exact"/>
              <w:ind w:left="425" w:right="405"/>
              <w:jc w:val="center"/>
              <w:rPr>
                <w:sz w:val="22"/>
                <w:szCs w:val="22"/>
                <w:lang w:val="sr-Latn-ME"/>
              </w:rPr>
            </w:pPr>
            <w:r w:rsidRPr="00E22DF8">
              <w:rPr>
                <w:sz w:val="22"/>
                <w:szCs w:val="22"/>
                <w:lang w:val="sr-Latn-ME"/>
              </w:rPr>
              <w:t>(2,1%)</w:t>
            </w:r>
          </w:p>
        </w:tc>
        <w:tc>
          <w:tcPr>
            <w:tcW w:w="3021" w:type="dxa"/>
            <w:vAlign w:val="center"/>
          </w:tcPr>
          <w:p w:rsidR="00415885" w:rsidRPr="00E22DF8" w:rsidRDefault="00415885" w:rsidP="00415885">
            <w:pPr>
              <w:widowControl w:val="0"/>
              <w:autoSpaceDE w:val="0"/>
              <w:autoSpaceDN w:val="0"/>
              <w:spacing w:line="226" w:lineRule="exact"/>
              <w:ind w:left="156" w:right="137"/>
              <w:jc w:val="center"/>
              <w:rPr>
                <w:sz w:val="22"/>
                <w:szCs w:val="22"/>
                <w:lang w:val="sr-Latn-ME"/>
              </w:rPr>
            </w:pPr>
            <w:r w:rsidRPr="00E22DF8">
              <w:rPr>
                <w:sz w:val="22"/>
                <w:szCs w:val="22"/>
                <w:lang w:val="sr-Latn-ME"/>
              </w:rPr>
              <w:t>95</w:t>
            </w:r>
          </w:p>
          <w:p w:rsidR="00415885" w:rsidRPr="00E22DF8" w:rsidRDefault="00415885" w:rsidP="00415885">
            <w:pPr>
              <w:widowControl w:val="0"/>
              <w:autoSpaceDE w:val="0"/>
              <w:autoSpaceDN w:val="0"/>
              <w:spacing w:line="224" w:lineRule="exact"/>
              <w:ind w:left="157" w:right="137"/>
              <w:jc w:val="center"/>
              <w:rPr>
                <w:sz w:val="22"/>
                <w:szCs w:val="22"/>
                <w:lang w:val="sr-Latn-ME"/>
              </w:rPr>
            </w:pPr>
            <w:r w:rsidRPr="00E22DF8">
              <w:rPr>
                <w:sz w:val="22"/>
                <w:szCs w:val="22"/>
                <w:lang w:val="sr-Latn-ME"/>
              </w:rPr>
              <w:t>(2,3%)</w:t>
            </w:r>
          </w:p>
        </w:tc>
      </w:tr>
      <w:tr w:rsidR="00415885" w:rsidRPr="00E22DF8" w:rsidTr="00415885">
        <w:tc>
          <w:tcPr>
            <w:tcW w:w="3021" w:type="dxa"/>
            <w:vAlign w:val="center"/>
          </w:tcPr>
          <w:p w:rsidR="00415885" w:rsidRPr="00E22DF8" w:rsidRDefault="00415885"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PE</w:t>
            </w:r>
          </w:p>
        </w:tc>
        <w:tc>
          <w:tcPr>
            <w:tcW w:w="3021" w:type="dxa"/>
            <w:vAlign w:val="center"/>
          </w:tcPr>
          <w:p w:rsidR="00415885" w:rsidRPr="00E22DF8" w:rsidRDefault="00415885" w:rsidP="00415885">
            <w:pPr>
              <w:widowControl w:val="0"/>
              <w:autoSpaceDE w:val="0"/>
              <w:autoSpaceDN w:val="0"/>
              <w:spacing w:line="226" w:lineRule="exact"/>
              <w:ind w:left="425" w:right="406"/>
              <w:jc w:val="center"/>
              <w:rPr>
                <w:sz w:val="22"/>
                <w:szCs w:val="22"/>
                <w:lang w:val="sr-Latn-ME"/>
              </w:rPr>
            </w:pPr>
            <w:r w:rsidRPr="00E22DF8">
              <w:rPr>
                <w:sz w:val="22"/>
                <w:szCs w:val="22"/>
                <w:lang w:val="sr-Latn-ME"/>
              </w:rPr>
              <w:t>43</w:t>
            </w:r>
          </w:p>
          <w:p w:rsidR="00415885" w:rsidRPr="00E22DF8" w:rsidRDefault="00415885" w:rsidP="00415885">
            <w:pPr>
              <w:widowControl w:val="0"/>
              <w:autoSpaceDE w:val="0"/>
              <w:autoSpaceDN w:val="0"/>
              <w:spacing w:line="224" w:lineRule="exact"/>
              <w:ind w:left="425" w:right="405"/>
              <w:jc w:val="center"/>
              <w:rPr>
                <w:sz w:val="22"/>
                <w:szCs w:val="22"/>
                <w:lang w:val="sr-Latn-ME"/>
              </w:rPr>
            </w:pPr>
            <w:r w:rsidRPr="00E22DF8">
              <w:rPr>
                <w:sz w:val="22"/>
                <w:szCs w:val="22"/>
                <w:lang w:val="sr-Latn-ME"/>
              </w:rPr>
              <w:t>(1,0%)</w:t>
            </w:r>
          </w:p>
        </w:tc>
        <w:tc>
          <w:tcPr>
            <w:tcW w:w="3021" w:type="dxa"/>
            <w:vAlign w:val="center"/>
          </w:tcPr>
          <w:p w:rsidR="00415885" w:rsidRPr="00E22DF8" w:rsidRDefault="00415885" w:rsidP="00415885">
            <w:pPr>
              <w:widowControl w:val="0"/>
              <w:autoSpaceDE w:val="0"/>
              <w:autoSpaceDN w:val="0"/>
              <w:spacing w:line="226" w:lineRule="exact"/>
              <w:ind w:left="156" w:right="137"/>
              <w:jc w:val="center"/>
              <w:rPr>
                <w:sz w:val="22"/>
                <w:szCs w:val="22"/>
                <w:lang w:val="sr-Latn-ME"/>
              </w:rPr>
            </w:pPr>
            <w:r w:rsidRPr="00E22DF8">
              <w:rPr>
                <w:sz w:val="22"/>
                <w:szCs w:val="22"/>
                <w:lang w:val="sr-Latn-ME"/>
              </w:rPr>
              <w:t>38</w:t>
            </w:r>
          </w:p>
          <w:p w:rsidR="00415885" w:rsidRPr="00E22DF8" w:rsidRDefault="00415885" w:rsidP="00415885">
            <w:pPr>
              <w:widowControl w:val="0"/>
              <w:autoSpaceDE w:val="0"/>
              <w:autoSpaceDN w:val="0"/>
              <w:spacing w:line="224" w:lineRule="exact"/>
              <w:ind w:left="157" w:right="137"/>
              <w:jc w:val="center"/>
              <w:rPr>
                <w:sz w:val="22"/>
                <w:szCs w:val="22"/>
                <w:lang w:val="sr-Latn-ME"/>
              </w:rPr>
            </w:pPr>
            <w:r w:rsidRPr="00E22DF8">
              <w:rPr>
                <w:sz w:val="22"/>
                <w:szCs w:val="22"/>
                <w:lang w:val="sr-Latn-ME"/>
              </w:rPr>
              <w:t>(0,9%)</w:t>
            </w:r>
          </w:p>
        </w:tc>
      </w:tr>
      <w:tr w:rsidR="00415885" w:rsidRPr="00E22DF8" w:rsidTr="00415885">
        <w:tc>
          <w:tcPr>
            <w:tcW w:w="3021" w:type="dxa"/>
            <w:vAlign w:val="center"/>
          </w:tcPr>
          <w:p w:rsidR="00415885" w:rsidRPr="00E22DF8" w:rsidRDefault="00415885" w:rsidP="0064584A">
            <w:pPr>
              <w:widowControl w:val="0"/>
              <w:autoSpaceDE w:val="0"/>
              <w:autoSpaceDN w:val="0"/>
              <w:spacing w:line="230" w:lineRule="exact"/>
              <w:ind w:left="9"/>
              <w:jc w:val="right"/>
              <w:rPr>
                <w:sz w:val="22"/>
                <w:szCs w:val="22"/>
                <w:lang w:val="sr-Latn-ME"/>
              </w:rPr>
            </w:pPr>
            <w:r w:rsidRPr="00E22DF8">
              <w:rPr>
                <w:sz w:val="22"/>
                <w:szCs w:val="22"/>
                <w:lang w:val="sr-Latn-ME"/>
              </w:rPr>
              <w:t>Simptomatska rekurentna TDV</w:t>
            </w:r>
          </w:p>
        </w:tc>
        <w:tc>
          <w:tcPr>
            <w:tcW w:w="3021" w:type="dxa"/>
            <w:vAlign w:val="center"/>
          </w:tcPr>
          <w:p w:rsidR="00415885" w:rsidRPr="00E22DF8" w:rsidRDefault="00415885" w:rsidP="00415885">
            <w:pPr>
              <w:widowControl w:val="0"/>
              <w:autoSpaceDE w:val="0"/>
              <w:autoSpaceDN w:val="0"/>
              <w:spacing w:line="216" w:lineRule="exact"/>
              <w:ind w:left="425" w:right="406"/>
              <w:jc w:val="center"/>
              <w:rPr>
                <w:sz w:val="22"/>
                <w:szCs w:val="22"/>
                <w:lang w:val="sr-Latn-ME"/>
              </w:rPr>
            </w:pPr>
            <w:r w:rsidRPr="00E22DF8">
              <w:rPr>
                <w:sz w:val="22"/>
                <w:szCs w:val="22"/>
                <w:lang w:val="sr-Latn-ME"/>
              </w:rPr>
              <w:t>32</w:t>
            </w:r>
          </w:p>
          <w:p w:rsidR="00415885" w:rsidRPr="00E22DF8" w:rsidRDefault="00415885" w:rsidP="00415885">
            <w:pPr>
              <w:widowControl w:val="0"/>
              <w:autoSpaceDE w:val="0"/>
              <w:autoSpaceDN w:val="0"/>
              <w:spacing w:line="220" w:lineRule="exact"/>
              <w:ind w:left="425" w:right="405"/>
              <w:jc w:val="center"/>
              <w:rPr>
                <w:sz w:val="22"/>
                <w:szCs w:val="22"/>
                <w:lang w:val="sr-Latn-ME"/>
              </w:rPr>
            </w:pPr>
            <w:r w:rsidRPr="00E22DF8">
              <w:rPr>
                <w:sz w:val="22"/>
                <w:szCs w:val="22"/>
                <w:lang w:val="sr-Latn-ME"/>
              </w:rPr>
              <w:t>(0,8%)</w:t>
            </w:r>
          </w:p>
        </w:tc>
        <w:tc>
          <w:tcPr>
            <w:tcW w:w="3021" w:type="dxa"/>
            <w:vAlign w:val="center"/>
          </w:tcPr>
          <w:p w:rsidR="00415885" w:rsidRPr="00E22DF8" w:rsidRDefault="00415885" w:rsidP="00415885">
            <w:pPr>
              <w:widowControl w:val="0"/>
              <w:autoSpaceDE w:val="0"/>
              <w:autoSpaceDN w:val="0"/>
              <w:spacing w:line="216" w:lineRule="exact"/>
              <w:ind w:left="156" w:right="137"/>
              <w:jc w:val="center"/>
              <w:rPr>
                <w:sz w:val="22"/>
                <w:szCs w:val="22"/>
                <w:lang w:val="sr-Latn-ME"/>
              </w:rPr>
            </w:pPr>
            <w:r w:rsidRPr="00E22DF8">
              <w:rPr>
                <w:sz w:val="22"/>
                <w:szCs w:val="22"/>
                <w:lang w:val="sr-Latn-ME"/>
              </w:rPr>
              <w:t>45</w:t>
            </w:r>
          </w:p>
          <w:p w:rsidR="00415885" w:rsidRPr="00E22DF8" w:rsidRDefault="00415885" w:rsidP="00415885">
            <w:pPr>
              <w:widowControl w:val="0"/>
              <w:autoSpaceDE w:val="0"/>
              <w:autoSpaceDN w:val="0"/>
              <w:spacing w:line="220" w:lineRule="exact"/>
              <w:ind w:left="157" w:right="137"/>
              <w:jc w:val="center"/>
              <w:rPr>
                <w:sz w:val="22"/>
                <w:szCs w:val="22"/>
                <w:lang w:val="sr-Latn-ME"/>
              </w:rPr>
            </w:pPr>
            <w:r w:rsidRPr="00E22DF8">
              <w:rPr>
                <w:sz w:val="22"/>
                <w:szCs w:val="22"/>
                <w:lang w:val="sr-Latn-ME"/>
              </w:rPr>
              <w:t>(1,1%)</w:t>
            </w:r>
          </w:p>
        </w:tc>
      </w:tr>
      <w:tr w:rsidR="00415885" w:rsidRPr="00E22DF8" w:rsidTr="00415885">
        <w:tc>
          <w:tcPr>
            <w:tcW w:w="3021" w:type="dxa"/>
            <w:vAlign w:val="center"/>
          </w:tcPr>
          <w:p w:rsidR="00415885" w:rsidRPr="00E22DF8" w:rsidRDefault="00415885"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PE i TDV</w:t>
            </w:r>
          </w:p>
        </w:tc>
        <w:tc>
          <w:tcPr>
            <w:tcW w:w="3021" w:type="dxa"/>
            <w:vAlign w:val="center"/>
          </w:tcPr>
          <w:p w:rsidR="00415885" w:rsidRPr="00E22DF8" w:rsidRDefault="00415885" w:rsidP="00415885">
            <w:pPr>
              <w:widowControl w:val="0"/>
              <w:autoSpaceDE w:val="0"/>
              <w:autoSpaceDN w:val="0"/>
              <w:spacing w:line="226" w:lineRule="exact"/>
              <w:ind w:left="14"/>
              <w:jc w:val="center"/>
              <w:rPr>
                <w:sz w:val="22"/>
                <w:szCs w:val="22"/>
                <w:lang w:val="sr-Latn-ME"/>
              </w:rPr>
            </w:pPr>
            <w:r w:rsidRPr="00E22DF8">
              <w:rPr>
                <w:sz w:val="22"/>
                <w:szCs w:val="22"/>
                <w:lang w:val="sr-Latn-ME"/>
              </w:rPr>
              <w:t>1</w:t>
            </w:r>
          </w:p>
          <w:p w:rsidR="00415885" w:rsidRPr="00E22DF8" w:rsidRDefault="00415885" w:rsidP="00415885">
            <w:pPr>
              <w:widowControl w:val="0"/>
              <w:autoSpaceDE w:val="0"/>
              <w:autoSpaceDN w:val="0"/>
              <w:spacing w:line="224" w:lineRule="exact"/>
              <w:ind w:left="425" w:right="405"/>
              <w:jc w:val="center"/>
              <w:rPr>
                <w:sz w:val="22"/>
                <w:szCs w:val="22"/>
                <w:lang w:val="sr-Latn-ME"/>
              </w:rPr>
            </w:pPr>
            <w:r w:rsidRPr="00E22DF8">
              <w:rPr>
                <w:sz w:val="22"/>
                <w:szCs w:val="22"/>
                <w:lang w:val="sr-Latn-ME"/>
              </w:rPr>
              <w:t>(&lt;0,1%)</w:t>
            </w:r>
          </w:p>
        </w:tc>
        <w:tc>
          <w:tcPr>
            <w:tcW w:w="3021" w:type="dxa"/>
            <w:vAlign w:val="center"/>
          </w:tcPr>
          <w:p w:rsidR="00415885" w:rsidRPr="00E22DF8" w:rsidRDefault="00415885" w:rsidP="00415885">
            <w:pPr>
              <w:widowControl w:val="0"/>
              <w:autoSpaceDE w:val="0"/>
              <w:autoSpaceDN w:val="0"/>
              <w:spacing w:line="226" w:lineRule="exact"/>
              <w:ind w:left="14"/>
              <w:jc w:val="center"/>
              <w:rPr>
                <w:sz w:val="22"/>
                <w:szCs w:val="22"/>
                <w:lang w:val="sr-Latn-ME"/>
              </w:rPr>
            </w:pPr>
            <w:r w:rsidRPr="00E22DF8">
              <w:rPr>
                <w:sz w:val="22"/>
                <w:szCs w:val="22"/>
                <w:lang w:val="sr-Latn-ME"/>
              </w:rPr>
              <w:t>2</w:t>
            </w:r>
          </w:p>
          <w:p w:rsidR="00415885" w:rsidRPr="00E22DF8" w:rsidRDefault="00415885" w:rsidP="00415885">
            <w:pPr>
              <w:widowControl w:val="0"/>
              <w:autoSpaceDE w:val="0"/>
              <w:autoSpaceDN w:val="0"/>
              <w:spacing w:line="224" w:lineRule="exact"/>
              <w:ind w:left="157" w:right="137"/>
              <w:jc w:val="center"/>
              <w:rPr>
                <w:sz w:val="22"/>
                <w:szCs w:val="22"/>
                <w:lang w:val="sr-Latn-ME"/>
              </w:rPr>
            </w:pPr>
            <w:r w:rsidRPr="00E22DF8">
              <w:rPr>
                <w:sz w:val="22"/>
                <w:szCs w:val="22"/>
                <w:lang w:val="sr-Latn-ME"/>
              </w:rPr>
              <w:t>(&lt;0,1%)</w:t>
            </w:r>
          </w:p>
        </w:tc>
      </w:tr>
      <w:tr w:rsidR="00415885" w:rsidRPr="00E22DF8" w:rsidTr="00415885">
        <w:tc>
          <w:tcPr>
            <w:tcW w:w="3021" w:type="dxa"/>
            <w:vAlign w:val="center"/>
          </w:tcPr>
          <w:p w:rsidR="00415885" w:rsidRPr="00E22DF8" w:rsidRDefault="00415885" w:rsidP="0064584A">
            <w:pPr>
              <w:widowControl w:val="0"/>
              <w:autoSpaceDE w:val="0"/>
              <w:autoSpaceDN w:val="0"/>
              <w:spacing w:line="228" w:lineRule="auto"/>
              <w:ind w:left="9" w:right="154"/>
              <w:jc w:val="right"/>
              <w:rPr>
                <w:sz w:val="22"/>
                <w:szCs w:val="22"/>
                <w:lang w:val="sr-Latn-ME"/>
              </w:rPr>
            </w:pPr>
            <w:r w:rsidRPr="00E22DF8">
              <w:rPr>
                <w:sz w:val="22"/>
                <w:szCs w:val="22"/>
                <w:lang w:val="sr-Latn-ME"/>
              </w:rPr>
              <w:t>PE sa smrtnim ishodom/smrt pri kojoj se PE ne može isključiti</w:t>
            </w:r>
          </w:p>
        </w:tc>
        <w:tc>
          <w:tcPr>
            <w:tcW w:w="3021" w:type="dxa"/>
            <w:vAlign w:val="center"/>
          </w:tcPr>
          <w:p w:rsidR="00415885" w:rsidRPr="00E22DF8" w:rsidRDefault="00415885" w:rsidP="00415885">
            <w:pPr>
              <w:widowControl w:val="0"/>
              <w:autoSpaceDE w:val="0"/>
              <w:autoSpaceDN w:val="0"/>
              <w:spacing w:before="111"/>
              <w:ind w:left="425" w:right="406"/>
              <w:jc w:val="center"/>
              <w:rPr>
                <w:sz w:val="22"/>
                <w:szCs w:val="22"/>
                <w:lang w:val="sr-Latn-ME"/>
              </w:rPr>
            </w:pPr>
            <w:r w:rsidRPr="00E22DF8">
              <w:rPr>
                <w:sz w:val="22"/>
                <w:szCs w:val="22"/>
                <w:lang w:val="sr-Latn-ME"/>
              </w:rPr>
              <w:t>15</w:t>
            </w:r>
          </w:p>
          <w:p w:rsidR="00415885" w:rsidRPr="00E22DF8" w:rsidRDefault="00415885" w:rsidP="00415885">
            <w:pPr>
              <w:widowControl w:val="0"/>
              <w:autoSpaceDE w:val="0"/>
              <w:autoSpaceDN w:val="0"/>
              <w:spacing w:before="121" w:line="238" w:lineRule="exact"/>
              <w:ind w:left="425" w:right="405"/>
              <w:jc w:val="center"/>
              <w:rPr>
                <w:sz w:val="22"/>
                <w:szCs w:val="22"/>
                <w:lang w:val="sr-Latn-ME"/>
              </w:rPr>
            </w:pPr>
            <w:r w:rsidRPr="00E22DF8">
              <w:rPr>
                <w:sz w:val="22"/>
                <w:szCs w:val="22"/>
                <w:lang w:val="sr-Latn-ME"/>
              </w:rPr>
              <w:t>(0,4%)</w:t>
            </w:r>
          </w:p>
        </w:tc>
        <w:tc>
          <w:tcPr>
            <w:tcW w:w="3021" w:type="dxa"/>
            <w:vAlign w:val="center"/>
          </w:tcPr>
          <w:p w:rsidR="00415885" w:rsidRPr="00E22DF8" w:rsidRDefault="00415885" w:rsidP="00415885">
            <w:pPr>
              <w:widowControl w:val="0"/>
              <w:autoSpaceDE w:val="0"/>
              <w:autoSpaceDN w:val="0"/>
              <w:spacing w:before="111"/>
              <w:ind w:left="156" w:right="137"/>
              <w:jc w:val="center"/>
              <w:rPr>
                <w:sz w:val="22"/>
                <w:szCs w:val="22"/>
                <w:lang w:val="sr-Latn-ME"/>
              </w:rPr>
            </w:pPr>
            <w:r w:rsidRPr="00E22DF8">
              <w:rPr>
                <w:sz w:val="22"/>
                <w:szCs w:val="22"/>
                <w:lang w:val="sr-Latn-ME"/>
              </w:rPr>
              <w:t>13</w:t>
            </w:r>
          </w:p>
          <w:p w:rsidR="00415885" w:rsidRPr="00E22DF8" w:rsidRDefault="00415885" w:rsidP="00415885">
            <w:pPr>
              <w:widowControl w:val="0"/>
              <w:autoSpaceDE w:val="0"/>
              <w:autoSpaceDN w:val="0"/>
              <w:spacing w:before="121" w:line="238" w:lineRule="exact"/>
              <w:ind w:left="157" w:right="137"/>
              <w:jc w:val="center"/>
              <w:rPr>
                <w:sz w:val="22"/>
                <w:szCs w:val="22"/>
                <w:lang w:val="sr-Latn-ME"/>
              </w:rPr>
            </w:pPr>
            <w:r w:rsidRPr="00E22DF8">
              <w:rPr>
                <w:sz w:val="22"/>
                <w:szCs w:val="22"/>
                <w:lang w:val="sr-Latn-ME"/>
              </w:rPr>
              <w:t>(0,3%)</w:t>
            </w:r>
          </w:p>
        </w:tc>
      </w:tr>
      <w:tr w:rsidR="00AE6B1F" w:rsidRPr="00E22DF8" w:rsidTr="00415885">
        <w:tc>
          <w:tcPr>
            <w:tcW w:w="3021" w:type="dxa"/>
            <w:vAlign w:val="center"/>
          </w:tcPr>
          <w:p w:rsidR="00AE6B1F" w:rsidRPr="00E22DF8" w:rsidRDefault="00FA243C" w:rsidP="00FA243C">
            <w:pPr>
              <w:widowControl w:val="0"/>
              <w:tabs>
                <w:tab w:val="left" w:pos="1070"/>
                <w:tab w:val="left" w:pos="1468"/>
                <w:tab w:val="left" w:pos="2476"/>
              </w:tabs>
              <w:autoSpaceDE w:val="0"/>
              <w:autoSpaceDN w:val="0"/>
              <w:spacing w:before="5" w:line="223" w:lineRule="auto"/>
              <w:ind w:left="9" w:right="88"/>
              <w:rPr>
                <w:sz w:val="22"/>
                <w:szCs w:val="22"/>
                <w:lang w:val="sr-Latn-ME"/>
              </w:rPr>
            </w:pPr>
            <w:r w:rsidRPr="00E22DF8">
              <w:rPr>
                <w:sz w:val="22"/>
                <w:szCs w:val="22"/>
                <w:lang w:val="sr-Latn-ME"/>
              </w:rPr>
              <w:t xml:space="preserve">Velika </w:t>
            </w:r>
            <w:r w:rsidR="00AE6B1F" w:rsidRPr="00E22DF8">
              <w:rPr>
                <w:sz w:val="22"/>
                <w:szCs w:val="22"/>
                <w:lang w:val="sr-Latn-ME"/>
              </w:rPr>
              <w:t xml:space="preserve">ili klinički značajna </w:t>
            </w:r>
            <w:r w:rsidRPr="00E22DF8">
              <w:rPr>
                <w:sz w:val="22"/>
                <w:szCs w:val="22"/>
                <w:lang w:val="sr-Latn-ME"/>
              </w:rPr>
              <w:t xml:space="preserve">manja </w:t>
            </w:r>
            <w:r w:rsidR="00AE6B1F" w:rsidRPr="00E22DF8">
              <w:rPr>
                <w:sz w:val="22"/>
                <w:szCs w:val="22"/>
                <w:lang w:val="sr-Latn-ME"/>
              </w:rPr>
              <w:t>krvarenja</w:t>
            </w:r>
          </w:p>
        </w:tc>
        <w:tc>
          <w:tcPr>
            <w:tcW w:w="3021" w:type="dxa"/>
            <w:vAlign w:val="center"/>
          </w:tcPr>
          <w:p w:rsidR="00AE6B1F" w:rsidRPr="00E22DF8" w:rsidRDefault="00AE6B1F" w:rsidP="00AE6B1F">
            <w:pPr>
              <w:widowControl w:val="0"/>
              <w:autoSpaceDE w:val="0"/>
              <w:autoSpaceDN w:val="0"/>
              <w:spacing w:before="111"/>
              <w:ind w:left="425" w:right="411"/>
              <w:jc w:val="center"/>
              <w:rPr>
                <w:sz w:val="22"/>
                <w:szCs w:val="22"/>
                <w:lang w:val="sr-Latn-ME"/>
              </w:rPr>
            </w:pPr>
            <w:r w:rsidRPr="00E22DF8">
              <w:rPr>
                <w:sz w:val="22"/>
                <w:szCs w:val="22"/>
                <w:lang w:val="sr-Latn-ME"/>
              </w:rPr>
              <w:t>388</w:t>
            </w:r>
          </w:p>
          <w:p w:rsidR="00AE6B1F" w:rsidRPr="00E22DF8" w:rsidRDefault="00AE6B1F" w:rsidP="00AE6B1F">
            <w:pPr>
              <w:widowControl w:val="0"/>
              <w:autoSpaceDE w:val="0"/>
              <w:autoSpaceDN w:val="0"/>
              <w:spacing w:before="112" w:line="243" w:lineRule="exact"/>
              <w:ind w:left="425" w:right="405"/>
              <w:jc w:val="center"/>
              <w:rPr>
                <w:sz w:val="22"/>
                <w:szCs w:val="22"/>
                <w:lang w:val="sr-Latn-ME"/>
              </w:rPr>
            </w:pPr>
            <w:r w:rsidRPr="00E22DF8">
              <w:rPr>
                <w:sz w:val="22"/>
                <w:szCs w:val="22"/>
                <w:lang w:val="sr-Latn-ME"/>
              </w:rPr>
              <w:t>(9,4%)</w:t>
            </w:r>
          </w:p>
        </w:tc>
        <w:tc>
          <w:tcPr>
            <w:tcW w:w="3021" w:type="dxa"/>
            <w:vAlign w:val="center"/>
          </w:tcPr>
          <w:p w:rsidR="00AE6B1F" w:rsidRPr="00E22DF8" w:rsidRDefault="00AE6B1F" w:rsidP="00AE6B1F">
            <w:pPr>
              <w:widowControl w:val="0"/>
              <w:autoSpaceDE w:val="0"/>
              <w:autoSpaceDN w:val="0"/>
              <w:spacing w:before="111"/>
              <w:ind w:left="151" w:right="137"/>
              <w:jc w:val="center"/>
              <w:rPr>
                <w:sz w:val="22"/>
                <w:szCs w:val="22"/>
                <w:lang w:val="sr-Latn-ME"/>
              </w:rPr>
            </w:pPr>
            <w:r w:rsidRPr="00E22DF8">
              <w:rPr>
                <w:sz w:val="22"/>
                <w:szCs w:val="22"/>
                <w:lang w:val="sr-Latn-ME"/>
              </w:rPr>
              <w:t>412</w:t>
            </w:r>
          </w:p>
          <w:p w:rsidR="00AE6B1F" w:rsidRPr="00E22DF8" w:rsidRDefault="00AE6B1F" w:rsidP="00AE6B1F">
            <w:pPr>
              <w:widowControl w:val="0"/>
              <w:autoSpaceDE w:val="0"/>
              <w:autoSpaceDN w:val="0"/>
              <w:spacing w:before="112" w:line="243" w:lineRule="exact"/>
              <w:ind w:left="152" w:right="137"/>
              <w:jc w:val="center"/>
              <w:rPr>
                <w:sz w:val="22"/>
                <w:szCs w:val="22"/>
                <w:lang w:val="sr-Latn-ME"/>
              </w:rPr>
            </w:pPr>
            <w:r w:rsidRPr="00E22DF8">
              <w:rPr>
                <w:sz w:val="22"/>
                <w:szCs w:val="22"/>
                <w:lang w:val="sr-Latn-ME"/>
              </w:rPr>
              <w:t>(10,0%)</w:t>
            </w:r>
          </w:p>
        </w:tc>
      </w:tr>
      <w:tr w:rsidR="00415885" w:rsidRPr="00E22DF8" w:rsidTr="00415885">
        <w:tc>
          <w:tcPr>
            <w:tcW w:w="3021" w:type="dxa"/>
            <w:vAlign w:val="center"/>
          </w:tcPr>
          <w:p w:rsidR="00415885" w:rsidRPr="00E22DF8" w:rsidRDefault="00415885" w:rsidP="00FA243C">
            <w:pPr>
              <w:widowControl w:val="0"/>
              <w:autoSpaceDE w:val="0"/>
              <w:autoSpaceDN w:val="0"/>
              <w:spacing w:line="235" w:lineRule="exact"/>
              <w:ind w:left="9"/>
              <w:rPr>
                <w:sz w:val="22"/>
                <w:szCs w:val="22"/>
                <w:lang w:val="sr-Latn-ME"/>
              </w:rPr>
            </w:pPr>
            <w:r w:rsidRPr="00E22DF8">
              <w:rPr>
                <w:sz w:val="22"/>
                <w:szCs w:val="22"/>
                <w:lang w:val="sr-Latn-ME"/>
              </w:rPr>
              <w:t xml:space="preserve">Događaji </w:t>
            </w:r>
            <w:r w:rsidR="00FA243C" w:rsidRPr="00E22DF8">
              <w:rPr>
                <w:sz w:val="22"/>
                <w:szCs w:val="22"/>
                <w:lang w:val="sr-Latn-ME"/>
              </w:rPr>
              <w:t xml:space="preserve">velikog </w:t>
            </w:r>
            <w:r w:rsidRPr="00E22DF8">
              <w:rPr>
                <w:sz w:val="22"/>
                <w:szCs w:val="22"/>
                <w:lang w:val="sr-Latn-ME"/>
              </w:rPr>
              <w:t>krvarenja</w:t>
            </w:r>
          </w:p>
        </w:tc>
        <w:tc>
          <w:tcPr>
            <w:tcW w:w="3021" w:type="dxa"/>
            <w:vAlign w:val="center"/>
          </w:tcPr>
          <w:p w:rsidR="00415885" w:rsidRPr="00E22DF8" w:rsidRDefault="00415885" w:rsidP="00415885">
            <w:pPr>
              <w:widowControl w:val="0"/>
              <w:autoSpaceDE w:val="0"/>
              <w:autoSpaceDN w:val="0"/>
              <w:spacing w:line="226" w:lineRule="exact"/>
              <w:ind w:left="425" w:right="406"/>
              <w:jc w:val="center"/>
              <w:rPr>
                <w:sz w:val="22"/>
                <w:szCs w:val="22"/>
                <w:lang w:val="sr-Latn-ME"/>
              </w:rPr>
            </w:pPr>
            <w:r w:rsidRPr="00E22DF8">
              <w:rPr>
                <w:sz w:val="22"/>
                <w:szCs w:val="22"/>
                <w:lang w:val="sr-Latn-ME"/>
              </w:rPr>
              <w:t>40</w:t>
            </w:r>
          </w:p>
          <w:p w:rsidR="00415885" w:rsidRPr="00E22DF8" w:rsidRDefault="00415885" w:rsidP="00415885">
            <w:pPr>
              <w:widowControl w:val="0"/>
              <w:autoSpaceDE w:val="0"/>
              <w:autoSpaceDN w:val="0"/>
              <w:spacing w:line="224" w:lineRule="exact"/>
              <w:ind w:left="425" w:right="405"/>
              <w:jc w:val="center"/>
              <w:rPr>
                <w:sz w:val="22"/>
                <w:szCs w:val="22"/>
                <w:lang w:val="sr-Latn-ME"/>
              </w:rPr>
            </w:pPr>
            <w:r w:rsidRPr="00E22DF8">
              <w:rPr>
                <w:sz w:val="22"/>
                <w:szCs w:val="22"/>
                <w:lang w:val="sr-Latn-ME"/>
              </w:rPr>
              <w:t>(1,0%)</w:t>
            </w:r>
          </w:p>
        </w:tc>
        <w:tc>
          <w:tcPr>
            <w:tcW w:w="3021" w:type="dxa"/>
            <w:vAlign w:val="center"/>
          </w:tcPr>
          <w:p w:rsidR="00415885" w:rsidRPr="00E22DF8" w:rsidRDefault="00415885" w:rsidP="00415885">
            <w:pPr>
              <w:widowControl w:val="0"/>
              <w:autoSpaceDE w:val="0"/>
              <w:autoSpaceDN w:val="0"/>
              <w:spacing w:line="226" w:lineRule="exact"/>
              <w:ind w:left="156" w:right="137"/>
              <w:jc w:val="center"/>
              <w:rPr>
                <w:sz w:val="22"/>
                <w:szCs w:val="22"/>
                <w:lang w:val="sr-Latn-ME"/>
              </w:rPr>
            </w:pPr>
            <w:r w:rsidRPr="00E22DF8">
              <w:rPr>
                <w:sz w:val="22"/>
                <w:szCs w:val="22"/>
                <w:lang w:val="sr-Latn-ME"/>
              </w:rPr>
              <w:t>72</w:t>
            </w:r>
          </w:p>
          <w:p w:rsidR="00415885" w:rsidRPr="00E22DF8" w:rsidRDefault="00415885" w:rsidP="00415885">
            <w:pPr>
              <w:widowControl w:val="0"/>
              <w:autoSpaceDE w:val="0"/>
              <w:autoSpaceDN w:val="0"/>
              <w:spacing w:line="224" w:lineRule="exact"/>
              <w:ind w:left="157" w:right="137"/>
              <w:jc w:val="center"/>
              <w:rPr>
                <w:sz w:val="22"/>
                <w:szCs w:val="22"/>
                <w:lang w:val="sr-Latn-ME"/>
              </w:rPr>
            </w:pPr>
            <w:r w:rsidRPr="00E22DF8">
              <w:rPr>
                <w:sz w:val="22"/>
                <w:szCs w:val="22"/>
                <w:lang w:val="sr-Latn-ME"/>
              </w:rPr>
              <w:t>(1,7%)</w:t>
            </w:r>
          </w:p>
        </w:tc>
      </w:tr>
    </w:tbl>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a)</w:t>
      </w:r>
      <w:r w:rsidRPr="00E22DF8">
        <w:rPr>
          <w:bCs/>
          <w:sz w:val="22"/>
          <w:szCs w:val="22"/>
          <w:lang w:val="sr-Latn-ME"/>
        </w:rPr>
        <w:tab/>
        <w:t>Rivaroksaban u dozi od 15 mg dva puta dnevno tokom 3 ned</w:t>
      </w:r>
      <w:r w:rsidR="002B341D" w:rsidRPr="00E22DF8">
        <w:rPr>
          <w:bCs/>
          <w:sz w:val="22"/>
          <w:szCs w:val="22"/>
          <w:lang w:val="sr-Latn-ME"/>
        </w:rPr>
        <w:t>j</w:t>
      </w:r>
      <w:r w:rsidRPr="00E22DF8">
        <w:rPr>
          <w:bCs/>
          <w:sz w:val="22"/>
          <w:szCs w:val="22"/>
          <w:lang w:val="sr-Latn-ME"/>
        </w:rPr>
        <w:t>elje, nakon toga doza od 20 mg jednom dnevno</w:t>
      </w:r>
      <w:r w:rsidR="00FA243C" w:rsidRPr="00E22DF8">
        <w:rPr>
          <w:bCs/>
          <w:sz w:val="22"/>
          <w:szCs w:val="22"/>
          <w:lang w:val="sr-Latn-ME"/>
        </w:rPr>
        <w:t>.</w:t>
      </w: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b)</w:t>
      </w:r>
      <w:r w:rsidRPr="00E22DF8">
        <w:rPr>
          <w:bCs/>
          <w:sz w:val="22"/>
          <w:szCs w:val="22"/>
          <w:lang w:val="sr-Latn-ME"/>
        </w:rPr>
        <w:tab/>
        <w:t>Enoksaparin tokom najmanje 5 dana, preklapa se i nastavlja sa VKA</w:t>
      </w:r>
      <w:r w:rsidR="00FA243C" w:rsidRPr="00E22DF8">
        <w:rPr>
          <w:bCs/>
          <w:sz w:val="22"/>
          <w:szCs w:val="22"/>
          <w:lang w:val="sr-Latn-ME"/>
        </w:rPr>
        <w:t>.</w:t>
      </w:r>
    </w:p>
    <w:p w:rsidR="00415885" w:rsidRPr="00E22DF8" w:rsidRDefault="002B341D" w:rsidP="00415885">
      <w:pPr>
        <w:tabs>
          <w:tab w:val="left" w:pos="540"/>
          <w:tab w:val="left" w:pos="569"/>
        </w:tabs>
        <w:jc w:val="both"/>
        <w:rPr>
          <w:bCs/>
          <w:sz w:val="22"/>
          <w:szCs w:val="22"/>
          <w:lang w:val="sr-Latn-ME"/>
        </w:rPr>
      </w:pPr>
      <w:r w:rsidRPr="00E22DF8">
        <w:rPr>
          <w:bCs/>
          <w:sz w:val="22"/>
          <w:szCs w:val="22"/>
          <w:lang w:val="sr-Latn-ME"/>
        </w:rPr>
        <w:t>*</w:t>
      </w:r>
      <w:r w:rsidRPr="00E22DF8">
        <w:rPr>
          <w:bCs/>
          <w:sz w:val="22"/>
          <w:szCs w:val="22"/>
          <w:lang w:val="sr-Latn-ME"/>
        </w:rPr>
        <w:tab/>
        <w:t>p &lt; 0,0001 (ne</w:t>
      </w:r>
      <w:r w:rsidR="00415885" w:rsidRPr="00E22DF8">
        <w:rPr>
          <w:bCs/>
          <w:sz w:val="22"/>
          <w:szCs w:val="22"/>
          <w:lang w:val="sr-Latn-ME"/>
        </w:rPr>
        <w:t>inferiornost u odnosu na unaprijed definisani HR 1,75); HR: 0,886 (0,661 – 1,186)</w:t>
      </w:r>
    </w:p>
    <w:p w:rsidR="00A539BF" w:rsidRPr="00E22DF8" w:rsidRDefault="00A539BF" w:rsidP="00480FB1">
      <w:pPr>
        <w:tabs>
          <w:tab w:val="left" w:pos="540"/>
          <w:tab w:val="left" w:pos="569"/>
        </w:tabs>
        <w:rPr>
          <w:b/>
          <w:bCs/>
          <w:sz w:val="22"/>
          <w:szCs w:val="22"/>
          <w:lang w:val="sr-Latn-ME"/>
        </w:rPr>
      </w:pP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 xml:space="preserve">Unaprijed definisana ukupna klinička korist (primarni ishod efikasnosti plus događaji </w:t>
      </w:r>
      <w:r w:rsidR="00FA243C" w:rsidRPr="00E22DF8">
        <w:rPr>
          <w:bCs/>
          <w:sz w:val="22"/>
          <w:szCs w:val="22"/>
          <w:lang w:val="sr-Latn-ME"/>
        </w:rPr>
        <w:t xml:space="preserve">velikog </w:t>
      </w:r>
      <w:r w:rsidRPr="00E22DF8">
        <w:rPr>
          <w:bCs/>
          <w:sz w:val="22"/>
          <w:szCs w:val="22"/>
          <w:lang w:val="sr-Latn-ME"/>
        </w:rPr>
        <w:t xml:space="preserve">krvarenja) objedinjene analize prijavljena je uz HR 0,771 </w:t>
      </w:r>
      <w:r w:rsidR="00FA243C" w:rsidRPr="00E22DF8">
        <w:rPr>
          <w:bCs/>
          <w:sz w:val="22"/>
          <w:szCs w:val="22"/>
          <w:lang w:val="sr-Latn-ME"/>
        </w:rPr>
        <w:t>(</w:t>
      </w:r>
      <w:r w:rsidRPr="00E22DF8">
        <w:rPr>
          <w:bCs/>
          <w:sz w:val="22"/>
          <w:szCs w:val="22"/>
          <w:lang w:val="sr-Latn-ME"/>
        </w:rPr>
        <w:t>(95% CI: 0,614 – 0,967)</w:t>
      </w:r>
      <w:r w:rsidR="00FA243C" w:rsidRPr="00E22DF8">
        <w:rPr>
          <w:bCs/>
          <w:sz w:val="22"/>
          <w:szCs w:val="22"/>
          <w:lang w:val="sr-Latn-ME"/>
        </w:rPr>
        <w:t>,</w:t>
      </w:r>
      <w:r w:rsidRPr="00E22DF8">
        <w:rPr>
          <w:bCs/>
          <w:sz w:val="22"/>
          <w:szCs w:val="22"/>
          <w:lang w:val="sr-Latn-ME"/>
        </w:rPr>
        <w:t xml:space="preserve"> nominalna p vrijednost p=0,0244).</w:t>
      </w:r>
    </w:p>
    <w:p w:rsidR="00415885" w:rsidRPr="00E22DF8" w:rsidRDefault="00415885" w:rsidP="00415885">
      <w:pPr>
        <w:tabs>
          <w:tab w:val="left" w:pos="540"/>
          <w:tab w:val="left" w:pos="569"/>
        </w:tabs>
        <w:jc w:val="both"/>
        <w:rPr>
          <w:bCs/>
          <w:sz w:val="22"/>
          <w:szCs w:val="22"/>
          <w:lang w:val="sr-Latn-ME"/>
        </w:rPr>
      </w:pPr>
    </w:p>
    <w:p w:rsidR="00415885" w:rsidRPr="00E22DF8" w:rsidRDefault="00415885" w:rsidP="00415885">
      <w:pPr>
        <w:tabs>
          <w:tab w:val="left" w:pos="540"/>
          <w:tab w:val="left" w:pos="569"/>
        </w:tabs>
        <w:jc w:val="both"/>
        <w:rPr>
          <w:bCs/>
          <w:sz w:val="22"/>
          <w:szCs w:val="22"/>
          <w:lang w:val="sr-Latn-ME"/>
        </w:rPr>
      </w:pPr>
      <w:r w:rsidRPr="00E22DF8">
        <w:rPr>
          <w:bCs/>
          <w:sz w:val="22"/>
          <w:szCs w:val="22"/>
          <w:lang w:val="sr-Latn-ME"/>
        </w:rPr>
        <w:t xml:space="preserve">U </w:t>
      </w:r>
      <w:r w:rsidRPr="00E22DF8">
        <w:rPr>
          <w:bCs/>
          <w:i/>
          <w:sz w:val="22"/>
          <w:szCs w:val="22"/>
          <w:lang w:val="sr-Latn-ME"/>
        </w:rPr>
        <w:t>Einstein Extension</w:t>
      </w:r>
      <w:r w:rsidRPr="00E22DF8">
        <w:rPr>
          <w:bCs/>
          <w:sz w:val="22"/>
          <w:szCs w:val="22"/>
          <w:lang w:val="sr-Latn-ME"/>
        </w:rPr>
        <w:t xml:space="preserve"> studiji (vidjeti Tabelu 8), rivaroksaban se pokazao superiornim u odnosu na placebo za primarne i sekundarne ishode efikasnosti. Za primarni ishod bezbjednosti (događaji </w:t>
      </w:r>
      <w:r w:rsidR="00A105E8" w:rsidRPr="00E22DF8">
        <w:rPr>
          <w:bCs/>
          <w:sz w:val="22"/>
          <w:szCs w:val="22"/>
          <w:lang w:val="sr-Latn-ME"/>
        </w:rPr>
        <w:t xml:space="preserve">velikog </w:t>
      </w:r>
      <w:r w:rsidRPr="00E22DF8">
        <w:rPr>
          <w:bCs/>
          <w:sz w:val="22"/>
          <w:szCs w:val="22"/>
          <w:lang w:val="sr-Latn-ME"/>
        </w:rPr>
        <w:t>krvarenja) nije postojala značajno brojno veća stopa učestalosti za pacijente na terapiji rivaroksabanom u dozi od 20 mg jednom dnevno, u poređenju sa placebom. Sekundarni ishod bezbjednosti (</w:t>
      </w:r>
      <w:r w:rsidR="00A105E8" w:rsidRPr="00E22DF8">
        <w:rPr>
          <w:bCs/>
          <w:sz w:val="22"/>
          <w:szCs w:val="22"/>
          <w:lang w:val="sr-Latn-ME"/>
        </w:rPr>
        <w:t xml:space="preserve">velika </w:t>
      </w:r>
      <w:r w:rsidRPr="00E22DF8">
        <w:rPr>
          <w:bCs/>
          <w:sz w:val="22"/>
          <w:szCs w:val="22"/>
          <w:lang w:val="sr-Latn-ME"/>
        </w:rPr>
        <w:t xml:space="preserve">i klinički značajna </w:t>
      </w:r>
      <w:r w:rsidR="00A105E8" w:rsidRPr="00E22DF8">
        <w:rPr>
          <w:bCs/>
          <w:sz w:val="22"/>
          <w:szCs w:val="22"/>
          <w:lang w:val="sr-Latn-ME"/>
        </w:rPr>
        <w:t xml:space="preserve">manja </w:t>
      </w:r>
      <w:r w:rsidRPr="00E22DF8">
        <w:rPr>
          <w:bCs/>
          <w:sz w:val="22"/>
          <w:szCs w:val="22"/>
          <w:lang w:val="sr-Latn-ME"/>
        </w:rPr>
        <w:t>krvarenja) pokazao je veće stope za pacijente na terapiji rivaroksabanom u dozi od 20 mg jednom dnevno u poređenju sa placebom.</w:t>
      </w:r>
    </w:p>
    <w:p w:rsidR="00415885" w:rsidRPr="00E22DF8" w:rsidRDefault="00415885" w:rsidP="00415885">
      <w:pPr>
        <w:tabs>
          <w:tab w:val="left" w:pos="540"/>
          <w:tab w:val="left" w:pos="569"/>
        </w:tabs>
        <w:jc w:val="both"/>
        <w:rPr>
          <w:bCs/>
          <w:sz w:val="22"/>
          <w:szCs w:val="22"/>
          <w:lang w:val="sr-Latn-ME"/>
        </w:rPr>
      </w:pPr>
    </w:p>
    <w:p w:rsidR="00415885" w:rsidRPr="00E22DF8" w:rsidRDefault="00415885" w:rsidP="00415885">
      <w:pPr>
        <w:tabs>
          <w:tab w:val="left" w:pos="540"/>
          <w:tab w:val="left" w:pos="569"/>
        </w:tabs>
        <w:rPr>
          <w:b/>
          <w:bCs/>
          <w:i/>
          <w:sz w:val="22"/>
          <w:szCs w:val="22"/>
          <w:lang w:val="sr-Latn-ME"/>
        </w:rPr>
      </w:pPr>
      <w:r w:rsidRPr="00E22DF8">
        <w:rPr>
          <w:b/>
          <w:bCs/>
          <w:sz w:val="22"/>
          <w:szCs w:val="22"/>
          <w:lang w:val="sr-Latn-ME"/>
        </w:rPr>
        <w:t xml:space="preserve">Tabela 8: Rezultati efikasnosti i bezbjednosti iz studije </w:t>
      </w:r>
      <w:r w:rsidR="00B82AE0" w:rsidRPr="00E22DF8">
        <w:rPr>
          <w:b/>
          <w:bCs/>
          <w:sz w:val="22"/>
          <w:szCs w:val="22"/>
          <w:lang w:val="sr-Latn-ME"/>
        </w:rPr>
        <w:t xml:space="preserve">faze III </w:t>
      </w:r>
      <w:r w:rsidRPr="00E22DF8">
        <w:rPr>
          <w:b/>
          <w:bCs/>
          <w:i/>
          <w:sz w:val="22"/>
          <w:szCs w:val="22"/>
          <w:lang w:val="sr-Latn-ME"/>
        </w:rPr>
        <w:t>Einstein Extension</w:t>
      </w:r>
    </w:p>
    <w:tbl>
      <w:tblPr>
        <w:tblStyle w:val="TableGrid"/>
        <w:tblW w:w="0" w:type="auto"/>
        <w:tblLook w:val="04A0" w:firstRow="1" w:lastRow="0" w:firstColumn="1" w:lastColumn="0" w:noHBand="0" w:noVBand="1"/>
      </w:tblPr>
      <w:tblGrid>
        <w:gridCol w:w="3021"/>
        <w:gridCol w:w="3021"/>
        <w:gridCol w:w="3021"/>
      </w:tblGrid>
      <w:tr w:rsidR="001A3563" w:rsidRPr="00E22DF8" w:rsidTr="00A97FE6">
        <w:tc>
          <w:tcPr>
            <w:tcW w:w="3021" w:type="dxa"/>
          </w:tcPr>
          <w:p w:rsidR="001A3563" w:rsidRPr="00E22DF8" w:rsidRDefault="001A3563" w:rsidP="001A3563">
            <w:pPr>
              <w:widowControl w:val="0"/>
              <w:autoSpaceDE w:val="0"/>
              <w:autoSpaceDN w:val="0"/>
              <w:spacing w:before="111"/>
              <w:ind w:left="9"/>
              <w:rPr>
                <w:b/>
                <w:sz w:val="22"/>
                <w:szCs w:val="22"/>
                <w:lang w:val="sr-Latn-ME"/>
              </w:rPr>
            </w:pPr>
            <w:r w:rsidRPr="00E22DF8">
              <w:rPr>
                <w:b/>
                <w:sz w:val="22"/>
                <w:szCs w:val="22"/>
                <w:lang w:val="sr-Latn-ME"/>
              </w:rPr>
              <w:t>Populacija uključena u studiju</w:t>
            </w:r>
          </w:p>
        </w:tc>
        <w:tc>
          <w:tcPr>
            <w:tcW w:w="6042" w:type="dxa"/>
            <w:gridSpan w:val="2"/>
          </w:tcPr>
          <w:p w:rsidR="001A3563" w:rsidRPr="00E22DF8" w:rsidRDefault="001A3563" w:rsidP="001A3563">
            <w:pPr>
              <w:widowControl w:val="0"/>
              <w:autoSpaceDE w:val="0"/>
              <w:autoSpaceDN w:val="0"/>
              <w:spacing w:line="232" w:lineRule="auto"/>
              <w:ind w:left="9"/>
              <w:rPr>
                <w:b/>
                <w:sz w:val="22"/>
                <w:szCs w:val="22"/>
                <w:lang w:val="sr-Latn-ME"/>
              </w:rPr>
            </w:pPr>
            <w:r w:rsidRPr="00E22DF8">
              <w:rPr>
                <w:b/>
                <w:sz w:val="22"/>
                <w:szCs w:val="22"/>
                <w:lang w:val="sr-Latn-ME"/>
              </w:rPr>
              <w:t>1197 pacijenata koji su nastavili terapiju i prevenciju rekurentne venske tromboembolije</w:t>
            </w:r>
          </w:p>
        </w:tc>
      </w:tr>
      <w:tr w:rsidR="001A3563" w:rsidRPr="00E22DF8" w:rsidTr="00A97FE6">
        <w:tc>
          <w:tcPr>
            <w:tcW w:w="3021" w:type="dxa"/>
            <w:vAlign w:val="center"/>
          </w:tcPr>
          <w:p w:rsidR="001A3563" w:rsidRPr="00E22DF8" w:rsidRDefault="001A3563" w:rsidP="00A97FE6">
            <w:pPr>
              <w:widowControl w:val="0"/>
              <w:autoSpaceDE w:val="0"/>
              <w:autoSpaceDN w:val="0"/>
              <w:rPr>
                <w:b/>
                <w:sz w:val="22"/>
                <w:szCs w:val="22"/>
                <w:lang w:val="sr-Latn-ME"/>
              </w:rPr>
            </w:pPr>
            <w:r w:rsidRPr="00E22DF8">
              <w:rPr>
                <w:b/>
                <w:sz w:val="22"/>
                <w:szCs w:val="22"/>
                <w:lang w:val="sr-Latn-ME"/>
              </w:rPr>
              <w:t>Terapijska doza i trajanje liječenja</w:t>
            </w:r>
          </w:p>
        </w:tc>
        <w:tc>
          <w:tcPr>
            <w:tcW w:w="3021" w:type="dxa"/>
            <w:vAlign w:val="center"/>
          </w:tcPr>
          <w:p w:rsidR="001A3563" w:rsidRPr="00E22DF8" w:rsidRDefault="001A3563" w:rsidP="00A97FE6">
            <w:pPr>
              <w:widowControl w:val="0"/>
              <w:autoSpaceDE w:val="0"/>
              <w:autoSpaceDN w:val="0"/>
              <w:spacing w:line="251" w:lineRule="exact"/>
              <w:ind w:left="425" w:right="411"/>
              <w:jc w:val="center"/>
              <w:rPr>
                <w:b/>
                <w:sz w:val="22"/>
                <w:szCs w:val="22"/>
                <w:lang w:val="sr-Latn-ME"/>
              </w:rPr>
            </w:pPr>
            <w:r w:rsidRPr="00E22DF8">
              <w:rPr>
                <w:b/>
                <w:sz w:val="22"/>
                <w:szCs w:val="22"/>
                <w:lang w:val="sr-Latn-ME"/>
              </w:rPr>
              <w:t>Rivaroksaban</w:t>
            </w:r>
            <w:r w:rsidRPr="00E22DF8">
              <w:rPr>
                <w:b/>
                <w:sz w:val="22"/>
                <w:szCs w:val="22"/>
                <w:vertAlign w:val="superscript"/>
                <w:lang w:val="sr-Latn-ME"/>
              </w:rPr>
              <w:t>a)</w:t>
            </w:r>
            <w:r w:rsidRPr="00E22DF8">
              <w:rPr>
                <w:b/>
                <w:sz w:val="22"/>
                <w:szCs w:val="22"/>
                <w:lang w:val="sr-Latn-ME"/>
              </w:rPr>
              <w:t xml:space="preserve"> 6 ili 12 mjeseci </w:t>
            </w:r>
          </w:p>
          <w:p w:rsidR="001A3563" w:rsidRPr="00E22DF8" w:rsidRDefault="001A3563" w:rsidP="00A97FE6">
            <w:pPr>
              <w:widowControl w:val="0"/>
              <w:autoSpaceDE w:val="0"/>
              <w:autoSpaceDN w:val="0"/>
              <w:spacing w:line="251" w:lineRule="exact"/>
              <w:ind w:left="425" w:right="411"/>
              <w:jc w:val="center"/>
              <w:rPr>
                <w:b/>
                <w:sz w:val="22"/>
                <w:szCs w:val="22"/>
                <w:lang w:val="sr-Latn-ME"/>
              </w:rPr>
            </w:pPr>
            <w:r w:rsidRPr="00E22DF8">
              <w:rPr>
                <w:b/>
                <w:sz w:val="22"/>
                <w:szCs w:val="22"/>
                <w:lang w:val="sr-Latn-ME"/>
              </w:rPr>
              <w:t>N=602</w:t>
            </w:r>
          </w:p>
        </w:tc>
        <w:tc>
          <w:tcPr>
            <w:tcW w:w="3021" w:type="dxa"/>
            <w:vAlign w:val="center"/>
          </w:tcPr>
          <w:p w:rsidR="001A3563" w:rsidRPr="00E22DF8" w:rsidRDefault="001A3563" w:rsidP="001A3563">
            <w:pPr>
              <w:widowControl w:val="0"/>
              <w:autoSpaceDE w:val="0"/>
              <w:autoSpaceDN w:val="0"/>
              <w:spacing w:line="251" w:lineRule="exact"/>
              <w:ind w:left="151" w:right="137"/>
              <w:jc w:val="center"/>
              <w:rPr>
                <w:b/>
                <w:sz w:val="22"/>
                <w:szCs w:val="22"/>
                <w:lang w:val="sr-Latn-ME"/>
              </w:rPr>
            </w:pPr>
            <w:r w:rsidRPr="00E22DF8">
              <w:rPr>
                <w:b/>
                <w:sz w:val="22"/>
                <w:szCs w:val="22"/>
                <w:lang w:val="sr-Latn-ME"/>
              </w:rPr>
              <w:t>Placebo</w:t>
            </w:r>
          </w:p>
          <w:p w:rsidR="001A3563" w:rsidRPr="00E22DF8" w:rsidRDefault="001A3563" w:rsidP="001A3563">
            <w:pPr>
              <w:widowControl w:val="0"/>
              <w:autoSpaceDE w:val="0"/>
              <w:autoSpaceDN w:val="0"/>
              <w:spacing w:line="251" w:lineRule="exact"/>
              <w:ind w:left="151" w:right="137"/>
              <w:jc w:val="center"/>
              <w:rPr>
                <w:b/>
                <w:sz w:val="22"/>
                <w:szCs w:val="22"/>
                <w:lang w:val="sr-Latn-ME"/>
              </w:rPr>
            </w:pPr>
            <w:r w:rsidRPr="00E22DF8">
              <w:rPr>
                <w:b/>
                <w:sz w:val="22"/>
                <w:szCs w:val="22"/>
                <w:lang w:val="sr-Latn-ME"/>
              </w:rPr>
              <w:t>6 ili 12 mjeseci</w:t>
            </w:r>
          </w:p>
          <w:p w:rsidR="001A3563" w:rsidRPr="00E22DF8" w:rsidRDefault="001A3563" w:rsidP="001A3563">
            <w:pPr>
              <w:widowControl w:val="0"/>
              <w:autoSpaceDE w:val="0"/>
              <w:autoSpaceDN w:val="0"/>
              <w:spacing w:line="251" w:lineRule="exact"/>
              <w:ind w:left="151" w:right="137"/>
              <w:jc w:val="center"/>
              <w:rPr>
                <w:b/>
                <w:sz w:val="22"/>
                <w:szCs w:val="22"/>
                <w:lang w:val="sr-Latn-ME"/>
              </w:rPr>
            </w:pPr>
            <w:r w:rsidRPr="00E22DF8">
              <w:rPr>
                <w:b/>
                <w:sz w:val="22"/>
                <w:szCs w:val="22"/>
                <w:lang w:val="sr-Latn-ME"/>
              </w:rPr>
              <w:t>N=594</w:t>
            </w:r>
          </w:p>
        </w:tc>
      </w:tr>
      <w:tr w:rsidR="001A3563" w:rsidRPr="00E22DF8" w:rsidTr="00A97FE6">
        <w:tc>
          <w:tcPr>
            <w:tcW w:w="3021" w:type="dxa"/>
            <w:vAlign w:val="center"/>
          </w:tcPr>
          <w:p w:rsidR="001A3563" w:rsidRPr="00E22DF8" w:rsidRDefault="001A3563" w:rsidP="00A97FE6">
            <w:pPr>
              <w:widowControl w:val="0"/>
              <w:autoSpaceDE w:val="0"/>
              <w:autoSpaceDN w:val="0"/>
              <w:spacing w:line="235" w:lineRule="exact"/>
              <w:ind w:left="9"/>
              <w:rPr>
                <w:sz w:val="22"/>
                <w:szCs w:val="22"/>
                <w:lang w:val="sr-Latn-ME"/>
              </w:rPr>
            </w:pPr>
            <w:r w:rsidRPr="00E22DF8">
              <w:rPr>
                <w:sz w:val="22"/>
                <w:szCs w:val="22"/>
                <w:lang w:val="sr-Latn-ME"/>
              </w:rPr>
              <w:t>Simptomatska rekurentna VTE*</w:t>
            </w:r>
          </w:p>
        </w:tc>
        <w:tc>
          <w:tcPr>
            <w:tcW w:w="3021" w:type="dxa"/>
            <w:vAlign w:val="center"/>
          </w:tcPr>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8</w:t>
            </w:r>
          </w:p>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(1,3%)</w:t>
            </w:r>
          </w:p>
        </w:tc>
        <w:tc>
          <w:tcPr>
            <w:tcW w:w="3021" w:type="dxa"/>
            <w:vAlign w:val="center"/>
          </w:tcPr>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42</w:t>
            </w:r>
          </w:p>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(7,1%)</w:t>
            </w:r>
          </w:p>
        </w:tc>
      </w:tr>
      <w:tr w:rsidR="001A3563" w:rsidRPr="00E22DF8" w:rsidTr="00A97FE6">
        <w:tc>
          <w:tcPr>
            <w:tcW w:w="3021" w:type="dxa"/>
            <w:vAlign w:val="center"/>
          </w:tcPr>
          <w:p w:rsidR="001A3563" w:rsidRPr="00E22DF8" w:rsidRDefault="001A3563"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PE</w:t>
            </w:r>
          </w:p>
        </w:tc>
        <w:tc>
          <w:tcPr>
            <w:tcW w:w="3021" w:type="dxa"/>
            <w:vAlign w:val="center"/>
          </w:tcPr>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2</w:t>
            </w:r>
          </w:p>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(0,%)</w:t>
            </w:r>
          </w:p>
        </w:tc>
        <w:tc>
          <w:tcPr>
            <w:tcW w:w="3021" w:type="dxa"/>
            <w:vAlign w:val="center"/>
          </w:tcPr>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13</w:t>
            </w:r>
          </w:p>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(2,2%)</w:t>
            </w:r>
          </w:p>
        </w:tc>
      </w:tr>
      <w:tr w:rsidR="001A3563" w:rsidRPr="00E22DF8" w:rsidTr="00A97FE6">
        <w:tc>
          <w:tcPr>
            <w:tcW w:w="3021" w:type="dxa"/>
            <w:vAlign w:val="center"/>
          </w:tcPr>
          <w:p w:rsidR="001A3563" w:rsidRPr="00E22DF8" w:rsidRDefault="001A3563" w:rsidP="0064584A">
            <w:pPr>
              <w:widowControl w:val="0"/>
              <w:autoSpaceDE w:val="0"/>
              <w:autoSpaceDN w:val="0"/>
              <w:spacing w:line="230" w:lineRule="exact"/>
              <w:ind w:left="9"/>
              <w:jc w:val="right"/>
              <w:rPr>
                <w:sz w:val="22"/>
                <w:szCs w:val="22"/>
                <w:lang w:val="sr-Latn-ME"/>
              </w:rPr>
            </w:pPr>
            <w:r w:rsidRPr="00E22DF8">
              <w:rPr>
                <w:sz w:val="22"/>
                <w:szCs w:val="22"/>
                <w:lang w:val="sr-Latn-ME"/>
              </w:rPr>
              <w:t>Simptomatska rekurentna TDV</w:t>
            </w:r>
          </w:p>
        </w:tc>
        <w:tc>
          <w:tcPr>
            <w:tcW w:w="3021" w:type="dxa"/>
            <w:vAlign w:val="center"/>
          </w:tcPr>
          <w:p w:rsidR="001A3563" w:rsidRPr="00E22DF8" w:rsidRDefault="001A3563" w:rsidP="00A97FE6">
            <w:pPr>
              <w:widowControl w:val="0"/>
              <w:autoSpaceDE w:val="0"/>
              <w:autoSpaceDN w:val="0"/>
              <w:spacing w:line="220" w:lineRule="exact"/>
              <w:ind w:left="425" w:right="405"/>
              <w:jc w:val="center"/>
              <w:rPr>
                <w:sz w:val="22"/>
                <w:szCs w:val="22"/>
                <w:lang w:val="sr-Latn-ME"/>
              </w:rPr>
            </w:pPr>
            <w:r w:rsidRPr="00E22DF8">
              <w:rPr>
                <w:sz w:val="22"/>
                <w:szCs w:val="22"/>
                <w:lang w:val="sr-Latn-ME"/>
              </w:rPr>
              <w:t>5</w:t>
            </w:r>
          </w:p>
          <w:p w:rsidR="001A3563" w:rsidRPr="00E22DF8" w:rsidRDefault="001A3563" w:rsidP="00A97FE6">
            <w:pPr>
              <w:widowControl w:val="0"/>
              <w:autoSpaceDE w:val="0"/>
              <w:autoSpaceDN w:val="0"/>
              <w:spacing w:line="220" w:lineRule="exact"/>
              <w:ind w:left="425" w:right="405"/>
              <w:jc w:val="center"/>
              <w:rPr>
                <w:sz w:val="22"/>
                <w:szCs w:val="22"/>
                <w:lang w:val="sr-Latn-ME"/>
              </w:rPr>
            </w:pPr>
            <w:r w:rsidRPr="00E22DF8">
              <w:rPr>
                <w:sz w:val="22"/>
                <w:szCs w:val="22"/>
                <w:lang w:val="sr-Latn-ME"/>
              </w:rPr>
              <w:t>(0,8%)</w:t>
            </w:r>
          </w:p>
        </w:tc>
        <w:tc>
          <w:tcPr>
            <w:tcW w:w="3021" w:type="dxa"/>
            <w:vAlign w:val="center"/>
          </w:tcPr>
          <w:p w:rsidR="001A3563" w:rsidRPr="00E22DF8" w:rsidRDefault="001A3563" w:rsidP="00A97FE6">
            <w:pPr>
              <w:widowControl w:val="0"/>
              <w:autoSpaceDE w:val="0"/>
              <w:autoSpaceDN w:val="0"/>
              <w:spacing w:line="220" w:lineRule="exact"/>
              <w:ind w:left="157" w:right="137"/>
              <w:jc w:val="center"/>
              <w:rPr>
                <w:sz w:val="22"/>
                <w:szCs w:val="22"/>
                <w:lang w:val="sr-Latn-ME"/>
              </w:rPr>
            </w:pPr>
            <w:r w:rsidRPr="00E22DF8">
              <w:rPr>
                <w:sz w:val="22"/>
                <w:szCs w:val="22"/>
                <w:lang w:val="sr-Latn-ME"/>
              </w:rPr>
              <w:t>31</w:t>
            </w:r>
          </w:p>
          <w:p w:rsidR="001A3563" w:rsidRPr="00E22DF8" w:rsidRDefault="001A3563" w:rsidP="00A97FE6">
            <w:pPr>
              <w:widowControl w:val="0"/>
              <w:autoSpaceDE w:val="0"/>
              <w:autoSpaceDN w:val="0"/>
              <w:spacing w:line="220" w:lineRule="exact"/>
              <w:ind w:left="157" w:right="137"/>
              <w:jc w:val="center"/>
              <w:rPr>
                <w:sz w:val="22"/>
                <w:szCs w:val="22"/>
                <w:lang w:val="sr-Latn-ME"/>
              </w:rPr>
            </w:pPr>
            <w:r w:rsidRPr="00E22DF8">
              <w:rPr>
                <w:sz w:val="22"/>
                <w:szCs w:val="22"/>
                <w:lang w:val="sr-Latn-ME"/>
              </w:rPr>
              <w:t>(5,2%)</w:t>
            </w:r>
          </w:p>
        </w:tc>
      </w:tr>
      <w:tr w:rsidR="001A3563" w:rsidRPr="00E22DF8" w:rsidTr="00A97FE6">
        <w:tc>
          <w:tcPr>
            <w:tcW w:w="3021" w:type="dxa"/>
            <w:vAlign w:val="center"/>
          </w:tcPr>
          <w:p w:rsidR="001A3563" w:rsidRPr="00E22DF8" w:rsidRDefault="001A3563" w:rsidP="0064584A">
            <w:pPr>
              <w:widowControl w:val="0"/>
              <w:autoSpaceDE w:val="0"/>
              <w:autoSpaceDN w:val="0"/>
              <w:spacing w:line="235" w:lineRule="exact"/>
              <w:ind w:left="9"/>
              <w:jc w:val="right"/>
              <w:rPr>
                <w:sz w:val="22"/>
                <w:szCs w:val="22"/>
                <w:lang w:val="sr-Latn-ME"/>
              </w:rPr>
            </w:pPr>
            <w:r w:rsidRPr="00E22DF8">
              <w:rPr>
                <w:sz w:val="22"/>
                <w:szCs w:val="22"/>
                <w:lang w:val="sr-Latn-ME"/>
              </w:rPr>
              <w:t>PE sa smrtnim ishodom/smrt pri kojoj se PE ne može isključiti</w:t>
            </w:r>
          </w:p>
        </w:tc>
        <w:tc>
          <w:tcPr>
            <w:tcW w:w="3021" w:type="dxa"/>
            <w:vAlign w:val="center"/>
          </w:tcPr>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1</w:t>
            </w:r>
          </w:p>
          <w:p w:rsidR="001A3563" w:rsidRPr="00E22DF8" w:rsidRDefault="001A3563" w:rsidP="00A97FE6">
            <w:pPr>
              <w:widowControl w:val="0"/>
              <w:autoSpaceDE w:val="0"/>
              <w:autoSpaceDN w:val="0"/>
              <w:spacing w:line="224" w:lineRule="exact"/>
              <w:ind w:left="425" w:right="405"/>
              <w:jc w:val="center"/>
              <w:rPr>
                <w:sz w:val="22"/>
                <w:szCs w:val="22"/>
                <w:lang w:val="sr-Latn-ME"/>
              </w:rPr>
            </w:pPr>
            <w:r w:rsidRPr="00E22DF8">
              <w:rPr>
                <w:sz w:val="22"/>
                <w:szCs w:val="22"/>
                <w:lang w:val="sr-Latn-ME"/>
              </w:rPr>
              <w:t>(0,2%)</w:t>
            </w:r>
          </w:p>
        </w:tc>
        <w:tc>
          <w:tcPr>
            <w:tcW w:w="3021" w:type="dxa"/>
            <w:vAlign w:val="center"/>
          </w:tcPr>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1</w:t>
            </w:r>
          </w:p>
          <w:p w:rsidR="001A3563" w:rsidRPr="00E22DF8" w:rsidRDefault="001A3563" w:rsidP="00A97FE6">
            <w:pPr>
              <w:widowControl w:val="0"/>
              <w:autoSpaceDE w:val="0"/>
              <w:autoSpaceDN w:val="0"/>
              <w:spacing w:line="224" w:lineRule="exact"/>
              <w:ind w:left="157" w:right="137"/>
              <w:jc w:val="center"/>
              <w:rPr>
                <w:sz w:val="22"/>
                <w:szCs w:val="22"/>
                <w:lang w:val="sr-Latn-ME"/>
              </w:rPr>
            </w:pPr>
            <w:r w:rsidRPr="00E22DF8">
              <w:rPr>
                <w:sz w:val="22"/>
                <w:szCs w:val="22"/>
                <w:lang w:val="sr-Latn-ME"/>
              </w:rPr>
              <w:t>(0,%)</w:t>
            </w:r>
          </w:p>
        </w:tc>
      </w:tr>
      <w:tr w:rsidR="001A3563" w:rsidRPr="00E22DF8" w:rsidTr="00A97FE6">
        <w:tc>
          <w:tcPr>
            <w:tcW w:w="3021" w:type="dxa"/>
            <w:vAlign w:val="center"/>
          </w:tcPr>
          <w:p w:rsidR="001A3563" w:rsidRPr="00E22DF8" w:rsidRDefault="001A3563" w:rsidP="0064584A">
            <w:pPr>
              <w:widowControl w:val="0"/>
              <w:autoSpaceDE w:val="0"/>
              <w:autoSpaceDN w:val="0"/>
              <w:spacing w:line="228" w:lineRule="auto"/>
              <w:ind w:left="9" w:right="154"/>
              <w:jc w:val="right"/>
              <w:rPr>
                <w:sz w:val="22"/>
                <w:szCs w:val="22"/>
                <w:lang w:val="sr-Latn-ME"/>
              </w:rPr>
            </w:pPr>
            <w:r w:rsidRPr="00E22DF8">
              <w:rPr>
                <w:sz w:val="22"/>
                <w:szCs w:val="22"/>
                <w:lang w:val="sr-Latn-ME"/>
              </w:rPr>
              <w:t xml:space="preserve">Događaji </w:t>
            </w:r>
            <w:r w:rsidR="00B82AE0" w:rsidRPr="00E22DF8">
              <w:rPr>
                <w:sz w:val="22"/>
                <w:szCs w:val="22"/>
                <w:lang w:val="sr-Latn-ME"/>
              </w:rPr>
              <w:t xml:space="preserve">velikog </w:t>
            </w:r>
            <w:r w:rsidRPr="00E22DF8">
              <w:rPr>
                <w:sz w:val="22"/>
                <w:szCs w:val="22"/>
                <w:lang w:val="sr-Latn-ME"/>
              </w:rPr>
              <w:t>krvarenja</w:t>
            </w:r>
          </w:p>
        </w:tc>
        <w:tc>
          <w:tcPr>
            <w:tcW w:w="3021" w:type="dxa"/>
            <w:vAlign w:val="center"/>
          </w:tcPr>
          <w:p w:rsidR="001A3563" w:rsidRPr="00E22DF8" w:rsidRDefault="001A3563" w:rsidP="00A97FE6">
            <w:pPr>
              <w:widowControl w:val="0"/>
              <w:autoSpaceDE w:val="0"/>
              <w:autoSpaceDN w:val="0"/>
              <w:spacing w:before="121" w:line="238" w:lineRule="exact"/>
              <w:ind w:left="425" w:right="405"/>
              <w:jc w:val="center"/>
              <w:rPr>
                <w:sz w:val="22"/>
                <w:szCs w:val="22"/>
                <w:lang w:val="sr-Latn-ME"/>
              </w:rPr>
            </w:pPr>
            <w:r w:rsidRPr="00E22DF8">
              <w:rPr>
                <w:sz w:val="22"/>
                <w:szCs w:val="22"/>
                <w:lang w:val="sr-Latn-ME"/>
              </w:rPr>
              <w:t>4</w:t>
            </w:r>
          </w:p>
          <w:p w:rsidR="001A3563" w:rsidRPr="00E22DF8" w:rsidRDefault="001A3563" w:rsidP="00A97FE6">
            <w:pPr>
              <w:widowControl w:val="0"/>
              <w:autoSpaceDE w:val="0"/>
              <w:autoSpaceDN w:val="0"/>
              <w:spacing w:before="121" w:line="238" w:lineRule="exact"/>
              <w:ind w:left="425" w:right="405"/>
              <w:jc w:val="center"/>
              <w:rPr>
                <w:sz w:val="22"/>
                <w:szCs w:val="22"/>
                <w:lang w:val="sr-Latn-ME"/>
              </w:rPr>
            </w:pPr>
            <w:r w:rsidRPr="00E22DF8">
              <w:rPr>
                <w:sz w:val="22"/>
                <w:szCs w:val="22"/>
                <w:lang w:val="sr-Latn-ME"/>
              </w:rPr>
              <w:t>(0,7%)</w:t>
            </w:r>
          </w:p>
        </w:tc>
        <w:tc>
          <w:tcPr>
            <w:tcW w:w="3021" w:type="dxa"/>
            <w:vAlign w:val="center"/>
          </w:tcPr>
          <w:p w:rsidR="001A3563" w:rsidRPr="00E22DF8" w:rsidRDefault="001A3563" w:rsidP="00A97FE6">
            <w:pPr>
              <w:widowControl w:val="0"/>
              <w:autoSpaceDE w:val="0"/>
              <w:autoSpaceDN w:val="0"/>
              <w:spacing w:before="121" w:line="238" w:lineRule="exact"/>
              <w:ind w:left="157" w:right="137"/>
              <w:jc w:val="center"/>
              <w:rPr>
                <w:sz w:val="22"/>
                <w:szCs w:val="22"/>
                <w:lang w:val="sr-Latn-ME"/>
              </w:rPr>
            </w:pPr>
            <w:r w:rsidRPr="00E22DF8">
              <w:rPr>
                <w:sz w:val="22"/>
                <w:szCs w:val="22"/>
                <w:lang w:val="sr-Latn-ME"/>
              </w:rPr>
              <w:t>0</w:t>
            </w:r>
          </w:p>
        </w:tc>
      </w:tr>
      <w:tr w:rsidR="0001773F" w:rsidRPr="00E22DF8" w:rsidTr="00A97FE6">
        <w:tc>
          <w:tcPr>
            <w:tcW w:w="3021" w:type="dxa"/>
            <w:vAlign w:val="center"/>
          </w:tcPr>
          <w:p w:rsidR="0001773F" w:rsidRPr="00E22DF8" w:rsidRDefault="0001773F" w:rsidP="00B82AE0">
            <w:pPr>
              <w:widowControl w:val="0"/>
              <w:tabs>
                <w:tab w:val="left" w:pos="1070"/>
                <w:tab w:val="left" w:pos="1468"/>
                <w:tab w:val="left" w:pos="2476"/>
              </w:tabs>
              <w:autoSpaceDE w:val="0"/>
              <w:autoSpaceDN w:val="0"/>
              <w:spacing w:before="5" w:line="223" w:lineRule="auto"/>
              <w:ind w:left="9" w:right="88"/>
              <w:rPr>
                <w:sz w:val="22"/>
                <w:szCs w:val="22"/>
                <w:lang w:val="sr-Latn-ME"/>
              </w:rPr>
            </w:pPr>
            <w:r w:rsidRPr="00E22DF8">
              <w:rPr>
                <w:sz w:val="22"/>
                <w:szCs w:val="22"/>
                <w:lang w:val="sr-Latn-ME"/>
              </w:rPr>
              <w:lastRenderedPageBreak/>
              <w:t xml:space="preserve">Klinički značajna </w:t>
            </w:r>
            <w:r w:rsidR="00B82AE0" w:rsidRPr="00E22DF8">
              <w:rPr>
                <w:sz w:val="22"/>
                <w:szCs w:val="22"/>
                <w:lang w:val="sr-Latn-ME"/>
              </w:rPr>
              <w:t xml:space="preserve">manja </w:t>
            </w:r>
            <w:r w:rsidRPr="00E22DF8">
              <w:rPr>
                <w:sz w:val="22"/>
                <w:szCs w:val="22"/>
                <w:lang w:val="sr-Latn-ME"/>
              </w:rPr>
              <w:t>krvarenja</w:t>
            </w:r>
          </w:p>
        </w:tc>
        <w:tc>
          <w:tcPr>
            <w:tcW w:w="3021" w:type="dxa"/>
            <w:vAlign w:val="center"/>
          </w:tcPr>
          <w:p w:rsidR="0001773F" w:rsidRPr="00E22DF8" w:rsidRDefault="0001773F" w:rsidP="0001773F">
            <w:pPr>
              <w:widowControl w:val="0"/>
              <w:autoSpaceDE w:val="0"/>
              <w:autoSpaceDN w:val="0"/>
              <w:spacing w:before="112" w:line="243" w:lineRule="exact"/>
              <w:ind w:left="425" w:right="405"/>
              <w:jc w:val="center"/>
              <w:rPr>
                <w:sz w:val="22"/>
                <w:szCs w:val="22"/>
                <w:lang w:val="sr-Latn-ME"/>
              </w:rPr>
            </w:pPr>
            <w:r w:rsidRPr="00E22DF8">
              <w:rPr>
                <w:sz w:val="22"/>
                <w:szCs w:val="22"/>
                <w:lang w:val="sr-Latn-ME"/>
              </w:rPr>
              <w:t>32</w:t>
            </w:r>
          </w:p>
          <w:p w:rsidR="0001773F" w:rsidRPr="00E22DF8" w:rsidRDefault="0001773F" w:rsidP="0001773F">
            <w:pPr>
              <w:widowControl w:val="0"/>
              <w:autoSpaceDE w:val="0"/>
              <w:autoSpaceDN w:val="0"/>
              <w:spacing w:before="112" w:line="243" w:lineRule="exact"/>
              <w:ind w:left="425" w:right="405"/>
              <w:jc w:val="center"/>
              <w:rPr>
                <w:sz w:val="22"/>
                <w:szCs w:val="22"/>
                <w:lang w:val="sr-Latn-ME"/>
              </w:rPr>
            </w:pPr>
            <w:r w:rsidRPr="00E22DF8">
              <w:rPr>
                <w:sz w:val="22"/>
                <w:szCs w:val="22"/>
                <w:lang w:val="sr-Latn-ME"/>
              </w:rPr>
              <w:t>(5,4%)</w:t>
            </w:r>
          </w:p>
        </w:tc>
        <w:tc>
          <w:tcPr>
            <w:tcW w:w="3021" w:type="dxa"/>
            <w:vAlign w:val="center"/>
          </w:tcPr>
          <w:p w:rsidR="0001773F" w:rsidRPr="00E22DF8" w:rsidRDefault="0001773F" w:rsidP="0001773F">
            <w:pPr>
              <w:widowControl w:val="0"/>
              <w:autoSpaceDE w:val="0"/>
              <w:autoSpaceDN w:val="0"/>
              <w:spacing w:before="112" w:line="243" w:lineRule="exact"/>
              <w:ind w:left="152" w:right="137"/>
              <w:jc w:val="center"/>
              <w:rPr>
                <w:sz w:val="22"/>
                <w:szCs w:val="22"/>
                <w:lang w:val="sr-Latn-ME"/>
              </w:rPr>
            </w:pPr>
            <w:r w:rsidRPr="00E22DF8">
              <w:rPr>
                <w:sz w:val="22"/>
                <w:szCs w:val="22"/>
                <w:lang w:val="sr-Latn-ME"/>
              </w:rPr>
              <w:t>7</w:t>
            </w:r>
          </w:p>
          <w:p w:rsidR="0001773F" w:rsidRPr="00E22DF8" w:rsidRDefault="0001773F" w:rsidP="0001773F">
            <w:pPr>
              <w:widowControl w:val="0"/>
              <w:autoSpaceDE w:val="0"/>
              <w:autoSpaceDN w:val="0"/>
              <w:spacing w:before="112" w:line="243" w:lineRule="exact"/>
              <w:ind w:left="152" w:right="137"/>
              <w:jc w:val="center"/>
              <w:rPr>
                <w:sz w:val="22"/>
                <w:szCs w:val="22"/>
                <w:lang w:val="sr-Latn-ME"/>
              </w:rPr>
            </w:pPr>
            <w:r w:rsidRPr="00E22DF8">
              <w:rPr>
                <w:sz w:val="22"/>
                <w:szCs w:val="22"/>
                <w:lang w:val="sr-Latn-ME"/>
              </w:rPr>
              <w:t>(1,2%)</w:t>
            </w:r>
          </w:p>
        </w:tc>
      </w:tr>
    </w:tbl>
    <w:p w:rsidR="001A3563" w:rsidRPr="00E22DF8" w:rsidRDefault="001A3563" w:rsidP="001A3563">
      <w:pPr>
        <w:tabs>
          <w:tab w:val="left" w:pos="540"/>
          <w:tab w:val="left" w:pos="569"/>
        </w:tabs>
        <w:rPr>
          <w:bCs/>
          <w:sz w:val="22"/>
          <w:szCs w:val="22"/>
          <w:lang w:val="sr-Latn-ME"/>
        </w:rPr>
      </w:pPr>
      <w:r w:rsidRPr="00E22DF8">
        <w:rPr>
          <w:bCs/>
          <w:sz w:val="22"/>
          <w:szCs w:val="22"/>
          <w:lang w:val="sr-Latn-ME"/>
        </w:rPr>
        <w:t>a)</w:t>
      </w:r>
      <w:r w:rsidRPr="00E22DF8">
        <w:rPr>
          <w:bCs/>
          <w:sz w:val="22"/>
          <w:szCs w:val="22"/>
          <w:lang w:val="sr-Latn-ME"/>
        </w:rPr>
        <w:tab/>
        <w:t>Rivaroksaban u dozi od 20 mg jednom dnevno</w:t>
      </w:r>
    </w:p>
    <w:p w:rsidR="001A3563" w:rsidRPr="00E22DF8" w:rsidRDefault="001A3563" w:rsidP="001A3563">
      <w:pPr>
        <w:tabs>
          <w:tab w:val="left" w:pos="540"/>
          <w:tab w:val="left" w:pos="569"/>
        </w:tabs>
        <w:rPr>
          <w:bCs/>
          <w:sz w:val="22"/>
          <w:szCs w:val="22"/>
          <w:lang w:val="sr-Latn-ME"/>
        </w:rPr>
      </w:pPr>
      <w:r w:rsidRPr="00E22DF8">
        <w:rPr>
          <w:bCs/>
          <w:sz w:val="22"/>
          <w:szCs w:val="22"/>
          <w:lang w:val="sr-Latn-ME"/>
        </w:rPr>
        <w:t>*</w:t>
      </w:r>
      <w:r w:rsidRPr="00E22DF8">
        <w:rPr>
          <w:bCs/>
          <w:sz w:val="22"/>
          <w:szCs w:val="22"/>
          <w:lang w:val="sr-Latn-ME"/>
        </w:rPr>
        <w:tab/>
        <w:t>p &lt; 0,0001 (superiornost), HR: 0,185 (0,087 – 0,393)</w:t>
      </w:r>
    </w:p>
    <w:p w:rsidR="001A3563" w:rsidRPr="00E22DF8" w:rsidRDefault="001A3563" w:rsidP="001A3563">
      <w:pPr>
        <w:tabs>
          <w:tab w:val="left" w:pos="540"/>
          <w:tab w:val="left" w:pos="569"/>
        </w:tabs>
        <w:rPr>
          <w:bCs/>
          <w:sz w:val="22"/>
          <w:szCs w:val="22"/>
          <w:lang w:val="sr-Latn-ME"/>
        </w:rPr>
      </w:pPr>
    </w:p>
    <w:p w:rsidR="001A3563" w:rsidRPr="00E22DF8" w:rsidRDefault="001A3563" w:rsidP="001A3563">
      <w:pPr>
        <w:tabs>
          <w:tab w:val="left" w:pos="540"/>
          <w:tab w:val="left" w:pos="569"/>
        </w:tabs>
        <w:jc w:val="both"/>
        <w:rPr>
          <w:bCs/>
          <w:sz w:val="22"/>
          <w:szCs w:val="22"/>
          <w:lang w:val="sr-Latn-ME"/>
        </w:rPr>
      </w:pPr>
      <w:r w:rsidRPr="00E22DF8">
        <w:rPr>
          <w:bCs/>
          <w:sz w:val="22"/>
          <w:szCs w:val="22"/>
          <w:lang w:val="sr-Latn-ME"/>
        </w:rPr>
        <w:t xml:space="preserve">U </w:t>
      </w:r>
      <w:r w:rsidRPr="00E22DF8">
        <w:rPr>
          <w:bCs/>
          <w:i/>
          <w:sz w:val="22"/>
          <w:szCs w:val="22"/>
          <w:lang w:val="sr-Latn-ME"/>
        </w:rPr>
        <w:t xml:space="preserve">Einstein Choice </w:t>
      </w:r>
      <w:r w:rsidRPr="00E22DF8">
        <w:rPr>
          <w:bCs/>
          <w:sz w:val="22"/>
          <w:szCs w:val="22"/>
          <w:lang w:val="sr-Latn-ME"/>
        </w:rPr>
        <w:t xml:space="preserve">studiji (vidjeti Tabelu 9) rivaroksaban u dozi od 20 mg i u dozi od 10 mg </w:t>
      </w:r>
      <w:r w:rsidR="00034420" w:rsidRPr="00E22DF8">
        <w:rPr>
          <w:bCs/>
          <w:sz w:val="22"/>
          <w:szCs w:val="22"/>
          <w:lang w:val="sr-Latn-ME"/>
        </w:rPr>
        <w:t xml:space="preserve">je pokazao </w:t>
      </w:r>
      <w:r w:rsidRPr="00E22DF8">
        <w:rPr>
          <w:bCs/>
          <w:sz w:val="22"/>
          <w:szCs w:val="22"/>
          <w:lang w:val="sr-Latn-ME"/>
        </w:rPr>
        <w:t xml:space="preserve">superiornost u pogledu primarnog ishoda efikasnosti u odnosu na acetilsalicilnu kiselinu u dozi od 100 mg. Glavni ishod bezbjednosti (događaji </w:t>
      </w:r>
      <w:r w:rsidR="00034420" w:rsidRPr="00E22DF8">
        <w:rPr>
          <w:bCs/>
          <w:sz w:val="22"/>
          <w:szCs w:val="22"/>
          <w:lang w:val="sr-Latn-ME"/>
        </w:rPr>
        <w:t xml:space="preserve">velikog </w:t>
      </w:r>
      <w:r w:rsidRPr="00E22DF8">
        <w:rPr>
          <w:bCs/>
          <w:sz w:val="22"/>
          <w:szCs w:val="22"/>
          <w:lang w:val="sr-Latn-ME"/>
        </w:rPr>
        <w:t>krvarenja) kod pacijenata na terapiji rivaroksabanom u dozama od 20 mg i 10 mg jednom dnevno, je bio sličan onom kod pacijenata koji su bili na terapiji sa 100 mg acetilsalicilne kiseline.</w:t>
      </w:r>
    </w:p>
    <w:p w:rsidR="001A3563" w:rsidRPr="00E22DF8" w:rsidRDefault="001A3563" w:rsidP="001A3563">
      <w:pPr>
        <w:tabs>
          <w:tab w:val="left" w:pos="540"/>
          <w:tab w:val="left" w:pos="569"/>
        </w:tabs>
        <w:jc w:val="both"/>
        <w:rPr>
          <w:bCs/>
          <w:sz w:val="22"/>
          <w:szCs w:val="22"/>
          <w:lang w:val="sr-Latn-ME"/>
        </w:rPr>
      </w:pPr>
    </w:p>
    <w:p w:rsidR="001A3563" w:rsidRPr="00E22DF8" w:rsidRDefault="001A3563" w:rsidP="001A3563">
      <w:pPr>
        <w:tabs>
          <w:tab w:val="left" w:pos="540"/>
          <w:tab w:val="left" w:pos="569"/>
        </w:tabs>
        <w:jc w:val="both"/>
        <w:rPr>
          <w:b/>
          <w:bCs/>
          <w:sz w:val="22"/>
          <w:szCs w:val="22"/>
          <w:lang w:val="sr-Latn-ME"/>
        </w:rPr>
      </w:pPr>
      <w:r w:rsidRPr="00E22DF8">
        <w:rPr>
          <w:b/>
          <w:bCs/>
          <w:sz w:val="22"/>
          <w:szCs w:val="22"/>
          <w:lang w:val="sr-Latn-ME"/>
        </w:rPr>
        <w:t xml:space="preserve">Tabela 9: Rezultati efikasnosti i bezbjednosti iz studije </w:t>
      </w:r>
      <w:r w:rsidR="00034420" w:rsidRPr="00E22DF8">
        <w:rPr>
          <w:b/>
          <w:bCs/>
          <w:sz w:val="22"/>
          <w:szCs w:val="22"/>
          <w:lang w:val="sr-Latn-ME"/>
        </w:rPr>
        <w:t xml:space="preserve">faze III </w:t>
      </w:r>
      <w:r w:rsidRPr="00E22DF8">
        <w:rPr>
          <w:b/>
          <w:bCs/>
          <w:i/>
          <w:sz w:val="22"/>
          <w:szCs w:val="22"/>
          <w:lang w:val="sr-Latn-ME"/>
        </w:rPr>
        <w:t>Einstein Choice</w:t>
      </w:r>
    </w:p>
    <w:tbl>
      <w:tblPr>
        <w:tblStyle w:val="TableGrid"/>
        <w:tblW w:w="0" w:type="auto"/>
        <w:tblLook w:val="04A0" w:firstRow="1" w:lastRow="0" w:firstColumn="1" w:lastColumn="0" w:noHBand="0" w:noVBand="1"/>
      </w:tblPr>
      <w:tblGrid>
        <w:gridCol w:w="2265"/>
        <w:gridCol w:w="2266"/>
        <w:gridCol w:w="2266"/>
        <w:gridCol w:w="2266"/>
      </w:tblGrid>
      <w:tr w:rsidR="0025564D" w:rsidRPr="00E22DF8" w:rsidTr="00A97FE6">
        <w:tc>
          <w:tcPr>
            <w:tcW w:w="2265" w:type="dxa"/>
          </w:tcPr>
          <w:p w:rsidR="0025564D" w:rsidRPr="00E22DF8" w:rsidRDefault="0025564D" w:rsidP="0025564D">
            <w:pPr>
              <w:widowControl w:val="0"/>
              <w:autoSpaceDE w:val="0"/>
              <w:autoSpaceDN w:val="0"/>
              <w:spacing w:line="244" w:lineRule="exact"/>
              <w:ind w:left="9"/>
              <w:rPr>
                <w:b/>
                <w:sz w:val="22"/>
                <w:szCs w:val="22"/>
                <w:lang w:val="sr-Latn-ME"/>
              </w:rPr>
            </w:pPr>
            <w:r w:rsidRPr="00E22DF8">
              <w:rPr>
                <w:b/>
                <w:sz w:val="22"/>
                <w:szCs w:val="22"/>
                <w:lang w:val="sr-Latn-ME"/>
              </w:rPr>
              <w:t>Populacija uključena u studiju</w:t>
            </w:r>
          </w:p>
        </w:tc>
        <w:tc>
          <w:tcPr>
            <w:tcW w:w="6798" w:type="dxa"/>
            <w:gridSpan w:val="3"/>
          </w:tcPr>
          <w:p w:rsidR="0025564D" w:rsidRPr="00E22DF8" w:rsidRDefault="0025564D" w:rsidP="0025564D">
            <w:pPr>
              <w:widowControl w:val="0"/>
              <w:autoSpaceDE w:val="0"/>
              <w:autoSpaceDN w:val="0"/>
              <w:spacing w:before="1" w:line="228" w:lineRule="auto"/>
              <w:ind w:left="9"/>
              <w:rPr>
                <w:b/>
                <w:sz w:val="22"/>
                <w:szCs w:val="22"/>
                <w:lang w:val="sr-Latn-ME"/>
              </w:rPr>
            </w:pPr>
            <w:r w:rsidRPr="00E22DF8">
              <w:rPr>
                <w:b/>
                <w:sz w:val="22"/>
                <w:szCs w:val="22"/>
                <w:lang w:val="sr-Latn-ME"/>
              </w:rPr>
              <w:t>3396 pacijenata koji su nastavili terapiju i prevenciju rekurentne venske tromboembolije</w:t>
            </w:r>
          </w:p>
        </w:tc>
      </w:tr>
      <w:tr w:rsidR="0025564D" w:rsidRPr="00E22DF8" w:rsidTr="00F533B6">
        <w:tc>
          <w:tcPr>
            <w:tcW w:w="2265" w:type="dxa"/>
            <w:vAlign w:val="center"/>
          </w:tcPr>
          <w:p w:rsidR="0025564D" w:rsidRPr="00E22DF8" w:rsidRDefault="0025564D" w:rsidP="0025564D">
            <w:pPr>
              <w:widowControl w:val="0"/>
              <w:autoSpaceDE w:val="0"/>
              <w:autoSpaceDN w:val="0"/>
              <w:spacing w:line="244" w:lineRule="exact"/>
              <w:ind w:left="9"/>
              <w:rPr>
                <w:b/>
                <w:sz w:val="22"/>
                <w:szCs w:val="22"/>
                <w:lang w:val="sr-Latn-ME"/>
              </w:rPr>
            </w:pPr>
            <w:r w:rsidRPr="00E22DF8">
              <w:rPr>
                <w:b/>
                <w:sz w:val="22"/>
                <w:szCs w:val="22"/>
                <w:lang w:val="sr-Latn-ME"/>
              </w:rPr>
              <w:t>Terapijska doza</w:t>
            </w:r>
          </w:p>
        </w:tc>
        <w:tc>
          <w:tcPr>
            <w:tcW w:w="2266" w:type="dxa"/>
          </w:tcPr>
          <w:p w:rsidR="0025564D" w:rsidRPr="00E22DF8" w:rsidRDefault="0025564D" w:rsidP="0025564D">
            <w:pPr>
              <w:widowControl w:val="0"/>
              <w:autoSpaceDE w:val="0"/>
              <w:autoSpaceDN w:val="0"/>
              <w:spacing w:line="242" w:lineRule="exact"/>
              <w:ind w:left="9"/>
              <w:jc w:val="center"/>
              <w:rPr>
                <w:b/>
                <w:sz w:val="22"/>
                <w:szCs w:val="22"/>
                <w:lang w:val="sr-Latn-ME"/>
              </w:rPr>
            </w:pPr>
            <w:r w:rsidRPr="00E22DF8">
              <w:rPr>
                <w:b/>
                <w:sz w:val="22"/>
                <w:szCs w:val="22"/>
                <w:lang w:val="sr-Latn-ME"/>
              </w:rPr>
              <w:t>Rivaroksaban 20 mg</w:t>
            </w:r>
          </w:p>
          <w:p w:rsidR="0025564D" w:rsidRPr="00E22DF8" w:rsidRDefault="0025564D" w:rsidP="0025564D">
            <w:pPr>
              <w:widowControl w:val="0"/>
              <w:autoSpaceDE w:val="0"/>
              <w:autoSpaceDN w:val="0"/>
              <w:spacing w:before="8" w:line="244" w:lineRule="exact"/>
              <w:ind w:left="9"/>
              <w:jc w:val="center"/>
              <w:rPr>
                <w:b/>
                <w:sz w:val="22"/>
                <w:szCs w:val="22"/>
                <w:lang w:val="sr-Latn-ME"/>
              </w:rPr>
            </w:pPr>
            <w:r w:rsidRPr="00E22DF8">
              <w:rPr>
                <w:b/>
                <w:sz w:val="22"/>
                <w:szCs w:val="22"/>
                <w:lang w:val="sr-Latn-ME"/>
              </w:rPr>
              <w:t>jednom dnevno N=1107</w:t>
            </w:r>
          </w:p>
        </w:tc>
        <w:tc>
          <w:tcPr>
            <w:tcW w:w="2266" w:type="dxa"/>
          </w:tcPr>
          <w:p w:rsidR="0025564D" w:rsidRPr="00E22DF8" w:rsidRDefault="0025564D" w:rsidP="0025564D">
            <w:pPr>
              <w:widowControl w:val="0"/>
              <w:autoSpaceDE w:val="0"/>
              <w:autoSpaceDN w:val="0"/>
              <w:spacing w:line="242" w:lineRule="exact"/>
              <w:ind w:left="9"/>
              <w:jc w:val="center"/>
              <w:rPr>
                <w:b/>
                <w:sz w:val="22"/>
                <w:szCs w:val="22"/>
                <w:lang w:val="sr-Latn-ME"/>
              </w:rPr>
            </w:pPr>
            <w:r w:rsidRPr="00E22DF8">
              <w:rPr>
                <w:b/>
                <w:sz w:val="22"/>
                <w:szCs w:val="22"/>
                <w:lang w:val="sr-Latn-ME"/>
              </w:rPr>
              <w:t>Rivaroksaban 10 mg</w:t>
            </w:r>
          </w:p>
          <w:p w:rsidR="0025564D" w:rsidRPr="00E22DF8" w:rsidRDefault="0025564D" w:rsidP="0025564D">
            <w:pPr>
              <w:widowControl w:val="0"/>
              <w:autoSpaceDE w:val="0"/>
              <w:autoSpaceDN w:val="0"/>
              <w:spacing w:before="8" w:line="244" w:lineRule="exact"/>
              <w:ind w:left="9"/>
              <w:jc w:val="center"/>
              <w:rPr>
                <w:b/>
                <w:sz w:val="22"/>
                <w:szCs w:val="22"/>
                <w:lang w:val="sr-Latn-ME"/>
              </w:rPr>
            </w:pPr>
            <w:r w:rsidRPr="00E22DF8">
              <w:rPr>
                <w:b/>
                <w:sz w:val="22"/>
                <w:szCs w:val="22"/>
                <w:lang w:val="sr-Latn-ME"/>
              </w:rPr>
              <w:t>jednom dnevno N=1127</w:t>
            </w:r>
          </w:p>
        </w:tc>
        <w:tc>
          <w:tcPr>
            <w:tcW w:w="2266" w:type="dxa"/>
          </w:tcPr>
          <w:p w:rsidR="0025564D" w:rsidRPr="00E22DF8" w:rsidRDefault="0025564D" w:rsidP="0025564D">
            <w:pPr>
              <w:widowControl w:val="0"/>
              <w:autoSpaceDE w:val="0"/>
              <w:autoSpaceDN w:val="0"/>
              <w:spacing w:line="242" w:lineRule="exact"/>
              <w:ind w:left="10"/>
              <w:jc w:val="center"/>
              <w:rPr>
                <w:b/>
                <w:sz w:val="22"/>
                <w:szCs w:val="22"/>
                <w:lang w:val="sr-Latn-ME"/>
              </w:rPr>
            </w:pPr>
            <w:r w:rsidRPr="00E22DF8">
              <w:rPr>
                <w:b/>
                <w:sz w:val="22"/>
                <w:szCs w:val="22"/>
                <w:lang w:val="sr-Latn-ME"/>
              </w:rPr>
              <w:t>ASK 100 mg</w:t>
            </w:r>
          </w:p>
          <w:p w:rsidR="0025564D" w:rsidRPr="00E22DF8" w:rsidRDefault="0025564D" w:rsidP="0025564D">
            <w:pPr>
              <w:widowControl w:val="0"/>
              <w:autoSpaceDE w:val="0"/>
              <w:autoSpaceDN w:val="0"/>
              <w:spacing w:line="254" w:lineRule="exact"/>
              <w:ind w:left="10"/>
              <w:jc w:val="center"/>
              <w:rPr>
                <w:b/>
                <w:sz w:val="22"/>
                <w:szCs w:val="22"/>
                <w:lang w:val="sr-Latn-ME"/>
              </w:rPr>
            </w:pPr>
            <w:r w:rsidRPr="00E22DF8">
              <w:rPr>
                <w:b/>
                <w:sz w:val="22"/>
                <w:szCs w:val="22"/>
                <w:lang w:val="sr-Latn-ME"/>
              </w:rPr>
              <w:t>jednom dnevno N=1131</w:t>
            </w:r>
          </w:p>
        </w:tc>
      </w:tr>
      <w:tr w:rsidR="0025564D" w:rsidRPr="00E22DF8" w:rsidTr="004D23C1">
        <w:tc>
          <w:tcPr>
            <w:tcW w:w="2265" w:type="dxa"/>
          </w:tcPr>
          <w:p w:rsidR="0025564D" w:rsidRPr="00E22DF8" w:rsidRDefault="0025564D" w:rsidP="0025564D">
            <w:pPr>
              <w:widowControl w:val="0"/>
              <w:autoSpaceDE w:val="0"/>
              <w:autoSpaceDN w:val="0"/>
              <w:spacing w:before="1" w:line="244" w:lineRule="exact"/>
              <w:ind w:left="9"/>
              <w:rPr>
                <w:sz w:val="22"/>
                <w:szCs w:val="22"/>
                <w:lang w:val="sr-Latn-ME"/>
              </w:rPr>
            </w:pPr>
            <w:r w:rsidRPr="00E22DF8">
              <w:rPr>
                <w:sz w:val="22"/>
                <w:szCs w:val="22"/>
                <w:lang w:val="sr-Latn-ME"/>
              </w:rPr>
              <w:t>Trajanje terapije medijana (interkvartilni raspon)</w:t>
            </w:r>
          </w:p>
        </w:tc>
        <w:tc>
          <w:tcPr>
            <w:tcW w:w="2266" w:type="dxa"/>
            <w:vAlign w:val="center"/>
          </w:tcPr>
          <w:p w:rsidR="0025564D" w:rsidRPr="00E22DF8" w:rsidRDefault="0025564D" w:rsidP="0025564D">
            <w:pPr>
              <w:widowControl w:val="0"/>
              <w:autoSpaceDE w:val="0"/>
              <w:autoSpaceDN w:val="0"/>
              <w:spacing w:line="244" w:lineRule="exact"/>
              <w:ind w:left="9"/>
              <w:jc w:val="center"/>
              <w:rPr>
                <w:sz w:val="22"/>
                <w:szCs w:val="22"/>
                <w:lang w:val="sr-Latn-ME"/>
              </w:rPr>
            </w:pPr>
            <w:r w:rsidRPr="00E22DF8">
              <w:rPr>
                <w:sz w:val="22"/>
                <w:szCs w:val="22"/>
                <w:lang w:val="sr-Latn-ME"/>
              </w:rPr>
              <w:t>349 [189-362] dana</w:t>
            </w:r>
          </w:p>
        </w:tc>
        <w:tc>
          <w:tcPr>
            <w:tcW w:w="2266" w:type="dxa"/>
            <w:vAlign w:val="center"/>
          </w:tcPr>
          <w:p w:rsidR="0025564D" w:rsidRPr="00E22DF8" w:rsidRDefault="0025564D" w:rsidP="0025564D">
            <w:pPr>
              <w:widowControl w:val="0"/>
              <w:autoSpaceDE w:val="0"/>
              <w:autoSpaceDN w:val="0"/>
              <w:spacing w:line="244" w:lineRule="exact"/>
              <w:ind w:left="9"/>
              <w:jc w:val="center"/>
              <w:rPr>
                <w:sz w:val="22"/>
                <w:szCs w:val="22"/>
                <w:lang w:val="sr-Latn-ME"/>
              </w:rPr>
            </w:pPr>
            <w:r w:rsidRPr="00E22DF8">
              <w:rPr>
                <w:sz w:val="22"/>
                <w:szCs w:val="22"/>
                <w:lang w:val="sr-Latn-ME"/>
              </w:rPr>
              <w:t>353 [190-362] dana</w:t>
            </w:r>
          </w:p>
        </w:tc>
        <w:tc>
          <w:tcPr>
            <w:tcW w:w="2266" w:type="dxa"/>
            <w:vAlign w:val="center"/>
          </w:tcPr>
          <w:p w:rsidR="0025564D" w:rsidRPr="00E22DF8" w:rsidRDefault="0025564D" w:rsidP="0025564D">
            <w:pPr>
              <w:widowControl w:val="0"/>
              <w:autoSpaceDE w:val="0"/>
              <w:autoSpaceDN w:val="0"/>
              <w:spacing w:line="244" w:lineRule="exact"/>
              <w:ind w:left="10"/>
              <w:jc w:val="center"/>
              <w:rPr>
                <w:sz w:val="22"/>
                <w:szCs w:val="22"/>
                <w:lang w:val="sr-Latn-ME"/>
              </w:rPr>
            </w:pPr>
            <w:r w:rsidRPr="00E22DF8">
              <w:rPr>
                <w:sz w:val="22"/>
                <w:szCs w:val="22"/>
                <w:lang w:val="sr-Latn-ME"/>
              </w:rPr>
              <w:t>350 [186-362] dana</w:t>
            </w:r>
          </w:p>
        </w:tc>
      </w:tr>
      <w:tr w:rsidR="0025564D" w:rsidRPr="00E22DF8" w:rsidTr="004D23C1">
        <w:tc>
          <w:tcPr>
            <w:tcW w:w="2265" w:type="dxa"/>
          </w:tcPr>
          <w:p w:rsidR="0025564D" w:rsidRPr="00E22DF8" w:rsidRDefault="0025564D" w:rsidP="0025564D">
            <w:pPr>
              <w:widowControl w:val="0"/>
              <w:autoSpaceDE w:val="0"/>
              <w:autoSpaceDN w:val="0"/>
              <w:spacing w:line="235" w:lineRule="exact"/>
              <w:ind w:left="9"/>
              <w:rPr>
                <w:sz w:val="22"/>
                <w:szCs w:val="22"/>
                <w:lang w:val="sr-Latn-ME"/>
              </w:rPr>
            </w:pPr>
            <w:r w:rsidRPr="00E22DF8">
              <w:rPr>
                <w:sz w:val="22"/>
                <w:szCs w:val="22"/>
                <w:lang w:val="sr-Latn-ME"/>
              </w:rPr>
              <w:t>Simptomatska rekurentna VTE</w:t>
            </w:r>
          </w:p>
        </w:tc>
        <w:tc>
          <w:tcPr>
            <w:tcW w:w="2266" w:type="dxa"/>
            <w:vAlign w:val="center"/>
          </w:tcPr>
          <w:p w:rsidR="0025564D" w:rsidRPr="00E22DF8" w:rsidRDefault="0025564D" w:rsidP="0025564D">
            <w:pPr>
              <w:widowControl w:val="0"/>
              <w:autoSpaceDE w:val="0"/>
              <w:autoSpaceDN w:val="0"/>
              <w:spacing w:line="226" w:lineRule="exact"/>
              <w:ind w:left="565" w:right="546"/>
              <w:jc w:val="center"/>
              <w:rPr>
                <w:sz w:val="22"/>
                <w:szCs w:val="22"/>
                <w:lang w:val="sr-Latn-ME"/>
              </w:rPr>
            </w:pPr>
            <w:r w:rsidRPr="00E22DF8">
              <w:rPr>
                <w:sz w:val="22"/>
                <w:szCs w:val="22"/>
                <w:lang w:val="sr-Latn-ME"/>
              </w:rPr>
              <w:t>17</w:t>
            </w:r>
          </w:p>
          <w:p w:rsidR="0025564D" w:rsidRPr="00E22DF8" w:rsidRDefault="0025564D" w:rsidP="0025564D">
            <w:pPr>
              <w:widowControl w:val="0"/>
              <w:autoSpaceDE w:val="0"/>
              <w:autoSpaceDN w:val="0"/>
              <w:spacing w:line="224" w:lineRule="exact"/>
              <w:ind w:left="565" w:right="545"/>
              <w:jc w:val="center"/>
              <w:rPr>
                <w:sz w:val="22"/>
                <w:szCs w:val="22"/>
                <w:lang w:val="sr-Latn-ME"/>
              </w:rPr>
            </w:pPr>
            <w:r w:rsidRPr="00E22DF8">
              <w:rPr>
                <w:sz w:val="22"/>
                <w:szCs w:val="22"/>
                <w:lang w:val="sr-Latn-ME"/>
              </w:rPr>
              <w:t>(1,5%)*</w:t>
            </w:r>
          </w:p>
        </w:tc>
        <w:tc>
          <w:tcPr>
            <w:tcW w:w="2266" w:type="dxa"/>
            <w:vAlign w:val="center"/>
          </w:tcPr>
          <w:p w:rsidR="0025564D" w:rsidRPr="00E22DF8" w:rsidRDefault="0025564D" w:rsidP="0025564D">
            <w:pPr>
              <w:widowControl w:val="0"/>
              <w:autoSpaceDE w:val="0"/>
              <w:autoSpaceDN w:val="0"/>
              <w:spacing w:line="226" w:lineRule="exact"/>
              <w:ind w:left="565" w:right="545"/>
              <w:jc w:val="center"/>
              <w:rPr>
                <w:sz w:val="22"/>
                <w:szCs w:val="22"/>
                <w:lang w:val="sr-Latn-ME"/>
              </w:rPr>
            </w:pPr>
            <w:r w:rsidRPr="00E22DF8">
              <w:rPr>
                <w:sz w:val="22"/>
                <w:szCs w:val="22"/>
                <w:lang w:val="sr-Latn-ME"/>
              </w:rPr>
              <w:t>13</w:t>
            </w:r>
          </w:p>
          <w:p w:rsidR="0025564D" w:rsidRPr="00E22DF8" w:rsidRDefault="0025564D" w:rsidP="0025564D">
            <w:pPr>
              <w:widowControl w:val="0"/>
              <w:autoSpaceDE w:val="0"/>
              <w:autoSpaceDN w:val="0"/>
              <w:spacing w:line="224" w:lineRule="exact"/>
              <w:ind w:left="565" w:right="546"/>
              <w:jc w:val="center"/>
              <w:rPr>
                <w:sz w:val="22"/>
                <w:szCs w:val="22"/>
                <w:lang w:val="sr-Latn-ME"/>
              </w:rPr>
            </w:pPr>
            <w:r w:rsidRPr="00E22DF8">
              <w:rPr>
                <w:sz w:val="22"/>
                <w:szCs w:val="22"/>
                <w:lang w:val="sr-Latn-ME"/>
              </w:rPr>
              <w:t>(1,2%)**</w:t>
            </w:r>
          </w:p>
        </w:tc>
        <w:tc>
          <w:tcPr>
            <w:tcW w:w="2266" w:type="dxa"/>
            <w:vAlign w:val="center"/>
          </w:tcPr>
          <w:p w:rsidR="0025564D" w:rsidRPr="00E22DF8" w:rsidRDefault="0025564D" w:rsidP="0025564D">
            <w:pPr>
              <w:widowControl w:val="0"/>
              <w:autoSpaceDE w:val="0"/>
              <w:autoSpaceDN w:val="0"/>
              <w:spacing w:line="226" w:lineRule="exact"/>
              <w:ind w:left="565" w:right="545"/>
              <w:jc w:val="center"/>
              <w:rPr>
                <w:sz w:val="22"/>
                <w:szCs w:val="22"/>
                <w:lang w:val="sr-Latn-ME"/>
              </w:rPr>
            </w:pPr>
            <w:r w:rsidRPr="00E22DF8">
              <w:rPr>
                <w:sz w:val="22"/>
                <w:szCs w:val="22"/>
                <w:lang w:val="sr-Latn-ME"/>
              </w:rPr>
              <w:t>50</w:t>
            </w:r>
          </w:p>
          <w:p w:rsidR="0025564D" w:rsidRPr="00E22DF8" w:rsidRDefault="0025564D" w:rsidP="0025564D">
            <w:pPr>
              <w:widowControl w:val="0"/>
              <w:autoSpaceDE w:val="0"/>
              <w:autoSpaceDN w:val="0"/>
              <w:spacing w:line="224" w:lineRule="exact"/>
              <w:ind w:left="565" w:right="543"/>
              <w:jc w:val="center"/>
              <w:rPr>
                <w:sz w:val="22"/>
                <w:szCs w:val="22"/>
                <w:lang w:val="sr-Latn-ME"/>
              </w:rPr>
            </w:pPr>
            <w:r w:rsidRPr="00E22DF8">
              <w:rPr>
                <w:sz w:val="22"/>
                <w:szCs w:val="22"/>
                <w:lang w:val="sr-Latn-ME"/>
              </w:rPr>
              <w:t>(4,4%)</w:t>
            </w:r>
          </w:p>
        </w:tc>
      </w:tr>
      <w:tr w:rsidR="0025564D" w:rsidRPr="00E22DF8" w:rsidTr="004D23C1">
        <w:tc>
          <w:tcPr>
            <w:tcW w:w="2265" w:type="dxa"/>
          </w:tcPr>
          <w:p w:rsidR="0025564D" w:rsidRPr="00E22DF8" w:rsidRDefault="0025564D"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PE</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6</w:t>
            </w:r>
          </w:p>
          <w:p w:rsidR="0025564D" w:rsidRPr="00E22DF8" w:rsidRDefault="0025564D" w:rsidP="0025564D">
            <w:pPr>
              <w:widowControl w:val="0"/>
              <w:autoSpaceDE w:val="0"/>
              <w:autoSpaceDN w:val="0"/>
              <w:spacing w:line="220" w:lineRule="exact"/>
              <w:ind w:left="565" w:right="544"/>
              <w:jc w:val="center"/>
              <w:rPr>
                <w:sz w:val="22"/>
                <w:szCs w:val="22"/>
                <w:lang w:val="sr-Latn-ME"/>
              </w:rPr>
            </w:pPr>
            <w:r w:rsidRPr="00E22DF8">
              <w:rPr>
                <w:sz w:val="22"/>
                <w:szCs w:val="22"/>
                <w:lang w:val="sr-Latn-ME"/>
              </w:rPr>
              <w:t>(0,5%)</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6</w:t>
            </w:r>
          </w:p>
          <w:p w:rsidR="0025564D" w:rsidRPr="00E22DF8" w:rsidRDefault="0025564D" w:rsidP="0025564D">
            <w:pPr>
              <w:widowControl w:val="0"/>
              <w:autoSpaceDE w:val="0"/>
              <w:autoSpaceDN w:val="0"/>
              <w:spacing w:line="220" w:lineRule="exact"/>
              <w:ind w:left="565" w:right="544"/>
              <w:jc w:val="center"/>
              <w:rPr>
                <w:sz w:val="22"/>
                <w:szCs w:val="22"/>
                <w:lang w:val="sr-Latn-ME"/>
              </w:rPr>
            </w:pPr>
            <w:r w:rsidRPr="00E22DF8">
              <w:rPr>
                <w:sz w:val="22"/>
                <w:szCs w:val="22"/>
                <w:lang w:val="sr-Latn-ME"/>
              </w:rPr>
              <w:t>(0,5%)</w:t>
            </w:r>
          </w:p>
        </w:tc>
        <w:tc>
          <w:tcPr>
            <w:tcW w:w="2266" w:type="dxa"/>
            <w:vAlign w:val="center"/>
          </w:tcPr>
          <w:p w:rsidR="0025564D" w:rsidRPr="00E22DF8" w:rsidRDefault="0025564D" w:rsidP="0025564D">
            <w:pPr>
              <w:widowControl w:val="0"/>
              <w:autoSpaceDE w:val="0"/>
              <w:autoSpaceDN w:val="0"/>
              <w:spacing w:line="226" w:lineRule="exact"/>
              <w:ind w:left="565" w:right="545"/>
              <w:jc w:val="center"/>
              <w:rPr>
                <w:sz w:val="22"/>
                <w:szCs w:val="22"/>
                <w:lang w:val="sr-Latn-ME"/>
              </w:rPr>
            </w:pPr>
            <w:r w:rsidRPr="00E22DF8">
              <w:rPr>
                <w:sz w:val="22"/>
                <w:szCs w:val="22"/>
                <w:lang w:val="sr-Latn-ME"/>
              </w:rPr>
              <w:t>19</w:t>
            </w:r>
          </w:p>
          <w:p w:rsidR="0025564D" w:rsidRPr="00E22DF8" w:rsidRDefault="0025564D" w:rsidP="0025564D">
            <w:pPr>
              <w:widowControl w:val="0"/>
              <w:autoSpaceDE w:val="0"/>
              <w:autoSpaceDN w:val="0"/>
              <w:spacing w:line="220" w:lineRule="exact"/>
              <w:ind w:left="565" w:right="543"/>
              <w:jc w:val="center"/>
              <w:rPr>
                <w:sz w:val="22"/>
                <w:szCs w:val="22"/>
                <w:lang w:val="sr-Latn-ME"/>
              </w:rPr>
            </w:pPr>
            <w:r w:rsidRPr="00E22DF8">
              <w:rPr>
                <w:sz w:val="22"/>
                <w:szCs w:val="22"/>
                <w:lang w:val="sr-Latn-ME"/>
              </w:rPr>
              <w:t>(1,7%)</w:t>
            </w:r>
          </w:p>
        </w:tc>
      </w:tr>
      <w:tr w:rsidR="0025564D" w:rsidRPr="00E22DF8" w:rsidTr="004D23C1">
        <w:tc>
          <w:tcPr>
            <w:tcW w:w="2265" w:type="dxa"/>
          </w:tcPr>
          <w:p w:rsidR="0025564D" w:rsidRPr="00E22DF8" w:rsidRDefault="0025564D" w:rsidP="0064584A">
            <w:pPr>
              <w:widowControl w:val="0"/>
              <w:autoSpaceDE w:val="0"/>
              <w:autoSpaceDN w:val="0"/>
              <w:spacing w:line="235" w:lineRule="exact"/>
              <w:ind w:left="9"/>
              <w:jc w:val="right"/>
              <w:rPr>
                <w:sz w:val="22"/>
                <w:szCs w:val="22"/>
                <w:lang w:val="sr-Latn-ME"/>
              </w:rPr>
            </w:pPr>
            <w:r w:rsidRPr="00E22DF8">
              <w:rPr>
                <w:sz w:val="22"/>
                <w:szCs w:val="22"/>
                <w:lang w:val="sr-Latn-ME"/>
              </w:rPr>
              <w:t>Simptomatska rekurentna TDV</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9</w:t>
            </w:r>
          </w:p>
          <w:p w:rsidR="0025564D" w:rsidRPr="00E22DF8" w:rsidRDefault="0025564D" w:rsidP="0025564D">
            <w:pPr>
              <w:widowControl w:val="0"/>
              <w:autoSpaceDE w:val="0"/>
              <w:autoSpaceDN w:val="0"/>
              <w:spacing w:line="224" w:lineRule="exact"/>
              <w:ind w:left="565" w:right="544"/>
              <w:jc w:val="center"/>
              <w:rPr>
                <w:sz w:val="22"/>
                <w:szCs w:val="22"/>
                <w:lang w:val="sr-Latn-ME"/>
              </w:rPr>
            </w:pPr>
            <w:r w:rsidRPr="00E22DF8">
              <w:rPr>
                <w:sz w:val="22"/>
                <w:szCs w:val="22"/>
                <w:lang w:val="sr-Latn-ME"/>
              </w:rPr>
              <w:t>(0,8%)</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8</w:t>
            </w:r>
          </w:p>
          <w:p w:rsidR="0025564D" w:rsidRPr="00E22DF8" w:rsidRDefault="0025564D" w:rsidP="0025564D">
            <w:pPr>
              <w:widowControl w:val="0"/>
              <w:autoSpaceDE w:val="0"/>
              <w:autoSpaceDN w:val="0"/>
              <w:spacing w:line="224" w:lineRule="exact"/>
              <w:ind w:left="565" w:right="544"/>
              <w:jc w:val="center"/>
              <w:rPr>
                <w:sz w:val="22"/>
                <w:szCs w:val="22"/>
                <w:lang w:val="sr-Latn-ME"/>
              </w:rPr>
            </w:pPr>
            <w:r w:rsidRPr="00E22DF8">
              <w:rPr>
                <w:sz w:val="22"/>
                <w:szCs w:val="22"/>
                <w:lang w:val="sr-Latn-ME"/>
              </w:rPr>
              <w:t>(0,7%)</w:t>
            </w:r>
          </w:p>
        </w:tc>
        <w:tc>
          <w:tcPr>
            <w:tcW w:w="2266" w:type="dxa"/>
            <w:vAlign w:val="center"/>
          </w:tcPr>
          <w:p w:rsidR="0025564D" w:rsidRPr="00E22DF8" w:rsidRDefault="0025564D" w:rsidP="0025564D">
            <w:pPr>
              <w:widowControl w:val="0"/>
              <w:autoSpaceDE w:val="0"/>
              <w:autoSpaceDN w:val="0"/>
              <w:spacing w:line="226" w:lineRule="exact"/>
              <w:ind w:left="565" w:right="545"/>
              <w:jc w:val="center"/>
              <w:rPr>
                <w:sz w:val="22"/>
                <w:szCs w:val="22"/>
                <w:lang w:val="sr-Latn-ME"/>
              </w:rPr>
            </w:pPr>
            <w:r w:rsidRPr="00E22DF8">
              <w:rPr>
                <w:sz w:val="22"/>
                <w:szCs w:val="22"/>
                <w:lang w:val="sr-Latn-ME"/>
              </w:rPr>
              <w:t>30</w:t>
            </w:r>
          </w:p>
          <w:p w:rsidR="0025564D" w:rsidRPr="00E22DF8" w:rsidRDefault="0025564D" w:rsidP="0025564D">
            <w:pPr>
              <w:widowControl w:val="0"/>
              <w:autoSpaceDE w:val="0"/>
              <w:autoSpaceDN w:val="0"/>
              <w:spacing w:line="224" w:lineRule="exact"/>
              <w:ind w:left="565" w:right="543"/>
              <w:jc w:val="center"/>
              <w:rPr>
                <w:sz w:val="22"/>
                <w:szCs w:val="22"/>
                <w:lang w:val="sr-Latn-ME"/>
              </w:rPr>
            </w:pPr>
            <w:r w:rsidRPr="00E22DF8">
              <w:rPr>
                <w:sz w:val="22"/>
                <w:szCs w:val="22"/>
                <w:lang w:val="sr-Latn-ME"/>
              </w:rPr>
              <w:t>(2,7%)</w:t>
            </w:r>
          </w:p>
        </w:tc>
      </w:tr>
      <w:tr w:rsidR="0025564D" w:rsidRPr="00E22DF8" w:rsidTr="004D23C1">
        <w:tc>
          <w:tcPr>
            <w:tcW w:w="2265" w:type="dxa"/>
          </w:tcPr>
          <w:p w:rsidR="0025564D" w:rsidRPr="00E22DF8" w:rsidRDefault="0025564D" w:rsidP="0064584A">
            <w:pPr>
              <w:widowControl w:val="0"/>
              <w:autoSpaceDE w:val="0"/>
              <w:autoSpaceDN w:val="0"/>
              <w:spacing w:before="5" w:line="223" w:lineRule="auto"/>
              <w:ind w:left="9"/>
              <w:jc w:val="right"/>
              <w:rPr>
                <w:sz w:val="22"/>
                <w:szCs w:val="22"/>
                <w:lang w:val="sr-Latn-ME"/>
              </w:rPr>
            </w:pPr>
            <w:r w:rsidRPr="00E22DF8">
              <w:rPr>
                <w:sz w:val="22"/>
                <w:szCs w:val="22"/>
                <w:lang w:val="sr-Latn-ME"/>
              </w:rPr>
              <w:t>PE sa smrtnim ishodom/smrt pri kojoj se PE ne može isključiti</w:t>
            </w:r>
          </w:p>
        </w:tc>
        <w:tc>
          <w:tcPr>
            <w:tcW w:w="2266" w:type="dxa"/>
            <w:vAlign w:val="center"/>
          </w:tcPr>
          <w:p w:rsidR="0025564D" w:rsidRPr="00E22DF8" w:rsidRDefault="0025564D" w:rsidP="0025564D">
            <w:pPr>
              <w:widowControl w:val="0"/>
              <w:autoSpaceDE w:val="0"/>
              <w:autoSpaceDN w:val="0"/>
              <w:spacing w:line="240" w:lineRule="exact"/>
              <w:ind w:left="15"/>
              <w:jc w:val="center"/>
              <w:rPr>
                <w:sz w:val="22"/>
                <w:szCs w:val="22"/>
                <w:lang w:val="sr-Latn-ME"/>
              </w:rPr>
            </w:pPr>
            <w:r w:rsidRPr="00E22DF8">
              <w:rPr>
                <w:sz w:val="22"/>
                <w:szCs w:val="22"/>
                <w:lang w:val="sr-Latn-ME"/>
              </w:rPr>
              <w:t>2</w:t>
            </w:r>
          </w:p>
          <w:p w:rsidR="0025564D" w:rsidRPr="00E22DF8" w:rsidRDefault="0025564D" w:rsidP="0025564D">
            <w:pPr>
              <w:widowControl w:val="0"/>
              <w:autoSpaceDE w:val="0"/>
              <w:autoSpaceDN w:val="0"/>
              <w:spacing w:line="244" w:lineRule="exact"/>
              <w:ind w:left="565" w:right="544"/>
              <w:jc w:val="center"/>
              <w:rPr>
                <w:sz w:val="22"/>
                <w:szCs w:val="22"/>
                <w:lang w:val="sr-Latn-ME"/>
              </w:rPr>
            </w:pPr>
            <w:r w:rsidRPr="00E22DF8">
              <w:rPr>
                <w:sz w:val="22"/>
                <w:szCs w:val="22"/>
                <w:lang w:val="sr-Latn-ME"/>
              </w:rPr>
              <w:t>(0,2%)</w:t>
            </w:r>
          </w:p>
        </w:tc>
        <w:tc>
          <w:tcPr>
            <w:tcW w:w="2266" w:type="dxa"/>
            <w:vAlign w:val="center"/>
          </w:tcPr>
          <w:p w:rsidR="0025564D" w:rsidRPr="00E22DF8" w:rsidRDefault="0025564D" w:rsidP="0025564D">
            <w:pPr>
              <w:widowControl w:val="0"/>
              <w:autoSpaceDE w:val="0"/>
              <w:autoSpaceDN w:val="0"/>
              <w:spacing w:line="244" w:lineRule="exact"/>
              <w:ind w:left="15"/>
              <w:jc w:val="center"/>
              <w:rPr>
                <w:sz w:val="22"/>
                <w:szCs w:val="22"/>
                <w:lang w:val="sr-Latn-ME"/>
              </w:rPr>
            </w:pPr>
            <w:r w:rsidRPr="00E22DF8">
              <w:rPr>
                <w:sz w:val="22"/>
                <w:szCs w:val="22"/>
                <w:lang w:val="sr-Latn-ME"/>
              </w:rPr>
              <w:t>0</w:t>
            </w:r>
          </w:p>
        </w:tc>
        <w:tc>
          <w:tcPr>
            <w:tcW w:w="2266" w:type="dxa"/>
            <w:vAlign w:val="center"/>
          </w:tcPr>
          <w:p w:rsidR="0025564D" w:rsidRPr="00E22DF8" w:rsidRDefault="0025564D" w:rsidP="0025564D">
            <w:pPr>
              <w:widowControl w:val="0"/>
              <w:autoSpaceDE w:val="0"/>
              <w:autoSpaceDN w:val="0"/>
              <w:spacing w:line="240" w:lineRule="exact"/>
              <w:ind w:left="15"/>
              <w:jc w:val="center"/>
              <w:rPr>
                <w:sz w:val="22"/>
                <w:szCs w:val="22"/>
                <w:lang w:val="sr-Latn-ME"/>
              </w:rPr>
            </w:pPr>
            <w:r w:rsidRPr="00E22DF8">
              <w:rPr>
                <w:sz w:val="22"/>
                <w:szCs w:val="22"/>
                <w:lang w:val="sr-Latn-ME"/>
              </w:rPr>
              <w:t>2</w:t>
            </w:r>
          </w:p>
          <w:p w:rsidR="0025564D" w:rsidRPr="00E22DF8" w:rsidRDefault="0025564D" w:rsidP="0025564D">
            <w:pPr>
              <w:widowControl w:val="0"/>
              <w:autoSpaceDE w:val="0"/>
              <w:autoSpaceDN w:val="0"/>
              <w:spacing w:line="244" w:lineRule="exact"/>
              <w:ind w:left="565" w:right="543"/>
              <w:jc w:val="center"/>
              <w:rPr>
                <w:sz w:val="22"/>
                <w:szCs w:val="22"/>
                <w:lang w:val="sr-Latn-ME"/>
              </w:rPr>
            </w:pPr>
            <w:r w:rsidRPr="00E22DF8">
              <w:rPr>
                <w:sz w:val="22"/>
                <w:szCs w:val="22"/>
                <w:lang w:val="sr-Latn-ME"/>
              </w:rPr>
              <w:t>(0,2%)</w:t>
            </w:r>
          </w:p>
        </w:tc>
      </w:tr>
      <w:tr w:rsidR="0025564D" w:rsidRPr="00E22DF8" w:rsidTr="004D23C1">
        <w:tc>
          <w:tcPr>
            <w:tcW w:w="2265" w:type="dxa"/>
          </w:tcPr>
          <w:p w:rsidR="0025564D" w:rsidRPr="00E22DF8" w:rsidRDefault="0025564D" w:rsidP="0025564D">
            <w:pPr>
              <w:widowControl w:val="0"/>
              <w:autoSpaceDE w:val="0"/>
              <w:autoSpaceDN w:val="0"/>
              <w:spacing w:line="242" w:lineRule="auto"/>
              <w:ind w:left="9"/>
              <w:rPr>
                <w:sz w:val="22"/>
                <w:szCs w:val="22"/>
                <w:lang w:val="sr-Latn-ME"/>
              </w:rPr>
            </w:pPr>
            <w:r w:rsidRPr="00E22DF8">
              <w:rPr>
                <w:sz w:val="22"/>
                <w:szCs w:val="22"/>
                <w:lang w:val="sr-Latn-ME"/>
              </w:rPr>
              <w:t>Simptomatska rekurentna VTE, infarkt miokarda, moždani udar</w:t>
            </w:r>
          </w:p>
          <w:p w:rsidR="0025564D" w:rsidRPr="00E22DF8" w:rsidRDefault="0025564D" w:rsidP="0025564D">
            <w:pPr>
              <w:widowControl w:val="0"/>
              <w:autoSpaceDE w:val="0"/>
              <w:autoSpaceDN w:val="0"/>
              <w:spacing w:line="250" w:lineRule="exact"/>
              <w:ind w:left="9" w:right="460"/>
              <w:rPr>
                <w:sz w:val="22"/>
                <w:szCs w:val="22"/>
                <w:lang w:val="sr-Latn-ME"/>
              </w:rPr>
            </w:pPr>
            <w:r w:rsidRPr="00E22DF8">
              <w:rPr>
                <w:sz w:val="22"/>
                <w:szCs w:val="22"/>
                <w:lang w:val="sr-Latn-ME"/>
              </w:rPr>
              <w:t>ili sistemska embolija koja ne obuhvata CNS</w:t>
            </w:r>
          </w:p>
        </w:tc>
        <w:tc>
          <w:tcPr>
            <w:tcW w:w="2266" w:type="dxa"/>
            <w:vAlign w:val="center"/>
          </w:tcPr>
          <w:p w:rsidR="0025564D" w:rsidRPr="00E22DF8" w:rsidRDefault="0025564D" w:rsidP="0025564D">
            <w:pPr>
              <w:widowControl w:val="0"/>
              <w:autoSpaceDE w:val="0"/>
              <w:autoSpaceDN w:val="0"/>
              <w:spacing w:line="240" w:lineRule="exact"/>
              <w:ind w:left="565" w:right="546"/>
              <w:jc w:val="center"/>
              <w:rPr>
                <w:sz w:val="22"/>
                <w:szCs w:val="22"/>
                <w:lang w:val="sr-Latn-ME"/>
              </w:rPr>
            </w:pPr>
            <w:r w:rsidRPr="00E22DF8">
              <w:rPr>
                <w:sz w:val="22"/>
                <w:szCs w:val="22"/>
                <w:lang w:val="sr-Latn-ME"/>
              </w:rPr>
              <w:t>19</w:t>
            </w:r>
          </w:p>
          <w:p w:rsidR="0025564D" w:rsidRPr="00E22DF8" w:rsidRDefault="0025564D" w:rsidP="0025564D">
            <w:pPr>
              <w:widowControl w:val="0"/>
              <w:autoSpaceDE w:val="0"/>
              <w:autoSpaceDN w:val="0"/>
              <w:spacing w:line="249" w:lineRule="exact"/>
              <w:ind w:left="565" w:right="544"/>
              <w:jc w:val="center"/>
              <w:rPr>
                <w:sz w:val="22"/>
                <w:szCs w:val="22"/>
                <w:lang w:val="sr-Latn-ME"/>
              </w:rPr>
            </w:pPr>
            <w:r w:rsidRPr="00E22DF8">
              <w:rPr>
                <w:sz w:val="22"/>
                <w:szCs w:val="22"/>
                <w:lang w:val="sr-Latn-ME"/>
              </w:rPr>
              <w:t>(1,7%)</w:t>
            </w:r>
          </w:p>
        </w:tc>
        <w:tc>
          <w:tcPr>
            <w:tcW w:w="2266" w:type="dxa"/>
            <w:vAlign w:val="center"/>
          </w:tcPr>
          <w:p w:rsidR="0025564D" w:rsidRPr="00E22DF8" w:rsidRDefault="0025564D" w:rsidP="0025564D">
            <w:pPr>
              <w:widowControl w:val="0"/>
              <w:autoSpaceDE w:val="0"/>
              <w:autoSpaceDN w:val="0"/>
              <w:spacing w:line="240" w:lineRule="exact"/>
              <w:ind w:left="565" w:right="545"/>
              <w:jc w:val="center"/>
              <w:rPr>
                <w:sz w:val="22"/>
                <w:szCs w:val="22"/>
                <w:lang w:val="sr-Latn-ME"/>
              </w:rPr>
            </w:pPr>
            <w:r w:rsidRPr="00E22DF8">
              <w:rPr>
                <w:sz w:val="22"/>
                <w:szCs w:val="22"/>
                <w:lang w:val="sr-Latn-ME"/>
              </w:rPr>
              <w:t>18</w:t>
            </w:r>
          </w:p>
          <w:p w:rsidR="0025564D" w:rsidRPr="00E22DF8" w:rsidRDefault="0025564D" w:rsidP="0025564D">
            <w:pPr>
              <w:widowControl w:val="0"/>
              <w:autoSpaceDE w:val="0"/>
              <w:autoSpaceDN w:val="0"/>
              <w:spacing w:line="249" w:lineRule="exact"/>
              <w:ind w:left="565" w:right="544"/>
              <w:jc w:val="center"/>
              <w:rPr>
                <w:sz w:val="22"/>
                <w:szCs w:val="22"/>
                <w:lang w:val="sr-Latn-ME"/>
              </w:rPr>
            </w:pPr>
            <w:r w:rsidRPr="00E22DF8">
              <w:rPr>
                <w:sz w:val="22"/>
                <w:szCs w:val="22"/>
                <w:lang w:val="sr-Latn-ME"/>
              </w:rPr>
              <w:t>(1,6%)</w:t>
            </w:r>
          </w:p>
        </w:tc>
        <w:tc>
          <w:tcPr>
            <w:tcW w:w="2266" w:type="dxa"/>
            <w:vAlign w:val="center"/>
          </w:tcPr>
          <w:p w:rsidR="0025564D" w:rsidRPr="00E22DF8" w:rsidRDefault="0025564D" w:rsidP="0025564D">
            <w:pPr>
              <w:widowControl w:val="0"/>
              <w:autoSpaceDE w:val="0"/>
              <w:autoSpaceDN w:val="0"/>
              <w:spacing w:line="240" w:lineRule="exact"/>
              <w:ind w:left="565" w:right="545"/>
              <w:jc w:val="center"/>
              <w:rPr>
                <w:sz w:val="22"/>
                <w:szCs w:val="22"/>
                <w:lang w:val="sr-Latn-ME"/>
              </w:rPr>
            </w:pPr>
            <w:r w:rsidRPr="00E22DF8">
              <w:rPr>
                <w:sz w:val="22"/>
                <w:szCs w:val="22"/>
                <w:lang w:val="sr-Latn-ME"/>
              </w:rPr>
              <w:t>56</w:t>
            </w:r>
          </w:p>
          <w:p w:rsidR="0025564D" w:rsidRPr="00E22DF8" w:rsidRDefault="0025564D" w:rsidP="0025564D">
            <w:pPr>
              <w:widowControl w:val="0"/>
              <w:autoSpaceDE w:val="0"/>
              <w:autoSpaceDN w:val="0"/>
              <w:spacing w:line="249" w:lineRule="exact"/>
              <w:ind w:left="565" w:right="543"/>
              <w:jc w:val="center"/>
              <w:rPr>
                <w:sz w:val="22"/>
                <w:szCs w:val="22"/>
                <w:lang w:val="sr-Latn-ME"/>
              </w:rPr>
            </w:pPr>
            <w:r w:rsidRPr="00E22DF8">
              <w:rPr>
                <w:sz w:val="22"/>
                <w:szCs w:val="22"/>
                <w:lang w:val="sr-Latn-ME"/>
              </w:rPr>
              <w:t>(5,0%)</w:t>
            </w:r>
          </w:p>
        </w:tc>
      </w:tr>
      <w:tr w:rsidR="0025564D" w:rsidRPr="00E22DF8" w:rsidTr="004D23C1">
        <w:tc>
          <w:tcPr>
            <w:tcW w:w="2265" w:type="dxa"/>
          </w:tcPr>
          <w:p w:rsidR="0025564D" w:rsidRPr="00E22DF8" w:rsidRDefault="0025564D" w:rsidP="00034420">
            <w:pPr>
              <w:widowControl w:val="0"/>
              <w:autoSpaceDE w:val="0"/>
              <w:autoSpaceDN w:val="0"/>
              <w:spacing w:line="235" w:lineRule="exact"/>
              <w:ind w:left="9"/>
              <w:rPr>
                <w:sz w:val="22"/>
                <w:szCs w:val="22"/>
                <w:lang w:val="sr-Latn-ME"/>
              </w:rPr>
            </w:pPr>
            <w:r w:rsidRPr="00E22DF8">
              <w:rPr>
                <w:sz w:val="22"/>
                <w:szCs w:val="22"/>
                <w:lang w:val="sr-Latn-ME"/>
              </w:rPr>
              <w:t xml:space="preserve">Događaji </w:t>
            </w:r>
            <w:r w:rsidR="00034420" w:rsidRPr="00E22DF8">
              <w:rPr>
                <w:sz w:val="22"/>
                <w:szCs w:val="22"/>
                <w:lang w:val="sr-Latn-ME"/>
              </w:rPr>
              <w:t xml:space="preserve">velikog </w:t>
            </w:r>
            <w:r w:rsidRPr="00E22DF8">
              <w:rPr>
                <w:sz w:val="22"/>
                <w:szCs w:val="22"/>
                <w:lang w:val="sr-Latn-ME"/>
              </w:rPr>
              <w:t>krvarenja</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6</w:t>
            </w:r>
          </w:p>
          <w:p w:rsidR="0025564D" w:rsidRPr="00E22DF8" w:rsidRDefault="0025564D" w:rsidP="0025564D">
            <w:pPr>
              <w:widowControl w:val="0"/>
              <w:autoSpaceDE w:val="0"/>
              <w:autoSpaceDN w:val="0"/>
              <w:spacing w:line="220" w:lineRule="exact"/>
              <w:ind w:left="565" w:right="544"/>
              <w:jc w:val="center"/>
              <w:rPr>
                <w:sz w:val="22"/>
                <w:szCs w:val="22"/>
                <w:lang w:val="sr-Latn-ME"/>
              </w:rPr>
            </w:pPr>
            <w:r w:rsidRPr="00E22DF8">
              <w:rPr>
                <w:sz w:val="22"/>
                <w:szCs w:val="22"/>
                <w:lang w:val="sr-Latn-ME"/>
              </w:rPr>
              <w:t>(0,5%)</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5</w:t>
            </w:r>
          </w:p>
          <w:p w:rsidR="0025564D" w:rsidRPr="00E22DF8" w:rsidRDefault="0025564D" w:rsidP="0025564D">
            <w:pPr>
              <w:widowControl w:val="0"/>
              <w:autoSpaceDE w:val="0"/>
              <w:autoSpaceDN w:val="0"/>
              <w:spacing w:line="220" w:lineRule="exact"/>
              <w:ind w:left="565" w:right="544"/>
              <w:jc w:val="center"/>
              <w:rPr>
                <w:sz w:val="22"/>
                <w:szCs w:val="22"/>
                <w:lang w:val="sr-Latn-ME"/>
              </w:rPr>
            </w:pPr>
            <w:r w:rsidRPr="00E22DF8">
              <w:rPr>
                <w:sz w:val="22"/>
                <w:szCs w:val="22"/>
                <w:lang w:val="sr-Latn-ME"/>
              </w:rPr>
              <w:t>(0,4%)</w:t>
            </w:r>
          </w:p>
        </w:tc>
        <w:tc>
          <w:tcPr>
            <w:tcW w:w="2266" w:type="dxa"/>
            <w:vAlign w:val="center"/>
          </w:tcPr>
          <w:p w:rsidR="0025564D" w:rsidRPr="00E22DF8" w:rsidRDefault="0025564D" w:rsidP="0025564D">
            <w:pPr>
              <w:widowControl w:val="0"/>
              <w:autoSpaceDE w:val="0"/>
              <w:autoSpaceDN w:val="0"/>
              <w:spacing w:line="226" w:lineRule="exact"/>
              <w:ind w:left="15"/>
              <w:jc w:val="center"/>
              <w:rPr>
                <w:sz w:val="22"/>
                <w:szCs w:val="22"/>
                <w:lang w:val="sr-Latn-ME"/>
              </w:rPr>
            </w:pPr>
            <w:r w:rsidRPr="00E22DF8">
              <w:rPr>
                <w:sz w:val="22"/>
                <w:szCs w:val="22"/>
                <w:lang w:val="sr-Latn-ME"/>
              </w:rPr>
              <w:t>3</w:t>
            </w:r>
          </w:p>
          <w:p w:rsidR="0025564D" w:rsidRPr="00E22DF8" w:rsidRDefault="0025564D" w:rsidP="0025564D">
            <w:pPr>
              <w:widowControl w:val="0"/>
              <w:autoSpaceDE w:val="0"/>
              <w:autoSpaceDN w:val="0"/>
              <w:spacing w:line="220" w:lineRule="exact"/>
              <w:ind w:left="565" w:right="543"/>
              <w:jc w:val="center"/>
              <w:rPr>
                <w:sz w:val="22"/>
                <w:szCs w:val="22"/>
                <w:lang w:val="sr-Latn-ME"/>
              </w:rPr>
            </w:pPr>
            <w:r w:rsidRPr="00E22DF8">
              <w:rPr>
                <w:sz w:val="22"/>
                <w:szCs w:val="22"/>
                <w:lang w:val="sr-Latn-ME"/>
              </w:rPr>
              <w:t>(0,3%)</w:t>
            </w:r>
          </w:p>
        </w:tc>
      </w:tr>
      <w:tr w:rsidR="00E32028" w:rsidRPr="00E22DF8" w:rsidTr="00AE7EDC">
        <w:tc>
          <w:tcPr>
            <w:tcW w:w="2265" w:type="dxa"/>
            <w:vAlign w:val="center"/>
          </w:tcPr>
          <w:p w:rsidR="00E32028" w:rsidRPr="00E22DF8" w:rsidRDefault="00E32028" w:rsidP="00034420">
            <w:pPr>
              <w:widowControl w:val="0"/>
              <w:tabs>
                <w:tab w:val="left" w:pos="1070"/>
                <w:tab w:val="left" w:pos="1468"/>
                <w:tab w:val="left" w:pos="2476"/>
              </w:tabs>
              <w:autoSpaceDE w:val="0"/>
              <w:autoSpaceDN w:val="0"/>
              <w:spacing w:before="5" w:line="223" w:lineRule="auto"/>
              <w:ind w:left="9" w:right="88"/>
              <w:rPr>
                <w:sz w:val="22"/>
                <w:szCs w:val="22"/>
                <w:lang w:val="sr-Latn-ME"/>
              </w:rPr>
            </w:pPr>
            <w:r w:rsidRPr="00E22DF8">
              <w:rPr>
                <w:sz w:val="22"/>
                <w:szCs w:val="22"/>
                <w:lang w:val="sr-Latn-ME"/>
              </w:rPr>
              <w:t xml:space="preserve">Klinički značajna </w:t>
            </w:r>
            <w:r w:rsidR="00034420" w:rsidRPr="00E22DF8">
              <w:rPr>
                <w:sz w:val="22"/>
                <w:szCs w:val="22"/>
                <w:lang w:val="sr-Latn-ME"/>
              </w:rPr>
              <w:t xml:space="preserve">manja </w:t>
            </w:r>
            <w:r w:rsidRPr="00E22DF8">
              <w:rPr>
                <w:sz w:val="22"/>
                <w:szCs w:val="22"/>
                <w:lang w:val="sr-Latn-ME"/>
              </w:rPr>
              <w:t>krvarenja</w:t>
            </w:r>
          </w:p>
        </w:tc>
        <w:tc>
          <w:tcPr>
            <w:tcW w:w="2266" w:type="dxa"/>
            <w:vAlign w:val="center"/>
          </w:tcPr>
          <w:p w:rsidR="00E32028" w:rsidRPr="00E22DF8" w:rsidRDefault="00E32028" w:rsidP="00E32028">
            <w:pPr>
              <w:widowControl w:val="0"/>
              <w:autoSpaceDE w:val="0"/>
              <w:autoSpaceDN w:val="0"/>
              <w:spacing w:line="242" w:lineRule="exact"/>
              <w:ind w:left="565" w:right="546"/>
              <w:jc w:val="center"/>
              <w:rPr>
                <w:sz w:val="22"/>
                <w:szCs w:val="22"/>
                <w:lang w:val="sr-Latn-ME"/>
              </w:rPr>
            </w:pPr>
            <w:r w:rsidRPr="00E22DF8">
              <w:rPr>
                <w:sz w:val="22"/>
                <w:szCs w:val="22"/>
                <w:lang w:val="sr-Latn-ME"/>
              </w:rPr>
              <w:t>30</w:t>
            </w:r>
          </w:p>
          <w:p w:rsidR="00E32028" w:rsidRPr="00E22DF8" w:rsidRDefault="00E32028" w:rsidP="00E32028">
            <w:pPr>
              <w:widowControl w:val="0"/>
              <w:autoSpaceDE w:val="0"/>
              <w:autoSpaceDN w:val="0"/>
              <w:spacing w:line="241" w:lineRule="exact"/>
              <w:ind w:left="565" w:right="544"/>
              <w:jc w:val="center"/>
              <w:rPr>
                <w:sz w:val="22"/>
                <w:szCs w:val="22"/>
                <w:lang w:val="sr-Latn-ME"/>
              </w:rPr>
            </w:pPr>
            <w:r w:rsidRPr="00E22DF8">
              <w:rPr>
                <w:sz w:val="22"/>
                <w:szCs w:val="22"/>
                <w:lang w:val="sr-Latn-ME"/>
              </w:rPr>
              <w:t>(2.7%)</w:t>
            </w:r>
          </w:p>
        </w:tc>
        <w:tc>
          <w:tcPr>
            <w:tcW w:w="2266" w:type="dxa"/>
            <w:vAlign w:val="center"/>
          </w:tcPr>
          <w:p w:rsidR="00E32028" w:rsidRPr="00E22DF8" w:rsidRDefault="00E32028" w:rsidP="00E32028">
            <w:pPr>
              <w:widowControl w:val="0"/>
              <w:autoSpaceDE w:val="0"/>
              <w:autoSpaceDN w:val="0"/>
              <w:spacing w:line="242" w:lineRule="exact"/>
              <w:ind w:left="565" w:right="545"/>
              <w:jc w:val="center"/>
              <w:rPr>
                <w:sz w:val="22"/>
                <w:szCs w:val="22"/>
                <w:lang w:val="sr-Latn-ME"/>
              </w:rPr>
            </w:pPr>
            <w:r w:rsidRPr="00E22DF8">
              <w:rPr>
                <w:sz w:val="22"/>
                <w:szCs w:val="22"/>
                <w:lang w:val="sr-Latn-ME"/>
              </w:rPr>
              <w:t>22</w:t>
            </w:r>
          </w:p>
          <w:p w:rsidR="00E32028" w:rsidRPr="00E22DF8" w:rsidRDefault="00E32028" w:rsidP="00E32028">
            <w:pPr>
              <w:widowControl w:val="0"/>
              <w:autoSpaceDE w:val="0"/>
              <w:autoSpaceDN w:val="0"/>
              <w:spacing w:line="241" w:lineRule="exact"/>
              <w:ind w:left="565" w:right="544"/>
              <w:jc w:val="center"/>
              <w:rPr>
                <w:sz w:val="22"/>
                <w:szCs w:val="22"/>
                <w:lang w:val="sr-Latn-ME"/>
              </w:rPr>
            </w:pPr>
            <w:r w:rsidRPr="00E22DF8">
              <w:rPr>
                <w:sz w:val="22"/>
                <w:szCs w:val="22"/>
                <w:lang w:val="sr-Latn-ME"/>
              </w:rPr>
              <w:t>(2.0%)</w:t>
            </w:r>
          </w:p>
        </w:tc>
        <w:tc>
          <w:tcPr>
            <w:tcW w:w="2266" w:type="dxa"/>
            <w:vAlign w:val="center"/>
          </w:tcPr>
          <w:p w:rsidR="00E32028" w:rsidRPr="00E22DF8" w:rsidRDefault="00E32028" w:rsidP="00E32028">
            <w:pPr>
              <w:widowControl w:val="0"/>
              <w:autoSpaceDE w:val="0"/>
              <w:autoSpaceDN w:val="0"/>
              <w:spacing w:line="242" w:lineRule="exact"/>
              <w:ind w:left="565" w:right="545"/>
              <w:jc w:val="center"/>
              <w:rPr>
                <w:sz w:val="22"/>
                <w:szCs w:val="22"/>
                <w:lang w:val="sr-Latn-ME"/>
              </w:rPr>
            </w:pPr>
            <w:r w:rsidRPr="00E22DF8">
              <w:rPr>
                <w:sz w:val="22"/>
                <w:szCs w:val="22"/>
                <w:lang w:val="sr-Latn-ME"/>
              </w:rPr>
              <w:t>20</w:t>
            </w:r>
          </w:p>
          <w:p w:rsidR="00E32028" w:rsidRPr="00E22DF8" w:rsidRDefault="00E32028" w:rsidP="00E32028">
            <w:pPr>
              <w:widowControl w:val="0"/>
              <w:autoSpaceDE w:val="0"/>
              <w:autoSpaceDN w:val="0"/>
              <w:spacing w:line="241" w:lineRule="exact"/>
              <w:ind w:left="565" w:right="543"/>
              <w:jc w:val="center"/>
              <w:rPr>
                <w:sz w:val="22"/>
                <w:szCs w:val="22"/>
                <w:lang w:val="sr-Latn-ME"/>
              </w:rPr>
            </w:pPr>
            <w:r w:rsidRPr="00E22DF8">
              <w:rPr>
                <w:sz w:val="22"/>
                <w:szCs w:val="22"/>
                <w:lang w:val="sr-Latn-ME"/>
              </w:rPr>
              <w:t>(1.8%)</w:t>
            </w:r>
          </w:p>
        </w:tc>
      </w:tr>
      <w:tr w:rsidR="0025564D" w:rsidRPr="00E22DF8" w:rsidTr="004D23C1">
        <w:tc>
          <w:tcPr>
            <w:tcW w:w="2265" w:type="dxa"/>
          </w:tcPr>
          <w:p w:rsidR="0025564D" w:rsidRPr="00E22DF8" w:rsidRDefault="0025564D" w:rsidP="0025564D">
            <w:pPr>
              <w:widowControl w:val="0"/>
              <w:autoSpaceDE w:val="0"/>
              <w:autoSpaceDN w:val="0"/>
              <w:spacing w:line="249" w:lineRule="exact"/>
              <w:ind w:left="9"/>
              <w:rPr>
                <w:sz w:val="22"/>
                <w:szCs w:val="22"/>
                <w:lang w:val="sr-Latn-ME"/>
              </w:rPr>
            </w:pPr>
            <w:r w:rsidRPr="00E22DF8">
              <w:rPr>
                <w:sz w:val="22"/>
                <w:szCs w:val="22"/>
                <w:lang w:val="sr-Latn-ME"/>
              </w:rPr>
              <w:t>Simptomatska rekurentna VTE ili</w:t>
            </w:r>
          </w:p>
          <w:p w:rsidR="0025564D" w:rsidRPr="00E22DF8" w:rsidRDefault="00034420" w:rsidP="0025564D">
            <w:pPr>
              <w:widowControl w:val="0"/>
              <w:autoSpaceDE w:val="0"/>
              <w:autoSpaceDN w:val="0"/>
              <w:spacing w:before="11" w:line="244" w:lineRule="exact"/>
              <w:ind w:left="9" w:right="460"/>
              <w:rPr>
                <w:sz w:val="22"/>
                <w:szCs w:val="22"/>
                <w:lang w:val="sr-Latn-ME"/>
              </w:rPr>
            </w:pPr>
            <w:r w:rsidRPr="00E22DF8">
              <w:rPr>
                <w:sz w:val="22"/>
                <w:szCs w:val="22"/>
                <w:lang w:val="sr-Latn-ME"/>
              </w:rPr>
              <w:t xml:space="preserve">velika </w:t>
            </w:r>
            <w:r w:rsidR="0025564D" w:rsidRPr="00E22DF8">
              <w:rPr>
                <w:sz w:val="22"/>
                <w:szCs w:val="22"/>
                <w:lang w:val="sr-Latn-ME"/>
              </w:rPr>
              <w:t>krvarenja (ukupna klinička korist)</w:t>
            </w:r>
          </w:p>
        </w:tc>
        <w:tc>
          <w:tcPr>
            <w:tcW w:w="2266" w:type="dxa"/>
            <w:vAlign w:val="center"/>
          </w:tcPr>
          <w:p w:rsidR="0025564D" w:rsidRPr="00E22DF8" w:rsidRDefault="0025564D" w:rsidP="0025564D">
            <w:pPr>
              <w:widowControl w:val="0"/>
              <w:autoSpaceDE w:val="0"/>
              <w:autoSpaceDN w:val="0"/>
              <w:spacing w:line="242" w:lineRule="exact"/>
              <w:ind w:left="565" w:right="546"/>
              <w:jc w:val="center"/>
              <w:rPr>
                <w:sz w:val="22"/>
                <w:szCs w:val="22"/>
                <w:lang w:val="sr-Latn-ME"/>
              </w:rPr>
            </w:pPr>
            <w:r w:rsidRPr="00E22DF8">
              <w:rPr>
                <w:sz w:val="22"/>
                <w:szCs w:val="22"/>
                <w:lang w:val="sr-Latn-ME"/>
              </w:rPr>
              <w:t>23</w:t>
            </w:r>
          </w:p>
          <w:p w:rsidR="0025564D" w:rsidRPr="00E22DF8" w:rsidRDefault="0025564D" w:rsidP="0025564D">
            <w:pPr>
              <w:widowControl w:val="0"/>
              <w:autoSpaceDE w:val="0"/>
              <w:autoSpaceDN w:val="0"/>
              <w:spacing w:line="251" w:lineRule="exact"/>
              <w:ind w:left="565" w:right="544"/>
              <w:jc w:val="center"/>
              <w:rPr>
                <w:sz w:val="22"/>
                <w:szCs w:val="22"/>
                <w:lang w:val="sr-Latn-ME"/>
              </w:rPr>
            </w:pPr>
            <w:r w:rsidRPr="00E22DF8">
              <w:rPr>
                <w:sz w:val="22"/>
                <w:szCs w:val="22"/>
                <w:lang w:val="sr-Latn-ME"/>
              </w:rPr>
              <w:t>(2,1%)</w:t>
            </w:r>
            <w:r w:rsidRPr="00E22DF8">
              <w:rPr>
                <w:sz w:val="22"/>
                <w:szCs w:val="22"/>
                <w:vertAlign w:val="superscript"/>
                <w:lang w:val="sr-Latn-ME"/>
              </w:rPr>
              <w:t>+</w:t>
            </w:r>
          </w:p>
        </w:tc>
        <w:tc>
          <w:tcPr>
            <w:tcW w:w="2266" w:type="dxa"/>
            <w:vAlign w:val="center"/>
          </w:tcPr>
          <w:p w:rsidR="0025564D" w:rsidRPr="00E22DF8" w:rsidRDefault="0025564D" w:rsidP="0025564D">
            <w:pPr>
              <w:widowControl w:val="0"/>
              <w:autoSpaceDE w:val="0"/>
              <w:autoSpaceDN w:val="0"/>
              <w:spacing w:line="242" w:lineRule="exact"/>
              <w:ind w:left="565" w:right="545"/>
              <w:jc w:val="center"/>
              <w:rPr>
                <w:sz w:val="22"/>
                <w:szCs w:val="22"/>
                <w:lang w:val="sr-Latn-ME"/>
              </w:rPr>
            </w:pPr>
            <w:r w:rsidRPr="00E22DF8">
              <w:rPr>
                <w:sz w:val="22"/>
                <w:szCs w:val="22"/>
                <w:lang w:val="sr-Latn-ME"/>
              </w:rPr>
              <w:t>17</w:t>
            </w:r>
          </w:p>
          <w:p w:rsidR="0025564D" w:rsidRPr="00E22DF8" w:rsidRDefault="0025564D" w:rsidP="0025564D">
            <w:pPr>
              <w:widowControl w:val="0"/>
              <w:autoSpaceDE w:val="0"/>
              <w:autoSpaceDN w:val="0"/>
              <w:spacing w:line="251" w:lineRule="exact"/>
              <w:ind w:left="556" w:right="546"/>
              <w:jc w:val="center"/>
              <w:rPr>
                <w:sz w:val="22"/>
                <w:szCs w:val="22"/>
                <w:lang w:val="sr-Latn-ME"/>
              </w:rPr>
            </w:pPr>
            <w:r w:rsidRPr="00E22DF8">
              <w:rPr>
                <w:sz w:val="22"/>
                <w:szCs w:val="22"/>
                <w:lang w:val="sr-Latn-ME"/>
              </w:rPr>
              <w:t>(1,5%)</w:t>
            </w:r>
            <w:r w:rsidRPr="00E22DF8">
              <w:rPr>
                <w:sz w:val="22"/>
                <w:szCs w:val="22"/>
                <w:vertAlign w:val="superscript"/>
                <w:lang w:val="sr-Latn-ME"/>
              </w:rPr>
              <w:t>++</w:t>
            </w:r>
          </w:p>
        </w:tc>
        <w:tc>
          <w:tcPr>
            <w:tcW w:w="2266" w:type="dxa"/>
            <w:vAlign w:val="center"/>
          </w:tcPr>
          <w:p w:rsidR="0025564D" w:rsidRPr="00E22DF8" w:rsidRDefault="0025564D" w:rsidP="0025564D">
            <w:pPr>
              <w:widowControl w:val="0"/>
              <w:autoSpaceDE w:val="0"/>
              <w:autoSpaceDN w:val="0"/>
              <w:spacing w:line="242" w:lineRule="exact"/>
              <w:ind w:left="565" w:right="545"/>
              <w:jc w:val="center"/>
              <w:rPr>
                <w:sz w:val="22"/>
                <w:szCs w:val="22"/>
                <w:lang w:val="sr-Latn-ME"/>
              </w:rPr>
            </w:pPr>
            <w:r w:rsidRPr="00E22DF8">
              <w:rPr>
                <w:sz w:val="22"/>
                <w:szCs w:val="22"/>
                <w:lang w:val="sr-Latn-ME"/>
              </w:rPr>
              <w:t>53</w:t>
            </w:r>
          </w:p>
          <w:p w:rsidR="0025564D" w:rsidRPr="00E22DF8" w:rsidRDefault="0025564D" w:rsidP="0025564D">
            <w:pPr>
              <w:widowControl w:val="0"/>
              <w:autoSpaceDE w:val="0"/>
              <w:autoSpaceDN w:val="0"/>
              <w:spacing w:line="251" w:lineRule="exact"/>
              <w:ind w:left="565" w:right="543"/>
              <w:jc w:val="center"/>
              <w:rPr>
                <w:sz w:val="22"/>
                <w:szCs w:val="22"/>
                <w:lang w:val="sr-Latn-ME"/>
              </w:rPr>
            </w:pPr>
            <w:r w:rsidRPr="00E22DF8">
              <w:rPr>
                <w:sz w:val="22"/>
                <w:szCs w:val="22"/>
                <w:lang w:val="sr-Latn-ME"/>
              </w:rPr>
              <w:t>(4,7%)</w:t>
            </w:r>
          </w:p>
        </w:tc>
      </w:tr>
    </w:tbl>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*p&lt;0,001 (superiornost) rivaroksaban u dozi od 20 mg jednom dnevno u odnosu na ASK u dozi od 100 mg jednom dnevno; HR =0,34 (0,20-0,59)</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**p&lt;0,001 (superiornost) rivaroksaban u dozi od 10 mg jednom dnevno u odnosu na ASK u dozi od 100 mg jednom dnevno; HR=0,26 (0,14-0,47)</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+Rivaroksaban u dozi od 20 mg jednom dnevno u odnosu na ASK u dozi od 100 mg jednom dnevno;HR=0,44 (0,27-0,71), p=0,0009 (nominalno)</w:t>
      </w:r>
    </w:p>
    <w:p w:rsidR="004D23C1" w:rsidRPr="00E22DF8" w:rsidRDefault="004D23C1" w:rsidP="004D23C1">
      <w:pPr>
        <w:tabs>
          <w:tab w:val="left" w:pos="540"/>
          <w:tab w:val="left" w:pos="569"/>
        </w:tabs>
        <w:jc w:val="both"/>
        <w:rPr>
          <w:b/>
          <w:bCs/>
          <w:sz w:val="22"/>
          <w:szCs w:val="22"/>
          <w:lang w:val="sr-Latn-ME"/>
        </w:rPr>
      </w:pPr>
      <w:r w:rsidRPr="00E22DF8">
        <w:rPr>
          <w:bCs/>
          <w:sz w:val="22"/>
          <w:szCs w:val="22"/>
          <w:lang w:val="sr-Latn-ME"/>
        </w:rPr>
        <w:t>++ Rivaroksaban u dozi od 10 mg jednom dnevno u odnosu na ASK u dozi od 100 mg jednom dnevno;HR=0,32 (0,18-0,55), p&lt;0,0001 (nominalno</w:t>
      </w:r>
      <w:r w:rsidRPr="00E22DF8">
        <w:rPr>
          <w:b/>
          <w:bCs/>
          <w:sz w:val="22"/>
          <w:szCs w:val="22"/>
          <w:lang w:val="sr-Latn-ME"/>
        </w:rPr>
        <w:t>)</w:t>
      </w:r>
    </w:p>
    <w:p w:rsidR="00A539BF" w:rsidRPr="00E22DF8" w:rsidRDefault="00A539BF" w:rsidP="00480FB1">
      <w:pPr>
        <w:tabs>
          <w:tab w:val="left" w:pos="540"/>
          <w:tab w:val="left" w:pos="569"/>
        </w:tabs>
        <w:rPr>
          <w:b/>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 xml:space="preserve">Dodatno uz studije faze III </w:t>
      </w:r>
      <w:r w:rsidRPr="00E22DF8">
        <w:rPr>
          <w:bCs/>
          <w:i/>
          <w:sz w:val="22"/>
          <w:szCs w:val="22"/>
          <w:lang w:val="sr-Latn-ME"/>
        </w:rPr>
        <w:t xml:space="preserve">EINSTEIN </w:t>
      </w:r>
      <w:r w:rsidRPr="00E22DF8">
        <w:rPr>
          <w:bCs/>
          <w:sz w:val="22"/>
          <w:szCs w:val="22"/>
          <w:lang w:val="sr-Latn-ME"/>
        </w:rPr>
        <w:t>program</w:t>
      </w:r>
      <w:r w:rsidR="00034420" w:rsidRPr="00E22DF8">
        <w:rPr>
          <w:bCs/>
          <w:sz w:val="22"/>
          <w:szCs w:val="22"/>
          <w:lang w:val="sr-Latn-ME"/>
        </w:rPr>
        <w:t>a</w:t>
      </w:r>
      <w:r w:rsidRPr="00E22DF8">
        <w:rPr>
          <w:bCs/>
          <w:sz w:val="22"/>
          <w:szCs w:val="22"/>
          <w:lang w:val="sr-Latn-ME"/>
        </w:rPr>
        <w:t xml:space="preserve">, sprovedeno je i prospektivno, neintervencijsko, otvoreno ispitivanje kohorti (XALIA), sa centralnom ocjenom ishoda koji su uključivali rekurentne </w:t>
      </w:r>
      <w:r w:rsidRPr="00E22DF8">
        <w:rPr>
          <w:bCs/>
          <w:sz w:val="22"/>
          <w:szCs w:val="22"/>
          <w:lang w:val="sr-Latn-ME"/>
        </w:rPr>
        <w:lastRenderedPageBreak/>
        <w:t xml:space="preserve">VTE, </w:t>
      </w:r>
      <w:r w:rsidR="00034420" w:rsidRPr="00E22DF8">
        <w:rPr>
          <w:bCs/>
          <w:sz w:val="22"/>
          <w:szCs w:val="22"/>
          <w:lang w:val="sr-Latn-ME"/>
        </w:rPr>
        <w:t xml:space="preserve">veliko </w:t>
      </w:r>
      <w:r w:rsidRPr="00E22DF8">
        <w:rPr>
          <w:bCs/>
          <w:sz w:val="22"/>
          <w:szCs w:val="22"/>
          <w:lang w:val="sr-Latn-ME"/>
        </w:rPr>
        <w:t xml:space="preserve">krvarenje i smrt. Bilo je uključeno 5142 pacijenta sa akutnom TDV kako bi se ispitala bezbjednost dugotrajne primjene rivaroksabana u odnosu na standardnu antikoagulantnu terapiju u kliničkoj praksi. Za rivaroksaban, stopa </w:t>
      </w:r>
      <w:r w:rsidR="00034420" w:rsidRPr="00E22DF8">
        <w:rPr>
          <w:bCs/>
          <w:sz w:val="22"/>
          <w:szCs w:val="22"/>
          <w:lang w:val="sr-Latn-ME"/>
        </w:rPr>
        <w:t xml:space="preserve">velikih </w:t>
      </w:r>
      <w:r w:rsidRPr="00E22DF8">
        <w:rPr>
          <w:bCs/>
          <w:sz w:val="22"/>
          <w:szCs w:val="22"/>
          <w:lang w:val="sr-Latn-ME"/>
        </w:rPr>
        <w:t xml:space="preserve">krvarenja je bila 0,7%, rekurentne VTE 1,4%, a smrtnosti usljed svih uzroka 0,5%. Bilo je razlika u početnim karakteristikama pacijenata, uključujući godine starosti, </w:t>
      </w:r>
      <w:r w:rsidR="00034420" w:rsidRPr="00E22DF8">
        <w:rPr>
          <w:bCs/>
          <w:sz w:val="22"/>
          <w:szCs w:val="22"/>
          <w:lang w:val="sr-Latn-ME"/>
        </w:rPr>
        <w:t xml:space="preserve">karcinom </w:t>
      </w:r>
      <w:r w:rsidRPr="00E22DF8">
        <w:rPr>
          <w:bCs/>
          <w:sz w:val="22"/>
          <w:szCs w:val="22"/>
          <w:lang w:val="sr-Latn-ME"/>
        </w:rPr>
        <w:t>i poremećaj funkcije bubrega. Korišćena je unaprijed određena stratifikovana analiza procjene sklonosti (eng</w:t>
      </w:r>
      <w:r w:rsidR="00034420" w:rsidRPr="00E22DF8">
        <w:rPr>
          <w:bCs/>
          <w:sz w:val="22"/>
          <w:szCs w:val="22"/>
          <w:lang w:val="sr-Latn-ME"/>
        </w:rPr>
        <w:t>l</w:t>
      </w:r>
      <w:r w:rsidRPr="00E22DF8">
        <w:rPr>
          <w:bCs/>
          <w:sz w:val="22"/>
          <w:szCs w:val="22"/>
          <w:lang w:val="sr-Latn-ME"/>
        </w:rPr>
        <w:t xml:space="preserve">. </w:t>
      </w:r>
      <w:r w:rsidRPr="00E22DF8">
        <w:rPr>
          <w:bCs/>
          <w:i/>
          <w:sz w:val="22"/>
          <w:szCs w:val="22"/>
          <w:lang w:val="sr-Latn-ME"/>
        </w:rPr>
        <w:t>propensity score</w:t>
      </w:r>
      <w:r w:rsidRPr="00E22DF8">
        <w:rPr>
          <w:bCs/>
          <w:sz w:val="22"/>
          <w:szCs w:val="22"/>
          <w:lang w:val="sr-Latn-ME"/>
        </w:rPr>
        <w:t>) kako bi se prilagodile izmjerene početne razlike, ali ostali ometajući činioci (eng</w:t>
      </w:r>
      <w:r w:rsidR="00034420" w:rsidRPr="00E22DF8">
        <w:rPr>
          <w:bCs/>
          <w:sz w:val="22"/>
          <w:szCs w:val="22"/>
          <w:lang w:val="sr-Latn-ME"/>
        </w:rPr>
        <w:t>l</w:t>
      </w:r>
      <w:r w:rsidRPr="00E22DF8">
        <w:rPr>
          <w:bCs/>
          <w:sz w:val="22"/>
          <w:szCs w:val="22"/>
          <w:lang w:val="sr-Latn-ME"/>
        </w:rPr>
        <w:t xml:space="preserve">. </w:t>
      </w:r>
      <w:r w:rsidRPr="00E22DF8">
        <w:rPr>
          <w:bCs/>
          <w:i/>
          <w:sz w:val="22"/>
          <w:szCs w:val="22"/>
          <w:lang w:val="sr-Latn-ME"/>
        </w:rPr>
        <w:t>residual confounding</w:t>
      </w:r>
      <w:r w:rsidRPr="00E22DF8">
        <w:rPr>
          <w:bCs/>
          <w:sz w:val="22"/>
          <w:szCs w:val="22"/>
          <w:lang w:val="sr-Latn-ME"/>
        </w:rPr>
        <w:t xml:space="preserve">) mogu, usprkos tome, uticati na rezultate. Prilagođene vrijednosti HR za rivaroksaban i standardnu terapiju, bile su za </w:t>
      </w:r>
      <w:r w:rsidR="00034420" w:rsidRPr="00E22DF8">
        <w:rPr>
          <w:bCs/>
          <w:sz w:val="22"/>
          <w:szCs w:val="22"/>
          <w:lang w:val="sr-Latn-ME"/>
        </w:rPr>
        <w:t xml:space="preserve">velika </w:t>
      </w:r>
      <w:r w:rsidRPr="00E22DF8">
        <w:rPr>
          <w:bCs/>
          <w:sz w:val="22"/>
          <w:szCs w:val="22"/>
          <w:lang w:val="sr-Latn-ME"/>
        </w:rPr>
        <w:t>krvarenja 0,77 (95% CI 0,40-1,50), za ponovljene VTE 0,91 (95% CI 0,54-1,54), a za smrtnost usljed svih uzroka 0,51 (95% CI 0,24-1,07).</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Ovi rezultati u kliničkoj praksi su u skladu sa ustanovljenim bezbjednosnim profilom za ovu indikaciju.</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u w:val="single"/>
          <w:lang w:val="sr-Latn-ME"/>
        </w:rPr>
        <w:t>Pacijenti sa visokorizičnim trostruko pozitivnim antifosfolipidnim sindromom</w:t>
      </w:r>
    </w:p>
    <w:p w:rsidR="004D23C1" w:rsidRPr="00E22DF8" w:rsidRDefault="00B36228" w:rsidP="004D23C1">
      <w:pPr>
        <w:tabs>
          <w:tab w:val="left" w:pos="540"/>
          <w:tab w:val="left" w:pos="569"/>
        </w:tabs>
        <w:jc w:val="both"/>
        <w:rPr>
          <w:bCs/>
          <w:sz w:val="22"/>
          <w:szCs w:val="22"/>
          <w:lang w:val="sr-Latn-ME"/>
        </w:rPr>
      </w:pPr>
      <w:r w:rsidRPr="00E22DF8">
        <w:rPr>
          <w:bCs/>
          <w:sz w:val="22"/>
          <w:szCs w:val="22"/>
          <w:lang w:val="sr-Latn-ME"/>
        </w:rPr>
        <w:t xml:space="preserve">U randomizovanoj, multicentričnoj otvorenoj studiji sponzorisanoj </w:t>
      </w:r>
      <w:r w:rsidR="004D23C1" w:rsidRPr="00E22DF8">
        <w:rPr>
          <w:bCs/>
          <w:sz w:val="22"/>
          <w:szCs w:val="22"/>
          <w:lang w:val="sr-Latn-ME"/>
        </w:rPr>
        <w:t>od strane ispitivača, sa slijepom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w:t>
      </w:r>
      <w:r w:rsidR="008A324A" w:rsidRPr="00E22DF8">
        <w:rPr>
          <w:bCs/>
          <w:sz w:val="22"/>
          <w:szCs w:val="22"/>
          <w:lang w:val="sr-Latn-ME"/>
        </w:rPr>
        <w:t>ij</w:t>
      </w:r>
      <w:r w:rsidR="004D23C1" w:rsidRPr="00E22DF8">
        <w:rPr>
          <w:bCs/>
          <w:sz w:val="22"/>
          <w:szCs w:val="22"/>
          <w:lang w:val="sr-Latn-ME"/>
        </w:rPr>
        <w:t>ela i anti- beta 2-glikoprotein-I antit</w:t>
      </w:r>
      <w:r w:rsidR="008A324A" w:rsidRPr="00E22DF8">
        <w:rPr>
          <w:bCs/>
          <w:sz w:val="22"/>
          <w:szCs w:val="22"/>
          <w:lang w:val="sr-Latn-ME"/>
        </w:rPr>
        <w:t>ij</w:t>
      </w:r>
      <w:r w:rsidR="004D23C1" w:rsidRPr="00E22DF8">
        <w:rPr>
          <w:bCs/>
          <w:sz w:val="22"/>
          <w:szCs w:val="22"/>
          <w:lang w:val="sr-Latn-ME"/>
        </w:rPr>
        <w:t xml:space="preserve">ela). </w:t>
      </w:r>
      <w:r w:rsidR="008A324A" w:rsidRPr="00E22DF8">
        <w:rPr>
          <w:bCs/>
          <w:sz w:val="22"/>
          <w:szCs w:val="22"/>
          <w:lang w:val="sr-Latn-ME"/>
        </w:rPr>
        <w:t>Studija</w:t>
      </w:r>
      <w:r w:rsidR="004D23C1" w:rsidRPr="00E22DF8">
        <w:rPr>
          <w:bCs/>
          <w:sz w:val="22"/>
          <w:szCs w:val="22"/>
          <w:lang w:val="sr-Latn-ME"/>
        </w:rPr>
        <w:t xml:space="preserve"> je nakon uklj</w:t>
      </w:r>
      <w:r w:rsidR="008A324A" w:rsidRPr="00E22DF8">
        <w:rPr>
          <w:bCs/>
          <w:sz w:val="22"/>
          <w:szCs w:val="22"/>
          <w:lang w:val="sr-Latn-ME"/>
        </w:rPr>
        <w:t>učivanja 120 pacijenata završena</w:t>
      </w:r>
      <w:r w:rsidR="004D23C1" w:rsidRPr="00E22DF8">
        <w:rPr>
          <w:bCs/>
          <w:sz w:val="22"/>
          <w:szCs w:val="22"/>
          <w:lang w:val="sr-Latn-ME"/>
        </w:rPr>
        <w:t xml:space="preserve"> prijevremeno zbog velikog broja događaja u grupi koja je primala rivaroksaban. Srednja vrijednost perioda praćenja iznosila je 569 dana. U grupu u kojoj su pacijenti primali 20 mg rivaroksabana randomizovano je 59 ispitanika (15 mg kod pacijenata sa klirensom kreatinina (CrCl) &lt; 50 ml/min),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w:t>
      </w:r>
      <w:r w:rsidR="0058617F" w:rsidRPr="00E22DF8">
        <w:rPr>
          <w:bCs/>
          <w:sz w:val="22"/>
          <w:szCs w:val="22"/>
          <w:lang w:val="sr-Latn-ME"/>
        </w:rPr>
        <w:t xml:space="preserve">velikog </w:t>
      </w:r>
      <w:r w:rsidR="004D23C1" w:rsidRPr="00E22DF8">
        <w:rPr>
          <w:bCs/>
          <w:sz w:val="22"/>
          <w:szCs w:val="22"/>
          <w:lang w:val="sr-Latn-ME"/>
        </w:rPr>
        <w:t>krvarenja.</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u w:val="single"/>
          <w:lang w:val="sr-Latn-ME"/>
        </w:rPr>
        <w:t>Pedijatrijska populacija</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 xml:space="preserve">Evropska agencija za ljekove je odobrila izostavljanje podnošenja rezultata </w:t>
      </w:r>
      <w:r w:rsidR="008A324A" w:rsidRPr="00E22DF8">
        <w:rPr>
          <w:bCs/>
          <w:sz w:val="22"/>
          <w:szCs w:val="22"/>
          <w:lang w:val="sr-Latn-ME"/>
        </w:rPr>
        <w:t>studija</w:t>
      </w:r>
      <w:r w:rsidRPr="00E22DF8">
        <w:rPr>
          <w:bCs/>
          <w:sz w:val="22"/>
          <w:szCs w:val="22"/>
          <w:lang w:val="sr-Latn-ME"/>
        </w:rPr>
        <w:t xml:space="preserve"> sa lijekom Corviva u svim podgrupama pedijatrijske populacije za prevenciju tromboembolijskih događaja (vidjeti </w:t>
      </w:r>
      <w:r w:rsidR="007B25A6" w:rsidRPr="00E22DF8">
        <w:rPr>
          <w:bCs/>
          <w:sz w:val="22"/>
          <w:szCs w:val="22"/>
          <w:lang w:val="sr-Latn-ME"/>
        </w:rPr>
        <w:t xml:space="preserve">dio </w:t>
      </w:r>
      <w:r w:rsidRPr="00E22DF8">
        <w:rPr>
          <w:bCs/>
          <w:sz w:val="22"/>
          <w:szCs w:val="22"/>
          <w:lang w:val="sr-Latn-ME"/>
        </w:rPr>
        <w:t>4.2 za informacije o upotrebi u pedijatriji).</w:t>
      </w:r>
    </w:p>
    <w:p w:rsidR="004D23C1" w:rsidRPr="00E22DF8" w:rsidRDefault="004D23C1" w:rsidP="004D23C1">
      <w:pPr>
        <w:tabs>
          <w:tab w:val="left" w:pos="540"/>
          <w:tab w:val="left" w:pos="569"/>
        </w:tabs>
        <w:jc w:val="both"/>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5.2. </w:t>
      </w:r>
      <w:r w:rsidR="00480FB1" w:rsidRPr="00E22DF8">
        <w:rPr>
          <w:b/>
          <w:bCs/>
          <w:sz w:val="22"/>
          <w:szCs w:val="22"/>
          <w:lang w:val="sr-Latn-ME"/>
        </w:rPr>
        <w:tab/>
      </w:r>
      <w:r w:rsidRPr="00E22DF8">
        <w:rPr>
          <w:b/>
          <w:bCs/>
          <w:sz w:val="22"/>
          <w:szCs w:val="22"/>
          <w:lang w:val="sr-Latn-ME"/>
        </w:rPr>
        <w:t>Farmakokinetički podaci</w:t>
      </w:r>
      <w:r w:rsidR="003A7059" w:rsidRPr="00E22DF8">
        <w:rPr>
          <w:b/>
          <w:bCs/>
          <w:sz w:val="22"/>
          <w:szCs w:val="22"/>
          <w:lang w:val="sr-Latn-ME"/>
        </w:rPr>
        <w:t xml:space="preserve"> </w:t>
      </w:r>
    </w:p>
    <w:p w:rsidR="004D23C1" w:rsidRPr="00E22DF8" w:rsidRDefault="004D23C1" w:rsidP="00480FB1">
      <w:pPr>
        <w:tabs>
          <w:tab w:val="left" w:pos="540"/>
          <w:tab w:val="left" w:pos="569"/>
        </w:tabs>
        <w:rPr>
          <w:b/>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u w:val="single"/>
          <w:lang w:val="sr-Latn-ME"/>
        </w:rPr>
        <w:t>Resorpcija</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Rivaroksaban se brzo resorbuje sa maksimalnom koncentracijom (C</w:t>
      </w:r>
      <w:r w:rsidRPr="00E22DF8">
        <w:rPr>
          <w:bCs/>
          <w:sz w:val="22"/>
          <w:szCs w:val="22"/>
          <w:vertAlign w:val="subscript"/>
          <w:lang w:val="sr-Latn-ME"/>
        </w:rPr>
        <w:t>max</w:t>
      </w:r>
      <w:r w:rsidRPr="00E22DF8">
        <w:rPr>
          <w:bCs/>
          <w:sz w:val="22"/>
          <w:szCs w:val="22"/>
          <w:lang w:val="sr-Latn-ME"/>
        </w:rPr>
        <w:t>) koja se postiže 2-4 sata poslije unosa tablete.</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Resorpcija rivaroksabana nakon oralne primjene je skoro potpuna, a bioraspoloživost nakon oralne primjene je velika (80-100%) za tablete od 2,5 mg i 10 mg, bez obzira na uslove – na prazan stomak/poslije obroka. Uzimanje lijeka uz obrok ne utiče na vrijednosti PIK ili C</w:t>
      </w:r>
      <w:r w:rsidRPr="00E22DF8">
        <w:rPr>
          <w:bCs/>
          <w:sz w:val="22"/>
          <w:szCs w:val="22"/>
          <w:vertAlign w:val="subscript"/>
          <w:lang w:val="sr-Latn-ME"/>
        </w:rPr>
        <w:t>max</w:t>
      </w:r>
      <w:r w:rsidRPr="00E22DF8">
        <w:rPr>
          <w:bCs/>
          <w:sz w:val="22"/>
          <w:szCs w:val="22"/>
          <w:lang w:val="sr-Latn-ME"/>
        </w:rPr>
        <w:t xml:space="preserve"> rivaroksabana u dozi od 2,5 mg i 10 mg. Rivaroksaban tablete od 10 mg mogu se uzeti uz obrok ili nezavisno od obroka.</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Farmakokinetika rivaroksabana je približno linearna u dozama do 15 mg, jednom dnevno. Pri većim dozama, resorpcija rivaroksabana je ograničena oslobađanjem, sa smanjenom bioraspoloživošću i smanjenjem brzine resorpcije sa povećanjem doze. Ovo je više izraženo kada se lijek uzima na prazan stomak nego poslije obroka. Varijabilnost farmakokinetike rivaroksabana je umjerena, sa interindividualnom varijabilnošću (CV %) u opsegu od 30 do 40%, osim na dan hirurške intervencije i sljedećeg dana, kada je varijabilnost izloženosti lijeku velika (70%).</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Resorpcija rivaroksabana zavisi od mjesta njegovog oslobađanja u gastrointestinalnom traktu. Smanjenje od 29% i 56% u srednjoj PIK vrijednosti i C</w:t>
      </w:r>
      <w:r w:rsidRPr="00E22DF8">
        <w:rPr>
          <w:bCs/>
          <w:sz w:val="22"/>
          <w:szCs w:val="22"/>
          <w:vertAlign w:val="subscript"/>
          <w:lang w:val="sr-Latn-ME"/>
        </w:rPr>
        <w:t>max</w:t>
      </w:r>
      <w:r w:rsidRPr="00E22DF8">
        <w:rPr>
          <w:bCs/>
          <w:sz w:val="22"/>
          <w:szCs w:val="22"/>
          <w:lang w:val="sr-Latn-ME"/>
        </w:rPr>
        <w:t xml:space="preserve"> vrijednosti je uočeno u poređenju tablete i rivoraksaban granula koje se oslobađaju u proksimalnom dijelu tankog creva.</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Izloženost je dalje smanjena kada se rivoraksaban oslobađa u distalnom dijelu tankog crijeva ili u početnom dijelu kolona. Zbog toga, primjenu rivaroksabana distalno od želuca treba izbjegavati, jer to vodi smanjenoj resorpciji i izloženosti rivaroksabanu.</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lastRenderedPageBreak/>
        <w:t>Bioraspoloživost (izražena preko vrijednosti PIK i C</w:t>
      </w:r>
      <w:r w:rsidRPr="00E22DF8">
        <w:rPr>
          <w:bCs/>
          <w:sz w:val="22"/>
          <w:szCs w:val="22"/>
          <w:vertAlign w:val="subscript"/>
          <w:lang w:val="sr-Latn-ME"/>
        </w:rPr>
        <w:t>max</w:t>
      </w:r>
      <w:r w:rsidRPr="00E22DF8">
        <w:rPr>
          <w:bCs/>
          <w:sz w:val="22"/>
          <w:szCs w:val="22"/>
          <w:lang w:val="sr-Latn-ME"/>
        </w:rPr>
        <w:t>) bila je uporediva za 20 mg rivaroksabana primijenjenog oralno kao usitnjena tableta pomiješana sa kašom od jabuke, ili suspendovanog u vodi i primijenjenog pomoću gastrične sonde uz prethodno unijet tečni obrok, u odnosu na primjenu cijele tablete.</w:t>
      </w:r>
    </w:p>
    <w:p w:rsidR="0072020E" w:rsidRPr="00E22DF8" w:rsidRDefault="004D23C1" w:rsidP="004D23C1">
      <w:pPr>
        <w:tabs>
          <w:tab w:val="left" w:pos="540"/>
          <w:tab w:val="left" w:pos="569"/>
        </w:tabs>
        <w:jc w:val="both"/>
        <w:rPr>
          <w:bCs/>
          <w:sz w:val="22"/>
          <w:szCs w:val="22"/>
          <w:lang w:val="sr-Latn-ME"/>
        </w:rPr>
      </w:pPr>
      <w:r w:rsidRPr="00E22DF8">
        <w:rPr>
          <w:bCs/>
          <w:sz w:val="22"/>
          <w:szCs w:val="22"/>
          <w:lang w:val="sr-Latn-ME"/>
        </w:rPr>
        <w:t>Oslanjajući se na dozno-proporcionalni farmakokinetički profil rivaroksabana, rezultati bioraspoloživosti iz ove studije se mogu primijeniti i na manje doze rivaroksabana.</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u w:val="single"/>
          <w:lang w:val="sr-Latn-ME"/>
        </w:rPr>
        <w:t>Distribucija</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Stepen vezivanja za proteine plazme kod ljudi je visok i dostiže približno 92-95%, sa serumskim albuminima kao glavnim prenosiocima. Volumen distribucije je umjeren, sa V</w:t>
      </w:r>
      <w:r w:rsidRPr="00E22DF8">
        <w:rPr>
          <w:bCs/>
          <w:sz w:val="22"/>
          <w:szCs w:val="22"/>
          <w:vertAlign w:val="subscript"/>
          <w:lang w:val="sr-Latn-ME"/>
        </w:rPr>
        <w:t>SS</w:t>
      </w:r>
      <w:r w:rsidRPr="00E22DF8">
        <w:rPr>
          <w:bCs/>
          <w:sz w:val="22"/>
          <w:szCs w:val="22"/>
          <w:lang w:val="sr-Latn-ME"/>
        </w:rPr>
        <w:t xml:space="preserve"> od približno 50 litara.</w:t>
      </w:r>
    </w:p>
    <w:p w:rsidR="004D23C1" w:rsidRPr="00E22DF8" w:rsidRDefault="004D23C1" w:rsidP="004D23C1">
      <w:pPr>
        <w:tabs>
          <w:tab w:val="left" w:pos="540"/>
          <w:tab w:val="left" w:pos="569"/>
        </w:tabs>
        <w:jc w:val="both"/>
        <w:rPr>
          <w:bCs/>
          <w:sz w:val="22"/>
          <w:szCs w:val="22"/>
          <w:lang w:val="sr-Latn-ME"/>
        </w:rPr>
      </w:pPr>
    </w:p>
    <w:p w:rsidR="004D23C1" w:rsidRPr="00E22DF8" w:rsidRDefault="004D23C1" w:rsidP="004D23C1">
      <w:pPr>
        <w:tabs>
          <w:tab w:val="left" w:pos="540"/>
          <w:tab w:val="left" w:pos="569"/>
        </w:tabs>
        <w:jc w:val="both"/>
        <w:rPr>
          <w:bCs/>
          <w:sz w:val="22"/>
          <w:szCs w:val="22"/>
          <w:lang w:val="sr-Latn-ME"/>
        </w:rPr>
      </w:pPr>
      <w:r w:rsidRPr="00E22DF8">
        <w:rPr>
          <w:bCs/>
          <w:sz w:val="22"/>
          <w:szCs w:val="22"/>
          <w:u w:val="single"/>
          <w:lang w:val="sr-Latn-ME"/>
        </w:rPr>
        <w:t>Biotransformacija i eliminacija</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Približno dvije trećine uzete doze rivaroksabana podliježe metaboličkoj razgradnji, a zatim se polovina nastalih metabolita eliminiše preko bubrega, a polovina preko fecesa. Preostala trećina unijete doze lijeka izlučuje se direktno preko bubrega, u neizmijenjenom aktivnom obliku koji se može naći u urinu, pretežno kao posljedica aktivne renalne sekrecije.</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 xml:space="preserve">Rivaroksaban se metaboliše preko CYP3A4, CYP2J2 i CYP-nezavisnih mehanizama. Oksidativna razgradnja morfolinonskog dijela molekula i hidroliza amidnih veza predstavljaju glavne puteve biotransformacije. Prema rezultatima </w:t>
      </w:r>
      <w:r w:rsidRPr="00E22DF8">
        <w:rPr>
          <w:bCs/>
          <w:i/>
          <w:sz w:val="22"/>
          <w:szCs w:val="22"/>
          <w:lang w:val="sr-Latn-ME"/>
        </w:rPr>
        <w:t xml:space="preserve">in vitro </w:t>
      </w:r>
      <w:r w:rsidRPr="00E22DF8">
        <w:rPr>
          <w:bCs/>
          <w:sz w:val="22"/>
          <w:szCs w:val="22"/>
          <w:lang w:val="sr-Latn-ME"/>
        </w:rPr>
        <w:t>studija, rivaroksaban je supstrat za transportne proteine P- gp (</w:t>
      </w:r>
      <w:r w:rsidR="001E1D42" w:rsidRPr="00E22DF8">
        <w:rPr>
          <w:bCs/>
          <w:sz w:val="22"/>
          <w:szCs w:val="22"/>
          <w:lang w:val="sr-Latn-ME"/>
        </w:rPr>
        <w:t xml:space="preserve">engl. </w:t>
      </w:r>
      <w:r w:rsidRPr="00E22DF8">
        <w:rPr>
          <w:bCs/>
          <w:i/>
          <w:sz w:val="22"/>
          <w:szCs w:val="22"/>
          <w:lang w:val="sr-Latn-ME"/>
        </w:rPr>
        <w:t>P-glycoprotein</w:t>
      </w:r>
      <w:r w:rsidRPr="00E22DF8">
        <w:rPr>
          <w:bCs/>
          <w:sz w:val="22"/>
          <w:szCs w:val="22"/>
          <w:lang w:val="sr-Latn-ME"/>
        </w:rPr>
        <w:t>) i Bcrp (</w:t>
      </w:r>
      <w:r w:rsidR="001E1D42" w:rsidRPr="00E22DF8">
        <w:rPr>
          <w:bCs/>
          <w:sz w:val="22"/>
          <w:szCs w:val="22"/>
          <w:lang w:val="sr-Latn-ME"/>
        </w:rPr>
        <w:t xml:space="preserve">engl. </w:t>
      </w:r>
      <w:r w:rsidRPr="00E22DF8">
        <w:rPr>
          <w:bCs/>
          <w:i/>
          <w:sz w:val="22"/>
          <w:szCs w:val="22"/>
          <w:lang w:val="sr-Latn-ME"/>
        </w:rPr>
        <w:t>Breast cancer resistance protein</w:t>
      </w:r>
      <w:r w:rsidRPr="00E22DF8">
        <w:rPr>
          <w:bCs/>
          <w:sz w:val="22"/>
          <w:szCs w:val="22"/>
          <w:lang w:val="sr-Latn-ME"/>
        </w:rPr>
        <w:t>).</w:t>
      </w:r>
    </w:p>
    <w:p w:rsidR="004D23C1" w:rsidRPr="00E22DF8" w:rsidRDefault="004D23C1" w:rsidP="004D23C1">
      <w:pPr>
        <w:tabs>
          <w:tab w:val="left" w:pos="540"/>
          <w:tab w:val="left" w:pos="569"/>
        </w:tabs>
        <w:jc w:val="both"/>
        <w:rPr>
          <w:bCs/>
          <w:sz w:val="22"/>
          <w:szCs w:val="22"/>
          <w:lang w:val="sr-Latn-ME"/>
        </w:rPr>
      </w:pPr>
      <w:r w:rsidRPr="00E22DF8">
        <w:rPr>
          <w:bCs/>
          <w:sz w:val="22"/>
          <w:szCs w:val="22"/>
          <w:lang w:val="sr-Latn-ME"/>
        </w:rPr>
        <w:t xml:space="preserve">Neizmijenjeni rivaroksaban je najvažnije jedinjenje u plazmi, bez drugih glavnih ili aktivnih cirkulišućih metabolita. Sa sistemskim (ukupnim) klirensom od približno 10 </w:t>
      </w:r>
      <w:r w:rsidR="001E1D42" w:rsidRPr="00E22DF8">
        <w:rPr>
          <w:bCs/>
          <w:sz w:val="22"/>
          <w:szCs w:val="22"/>
          <w:lang w:val="sr-Latn-ME"/>
        </w:rPr>
        <w:t>l</w:t>
      </w:r>
      <w:r w:rsidRPr="00E22DF8">
        <w:rPr>
          <w:bCs/>
          <w:sz w:val="22"/>
          <w:szCs w:val="22"/>
          <w:lang w:val="sr-Latn-ME"/>
        </w:rPr>
        <w:t>/h, rivaroksaban se može svrstati u supstance sa malim klirensom. Poslije intravenske primjene doze od 1 mg, poluvrijeme eliminacije iznosi 4,5 sata. Nakon oralne primjene eliminacija zavisi od brzine resorpcije lijeka. Eliminacija rivaroksabana iz plazme se odvija sa terminalnim poluvremenom eliminacije od 5 do 9 sati kod mlađih osoba i sa terminalnim poluvremenom eliminacije od 11 do 13 sati kod starijih.</w:t>
      </w:r>
    </w:p>
    <w:p w:rsidR="004D23C1" w:rsidRPr="00E22DF8" w:rsidRDefault="004D23C1" w:rsidP="004D23C1">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sz w:val="22"/>
          <w:szCs w:val="22"/>
          <w:lang w:val="sr-Latn-ME"/>
        </w:rPr>
      </w:pPr>
      <w:r w:rsidRPr="00E22DF8">
        <w:rPr>
          <w:bCs/>
          <w:sz w:val="22"/>
          <w:szCs w:val="22"/>
          <w:u w:val="single"/>
          <w:lang w:val="sr-Latn-ME"/>
        </w:rPr>
        <w:t>Posebne grupe pacijenata</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Pol</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Nisu uočene klinički značajne razlike u farmakokinetici i farmakodinamici između pacijenata muškog i ženskog pola.</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Stariji pacijenti</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Kod starijih pacijenata, koncentracije u plazmi su veće nego kod mlađih, sa srednjim PIK vrijednostima koje su povećane približno 1,5 puta, prije svega zbog smanjenja (prividnog) ukupnog i renalnog klirensa. Nije potrebno prilagođavanje doze.</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Različite kategorije prema tjelesnoj masi</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Ekstremne tjelesne mase (&lt;50 kg ili &gt;120 kg) imaju mali uticaj na koncentracije rivaroksabana u plazmi (&lt;25%). Nije potrebno prilagođavanje doze.</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Međuetničke razlike</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Nema klinički značajnih međuetničkih razlika između pacijenata bijele rase, osoba crne rase (Afroamerikanci), latinoameričkih, japanskih i kineskih pacijenata u pogledu farmakokinetike ili farmakodinamike rivaroksabana.</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Oštećenje funkcije jetre</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 xml:space="preserve">Pacijenti sa cirozom i blago oštećenom funkcijom jetre (klasifikovana kao </w:t>
      </w:r>
      <w:r w:rsidRPr="00E22DF8">
        <w:rPr>
          <w:bCs/>
          <w:i/>
          <w:sz w:val="22"/>
          <w:szCs w:val="22"/>
          <w:lang w:val="sr-Latn-ME"/>
        </w:rPr>
        <w:t>Child</w:t>
      </w:r>
      <w:r w:rsidR="005B7846" w:rsidRPr="00E22DF8">
        <w:rPr>
          <w:bCs/>
          <w:i/>
          <w:sz w:val="22"/>
          <w:szCs w:val="22"/>
          <w:lang w:val="sr-Latn-ME"/>
        </w:rPr>
        <w:t>-</w:t>
      </w:r>
      <w:r w:rsidRPr="00E22DF8">
        <w:rPr>
          <w:bCs/>
          <w:i/>
          <w:sz w:val="22"/>
          <w:szCs w:val="22"/>
          <w:lang w:val="sr-Latn-ME"/>
        </w:rPr>
        <w:t xml:space="preserve">Pugh </w:t>
      </w:r>
      <w:r w:rsidRPr="00E22DF8">
        <w:rPr>
          <w:bCs/>
          <w:sz w:val="22"/>
          <w:szCs w:val="22"/>
          <w:lang w:val="sr-Latn-ME"/>
        </w:rPr>
        <w:t xml:space="preserve">A) ispoljavaju male razlike u farmakokinetici rivaroksabana (u prosjeku, povećanje vrijednosti PIK rivaroksabana 1,2 puta), što je približno uporedivo sa vrijednostima kod odgovarajućih zdravih ispitanika u kontrolnoj grupi. Kod pacijenata sa cirozom i umjereno oštećenom funkcijom jetre (klasifikovana kao </w:t>
      </w:r>
      <w:r w:rsidRPr="00E22DF8">
        <w:rPr>
          <w:bCs/>
          <w:i/>
          <w:sz w:val="22"/>
          <w:szCs w:val="22"/>
          <w:lang w:val="sr-Latn-ME"/>
        </w:rPr>
        <w:t>Child</w:t>
      </w:r>
      <w:r w:rsidR="005B7846" w:rsidRPr="00E22DF8">
        <w:rPr>
          <w:bCs/>
          <w:i/>
          <w:sz w:val="22"/>
          <w:szCs w:val="22"/>
          <w:lang w:val="sr-Latn-ME"/>
        </w:rPr>
        <w:t>-</w:t>
      </w:r>
      <w:r w:rsidRPr="00E22DF8">
        <w:rPr>
          <w:bCs/>
          <w:i/>
          <w:sz w:val="22"/>
          <w:szCs w:val="22"/>
          <w:lang w:val="sr-Latn-ME"/>
        </w:rPr>
        <w:t>Pugh</w:t>
      </w:r>
      <w:r w:rsidRPr="00E22DF8">
        <w:rPr>
          <w:bCs/>
          <w:sz w:val="22"/>
          <w:szCs w:val="22"/>
          <w:lang w:val="sr-Latn-ME"/>
        </w:rPr>
        <w:t xml:space="preserve"> B), srednja vrijednost PIK-a rivaroksabana značajno je bila povećana (2,3 puta) u poređenju sa vrijednostima kod zdravih ispitanika. Vrijednost PIK slobodne frakcije lijeka bila je veća 2,6 puta. Kod ovih pacijenata, bila je manja i eliminacija rivaroksabana putem bubrega, slično kao kod pacijenata sa umjerenim oštećenjem funkcije bubrega.</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Nema podataka za pacijente sa teškim oštećenjem funkcije jetre.</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lastRenderedPageBreak/>
        <w:t xml:space="preserve">Inhibicija aktivnosti faktora Xa bila je povećana za faktor 2,6 kod pacijenata sa umjerenim oštećenjem funkcije jetre u poređenju sa zdravim ispitanicima; PT je bilo produženo za sličnu vrijednost (faktor 2,1). Pacijenti sa umjerenim oštećenjem funkcije jetre bili su osjetljiviji na dejstvo rivaroksabana, što je imalo za posljedicu strmiji farmakokinetsko/farmakodinamski (FK/FD) odnos između koncentracije i PT. Rivaroksaban je kontraindikovan kod pacijenata sa oboljenjem jetre koje je udruženo sa koagulopatijom i klinički značajnim rizikom od krvarenja, uključujući pacijente sa cirozom sa stadijumom </w:t>
      </w:r>
      <w:r w:rsidRPr="00E22DF8">
        <w:rPr>
          <w:bCs/>
          <w:i/>
          <w:sz w:val="22"/>
          <w:szCs w:val="22"/>
          <w:lang w:val="sr-Latn-ME"/>
        </w:rPr>
        <w:t>Child</w:t>
      </w:r>
      <w:r w:rsidR="005B7846" w:rsidRPr="00E22DF8">
        <w:rPr>
          <w:bCs/>
          <w:i/>
          <w:sz w:val="22"/>
          <w:szCs w:val="22"/>
          <w:lang w:val="sr-Latn-ME"/>
        </w:rPr>
        <w:t>-</w:t>
      </w:r>
      <w:r w:rsidRPr="00E22DF8">
        <w:rPr>
          <w:bCs/>
          <w:i/>
          <w:sz w:val="22"/>
          <w:szCs w:val="22"/>
          <w:lang w:val="sr-Latn-ME"/>
        </w:rPr>
        <w:t>Pugh</w:t>
      </w:r>
      <w:r w:rsidRPr="00E22DF8">
        <w:rPr>
          <w:bCs/>
          <w:sz w:val="22"/>
          <w:szCs w:val="22"/>
          <w:lang w:val="sr-Latn-ME"/>
        </w:rPr>
        <w:t xml:space="preserve"> B i C (vidjeti </w:t>
      </w:r>
      <w:r w:rsidR="005B7846" w:rsidRPr="00E22DF8">
        <w:rPr>
          <w:bCs/>
          <w:sz w:val="22"/>
          <w:szCs w:val="22"/>
          <w:lang w:val="sr-Latn-ME"/>
        </w:rPr>
        <w:t xml:space="preserve">dio </w:t>
      </w:r>
      <w:r w:rsidRPr="00E22DF8">
        <w:rPr>
          <w:bCs/>
          <w:sz w:val="22"/>
          <w:szCs w:val="22"/>
          <w:lang w:val="sr-Latn-ME"/>
        </w:rPr>
        <w:t>4.3).</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lang w:val="sr-Latn-ME"/>
        </w:rPr>
        <w:t>Oštećenje funkcije bubrega</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Izloženost rivaroksabanu se povećava u korelaciji sa smanjenjem funkcije bubrega, koja je procijenjena na osnovu vrijednosti klirensa kreatinina. Kod osoba sa blagim (klirens kreatinina 50-80 ml/min), umjerenim (klirens kreatinina 30-49 ml/min) i teškim (klirens kreatinina 15-29 ml/min) oštećenjem funkcije bubrega, koncentracije rivaroksabana u plazmi (vrijednost PIK) bile su povećane 1,4, 1,5 i 1,6 puta, redom. Odgovarajući porast farmakodinamskog odgovora bio je više izražen. Kod osoba sa blagim, umjerenim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Ne očekuje se da se rivaroksaban gubi pri dijalizi</w:t>
      </w:r>
      <w:r w:rsidR="00161D61" w:rsidRPr="00E22DF8">
        <w:rPr>
          <w:bCs/>
          <w:sz w:val="22"/>
          <w:szCs w:val="22"/>
          <w:lang w:val="sr-Latn-ME"/>
        </w:rPr>
        <w:t>,</w:t>
      </w:r>
      <w:r w:rsidRPr="00E22DF8">
        <w:rPr>
          <w:bCs/>
          <w:sz w:val="22"/>
          <w:szCs w:val="22"/>
          <w:lang w:val="sr-Latn-ME"/>
        </w:rPr>
        <w:t xml:space="preserve"> zbog toga što se u velikoj m</w:t>
      </w:r>
      <w:r w:rsidR="00161D61" w:rsidRPr="00E22DF8">
        <w:rPr>
          <w:bCs/>
          <w:sz w:val="22"/>
          <w:szCs w:val="22"/>
          <w:lang w:val="sr-Latn-ME"/>
        </w:rPr>
        <w:t>j</w:t>
      </w:r>
      <w:r w:rsidRPr="00E22DF8">
        <w:rPr>
          <w:bCs/>
          <w:sz w:val="22"/>
          <w:szCs w:val="22"/>
          <w:lang w:val="sr-Latn-ME"/>
        </w:rPr>
        <w:t xml:space="preserve">eri vezuje za proteine plazme. Ne preporučuje se primjena ovog lijeka kod pacijenata čiji je klirens kreatinina &lt; 15 ml/min. Rivaroksaban se primjenjuje uz mjere opreza kod pacijenata sa klirensom kreatinina od 15-29 ml/min (vidjeti </w:t>
      </w:r>
      <w:r w:rsidR="00161D61" w:rsidRPr="00E22DF8">
        <w:rPr>
          <w:bCs/>
          <w:sz w:val="22"/>
          <w:szCs w:val="22"/>
          <w:lang w:val="sr-Latn-ME"/>
        </w:rPr>
        <w:t xml:space="preserve">dio </w:t>
      </w:r>
      <w:r w:rsidRPr="00E22DF8">
        <w:rPr>
          <w:bCs/>
          <w:sz w:val="22"/>
          <w:szCs w:val="22"/>
          <w:lang w:val="sr-Latn-ME"/>
        </w:rPr>
        <w:t>4.4).</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sz w:val="22"/>
          <w:szCs w:val="22"/>
          <w:lang w:val="sr-Latn-ME"/>
        </w:rPr>
      </w:pPr>
      <w:r w:rsidRPr="00E22DF8">
        <w:rPr>
          <w:bCs/>
          <w:sz w:val="22"/>
          <w:szCs w:val="22"/>
          <w:u w:val="single"/>
          <w:lang w:val="sr-Latn-ME"/>
        </w:rPr>
        <w:t>Farmakokinetički podaci kod pacijenata</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Kod pacijenata koji primaju rivaroksaban u dozi od 10 mg jednom dnevno u prevenciji VTE, geometrijska srednja vrijednost koncentracije (90% interval pouzdanosti) od 2 do 4 sata i oko 24 sata nakon uzimanja doze (što grubo predstavlja maksimalnu i minimalnu koncentraciju tokom intervala doziranja) je bio 101 (7-273), odnosno 14 (4-51) mikrograma/</w:t>
      </w:r>
      <w:r w:rsidR="00161D61" w:rsidRPr="00E22DF8">
        <w:rPr>
          <w:bCs/>
          <w:sz w:val="22"/>
          <w:szCs w:val="22"/>
          <w:lang w:val="sr-Latn-ME"/>
        </w:rPr>
        <w:t>l</w:t>
      </w:r>
      <w:r w:rsidRPr="00E22DF8">
        <w:rPr>
          <w:bCs/>
          <w:sz w:val="22"/>
          <w:szCs w:val="22"/>
          <w:lang w:val="sr-Latn-ME"/>
        </w:rPr>
        <w:t>.</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i/>
          <w:sz w:val="22"/>
          <w:szCs w:val="22"/>
          <w:lang w:val="sr-Latn-ME"/>
        </w:rPr>
      </w:pPr>
      <w:r w:rsidRPr="00E22DF8">
        <w:rPr>
          <w:bCs/>
          <w:i/>
          <w:sz w:val="22"/>
          <w:szCs w:val="22"/>
          <w:u w:val="single"/>
          <w:lang w:val="sr-Latn-ME"/>
        </w:rPr>
        <w:t>Farmakokinetsko/farmakodinamski odnos</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Ispitivan je farmakokinetsko/farmakodinamski (FK/FD) odnos između koncentracija rivaroksabana u plazmi i nekih ciljnih farmakodinamskih parametara (inhibicija faktora Xa, PT, aPTT, Heptest) poslije primjene širokog raspona doza (5-30 mg dva puta dnevno). Odnos između koncentracija rivaroksabana i aktivnosti faktora Xa najbolje se opisuje E</w:t>
      </w:r>
      <w:r w:rsidRPr="00E22DF8">
        <w:rPr>
          <w:bCs/>
          <w:sz w:val="22"/>
          <w:szCs w:val="22"/>
          <w:vertAlign w:val="subscript"/>
          <w:lang w:val="sr-Latn-ME"/>
        </w:rPr>
        <w:t>max</w:t>
      </w:r>
      <w:r w:rsidRPr="00E22DF8">
        <w:rPr>
          <w:bCs/>
          <w:sz w:val="22"/>
          <w:szCs w:val="22"/>
          <w:lang w:val="sr-Latn-ME"/>
        </w:rPr>
        <w:t xml:space="preserve"> modelom. U principu, za PT, vrijednosti bolje opisuje linearni model (engl. </w:t>
      </w:r>
      <w:r w:rsidRPr="00E22DF8">
        <w:rPr>
          <w:bCs/>
          <w:i/>
          <w:sz w:val="22"/>
          <w:szCs w:val="22"/>
          <w:lang w:val="sr-Latn-ME"/>
        </w:rPr>
        <w:t>linear intercept model</w:t>
      </w:r>
      <w:r w:rsidRPr="00E22DF8">
        <w:rPr>
          <w:bCs/>
          <w:sz w:val="22"/>
          <w:szCs w:val="22"/>
          <w:lang w:val="sr-Latn-ME"/>
        </w:rPr>
        <w:t>). Nagib značajno varira u zavisnosti od toga koji je PT reagens u pitanju. Kada je korišćen Neoplastin PT, početna PT vrijednost bila je oko 13 s, a nagib je bio oko 3-4 s/(100 mikrograma/</w:t>
      </w:r>
      <w:r w:rsidR="00161D61" w:rsidRPr="00E22DF8">
        <w:rPr>
          <w:bCs/>
          <w:sz w:val="22"/>
          <w:szCs w:val="22"/>
          <w:lang w:val="sr-Latn-ME"/>
        </w:rPr>
        <w:t>l</w:t>
      </w:r>
      <w:r w:rsidRPr="00E22DF8">
        <w:rPr>
          <w:bCs/>
          <w:sz w:val="22"/>
          <w:szCs w:val="22"/>
          <w:lang w:val="sr-Latn-ME"/>
        </w:rPr>
        <w:t xml:space="preserve">). Rezultati FK/FD analize u studijama faze </w:t>
      </w:r>
      <w:r w:rsidR="00161D61" w:rsidRPr="00E22DF8">
        <w:rPr>
          <w:bCs/>
          <w:sz w:val="22"/>
          <w:szCs w:val="22"/>
          <w:lang w:val="sr-Latn-ME"/>
        </w:rPr>
        <w:t xml:space="preserve">II i III </w:t>
      </w:r>
      <w:r w:rsidRPr="00E22DF8">
        <w:rPr>
          <w:bCs/>
          <w:sz w:val="22"/>
          <w:szCs w:val="22"/>
          <w:lang w:val="sr-Latn-ME"/>
        </w:rPr>
        <w:t>bili su u skladu sa podacima dobijenim na zdravim ispitanicima. Kod pacijenata, na početne vrijednosti faktora Xa i PT uticala je hirurška intervencija, što je dovelo do razlike u nagibu odnosa koncentracija-PT između vrijednosti na dan poslije operacije i vrijednosti u stanju dinamičke ravnoteže.</w:t>
      </w:r>
    </w:p>
    <w:p w:rsidR="006C3530" w:rsidRPr="00E22DF8" w:rsidRDefault="006C3530" w:rsidP="006C3530">
      <w:pPr>
        <w:tabs>
          <w:tab w:val="left" w:pos="540"/>
          <w:tab w:val="left" w:pos="569"/>
        </w:tabs>
        <w:jc w:val="both"/>
        <w:rPr>
          <w:bCs/>
          <w:sz w:val="22"/>
          <w:szCs w:val="22"/>
          <w:lang w:val="sr-Latn-ME"/>
        </w:rPr>
      </w:pPr>
    </w:p>
    <w:p w:rsidR="006C3530" w:rsidRPr="00E22DF8" w:rsidRDefault="006C3530" w:rsidP="006C3530">
      <w:pPr>
        <w:tabs>
          <w:tab w:val="left" w:pos="540"/>
          <w:tab w:val="left" w:pos="569"/>
        </w:tabs>
        <w:jc w:val="both"/>
        <w:rPr>
          <w:bCs/>
          <w:sz w:val="22"/>
          <w:szCs w:val="22"/>
          <w:lang w:val="sr-Latn-ME"/>
        </w:rPr>
      </w:pPr>
      <w:r w:rsidRPr="00E22DF8">
        <w:rPr>
          <w:bCs/>
          <w:sz w:val="22"/>
          <w:szCs w:val="22"/>
          <w:u w:val="single"/>
          <w:lang w:val="sr-Latn-ME"/>
        </w:rPr>
        <w:t>Pedijatrijska populacija</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Za djecu i adolescente uzrasta do 18 godina u indikaciji primarne prevencije VTE nisu ustanovljeni bezbjednost i efikasnost.</w:t>
      </w:r>
    </w:p>
    <w:p w:rsidR="004D23C1" w:rsidRPr="00E22DF8" w:rsidRDefault="004D23C1"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5.3. </w:t>
      </w:r>
      <w:r w:rsidR="00480FB1" w:rsidRPr="00E22DF8">
        <w:rPr>
          <w:b/>
          <w:bCs/>
          <w:sz w:val="22"/>
          <w:szCs w:val="22"/>
          <w:lang w:val="sr-Latn-ME"/>
        </w:rPr>
        <w:tab/>
      </w:r>
      <w:r w:rsidRPr="00E22DF8">
        <w:rPr>
          <w:b/>
          <w:bCs/>
          <w:sz w:val="22"/>
          <w:szCs w:val="22"/>
          <w:lang w:val="sr-Latn-ME"/>
        </w:rPr>
        <w:t xml:space="preserve">Pretklinički podaci o bezbjednosti </w:t>
      </w:r>
    </w:p>
    <w:p w:rsidR="006C3530" w:rsidRPr="00E22DF8" w:rsidRDefault="006C3530" w:rsidP="00480FB1">
      <w:pPr>
        <w:tabs>
          <w:tab w:val="left" w:pos="540"/>
          <w:tab w:val="left" w:pos="569"/>
        </w:tabs>
        <w:rPr>
          <w:b/>
          <w:bCs/>
          <w:sz w:val="22"/>
          <w:szCs w:val="22"/>
          <w:lang w:val="sr-Latn-ME"/>
        </w:rPr>
      </w:pP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Pretklinički podaci dobijeni na osnovu standardnih ispitivanja bezbjednosne farmakologije, ispitivanja toksičnosti pojedinačne doze, fototoksičnosti, genotoksičnosti, karcinogenog potencijala i juvenilne toksičnosti ne pokazuju da postoji poseban rizik za ljude.</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Efekti uočeni u ispitivanjima toksičnosti ponovljene doze uglavnom su rezultat povećane farmakodinamske aktivnosti rivaroksabana. Kod pacova, primijećeno je povećanje koncentracije IgG i IgA u plazmi sa klinički značajnim vrijednostima izloženosti.</w:t>
      </w:r>
    </w:p>
    <w:p w:rsidR="006C3530" w:rsidRPr="00E22DF8" w:rsidRDefault="006C3530" w:rsidP="006C3530">
      <w:pPr>
        <w:tabs>
          <w:tab w:val="left" w:pos="540"/>
          <w:tab w:val="left" w:pos="569"/>
        </w:tabs>
        <w:jc w:val="both"/>
        <w:rPr>
          <w:bCs/>
          <w:sz w:val="22"/>
          <w:szCs w:val="22"/>
          <w:lang w:val="sr-Latn-ME"/>
        </w:rPr>
      </w:pPr>
      <w:r w:rsidRPr="00E22DF8">
        <w:rPr>
          <w:bCs/>
          <w:sz w:val="22"/>
          <w:szCs w:val="22"/>
          <w:lang w:val="sr-Latn-ME"/>
        </w:rPr>
        <w:t>Nije primijećen uticaj na plodnost mužjaka ni ženki pacova. Studije na životinjama pokazuju reproduktivnu toksičnost koja je rezultat farmakološkog mehanizma dejstva rivaroksabana (npr. hemoragijske komplikacije). Embrio-fetalna toksičnost (gubitak poslije implantacije, usporena/ubrzana osifikacija, multiple sv</w:t>
      </w:r>
      <w:r w:rsidR="00872123" w:rsidRPr="00E22DF8">
        <w:rPr>
          <w:bCs/>
          <w:sz w:val="22"/>
          <w:szCs w:val="22"/>
          <w:lang w:val="sr-Latn-ME"/>
        </w:rPr>
        <w:t>ij</w:t>
      </w:r>
      <w:r w:rsidRPr="00E22DF8">
        <w:rPr>
          <w:bCs/>
          <w:sz w:val="22"/>
          <w:szCs w:val="22"/>
          <w:lang w:val="sr-Latn-ME"/>
        </w:rPr>
        <w:t xml:space="preserve">etle mrlje na jetri) i povećana učestalost uobičajenih malformacija, kao i </w:t>
      </w:r>
      <w:r w:rsidRPr="00E22DF8">
        <w:rPr>
          <w:bCs/>
          <w:sz w:val="22"/>
          <w:szCs w:val="22"/>
          <w:lang w:val="sr-Latn-ME"/>
        </w:rPr>
        <w:lastRenderedPageBreak/>
        <w:t>promjene na placenti, zapažene su u klinički značajnim koncentracijama lijeka u plazmi. U studijama prenatalnog i postnatalnog razvoja na pacovima, primijećena je smanjena sposobnost preživljavanja okota u dozama koje su bile toksične za gravidne ženke.</w:t>
      </w:r>
    </w:p>
    <w:p w:rsidR="00396DFD" w:rsidRPr="00E22DF8" w:rsidRDefault="00396DFD" w:rsidP="00480FB1">
      <w:pPr>
        <w:tabs>
          <w:tab w:val="left" w:pos="540"/>
          <w:tab w:val="left" w:pos="569"/>
        </w:tabs>
        <w:rPr>
          <w:b/>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 </w:t>
      </w:r>
      <w:r w:rsidR="00480FB1" w:rsidRPr="00E22DF8">
        <w:rPr>
          <w:b/>
          <w:bCs/>
          <w:sz w:val="22"/>
          <w:szCs w:val="22"/>
          <w:lang w:val="sr-Latn-ME"/>
        </w:rPr>
        <w:tab/>
      </w:r>
      <w:r w:rsidRPr="00E22DF8">
        <w:rPr>
          <w:b/>
          <w:bCs/>
          <w:sz w:val="22"/>
          <w:szCs w:val="22"/>
          <w:lang w:val="sr-Latn-ME"/>
        </w:rPr>
        <w:t>FARMACEUTSKI PODACI</w:t>
      </w:r>
    </w:p>
    <w:p w:rsidR="00836B35" w:rsidRPr="00E22DF8" w:rsidRDefault="00836B35"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6.1. </w:t>
      </w:r>
      <w:r w:rsidR="00480FB1" w:rsidRPr="00E22DF8">
        <w:rPr>
          <w:b/>
          <w:bCs/>
          <w:sz w:val="22"/>
          <w:szCs w:val="22"/>
          <w:lang w:val="sr-Latn-ME"/>
        </w:rPr>
        <w:tab/>
      </w:r>
      <w:r w:rsidRPr="00E22DF8">
        <w:rPr>
          <w:b/>
          <w:bCs/>
          <w:sz w:val="22"/>
          <w:szCs w:val="22"/>
          <w:lang w:val="sr-Latn-ME"/>
        </w:rPr>
        <w:t>Lista pomoćnih supstanci</w:t>
      </w:r>
      <w:r w:rsidR="002E0135" w:rsidRPr="00E22DF8">
        <w:rPr>
          <w:b/>
          <w:bCs/>
          <w:sz w:val="22"/>
          <w:szCs w:val="22"/>
          <w:lang w:val="sr-Latn-ME"/>
        </w:rPr>
        <w:t xml:space="preserve"> (ekscipijenasa)</w:t>
      </w:r>
    </w:p>
    <w:p w:rsidR="003966D4" w:rsidRPr="00E22DF8" w:rsidRDefault="003966D4" w:rsidP="00480FB1">
      <w:pPr>
        <w:tabs>
          <w:tab w:val="left" w:pos="540"/>
          <w:tab w:val="left" w:pos="569"/>
        </w:tabs>
        <w:rPr>
          <w:b/>
          <w:bCs/>
          <w:sz w:val="22"/>
          <w:szCs w:val="22"/>
          <w:lang w:val="sr-Latn-ME"/>
        </w:rPr>
      </w:pPr>
    </w:p>
    <w:p w:rsidR="003966D4" w:rsidRPr="00E22DF8" w:rsidRDefault="003966D4" w:rsidP="003966D4">
      <w:pPr>
        <w:tabs>
          <w:tab w:val="left" w:pos="540"/>
          <w:tab w:val="left" w:pos="569"/>
        </w:tabs>
        <w:rPr>
          <w:bCs/>
          <w:i/>
          <w:sz w:val="22"/>
          <w:szCs w:val="22"/>
          <w:lang w:val="sr-Latn-ME"/>
        </w:rPr>
      </w:pPr>
      <w:r w:rsidRPr="00E22DF8">
        <w:rPr>
          <w:bCs/>
          <w:i/>
          <w:sz w:val="22"/>
          <w:szCs w:val="22"/>
          <w:lang w:val="sr-Latn-ME"/>
        </w:rPr>
        <w:t>Jezgro tablete:</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Natrijum laurilsulfat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Laktoza, monohidrat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Hipromeloza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Kroskarmeloza natrijum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Magnezijum stearat.</w:t>
      </w:r>
    </w:p>
    <w:p w:rsidR="003966D4" w:rsidRPr="00E22DF8" w:rsidRDefault="003966D4" w:rsidP="003966D4">
      <w:pPr>
        <w:tabs>
          <w:tab w:val="left" w:pos="540"/>
          <w:tab w:val="left" w:pos="569"/>
        </w:tabs>
        <w:rPr>
          <w:bCs/>
          <w:sz w:val="22"/>
          <w:szCs w:val="22"/>
          <w:lang w:val="sr-Latn-ME"/>
        </w:rPr>
      </w:pPr>
    </w:p>
    <w:p w:rsidR="003966D4" w:rsidRPr="00E22DF8" w:rsidRDefault="003966D4" w:rsidP="003966D4">
      <w:pPr>
        <w:tabs>
          <w:tab w:val="left" w:pos="540"/>
          <w:tab w:val="left" w:pos="569"/>
        </w:tabs>
        <w:rPr>
          <w:bCs/>
          <w:i/>
          <w:sz w:val="22"/>
          <w:szCs w:val="22"/>
          <w:lang w:val="sr-Latn-ME"/>
        </w:rPr>
      </w:pPr>
      <w:r w:rsidRPr="00E22DF8">
        <w:rPr>
          <w:bCs/>
          <w:i/>
          <w:sz w:val="22"/>
          <w:szCs w:val="22"/>
          <w:lang w:val="sr-Latn-ME"/>
        </w:rPr>
        <w:t>Film obloga tablete:</w:t>
      </w:r>
    </w:p>
    <w:p w:rsidR="003966D4" w:rsidRPr="00E22DF8" w:rsidRDefault="003966D4" w:rsidP="003966D4">
      <w:pPr>
        <w:tabs>
          <w:tab w:val="left" w:pos="540"/>
          <w:tab w:val="left" w:pos="569"/>
        </w:tabs>
        <w:rPr>
          <w:bCs/>
          <w:sz w:val="22"/>
          <w:szCs w:val="22"/>
          <w:lang w:val="sr-Latn-ME"/>
        </w:rPr>
      </w:pPr>
      <w:r w:rsidRPr="00E22DF8">
        <w:rPr>
          <w:bCs/>
          <w:i/>
          <w:sz w:val="22"/>
          <w:szCs w:val="22"/>
          <w:lang w:val="sr-Latn-ME"/>
        </w:rPr>
        <w:t>Opadry II 85F34156 Pink</w:t>
      </w:r>
      <w:r w:rsidRPr="00E22DF8">
        <w:rPr>
          <w:bCs/>
          <w:sz w:val="22"/>
          <w:szCs w:val="22"/>
          <w:lang w:val="sr-Latn-ME"/>
        </w:rPr>
        <w:t>, sastava:</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Polivinil</w:t>
      </w:r>
      <w:r w:rsidR="004D2814" w:rsidRPr="00E22DF8">
        <w:rPr>
          <w:bCs/>
          <w:sz w:val="22"/>
          <w:szCs w:val="22"/>
          <w:lang w:val="sr-Latn-ME"/>
        </w:rPr>
        <w:t xml:space="preserve"> </w:t>
      </w:r>
      <w:r w:rsidRPr="00E22DF8">
        <w:rPr>
          <w:bCs/>
          <w:sz w:val="22"/>
          <w:szCs w:val="22"/>
          <w:lang w:val="sr-Latn-ME"/>
        </w:rPr>
        <w:t xml:space="preserve">alkohol, parcijalno hidrolizovani (E1203)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Makrogol/PEG (MW 3350)</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Talk (E553b)</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Titan dioksid (E171)</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Gvožđe (III) oksid, crveni (E172)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 xml:space="preserve">Gvožđe (III) oksid, žuti (E172) </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Carmine (E120).</w:t>
      </w:r>
    </w:p>
    <w:p w:rsidR="0072020E" w:rsidRPr="00E22DF8" w:rsidRDefault="0072020E"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6.2. </w:t>
      </w:r>
      <w:r w:rsidR="00480FB1" w:rsidRPr="00E22DF8">
        <w:rPr>
          <w:b/>
          <w:bCs/>
          <w:sz w:val="22"/>
          <w:szCs w:val="22"/>
          <w:lang w:val="sr-Latn-ME"/>
        </w:rPr>
        <w:tab/>
      </w:r>
      <w:r w:rsidRPr="00E22DF8">
        <w:rPr>
          <w:b/>
          <w:bCs/>
          <w:sz w:val="22"/>
          <w:szCs w:val="22"/>
          <w:lang w:val="sr-Latn-ME"/>
        </w:rPr>
        <w:t>Inkompatibilnost</w:t>
      </w:r>
      <w:r w:rsidR="002846DB" w:rsidRPr="00E22DF8">
        <w:rPr>
          <w:b/>
          <w:bCs/>
          <w:sz w:val="22"/>
          <w:szCs w:val="22"/>
          <w:lang w:val="sr-Latn-ME"/>
        </w:rPr>
        <w:t>i</w:t>
      </w:r>
    </w:p>
    <w:p w:rsidR="003966D4" w:rsidRPr="00E22DF8" w:rsidRDefault="003966D4" w:rsidP="00480FB1">
      <w:pPr>
        <w:tabs>
          <w:tab w:val="left" w:pos="540"/>
          <w:tab w:val="left" w:pos="569"/>
        </w:tabs>
        <w:rPr>
          <w:b/>
          <w:bCs/>
          <w:sz w:val="22"/>
          <w:szCs w:val="22"/>
          <w:lang w:val="sr-Latn-ME"/>
        </w:rPr>
      </w:pP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Nije primjenljivo.</w:t>
      </w:r>
    </w:p>
    <w:p w:rsidR="003966D4" w:rsidRPr="00E22DF8" w:rsidRDefault="003966D4" w:rsidP="003966D4">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6.3.</w:t>
      </w:r>
      <w:r w:rsidR="00C05DF8" w:rsidRPr="00E22DF8">
        <w:rPr>
          <w:b/>
          <w:bCs/>
          <w:sz w:val="22"/>
          <w:szCs w:val="22"/>
          <w:lang w:val="sr-Latn-ME"/>
        </w:rPr>
        <w:t xml:space="preserve"> </w:t>
      </w:r>
      <w:r w:rsidR="00480FB1" w:rsidRPr="00E22DF8">
        <w:rPr>
          <w:b/>
          <w:bCs/>
          <w:sz w:val="22"/>
          <w:szCs w:val="22"/>
          <w:lang w:val="sr-Latn-ME"/>
        </w:rPr>
        <w:tab/>
      </w:r>
      <w:r w:rsidRPr="00E22DF8">
        <w:rPr>
          <w:b/>
          <w:bCs/>
          <w:sz w:val="22"/>
          <w:szCs w:val="22"/>
          <w:lang w:val="sr-Latn-ME"/>
        </w:rPr>
        <w:t>Rok upotrebe</w:t>
      </w:r>
    </w:p>
    <w:p w:rsidR="003966D4" w:rsidRPr="00E22DF8" w:rsidRDefault="003966D4" w:rsidP="00480FB1">
      <w:pPr>
        <w:tabs>
          <w:tab w:val="left" w:pos="540"/>
          <w:tab w:val="left" w:pos="569"/>
        </w:tabs>
        <w:rPr>
          <w:b/>
          <w:bCs/>
          <w:sz w:val="22"/>
          <w:szCs w:val="22"/>
          <w:lang w:val="sr-Latn-ME"/>
        </w:rPr>
      </w:pPr>
    </w:p>
    <w:p w:rsidR="003966D4" w:rsidRPr="00E22DF8" w:rsidRDefault="003966D4" w:rsidP="00480FB1">
      <w:pPr>
        <w:tabs>
          <w:tab w:val="left" w:pos="540"/>
          <w:tab w:val="left" w:pos="569"/>
        </w:tabs>
        <w:rPr>
          <w:bCs/>
          <w:sz w:val="22"/>
          <w:szCs w:val="22"/>
          <w:lang w:val="sr-Latn-ME"/>
        </w:rPr>
      </w:pPr>
      <w:r w:rsidRPr="00E22DF8">
        <w:rPr>
          <w:bCs/>
          <w:sz w:val="22"/>
          <w:szCs w:val="22"/>
          <w:lang w:val="sr-Latn-ME"/>
        </w:rPr>
        <w:t>2 godine.</w:t>
      </w:r>
    </w:p>
    <w:p w:rsidR="0072020E" w:rsidRPr="00E22DF8" w:rsidRDefault="0072020E"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6.4. </w:t>
      </w:r>
      <w:r w:rsidR="00480FB1" w:rsidRPr="00E22DF8">
        <w:rPr>
          <w:b/>
          <w:bCs/>
          <w:sz w:val="22"/>
          <w:szCs w:val="22"/>
          <w:lang w:val="sr-Latn-ME"/>
        </w:rPr>
        <w:tab/>
      </w:r>
      <w:r w:rsidRPr="00E22DF8">
        <w:rPr>
          <w:b/>
          <w:bCs/>
          <w:sz w:val="22"/>
          <w:szCs w:val="22"/>
          <w:lang w:val="sr-Latn-ME"/>
        </w:rPr>
        <w:t>Posebne mjere upozorenja pri čuvanju</w:t>
      </w:r>
      <w:r w:rsidR="00F8570A" w:rsidRPr="00E22DF8">
        <w:rPr>
          <w:b/>
          <w:bCs/>
          <w:sz w:val="22"/>
          <w:szCs w:val="22"/>
          <w:lang w:val="sr-Latn-ME"/>
        </w:rPr>
        <w:t xml:space="preserve"> lijeka</w:t>
      </w:r>
    </w:p>
    <w:p w:rsidR="003966D4" w:rsidRPr="00E22DF8" w:rsidRDefault="003966D4" w:rsidP="00480FB1">
      <w:pPr>
        <w:tabs>
          <w:tab w:val="left" w:pos="540"/>
          <w:tab w:val="left" w:pos="569"/>
        </w:tabs>
        <w:rPr>
          <w:b/>
          <w:bCs/>
          <w:sz w:val="22"/>
          <w:szCs w:val="22"/>
          <w:lang w:val="sr-Latn-ME"/>
        </w:rPr>
      </w:pPr>
    </w:p>
    <w:p w:rsidR="003966D4" w:rsidRPr="00E22DF8" w:rsidRDefault="003966D4" w:rsidP="00480FB1">
      <w:pPr>
        <w:tabs>
          <w:tab w:val="left" w:pos="540"/>
          <w:tab w:val="left" w:pos="569"/>
        </w:tabs>
        <w:rPr>
          <w:bCs/>
          <w:sz w:val="22"/>
          <w:szCs w:val="22"/>
          <w:lang w:val="sr-Latn-ME"/>
        </w:rPr>
      </w:pPr>
      <w:r w:rsidRPr="00E22DF8">
        <w:rPr>
          <w:bCs/>
          <w:sz w:val="22"/>
          <w:szCs w:val="22"/>
          <w:lang w:val="sr-Latn-ME"/>
        </w:rPr>
        <w:t>Ovaj lijek ne zahtijeva posebne uslove čuvanja.</w:t>
      </w:r>
    </w:p>
    <w:p w:rsidR="00EC2532" w:rsidRPr="00E22DF8" w:rsidRDefault="00EC2532"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6.5. </w:t>
      </w:r>
      <w:r w:rsidR="00480FB1" w:rsidRPr="00E22DF8">
        <w:rPr>
          <w:b/>
          <w:bCs/>
          <w:sz w:val="22"/>
          <w:szCs w:val="22"/>
          <w:lang w:val="sr-Latn-ME"/>
        </w:rPr>
        <w:tab/>
      </w:r>
      <w:r w:rsidR="002846DB" w:rsidRPr="00E22DF8">
        <w:rPr>
          <w:b/>
          <w:bCs/>
          <w:sz w:val="22"/>
          <w:szCs w:val="22"/>
          <w:lang w:val="sr-Latn-ME"/>
        </w:rPr>
        <w:t xml:space="preserve">Vrsta i sadržaj </w:t>
      </w:r>
      <w:r w:rsidR="00F8570A" w:rsidRPr="00E22DF8">
        <w:rPr>
          <w:b/>
          <w:bCs/>
          <w:sz w:val="22"/>
          <w:szCs w:val="22"/>
          <w:lang w:val="sr-Latn-ME"/>
        </w:rPr>
        <w:t>pakovanja</w:t>
      </w:r>
      <w:r w:rsidR="00C06864" w:rsidRPr="00E22DF8">
        <w:rPr>
          <w:b/>
          <w:bCs/>
          <w:sz w:val="22"/>
          <w:szCs w:val="22"/>
          <w:lang w:val="sr-Latn-ME"/>
        </w:rPr>
        <w:t xml:space="preserve"> </w:t>
      </w:r>
    </w:p>
    <w:p w:rsidR="003966D4" w:rsidRPr="00E22DF8" w:rsidRDefault="003966D4" w:rsidP="00480FB1">
      <w:pPr>
        <w:tabs>
          <w:tab w:val="left" w:pos="540"/>
          <w:tab w:val="left" w:pos="569"/>
        </w:tabs>
        <w:rPr>
          <w:b/>
          <w:bCs/>
          <w:sz w:val="22"/>
          <w:szCs w:val="22"/>
          <w:lang w:val="sr-Latn-ME"/>
        </w:rPr>
      </w:pPr>
    </w:p>
    <w:p w:rsidR="003966D4" w:rsidRPr="00E22DF8" w:rsidRDefault="003966D4" w:rsidP="003966D4">
      <w:pPr>
        <w:tabs>
          <w:tab w:val="left" w:pos="540"/>
          <w:tab w:val="left" w:pos="569"/>
        </w:tabs>
        <w:jc w:val="both"/>
        <w:rPr>
          <w:bCs/>
          <w:sz w:val="22"/>
          <w:szCs w:val="22"/>
          <w:lang w:val="sr-Latn-ME"/>
        </w:rPr>
      </w:pPr>
      <w:r w:rsidRPr="00E22DF8">
        <w:rPr>
          <w:bCs/>
          <w:sz w:val="22"/>
          <w:szCs w:val="22"/>
          <w:lang w:val="sr-Latn-ME"/>
        </w:rPr>
        <w:t>Unutrašnje pakovanje je PVC/PVDC-Aluminijum blister koji sadrži 10 film tableta.</w:t>
      </w:r>
    </w:p>
    <w:p w:rsidR="003966D4" w:rsidRPr="00E22DF8" w:rsidRDefault="003966D4" w:rsidP="003966D4">
      <w:pPr>
        <w:tabs>
          <w:tab w:val="left" w:pos="540"/>
          <w:tab w:val="left" w:pos="569"/>
        </w:tabs>
        <w:jc w:val="both"/>
        <w:rPr>
          <w:bCs/>
          <w:sz w:val="22"/>
          <w:szCs w:val="22"/>
          <w:lang w:val="sr-Latn-ME"/>
        </w:rPr>
      </w:pPr>
      <w:r w:rsidRPr="00E22DF8">
        <w:rPr>
          <w:bCs/>
          <w:sz w:val="22"/>
          <w:szCs w:val="22"/>
          <w:lang w:val="sr-Latn-ME"/>
        </w:rPr>
        <w:t>Spoljašnje pakovanje je složiva kartonska kutija u kojoj se nalaze 3 blistera sa po 10 film tableta (ukupno 30 film tableta), Uputstvo za lijek i Kartica sa upozorenjima za pacijente.</w:t>
      </w:r>
    </w:p>
    <w:p w:rsidR="0072020E" w:rsidRPr="00E22DF8" w:rsidRDefault="0072020E" w:rsidP="003966D4">
      <w:pPr>
        <w:tabs>
          <w:tab w:val="left" w:pos="540"/>
          <w:tab w:val="left" w:pos="569"/>
        </w:tabs>
        <w:jc w:val="both"/>
        <w:rPr>
          <w:bCs/>
          <w:sz w:val="22"/>
          <w:szCs w:val="22"/>
          <w:lang w:val="sr-Latn-ME"/>
        </w:rPr>
      </w:pPr>
    </w:p>
    <w:p w:rsidR="002846DB"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6.6. </w:t>
      </w:r>
      <w:r w:rsidR="00480FB1" w:rsidRPr="00E22DF8">
        <w:rPr>
          <w:b/>
          <w:bCs/>
          <w:sz w:val="22"/>
          <w:szCs w:val="22"/>
          <w:lang w:val="sr-Latn-ME"/>
        </w:rPr>
        <w:tab/>
      </w:r>
      <w:r w:rsidRPr="00E22DF8">
        <w:rPr>
          <w:b/>
          <w:bCs/>
          <w:color w:val="000000"/>
          <w:sz w:val="22"/>
          <w:szCs w:val="22"/>
          <w:lang w:val="sr-Latn-ME"/>
        </w:rPr>
        <w:t>Posebne mjere opreza pri odlaganju materijala koji treba odbaciti nakon primjene lijeka</w:t>
      </w:r>
      <w:r w:rsidRPr="00E22DF8">
        <w:rPr>
          <w:b/>
          <w:bCs/>
          <w:sz w:val="22"/>
          <w:szCs w:val="22"/>
          <w:lang w:val="sr-Latn-ME"/>
        </w:rPr>
        <w:t xml:space="preserve"> </w:t>
      </w:r>
      <w:r w:rsidR="00310F03" w:rsidRPr="00E22DF8">
        <w:rPr>
          <w:b/>
          <w:bCs/>
          <w:sz w:val="22"/>
          <w:szCs w:val="22"/>
          <w:lang w:val="sr-Latn-ME"/>
        </w:rPr>
        <w:t>(i druga uputs</w:t>
      </w:r>
      <w:r w:rsidR="004109FA" w:rsidRPr="00E22DF8">
        <w:rPr>
          <w:b/>
          <w:bCs/>
          <w:sz w:val="22"/>
          <w:szCs w:val="22"/>
          <w:lang w:val="sr-Latn-ME"/>
        </w:rPr>
        <w:t>t</w:t>
      </w:r>
      <w:r w:rsidR="00310F03" w:rsidRPr="00E22DF8">
        <w:rPr>
          <w:b/>
          <w:bCs/>
          <w:sz w:val="22"/>
          <w:szCs w:val="22"/>
          <w:lang w:val="sr-Latn-ME"/>
        </w:rPr>
        <w:t xml:space="preserve">va za rukovanje lijekom) </w:t>
      </w:r>
    </w:p>
    <w:p w:rsidR="00B66A70" w:rsidRPr="00E22DF8" w:rsidRDefault="00B66A70" w:rsidP="00480FB1">
      <w:pPr>
        <w:tabs>
          <w:tab w:val="left" w:pos="540"/>
          <w:tab w:val="left" w:pos="569"/>
        </w:tabs>
        <w:rPr>
          <w:b/>
          <w:bCs/>
          <w:sz w:val="22"/>
          <w:szCs w:val="22"/>
          <w:lang w:val="sr-Latn-ME"/>
        </w:rPr>
      </w:pPr>
    </w:p>
    <w:p w:rsidR="003966D4" w:rsidRPr="00E22DF8" w:rsidRDefault="003966D4" w:rsidP="003966D4">
      <w:pPr>
        <w:tabs>
          <w:tab w:val="left" w:pos="540"/>
          <w:tab w:val="left" w:pos="569"/>
        </w:tabs>
        <w:jc w:val="both"/>
        <w:rPr>
          <w:bCs/>
          <w:sz w:val="22"/>
          <w:szCs w:val="22"/>
          <w:lang w:val="sr-Latn-ME"/>
        </w:rPr>
      </w:pPr>
      <w:r w:rsidRPr="00E22DF8">
        <w:rPr>
          <w:bCs/>
          <w:sz w:val="22"/>
          <w:szCs w:val="22"/>
          <w:lang w:val="sr-Latn-ME"/>
        </w:rPr>
        <w:t>Svu neiskorišćenu količinu lijeka ili otpadnog materijala nakon njegove upotrebe treba ukloniti u skladu sa važećim propisima.</w:t>
      </w:r>
    </w:p>
    <w:p w:rsidR="003966D4" w:rsidRPr="00E22DF8" w:rsidRDefault="003966D4" w:rsidP="003966D4">
      <w:pPr>
        <w:tabs>
          <w:tab w:val="left" w:pos="540"/>
          <w:tab w:val="left" w:pos="569"/>
        </w:tabs>
        <w:jc w:val="both"/>
        <w:rPr>
          <w:bCs/>
          <w:sz w:val="22"/>
          <w:szCs w:val="22"/>
          <w:lang w:val="sr-Latn-ME"/>
        </w:rPr>
      </w:pPr>
    </w:p>
    <w:p w:rsidR="003966D4" w:rsidRPr="00E22DF8" w:rsidRDefault="003966D4" w:rsidP="003966D4">
      <w:pPr>
        <w:tabs>
          <w:tab w:val="left" w:pos="540"/>
          <w:tab w:val="left" w:pos="569"/>
        </w:tabs>
        <w:jc w:val="both"/>
        <w:rPr>
          <w:bCs/>
          <w:sz w:val="22"/>
          <w:szCs w:val="22"/>
          <w:u w:val="single"/>
          <w:lang w:val="sr-Latn-ME"/>
        </w:rPr>
      </w:pPr>
      <w:r w:rsidRPr="00E22DF8">
        <w:rPr>
          <w:bCs/>
          <w:sz w:val="22"/>
          <w:szCs w:val="22"/>
          <w:u w:val="single"/>
          <w:lang w:val="sr-Latn-ME"/>
        </w:rPr>
        <w:t>Usitnjavanje tableta</w:t>
      </w:r>
    </w:p>
    <w:p w:rsidR="003966D4" w:rsidRPr="00E22DF8" w:rsidRDefault="003966D4" w:rsidP="003966D4">
      <w:pPr>
        <w:tabs>
          <w:tab w:val="left" w:pos="540"/>
          <w:tab w:val="left" w:pos="569"/>
        </w:tabs>
        <w:jc w:val="both"/>
        <w:rPr>
          <w:bCs/>
          <w:sz w:val="22"/>
          <w:szCs w:val="22"/>
          <w:lang w:val="sr-Latn-ME"/>
        </w:rPr>
      </w:pPr>
      <w:r w:rsidRPr="00E22DF8">
        <w:rPr>
          <w:bCs/>
          <w:sz w:val="22"/>
          <w:szCs w:val="22"/>
          <w:lang w:val="sr-Latn-ME"/>
        </w:rPr>
        <w:t xml:space="preserve">Tablete rivaroksabana se mogu usitniti i suspendovati u 50 mL vode i </w:t>
      </w:r>
      <w:r w:rsidR="000C16A7" w:rsidRPr="00E22DF8">
        <w:rPr>
          <w:bCs/>
          <w:sz w:val="22"/>
          <w:szCs w:val="22"/>
          <w:lang w:val="sr-Latn-ME"/>
        </w:rPr>
        <w:t xml:space="preserve">primjeniti </w:t>
      </w:r>
      <w:r w:rsidRPr="00E22DF8">
        <w:rPr>
          <w:bCs/>
          <w:sz w:val="22"/>
          <w:szCs w:val="22"/>
          <w:lang w:val="sr-Latn-ME"/>
        </w:rPr>
        <w:t>preko nazogastrične sonde ili gastrične sonde za hranjenje nakon potvrde pravilnog postavljanja sonde u želudac. Nakon toga, sondu treba isprati vodom. Pošto apsorpcija rivaroksabana zavisi od mjesta oslobađanja aktivne supstance, treba izbjegavati davanje rivaroksabana distalno od želuca, jer to može dovesti do smanjene apsorpcije, a time i do smanjene izloženosti aktivnoj supstanci. Enteralno hranjenje nije potrebno odmah nakon primjene tableta od 10 mg.</w:t>
      </w:r>
    </w:p>
    <w:p w:rsidR="0072020E" w:rsidRPr="00E22DF8" w:rsidRDefault="0072020E" w:rsidP="00480FB1">
      <w:pPr>
        <w:tabs>
          <w:tab w:val="left" w:pos="540"/>
          <w:tab w:val="left" w:pos="569"/>
        </w:tabs>
        <w:rPr>
          <w:bCs/>
          <w:sz w:val="22"/>
          <w:szCs w:val="22"/>
          <w:lang w:val="sr-Latn-ME"/>
        </w:rPr>
      </w:pPr>
    </w:p>
    <w:p w:rsidR="00F8570A" w:rsidRPr="00E22DF8" w:rsidRDefault="0072020E" w:rsidP="00480FB1">
      <w:pPr>
        <w:tabs>
          <w:tab w:val="left" w:pos="540"/>
          <w:tab w:val="left" w:pos="569"/>
        </w:tabs>
        <w:rPr>
          <w:b/>
          <w:bCs/>
          <w:sz w:val="22"/>
          <w:szCs w:val="22"/>
          <w:lang w:val="sr-Latn-ME"/>
        </w:rPr>
      </w:pPr>
      <w:r w:rsidRPr="00E22DF8">
        <w:rPr>
          <w:b/>
          <w:bCs/>
          <w:sz w:val="22"/>
          <w:szCs w:val="22"/>
          <w:lang w:val="sr-Latn-ME"/>
        </w:rPr>
        <w:lastRenderedPageBreak/>
        <w:t xml:space="preserve">7. </w:t>
      </w:r>
      <w:r w:rsidR="00480FB1" w:rsidRPr="00E22DF8">
        <w:rPr>
          <w:b/>
          <w:bCs/>
          <w:sz w:val="22"/>
          <w:szCs w:val="22"/>
          <w:lang w:val="sr-Latn-ME"/>
        </w:rPr>
        <w:tab/>
      </w:r>
      <w:r w:rsidRPr="00E22DF8">
        <w:rPr>
          <w:b/>
          <w:bCs/>
          <w:sz w:val="22"/>
          <w:szCs w:val="22"/>
          <w:lang w:val="sr-Latn-ME"/>
        </w:rPr>
        <w:t>NOSILAC DOZVOLE</w:t>
      </w:r>
      <w:r w:rsidR="00483928" w:rsidRPr="00E22DF8">
        <w:rPr>
          <w:b/>
          <w:bCs/>
          <w:sz w:val="22"/>
          <w:szCs w:val="22"/>
          <w:lang w:val="sr-Latn-ME"/>
        </w:rPr>
        <w:t xml:space="preserve"> </w:t>
      </w:r>
    </w:p>
    <w:p w:rsidR="00ED6BAC" w:rsidRPr="00E22DF8" w:rsidRDefault="00ED6BAC" w:rsidP="00480FB1">
      <w:pPr>
        <w:tabs>
          <w:tab w:val="left" w:pos="540"/>
          <w:tab w:val="left" w:pos="569"/>
        </w:tabs>
        <w:rPr>
          <w:b/>
          <w:bCs/>
          <w:sz w:val="22"/>
          <w:szCs w:val="22"/>
          <w:lang w:val="sr-Latn-ME"/>
        </w:rPr>
      </w:pP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Evropa Lek Pharma d.o.o.</w:t>
      </w:r>
      <w:r w:rsidR="00B35AC8" w:rsidRPr="00E22DF8">
        <w:rPr>
          <w:bCs/>
          <w:sz w:val="22"/>
          <w:szCs w:val="22"/>
          <w:lang w:val="sr-Latn-ME"/>
        </w:rPr>
        <w:t xml:space="preserve"> Podgorica</w:t>
      </w:r>
    </w:p>
    <w:p w:rsidR="003966D4" w:rsidRPr="00E22DF8" w:rsidRDefault="003966D4" w:rsidP="003966D4">
      <w:pPr>
        <w:tabs>
          <w:tab w:val="left" w:pos="540"/>
          <w:tab w:val="left" w:pos="569"/>
        </w:tabs>
        <w:rPr>
          <w:bCs/>
          <w:sz w:val="22"/>
          <w:szCs w:val="22"/>
          <w:lang w:val="sr-Latn-ME"/>
        </w:rPr>
      </w:pPr>
      <w:r w:rsidRPr="00E22DF8">
        <w:rPr>
          <w:bCs/>
          <w:sz w:val="22"/>
          <w:szCs w:val="22"/>
          <w:lang w:val="sr-Latn-ME"/>
        </w:rPr>
        <w:t>Kritskog odreda 4/1, Podgorica, Crna Gora</w:t>
      </w:r>
    </w:p>
    <w:p w:rsidR="00C37FD7" w:rsidRPr="00E22DF8" w:rsidRDefault="00C37FD7"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8. </w:t>
      </w:r>
      <w:r w:rsidR="00480FB1" w:rsidRPr="00E22DF8">
        <w:rPr>
          <w:b/>
          <w:bCs/>
          <w:sz w:val="22"/>
          <w:szCs w:val="22"/>
          <w:lang w:val="sr-Latn-ME"/>
        </w:rPr>
        <w:tab/>
      </w:r>
      <w:r w:rsidRPr="00E22DF8">
        <w:rPr>
          <w:b/>
          <w:bCs/>
          <w:sz w:val="22"/>
          <w:szCs w:val="22"/>
          <w:lang w:val="sr-Latn-ME"/>
        </w:rPr>
        <w:t>BROJ DOZVOLE</w:t>
      </w:r>
      <w:r w:rsidR="008A6D43" w:rsidRPr="00E22DF8">
        <w:rPr>
          <w:b/>
          <w:bCs/>
          <w:sz w:val="22"/>
          <w:szCs w:val="22"/>
          <w:lang w:val="sr-Latn-ME"/>
        </w:rPr>
        <w:t xml:space="preserve"> ZA STAVLJANJE LIJEKA U PROMET</w:t>
      </w:r>
    </w:p>
    <w:p w:rsidR="0072020E" w:rsidRPr="00E22DF8" w:rsidRDefault="0072020E" w:rsidP="00480FB1">
      <w:pPr>
        <w:tabs>
          <w:tab w:val="left" w:pos="540"/>
          <w:tab w:val="left" w:pos="569"/>
        </w:tabs>
        <w:rPr>
          <w:bCs/>
          <w:sz w:val="22"/>
          <w:szCs w:val="22"/>
          <w:lang w:val="sr-Latn-ME"/>
        </w:rPr>
      </w:pPr>
    </w:p>
    <w:p w:rsidR="002742FE" w:rsidRPr="00E22DF8" w:rsidRDefault="002742FE" w:rsidP="00480FB1">
      <w:pPr>
        <w:tabs>
          <w:tab w:val="left" w:pos="540"/>
          <w:tab w:val="left" w:pos="569"/>
        </w:tabs>
        <w:rPr>
          <w:bCs/>
          <w:sz w:val="22"/>
          <w:szCs w:val="22"/>
          <w:lang w:val="sr-Latn-ME"/>
        </w:rPr>
      </w:pPr>
      <w:r w:rsidRPr="00E22DF8">
        <w:rPr>
          <w:bCs/>
          <w:sz w:val="22"/>
          <w:szCs w:val="22"/>
          <w:lang w:val="sr-Latn-ME"/>
        </w:rPr>
        <w:t>2030/22/2358 - 5602</w:t>
      </w:r>
    </w:p>
    <w:p w:rsidR="00F45F77" w:rsidRDefault="00F45F77" w:rsidP="00480FB1">
      <w:pPr>
        <w:tabs>
          <w:tab w:val="left" w:pos="540"/>
          <w:tab w:val="left" w:pos="569"/>
        </w:tabs>
        <w:rPr>
          <w:bCs/>
          <w:sz w:val="22"/>
          <w:szCs w:val="22"/>
          <w:lang w:val="sr-Latn-ME"/>
        </w:rPr>
      </w:pPr>
    </w:p>
    <w:p w:rsidR="00325A16" w:rsidRPr="00E22DF8" w:rsidRDefault="00325A16" w:rsidP="00480FB1">
      <w:pPr>
        <w:tabs>
          <w:tab w:val="left" w:pos="540"/>
          <w:tab w:val="left" w:pos="569"/>
        </w:tabs>
        <w:rPr>
          <w:bCs/>
          <w:sz w:val="22"/>
          <w:szCs w:val="22"/>
          <w:lang w:val="sr-Latn-ME"/>
        </w:rPr>
      </w:pPr>
    </w:p>
    <w:p w:rsidR="0072020E" w:rsidRPr="00E22DF8" w:rsidRDefault="0072020E" w:rsidP="00480FB1">
      <w:pPr>
        <w:tabs>
          <w:tab w:val="left" w:pos="540"/>
          <w:tab w:val="left" w:pos="569"/>
        </w:tabs>
        <w:rPr>
          <w:b/>
          <w:bCs/>
          <w:sz w:val="22"/>
          <w:szCs w:val="22"/>
          <w:lang w:val="sr-Latn-ME"/>
        </w:rPr>
      </w:pPr>
      <w:r w:rsidRPr="00E22DF8">
        <w:rPr>
          <w:b/>
          <w:bCs/>
          <w:sz w:val="22"/>
          <w:szCs w:val="22"/>
          <w:lang w:val="sr-Latn-ME"/>
        </w:rPr>
        <w:t xml:space="preserve">9. </w:t>
      </w:r>
      <w:r w:rsidR="00480FB1" w:rsidRPr="00E22DF8">
        <w:rPr>
          <w:b/>
          <w:bCs/>
          <w:sz w:val="22"/>
          <w:szCs w:val="22"/>
          <w:lang w:val="sr-Latn-ME"/>
        </w:rPr>
        <w:tab/>
      </w:r>
      <w:r w:rsidRPr="00E22DF8">
        <w:rPr>
          <w:b/>
          <w:bCs/>
          <w:sz w:val="22"/>
          <w:szCs w:val="22"/>
          <w:lang w:val="sr-Latn-ME"/>
        </w:rPr>
        <w:t xml:space="preserve">DATUM </w:t>
      </w:r>
      <w:r w:rsidR="00C05DF8" w:rsidRPr="00E22DF8">
        <w:rPr>
          <w:b/>
          <w:bCs/>
          <w:sz w:val="22"/>
          <w:szCs w:val="22"/>
          <w:lang w:val="sr-Latn-ME"/>
        </w:rPr>
        <w:t xml:space="preserve">PRVE </w:t>
      </w:r>
      <w:r w:rsidR="008A6D43" w:rsidRPr="00E22DF8">
        <w:rPr>
          <w:b/>
          <w:bCs/>
          <w:sz w:val="22"/>
          <w:szCs w:val="22"/>
          <w:lang w:val="sr-Latn-ME"/>
        </w:rPr>
        <w:t>DOZVOLE</w:t>
      </w:r>
      <w:r w:rsidR="00C05DF8" w:rsidRPr="00E22DF8">
        <w:rPr>
          <w:b/>
          <w:bCs/>
          <w:sz w:val="22"/>
          <w:szCs w:val="22"/>
          <w:lang w:val="sr-Latn-ME"/>
        </w:rPr>
        <w:t>/OBNOVE DOZVOLE</w:t>
      </w:r>
      <w:r w:rsidR="008A6D43" w:rsidRPr="00E22DF8">
        <w:rPr>
          <w:b/>
          <w:bCs/>
          <w:sz w:val="22"/>
          <w:szCs w:val="22"/>
          <w:lang w:val="sr-Latn-ME"/>
        </w:rPr>
        <w:t xml:space="preserve"> ZA STAVLJANJE LIJEKA U PROMET</w:t>
      </w:r>
    </w:p>
    <w:p w:rsidR="002742FE" w:rsidRPr="00E22DF8" w:rsidRDefault="002742FE" w:rsidP="00480FB1">
      <w:pPr>
        <w:tabs>
          <w:tab w:val="left" w:pos="540"/>
          <w:tab w:val="left" w:pos="569"/>
        </w:tabs>
        <w:rPr>
          <w:bCs/>
          <w:sz w:val="22"/>
          <w:szCs w:val="22"/>
          <w:lang w:val="sr-Latn-ME"/>
        </w:rPr>
      </w:pPr>
    </w:p>
    <w:p w:rsidR="002742FE" w:rsidRPr="00E22DF8" w:rsidRDefault="002742FE" w:rsidP="00480FB1">
      <w:pPr>
        <w:tabs>
          <w:tab w:val="left" w:pos="540"/>
          <w:tab w:val="left" w:pos="569"/>
        </w:tabs>
        <w:rPr>
          <w:bCs/>
          <w:sz w:val="22"/>
          <w:szCs w:val="22"/>
          <w:lang w:val="sr-Latn-ME"/>
        </w:rPr>
      </w:pPr>
      <w:r w:rsidRPr="00E22DF8">
        <w:rPr>
          <w:bCs/>
          <w:sz w:val="22"/>
          <w:szCs w:val="22"/>
          <w:lang w:val="sr-Latn-ME"/>
        </w:rPr>
        <w:t>27.09.2022. godine</w:t>
      </w:r>
    </w:p>
    <w:p w:rsidR="00836B35" w:rsidRDefault="00836B35" w:rsidP="00480FB1">
      <w:pPr>
        <w:tabs>
          <w:tab w:val="left" w:pos="540"/>
          <w:tab w:val="left" w:pos="569"/>
        </w:tabs>
        <w:rPr>
          <w:bCs/>
          <w:sz w:val="22"/>
          <w:szCs w:val="22"/>
          <w:lang w:val="sr-Latn-ME"/>
        </w:rPr>
      </w:pPr>
    </w:p>
    <w:p w:rsidR="00325A16" w:rsidRPr="00E22DF8" w:rsidRDefault="00325A16" w:rsidP="00480FB1">
      <w:pPr>
        <w:tabs>
          <w:tab w:val="left" w:pos="540"/>
          <w:tab w:val="left" w:pos="569"/>
        </w:tabs>
        <w:rPr>
          <w:bCs/>
          <w:sz w:val="22"/>
          <w:szCs w:val="22"/>
          <w:lang w:val="sr-Latn-ME"/>
        </w:rPr>
      </w:pPr>
      <w:bookmarkStart w:id="0" w:name="_GoBack"/>
      <w:bookmarkEnd w:id="0"/>
    </w:p>
    <w:p w:rsidR="003F6A59" w:rsidRPr="00E22DF8" w:rsidRDefault="0072020E" w:rsidP="003966D4">
      <w:pPr>
        <w:tabs>
          <w:tab w:val="left" w:pos="540"/>
          <w:tab w:val="left" w:pos="569"/>
        </w:tabs>
        <w:ind w:left="540" w:hanging="540"/>
        <w:rPr>
          <w:b/>
          <w:bCs/>
          <w:sz w:val="22"/>
          <w:szCs w:val="22"/>
          <w:lang w:val="sr-Latn-ME"/>
        </w:rPr>
      </w:pPr>
      <w:r w:rsidRPr="00E22DF8">
        <w:rPr>
          <w:b/>
          <w:bCs/>
          <w:sz w:val="22"/>
          <w:szCs w:val="22"/>
          <w:lang w:val="sr-Latn-ME"/>
        </w:rPr>
        <w:t xml:space="preserve">10. </w:t>
      </w:r>
      <w:r w:rsidR="00480FB1" w:rsidRPr="00E22DF8">
        <w:rPr>
          <w:b/>
          <w:bCs/>
          <w:sz w:val="22"/>
          <w:szCs w:val="22"/>
          <w:lang w:val="sr-Latn-ME"/>
        </w:rPr>
        <w:tab/>
      </w:r>
      <w:r w:rsidR="002846DB" w:rsidRPr="00E22DF8">
        <w:rPr>
          <w:b/>
          <w:bCs/>
          <w:sz w:val="22"/>
          <w:szCs w:val="22"/>
          <w:lang w:val="sr-Latn-ME"/>
        </w:rPr>
        <w:t>D</w:t>
      </w:r>
      <w:r w:rsidR="00EC2532" w:rsidRPr="00E22DF8">
        <w:rPr>
          <w:b/>
          <w:bCs/>
          <w:sz w:val="22"/>
          <w:szCs w:val="22"/>
          <w:lang w:val="sr-Latn-ME"/>
        </w:rPr>
        <w:t xml:space="preserve">ATUM REVIZIJE TEKSTA </w:t>
      </w:r>
    </w:p>
    <w:p w:rsidR="002742FE" w:rsidRPr="00E22DF8" w:rsidRDefault="002742FE" w:rsidP="003966D4">
      <w:pPr>
        <w:tabs>
          <w:tab w:val="left" w:pos="540"/>
          <w:tab w:val="left" w:pos="569"/>
        </w:tabs>
        <w:ind w:left="540" w:hanging="540"/>
        <w:rPr>
          <w:b/>
          <w:bCs/>
          <w:sz w:val="22"/>
          <w:szCs w:val="22"/>
          <w:lang w:val="sr-Latn-ME"/>
        </w:rPr>
      </w:pPr>
    </w:p>
    <w:p w:rsidR="002742FE" w:rsidRPr="00E22DF8" w:rsidRDefault="002742FE" w:rsidP="003966D4">
      <w:pPr>
        <w:tabs>
          <w:tab w:val="left" w:pos="540"/>
          <w:tab w:val="left" w:pos="569"/>
        </w:tabs>
        <w:ind w:left="540" w:hanging="540"/>
        <w:rPr>
          <w:b/>
          <w:bCs/>
          <w:sz w:val="22"/>
          <w:szCs w:val="22"/>
          <w:lang w:val="sr-Latn-ME"/>
        </w:rPr>
      </w:pPr>
      <w:r w:rsidRPr="00E22DF8">
        <w:rPr>
          <w:rFonts w:ascii="TimesNewRoman" w:hAnsi="TimesNewRoman" w:cs="TimesNewRoman"/>
          <w:sz w:val="22"/>
          <w:szCs w:val="22"/>
          <w:lang w:val="sr-Latn-ME" w:eastAsia="sr-Latn-ME"/>
        </w:rPr>
        <w:t>Septembar, 2022. godine</w:t>
      </w:r>
    </w:p>
    <w:p w:rsidR="002742FE" w:rsidRPr="00E22DF8" w:rsidRDefault="002742FE" w:rsidP="003966D4">
      <w:pPr>
        <w:tabs>
          <w:tab w:val="left" w:pos="540"/>
          <w:tab w:val="left" w:pos="569"/>
        </w:tabs>
        <w:ind w:left="540" w:hanging="540"/>
        <w:rPr>
          <w:bCs/>
          <w:sz w:val="22"/>
          <w:szCs w:val="22"/>
          <w:lang w:val="sr-Latn-ME"/>
        </w:rPr>
      </w:pPr>
    </w:p>
    <w:sectPr w:rsidR="002742FE" w:rsidRPr="00E22DF8"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AB6" w:rsidRDefault="003C2AB6">
      <w:r>
        <w:separator/>
      </w:r>
    </w:p>
  </w:endnote>
  <w:endnote w:type="continuationSeparator" w:id="0">
    <w:p w:rsidR="003C2AB6" w:rsidRDefault="003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6B" w:rsidRPr="00B23F69" w:rsidRDefault="00CD036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25A16">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25A16">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AB6" w:rsidRDefault="003C2AB6">
      <w:r>
        <w:separator/>
      </w:r>
    </w:p>
  </w:footnote>
  <w:footnote w:type="continuationSeparator" w:id="0">
    <w:p w:rsidR="003C2AB6" w:rsidRDefault="003C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9E0D4D"/>
    <w:multiLevelType w:val="hybridMultilevel"/>
    <w:tmpl w:val="22D6E43C"/>
    <w:lvl w:ilvl="0" w:tplc="95821204">
      <w:numFmt w:val="bullet"/>
      <w:lvlText w:val="•"/>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73F"/>
    <w:rsid w:val="00020AEF"/>
    <w:rsid w:val="000229CF"/>
    <w:rsid w:val="00034420"/>
    <w:rsid w:val="00036FA0"/>
    <w:rsid w:val="0003793F"/>
    <w:rsid w:val="0005735D"/>
    <w:rsid w:val="00057E35"/>
    <w:rsid w:val="00076726"/>
    <w:rsid w:val="00080303"/>
    <w:rsid w:val="00097FB5"/>
    <w:rsid w:val="000A3F58"/>
    <w:rsid w:val="000B092B"/>
    <w:rsid w:val="000C16A7"/>
    <w:rsid w:val="000D2343"/>
    <w:rsid w:val="000D3449"/>
    <w:rsid w:val="000D425A"/>
    <w:rsid w:val="000D60CC"/>
    <w:rsid w:val="000E11C2"/>
    <w:rsid w:val="000E2084"/>
    <w:rsid w:val="000E6F55"/>
    <w:rsid w:val="000F77FA"/>
    <w:rsid w:val="00107BF7"/>
    <w:rsid w:val="00126F53"/>
    <w:rsid w:val="00136D45"/>
    <w:rsid w:val="0014766D"/>
    <w:rsid w:val="001536CC"/>
    <w:rsid w:val="00161D61"/>
    <w:rsid w:val="001A3563"/>
    <w:rsid w:val="001A3FBA"/>
    <w:rsid w:val="001A5518"/>
    <w:rsid w:val="001B1C6A"/>
    <w:rsid w:val="001C1263"/>
    <w:rsid w:val="001C1417"/>
    <w:rsid w:val="001E1D42"/>
    <w:rsid w:val="001E390B"/>
    <w:rsid w:val="001F42FB"/>
    <w:rsid w:val="001F719A"/>
    <w:rsid w:val="002031B3"/>
    <w:rsid w:val="00215931"/>
    <w:rsid w:val="00224C91"/>
    <w:rsid w:val="002256B4"/>
    <w:rsid w:val="00227BDB"/>
    <w:rsid w:val="00234CB1"/>
    <w:rsid w:val="002352F8"/>
    <w:rsid w:val="002510A5"/>
    <w:rsid w:val="00254A0A"/>
    <w:rsid w:val="0025564D"/>
    <w:rsid w:val="00266046"/>
    <w:rsid w:val="00272FE5"/>
    <w:rsid w:val="002742FE"/>
    <w:rsid w:val="002846DB"/>
    <w:rsid w:val="00284CCD"/>
    <w:rsid w:val="002A10EF"/>
    <w:rsid w:val="002B341D"/>
    <w:rsid w:val="002C6637"/>
    <w:rsid w:val="002E0135"/>
    <w:rsid w:val="002E37A5"/>
    <w:rsid w:val="00310F03"/>
    <w:rsid w:val="00321919"/>
    <w:rsid w:val="003247D2"/>
    <w:rsid w:val="00325A16"/>
    <w:rsid w:val="0033128B"/>
    <w:rsid w:val="003445C1"/>
    <w:rsid w:val="00355B61"/>
    <w:rsid w:val="00362686"/>
    <w:rsid w:val="00371510"/>
    <w:rsid w:val="00380E45"/>
    <w:rsid w:val="003864BA"/>
    <w:rsid w:val="003966D4"/>
    <w:rsid w:val="00396DFD"/>
    <w:rsid w:val="003A54AB"/>
    <w:rsid w:val="003A7059"/>
    <w:rsid w:val="003B11C0"/>
    <w:rsid w:val="003B7A36"/>
    <w:rsid w:val="003C17AB"/>
    <w:rsid w:val="003C2AB6"/>
    <w:rsid w:val="003C2BE4"/>
    <w:rsid w:val="003C7823"/>
    <w:rsid w:val="003D7AF9"/>
    <w:rsid w:val="003E1DCC"/>
    <w:rsid w:val="003F11A1"/>
    <w:rsid w:val="003F6A59"/>
    <w:rsid w:val="004065C8"/>
    <w:rsid w:val="004109FA"/>
    <w:rsid w:val="00411B4B"/>
    <w:rsid w:val="00415885"/>
    <w:rsid w:val="00415BEE"/>
    <w:rsid w:val="00427F85"/>
    <w:rsid w:val="00436F42"/>
    <w:rsid w:val="004378B4"/>
    <w:rsid w:val="00451314"/>
    <w:rsid w:val="00452E9D"/>
    <w:rsid w:val="004534C7"/>
    <w:rsid w:val="004671AA"/>
    <w:rsid w:val="00480FB1"/>
    <w:rsid w:val="00483928"/>
    <w:rsid w:val="004A7EA1"/>
    <w:rsid w:val="004C0506"/>
    <w:rsid w:val="004C331F"/>
    <w:rsid w:val="004C5839"/>
    <w:rsid w:val="004D23C1"/>
    <w:rsid w:val="004D2814"/>
    <w:rsid w:val="004D6103"/>
    <w:rsid w:val="004E3BCE"/>
    <w:rsid w:val="004E70AD"/>
    <w:rsid w:val="004F0E97"/>
    <w:rsid w:val="00501DD1"/>
    <w:rsid w:val="00515C21"/>
    <w:rsid w:val="00530BD7"/>
    <w:rsid w:val="00545CD2"/>
    <w:rsid w:val="005476F3"/>
    <w:rsid w:val="00572527"/>
    <w:rsid w:val="00573E40"/>
    <w:rsid w:val="00576348"/>
    <w:rsid w:val="0058617F"/>
    <w:rsid w:val="005A0B2E"/>
    <w:rsid w:val="005A1120"/>
    <w:rsid w:val="005A23D2"/>
    <w:rsid w:val="005A36CB"/>
    <w:rsid w:val="005B49B8"/>
    <w:rsid w:val="005B7846"/>
    <w:rsid w:val="005C0741"/>
    <w:rsid w:val="005C4FFE"/>
    <w:rsid w:val="005C5EF4"/>
    <w:rsid w:val="005D3636"/>
    <w:rsid w:val="005E2E0B"/>
    <w:rsid w:val="005E2E32"/>
    <w:rsid w:val="005E7A7D"/>
    <w:rsid w:val="005F49D5"/>
    <w:rsid w:val="00602457"/>
    <w:rsid w:val="00631EC2"/>
    <w:rsid w:val="00644FC3"/>
    <w:rsid w:val="0064584A"/>
    <w:rsid w:val="00646BD1"/>
    <w:rsid w:val="006561C2"/>
    <w:rsid w:val="00671CB3"/>
    <w:rsid w:val="00674BAF"/>
    <w:rsid w:val="00682200"/>
    <w:rsid w:val="00682297"/>
    <w:rsid w:val="00692BF6"/>
    <w:rsid w:val="006A0CBE"/>
    <w:rsid w:val="006A1497"/>
    <w:rsid w:val="006B0BD1"/>
    <w:rsid w:val="006B1DEE"/>
    <w:rsid w:val="006B5404"/>
    <w:rsid w:val="006C0129"/>
    <w:rsid w:val="006C3530"/>
    <w:rsid w:val="006D20A5"/>
    <w:rsid w:val="006D37BF"/>
    <w:rsid w:val="006F5EB8"/>
    <w:rsid w:val="00702E22"/>
    <w:rsid w:val="0071112D"/>
    <w:rsid w:val="0071279A"/>
    <w:rsid w:val="00717FE8"/>
    <w:rsid w:val="0072020E"/>
    <w:rsid w:val="00736A1B"/>
    <w:rsid w:val="007370F0"/>
    <w:rsid w:val="00737CF2"/>
    <w:rsid w:val="00785E06"/>
    <w:rsid w:val="00786071"/>
    <w:rsid w:val="007A3ECB"/>
    <w:rsid w:val="007B25A6"/>
    <w:rsid w:val="007D63B4"/>
    <w:rsid w:val="007D7BB3"/>
    <w:rsid w:val="00824AB9"/>
    <w:rsid w:val="00836B35"/>
    <w:rsid w:val="00843BDE"/>
    <w:rsid w:val="00860229"/>
    <w:rsid w:val="00872123"/>
    <w:rsid w:val="0087588C"/>
    <w:rsid w:val="00876D98"/>
    <w:rsid w:val="008902A8"/>
    <w:rsid w:val="0089481C"/>
    <w:rsid w:val="0089705C"/>
    <w:rsid w:val="008A324A"/>
    <w:rsid w:val="008A6D43"/>
    <w:rsid w:val="008B491E"/>
    <w:rsid w:val="008C1A28"/>
    <w:rsid w:val="008C2E98"/>
    <w:rsid w:val="008D2914"/>
    <w:rsid w:val="008E49BD"/>
    <w:rsid w:val="008E53E9"/>
    <w:rsid w:val="008E5771"/>
    <w:rsid w:val="008F4ACF"/>
    <w:rsid w:val="0090568C"/>
    <w:rsid w:val="00915F5D"/>
    <w:rsid w:val="00924166"/>
    <w:rsid w:val="00932E02"/>
    <w:rsid w:val="00940B9B"/>
    <w:rsid w:val="0095676E"/>
    <w:rsid w:val="00956983"/>
    <w:rsid w:val="0096131F"/>
    <w:rsid w:val="00963CF0"/>
    <w:rsid w:val="00964BB1"/>
    <w:rsid w:val="009775D9"/>
    <w:rsid w:val="009846B3"/>
    <w:rsid w:val="00997175"/>
    <w:rsid w:val="009A1847"/>
    <w:rsid w:val="009B062A"/>
    <w:rsid w:val="009B2A76"/>
    <w:rsid w:val="009E7C6F"/>
    <w:rsid w:val="009F1793"/>
    <w:rsid w:val="009F2D23"/>
    <w:rsid w:val="00A01D69"/>
    <w:rsid w:val="00A02335"/>
    <w:rsid w:val="00A105E8"/>
    <w:rsid w:val="00A24AE1"/>
    <w:rsid w:val="00A46C9A"/>
    <w:rsid w:val="00A47B64"/>
    <w:rsid w:val="00A539BF"/>
    <w:rsid w:val="00A619F3"/>
    <w:rsid w:val="00A62A73"/>
    <w:rsid w:val="00A840C4"/>
    <w:rsid w:val="00A87FF6"/>
    <w:rsid w:val="00A97FE6"/>
    <w:rsid w:val="00AA0A3B"/>
    <w:rsid w:val="00AA2763"/>
    <w:rsid w:val="00AA33B6"/>
    <w:rsid w:val="00AA4D4B"/>
    <w:rsid w:val="00AB50CA"/>
    <w:rsid w:val="00AB6D64"/>
    <w:rsid w:val="00AC53CE"/>
    <w:rsid w:val="00AD2193"/>
    <w:rsid w:val="00AE6B1F"/>
    <w:rsid w:val="00AE7EDC"/>
    <w:rsid w:val="00AF2A58"/>
    <w:rsid w:val="00AF2AC7"/>
    <w:rsid w:val="00AF74CE"/>
    <w:rsid w:val="00B208DB"/>
    <w:rsid w:val="00B23F69"/>
    <w:rsid w:val="00B3585E"/>
    <w:rsid w:val="00B35AC8"/>
    <w:rsid w:val="00B36228"/>
    <w:rsid w:val="00B538E6"/>
    <w:rsid w:val="00B60619"/>
    <w:rsid w:val="00B6412B"/>
    <w:rsid w:val="00B66A70"/>
    <w:rsid w:val="00B67366"/>
    <w:rsid w:val="00B80EE1"/>
    <w:rsid w:val="00B82AE0"/>
    <w:rsid w:val="00B84135"/>
    <w:rsid w:val="00BD26F2"/>
    <w:rsid w:val="00BF38C2"/>
    <w:rsid w:val="00C04D34"/>
    <w:rsid w:val="00C05DF8"/>
    <w:rsid w:val="00C06864"/>
    <w:rsid w:val="00C10F54"/>
    <w:rsid w:val="00C23627"/>
    <w:rsid w:val="00C23D8D"/>
    <w:rsid w:val="00C358C4"/>
    <w:rsid w:val="00C37AA3"/>
    <w:rsid w:val="00C37FD7"/>
    <w:rsid w:val="00C41728"/>
    <w:rsid w:val="00C43419"/>
    <w:rsid w:val="00C44CF3"/>
    <w:rsid w:val="00C61BE0"/>
    <w:rsid w:val="00C6707E"/>
    <w:rsid w:val="00C70B0E"/>
    <w:rsid w:val="00C72126"/>
    <w:rsid w:val="00C773CA"/>
    <w:rsid w:val="00C83785"/>
    <w:rsid w:val="00C94C0D"/>
    <w:rsid w:val="00CA1FEB"/>
    <w:rsid w:val="00CD036B"/>
    <w:rsid w:val="00CD4F85"/>
    <w:rsid w:val="00CD6F02"/>
    <w:rsid w:val="00CE246D"/>
    <w:rsid w:val="00CF07A0"/>
    <w:rsid w:val="00CF3E03"/>
    <w:rsid w:val="00D0082A"/>
    <w:rsid w:val="00D21455"/>
    <w:rsid w:val="00D40079"/>
    <w:rsid w:val="00D47634"/>
    <w:rsid w:val="00D709B3"/>
    <w:rsid w:val="00D721DE"/>
    <w:rsid w:val="00DA2ED6"/>
    <w:rsid w:val="00DB76B8"/>
    <w:rsid w:val="00DC2EA1"/>
    <w:rsid w:val="00DD6AAF"/>
    <w:rsid w:val="00DE3F5C"/>
    <w:rsid w:val="00DF1D20"/>
    <w:rsid w:val="00E21324"/>
    <w:rsid w:val="00E22DF8"/>
    <w:rsid w:val="00E246B9"/>
    <w:rsid w:val="00E31FEA"/>
    <w:rsid w:val="00E32028"/>
    <w:rsid w:val="00E32885"/>
    <w:rsid w:val="00E45169"/>
    <w:rsid w:val="00E47787"/>
    <w:rsid w:val="00E51C30"/>
    <w:rsid w:val="00E64180"/>
    <w:rsid w:val="00E74AEE"/>
    <w:rsid w:val="00E868E5"/>
    <w:rsid w:val="00E9237A"/>
    <w:rsid w:val="00E939FA"/>
    <w:rsid w:val="00EA4C52"/>
    <w:rsid w:val="00EA5765"/>
    <w:rsid w:val="00EB02BE"/>
    <w:rsid w:val="00EC2532"/>
    <w:rsid w:val="00ED6BAC"/>
    <w:rsid w:val="00ED7812"/>
    <w:rsid w:val="00EF3B86"/>
    <w:rsid w:val="00F05CC4"/>
    <w:rsid w:val="00F11BC8"/>
    <w:rsid w:val="00F317E9"/>
    <w:rsid w:val="00F34554"/>
    <w:rsid w:val="00F45F77"/>
    <w:rsid w:val="00F5167F"/>
    <w:rsid w:val="00F52258"/>
    <w:rsid w:val="00F533B6"/>
    <w:rsid w:val="00F70401"/>
    <w:rsid w:val="00F82FFC"/>
    <w:rsid w:val="00F8570A"/>
    <w:rsid w:val="00F91C7B"/>
    <w:rsid w:val="00FA243C"/>
    <w:rsid w:val="00FD1DC1"/>
    <w:rsid w:val="00FE0FE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0A43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4A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1BC8"/>
    <w:pPr>
      <w:widowControl w:val="0"/>
      <w:autoSpaceDE w:val="0"/>
      <w:autoSpaceDN w:val="0"/>
      <w:ind w:left="9"/>
    </w:pPr>
    <w:rPr>
      <w:sz w:val="22"/>
      <w:szCs w:val="22"/>
    </w:rPr>
  </w:style>
  <w:style w:type="paragraph" w:styleId="ListParagraph">
    <w:name w:val="List Paragraph"/>
    <w:basedOn w:val="Normal"/>
    <w:uiPriority w:val="34"/>
    <w:qFormat/>
    <w:rsid w:val="00F11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B3D4-09F1-4E2A-8E8B-867F7885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11451</Words>
  <Characters>65275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76573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5</cp:revision>
  <dcterms:created xsi:type="dcterms:W3CDTF">2022-09-27T05:50:00Z</dcterms:created>
  <dcterms:modified xsi:type="dcterms:W3CDTF">2022-09-27T09:40:00Z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